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veintitrés de noviembre de dos mil veintitrés. </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VISTO</w:t>
      </w:r>
      <w:r w:rsidRPr="00D7023B">
        <w:rPr>
          <w:rFonts w:ascii="Palatino Linotype" w:eastAsia="Palatino Linotype" w:hAnsi="Palatino Linotype" w:cs="Palatino Linotype"/>
        </w:rPr>
        <w:t xml:space="preserve"> el expediente formado con motivo del recurso de revisión </w:t>
      </w:r>
      <w:r w:rsidRPr="00D7023B">
        <w:rPr>
          <w:rFonts w:ascii="Palatino Linotype" w:eastAsia="Palatino Linotype" w:hAnsi="Palatino Linotype" w:cs="Palatino Linotype"/>
          <w:b/>
        </w:rPr>
        <w:t>01679/INFOEM/IP/RR/2023</w:t>
      </w:r>
      <w:r w:rsidRPr="00D7023B">
        <w:rPr>
          <w:rFonts w:ascii="Palatino Linotype" w:eastAsia="Palatino Linotype" w:hAnsi="Palatino Linotype" w:cs="Palatino Linotype"/>
        </w:rPr>
        <w:t xml:space="preserve">, interpuesto por </w:t>
      </w:r>
      <w:r w:rsidR="00BB36C2">
        <w:rPr>
          <w:rFonts w:ascii="Palatino Linotype" w:eastAsia="Palatino Linotype" w:hAnsi="Palatino Linotype" w:cs="Palatino Linotype"/>
          <w:b/>
        </w:rPr>
        <w:t>XXXXXXX XXXXX XXXXXXX</w:t>
      </w:r>
      <w:bookmarkStart w:id="0" w:name="_GoBack"/>
      <w:bookmarkEnd w:id="0"/>
      <w:r w:rsidRPr="00D7023B">
        <w:rPr>
          <w:rFonts w:ascii="Palatino Linotype" w:eastAsia="Palatino Linotype" w:hAnsi="Palatino Linotype" w:cs="Palatino Linotype"/>
          <w:b/>
        </w:rPr>
        <w:t>,</w:t>
      </w:r>
      <w:r w:rsidRPr="00D7023B">
        <w:rPr>
          <w:rFonts w:ascii="Palatino Linotype" w:eastAsia="Palatino Linotype" w:hAnsi="Palatino Linotype" w:cs="Palatino Linotype"/>
        </w:rPr>
        <w:t xml:space="preserve"> en lo sucesivo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en contra de la respuesta a su solicitud de información con número de folio</w:t>
      </w:r>
      <w:r w:rsidRPr="00D7023B">
        <w:rPr>
          <w:rFonts w:ascii="Palatino Linotype" w:eastAsia="Palatino Linotype" w:hAnsi="Palatino Linotype" w:cs="Palatino Linotype"/>
          <w:b/>
        </w:rPr>
        <w:t xml:space="preserve"> 00072/SEDUO/IP/2023 por</w:t>
      </w:r>
      <w:r w:rsidRPr="00D7023B">
        <w:rPr>
          <w:rFonts w:ascii="Palatino Linotype" w:eastAsia="Palatino Linotype" w:hAnsi="Palatino Linotype" w:cs="Palatino Linotype"/>
        </w:rPr>
        <w:t xml:space="preserve"> parte del </w:t>
      </w:r>
      <w:r w:rsidRPr="00D7023B">
        <w:rPr>
          <w:rFonts w:ascii="Palatino Linotype" w:eastAsia="Palatino Linotype" w:hAnsi="Palatino Linotype" w:cs="Palatino Linotype"/>
          <w:b/>
        </w:rPr>
        <w:t xml:space="preserve">Secretaría de Desarrollo Urbano y Obra, </w:t>
      </w:r>
      <w:r w:rsidRPr="00D7023B">
        <w:rPr>
          <w:rFonts w:ascii="Palatino Linotype" w:eastAsia="Palatino Linotype" w:hAnsi="Palatino Linotype" w:cs="Palatino Linotype"/>
        </w:rPr>
        <w:t xml:space="preserve">en lo sucesivo el </w:t>
      </w:r>
      <w:r w:rsidRPr="00D7023B">
        <w:rPr>
          <w:rFonts w:ascii="Palatino Linotype" w:eastAsia="Palatino Linotype" w:hAnsi="Palatino Linotype" w:cs="Palatino Linotype"/>
          <w:b/>
        </w:rPr>
        <w:t xml:space="preserve">SUJETO OBLIGADO, </w:t>
      </w:r>
      <w:r w:rsidRPr="00D7023B">
        <w:rPr>
          <w:rFonts w:ascii="Palatino Linotype" w:eastAsia="Palatino Linotype" w:hAnsi="Palatino Linotype" w:cs="Palatino Linotype"/>
        </w:rPr>
        <w:t xml:space="preserve">se procede a dictar la presente resolución con base en los siguientes: </w:t>
      </w:r>
    </w:p>
    <w:p w:rsidR="00242A56" w:rsidRPr="00D7023B" w:rsidRDefault="00C07BE5">
      <w:pPr>
        <w:spacing w:before="240" w:after="240" w:line="360" w:lineRule="auto"/>
        <w:jc w:val="center"/>
        <w:rPr>
          <w:rFonts w:ascii="Palatino Linotype" w:eastAsia="Palatino Linotype" w:hAnsi="Palatino Linotype" w:cs="Palatino Linotype"/>
          <w:b/>
        </w:rPr>
      </w:pPr>
      <w:r w:rsidRPr="00D7023B">
        <w:rPr>
          <w:rFonts w:ascii="Palatino Linotype" w:eastAsia="Palatino Linotype" w:hAnsi="Palatino Linotype" w:cs="Palatino Linotype"/>
          <w:b/>
        </w:rPr>
        <w:t>I. A N T E C E D E N T E S</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1. Solicitud de acceso a la información.</w:t>
      </w:r>
      <w:r w:rsidRPr="00D7023B">
        <w:rPr>
          <w:rFonts w:ascii="Palatino Linotype" w:eastAsia="Palatino Linotype" w:hAnsi="Palatino Linotype" w:cs="Palatino Linotype"/>
        </w:rPr>
        <w:t xml:space="preserve"> Con fecha </w:t>
      </w:r>
      <w:r w:rsidRPr="00D7023B">
        <w:rPr>
          <w:rFonts w:ascii="Palatino Linotype" w:eastAsia="Palatino Linotype" w:hAnsi="Palatino Linotype" w:cs="Palatino Linotype"/>
          <w:b/>
        </w:rPr>
        <w:t>tres de marzo de dos mil veintitrés,</w:t>
      </w:r>
      <w:r w:rsidRPr="00D7023B">
        <w:rPr>
          <w:rFonts w:ascii="Palatino Linotype" w:eastAsia="Palatino Linotype" w:hAnsi="Palatino Linotype" w:cs="Palatino Linotype"/>
        </w:rPr>
        <w:t xml:space="preserve"> la parte </w:t>
      </w:r>
      <w:r w:rsidRPr="00D7023B">
        <w:rPr>
          <w:rFonts w:ascii="Palatino Linotype" w:eastAsia="Palatino Linotype" w:hAnsi="Palatino Linotype" w:cs="Palatino Linotype"/>
          <w:b/>
        </w:rPr>
        <w:t xml:space="preserve">RECURRENTE </w:t>
      </w:r>
      <w:r w:rsidRPr="00D7023B">
        <w:rPr>
          <w:rFonts w:ascii="Palatino Linotype" w:eastAsia="Palatino Linotype" w:hAnsi="Palatino Linotype" w:cs="Palatino Linotype"/>
        </w:rPr>
        <w:t xml:space="preserve">presentó, a través del Sistema de Acceso a la Información Mexiquense, en lo subsecuente el </w:t>
      </w:r>
      <w:r w:rsidRPr="00D7023B">
        <w:rPr>
          <w:rFonts w:ascii="Palatino Linotype" w:eastAsia="Palatino Linotype" w:hAnsi="Palatino Linotype" w:cs="Palatino Linotype"/>
          <w:b/>
        </w:rPr>
        <w:t>SAIMEX,</w:t>
      </w:r>
      <w:r w:rsidRPr="00D7023B">
        <w:rPr>
          <w:rFonts w:ascii="Palatino Linotype" w:eastAsia="Palatino Linotype" w:hAnsi="Palatino Linotype" w:cs="Palatino Linotype"/>
        </w:rPr>
        <w:t xml:space="preserve"> ante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la solicitud de acceso a la información pública, a la que se le asignó el número</w:t>
      </w:r>
      <w:r w:rsidRPr="00D7023B">
        <w:rPr>
          <w:rFonts w:ascii="Palatino Linotype" w:eastAsia="Palatino Linotype" w:hAnsi="Palatino Linotype" w:cs="Palatino Linotype"/>
          <w:b/>
        </w:rPr>
        <w:t xml:space="preserve"> 00072/SEDUO/IP/2023, </w:t>
      </w:r>
      <w:r w:rsidRPr="00D7023B">
        <w:rPr>
          <w:rFonts w:ascii="Palatino Linotype" w:eastAsia="Palatino Linotype" w:hAnsi="Palatino Linotype" w:cs="Palatino Linotype"/>
        </w:rPr>
        <w:t xml:space="preserve">mediante la cual requirió la información siguiente: </w:t>
      </w:r>
    </w:p>
    <w:p w:rsidR="00242A56" w:rsidRPr="00D7023B" w:rsidRDefault="00C07BE5">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D7023B">
        <w:rPr>
          <w:rFonts w:ascii="Palatino Linotype" w:eastAsia="Palatino Linotype" w:hAnsi="Palatino Linotype" w:cs="Palatino Linotype"/>
          <w:i/>
          <w:sz w:val="22"/>
          <w:szCs w:val="22"/>
        </w:rPr>
        <w:t xml:space="preserve">“Solicito copia del Dictamen Único de Factibilidad del proyecto denominado "Parque </w:t>
      </w:r>
      <w:proofErr w:type="spellStart"/>
      <w:r w:rsidRPr="00D7023B">
        <w:rPr>
          <w:rFonts w:ascii="Palatino Linotype" w:eastAsia="Palatino Linotype" w:hAnsi="Palatino Linotype" w:cs="Palatino Linotype"/>
          <w:i/>
          <w:sz w:val="22"/>
          <w:szCs w:val="22"/>
        </w:rPr>
        <w:t>Ecoturístico</w:t>
      </w:r>
      <w:proofErr w:type="spellEnd"/>
      <w:r w:rsidRPr="00D7023B">
        <w:rPr>
          <w:rFonts w:ascii="Palatino Linotype" w:eastAsia="Palatino Linotype" w:hAnsi="Palatino Linotype" w:cs="Palatino Linotype"/>
          <w:i/>
          <w:sz w:val="22"/>
          <w:szCs w:val="22"/>
        </w:rPr>
        <w:t xml:space="preserve"> El Elefante primera etapa, segunda etapa y obra nueva", obra que ejecutó el H. Ayuntamiento de Ixtapaluca 2016-2018 en el interior del </w:t>
      </w:r>
      <w:proofErr w:type="spellStart"/>
      <w:r w:rsidRPr="00D7023B">
        <w:rPr>
          <w:rFonts w:ascii="Palatino Linotype" w:eastAsia="Palatino Linotype" w:hAnsi="Palatino Linotype" w:cs="Palatino Linotype"/>
          <w:i/>
          <w:sz w:val="22"/>
          <w:szCs w:val="22"/>
        </w:rPr>
        <w:t>Cerrro</w:t>
      </w:r>
      <w:proofErr w:type="spellEnd"/>
      <w:r w:rsidRPr="00D7023B">
        <w:rPr>
          <w:rFonts w:ascii="Palatino Linotype" w:eastAsia="Palatino Linotype" w:hAnsi="Palatino Linotype" w:cs="Palatino Linotype"/>
          <w:i/>
          <w:sz w:val="22"/>
          <w:szCs w:val="22"/>
        </w:rPr>
        <w:t xml:space="preserve"> El Elefante, ubicado en el Pueblo de </w:t>
      </w:r>
      <w:proofErr w:type="spellStart"/>
      <w:r w:rsidRPr="00D7023B">
        <w:rPr>
          <w:rFonts w:ascii="Palatino Linotype" w:eastAsia="Palatino Linotype" w:hAnsi="Palatino Linotype" w:cs="Palatino Linotype"/>
          <w:i/>
          <w:sz w:val="22"/>
          <w:szCs w:val="22"/>
        </w:rPr>
        <w:t>Tlapacoya</w:t>
      </w:r>
      <w:proofErr w:type="spellEnd"/>
      <w:r w:rsidRPr="00D7023B">
        <w:rPr>
          <w:rFonts w:ascii="Palatino Linotype" w:eastAsia="Palatino Linotype" w:hAnsi="Palatino Linotype" w:cs="Palatino Linotype"/>
          <w:i/>
          <w:sz w:val="22"/>
          <w:szCs w:val="22"/>
        </w:rPr>
        <w:t xml:space="preserve">, Ixtapaluca, Estado de México; así como copia de toda la documentación anexa que presentó el </w:t>
      </w:r>
      <w:proofErr w:type="gramStart"/>
      <w:r w:rsidRPr="00D7023B">
        <w:rPr>
          <w:rFonts w:ascii="Palatino Linotype" w:eastAsia="Palatino Linotype" w:hAnsi="Palatino Linotype" w:cs="Palatino Linotype"/>
          <w:i/>
          <w:sz w:val="22"/>
          <w:szCs w:val="22"/>
        </w:rPr>
        <w:t>ayuntamiento</w:t>
      </w:r>
      <w:proofErr w:type="gramEnd"/>
      <w:r w:rsidRPr="00D7023B">
        <w:rPr>
          <w:rFonts w:ascii="Palatino Linotype" w:eastAsia="Palatino Linotype" w:hAnsi="Palatino Linotype" w:cs="Palatino Linotype"/>
          <w:i/>
          <w:sz w:val="22"/>
          <w:szCs w:val="22"/>
        </w:rPr>
        <w:t xml:space="preserve"> para el trámite referido” (Sic)</w:t>
      </w:r>
    </w:p>
    <w:p w:rsidR="00242A56" w:rsidRPr="00D7023B" w:rsidRDefault="00242A56">
      <w:pPr>
        <w:spacing w:before="240"/>
        <w:ind w:left="851" w:right="902"/>
        <w:jc w:val="both"/>
        <w:rPr>
          <w:rFonts w:ascii="Palatino Linotype" w:eastAsia="Palatino Linotype" w:hAnsi="Palatino Linotype" w:cs="Palatino Linotype"/>
          <w:i/>
          <w:sz w:val="22"/>
          <w:szCs w:val="22"/>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Modalidad de Entrega:</w:t>
      </w:r>
      <w:r w:rsidRPr="00D7023B">
        <w:rPr>
          <w:rFonts w:ascii="Palatino Linotype" w:eastAsia="Palatino Linotype" w:hAnsi="Palatino Linotype" w:cs="Palatino Linotype"/>
        </w:rPr>
        <w:t xml:space="preserve"> A través de Copias Simples con costo.</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after="240" w:line="360" w:lineRule="auto"/>
        <w:jc w:val="both"/>
        <w:rPr>
          <w:rFonts w:ascii="Palatino Linotype" w:eastAsia="Palatino Linotype" w:hAnsi="Palatino Linotype" w:cs="Palatino Linotype"/>
          <w:b/>
        </w:rPr>
      </w:pPr>
      <w:r w:rsidRPr="00D7023B">
        <w:rPr>
          <w:rFonts w:ascii="Palatino Linotype" w:eastAsia="Palatino Linotype" w:hAnsi="Palatino Linotype" w:cs="Palatino Linotype"/>
          <w:b/>
        </w:rPr>
        <w:t xml:space="preserve">2. Respuesta. </w:t>
      </w:r>
      <w:r w:rsidRPr="00D7023B">
        <w:rPr>
          <w:rFonts w:ascii="Palatino Linotype" w:eastAsia="Palatino Linotype" w:hAnsi="Palatino Linotype" w:cs="Palatino Linotype"/>
        </w:rPr>
        <w:t xml:space="preserve">Con fecha </w:t>
      </w:r>
      <w:r w:rsidRPr="00D7023B">
        <w:rPr>
          <w:rFonts w:ascii="Palatino Linotype" w:eastAsia="Palatino Linotype" w:hAnsi="Palatino Linotype" w:cs="Palatino Linotype"/>
          <w:b/>
        </w:rPr>
        <w:t>quince de marzo de dos mil veintitrés</w:t>
      </w:r>
      <w:r w:rsidRPr="00D7023B">
        <w:rPr>
          <w:rFonts w:ascii="Palatino Linotype" w:eastAsia="Palatino Linotype" w:hAnsi="Palatino Linotype" w:cs="Palatino Linotype"/>
        </w:rPr>
        <w:t xml:space="preserve">, el </w:t>
      </w:r>
      <w:r w:rsidRPr="00D7023B">
        <w:rPr>
          <w:rFonts w:ascii="Palatino Linotype" w:eastAsia="Palatino Linotype" w:hAnsi="Palatino Linotype" w:cs="Palatino Linotype"/>
          <w:b/>
        </w:rPr>
        <w:t xml:space="preserve">SUJETO OBLIGADO </w:t>
      </w:r>
      <w:r w:rsidRPr="00D7023B">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242A56" w:rsidRPr="00D7023B" w:rsidRDefault="00C07BE5">
      <w:pPr>
        <w:spacing w:before="240" w:after="24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“…Sobre el particular, sírvase encontrar en archivo adjunto copia del oficio número SEDUO-CI-0238/2023, de fecha 15 de marzo de 2023, mediante el cual se detalla lo referente a su solicitud...” (Sic)</w:t>
      </w:r>
    </w:p>
    <w:p w:rsidR="00242A56" w:rsidRPr="00D7023B" w:rsidRDefault="00C07BE5">
      <w:pPr>
        <w:spacing w:before="240" w:after="240" w:line="360" w:lineRule="auto"/>
        <w:ind w:right="49"/>
        <w:jc w:val="both"/>
        <w:rPr>
          <w:rFonts w:ascii="Palatino Linotype" w:eastAsia="Palatino Linotype" w:hAnsi="Palatino Linotype" w:cs="Palatino Linotype"/>
          <w:b/>
        </w:rPr>
      </w:pPr>
      <w:r w:rsidRPr="00D7023B">
        <w:rPr>
          <w:rFonts w:ascii="Palatino Linotype" w:eastAsia="Palatino Linotype" w:hAnsi="Palatino Linotype" w:cs="Palatino Linotype"/>
          <w:b/>
        </w:rPr>
        <w:t>El SUJETO OBLIGADO, adjuntó a su respuesta los siguientes archivos electrónicos:</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w:t>
      </w:r>
      <w:hyperlink r:id="rId8">
        <w:r w:rsidRPr="00D7023B">
          <w:rPr>
            <w:rFonts w:ascii="Palatino Linotype" w:eastAsia="Palatino Linotype" w:hAnsi="Palatino Linotype" w:cs="Palatino Linotype"/>
          </w:rPr>
          <w:t>RESP UT 072-2023 DGCIE.pdf</w:t>
        </w:r>
      </w:hyperlink>
      <w:r w:rsidRPr="00D7023B">
        <w:rPr>
          <w:rFonts w:ascii="Palatino Linotype" w:eastAsia="Palatino Linotype" w:hAnsi="Palatino Linotype" w:cs="Palatino Linotype"/>
        </w:rPr>
        <w:t xml:space="preserve">”, el cual contiene el oficio número 224B03010-000491/2023, por medio del cual la Directora General de la Comisión de Impacto Estatal, informó que se realizó una búsqueda exhaustiva y razonable en todos los archivos de esa Comisión de Impacto Estatal, sin que se localizara antecedente de emisión del Dictamen Único de Factibilidad y/o Evaluación de Impacto Estatal a nombre del proyecto, del ejecutor o del domicilio referido en la solicitud de información que nos ocupa. </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Asimismo, se hace del conocimiento del interesado, que con la finalidad de fomentar la transparencia como un compromiso de este Sujeto Obligado con la ciudadanía, se implementó el Registro Público de Evaluación de Impacto Estatal y Dictamen Único de Factibilidad, mismo que podría ser consultado en la página oficial de esta Comisión o bien en la siguiente liga electrónica:</w:t>
      </w:r>
    </w:p>
    <w:p w:rsidR="00242A56" w:rsidRPr="00D7023B" w:rsidRDefault="00242A56">
      <w:pPr>
        <w:spacing w:before="240" w:after="240" w:line="360" w:lineRule="auto"/>
        <w:ind w:right="49"/>
        <w:jc w:val="both"/>
        <w:rPr>
          <w:rFonts w:ascii="Palatino Linotype" w:eastAsia="Palatino Linotype" w:hAnsi="Palatino Linotype" w:cs="Palatino Linotype"/>
        </w:rPr>
      </w:pP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 xml:space="preserve">Mediante la cual se podrá revisar los proyectos de impacto urbano evaluados, el tipo de actividades económicas, municipios y periodos. </w:t>
      </w:r>
    </w:p>
    <w:p w:rsidR="00242A56" w:rsidRPr="00D7023B" w:rsidRDefault="00C07BE5">
      <w:pPr>
        <w:spacing w:before="240" w:after="240" w:line="360" w:lineRule="auto"/>
        <w:ind w:right="49"/>
        <w:jc w:val="both"/>
        <w:rPr>
          <w:rFonts w:ascii="Palatino Linotype" w:eastAsia="Palatino Linotype" w:hAnsi="Palatino Linotype" w:cs="Palatino Linotype"/>
          <w:b/>
        </w:rPr>
      </w:pPr>
      <w:r w:rsidRPr="00D7023B">
        <w:rPr>
          <w:rFonts w:ascii="Palatino Linotype" w:eastAsia="Palatino Linotype" w:hAnsi="Palatino Linotype" w:cs="Palatino Linotype"/>
        </w:rPr>
        <w:t>“</w:t>
      </w:r>
      <w:hyperlink r:id="rId9">
        <w:r w:rsidRPr="00D7023B">
          <w:rPr>
            <w:rFonts w:ascii="Palatino Linotype" w:eastAsia="Palatino Linotype" w:hAnsi="Palatino Linotype" w:cs="Palatino Linotype"/>
          </w:rPr>
          <w:t>UT 072-2023.pdf</w:t>
        </w:r>
      </w:hyperlink>
      <w:r w:rsidRPr="00D7023B">
        <w:rPr>
          <w:rFonts w:ascii="Palatino Linotype" w:eastAsia="Palatino Linotype" w:hAnsi="Palatino Linotype" w:cs="Palatino Linotype"/>
        </w:rPr>
        <w:t xml:space="preserve">”, el cual contiene el oficio número SEDUO-CI-0238-2023, por medio del cual el Titular de la Unidad de Transparencia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notificó al solicitante la respuesta otorgada por Directora General de la Comisión de Impacto Estatal.</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3. Interposición del recurso de revisión. </w:t>
      </w:r>
      <w:r w:rsidRPr="00D7023B">
        <w:rPr>
          <w:rFonts w:ascii="Palatino Linotype" w:eastAsia="Palatino Linotype" w:hAnsi="Palatino Linotype" w:cs="Palatino Linotype"/>
        </w:rPr>
        <w:t xml:space="preserve">Inconforme con los términos de la respuesta emitida por parte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el </w:t>
      </w:r>
      <w:r w:rsidRPr="00D7023B">
        <w:rPr>
          <w:rFonts w:ascii="Palatino Linotype" w:eastAsia="Palatino Linotype" w:hAnsi="Palatino Linotype" w:cs="Palatino Linotype"/>
          <w:b/>
        </w:rPr>
        <w:t>veintisiete de marzo del dos mil veintitrés,</w:t>
      </w:r>
      <w:r w:rsidRPr="00D7023B">
        <w:rPr>
          <w:rFonts w:ascii="Palatino Linotype" w:eastAsia="Palatino Linotype" w:hAnsi="Palatino Linotype" w:cs="Palatino Linotype"/>
        </w:rPr>
        <w:t xml:space="preserve"> la parte recurrente interpuso el recurso de revisión a través de </w:t>
      </w:r>
      <w:r w:rsidRPr="00D7023B">
        <w:rPr>
          <w:rFonts w:ascii="Palatino Linotype" w:eastAsia="Palatino Linotype" w:hAnsi="Palatino Linotype" w:cs="Palatino Linotype"/>
          <w:b/>
        </w:rPr>
        <w:t xml:space="preserve">SAIMEX, </w:t>
      </w:r>
      <w:r w:rsidRPr="00D7023B">
        <w:rPr>
          <w:rFonts w:ascii="Palatino Linotype" w:eastAsia="Palatino Linotype" w:hAnsi="Palatino Linotype" w:cs="Palatino Linotype"/>
        </w:rPr>
        <w:t>en donde se manifestó de la siguiente manera:</w:t>
      </w:r>
    </w:p>
    <w:p w:rsidR="00242A56" w:rsidRPr="00D7023B" w:rsidRDefault="00C07BE5">
      <w:pPr>
        <w:tabs>
          <w:tab w:val="left" w:pos="2745"/>
        </w:tabs>
        <w:spacing w:before="240" w:after="240" w:line="360" w:lineRule="auto"/>
        <w:jc w:val="both"/>
        <w:rPr>
          <w:rFonts w:ascii="Palatino Linotype" w:eastAsia="Palatino Linotype" w:hAnsi="Palatino Linotype" w:cs="Palatino Linotype"/>
          <w:b/>
        </w:rPr>
      </w:pPr>
      <w:r w:rsidRPr="00D7023B">
        <w:rPr>
          <w:rFonts w:ascii="Palatino Linotype" w:eastAsia="Palatino Linotype" w:hAnsi="Palatino Linotype" w:cs="Palatino Linotype"/>
          <w:b/>
        </w:rPr>
        <w:t xml:space="preserve">Acto impugnado: </w:t>
      </w:r>
      <w:r w:rsidRPr="00D7023B">
        <w:rPr>
          <w:rFonts w:ascii="Palatino Linotype" w:eastAsia="Palatino Linotype" w:hAnsi="Palatino Linotype" w:cs="Palatino Linotype"/>
          <w:b/>
        </w:rPr>
        <w:tab/>
      </w:r>
    </w:p>
    <w:p w:rsidR="00242A56" w:rsidRPr="00D7023B" w:rsidRDefault="00C07BE5">
      <w:pPr>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“En términos de los artículos 176,177 y 178 de la Ley de Transparencia y acceso a la Información Pública del Estado de México y Municipios, interpongo el presente Recurso de Revisión respecto de la respuesta SEDUO-CI-0199/2023 en la que se da curso la solicitud de información pública número 00072/SEDUO/IP/2023, ingresada por medio del Sistema de Acceso a la Información Mexiquense (SAIMEX), mediante la cual se requirió lo siguiente: “Solicito copia del Dictamen Único de Factibilidad del proyecto denominado “Parque </w:t>
      </w:r>
      <w:proofErr w:type="spellStart"/>
      <w:r w:rsidRPr="00D7023B">
        <w:rPr>
          <w:rFonts w:ascii="Palatino Linotype" w:eastAsia="Palatino Linotype" w:hAnsi="Palatino Linotype" w:cs="Palatino Linotype"/>
          <w:i/>
          <w:sz w:val="22"/>
          <w:szCs w:val="22"/>
        </w:rPr>
        <w:t>Ecoturístico</w:t>
      </w:r>
      <w:proofErr w:type="spellEnd"/>
      <w:r w:rsidRPr="00D7023B">
        <w:rPr>
          <w:rFonts w:ascii="Palatino Linotype" w:eastAsia="Palatino Linotype" w:hAnsi="Palatino Linotype" w:cs="Palatino Linotype"/>
          <w:i/>
          <w:sz w:val="22"/>
          <w:szCs w:val="22"/>
        </w:rPr>
        <w:t xml:space="preserve"> El Elefante primera etapa, segunda y obra nueva”, obra que ejecutó el H. Ayuntamiento de Ixtapaluca 2016-2018 en el interior del Cerro El Elefante, ubicado en el Pueblo de </w:t>
      </w:r>
      <w:proofErr w:type="spellStart"/>
      <w:r w:rsidRPr="00D7023B">
        <w:rPr>
          <w:rFonts w:ascii="Palatino Linotype" w:eastAsia="Palatino Linotype" w:hAnsi="Palatino Linotype" w:cs="Palatino Linotype"/>
          <w:i/>
          <w:sz w:val="22"/>
          <w:szCs w:val="22"/>
        </w:rPr>
        <w:t>Tlapacoya</w:t>
      </w:r>
      <w:proofErr w:type="spellEnd"/>
      <w:r w:rsidRPr="00D7023B">
        <w:rPr>
          <w:rFonts w:ascii="Palatino Linotype" w:eastAsia="Palatino Linotype" w:hAnsi="Palatino Linotype" w:cs="Palatino Linotype"/>
          <w:i/>
          <w:sz w:val="22"/>
          <w:szCs w:val="22"/>
        </w:rPr>
        <w:t>, Ixtapaluca, Estado de México; así como copia de toda la documentación anexa que presentó el ayuntamiento para el trámite referido”. La respuesta del Sujeto Obligado es la siguiente: “… se hace del conocimiento al solicitante que se realizó una búsqueda exhaustiva y razonada en los archivos de esta Comisión de Impacto Estatal, sin que se localizara antecedente de emisión de Dictamen Único de Factibilidad y/o Evaluación de Impacto Estatal a nombre del proyecto, del ejecutor o del domicilio referido en la solicitud de información que nos ocupa”.” (Sic)</w:t>
      </w:r>
    </w:p>
    <w:p w:rsidR="00242A56" w:rsidRPr="00D7023B" w:rsidRDefault="00242A56">
      <w:pPr>
        <w:ind w:left="851" w:right="902"/>
        <w:jc w:val="both"/>
        <w:rPr>
          <w:rFonts w:ascii="Palatino Linotype" w:eastAsia="Palatino Linotype" w:hAnsi="Palatino Linotype" w:cs="Palatino Linotype"/>
          <w:i/>
          <w:sz w:val="22"/>
          <w:szCs w:val="22"/>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lastRenderedPageBreak/>
        <w:t>Y Razones o motivos de inconformidad</w:t>
      </w:r>
      <w:r w:rsidRPr="00D7023B">
        <w:rPr>
          <w:rFonts w:ascii="Palatino Linotype" w:eastAsia="Palatino Linotype" w:hAnsi="Palatino Linotype" w:cs="Palatino Linotype"/>
        </w:rPr>
        <w:t>:</w:t>
      </w:r>
    </w:p>
    <w:p w:rsidR="00242A56" w:rsidRPr="00D7023B" w:rsidRDefault="00C07BE5">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D7023B">
        <w:rPr>
          <w:rFonts w:ascii="Palatino Linotype" w:eastAsia="Palatino Linotype" w:hAnsi="Palatino Linotype" w:cs="Palatino Linotype"/>
          <w:i/>
          <w:sz w:val="22"/>
          <w:szCs w:val="22"/>
        </w:rPr>
        <w:t xml:space="preserve"> “Mi inconformidad se sustenta en lo siguiente: el 18 de junio de 2018 con oficio número 224020000/1715/2018 se da respuesta a la solicitud con número 000113/SEDUM/IP/2018 mediante la cual se requirió el mismo asunto: “Solicito copia del Dictamen Único de Factibilidad del proyecto denominado “Parque </w:t>
      </w:r>
      <w:proofErr w:type="spellStart"/>
      <w:r w:rsidRPr="00D7023B">
        <w:rPr>
          <w:rFonts w:ascii="Palatino Linotype" w:eastAsia="Palatino Linotype" w:hAnsi="Palatino Linotype" w:cs="Palatino Linotype"/>
          <w:i/>
          <w:sz w:val="22"/>
          <w:szCs w:val="22"/>
        </w:rPr>
        <w:t>Ecoturístico</w:t>
      </w:r>
      <w:proofErr w:type="spellEnd"/>
      <w:r w:rsidRPr="00D7023B">
        <w:rPr>
          <w:rFonts w:ascii="Palatino Linotype" w:eastAsia="Palatino Linotype" w:hAnsi="Palatino Linotype" w:cs="Palatino Linotype"/>
          <w:i/>
          <w:sz w:val="22"/>
          <w:szCs w:val="22"/>
        </w:rPr>
        <w:t xml:space="preserve"> El Elefante primera etapa, segunda y obra nueva”, obra que ejecutó el H. </w:t>
      </w:r>
      <w:proofErr w:type="spellStart"/>
      <w:r w:rsidRPr="00D7023B">
        <w:rPr>
          <w:rFonts w:ascii="Palatino Linotype" w:eastAsia="Palatino Linotype" w:hAnsi="Palatino Linotype" w:cs="Palatino Linotype"/>
          <w:i/>
          <w:sz w:val="22"/>
          <w:szCs w:val="22"/>
        </w:rPr>
        <w:t>Ayuntamietno</w:t>
      </w:r>
      <w:proofErr w:type="spellEnd"/>
      <w:r w:rsidRPr="00D7023B">
        <w:rPr>
          <w:rFonts w:ascii="Palatino Linotype" w:eastAsia="Palatino Linotype" w:hAnsi="Palatino Linotype" w:cs="Palatino Linotype"/>
          <w:i/>
          <w:sz w:val="22"/>
          <w:szCs w:val="22"/>
        </w:rPr>
        <w:t xml:space="preserve"> de Ixtapaluca 2016-2018 en el interior del Cerro El Elefante, ubicado en el Pueblo de </w:t>
      </w:r>
      <w:proofErr w:type="spellStart"/>
      <w:r w:rsidRPr="00D7023B">
        <w:rPr>
          <w:rFonts w:ascii="Palatino Linotype" w:eastAsia="Palatino Linotype" w:hAnsi="Palatino Linotype" w:cs="Palatino Linotype"/>
          <w:i/>
          <w:sz w:val="22"/>
          <w:szCs w:val="22"/>
        </w:rPr>
        <w:t>Tlapacoya</w:t>
      </w:r>
      <w:proofErr w:type="spellEnd"/>
      <w:r w:rsidRPr="00D7023B">
        <w:rPr>
          <w:rFonts w:ascii="Palatino Linotype" w:eastAsia="Palatino Linotype" w:hAnsi="Palatino Linotype" w:cs="Palatino Linotype"/>
          <w:i/>
          <w:sz w:val="22"/>
          <w:szCs w:val="22"/>
        </w:rPr>
        <w:t>, Ixtapaluca, Estado de México, así como copia de toda la documentación anexa que presentó el ayuntamiento para el trámite referido”. El oficio número 224020000/1715/2018 que da respuesta dice: “…</w:t>
      </w:r>
      <w:r w:rsidRPr="00D7023B">
        <w:rPr>
          <w:rFonts w:ascii="Palatino Linotype" w:eastAsia="Palatino Linotype" w:hAnsi="Palatino Linotype" w:cs="Palatino Linotype"/>
          <w:b/>
          <w:i/>
          <w:sz w:val="22"/>
          <w:szCs w:val="22"/>
        </w:rPr>
        <w:t>Derivado de lo anterior, se hace de su conocimiento que de la respuesta y búsqueda efectuada por la Subdirección de Dictámenes Urbanos, dependiente de esta Dirección General de Operación Urbana, informa que el trámite para la obtención del Dictamen Único de Factibilidad por parte del H. Ayuntamiento se encuentra en proceso</w:t>
      </w:r>
      <w:r w:rsidRPr="00D7023B">
        <w:rPr>
          <w:rFonts w:ascii="Palatino Linotype" w:eastAsia="Palatino Linotype" w:hAnsi="Palatino Linotype" w:cs="Palatino Linotype"/>
          <w:i/>
          <w:sz w:val="22"/>
          <w:szCs w:val="22"/>
        </w:rPr>
        <w:t xml:space="preserve">. Bajo esa tesitura la Ley de Transparencia Y Acceso a la Información Pública del Estado de México y Municipios, </w:t>
      </w:r>
      <w:r w:rsidRPr="00D7023B">
        <w:rPr>
          <w:rFonts w:ascii="Palatino Linotype" w:eastAsia="Palatino Linotype" w:hAnsi="Palatino Linotype" w:cs="Palatino Linotype"/>
          <w:b/>
          <w:i/>
          <w:sz w:val="22"/>
          <w:szCs w:val="22"/>
        </w:rPr>
        <w:t>prevé la reserva de información cuando esta contenga opiniones, recomendaciones o puntos de vista que forman parte del proceso deliberativo de los servidores públicos que intervienen en el mismo, hasta en tanto sea adoptada la decisión final y que se documente. Así la información que se solicita por el peticionario, debe reservarse en términos legales, puesto que está contenida en un expediente cuya naturaleza lleva implícita la obtención de una decisión final, no teniendo evidencia documentada alguna que obre en el expediente de origen que refleje que esta se ha emitid</w:t>
      </w:r>
      <w:r w:rsidRPr="00D7023B">
        <w:rPr>
          <w:rFonts w:ascii="Palatino Linotype" w:eastAsia="Palatino Linotype" w:hAnsi="Palatino Linotype" w:cs="Palatino Linotype"/>
          <w:i/>
          <w:sz w:val="22"/>
          <w:szCs w:val="22"/>
        </w:rPr>
        <w:t xml:space="preserve">o…” El oficio finalmente dice: “Por lo anterior, con fundamento en el artículo 24 fracción VI, así como los numerales 140 fracción VII. 141 de la Ley de Transparencia y Acceso a la Información Pública del Estado de México y Municipios, se solicita al Comité de Información, la clasificación como reservada que se encuentra en el expediente CJ/CEF/320-AGO/17, y que es la siguiente:” Se omite el listado por ser largo. En este oficio de respuesta también se anexó el ACTA DE LA DÉCIMA SEXTA SESIÓN EXTRAORDINARIA DE LA SECRETARÍA DE DESARROLLO URBANO Y METROPOLITANO DEL GOBIERNO DEL ESTADO DE MÉXICO. Este documento se nombró No. de Acta: SEDUYM/CT/SE/016/2018 y en el mismo se estipula que la información requerida por el peticionario se reserva por un periodo de tres años. </w:t>
      </w:r>
      <w:r w:rsidRPr="00D7023B">
        <w:rPr>
          <w:rFonts w:ascii="Palatino Linotype" w:eastAsia="Palatino Linotype" w:hAnsi="Palatino Linotype" w:cs="Palatino Linotype"/>
          <w:b/>
          <w:i/>
          <w:sz w:val="22"/>
          <w:szCs w:val="22"/>
        </w:rPr>
        <w:t xml:space="preserve">La inconformidad se sustenta en el hecho de que en 2018 existía un documento oficial reconocido como Dictamen Único de Factibilidad en trámite correspondiente al proyecto denominado “Parque </w:t>
      </w:r>
      <w:proofErr w:type="spellStart"/>
      <w:r w:rsidRPr="00D7023B">
        <w:rPr>
          <w:rFonts w:ascii="Palatino Linotype" w:eastAsia="Palatino Linotype" w:hAnsi="Palatino Linotype" w:cs="Palatino Linotype"/>
          <w:b/>
          <w:i/>
          <w:sz w:val="22"/>
          <w:szCs w:val="22"/>
        </w:rPr>
        <w:t>Ecoturístico</w:t>
      </w:r>
      <w:proofErr w:type="spellEnd"/>
      <w:r w:rsidRPr="00D7023B">
        <w:rPr>
          <w:rFonts w:ascii="Palatino Linotype" w:eastAsia="Palatino Linotype" w:hAnsi="Palatino Linotype" w:cs="Palatino Linotype"/>
          <w:b/>
          <w:i/>
          <w:sz w:val="22"/>
          <w:szCs w:val="22"/>
        </w:rPr>
        <w:t xml:space="preserve"> El </w:t>
      </w:r>
      <w:r w:rsidRPr="00D7023B">
        <w:rPr>
          <w:rFonts w:ascii="Palatino Linotype" w:eastAsia="Palatino Linotype" w:hAnsi="Palatino Linotype" w:cs="Palatino Linotype"/>
          <w:b/>
          <w:i/>
          <w:sz w:val="22"/>
          <w:szCs w:val="22"/>
        </w:rPr>
        <w:lastRenderedPageBreak/>
        <w:t xml:space="preserve">Elefante primera etapa, segunda y obra nueva”, obra que ejecutó el H. Ayuntamiento de Ixtapaluca 2016-2018 en el interior del Cerro El Elefante, ubicado en el Pueblo de </w:t>
      </w:r>
      <w:proofErr w:type="spellStart"/>
      <w:r w:rsidRPr="00D7023B">
        <w:rPr>
          <w:rFonts w:ascii="Palatino Linotype" w:eastAsia="Palatino Linotype" w:hAnsi="Palatino Linotype" w:cs="Palatino Linotype"/>
          <w:b/>
          <w:i/>
          <w:sz w:val="22"/>
          <w:szCs w:val="22"/>
        </w:rPr>
        <w:t>Tlapacoya</w:t>
      </w:r>
      <w:proofErr w:type="spellEnd"/>
      <w:r w:rsidRPr="00D7023B">
        <w:rPr>
          <w:rFonts w:ascii="Palatino Linotype" w:eastAsia="Palatino Linotype" w:hAnsi="Palatino Linotype" w:cs="Palatino Linotype"/>
          <w:b/>
          <w:i/>
          <w:sz w:val="22"/>
          <w:szCs w:val="22"/>
        </w:rPr>
        <w:t>, Ixtapaluca, Estado de México, que el Comité de Información competente en sesión extraordinaria reservó y hoy, a casi cinco años, no existe</w:t>
      </w:r>
      <w:r w:rsidRPr="00D7023B">
        <w:rPr>
          <w:rFonts w:ascii="Palatino Linotype" w:eastAsia="Palatino Linotype" w:hAnsi="Palatino Linotype" w:cs="Palatino Linotype"/>
          <w:i/>
          <w:sz w:val="22"/>
          <w:szCs w:val="22"/>
        </w:rPr>
        <w:t>.” (Sic)</w:t>
      </w:r>
    </w:p>
    <w:p w:rsidR="00242A56" w:rsidRPr="00D7023B" w:rsidRDefault="00242A56">
      <w:pPr>
        <w:ind w:left="851" w:right="902"/>
        <w:jc w:val="both"/>
        <w:rPr>
          <w:rFonts w:ascii="Palatino Linotype" w:eastAsia="Palatino Linotype" w:hAnsi="Palatino Linotype" w:cs="Palatino Linotype"/>
          <w:i/>
          <w:sz w:val="22"/>
          <w:szCs w:val="22"/>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La parte</w:t>
      </w:r>
      <w:r w:rsidRPr="00D7023B">
        <w:rPr>
          <w:rFonts w:ascii="Palatino Linotype" w:eastAsia="Palatino Linotype" w:hAnsi="Palatino Linotype" w:cs="Palatino Linotype"/>
          <w:b/>
        </w:rPr>
        <w:t xml:space="preserve"> RECURRENTE, </w:t>
      </w:r>
      <w:r w:rsidRPr="00D7023B">
        <w:rPr>
          <w:rFonts w:ascii="Palatino Linotype" w:eastAsia="Palatino Linotype" w:hAnsi="Palatino Linotype" w:cs="Palatino Linotype"/>
        </w:rPr>
        <w:t>adjuntó a su acuse del recurso de revisión el siguiente archivo electrónico:</w:t>
      </w:r>
    </w:p>
    <w:p w:rsidR="00242A56" w:rsidRPr="00D7023B" w:rsidRDefault="00242A56">
      <w:pPr>
        <w:spacing w:line="360" w:lineRule="auto"/>
        <w:ind w:right="51"/>
        <w:jc w:val="both"/>
        <w:rPr>
          <w:rFonts w:ascii="Palatino Linotype" w:eastAsia="Palatino Linotype" w:hAnsi="Palatino Linotype" w:cs="Palatino Linotype"/>
          <w:b/>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w:t>
      </w:r>
      <w:hyperlink r:id="rId10">
        <w:r w:rsidRPr="00D7023B">
          <w:rPr>
            <w:rFonts w:ascii="Palatino Linotype" w:eastAsia="Palatino Linotype" w:hAnsi="Palatino Linotype" w:cs="Palatino Linotype"/>
          </w:rPr>
          <w:t>SAIMEX 113-1 18jun18.pdf</w:t>
        </w:r>
      </w:hyperlink>
      <w:r w:rsidRPr="00D7023B">
        <w:rPr>
          <w:rFonts w:ascii="Palatino Linotype" w:eastAsia="Palatino Linotype" w:hAnsi="Palatino Linotype" w:cs="Palatino Linotype"/>
        </w:rPr>
        <w:t>”, el cual contiene un oficio número 224020000/1715/2018, por medio del cual la Dirección General de Operación Urbana de la Secretaría de Desarrollo Urbano y Metropolitano del Estado de México, informó el Jefe de la Unidad de Información, Planeación, Programación y Evaluación también de la Secretaría de Desarrollo Urbano y Metropolitano del Estado de México, que respecto de la solicitud número 00113/SEDUM/IP/2018, en donde se requirió:</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noProof/>
          <w:lang w:val="es-MX"/>
        </w:rPr>
        <w:drawing>
          <wp:inline distT="0" distB="0" distL="0" distR="0">
            <wp:extent cx="5616767" cy="2144419"/>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7354" t="44957" r="15883" b="25498"/>
                    <a:stretch>
                      <a:fillRect/>
                    </a:stretch>
                  </pic:blipFill>
                  <pic:spPr>
                    <a:xfrm>
                      <a:off x="0" y="0"/>
                      <a:ext cx="5616767" cy="2144419"/>
                    </a:xfrm>
                    <a:prstGeom prst="rect">
                      <a:avLst/>
                    </a:prstGeom>
                    <a:ln/>
                  </pic:spPr>
                </pic:pic>
              </a:graphicData>
            </a:graphic>
          </wp:inline>
        </w:drawing>
      </w:r>
    </w:p>
    <w:p w:rsidR="00242A56" w:rsidRPr="00D7023B" w:rsidRDefault="00242A56">
      <w:pPr>
        <w:spacing w:line="360" w:lineRule="auto"/>
        <w:ind w:right="51"/>
        <w:jc w:val="both"/>
        <w:rPr>
          <w:rFonts w:ascii="Palatino Linotype" w:eastAsia="Palatino Linotype" w:hAnsi="Palatino Linotype" w:cs="Palatino Linotype"/>
          <w:b/>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 xml:space="preserve">Que derivado de la búsqueda efectuada por la Subdirección de Dictámenes Urbanos, dependiente de la Dirección General de Operación Urbana, el trámite para obtención del dictamen único de factibilidad por parte del H. Ayuntamiento se encuentra en proceso, bajo esa tesitura reservó la información por contener opiniones, recomendaciones o puntos de vista que forman parte del proceso deliberativo de los servidores públicos que intervienen en el mismo, hasta en tanto sea adoptada la decisión final y que se documente. </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Asimismo, reservó los documentos realizados por terceros y los propios que son parte inherente del proceso, pudiendo resultar que la divulgación de la información contenida en el expediente, afecte el buen curso del procedimiento del debido proceso o lesiones su término, lo que podría conllevar a una violación de los derechos inherentes de personas físicas o morales relacionadas con el mismo, debiendo conservar ese estatus de reservado hasta en tanto no se emita la decisión final, en términos del fundamento legal que señaló. </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Solicitando al Comité de Información, la clasificación como reservada que se encuentra en el expediente CJ/CEF/320-AGO/17 y que es el siguiente:</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242A56">
      <w:pPr>
        <w:spacing w:line="360" w:lineRule="auto"/>
        <w:ind w:right="51"/>
        <w:jc w:val="both"/>
      </w:pPr>
    </w:p>
    <w:p w:rsidR="00242A56" w:rsidRPr="00D7023B" w:rsidRDefault="00C07BE5">
      <w:pPr>
        <w:spacing w:line="360" w:lineRule="auto"/>
        <w:ind w:right="51"/>
        <w:jc w:val="both"/>
        <w:rPr>
          <w:rFonts w:ascii="Palatino Linotype" w:eastAsia="Palatino Linotype" w:hAnsi="Palatino Linotype" w:cs="Palatino Linotype"/>
        </w:rPr>
      </w:pPr>
      <w:r w:rsidRPr="00D7023B">
        <w:rPr>
          <w:noProof/>
          <w:lang w:val="es-MX"/>
        </w:rPr>
        <w:lastRenderedPageBreak/>
        <w:drawing>
          <wp:inline distT="0" distB="0" distL="0" distR="0">
            <wp:extent cx="5521127" cy="3593659"/>
            <wp:effectExtent l="0" t="0" r="0" b="0"/>
            <wp:docPr id="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36615" t="14667" r="11643" b="7612"/>
                    <a:stretch>
                      <a:fillRect/>
                    </a:stretch>
                  </pic:blipFill>
                  <pic:spPr>
                    <a:xfrm>
                      <a:off x="0" y="0"/>
                      <a:ext cx="5521127" cy="3593659"/>
                    </a:xfrm>
                    <a:prstGeom prst="rect">
                      <a:avLst/>
                    </a:prstGeom>
                    <a:ln/>
                  </pic:spPr>
                </pic:pic>
              </a:graphicData>
            </a:graphic>
          </wp:inline>
        </w:drawing>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4. Turno. </w:t>
      </w:r>
      <w:r w:rsidRPr="00D7023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7023B">
        <w:rPr>
          <w:rFonts w:ascii="Palatino Linotype" w:eastAsia="Palatino Linotype" w:hAnsi="Palatino Linotype" w:cs="Palatino Linotype"/>
          <w:b/>
        </w:rPr>
        <w:t xml:space="preserve">Guadalupe Ramírez Peña, </w:t>
      </w:r>
      <w:r w:rsidRPr="00D7023B">
        <w:rPr>
          <w:rFonts w:ascii="Palatino Linotype" w:eastAsia="Palatino Linotype" w:hAnsi="Palatino Linotype" w:cs="Palatino Linotype"/>
        </w:rPr>
        <w:t xml:space="preserve">a efecto de que analizara sobre su admisión o su </w:t>
      </w:r>
      <w:proofErr w:type="spellStart"/>
      <w:r w:rsidRPr="00D7023B">
        <w:rPr>
          <w:rFonts w:ascii="Palatino Linotype" w:eastAsia="Palatino Linotype" w:hAnsi="Palatino Linotype" w:cs="Palatino Linotype"/>
        </w:rPr>
        <w:t>desechamiento</w:t>
      </w:r>
      <w:proofErr w:type="spellEnd"/>
      <w:r w:rsidRPr="00D7023B">
        <w:rPr>
          <w:rFonts w:ascii="Palatino Linotype" w:eastAsia="Palatino Linotype" w:hAnsi="Palatino Linotype" w:cs="Palatino Linotype"/>
        </w:rPr>
        <w:t>.</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5. Admisión del Recurso de revisión.</w:t>
      </w:r>
      <w:r w:rsidRPr="00D7023B">
        <w:rPr>
          <w:rFonts w:ascii="Palatino Linotype" w:eastAsia="Palatino Linotype" w:hAnsi="Palatino Linotype" w:cs="Palatino Linotype"/>
        </w:rPr>
        <w:t xml:space="preserve"> Con fecha</w:t>
      </w:r>
      <w:r w:rsidRPr="00D7023B">
        <w:rPr>
          <w:rFonts w:ascii="Palatino Linotype" w:eastAsia="Palatino Linotype" w:hAnsi="Palatino Linotype" w:cs="Palatino Linotype"/>
          <w:b/>
        </w:rPr>
        <w:t xml:space="preserve"> treinta de marzo de dos mil veintitrés, </w:t>
      </w:r>
      <w:r w:rsidRPr="00D7023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D7023B">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D7023B">
        <w:rPr>
          <w:rFonts w:ascii="Palatino Linotype" w:eastAsia="Palatino Linotype" w:hAnsi="Palatino Linotype" w:cs="Palatino Linotype"/>
          <w:b/>
        </w:rPr>
        <w:t xml:space="preserve">SUJETO OBLIGADO </w:t>
      </w:r>
      <w:r w:rsidRPr="00D7023B">
        <w:rPr>
          <w:rFonts w:ascii="Palatino Linotype" w:eastAsia="Palatino Linotype" w:hAnsi="Palatino Linotype" w:cs="Palatino Linotype"/>
        </w:rPr>
        <w:t>presentara su informe justificado.</w:t>
      </w:r>
    </w:p>
    <w:p w:rsidR="00242A56" w:rsidRPr="00D7023B" w:rsidRDefault="00C07BE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6. Manifestaciones</w:t>
      </w:r>
      <w:r w:rsidRPr="00D7023B">
        <w:rPr>
          <w:rFonts w:ascii="Palatino Linotype" w:eastAsia="Palatino Linotype" w:hAnsi="Palatino Linotype" w:cs="Palatino Linotype"/>
        </w:rPr>
        <w:t xml:space="preserve">. De las constancias que integran el expediente en que se actúa se advierte que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fue omisa en presentar sus alegatos o manifestación alguna.</w: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Por su parte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en fecha diecisiete de abril del año dos mil veintitrés, remitió los siguientes archivos electrónicos:</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w:t>
      </w:r>
      <w:hyperlink r:id="rId13">
        <w:r w:rsidRPr="00D7023B">
          <w:rPr>
            <w:rFonts w:ascii="Palatino Linotype" w:eastAsia="Palatino Linotype" w:hAnsi="Palatino Linotype" w:cs="Palatino Linotype"/>
          </w:rPr>
          <w:t>Informe justificado 01679-2023.pdf</w:t>
        </w:r>
      </w:hyperlink>
      <w:r w:rsidRPr="00D7023B">
        <w:rPr>
          <w:rFonts w:ascii="Palatino Linotype" w:eastAsia="Palatino Linotype" w:hAnsi="Palatino Linotype" w:cs="Palatino Linotype"/>
        </w:rPr>
        <w:t xml:space="preserve">”, el cual contiene el informe justificado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por medio del cual informó, además de señalar los antecedentes del presente asunto como trascribir los motivos de inconformidad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lo siguiente:</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Que la Dirección General de la Comisión de Impacto Estatal, mediante oficio número 224B03010-00575/2023, informó sobre los motivos de inconformidad lo siguiente:</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242A56">
      <w:pPr>
        <w:spacing w:line="360" w:lineRule="auto"/>
        <w:jc w:val="both"/>
      </w:pP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lastRenderedPageBreak/>
        <w:drawing>
          <wp:inline distT="0" distB="0" distL="0" distR="0">
            <wp:extent cx="5454306" cy="7325036"/>
            <wp:effectExtent l="0" t="0" r="0" b="0"/>
            <wp:docPr id="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9794" t="22573" r="23169" b="12686"/>
                    <a:stretch>
                      <a:fillRect/>
                    </a:stretch>
                  </pic:blipFill>
                  <pic:spPr>
                    <a:xfrm>
                      <a:off x="0" y="0"/>
                      <a:ext cx="5454306" cy="7325036"/>
                    </a:xfrm>
                    <a:prstGeom prst="rect">
                      <a:avLst/>
                    </a:prstGeom>
                    <a:ln/>
                  </pic:spPr>
                </pic:pic>
              </a:graphicData>
            </a:graphic>
          </wp:inline>
        </w:drawing>
      </w:r>
      <w:r w:rsidRPr="00D7023B">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-76199</wp:posOffset>
                </wp:positionH>
                <wp:positionV relativeFrom="paragraph">
                  <wp:posOffset>4648200</wp:posOffset>
                </wp:positionV>
                <wp:extent cx="5507800" cy="2586471"/>
                <wp:effectExtent l="0" t="0" r="0" b="0"/>
                <wp:wrapNone/>
                <wp:docPr id="82" name="Rectángulo 82"/>
                <wp:cNvGraphicFramePr/>
                <a:graphic xmlns:a="http://schemas.openxmlformats.org/drawingml/2006/main">
                  <a:graphicData uri="http://schemas.microsoft.com/office/word/2010/wordprocessingShape">
                    <wps:wsp>
                      <wps:cNvSpPr/>
                      <wps:spPr>
                        <a:xfrm>
                          <a:off x="2596863" y="2491527"/>
                          <a:ext cx="5498275" cy="2576946"/>
                        </a:xfrm>
                        <a:prstGeom prst="rect">
                          <a:avLst/>
                        </a:prstGeom>
                        <a:noFill/>
                        <a:ln w="9525" cap="flat" cmpd="sng">
                          <a:solidFill>
                            <a:srgbClr val="4A7DBA"/>
                          </a:solidFill>
                          <a:prstDash val="solid"/>
                          <a:round/>
                          <a:headEnd type="none" w="sm" len="sm"/>
                          <a:tailEnd type="none" w="sm" len="sm"/>
                        </a:ln>
                      </wps:spPr>
                      <wps:txbx>
                        <w:txbxContent>
                          <w:p w:rsidR="007B602A" w:rsidRDefault="007B602A">
                            <w:pPr>
                              <w:textDirection w:val="btLr"/>
                            </w:pPr>
                          </w:p>
                        </w:txbxContent>
                      </wps:txbx>
                      <wps:bodyPr spcFirstLastPara="1" wrap="square" lIns="91425" tIns="91425" rIns="91425" bIns="91425" anchor="ctr" anchorCtr="0">
                        <a:noAutofit/>
                      </wps:bodyPr>
                    </wps:wsp>
                  </a:graphicData>
                </a:graphic>
              </wp:anchor>
            </w:drawing>
          </mc:Choice>
          <mc:Fallback>
            <w:pict>
              <v:rect id="Rectángulo 82" o:spid="_x0000_s1026" style="position:absolute;left:0;text-align:left;margin-left:-6pt;margin-top:366pt;width:433.7pt;height:20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" filled="f" strokecolor="#4a7dba">
                <v:stroke startarrowwidth="narrow" startarrowlength="short" endarrowwidth="narrow" endarrowlength="short" joinstyle="round"/>
                <v:textbox inset="2.53958mm,2.53958mm,2.53958mm,2.53958mm">
                  <w:txbxContent>
                    <w:p w:rsidR="007B602A" w:rsidRDefault="007B602A">
                      <w:pPr>
                        <w:textDirection w:val="btLr"/>
                      </w:pPr>
                    </w:p>
                  </w:txbxContent>
                </v:textbox>
              </v:rect>
            </w:pict>
          </mc:Fallback>
        </mc:AlternateContent>
      </w:r>
    </w:p>
    <w:p w:rsidR="00242A56" w:rsidRPr="00D7023B" w:rsidRDefault="00242A56">
      <w:pPr>
        <w:spacing w:line="360" w:lineRule="auto"/>
        <w:jc w:val="both"/>
      </w:pP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drawing>
          <wp:inline distT="0" distB="0" distL="0" distR="0">
            <wp:extent cx="5563856" cy="6928819"/>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41053" t="15988" r="24243" b="4413"/>
                    <a:stretch>
                      <a:fillRect/>
                    </a:stretch>
                  </pic:blipFill>
                  <pic:spPr>
                    <a:xfrm>
                      <a:off x="0" y="0"/>
                      <a:ext cx="5563856" cy="6928819"/>
                    </a:xfrm>
                    <a:prstGeom prst="rect">
                      <a:avLst/>
                    </a:prstGeom>
                    <a:ln/>
                  </pic:spPr>
                </pic:pic>
              </a:graphicData>
            </a:graphic>
          </wp:inline>
        </w:drawing>
      </w: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lastRenderedPageBreak/>
        <w:drawing>
          <wp:inline distT="0" distB="0" distL="0" distR="0">
            <wp:extent cx="5428477" cy="2741196"/>
            <wp:effectExtent l="0" t="0" r="0" b="0"/>
            <wp:docPr id="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40738" t="30473" r="23818" b="29823"/>
                    <a:stretch>
                      <a:fillRect/>
                    </a:stretch>
                  </pic:blipFill>
                  <pic:spPr>
                    <a:xfrm>
                      <a:off x="0" y="0"/>
                      <a:ext cx="5428477" cy="2741196"/>
                    </a:xfrm>
                    <a:prstGeom prst="rect">
                      <a:avLst/>
                    </a:prstGeom>
                    <a:ln/>
                  </pic:spPr>
                </pic:pic>
              </a:graphicData>
            </a:graphic>
          </wp:inline>
        </w:drawing>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Por su parte la Dirección General de Operación y Control Urbano, mediante oficio número 22400105000000L/1897/2023, informó en términos del fundamento legal, lo siguiente:</w:t>
      </w: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drawing>
          <wp:inline distT="0" distB="0" distL="0" distR="0">
            <wp:extent cx="5776213" cy="793670"/>
            <wp:effectExtent l="0" t="0" r="0" b="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40632" t="42323" r="24137" b="46951"/>
                    <a:stretch>
                      <a:fillRect/>
                    </a:stretch>
                  </pic:blipFill>
                  <pic:spPr>
                    <a:xfrm>
                      <a:off x="0" y="0"/>
                      <a:ext cx="5776213" cy="793670"/>
                    </a:xfrm>
                    <a:prstGeom prst="rect">
                      <a:avLst/>
                    </a:prstGeom>
                    <a:ln/>
                  </pic:spPr>
                </pic:pic>
              </a:graphicData>
            </a:graphic>
          </wp:inline>
        </w:drawing>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Sobre los motivos de inconformidad informó lo siguiente:</w: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noProof/>
          <w:lang w:val="es-MX"/>
        </w:rPr>
        <w:drawing>
          <wp:inline distT="0" distB="0" distL="0" distR="0">
            <wp:extent cx="5636034" cy="2343705"/>
            <wp:effectExtent l="0" t="0" r="0" b="0"/>
            <wp:docPr id="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36034" cy="2343705"/>
                    </a:xfrm>
                    <a:prstGeom prst="rect">
                      <a:avLst/>
                    </a:prstGeom>
                    <a:ln/>
                  </pic:spPr>
                </pic:pic>
              </a:graphicData>
            </a:graphic>
          </wp:inline>
        </w:drawing>
      </w:r>
      <w:r w:rsidRPr="00D7023B">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63501</wp:posOffset>
                </wp:positionH>
                <wp:positionV relativeFrom="paragraph">
                  <wp:posOffset>1498600</wp:posOffset>
                </wp:positionV>
                <wp:extent cx="5727494" cy="870486"/>
                <wp:effectExtent l="0" t="0" r="0" b="0"/>
                <wp:wrapNone/>
                <wp:docPr id="85" name="Rectángulo 85"/>
                <wp:cNvGraphicFramePr/>
                <a:graphic xmlns:a="http://schemas.openxmlformats.org/drawingml/2006/main">
                  <a:graphicData uri="http://schemas.microsoft.com/office/word/2010/wordprocessingShape">
                    <wps:wsp>
                      <wps:cNvSpPr/>
                      <wps:spPr>
                        <a:xfrm>
                          <a:off x="2487016" y="3349520"/>
                          <a:ext cx="5717969" cy="860961"/>
                        </a:xfrm>
                        <a:prstGeom prst="rect">
                          <a:avLst/>
                        </a:prstGeom>
                        <a:noFill/>
                        <a:ln w="9525" cap="flat" cmpd="sng">
                          <a:solidFill>
                            <a:srgbClr val="4A7DBA"/>
                          </a:solidFill>
                          <a:prstDash val="solid"/>
                          <a:round/>
                          <a:headEnd type="none" w="sm" len="sm"/>
                          <a:tailEnd type="none" w="sm" len="sm"/>
                        </a:ln>
                      </wps:spPr>
                      <wps:txbx>
                        <w:txbxContent>
                          <w:p w:rsidR="007B602A" w:rsidRDefault="007B602A">
                            <w:pPr>
                              <w:textDirection w:val="btLr"/>
                            </w:pPr>
                          </w:p>
                        </w:txbxContent>
                      </wps:txbx>
                      <wps:bodyPr spcFirstLastPara="1" wrap="square" lIns="91425" tIns="91425" rIns="91425" bIns="91425" anchor="ctr" anchorCtr="0">
                        <a:noAutofit/>
                      </wps:bodyPr>
                    </wps:wsp>
                  </a:graphicData>
                </a:graphic>
              </wp:anchor>
            </w:drawing>
          </mc:Choice>
          <mc:Fallback>
            <w:pict>
              <v:rect id="Rectángulo 85" o:spid="_x0000_s1027" style="position:absolute;left:0;text-align:left;margin-left:5pt;margin-top:118pt;width:451pt;height:6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" filled="f" strokecolor="#4a7dba">
                <v:stroke startarrowwidth="narrow" startarrowlength="short" endarrowwidth="narrow" endarrowlength="short" joinstyle="round"/>
                <v:textbox inset="2.53958mm,2.53958mm,2.53958mm,2.53958mm">
                  <w:txbxContent>
                    <w:p w:rsidR="007B602A" w:rsidRDefault="007B602A">
                      <w:pPr>
                        <w:textDirection w:val="btLr"/>
                      </w:pPr>
                    </w:p>
                  </w:txbxContent>
                </v:textbox>
              </v:rect>
            </w:pict>
          </mc:Fallback>
        </mc:AlternateConten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noProof/>
          <w:lang w:val="es-MX"/>
        </w:rPr>
        <w:lastRenderedPageBreak/>
        <w:drawing>
          <wp:inline distT="0" distB="0" distL="0" distR="0">
            <wp:extent cx="5612130" cy="1734820"/>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12130" cy="1734820"/>
                    </a:xfrm>
                    <a:prstGeom prst="rect">
                      <a:avLst/>
                    </a:prstGeom>
                    <a:ln/>
                  </pic:spPr>
                </pic:pic>
              </a:graphicData>
            </a:graphic>
          </wp:inline>
        </w:drawing>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w:t>
      </w:r>
      <w:hyperlink r:id="rId20">
        <w:r w:rsidRPr="00D7023B">
          <w:rPr>
            <w:rFonts w:ascii="Palatino Linotype" w:eastAsia="Palatino Linotype" w:hAnsi="Palatino Linotype" w:cs="Palatino Linotype"/>
          </w:rPr>
          <w:t>T. CIEEM 072-23.pdf</w:t>
        </w:r>
      </w:hyperlink>
      <w:r w:rsidRPr="00D7023B">
        <w:rPr>
          <w:rFonts w:ascii="Palatino Linotype" w:eastAsia="Palatino Linotype" w:hAnsi="Palatino Linotype" w:cs="Palatino Linotype"/>
        </w:rPr>
        <w:t>”, (anexo I), el cual contiene el oficio número SEDUO-CI-0199-2023, por medio del cual la Titular de la Unidad de Transparencia hizo el requerimiento de la información pública de la solicitud número 00072/SEDUO/IP/2023, a la Dirección General de la Comisión de Impacto Estatal, ambos de la Secretaría de Desarrollo Urbano y Obra.</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w:t>
      </w:r>
      <w:hyperlink r:id="rId21">
        <w:r w:rsidRPr="00D7023B">
          <w:rPr>
            <w:rFonts w:ascii="Palatino Linotype" w:eastAsia="Palatino Linotype" w:hAnsi="Palatino Linotype" w:cs="Palatino Linotype"/>
          </w:rPr>
          <w:t>RESP UT 072-2023 DGCIE.pdf</w:t>
        </w:r>
      </w:hyperlink>
      <w:r w:rsidRPr="00D7023B">
        <w:rPr>
          <w:rFonts w:ascii="Palatino Linotype" w:eastAsia="Palatino Linotype" w:hAnsi="Palatino Linotype" w:cs="Palatino Linotype"/>
        </w:rPr>
        <w:t xml:space="preserve">” (Anexo II), el cual contiene oficio número 224B03010-000491/2023, por medio del cual la Directora General de la Comisión de Impacto Estatal, informó que se realizó una búsqueda exhaustiva y razonable en todos los archivos de esta Comisión de Impacto Estatal, sin que se localizara antecedente de emisión del Dictamen Único de Factibilidad y/o Evaluación de Impacto Estatal a nombre del proyecto, del ejecutor o del domicilio referido en la solicitud de información que nos ocupa. </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Asimismo, se hace del conocimiento del interesado, que con la finalidad de fomentar la transparencia como un compromiso de este Sujeto Obligado con la ciudadanía, se implementó el Registro Público de Evaluación de Impacto Estatal y </w:t>
      </w:r>
      <w:r w:rsidRPr="00D7023B">
        <w:rPr>
          <w:rFonts w:ascii="Palatino Linotype" w:eastAsia="Palatino Linotype" w:hAnsi="Palatino Linotype" w:cs="Palatino Linotype"/>
        </w:rPr>
        <w:lastRenderedPageBreak/>
        <w:t>Dictamen Único de Factibilidad, mismo que podría ser consultado en la página oficial de esta Comisión o bien en la siguiente liga electrónica:</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Mediante la cual se podrá revisar lo proyectos de impacto urbano evaluados, el tipo de actividades económicas, municipios y periodos. </w:t>
      </w:r>
    </w:p>
    <w:p w:rsidR="00242A56" w:rsidRPr="00D7023B" w:rsidRDefault="00C07BE5">
      <w:pPr>
        <w:spacing w:before="240" w:after="240" w:line="360" w:lineRule="auto"/>
        <w:ind w:right="49"/>
        <w:jc w:val="both"/>
        <w:rPr>
          <w:rFonts w:ascii="Palatino Linotype" w:eastAsia="Palatino Linotype" w:hAnsi="Palatino Linotype" w:cs="Palatino Linotype"/>
          <w:b/>
        </w:rPr>
      </w:pPr>
      <w:r w:rsidRPr="00D7023B">
        <w:rPr>
          <w:rFonts w:ascii="Palatino Linotype" w:eastAsia="Palatino Linotype" w:hAnsi="Palatino Linotype" w:cs="Palatino Linotype"/>
        </w:rPr>
        <w:t>“</w:t>
      </w:r>
      <w:hyperlink r:id="rId22">
        <w:r w:rsidRPr="00D7023B">
          <w:rPr>
            <w:rFonts w:ascii="Palatino Linotype" w:eastAsia="Palatino Linotype" w:hAnsi="Palatino Linotype" w:cs="Palatino Linotype"/>
          </w:rPr>
          <w:t>UT 072-2023.pdf</w:t>
        </w:r>
      </w:hyperlink>
      <w:r w:rsidRPr="00D7023B">
        <w:rPr>
          <w:rFonts w:ascii="Palatino Linotype" w:eastAsia="Palatino Linotype" w:hAnsi="Palatino Linotype" w:cs="Palatino Linotype"/>
        </w:rPr>
        <w:t xml:space="preserve">” (Anexo III), el cual contiene el oficio número SEDUO-CI-0238-2023, por medio del cual el Titular de la Unidad de Transparencia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notificó al solicitante la respuesta otorgada por Directora General de la Comisión de Impacto Estatal.</w: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w:t>
      </w:r>
      <w:hyperlink r:id="rId23">
        <w:r w:rsidRPr="00D7023B">
          <w:rPr>
            <w:rFonts w:ascii="Palatino Linotype" w:eastAsia="Palatino Linotype" w:hAnsi="Palatino Linotype" w:cs="Palatino Linotype"/>
          </w:rPr>
          <w:t>T. RR CIEEM 072-23.pdf</w:t>
        </w:r>
      </w:hyperlink>
      <w:r w:rsidRPr="00D7023B">
        <w:rPr>
          <w:rFonts w:ascii="Palatino Linotype" w:eastAsia="Palatino Linotype" w:hAnsi="Palatino Linotype" w:cs="Palatino Linotype"/>
        </w:rPr>
        <w:t xml:space="preserve">” (Anexo IV), el cual contiene el oficio número SEDUO-CI-0321-2023, por medio del cual la Titular de la Unidad de Transparencia requirió a la Dirección General de la Comisión de Impacto Estatal, ambos de la Secretaría de Desarrollo Urbano y Obra, se manifestara conforme a su derecho convenga sobre los motivos de inconformidad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w:t>
      </w:r>
    </w:p>
    <w:p w:rsidR="00242A56" w:rsidRPr="00D7023B" w:rsidRDefault="00BB36C2">
      <w:pPr>
        <w:spacing w:line="360" w:lineRule="auto"/>
        <w:jc w:val="both"/>
        <w:rPr>
          <w:rFonts w:ascii="Palatino Linotype" w:eastAsia="Palatino Linotype" w:hAnsi="Palatino Linotype" w:cs="Palatino Linotype"/>
        </w:rPr>
      </w:pPr>
      <w:hyperlink r:id="rId24">
        <w:r w:rsidR="00C07BE5" w:rsidRPr="00D7023B">
          <w:rPr>
            <w:rFonts w:ascii="Palatino Linotype" w:eastAsia="Palatino Linotype" w:hAnsi="Palatino Linotype" w:cs="Palatino Linotype"/>
          </w:rPr>
          <w:br/>
          <w:t>“T. RR DGOCU 072-23.pdf</w:t>
        </w:r>
      </w:hyperlink>
      <w:r w:rsidR="00C07BE5" w:rsidRPr="00D7023B">
        <w:rPr>
          <w:rFonts w:ascii="Palatino Linotype" w:eastAsia="Palatino Linotype" w:hAnsi="Palatino Linotype" w:cs="Palatino Linotype"/>
        </w:rPr>
        <w:t xml:space="preserve">” (Anexo V), el cual contiene el oficio número SEDUO-CI-0302-2023, por medio del cual la Titular de la Unidad de Transparencia requirió a la Dirección General de Operación y Control Urbano, ambos de la Secretaría de Desarrollo Urbano y Obra, se manifestara conforme a su derecho convenga sobre los motivos de inconformidad de la parte </w:t>
      </w:r>
      <w:r w:rsidR="00C07BE5" w:rsidRPr="00D7023B">
        <w:rPr>
          <w:rFonts w:ascii="Palatino Linotype" w:eastAsia="Palatino Linotype" w:hAnsi="Palatino Linotype" w:cs="Palatino Linotype"/>
          <w:b/>
        </w:rPr>
        <w:t>RECURRENTE</w:t>
      </w:r>
      <w:r w:rsidR="00C07BE5" w:rsidRPr="00D7023B">
        <w:rPr>
          <w:rFonts w:ascii="Palatino Linotype" w:eastAsia="Palatino Linotype" w:hAnsi="Palatino Linotype" w:cs="Palatino Linotype"/>
        </w:rPr>
        <w:t xml:space="preserve">. </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242A56">
      <w:pPr>
        <w:spacing w:before="240" w:after="240" w:line="360" w:lineRule="auto"/>
        <w:ind w:right="49"/>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w:t>
      </w:r>
      <w:hyperlink r:id="rId25">
        <w:r w:rsidRPr="00D7023B">
          <w:rPr>
            <w:rFonts w:ascii="Palatino Linotype" w:eastAsia="Palatino Linotype" w:hAnsi="Palatino Linotype" w:cs="Palatino Linotype"/>
          </w:rPr>
          <w:t>RESP RR UT 072-2023 DGCIE.pdf</w:t>
        </w:r>
      </w:hyperlink>
      <w:r w:rsidRPr="00D7023B">
        <w:rPr>
          <w:rFonts w:ascii="Palatino Linotype" w:eastAsia="Palatino Linotype" w:hAnsi="Palatino Linotype" w:cs="Palatino Linotype"/>
        </w:rPr>
        <w:t xml:space="preserve">” (Anexo VI), el cual contiene las manifestaciones de la Dirección General de la Comisión de Impacto Estatal a los motivos de inconformidad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descritos en el archivo denominado “</w:t>
      </w:r>
      <w:hyperlink r:id="rId26">
        <w:r w:rsidRPr="00D7023B">
          <w:rPr>
            <w:rFonts w:ascii="Palatino Linotype" w:eastAsia="Palatino Linotype" w:hAnsi="Palatino Linotype" w:cs="Palatino Linotype"/>
          </w:rPr>
          <w:t>Informe justificado 01679-2023.pdf</w:t>
        </w:r>
      </w:hyperlink>
      <w:r w:rsidRPr="00D7023B">
        <w:rPr>
          <w:rFonts w:ascii="Palatino Linotype" w:eastAsia="Palatino Linotype" w:hAnsi="Palatino Linotype" w:cs="Palatino Linotype"/>
        </w:rPr>
        <w:t>”, correspondiente al informe justificado.</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w:t>
      </w:r>
      <w:hyperlink r:id="rId27">
        <w:r w:rsidRPr="00D7023B">
          <w:rPr>
            <w:rFonts w:ascii="Palatino Linotype" w:eastAsia="Palatino Linotype" w:hAnsi="Palatino Linotype" w:cs="Palatino Linotype"/>
          </w:rPr>
          <w:t>RESP RR UT 072-2023 DGCIE.pdf</w:t>
        </w:r>
      </w:hyperlink>
      <w:r w:rsidRPr="00D7023B">
        <w:rPr>
          <w:rFonts w:ascii="Palatino Linotype" w:eastAsia="Palatino Linotype" w:hAnsi="Palatino Linotype" w:cs="Palatino Linotype"/>
        </w:rPr>
        <w:t xml:space="preserve">” (Anexo VII), el cual contiene las manifestaciones de la Dirección General de Operación y Control Urbano a los motivos de inconformidad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descritos en el archivo denominado “</w:t>
      </w:r>
      <w:hyperlink r:id="rId28">
        <w:r w:rsidRPr="00D7023B">
          <w:rPr>
            <w:rFonts w:ascii="Palatino Linotype" w:eastAsia="Palatino Linotype" w:hAnsi="Palatino Linotype" w:cs="Palatino Linotype"/>
          </w:rPr>
          <w:t>Informe justificado 01679-2023.pdf</w:t>
        </w:r>
      </w:hyperlink>
      <w:r w:rsidRPr="00D7023B">
        <w:rPr>
          <w:rFonts w:ascii="Palatino Linotype" w:eastAsia="Palatino Linotype" w:hAnsi="Palatino Linotype" w:cs="Palatino Linotype"/>
        </w:rPr>
        <w:t>”, correspondiente al informe justificado.</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Archivos, que se pusieron a la vista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la parte solicitante hiciera manifestación alguna. </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widowControl w:val="0"/>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7. Ampliación del plazo.</w:t>
      </w:r>
      <w:r w:rsidRPr="00D7023B">
        <w:rPr>
          <w:rFonts w:ascii="Palatino Linotype" w:eastAsia="Palatino Linotype" w:hAnsi="Palatino Linotype" w:cs="Palatino Linotype"/>
        </w:rPr>
        <w:t xml:space="preserve"> En fecha catorce de noviembre del año dos mil veintitrés, con fundamento en el artículo 181, párrafo tercero de la Ley de Transparencia y Acceso a la Información Pública del Estado de México y Municipios, se acordó la ampliación del plazo para su resolución.</w:t>
      </w:r>
    </w:p>
    <w:p w:rsidR="00242A56" w:rsidRPr="00D7023B" w:rsidRDefault="00C07BE5">
      <w:pPr>
        <w:widowControl w:val="0"/>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D7023B">
        <w:rPr>
          <w:rFonts w:ascii="Palatino Linotype" w:eastAsia="Palatino Linotype" w:hAnsi="Palatino Linotype" w:cs="Palatino Linotype"/>
        </w:rPr>
        <w:lastRenderedPageBreak/>
        <w:t>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strike/>
        </w:rPr>
      </w:pPr>
      <w:r w:rsidRPr="00D7023B">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numPr>
          <w:ilvl w:val="0"/>
          <w:numId w:val="1"/>
        </w:numPr>
        <w:ind w:left="851"/>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42A56" w:rsidRPr="00D7023B" w:rsidRDefault="00242A56">
      <w:pPr>
        <w:ind w:left="851" w:hanging="360"/>
        <w:jc w:val="both"/>
        <w:rPr>
          <w:rFonts w:ascii="Palatino Linotype" w:eastAsia="Palatino Linotype" w:hAnsi="Palatino Linotype" w:cs="Palatino Linotype"/>
        </w:rPr>
      </w:pPr>
    </w:p>
    <w:p w:rsidR="00242A56" w:rsidRPr="00D7023B" w:rsidRDefault="00C07BE5">
      <w:pPr>
        <w:numPr>
          <w:ilvl w:val="0"/>
          <w:numId w:val="1"/>
        </w:numPr>
        <w:ind w:left="851"/>
        <w:jc w:val="both"/>
        <w:rPr>
          <w:rFonts w:ascii="Palatino Linotype" w:eastAsia="Palatino Linotype" w:hAnsi="Palatino Linotype" w:cs="Palatino Linotype"/>
        </w:rPr>
      </w:pPr>
      <w:r w:rsidRPr="00D7023B">
        <w:rPr>
          <w:rFonts w:ascii="Palatino Linotype" w:eastAsia="Palatino Linotype" w:hAnsi="Palatino Linotype" w:cs="Palatino Linotype"/>
        </w:rPr>
        <w:t>Actividad Procesal del interesado. Acciones u omisiones del interesado.</w:t>
      </w:r>
    </w:p>
    <w:p w:rsidR="00242A56" w:rsidRPr="00D7023B" w:rsidRDefault="00242A56">
      <w:pPr>
        <w:ind w:left="851" w:hanging="360"/>
        <w:jc w:val="both"/>
        <w:rPr>
          <w:rFonts w:ascii="Palatino Linotype" w:eastAsia="Palatino Linotype" w:hAnsi="Palatino Linotype" w:cs="Palatino Linotype"/>
        </w:rPr>
      </w:pPr>
    </w:p>
    <w:p w:rsidR="00242A56" w:rsidRPr="00D7023B" w:rsidRDefault="00C07BE5">
      <w:pPr>
        <w:numPr>
          <w:ilvl w:val="0"/>
          <w:numId w:val="1"/>
        </w:numPr>
        <w:ind w:left="851"/>
        <w:jc w:val="both"/>
        <w:rPr>
          <w:rFonts w:ascii="Palatino Linotype" w:eastAsia="Palatino Linotype" w:hAnsi="Palatino Linotype" w:cs="Palatino Linotype"/>
        </w:rPr>
      </w:pPr>
      <w:r w:rsidRPr="00D7023B">
        <w:rPr>
          <w:rFonts w:ascii="Palatino Linotype" w:eastAsia="Palatino Linotype" w:hAnsi="Palatino Linotype" w:cs="Palatino Linotype"/>
        </w:rPr>
        <w:t>Conducta de la Autoridad: Las Acciones u omisiones realizadas en el procedimiento. Así como si la autoridad actuó con la debida diligencia.</w:t>
      </w:r>
    </w:p>
    <w:p w:rsidR="00242A56" w:rsidRPr="00D7023B" w:rsidRDefault="00242A56">
      <w:pPr>
        <w:ind w:left="851" w:hanging="360"/>
        <w:rPr>
          <w:rFonts w:ascii="Palatino Linotype" w:eastAsia="Palatino Linotype" w:hAnsi="Palatino Linotype" w:cs="Palatino Linotype"/>
        </w:rPr>
      </w:pPr>
    </w:p>
    <w:p w:rsidR="00242A56" w:rsidRPr="00D7023B" w:rsidRDefault="00C07BE5">
      <w:pPr>
        <w:ind w:left="851" w:hanging="360"/>
        <w:jc w:val="both"/>
        <w:rPr>
          <w:rFonts w:ascii="Palatino Linotype" w:eastAsia="Palatino Linotype" w:hAnsi="Palatino Linotype" w:cs="Palatino Linotype"/>
        </w:rPr>
      </w:pPr>
      <w:r w:rsidRPr="00D7023B">
        <w:rPr>
          <w:rFonts w:ascii="Palatino Linotype" w:eastAsia="Palatino Linotype" w:hAnsi="Palatino Linotype" w:cs="Palatino Linotype"/>
        </w:rPr>
        <w:t>d) La afectación generada en la situación jurídica de la persona involucrada en el proceso: Violación a sus derechos humanos.</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b/>
        </w:rPr>
      </w:pPr>
      <w:r w:rsidRPr="00D7023B">
        <w:rPr>
          <w:rFonts w:ascii="Palatino Linotype" w:eastAsia="Palatino Linotype" w:hAnsi="Palatino Linotype" w:cs="Palatino Linotype"/>
        </w:rPr>
        <w:t>Argumento que encuentra sustento en la jurisprudencia P</w:t>
      </w:r>
      <w:proofErr w:type="gramStart"/>
      <w:r w:rsidRPr="00D7023B">
        <w:rPr>
          <w:rFonts w:ascii="Palatino Linotype" w:eastAsia="Palatino Linotype" w:hAnsi="Palatino Linotype" w:cs="Palatino Linotype"/>
        </w:rPr>
        <w:t>./</w:t>
      </w:r>
      <w:proofErr w:type="gramEnd"/>
      <w:r w:rsidRPr="00D7023B">
        <w:rPr>
          <w:rFonts w:ascii="Palatino Linotype" w:eastAsia="Palatino Linotype" w:hAnsi="Palatino Linotype" w:cs="Palatino Linotype"/>
        </w:rPr>
        <w:t xml:space="preserve">J. 32/92 emitida por el Pleno de la Suprema Corte de Justicia de la Nación de rubro </w:t>
      </w:r>
      <w:r w:rsidRPr="00D7023B">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D7023B">
        <w:rPr>
          <w:rFonts w:ascii="Palatino Linotype" w:eastAsia="Palatino Linotype" w:hAnsi="Palatino Linotype" w:cs="Palatino Linotype"/>
          <w:i/>
        </w:rPr>
        <w:lastRenderedPageBreak/>
        <w:t>CARACTERÍSTICAS DEL CASO.”</w:t>
      </w:r>
      <w:r w:rsidRPr="00D7023B">
        <w:rPr>
          <w:rFonts w:ascii="Palatino Linotype" w:eastAsia="Palatino Linotype" w:hAnsi="Palatino Linotype" w:cs="Palatino Linotype"/>
        </w:rPr>
        <w:t>, visible en la Gaceta del Seminario Judicial de la Federación con el registro digital 205635.</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 </w:t>
      </w:r>
      <w:r w:rsidRPr="00D7023B">
        <w:rPr>
          <w:rFonts w:ascii="Palatino Linotype" w:eastAsia="Palatino Linotype" w:hAnsi="Palatino Linotype" w:cs="Palatino Linotype"/>
          <w:i/>
        </w:rPr>
        <w:t>“PLAZO RAZONABLE PARA RESOLVER. DIMENSIÓN Y EFECTOS DE ESTE CONCEPTO CUANDO SE ADUCE EXCESIVA CARGA DE TRABAJO.”</w:t>
      </w:r>
      <w:r w:rsidRPr="00D7023B">
        <w:rPr>
          <w:rFonts w:ascii="Palatino Linotype" w:eastAsia="Palatino Linotype" w:hAnsi="Palatino Linotype" w:cs="Palatino Linotype"/>
        </w:rPr>
        <w:t xml:space="preserve"> consultable en el Seminario Judicial de la Federación y su gaceta, con el registro digital 2002351.</w:t>
      </w:r>
    </w:p>
    <w:p w:rsidR="00242A56" w:rsidRPr="00D7023B" w:rsidRDefault="00242A56">
      <w:pPr>
        <w:spacing w:line="360" w:lineRule="auto"/>
        <w:jc w:val="both"/>
        <w:rPr>
          <w:rFonts w:ascii="Palatino Linotype" w:eastAsia="Palatino Linotype" w:hAnsi="Palatino Linotype" w:cs="Palatino Linotype"/>
          <w:b/>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i/>
        </w:rPr>
        <w:t xml:space="preserve">“PLAZO RAZONABLE PARA RESOLVER. CONCEPTO Y ELEMENTOS QUE LO INTEGRAN A LA LUZ DEL DERECHO INTERNACIONAL DE LOS DERECHOS </w:t>
      </w:r>
      <w:r w:rsidRPr="00D7023B">
        <w:rPr>
          <w:rFonts w:ascii="Palatino Linotype" w:eastAsia="Palatino Linotype" w:hAnsi="Palatino Linotype" w:cs="Palatino Linotype"/>
          <w:i/>
        </w:rPr>
        <w:lastRenderedPageBreak/>
        <w:t>HUMANOS.”</w:t>
      </w:r>
      <w:r w:rsidRPr="00D7023B">
        <w:rPr>
          <w:rFonts w:ascii="Palatino Linotype" w:eastAsia="Palatino Linotype" w:hAnsi="Palatino Linotype" w:cs="Palatino Linotype"/>
        </w:rPr>
        <w:t>, visible en el Seminario Judicial de la Federación y su gaceta, con el registro digital 2002350.</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8. Cierre de instrucción. </w:t>
      </w:r>
      <w:r w:rsidRPr="00D7023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7023B">
        <w:rPr>
          <w:rFonts w:ascii="Palatino Linotype" w:eastAsia="Palatino Linotype" w:hAnsi="Palatino Linotype" w:cs="Palatino Linotype"/>
          <w:b/>
        </w:rPr>
        <w:t>veintiuno de noviembre de dos mil veintitrés</w:t>
      </w:r>
      <w:r w:rsidRPr="00D7023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42A56" w:rsidRPr="00D7023B" w:rsidRDefault="00C07BE5">
      <w:pPr>
        <w:widowControl w:val="0"/>
        <w:spacing w:line="360" w:lineRule="auto"/>
        <w:jc w:val="center"/>
        <w:rPr>
          <w:rFonts w:ascii="Palatino Linotype" w:eastAsia="Palatino Linotype" w:hAnsi="Palatino Linotype" w:cs="Palatino Linotype"/>
          <w:b/>
        </w:rPr>
      </w:pPr>
      <w:r w:rsidRPr="00D7023B">
        <w:rPr>
          <w:rFonts w:ascii="Palatino Linotype" w:eastAsia="Palatino Linotype" w:hAnsi="Palatino Linotype" w:cs="Palatino Linotype"/>
          <w:b/>
        </w:rPr>
        <w:t>II. C O N S I D E R A N D O S</w:t>
      </w:r>
    </w:p>
    <w:p w:rsidR="00242A56" w:rsidRPr="00D7023B" w:rsidRDefault="00242A56">
      <w:pPr>
        <w:widowControl w:val="0"/>
        <w:spacing w:line="360" w:lineRule="auto"/>
        <w:jc w:val="center"/>
        <w:rPr>
          <w:rFonts w:ascii="Palatino Linotype" w:eastAsia="Palatino Linotype" w:hAnsi="Palatino Linotype" w:cs="Palatino Linotype"/>
          <w:b/>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Primero. Competencia.</w:t>
      </w:r>
      <w:r w:rsidRPr="00D7023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D7023B">
        <w:rPr>
          <w:rFonts w:ascii="Palatino Linotype" w:eastAsia="Palatino Linotype" w:hAnsi="Palatino Linotype" w:cs="Palatino Linotype"/>
        </w:rPr>
        <w:lastRenderedPageBreak/>
        <w:t>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242A56" w:rsidRPr="00D7023B" w:rsidRDefault="00C07BE5">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7023B">
        <w:rPr>
          <w:rFonts w:ascii="Palatino Linotype" w:eastAsia="Palatino Linotype" w:hAnsi="Palatino Linotype" w:cs="Palatino Linotype"/>
          <w:b/>
        </w:rPr>
        <w:t xml:space="preserve">Segundo. Oportunidad y </w:t>
      </w:r>
      <w:proofErr w:type="spellStart"/>
      <w:r w:rsidRPr="00D7023B">
        <w:rPr>
          <w:rFonts w:ascii="Palatino Linotype" w:eastAsia="Palatino Linotype" w:hAnsi="Palatino Linotype" w:cs="Palatino Linotype"/>
          <w:b/>
        </w:rPr>
        <w:t>Procedibilidad</w:t>
      </w:r>
      <w:proofErr w:type="spellEnd"/>
      <w:r w:rsidRPr="00D7023B">
        <w:rPr>
          <w:rFonts w:ascii="Palatino Linotype" w:eastAsia="Palatino Linotype" w:hAnsi="Palatino Linotype" w:cs="Palatino Linotype"/>
          <w:b/>
        </w:rPr>
        <w:t xml:space="preserve"> del Recurso de Revisión. </w:t>
      </w:r>
      <w:r w:rsidRPr="00D7023B">
        <w:rPr>
          <w:rFonts w:ascii="Palatino Linotype" w:eastAsia="Palatino Linotype" w:hAnsi="Palatino Linotype" w:cs="Palatino Linotype"/>
        </w:rPr>
        <w:t xml:space="preserve">De conformidad con los requisitos de Oportunidad y </w:t>
      </w:r>
      <w:proofErr w:type="spellStart"/>
      <w:r w:rsidRPr="00D7023B">
        <w:rPr>
          <w:rFonts w:ascii="Palatino Linotype" w:eastAsia="Palatino Linotype" w:hAnsi="Palatino Linotype" w:cs="Palatino Linotype"/>
        </w:rPr>
        <w:t>Procedibilidad</w:t>
      </w:r>
      <w:proofErr w:type="spellEnd"/>
      <w:r w:rsidRPr="00D7023B">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emitió su respuesta a la solicitud planteada por el solicitante el quince de marzo del año dos mil veintitrés y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presentó su recurso de revisión el veintisiete de marzo del mismo año; esto es, al séptimo día hábil siguiente de aquel en que tuvo conocimiento de la respuesta; evidenciándose que la interposición del recurso se encuentra dentro de los márgenes temporales previstos en el citado precepto legal.</w:t>
      </w:r>
    </w:p>
    <w:p w:rsidR="00242A56" w:rsidRPr="00D7023B" w:rsidRDefault="00C07BE5">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Además, por cuanto hace a la </w:t>
      </w:r>
      <w:proofErr w:type="spellStart"/>
      <w:r w:rsidRPr="00D7023B">
        <w:rPr>
          <w:rFonts w:ascii="Palatino Linotype" w:eastAsia="Palatino Linotype" w:hAnsi="Palatino Linotype" w:cs="Palatino Linotype"/>
        </w:rPr>
        <w:t>procedibilidad</w:t>
      </w:r>
      <w:proofErr w:type="spellEnd"/>
      <w:r w:rsidRPr="00D7023B">
        <w:rPr>
          <w:rFonts w:ascii="Palatino Linotype" w:eastAsia="Palatino Linotype" w:hAnsi="Palatino Linotype" w:cs="Palatino Linotype"/>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D7023B">
        <w:rPr>
          <w:rFonts w:ascii="Palatino Linotype" w:eastAsia="Palatino Linotype" w:hAnsi="Palatino Linotype" w:cs="Palatino Linotype"/>
          <w:b/>
        </w:rPr>
        <w:t>EL</w:t>
      </w:r>
      <w:r w:rsidRPr="00D7023B">
        <w:rPr>
          <w:rFonts w:ascii="Palatino Linotype" w:eastAsia="Palatino Linotype" w:hAnsi="Palatino Linotype" w:cs="Palatino Linotype"/>
        </w:rPr>
        <w:t xml:space="preserve"> </w:t>
      </w:r>
      <w:r w:rsidRPr="00D7023B">
        <w:rPr>
          <w:rFonts w:ascii="Palatino Linotype" w:eastAsia="Palatino Linotype" w:hAnsi="Palatino Linotype" w:cs="Palatino Linotype"/>
          <w:b/>
        </w:rPr>
        <w:t>SAIMEX</w:t>
      </w:r>
      <w:r w:rsidRPr="00D7023B">
        <w:rPr>
          <w:rFonts w:ascii="Palatino Linotype" w:eastAsia="Palatino Linotype" w:hAnsi="Palatino Linotype" w:cs="Palatino Linotype"/>
        </w:rPr>
        <w:t>.</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rsidR="00242A56" w:rsidRPr="00D7023B" w:rsidRDefault="00C07BE5">
      <w:pPr>
        <w:ind w:left="1276" w:right="175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 xml:space="preserve">Artículo 179. </w:t>
      </w:r>
      <w:r w:rsidRPr="00D7023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242A56" w:rsidRPr="00D7023B" w:rsidRDefault="00C07BE5">
      <w:pPr>
        <w:ind w:left="1276" w:right="175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ind w:left="1276" w:right="1752"/>
        <w:jc w:val="both"/>
        <w:rPr>
          <w:rFonts w:ascii="Palatino Linotype" w:eastAsia="Palatino Linotype" w:hAnsi="Palatino Linotype" w:cs="Palatino Linotype"/>
          <w:i/>
          <w:sz w:val="22"/>
          <w:szCs w:val="22"/>
        </w:rPr>
      </w:pPr>
      <w:r w:rsidRPr="00D7023B">
        <w:t>I</w:t>
      </w:r>
      <w:r w:rsidRPr="00D7023B">
        <w:rPr>
          <w:rFonts w:ascii="Palatino Linotype" w:eastAsia="Palatino Linotype" w:hAnsi="Palatino Linotype" w:cs="Palatino Linotype"/>
          <w:i/>
          <w:sz w:val="22"/>
          <w:szCs w:val="22"/>
        </w:rPr>
        <w:t>. La negativa de la información solicitada…” (Sic)</w:t>
      </w:r>
    </w:p>
    <w:p w:rsidR="00242A56" w:rsidRPr="00D7023B" w:rsidRDefault="00C07BE5">
      <w:pPr>
        <w:spacing w:before="280" w:after="28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Tercero. Materia de Revisión</w:t>
      </w:r>
      <w:r w:rsidRPr="00D7023B">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D7023B">
        <w:rPr>
          <w:rFonts w:ascii="Palatino Linotype" w:eastAsia="Palatino Linotype" w:hAnsi="Palatino Linotype" w:cs="Palatino Linotype"/>
          <w:b/>
        </w:rPr>
        <w:t xml:space="preserve">verificar si la respuesta como informe justificado otorgados por el SUJETO OBLIGADO es adecuada y suficiente para satisfacer el derecho de acceso a la información pública </w:t>
      </w:r>
      <w:r w:rsidRPr="00D7023B">
        <w:rPr>
          <w:rFonts w:ascii="Palatino Linotype" w:eastAsia="Palatino Linotype" w:hAnsi="Palatino Linotype" w:cs="Palatino Linotype"/>
        </w:rPr>
        <w:t xml:space="preserve">del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o en su defecto, en caso de ser procedente, ordenar la entrega de información.</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Cuarto. Estudio de fondo del asunto. </w:t>
      </w:r>
      <w:r w:rsidRPr="00D7023B">
        <w:rPr>
          <w:rFonts w:ascii="Palatino Linotype" w:eastAsia="Palatino Linotype" w:hAnsi="Palatino Linotype" w:cs="Palatino Linotype"/>
        </w:rPr>
        <w:t xml:space="preserve">Es conveniente analizar si la respuesta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42A56" w:rsidRPr="00D7023B" w:rsidRDefault="00C07BE5">
      <w:pPr>
        <w:spacing w:before="240"/>
        <w:ind w:left="709" w:right="7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lastRenderedPageBreak/>
        <w:t>“</w:t>
      </w:r>
      <w:r w:rsidRPr="00D7023B">
        <w:rPr>
          <w:rFonts w:ascii="Palatino Linotype" w:eastAsia="Palatino Linotype" w:hAnsi="Palatino Linotype" w:cs="Palatino Linotype"/>
          <w:b/>
          <w:i/>
          <w:sz w:val="22"/>
          <w:szCs w:val="22"/>
        </w:rPr>
        <w:t>Artículo 4</w:t>
      </w:r>
      <w:r w:rsidRPr="00D7023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42A56" w:rsidRPr="00D7023B" w:rsidRDefault="00C07BE5">
      <w:pPr>
        <w:ind w:left="709" w:right="7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7023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42A56" w:rsidRPr="00D7023B" w:rsidRDefault="00C07BE5">
      <w:pPr>
        <w:ind w:left="709" w:right="7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7023B">
        <w:rPr>
          <w:rFonts w:ascii="Palatino Linotype" w:eastAsia="Palatino Linotype" w:hAnsi="Palatino Linotype" w:cs="Palatino Linotype"/>
          <w:i/>
          <w:sz w:val="22"/>
          <w:szCs w:val="22"/>
        </w:rPr>
        <w:t>.”(Sic)</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“Artículo 12.-</w:t>
      </w:r>
      <w:r w:rsidRPr="00D7023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42A56" w:rsidRPr="00D7023B" w:rsidRDefault="00242A56">
      <w:pPr>
        <w:ind w:left="567" w:right="758"/>
        <w:jc w:val="both"/>
        <w:rPr>
          <w:rFonts w:ascii="Palatino Linotype" w:eastAsia="Palatino Linotype" w:hAnsi="Palatino Linotype" w:cs="Palatino Linotype"/>
          <w:i/>
          <w:sz w:val="22"/>
          <w:szCs w:val="22"/>
        </w:rPr>
      </w:pP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D7023B">
        <w:rPr>
          <w:rFonts w:ascii="Palatino Linotype" w:eastAsia="Palatino Linotype" w:hAnsi="Palatino Linotype" w:cs="Palatino Linotype"/>
          <w:b/>
          <w:i/>
          <w:sz w:val="22"/>
          <w:szCs w:val="22"/>
        </w:rPr>
        <w:lastRenderedPageBreak/>
        <w:t>obligados a generarla, resumirla, efectuar cálculos o practicar investigaciones.” (Sic)</w:t>
      </w:r>
    </w:p>
    <w:p w:rsidR="00242A56" w:rsidRPr="00D7023B" w:rsidRDefault="00242A56">
      <w:pPr>
        <w:spacing w:line="360" w:lineRule="auto"/>
        <w:ind w:right="-93"/>
        <w:jc w:val="both"/>
        <w:rPr>
          <w:rFonts w:ascii="Palatino Linotype" w:eastAsia="Palatino Linotype" w:hAnsi="Palatino Linotype" w:cs="Palatino Linotype"/>
        </w:rPr>
      </w:pPr>
    </w:p>
    <w:p w:rsidR="00242A56" w:rsidRPr="00D7023B" w:rsidRDefault="00C07BE5">
      <w:pPr>
        <w:spacing w:line="360" w:lineRule="auto"/>
        <w:ind w:right="-93"/>
        <w:jc w:val="both"/>
        <w:rPr>
          <w:rFonts w:ascii="Palatino Linotype" w:eastAsia="Palatino Linotype" w:hAnsi="Palatino Linotype" w:cs="Palatino Linotype"/>
        </w:rPr>
      </w:pPr>
      <w:r w:rsidRPr="00D7023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242A56" w:rsidRPr="00D7023B" w:rsidRDefault="00242A56">
      <w:pPr>
        <w:spacing w:line="360" w:lineRule="auto"/>
        <w:ind w:right="-93"/>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b/>
        </w:rPr>
      </w:pPr>
      <w:r w:rsidRPr="00D7023B">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7023B">
        <w:rPr>
          <w:rFonts w:ascii="Palatino Linotype" w:eastAsia="Palatino Linotype" w:hAnsi="Palatino Linotype" w:cs="Palatino Linotype"/>
          <w:b/>
        </w:rPr>
        <w:t xml:space="preserve"> </w:t>
      </w:r>
    </w:p>
    <w:p w:rsidR="00242A56" w:rsidRPr="00D7023B" w:rsidRDefault="00242A56">
      <w:pPr>
        <w:ind w:left="851" w:right="850"/>
        <w:jc w:val="both"/>
        <w:rPr>
          <w:rFonts w:ascii="Palatino Linotype" w:eastAsia="Palatino Linotype" w:hAnsi="Palatino Linotype" w:cs="Palatino Linotype"/>
        </w:rPr>
      </w:pPr>
    </w:p>
    <w:p w:rsidR="00242A56" w:rsidRPr="00D7023B" w:rsidRDefault="00C07BE5">
      <w:pPr>
        <w:ind w:left="851" w:right="90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No existe obligación de elaborar documentos ad hoc para atender las solicitudes de acceso a la información.</w:t>
      </w:r>
      <w:r w:rsidRPr="00D7023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42A56" w:rsidRPr="00D7023B" w:rsidRDefault="00C07BE5">
      <w:pPr>
        <w:ind w:left="851" w:right="90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Resoluciones: </w:t>
      </w:r>
    </w:p>
    <w:p w:rsidR="00242A56" w:rsidRPr="00D7023B" w:rsidRDefault="00C07BE5">
      <w:pPr>
        <w:ind w:left="851" w:right="901"/>
        <w:jc w:val="both"/>
        <w:rPr>
          <w:rFonts w:ascii="Palatino Linotype" w:eastAsia="Palatino Linotype" w:hAnsi="Palatino Linotype" w:cs="Palatino Linotype"/>
          <w:i/>
          <w:sz w:val="22"/>
          <w:szCs w:val="22"/>
        </w:rPr>
      </w:pPr>
      <w:r w:rsidRPr="00D7023B">
        <w:rPr>
          <w:rFonts w:ascii="Noto Sans Symbols" w:eastAsia="Noto Sans Symbols" w:hAnsi="Noto Sans Symbols" w:cs="Noto Sans Symbols"/>
          <w:i/>
          <w:sz w:val="22"/>
          <w:szCs w:val="22"/>
        </w:rPr>
        <w:t>∙</w:t>
      </w:r>
      <w:r w:rsidRPr="00D7023B">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242A56" w:rsidRPr="00D7023B" w:rsidRDefault="00C07BE5">
      <w:pPr>
        <w:ind w:left="851" w:right="901"/>
        <w:jc w:val="both"/>
        <w:rPr>
          <w:rFonts w:ascii="Palatino Linotype" w:eastAsia="Palatino Linotype" w:hAnsi="Palatino Linotype" w:cs="Palatino Linotype"/>
          <w:i/>
          <w:sz w:val="22"/>
          <w:szCs w:val="22"/>
        </w:rPr>
      </w:pPr>
      <w:r w:rsidRPr="00D7023B">
        <w:rPr>
          <w:rFonts w:ascii="Noto Sans Symbols" w:eastAsia="Noto Sans Symbols" w:hAnsi="Noto Sans Symbols" w:cs="Noto Sans Symbols"/>
          <w:i/>
          <w:sz w:val="22"/>
          <w:szCs w:val="22"/>
        </w:rPr>
        <w:t>∙</w:t>
      </w:r>
      <w:r w:rsidRPr="00D7023B">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242A56" w:rsidRPr="00D7023B" w:rsidRDefault="00C07BE5">
      <w:pPr>
        <w:ind w:left="851" w:right="901"/>
        <w:jc w:val="both"/>
        <w:rPr>
          <w:rFonts w:ascii="Palatino Linotype" w:eastAsia="Palatino Linotype" w:hAnsi="Palatino Linotype" w:cs="Palatino Linotype"/>
          <w:i/>
          <w:sz w:val="22"/>
          <w:szCs w:val="22"/>
        </w:rPr>
      </w:pPr>
      <w:r w:rsidRPr="00D7023B">
        <w:rPr>
          <w:rFonts w:ascii="Noto Sans Symbols" w:eastAsia="Noto Sans Symbols" w:hAnsi="Noto Sans Symbols" w:cs="Noto Sans Symbols"/>
          <w:i/>
          <w:sz w:val="22"/>
          <w:szCs w:val="22"/>
        </w:rPr>
        <w:lastRenderedPageBreak/>
        <w:t>∙</w:t>
      </w:r>
      <w:r w:rsidRPr="00D7023B">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242A56" w:rsidRPr="00D7023B" w:rsidRDefault="00242A56">
      <w:pPr>
        <w:spacing w:line="360" w:lineRule="auto"/>
        <w:ind w:right="-93"/>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42A56" w:rsidRPr="00D7023B" w:rsidRDefault="00242A56">
      <w:pPr>
        <w:spacing w:line="360" w:lineRule="auto"/>
        <w:ind w:right="49"/>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D7023B">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242A56" w:rsidRPr="00D7023B" w:rsidRDefault="00242A56">
      <w:pPr>
        <w:ind w:left="851" w:right="899"/>
        <w:jc w:val="both"/>
        <w:rPr>
          <w:rFonts w:ascii="Palatino Linotype" w:eastAsia="Palatino Linotype" w:hAnsi="Palatino Linotype" w:cs="Palatino Linotype"/>
          <w:i/>
          <w:sz w:val="22"/>
          <w:szCs w:val="22"/>
        </w:rPr>
      </w:pPr>
    </w:p>
    <w:p w:rsidR="00242A56" w:rsidRPr="00D7023B" w:rsidRDefault="00C07BE5">
      <w:pPr>
        <w:ind w:left="851" w:right="89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 xml:space="preserve">Artículo 3. </w:t>
      </w:r>
      <w:r w:rsidRPr="00D7023B">
        <w:rPr>
          <w:rFonts w:ascii="Palatino Linotype" w:eastAsia="Palatino Linotype" w:hAnsi="Palatino Linotype" w:cs="Palatino Linotype"/>
          <w:i/>
          <w:sz w:val="22"/>
          <w:szCs w:val="22"/>
        </w:rPr>
        <w:t>Para los efectos de la presente Ley se entenderá por:</w:t>
      </w:r>
    </w:p>
    <w:p w:rsidR="00242A56" w:rsidRPr="00D7023B" w:rsidRDefault="00C07BE5">
      <w:pPr>
        <w:ind w:left="851" w:right="89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ind w:left="851" w:right="89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XI. Documento:</w:t>
      </w:r>
      <w:r w:rsidRPr="00D7023B">
        <w:rPr>
          <w:rFonts w:ascii="Palatino Linotype" w:eastAsia="Palatino Linotype" w:hAnsi="Palatino Linotype" w:cs="Palatino Linotype"/>
          <w:i/>
          <w:sz w:val="22"/>
          <w:szCs w:val="22"/>
        </w:rPr>
        <w:t xml:space="preserve"> Los expedientes, reportes, estudios, actas</w:t>
      </w:r>
      <w:r w:rsidRPr="00D7023B">
        <w:rPr>
          <w:rFonts w:ascii="Palatino Linotype" w:eastAsia="Palatino Linotype" w:hAnsi="Palatino Linotype" w:cs="Palatino Linotype"/>
          <w:b/>
          <w:i/>
          <w:sz w:val="22"/>
          <w:szCs w:val="22"/>
        </w:rPr>
        <w:t>,</w:t>
      </w:r>
      <w:r w:rsidRPr="00D7023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42A56" w:rsidRPr="00D7023B" w:rsidRDefault="00242A56">
      <w:pPr>
        <w:ind w:left="851" w:right="899"/>
        <w:jc w:val="both"/>
        <w:rPr>
          <w:rFonts w:ascii="Palatino Linotype" w:eastAsia="Palatino Linotype" w:hAnsi="Palatino Linotype" w:cs="Palatino Linotype"/>
          <w:sz w:val="22"/>
          <w:szCs w:val="22"/>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42A56" w:rsidRPr="00D7023B" w:rsidRDefault="00242A56">
      <w:pPr>
        <w:ind w:left="851" w:right="899"/>
        <w:jc w:val="both"/>
        <w:rPr>
          <w:rFonts w:ascii="Palatino Linotype" w:eastAsia="Palatino Linotype" w:hAnsi="Palatino Linotype" w:cs="Palatino Linotype"/>
        </w:rPr>
      </w:pPr>
    </w:p>
    <w:p w:rsidR="00242A56" w:rsidRPr="00D7023B" w:rsidRDefault="00C07BE5">
      <w:pPr>
        <w:ind w:left="851" w:right="899"/>
        <w:jc w:val="both"/>
        <w:rPr>
          <w:rFonts w:ascii="Palatino Linotype" w:eastAsia="Palatino Linotype" w:hAnsi="Palatino Linotype" w:cs="Palatino Linotype"/>
          <w:b/>
          <w:i/>
          <w:sz w:val="22"/>
          <w:szCs w:val="22"/>
        </w:rPr>
      </w:pPr>
      <w:r w:rsidRPr="00D7023B">
        <w:rPr>
          <w:rFonts w:ascii="Palatino Linotype" w:eastAsia="Palatino Linotype" w:hAnsi="Palatino Linotype" w:cs="Palatino Linotype"/>
          <w:b/>
          <w:sz w:val="22"/>
          <w:szCs w:val="22"/>
        </w:rPr>
        <w:t>“</w:t>
      </w:r>
      <w:r w:rsidRPr="00D7023B">
        <w:rPr>
          <w:rFonts w:ascii="Palatino Linotype" w:eastAsia="Palatino Linotype" w:hAnsi="Palatino Linotype" w:cs="Palatino Linotype"/>
          <w:b/>
          <w:i/>
          <w:sz w:val="22"/>
          <w:szCs w:val="22"/>
        </w:rPr>
        <w:t>CRITERIO 0002-11</w:t>
      </w:r>
    </w:p>
    <w:p w:rsidR="00242A56" w:rsidRPr="00D7023B" w:rsidRDefault="00C07BE5">
      <w:pPr>
        <w:ind w:left="851" w:right="89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7023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42A56" w:rsidRPr="00D7023B" w:rsidRDefault="00C07BE5">
      <w:pPr>
        <w:ind w:left="851" w:right="89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42A56" w:rsidRPr="00D7023B" w:rsidRDefault="00C07BE5">
      <w:pPr>
        <w:ind w:left="851" w:right="89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42A56" w:rsidRPr="00D7023B" w:rsidRDefault="00C07BE5">
      <w:pPr>
        <w:ind w:left="851" w:right="899"/>
        <w:jc w:val="both"/>
        <w:rPr>
          <w:rFonts w:ascii="Palatino Linotype" w:eastAsia="Palatino Linotype" w:hAnsi="Palatino Linotype" w:cs="Palatino Linotype"/>
          <w:b/>
          <w:i/>
          <w:sz w:val="22"/>
          <w:szCs w:val="22"/>
        </w:rPr>
      </w:pPr>
      <w:r w:rsidRPr="00D7023B">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rsidR="00242A56" w:rsidRPr="00D7023B" w:rsidRDefault="00C07BE5">
      <w:pPr>
        <w:ind w:left="851" w:right="899"/>
        <w:jc w:val="both"/>
        <w:rPr>
          <w:rFonts w:ascii="Palatino Linotype" w:eastAsia="Palatino Linotype" w:hAnsi="Palatino Linotype" w:cs="Palatino Linotype"/>
          <w:b/>
          <w:i/>
          <w:sz w:val="22"/>
          <w:szCs w:val="22"/>
        </w:rPr>
      </w:pPr>
      <w:r w:rsidRPr="00D7023B">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 la Secretaría de Desarrollo Urbano y Obra, respecto del</w:t>
      </w:r>
      <w:r w:rsidRPr="00D7023B">
        <w:rPr>
          <w:rFonts w:ascii="Verdana" w:eastAsia="Verdana" w:hAnsi="Verdana" w:cs="Verdana"/>
          <w:sz w:val="14"/>
          <w:szCs w:val="14"/>
        </w:rPr>
        <w:t xml:space="preserve"> </w:t>
      </w:r>
      <w:r w:rsidRPr="00D7023B">
        <w:rPr>
          <w:rFonts w:ascii="Palatino Linotype" w:eastAsia="Palatino Linotype" w:hAnsi="Palatino Linotype" w:cs="Palatino Linotype"/>
        </w:rPr>
        <w:t xml:space="preserve">proyecto denominado "Parque </w:t>
      </w:r>
      <w:proofErr w:type="spellStart"/>
      <w:r w:rsidRPr="00D7023B">
        <w:rPr>
          <w:rFonts w:ascii="Palatino Linotype" w:eastAsia="Palatino Linotype" w:hAnsi="Palatino Linotype" w:cs="Palatino Linotype"/>
        </w:rPr>
        <w:t>Ecoturístico</w:t>
      </w:r>
      <w:proofErr w:type="spellEnd"/>
      <w:r w:rsidRPr="00D7023B">
        <w:rPr>
          <w:rFonts w:ascii="Palatino Linotype" w:eastAsia="Palatino Linotype" w:hAnsi="Palatino Linotype" w:cs="Palatino Linotype"/>
        </w:rPr>
        <w:t xml:space="preserve"> El Elefante primera etapa, segunda etapa y obra nueva", obra que ejecutó el H. Ayuntamiento de Ixtapaluca 2016-2018 en el interior del Cerro El Elefante, ubicado en el Pueblo de </w:t>
      </w:r>
      <w:proofErr w:type="spellStart"/>
      <w:r w:rsidRPr="00D7023B">
        <w:rPr>
          <w:rFonts w:ascii="Palatino Linotype" w:eastAsia="Palatino Linotype" w:hAnsi="Palatino Linotype" w:cs="Palatino Linotype"/>
        </w:rPr>
        <w:t>Tlapacoya</w:t>
      </w:r>
      <w:proofErr w:type="spellEnd"/>
      <w:r w:rsidRPr="00D7023B">
        <w:rPr>
          <w:rFonts w:ascii="Palatino Linotype" w:eastAsia="Palatino Linotype" w:hAnsi="Palatino Linotype" w:cs="Palatino Linotype"/>
        </w:rPr>
        <w:t>, Ixtapaluca, Estado de México, lo siguiente:</w:t>
      </w:r>
    </w:p>
    <w:p w:rsidR="00242A56" w:rsidRPr="00D7023B" w:rsidRDefault="00C07BE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D7023B">
        <w:rPr>
          <w:rFonts w:ascii="Palatino Linotype" w:eastAsia="Palatino Linotype" w:hAnsi="Palatino Linotype" w:cs="Palatino Linotype"/>
          <w:b/>
          <w:u w:val="single"/>
        </w:rPr>
        <w:t>Copia del Dictamen Único de Factibilidad.</w:t>
      </w:r>
    </w:p>
    <w:p w:rsidR="00242A56" w:rsidRPr="00D7023B" w:rsidRDefault="00C07BE5">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u w:val="single"/>
        </w:rPr>
      </w:pPr>
      <w:r w:rsidRPr="00D7023B">
        <w:rPr>
          <w:rFonts w:ascii="Palatino Linotype" w:eastAsia="Palatino Linotype" w:hAnsi="Palatino Linotype" w:cs="Palatino Linotype"/>
          <w:b/>
          <w:u w:val="single"/>
        </w:rPr>
        <w:t>Copia de toda la documentación anexa que presentó el Ayuntamiento para el trámite referido.</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respuesta, el </w:t>
      </w:r>
      <w:r w:rsidRPr="00D7023B">
        <w:rPr>
          <w:rFonts w:ascii="Palatino Linotype" w:eastAsia="Palatino Linotype" w:hAnsi="Palatino Linotype" w:cs="Palatino Linotype"/>
          <w:b/>
        </w:rPr>
        <w:t xml:space="preserve">SUJETO OBLIGADO </w:t>
      </w:r>
      <w:r w:rsidRPr="00D7023B">
        <w:rPr>
          <w:rFonts w:ascii="Palatino Linotype" w:eastAsia="Palatino Linotype" w:hAnsi="Palatino Linotype" w:cs="Palatino Linotype"/>
        </w:rPr>
        <w:t xml:space="preserve">a través de su Directora General de la Comisión de Impacto Estatal, informó que se realizó una búsqueda exhaustiva y razonable en todos los archivos de esta Comisión de Impacto Estatal, sin que se localizara antecedente de emisión del Dictamen Único de Factibilidad y/o Evaluación de Impacto Estatal a nombre del proyecto, del ejecutor o del domicilio referido en la solicitud de información que nos ocupa. </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Asimismo, se hace del conocimiento del interesado, que con la finalidad de fomentar la transparencia como un compromiso de este Sujeto Obligado con la </w:t>
      </w:r>
      <w:r w:rsidRPr="00D7023B">
        <w:rPr>
          <w:rFonts w:ascii="Palatino Linotype" w:eastAsia="Palatino Linotype" w:hAnsi="Palatino Linotype" w:cs="Palatino Linotype"/>
        </w:rPr>
        <w:lastRenderedPageBreak/>
        <w:t>ciudadanía, se implementó el Registro Público de Evaluación de Impacto Estatal y Dictamen Único de Factibilidad, mismo que podría ser consultado en la página oficial de esta Comisión o bien en la siguiente liga electrónica:</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https://coime.edomex.gob.mx/sis2/portal_registro_publico/inicio</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Mediante la cual se podrá revisar lo proyectos de impacto urbano evaluados, el tipo de actividades económicas, municipios y periodos. </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No conforme con la respuesta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interpuso el recurso de revisión que se analiza en el presente asunto, por medio del cual se inconformó en lo medular porque la negativa de la información solicitada.</w: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Ante la interposición del recurso de revisión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rindió su informe justificado, a través la Dirección General de la Comisión de Impacto Estatal, informó sobre los motivos de inconformidad lo siguiente:</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242A56">
      <w:pPr>
        <w:spacing w:line="360" w:lineRule="auto"/>
        <w:jc w:val="both"/>
      </w:pP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lastRenderedPageBreak/>
        <w:drawing>
          <wp:inline distT="0" distB="0" distL="0" distR="0">
            <wp:extent cx="5454306" cy="7325036"/>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9794" t="22573" r="23169" b="12686"/>
                    <a:stretch>
                      <a:fillRect/>
                    </a:stretch>
                  </pic:blipFill>
                  <pic:spPr>
                    <a:xfrm>
                      <a:off x="0" y="0"/>
                      <a:ext cx="5454306" cy="7325036"/>
                    </a:xfrm>
                    <a:prstGeom prst="rect">
                      <a:avLst/>
                    </a:prstGeom>
                    <a:ln/>
                  </pic:spPr>
                </pic:pic>
              </a:graphicData>
            </a:graphic>
          </wp:inline>
        </w:drawing>
      </w:r>
      <w:r w:rsidRPr="00D7023B">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-76199</wp:posOffset>
                </wp:positionH>
                <wp:positionV relativeFrom="paragraph">
                  <wp:posOffset>4648200</wp:posOffset>
                </wp:positionV>
                <wp:extent cx="5507800" cy="2586471"/>
                <wp:effectExtent l="0" t="0" r="0" b="0"/>
                <wp:wrapNone/>
                <wp:docPr id="84" name="Rectángulo 84"/>
                <wp:cNvGraphicFramePr/>
                <a:graphic xmlns:a="http://schemas.openxmlformats.org/drawingml/2006/main">
                  <a:graphicData uri="http://schemas.microsoft.com/office/word/2010/wordprocessingShape">
                    <wps:wsp>
                      <wps:cNvSpPr/>
                      <wps:spPr>
                        <a:xfrm>
                          <a:off x="2596863" y="2491527"/>
                          <a:ext cx="5498275" cy="2576946"/>
                        </a:xfrm>
                        <a:prstGeom prst="rect">
                          <a:avLst/>
                        </a:prstGeom>
                        <a:noFill/>
                        <a:ln w="9525" cap="flat" cmpd="sng">
                          <a:solidFill>
                            <a:srgbClr val="4A7DBA"/>
                          </a:solidFill>
                          <a:prstDash val="solid"/>
                          <a:round/>
                          <a:headEnd type="none" w="sm" len="sm"/>
                          <a:tailEnd type="none" w="sm" len="sm"/>
                        </a:ln>
                      </wps:spPr>
                      <wps:txbx>
                        <w:txbxContent>
                          <w:p w:rsidR="007B602A" w:rsidRDefault="007B602A">
                            <w:pPr>
                              <w:textDirection w:val="btLr"/>
                            </w:pPr>
                          </w:p>
                        </w:txbxContent>
                      </wps:txbx>
                      <wps:bodyPr spcFirstLastPara="1" wrap="square" lIns="91425" tIns="91425" rIns="91425" bIns="91425" anchor="ctr" anchorCtr="0">
                        <a:noAutofit/>
                      </wps:bodyPr>
                    </wps:wsp>
                  </a:graphicData>
                </a:graphic>
              </wp:anchor>
            </w:drawing>
          </mc:Choice>
          <mc:Fallback>
            <w:pict>
              <v:rect id="Rectángulo 84" o:spid="_x0000_s1028" style="position:absolute;left:0;text-align:left;margin-left:-6pt;margin-top:366pt;width:433.7pt;height:20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" filled="f" strokecolor="#4a7dba">
                <v:stroke startarrowwidth="narrow" startarrowlength="short" endarrowwidth="narrow" endarrowlength="short" joinstyle="round"/>
                <v:textbox inset="2.53958mm,2.53958mm,2.53958mm,2.53958mm">
                  <w:txbxContent>
                    <w:p w:rsidR="007B602A" w:rsidRDefault="007B602A">
                      <w:pPr>
                        <w:textDirection w:val="btLr"/>
                      </w:pPr>
                    </w:p>
                  </w:txbxContent>
                </v:textbox>
              </v:rect>
            </w:pict>
          </mc:Fallback>
        </mc:AlternateContent>
      </w:r>
    </w:p>
    <w:p w:rsidR="00242A56" w:rsidRPr="00D7023B" w:rsidRDefault="00242A56">
      <w:pPr>
        <w:spacing w:line="360" w:lineRule="auto"/>
        <w:jc w:val="both"/>
      </w:pP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drawing>
          <wp:inline distT="0" distB="0" distL="0" distR="0">
            <wp:extent cx="5563856" cy="6928819"/>
            <wp:effectExtent l="0" t="0" r="0" b="0"/>
            <wp:docPr id="1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41053" t="15988" r="24243" b="4413"/>
                    <a:stretch>
                      <a:fillRect/>
                    </a:stretch>
                  </pic:blipFill>
                  <pic:spPr>
                    <a:xfrm>
                      <a:off x="0" y="0"/>
                      <a:ext cx="5563856" cy="6928819"/>
                    </a:xfrm>
                    <a:prstGeom prst="rect">
                      <a:avLst/>
                    </a:prstGeom>
                    <a:ln/>
                  </pic:spPr>
                </pic:pic>
              </a:graphicData>
            </a:graphic>
          </wp:inline>
        </w:drawing>
      </w: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lastRenderedPageBreak/>
        <w:drawing>
          <wp:inline distT="0" distB="0" distL="0" distR="0">
            <wp:extent cx="5428477" cy="2741196"/>
            <wp:effectExtent l="0" t="0" r="0" b="0"/>
            <wp:docPr id="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40738" t="30473" r="23818" b="29823"/>
                    <a:stretch>
                      <a:fillRect/>
                    </a:stretch>
                  </pic:blipFill>
                  <pic:spPr>
                    <a:xfrm>
                      <a:off x="0" y="0"/>
                      <a:ext cx="5428477" cy="2741196"/>
                    </a:xfrm>
                    <a:prstGeom prst="rect">
                      <a:avLst/>
                    </a:prstGeom>
                    <a:ln/>
                  </pic:spPr>
                </pic:pic>
              </a:graphicData>
            </a:graphic>
          </wp:inline>
        </w:drawing>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Por su parte la Dirección General de Operación y Control Urbano, informó en términos del fundamento legal, lo siguiente:</w:t>
      </w:r>
    </w:p>
    <w:p w:rsidR="00242A56" w:rsidRPr="00D7023B" w:rsidRDefault="00C07BE5">
      <w:pPr>
        <w:spacing w:line="360" w:lineRule="auto"/>
        <w:jc w:val="both"/>
        <w:rPr>
          <w:rFonts w:ascii="Palatino Linotype" w:eastAsia="Palatino Linotype" w:hAnsi="Palatino Linotype" w:cs="Palatino Linotype"/>
        </w:rPr>
      </w:pPr>
      <w:r w:rsidRPr="00D7023B">
        <w:rPr>
          <w:noProof/>
          <w:lang w:val="es-MX"/>
        </w:rPr>
        <w:drawing>
          <wp:inline distT="0" distB="0" distL="0" distR="0">
            <wp:extent cx="5776213" cy="793670"/>
            <wp:effectExtent l="0" t="0" r="0" b="0"/>
            <wp:docPr id="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40632" t="42323" r="24137" b="46951"/>
                    <a:stretch>
                      <a:fillRect/>
                    </a:stretch>
                  </pic:blipFill>
                  <pic:spPr>
                    <a:xfrm>
                      <a:off x="0" y="0"/>
                      <a:ext cx="5776213" cy="793670"/>
                    </a:xfrm>
                    <a:prstGeom prst="rect">
                      <a:avLst/>
                    </a:prstGeom>
                    <a:ln/>
                  </pic:spPr>
                </pic:pic>
              </a:graphicData>
            </a:graphic>
          </wp:inline>
        </w:drawing>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Sobre los motivos de inconformidad informó lo siguiente:</w: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noProof/>
          <w:lang w:val="es-MX"/>
        </w:rPr>
        <w:drawing>
          <wp:inline distT="0" distB="0" distL="0" distR="0">
            <wp:extent cx="5636034" cy="2343705"/>
            <wp:effectExtent l="0" t="0" r="0" b="0"/>
            <wp:docPr id="1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36034" cy="2343705"/>
                    </a:xfrm>
                    <a:prstGeom prst="rect">
                      <a:avLst/>
                    </a:prstGeom>
                    <a:ln/>
                  </pic:spPr>
                </pic:pic>
              </a:graphicData>
            </a:graphic>
          </wp:inline>
        </w:drawing>
      </w:r>
      <w:r w:rsidRPr="00D7023B">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63501</wp:posOffset>
                </wp:positionH>
                <wp:positionV relativeFrom="paragraph">
                  <wp:posOffset>1498600</wp:posOffset>
                </wp:positionV>
                <wp:extent cx="5727494" cy="870486"/>
                <wp:effectExtent l="0" t="0" r="0" b="0"/>
                <wp:wrapNone/>
                <wp:docPr id="86" name="Rectángulo 86"/>
                <wp:cNvGraphicFramePr/>
                <a:graphic xmlns:a="http://schemas.openxmlformats.org/drawingml/2006/main">
                  <a:graphicData uri="http://schemas.microsoft.com/office/word/2010/wordprocessingShape">
                    <wps:wsp>
                      <wps:cNvSpPr/>
                      <wps:spPr>
                        <a:xfrm>
                          <a:off x="2487016" y="3349520"/>
                          <a:ext cx="5717969" cy="860961"/>
                        </a:xfrm>
                        <a:prstGeom prst="rect">
                          <a:avLst/>
                        </a:prstGeom>
                        <a:noFill/>
                        <a:ln w="9525" cap="flat" cmpd="sng">
                          <a:solidFill>
                            <a:srgbClr val="4A7DBA"/>
                          </a:solidFill>
                          <a:prstDash val="solid"/>
                          <a:round/>
                          <a:headEnd type="none" w="sm" len="sm"/>
                          <a:tailEnd type="none" w="sm" len="sm"/>
                        </a:ln>
                      </wps:spPr>
                      <wps:txbx>
                        <w:txbxContent>
                          <w:p w:rsidR="007B602A" w:rsidRDefault="007B602A">
                            <w:pPr>
                              <w:textDirection w:val="btLr"/>
                            </w:pPr>
                          </w:p>
                        </w:txbxContent>
                      </wps:txbx>
                      <wps:bodyPr spcFirstLastPara="1" wrap="square" lIns="91425" tIns="91425" rIns="91425" bIns="91425" anchor="ctr" anchorCtr="0">
                        <a:noAutofit/>
                      </wps:bodyPr>
                    </wps:wsp>
                  </a:graphicData>
                </a:graphic>
              </wp:anchor>
            </w:drawing>
          </mc:Choice>
          <mc:Fallback>
            <w:pict>
              <v:rect id="Rectángulo 86" o:spid="_x0000_s1029" style="position:absolute;left:0;text-align:left;margin-left:5pt;margin-top:118pt;width:451pt;height:6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" filled="f" strokecolor="#4a7dba">
                <v:stroke startarrowwidth="narrow" startarrowlength="short" endarrowwidth="narrow" endarrowlength="short" joinstyle="round"/>
                <v:textbox inset="2.53958mm,2.53958mm,2.53958mm,2.53958mm">
                  <w:txbxContent>
                    <w:p w:rsidR="007B602A" w:rsidRDefault="007B602A">
                      <w:pPr>
                        <w:textDirection w:val="btLr"/>
                      </w:pPr>
                    </w:p>
                  </w:txbxContent>
                </v:textbox>
              </v:rect>
            </w:pict>
          </mc:Fallback>
        </mc:AlternateConten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noProof/>
          <w:lang w:val="es-MX"/>
        </w:rPr>
        <w:lastRenderedPageBreak/>
        <w:drawing>
          <wp:inline distT="0" distB="0" distL="0" distR="0">
            <wp:extent cx="5612130" cy="1734820"/>
            <wp:effectExtent l="0" t="0" r="0" b="0"/>
            <wp:docPr id="1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12130" cy="1734820"/>
                    </a:xfrm>
                    <a:prstGeom prst="rect">
                      <a:avLst/>
                    </a:prstGeom>
                    <a:ln/>
                  </pic:spPr>
                </pic:pic>
              </a:graphicData>
            </a:graphic>
          </wp:inline>
        </w:drawing>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Precisado lo anterior, en primer lugar, </w:t>
      </w:r>
      <w:r w:rsidRPr="00D7023B">
        <w:rPr>
          <w:rFonts w:ascii="Palatino Linotype" w:eastAsia="Palatino Linotype" w:hAnsi="Palatino Linotype" w:cs="Palatino Linotype"/>
          <w:b/>
          <w:u w:val="single"/>
        </w:rPr>
        <w:t xml:space="preserve">sobre el requerimiento de información en donde se requirió el Dictamen Único de Factibilidad, </w:t>
      </w:r>
      <w:r w:rsidRPr="00D7023B">
        <w:rPr>
          <w:rFonts w:ascii="Palatino Linotype" w:eastAsia="Palatino Linotype" w:hAnsi="Palatino Linotype" w:cs="Palatino Linotype"/>
        </w:rPr>
        <w:t xml:space="preserve">de una revisión a la respuesta la Dirección General de la Comisión de Impacto Estatal, en donde señaló que realizó una búsqueda exhaustiva y razonable en todos los archivos de esta Comisión de Impacto Estatal, sin que se localizara antecedente de emisión del Dictamen Único de Factibilidad y/o Evaluación de Impacto Estatal a nombre del proyecto, del ejecutor o del domicilio referido en la solicitud de información que nos ocupa. </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En ese sentido, es importante analizar la Ley de la Comisión de Impacto Estatal, en donde en primer lugar en su artículo 1, que señala:</w:t>
      </w:r>
    </w:p>
    <w:p w:rsidR="00242A56" w:rsidRPr="00D7023B" w:rsidRDefault="00C07BE5">
      <w:pPr>
        <w:ind w:left="709" w:right="616"/>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“Artículo 1. La presente Ley de orden público e interés general y tiene por objeto crear la Comisión de Impacto Estatal, como un órgano desconcentrado de la Secretaría de Desarrollo Urbano y Obra, con autonomía técnica y operativa en el ejercicio de sus atribuciones, responsable de la emisión de la Evaluación de Impacto Estatal” (Sic)</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donde se establece que la Comisión de Impacto Estatal, es un órgano desconcentrado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esto es, que la Secretaría de Desarrollo Urbano y Obra es la competente para informar todo lo relacionado a la Comisión de Impacto Estatal. </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En segundo lugar, la Comisión de Impacto Estatal, tendrá las siguientes atribuciones en términos de lo señalado por el artículo 4 de la Ley de la Comisión de Impacto Estatal, que señala:</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“Artículo 4. La Comisión tendrá las atribuciones siguientes: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 Atender y resolver de manera permanente e integral y en los tiempos establecidos en las disposiciones jurídicas aplicables, las solicitudes de Evaluación de Impacto Estatal y demás trámites de su competencia, incluidos los realizados mediante el uso de plataformas tecnológicas, presentadas por las personas físicas o jurídicas colectivas, dictaminando sobre su procedencia o improcedencia, a través de la resolución correspondiente;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II. Solicitar la colaboración de las dependencias del Ejecutivo del Estado y de organismos auxiliares de carácter federal, estatal y municipal, para acreditar el cumplimiento de los requisitos para la expedición de la Evaluación de Impacto Estatal y demás trámites de su competencia, en los términos y condiciones establecidos en la legislación correspondiente;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III. Establecer el formato digital e impreso de solicitud para la recepción e integración de la carpeta del proyecto nuevo, ampliación o actualización que contendrá los tramites, requisitos y tiempos de respuesta, para obtener la Evaluación de Impacto Estatal; </w:t>
      </w:r>
    </w:p>
    <w:p w:rsidR="00242A56" w:rsidRPr="00D7023B" w:rsidRDefault="00C07BE5">
      <w:pPr>
        <w:ind w:left="567" w:right="758"/>
        <w:jc w:val="both"/>
      </w:pPr>
      <w:r w:rsidRPr="00D7023B">
        <w:rPr>
          <w:rFonts w:ascii="Palatino Linotype" w:eastAsia="Palatino Linotype" w:hAnsi="Palatino Linotype" w:cs="Palatino Linotype"/>
          <w:b/>
          <w:i/>
          <w:sz w:val="22"/>
          <w:szCs w:val="22"/>
        </w:rPr>
        <w:t>IV. Recibir analizar, requerir e integrar la documentación de los proyectos nuevos, ampliaciones o actualizaciones, incluso por medios digitales, para aceptar la solicitud y emitir la Evaluación de Impacto Estatal o, en su caso, la determinación que proceda</w:t>
      </w:r>
      <w:r w:rsidRPr="00D7023B">
        <w:rPr>
          <w:rFonts w:ascii="Palatino Linotype" w:eastAsia="Palatino Linotype" w:hAnsi="Palatino Linotype" w:cs="Palatino Linotype"/>
          <w:i/>
          <w:sz w:val="22"/>
          <w:szCs w:val="22"/>
        </w:rPr>
        <w:t>;</w:t>
      </w:r>
      <w:r w:rsidRPr="00D7023B">
        <w:t xml:space="preserve">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V. Requerir a las instancias responsables de emitir las Evaluaciones Técnicas de Impacto los proyectos nuevos, ampliaciones o actualizaciones sometidos a su consideración</w:t>
      </w:r>
      <w:r w:rsidRPr="00D7023B">
        <w:rPr>
          <w:rFonts w:ascii="Palatino Linotype" w:eastAsia="Palatino Linotype" w:hAnsi="Palatino Linotype" w:cs="Palatino Linotype"/>
          <w:i/>
          <w:sz w:val="22"/>
          <w:szCs w:val="22"/>
        </w:rPr>
        <w:t xml:space="preserve">;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VI. Implementar y coordinar los mecanismos que faciliten la tramitación y entrega de la Evaluación de Impacto Estatal</w:t>
      </w:r>
      <w:r w:rsidRPr="00D7023B">
        <w:rPr>
          <w:rFonts w:ascii="Palatino Linotype" w:eastAsia="Palatino Linotype" w:hAnsi="Palatino Linotype" w:cs="Palatino Linotype"/>
          <w:i/>
          <w:sz w:val="22"/>
          <w:szCs w:val="22"/>
        </w:rPr>
        <w:t xml:space="preserve">;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VII. Orientar a las y los solicitantes, por los medios de comunicación o tecnologías de la información que se estimen pertinentes, de conformidad con la Ley de Gobierno Digital del Estado de México y Municipios, sobre la normatividad aplicable y la tramitación correspondiente para la obtención de la Evaluación de Impacto Estatal; VIII. Solicitar al Instituto que, en el ámbito de su competencia y con la colaboración de las dependencias del Ejecutivo Estatal, organismos auxiliares, estatales o municipales coordine la realización de las visitas colegiadas multidisciplinarias correspondientes;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lastRenderedPageBreak/>
        <w:t xml:space="preserve">IX. Solicitar al Instituto que, en el ámbito de su competencia, lleve a cabo la verificación e informe el cumplimiento de las obligaciones o condicionantes establecidas en la Evaluación de Impacto Estatal;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 Coadyuvar con el Instituto para llevar a cabo las verificaciones y vigilar el cumplimiento de las obligaciones o condicionantes establecidas en la Evaluación de Impacto Estatal;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XI. Promover que la emisión de la Evaluación de Impacto Estatal se realice de manera oportuna, transparente, ágil y sencilla, impulsando reformas jurídicas y administrativas, así como incorporar el uso de tecnologías de la información, medios y plataformas tecnológicas;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XII. Aplicar las medidas preventivas y de seguridad necesarias para el cumplimiento de sus atribuciones, en términos de las disposiciones jurídicas aplicables;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XIII. Dar vista al órgano interno de control de las dependencias y organismos auxiliares estatales, por el presunto incumplimiento de las disposiciones jurídicas aplicables por parte de las y los integrantes de la Comisión;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XIV. Promover y proponer a las autoridades competentes la adopción de medidas necesarias para la aplicación de la mejora regulatoria, principalmente la simplificación administrativa y la agilización del procedimiento para la emisión de la Evaluación de Impacto Estatal, en términos de las disposiciones jurídicas aplicables;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XV. Establecer mecanismos y requisitos para la regularización de proyectos nuevos, ampliaciones o actualizaciones que hubieran iniciado o concluido sin los dictámenes, permisos, evaluaciones, opiniones o licencias correspondientes, sin perjuicio de las sanciones previstas en cada materia, en términos de las disposiciones jurídicas aplicables; XVI. Establecer medidas y criterios para optimizar y precisar la operación de la Comisión y la emisión de la Evaluación de Impacto Estatal;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XVII. Expedir lineamientos, manuales y demás disposiciones para el cumplimiento de sus atribuciones, y </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XVIII. Las demás que le confieran otras disposiciones jurídicas” (Sic)</w:t>
      </w:r>
    </w:p>
    <w:p w:rsidR="00242A56" w:rsidRPr="00D7023B" w:rsidRDefault="00242A56">
      <w:pPr>
        <w:ind w:left="567" w:right="758"/>
        <w:jc w:val="both"/>
        <w:rPr>
          <w:rFonts w:ascii="Palatino Linotype" w:eastAsia="Palatino Linotype" w:hAnsi="Palatino Linotype" w:cs="Palatino Linotype"/>
          <w:i/>
          <w:sz w:val="22"/>
          <w:szCs w:val="22"/>
        </w:rPr>
      </w:pP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Entre las que se destaca que dicha Comisión le compete el de recibir analizar, requerir e integrar la documentación de los proyectos nuevos, ampliaciones o actualizaciones, incluso por medios digitales, para aceptar la solicitud y emitir la </w:t>
      </w:r>
      <w:r w:rsidRPr="00D7023B">
        <w:rPr>
          <w:rFonts w:ascii="Palatino Linotype" w:eastAsia="Palatino Linotype" w:hAnsi="Palatino Linotype" w:cs="Palatino Linotype"/>
          <w:b/>
        </w:rPr>
        <w:t>Evaluación de Impacto Estatal</w:t>
      </w:r>
      <w:r w:rsidRPr="00D7023B">
        <w:rPr>
          <w:rFonts w:ascii="Palatino Linotype" w:eastAsia="Palatino Linotype" w:hAnsi="Palatino Linotype" w:cs="Palatino Linotype"/>
        </w:rPr>
        <w:t xml:space="preserve"> o, en su caso, la determinación que proceda.</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Evaluación de Impacto Estatal que cosiste en términos de lo señalado por el artículo 2 de la Ley de la Comisión de Impacto Estatal, en lo siguiente:</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“Artículo 2. En la aplicación de esta Ley, se entenderá por:</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III. Evaluación de Impacto Estatal: Al documento de carácter permanente emitido por la Comisión de Impacto Estatal, sustentado en una o más evaluaciones técnicas de impacto en materias de desarrollo urbano, protección civil, medio ambiente, comunicaciones, movilidad, agua, drenaje, alcantarillado y tratamiento de aguas residuales, previo análisis normativo multidisciplinario, según corresponda, cuya finalidad es determinar la factibilidad de proyectos nuevos, ampliaciones o actualizaciones, que por el uso o aprovechamiento del suelo generen efectos en la infraestructura, el equipamiento urbano, servicios públicos, en el entorno ambiental o protección civil, en términos de las disposiciones jurídicas aplicables;”(Sic)</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El cual consiste en el documento permanente por medio del cual la Comisión de Impacto Estatal, una vez realizadas las evaluaciones técnicas en materia de desarrollo urbano, determina la factibilidad de proyectos nuevos, ampliaciones o actualizaciones, que por el uso o aprovechamiento del suelo generen efectos en la infraestructura.</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Luego entonces podemos decir que la Evaluación de Impacto Estatal, es lo mismo que el Dictamen Único de Factibilidad, solicitado por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en razón de que el Dictamen Único de Factibilidad era definido por la Ley que crea la Comisión de Factibilidad del Estado de México (abrogada), como:</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“Artículo 2. En la aplicación de esta Ley, se entenderá por:</w:t>
      </w:r>
    </w:p>
    <w:p w:rsidR="00242A56" w:rsidRPr="00D7023B" w:rsidRDefault="00C07BE5">
      <w:pPr>
        <w:ind w:left="567" w:right="758"/>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II. Dictamen: Al Dictamen Único de Factibilidad, que es el documento de carácter permanente emitido por la Comisión de Factibilidad del Estado de México, sustentado en las evaluaciones técnicas de factibilidad en materias de salubridad local, desarrollo urbano y vivienda, protección civil, medio ambiente, desarrollo económico, comunicaciones, movilidad y agua, previo análisis normativo multidisciplinario, cuya </w:t>
      </w:r>
      <w:r w:rsidRPr="00D7023B">
        <w:rPr>
          <w:rFonts w:ascii="Palatino Linotype" w:eastAsia="Palatino Linotype" w:hAnsi="Palatino Linotype" w:cs="Palatino Linotype"/>
          <w:i/>
          <w:sz w:val="22"/>
          <w:szCs w:val="22"/>
        </w:rPr>
        <w:lastRenderedPageBreak/>
        <w:t>finalidad es determinar la factibilidad de la construcción, apertura, instalación, operación, ampliación o funcionamiento de obras, unidades económicas, inversiones o proyectos, que por su uso o aprovechamiento del suelo generen efectos en el equipamiento urbano, infraestructura, servicios públicos, en el entorno ambiental o salud, en términos de las disposiciones jurídicas aplicables…”(Sic)</w:t>
      </w:r>
    </w:p>
    <w:p w:rsidR="00242A56" w:rsidRPr="00D7023B" w:rsidRDefault="00242A56">
      <w:pPr>
        <w:ind w:left="567" w:right="758"/>
        <w:jc w:val="both"/>
        <w:rPr>
          <w:rFonts w:ascii="Palatino Linotype" w:eastAsia="Palatino Linotype" w:hAnsi="Palatino Linotype" w:cs="Palatino Linotype"/>
          <w:i/>
          <w:sz w:val="22"/>
          <w:szCs w:val="22"/>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Luego entonces y visto que el área que se pronunció fue Dirección General de la Comisión de Impacto Estatal, área competente para conocer de la información solicitada, conforme a lo anteriormente señalado, dicho pronunciamiento se traduce en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242A56" w:rsidRPr="00D7023B" w:rsidRDefault="00C07BE5">
      <w:pPr>
        <w:spacing w:before="120" w:after="120"/>
        <w:ind w:left="567" w:right="851"/>
        <w:jc w:val="center"/>
        <w:rPr>
          <w:rFonts w:ascii="Palatino Linotype" w:eastAsia="Palatino Linotype" w:hAnsi="Palatino Linotype" w:cs="Palatino Linotype"/>
          <w:i/>
          <w:sz w:val="22"/>
          <w:szCs w:val="22"/>
        </w:rPr>
      </w:pPr>
      <w:r w:rsidRPr="00D7023B">
        <w:rPr>
          <w:rFonts w:ascii="Palatino Linotype" w:eastAsia="Palatino Linotype" w:hAnsi="Palatino Linotype" w:cs="Palatino Linotype"/>
        </w:rPr>
        <w:t xml:space="preserve"> “</w:t>
      </w:r>
      <w:r w:rsidRPr="00D7023B">
        <w:rPr>
          <w:rFonts w:ascii="Palatino Linotype" w:eastAsia="Palatino Linotype" w:hAnsi="Palatino Linotype" w:cs="Palatino Linotype"/>
          <w:b/>
          <w:i/>
          <w:sz w:val="22"/>
          <w:szCs w:val="22"/>
        </w:rPr>
        <w:t>HECHOS NEGATIVOS, NO SON SUSCEPTIBLES DE DEMOSTRACIÓN</w:t>
      </w:r>
      <w:r w:rsidRPr="00D7023B">
        <w:rPr>
          <w:rFonts w:ascii="Palatino Linotype" w:eastAsia="Palatino Linotype" w:hAnsi="Palatino Linotype" w:cs="Palatino Linotype"/>
          <w:i/>
          <w:sz w:val="22"/>
          <w:szCs w:val="22"/>
        </w:rPr>
        <w:t>.</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242A56" w:rsidRPr="00D7023B" w:rsidRDefault="00242A56">
      <w:pPr>
        <w:ind w:left="851" w:right="851"/>
        <w:jc w:val="both"/>
        <w:rPr>
          <w:rFonts w:ascii="Palatino Linotype" w:eastAsia="Palatino Linotype" w:hAnsi="Palatino Linotype" w:cs="Palatino Linotype"/>
          <w:i/>
          <w:sz w:val="22"/>
          <w:szCs w:val="22"/>
        </w:rPr>
      </w:pPr>
    </w:p>
    <w:p w:rsidR="00242A56" w:rsidRPr="00D7023B" w:rsidRDefault="00C07BE5">
      <w:pPr>
        <w:spacing w:before="120" w:after="120"/>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Máxime, que de una revisión a la Ley de la Comisión de Impacto Estatal en sus transitorios Tercero, Décimo y Décimo Primero, se determinó lo siguiente:</w:t>
      </w:r>
    </w:p>
    <w:p w:rsidR="00242A56" w:rsidRPr="00D7023B" w:rsidRDefault="00242A56">
      <w:pPr>
        <w:spacing w:after="240" w:line="360" w:lineRule="auto"/>
        <w:jc w:val="both"/>
        <w:rPr>
          <w:rFonts w:ascii="Palatino Linotype" w:eastAsia="Palatino Linotype" w:hAnsi="Palatino Linotype" w:cs="Palatino Linotype"/>
        </w:rPr>
      </w:pPr>
    </w:p>
    <w:p w:rsidR="00242A56" w:rsidRPr="00D7023B" w:rsidRDefault="00242A56">
      <w:pPr>
        <w:spacing w:after="240" w:line="360" w:lineRule="auto"/>
        <w:jc w:val="both"/>
        <w:rPr>
          <w:rFonts w:ascii="Palatino Linotype" w:eastAsia="Palatino Linotype" w:hAnsi="Palatino Linotype" w:cs="Palatino Linotype"/>
        </w:rPr>
      </w:pP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lastRenderedPageBreak/>
        <w:t>“TERCERO. Se abroga la Ley que crea la Comisión de Factibilidad del Estado de México, publicada en el Periódico Oficial "Gaceta del Gobierno" del Estado de México, en fecha 17 de septiembre del 2018, a través del Decreto número 331.</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DÉCIMO. Los Dictámenes Únicos de Factibilidad emitidos con anterioridad a la entrada en vigor del presente decreto, tendrán vigencia permanente y se sujetarán a las disposiciones previstas en el presente Decreto.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DÉCIMO PRIMERO. Los peticionarios que cuenten con trámites en proceso para la obtención del Dictamen Único de Factibilidad, ingresados con antelación a la entrada en vigor del presente Decreto, contarán con 30 días hábiles para, en su caso, continuar con su trámite ante la Comisión, presentando para ello los requisitos faltantes, atendiendo las prevenciones o manifestando por escrito su intención de continuar con el trámite.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En caso de no actualizarse ninguno de los supuestos anteriores, los trámites se entenderán concluidos por ministerio de ley, haciéndolos del conocimiento de las autoridades responsables de emitir las evaluaciones técnicas correspondientes</w:t>
      </w:r>
      <w:proofErr w:type="gramStart"/>
      <w:r w:rsidRPr="00D7023B">
        <w:rPr>
          <w:rFonts w:ascii="Palatino Linotype" w:eastAsia="Palatino Linotype" w:hAnsi="Palatino Linotype" w:cs="Palatino Linotype"/>
          <w:i/>
          <w:sz w:val="22"/>
          <w:szCs w:val="22"/>
        </w:rPr>
        <w:t>”(</w:t>
      </w:r>
      <w:proofErr w:type="gramEnd"/>
      <w:r w:rsidRPr="00D7023B">
        <w:rPr>
          <w:rFonts w:ascii="Palatino Linotype" w:eastAsia="Palatino Linotype" w:hAnsi="Palatino Linotype" w:cs="Palatino Linotype"/>
          <w:i/>
          <w:sz w:val="22"/>
          <w:szCs w:val="22"/>
        </w:rPr>
        <w:t>Sic)</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Esto es que la Comisión de Factibilidad del Estado de México dejo de existir para ser la Comisión Impacto Estatal, siendo esta última la que conocerá de los Dictamen Único de Factibilidad en trámite, ingresados con antelación a la entrada en vigor del presente Decreto (15 de enero del 2021), en donde los interesados debieron en el término de 30 días, exteriorizar su voluntad para continuar con el trámite, caso contrario se entenderán concluidos dichos tramite por ministerio de ley, haciéndolos del conocimiento de las autoridades responsables de emitir las evaluaciones técnicas correspondientes.</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Así como de los Dictámenes Únicos de Factibilidad emitidos con anterioridad a la entrada en vigor del mencionada Ley, tendrán vigencia permanente.</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Asimismo, a través del informe justificado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amplió su búsqueda de la información, turnando la solicitud a su Dirección General de </w:t>
      </w:r>
      <w:r w:rsidRPr="00D7023B">
        <w:rPr>
          <w:rFonts w:ascii="Palatino Linotype" w:eastAsia="Palatino Linotype" w:hAnsi="Palatino Linotype" w:cs="Palatino Linotype"/>
        </w:rPr>
        <w:lastRenderedPageBreak/>
        <w:t xml:space="preserve">Operación y Control Urbano, la cual también una vez realizada la búsqueda exhaustiva y razonable de lo solicitado por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se pronunció en sentido negativo, siendo que esta le compete en términos de lo señalado por el artículo 12 Reglamento Interior de la Secretaría de Desarrollo Urbano y Obra, las siguientes atribuciones:</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“Artículo 12. Corresponde a la Dirección General de Operación y Control Urbano, las atribuciones siguientes: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 Autorizar conjuntos urbanos y condominios habitacionales, industriales o agroindustriales, de abasto, comercio y servicios, científicos, tecnológicos, y mixtos, así como su modificación, subrogación de la persona titular, cambio de modalidad, revocación, extinción por renuncia de su titular, subrogación de derechos y obligaciones, </w:t>
      </w:r>
      <w:proofErr w:type="spellStart"/>
      <w:r w:rsidRPr="00D7023B">
        <w:rPr>
          <w:rFonts w:ascii="Palatino Linotype" w:eastAsia="Palatino Linotype" w:hAnsi="Palatino Linotype" w:cs="Palatino Linotype"/>
          <w:i/>
          <w:sz w:val="22"/>
          <w:szCs w:val="22"/>
        </w:rPr>
        <w:t>causahabiencia</w:t>
      </w:r>
      <w:proofErr w:type="spellEnd"/>
      <w:r w:rsidRPr="00D7023B">
        <w:rPr>
          <w:rFonts w:ascii="Palatino Linotype" w:eastAsia="Palatino Linotype" w:hAnsi="Palatino Linotype" w:cs="Palatino Linotype"/>
          <w:i/>
          <w:sz w:val="22"/>
          <w:szCs w:val="22"/>
        </w:rPr>
        <w:t xml:space="preserve">, o cualquier otro que sea necesario expedir en términos de las disposiciones jurídicas aplicables;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II. Autorizar el inicio de ejecución de obras de urbanización, infraestructura y equipamiento urbano, la enajenación de lotes y la promoción del desarrollo, </w:t>
      </w:r>
      <w:proofErr w:type="spellStart"/>
      <w:r w:rsidRPr="00D7023B">
        <w:rPr>
          <w:rFonts w:ascii="Palatino Linotype" w:eastAsia="Palatino Linotype" w:hAnsi="Palatino Linotype" w:cs="Palatino Linotype"/>
          <w:i/>
          <w:sz w:val="22"/>
          <w:szCs w:val="22"/>
        </w:rPr>
        <w:t>fideicomitir</w:t>
      </w:r>
      <w:proofErr w:type="spellEnd"/>
      <w:r w:rsidRPr="00D7023B">
        <w:rPr>
          <w:rFonts w:ascii="Palatino Linotype" w:eastAsia="Palatino Linotype" w:hAnsi="Palatino Linotype" w:cs="Palatino Linotype"/>
          <w:i/>
          <w:sz w:val="22"/>
          <w:szCs w:val="22"/>
        </w:rPr>
        <w:t xml:space="preserve">, gravar o afectar lotes, prórroga para ejecución de obras, proyectos arquitectónicos de las obras de equipamiento urbano, </w:t>
      </w:r>
      <w:proofErr w:type="spellStart"/>
      <w:r w:rsidRPr="00D7023B">
        <w:rPr>
          <w:rFonts w:ascii="Palatino Linotype" w:eastAsia="Palatino Linotype" w:hAnsi="Palatino Linotype" w:cs="Palatino Linotype"/>
          <w:i/>
          <w:sz w:val="22"/>
          <w:szCs w:val="22"/>
        </w:rPr>
        <w:t>relotificaciones</w:t>
      </w:r>
      <w:proofErr w:type="spellEnd"/>
      <w:r w:rsidRPr="00D7023B">
        <w:rPr>
          <w:rFonts w:ascii="Palatino Linotype" w:eastAsia="Palatino Linotype" w:hAnsi="Palatino Linotype" w:cs="Palatino Linotype"/>
          <w:i/>
          <w:sz w:val="22"/>
          <w:szCs w:val="22"/>
        </w:rPr>
        <w:t xml:space="preserve">, la sustitución, liberación o extinción de garantías, localización de áreas de donación, sustitución de áreas de donación de terreno destinadas a equipamiento urbano a favor del Estado, obras de equipamiento urbano y su ubicación fuera respecto de los conjuntos urbanos, condominios y subdivisiones autorizados, en términos de las disposiciones jurídicas aplicables;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III. Aprobar los proyectos de lotificación de conjuntos urbanos y condominios;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IV. Autorizar fusiones, subdivisiones y </w:t>
      </w:r>
      <w:proofErr w:type="spellStart"/>
      <w:r w:rsidRPr="00D7023B">
        <w:rPr>
          <w:rFonts w:ascii="Palatino Linotype" w:eastAsia="Palatino Linotype" w:hAnsi="Palatino Linotype" w:cs="Palatino Linotype"/>
          <w:i/>
          <w:sz w:val="22"/>
          <w:szCs w:val="22"/>
        </w:rPr>
        <w:t>relotificaciones</w:t>
      </w:r>
      <w:proofErr w:type="spellEnd"/>
      <w:r w:rsidRPr="00D7023B">
        <w:rPr>
          <w:rFonts w:ascii="Palatino Linotype" w:eastAsia="Palatino Linotype" w:hAnsi="Palatino Linotype" w:cs="Palatino Linotype"/>
          <w:i/>
          <w:sz w:val="22"/>
          <w:szCs w:val="22"/>
        </w:rPr>
        <w:t xml:space="preserve"> de predios, así como su modificación, subrogación del titular, revocación, extinción por renuncia de su titular, subrogación de derechos y obligaciones, </w:t>
      </w:r>
      <w:proofErr w:type="spellStart"/>
      <w:r w:rsidRPr="00D7023B">
        <w:rPr>
          <w:rFonts w:ascii="Palatino Linotype" w:eastAsia="Palatino Linotype" w:hAnsi="Palatino Linotype" w:cs="Palatino Linotype"/>
          <w:i/>
          <w:sz w:val="22"/>
          <w:szCs w:val="22"/>
        </w:rPr>
        <w:t>causahabiencia</w:t>
      </w:r>
      <w:proofErr w:type="spellEnd"/>
      <w:r w:rsidRPr="00D7023B">
        <w:rPr>
          <w:rFonts w:ascii="Palatino Linotype" w:eastAsia="Palatino Linotype" w:hAnsi="Palatino Linotype" w:cs="Palatino Linotype"/>
          <w:i/>
          <w:sz w:val="22"/>
          <w:szCs w:val="22"/>
        </w:rPr>
        <w:t xml:space="preserve">, o cualquier otro que sea necesario expedir en términos de las disposiciones jurídicas aplicables;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V. Emitir las evaluaciones técnicas de impacto en materia urbana y dar seguimiento al cumplimiento de las condicionantes establecidas en las mismas</w:t>
      </w:r>
      <w:r w:rsidRPr="00D7023B">
        <w:rPr>
          <w:rFonts w:ascii="Palatino Linotype" w:eastAsia="Palatino Linotype" w:hAnsi="Palatino Linotype" w:cs="Palatino Linotype"/>
          <w:i/>
          <w:sz w:val="22"/>
          <w:szCs w:val="22"/>
        </w:rPr>
        <w:t xml:space="preserve">;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VI. Autorizar conforme al ámbito de su competencia la apertura, prolongación, ampliación o modificación de las vías públicas que constituyan la infraestructura vial local;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VII. Emitir cédulas informativas de zonificación, licencias de uso del suelo, de cambio de uso del suelo, de densidad, del coeficiente de ocupación del suelo, del </w:t>
      </w:r>
      <w:r w:rsidRPr="00D7023B">
        <w:rPr>
          <w:rFonts w:ascii="Palatino Linotype" w:eastAsia="Palatino Linotype" w:hAnsi="Palatino Linotype" w:cs="Palatino Linotype"/>
          <w:i/>
          <w:sz w:val="22"/>
          <w:szCs w:val="22"/>
        </w:rPr>
        <w:lastRenderedPageBreak/>
        <w:t xml:space="preserve">coeficiente de utilización del suelo y altura de edificaciones, en predios o inmuebles que se ubiquen en territorio de municipios a los que aún no se les haya transferido formalmente dichas funciones;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VIII. Atender, en el ámbito de su competencia, las denuncias ciudadanas de hechos o actos que </w:t>
      </w:r>
      <w:proofErr w:type="spellStart"/>
      <w:r w:rsidRPr="00D7023B">
        <w:rPr>
          <w:rFonts w:ascii="Palatino Linotype" w:eastAsia="Palatino Linotype" w:hAnsi="Palatino Linotype" w:cs="Palatino Linotype"/>
          <w:i/>
          <w:sz w:val="22"/>
          <w:szCs w:val="22"/>
        </w:rPr>
        <w:t>constituyaninfracciones</w:t>
      </w:r>
      <w:proofErr w:type="spellEnd"/>
      <w:r w:rsidRPr="00D7023B">
        <w:rPr>
          <w:rFonts w:ascii="Palatino Linotype" w:eastAsia="Palatino Linotype" w:hAnsi="Palatino Linotype" w:cs="Palatino Linotype"/>
          <w:i/>
          <w:sz w:val="22"/>
          <w:szCs w:val="22"/>
        </w:rPr>
        <w:t xml:space="preserve"> a las disposiciones jurídicas que regulan el ordenamiento territorial de los asentamientos humanos y el desarrollo urbano de los centros de población;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IX. Vigilar, en su ámbito de competencia, el cumplimiento de las disposiciones jurídicas que regulan el ordenamiento territorial de los asentamientos humanos y el desarrollo urbano de los centros de población;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 Verificar el cumplimiento de las obligaciones que establecen los acuerdos de autorización de conjuntos urbanos, condominios, fusiones, subdivisiones, así como las señaladas en las demás autorizaciones que se otorguen durante la ejecución de los desarrollos autorizados y, en su caso, imponer las medidas de seguridad y/o las sanciones que prevén las disposiciones jurídicas en la materia; XI. Emitir mandamientos de visitas de verificación, tramitar y resolver procedimientos administrativos, emitir y notificar citatorios, otorgar y resolver garantías de audiencia, determinar infracciones a la legislación y normatividad en desarrollo urbano e imponer medidas de seguridad y/o sanciones, formular denuncias penales, así como tramitar y resolver los recursos de inconformidad que los particulares interpongan en contra de sus actos;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XII. Coordinarse con las autoridades federales, estatales y municipales para la ejecución de las medidas de </w:t>
      </w:r>
      <w:proofErr w:type="spellStart"/>
      <w:r w:rsidRPr="00D7023B">
        <w:rPr>
          <w:rFonts w:ascii="Palatino Linotype" w:eastAsia="Palatino Linotype" w:hAnsi="Palatino Linotype" w:cs="Palatino Linotype"/>
          <w:i/>
          <w:sz w:val="22"/>
          <w:szCs w:val="22"/>
        </w:rPr>
        <w:t>seguridady</w:t>
      </w:r>
      <w:proofErr w:type="spellEnd"/>
      <w:r w:rsidRPr="00D7023B">
        <w:rPr>
          <w:rFonts w:ascii="Palatino Linotype" w:eastAsia="Palatino Linotype" w:hAnsi="Palatino Linotype" w:cs="Palatino Linotype"/>
          <w:i/>
          <w:sz w:val="22"/>
          <w:szCs w:val="22"/>
        </w:rPr>
        <w:t xml:space="preserve">/o sanciones que imponga conforme a la legislación en la materia y, en su caso, solicitar el auxilio de la fuerza pública; XIII. Determinar conforme a las disposiciones jurídicas aplicables la ubicación de las áreas de donación estatal, y en su caso, autorizar su sustitución a través de la aportación en numerario al Fideicomiso de Reserva Territorial para el Desarrollo de Equipamiento Urbano Regional o de la ejecución o complementación de obras públicas;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XIV. Determinar, previa opinión favorable de la persona titular de la Dirección de Desarrollo Urbano municipal o su equivalente, la ubicación de las áreas de donación municipal que se localicen fuera de los conjuntos urbanos, condominios y subdivisiones, y en su caso, autorizar su sustitución a través de la aportación en numerario al Fideicomiso de Reserva Territorial para el Desarrollo de Equipamiento Urbano Regional o de la ejecución de obra pública;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XV. Establecer y ejecutar, en el ámbito de su competencia, medidas y acciones en coordinación con las demás autoridades federales, estatales y municipales competentes para prevenir y evitar asentamientos humanos irregulares;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lastRenderedPageBreak/>
        <w:t xml:space="preserve">XVI. Verificar que las acciones de uso de suelo y edificación de vivienda cumplan con las disposiciones jurídicas aplicables en materia de ordenamiento territorial de los asentamientos humanos y del desarrollo urbano de los </w:t>
      </w:r>
      <w:proofErr w:type="spellStart"/>
      <w:r w:rsidRPr="00D7023B">
        <w:rPr>
          <w:rFonts w:ascii="Palatino Linotype" w:eastAsia="Palatino Linotype" w:hAnsi="Palatino Linotype" w:cs="Palatino Linotype"/>
          <w:i/>
          <w:sz w:val="22"/>
          <w:szCs w:val="22"/>
        </w:rPr>
        <w:t>centrosde</w:t>
      </w:r>
      <w:proofErr w:type="spellEnd"/>
      <w:r w:rsidRPr="00D7023B">
        <w:rPr>
          <w:rFonts w:ascii="Palatino Linotype" w:eastAsia="Palatino Linotype" w:hAnsi="Palatino Linotype" w:cs="Palatino Linotype"/>
          <w:i/>
          <w:sz w:val="22"/>
          <w:szCs w:val="22"/>
        </w:rPr>
        <w:t xml:space="preserve"> población; XVII. Establecer y vigilar el cumplimiento de programas de adquisición de reservas territoriales para el equipamiento urbano del Estado, con la participación que corresponda a otras autoridades;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XVIII. Autorizar la ejecución de obras de equipamiento urbano regional, mediante la ejecución de obra pública o la aportación en numerario en la proporción que resulte para el equipamiento urbano regional de conformidad a las disposiciones jurídicas aplicables;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XIX. Participar y dar seguimiento en el ámbito de su competencia al Fideicomiso de Reserva Territorial para el Desarrollo de Equipamiento Urbano Regional;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 Atender y dar respuesta a las solicitudes ciudadanas respecto del derecho de preferencia a favor del Estado, y en su caso, ejercer el mismo para la adquisición de predios, en términos de las disposiciones jurídicas aplicables y con base en el pronunciamiento que realice la Dirección General de Planeación Urbana;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XXI. Supervisar, con las autoridades estatales y municipales competentes, la ejecución de las obras de urbanización </w:t>
      </w:r>
      <w:proofErr w:type="spellStart"/>
      <w:r w:rsidRPr="00D7023B">
        <w:rPr>
          <w:rFonts w:ascii="Palatino Linotype" w:eastAsia="Palatino Linotype" w:hAnsi="Palatino Linotype" w:cs="Palatino Linotype"/>
          <w:i/>
          <w:sz w:val="22"/>
          <w:szCs w:val="22"/>
        </w:rPr>
        <w:t>yequipamiento</w:t>
      </w:r>
      <w:proofErr w:type="spellEnd"/>
      <w:r w:rsidRPr="00D7023B">
        <w:rPr>
          <w:rFonts w:ascii="Palatino Linotype" w:eastAsia="Palatino Linotype" w:hAnsi="Palatino Linotype" w:cs="Palatino Linotype"/>
          <w:i/>
          <w:sz w:val="22"/>
          <w:szCs w:val="22"/>
        </w:rPr>
        <w:t xml:space="preserve"> urbano, así como el cumplimiento de las obras de infraestructura, derivadas de las autorizaciones de conjuntos urbanos, condominios y subdivisiones;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XXII. Coordinar con los municipios y las autoridades estatales que correspondan la entrega y recepción de las obras de infraestructura, urbanización y equipamiento urbano que establezcan los acuerdos de autorización de los conjuntos urbanos, condominios y subdivisiones de predios autorizados;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XXIII. Coordinar con los municipios y las autoridades estatales que correspondan la entrega, recepción y transmisión de la propiedad de las áreas de donación municipal o estatal, según corresponda, que establezcan los acuerdos de autorización de conjuntos urbanos, condominios y subdivisiones;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XXIV. Solicitar y entregar la información y documentación que se requiera a la autoridad correspondiente de la Secretaría de Finanzas, para que se lleve a cabo la reclamación o el requerimiento de pago de las pólizas de fianzas que garanticen, a favor del Gobierno del Estado de México, la construcción de las obras de urbanización, equipamiento urbano y, en su caso, de infraestructura primaria, derivado del incumplimiento de las obligaciones establecidas en los acuerdos de autorización de conjuntos urbanos, condominios y subdivisiones de predios;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XXV. Coordinar con las dependencias u organismos auxiliares estatales, la entrega y recepción de las obras de equipamiento urbano regional;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XXVI. Determinar el incumplimiento de las obligaciones previstas en los acuerdos de autorización de conjuntos urbanos, condominios y subdivisiones, en materia </w:t>
      </w:r>
      <w:r w:rsidRPr="00D7023B">
        <w:rPr>
          <w:rFonts w:ascii="Palatino Linotype" w:eastAsia="Palatino Linotype" w:hAnsi="Palatino Linotype" w:cs="Palatino Linotype"/>
          <w:i/>
          <w:sz w:val="22"/>
          <w:szCs w:val="22"/>
        </w:rPr>
        <w:lastRenderedPageBreak/>
        <w:t xml:space="preserve">de áreas de donación y ejecución de las obras de infraestructura, urbanización y equipamiento urbano;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XXVII. Realizar la apertura y autorizar el cierre de la bitácora de supervisión una vez que se cumpla en su totalidad con las obras de urbanización, equipamiento urbano e infraestructura primaria, establecidas en los acuerdos de autorización de conjuntos urbanos, condominios y subdivisiones; </w:t>
      </w:r>
    </w:p>
    <w:p w:rsidR="00242A56" w:rsidRPr="00D7023B" w:rsidRDefault="00C07BE5">
      <w:pPr>
        <w:ind w:left="851" w:right="851"/>
        <w:jc w:val="both"/>
        <w:rPr>
          <w:rFonts w:ascii="Palatino Linotype" w:eastAsia="Palatino Linotype" w:hAnsi="Palatino Linotype" w:cs="Palatino Linotype"/>
          <w:i/>
          <w:sz w:val="22"/>
          <w:szCs w:val="22"/>
        </w:rPr>
      </w:pPr>
      <w:proofErr w:type="spellStart"/>
      <w:r w:rsidRPr="00D7023B">
        <w:rPr>
          <w:rFonts w:ascii="Palatino Linotype" w:eastAsia="Palatino Linotype" w:hAnsi="Palatino Linotype" w:cs="Palatino Linotype"/>
          <w:i/>
          <w:sz w:val="22"/>
          <w:szCs w:val="22"/>
        </w:rPr>
        <w:t>XXVIII.Vigilar</w:t>
      </w:r>
      <w:proofErr w:type="spellEnd"/>
      <w:r w:rsidRPr="00D7023B">
        <w:rPr>
          <w:rFonts w:ascii="Palatino Linotype" w:eastAsia="Palatino Linotype" w:hAnsi="Palatino Linotype" w:cs="Palatino Linotype"/>
          <w:i/>
          <w:sz w:val="22"/>
          <w:szCs w:val="22"/>
        </w:rPr>
        <w:t xml:space="preserve"> el cumplimiento de las normas, lineamientos y procedimientos establecidos para el funcionamiento del Registro Público del Agua del Estado de México, y </w:t>
      </w:r>
    </w:p>
    <w:p w:rsidR="00242A56" w:rsidRPr="00D7023B" w:rsidRDefault="00C07BE5">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XXIX. Las demás que le confieren otras disposiciones jurídicas y las que le encomienden las personas titulares de la Secretaría o Subsecretaría.</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La cual será la encargada de emitir las evaluaciones técnicas de impacto en materia urbana, la cual será el sustento para emitir la Evaluación de Impacto Estatal (antes Dictamen Único de Factibilidad).</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Colmando con ello el derecho de acceso a la información pública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242A56" w:rsidRPr="00D7023B" w:rsidRDefault="00C07BE5">
      <w:pPr>
        <w:spacing w:before="120" w:after="120"/>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7023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D7023B">
        <w:rPr>
          <w:rFonts w:ascii="Palatino Linotype" w:eastAsia="Palatino Linotype" w:hAnsi="Palatino Linotype" w:cs="Palatino Linotype"/>
          <w:i/>
          <w:sz w:val="22"/>
          <w:szCs w:val="22"/>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De lo anterior, este Órgano </w:t>
      </w:r>
      <w:proofErr w:type="spellStart"/>
      <w:r w:rsidRPr="00D7023B">
        <w:rPr>
          <w:rFonts w:ascii="Palatino Linotype" w:eastAsia="Palatino Linotype" w:hAnsi="Palatino Linotype" w:cs="Palatino Linotype"/>
        </w:rPr>
        <w:t>Resolutor</w:t>
      </w:r>
      <w:proofErr w:type="spellEnd"/>
      <w:r w:rsidRPr="00D7023B">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En segundo lugar, en cuanto al requerimiento de información en donde se solicitó:</w:t>
      </w:r>
    </w:p>
    <w:p w:rsidR="00242A56" w:rsidRPr="00D7023B" w:rsidRDefault="00C07BE5">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u w:val="single"/>
        </w:rPr>
      </w:pPr>
      <w:r w:rsidRPr="00D7023B">
        <w:rPr>
          <w:rFonts w:ascii="Palatino Linotype" w:eastAsia="Palatino Linotype" w:hAnsi="Palatino Linotype" w:cs="Palatino Linotype"/>
          <w:b/>
          <w:u w:val="single"/>
        </w:rPr>
        <w:t>Copia de toda la documentación Anexa que presentó el Ayuntamiento de Ixtapaluca 2016-2018, para el trámite referido.</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Trámite correspondiente para obtener el Dictamen Único de Factibilidad, respecto del</w:t>
      </w:r>
      <w:r w:rsidRPr="00D7023B">
        <w:rPr>
          <w:rFonts w:ascii="Verdana" w:eastAsia="Verdana" w:hAnsi="Verdana" w:cs="Verdana"/>
          <w:sz w:val="14"/>
          <w:szCs w:val="14"/>
        </w:rPr>
        <w:t xml:space="preserve"> </w:t>
      </w:r>
      <w:r w:rsidRPr="00D7023B">
        <w:rPr>
          <w:rFonts w:ascii="Palatino Linotype" w:eastAsia="Palatino Linotype" w:hAnsi="Palatino Linotype" w:cs="Palatino Linotype"/>
        </w:rPr>
        <w:t xml:space="preserve">proyecto denominado "Parque </w:t>
      </w:r>
      <w:proofErr w:type="spellStart"/>
      <w:r w:rsidRPr="00D7023B">
        <w:rPr>
          <w:rFonts w:ascii="Palatino Linotype" w:eastAsia="Palatino Linotype" w:hAnsi="Palatino Linotype" w:cs="Palatino Linotype"/>
        </w:rPr>
        <w:t>Ecoturístico</w:t>
      </w:r>
      <w:proofErr w:type="spellEnd"/>
      <w:r w:rsidRPr="00D7023B">
        <w:rPr>
          <w:rFonts w:ascii="Palatino Linotype" w:eastAsia="Palatino Linotype" w:hAnsi="Palatino Linotype" w:cs="Palatino Linotype"/>
        </w:rPr>
        <w:t xml:space="preserve"> El Elefante primera etapa, segunda etapa y obra nueva", obra que ejecutó el H. Ayuntamiento de Ixtapaluca 2016-2018 en el interior del Cerro El Elefante, ubicado en el Pueblo de </w:t>
      </w:r>
      <w:proofErr w:type="spellStart"/>
      <w:r w:rsidRPr="00D7023B">
        <w:rPr>
          <w:rFonts w:ascii="Palatino Linotype" w:eastAsia="Palatino Linotype" w:hAnsi="Palatino Linotype" w:cs="Palatino Linotype"/>
        </w:rPr>
        <w:t>Tlapacoya</w:t>
      </w:r>
      <w:proofErr w:type="spellEnd"/>
      <w:r w:rsidRPr="00D7023B">
        <w:rPr>
          <w:rFonts w:ascii="Palatino Linotype" w:eastAsia="Palatino Linotype" w:hAnsi="Palatino Linotype" w:cs="Palatino Linotype"/>
        </w:rPr>
        <w:t>, Ixtapaluca, Estado de México.</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De una revisión a la respuesta como informe justificado,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omitió pronunciarse al respecto, lo que careció de los principios de congruencia y exhaustividad, como refuerzo de lo anterior, resulta crucial el Criterio 02/17, emitido </w:t>
      </w:r>
      <w:r w:rsidRPr="00D7023B">
        <w:rPr>
          <w:rFonts w:ascii="Palatino Linotype" w:eastAsia="Palatino Linotype" w:hAnsi="Palatino Linotype" w:cs="Palatino Linotype"/>
        </w:rPr>
        <w:lastRenderedPageBreak/>
        <w:t>por el Pleno del Instituto Nacional de Transparencia y Acceso a la Información y Protección de Datos Personales, de título y texto siguientes:</w:t>
      </w:r>
    </w:p>
    <w:p w:rsidR="00242A56" w:rsidRPr="00D7023B" w:rsidRDefault="00C07BE5">
      <w:pPr>
        <w:spacing w:before="80" w:after="240"/>
        <w:ind w:left="567" w:right="90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D7023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7023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D7023B">
        <w:rPr>
          <w:rFonts w:ascii="Palatino Linotype" w:eastAsia="Palatino Linotype" w:hAnsi="Palatino Linotype" w:cs="Palatino Linotype"/>
          <w:i/>
          <w:sz w:val="22"/>
          <w:szCs w:val="22"/>
        </w:rPr>
        <w:t xml:space="preserve">; mientras que </w:t>
      </w:r>
      <w:r w:rsidRPr="00D7023B">
        <w:rPr>
          <w:rFonts w:ascii="Palatino Linotype" w:eastAsia="Palatino Linotype" w:hAnsi="Palatino Linotype" w:cs="Palatino Linotype"/>
          <w:b/>
          <w:i/>
          <w:sz w:val="22"/>
          <w:szCs w:val="22"/>
        </w:rPr>
        <w:t>la exhaustividad significa que dicha respuesta se refiera expresamente a cada uno de los puntos solicitados</w:t>
      </w:r>
      <w:r w:rsidRPr="00D7023B">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Además del análisis del documento que adjunto para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en su acuse del recurso de revisión, existen evidencia que el Ayuntamiento de Ixtapaluca de la Administración Pública 2016-2018, presentó diversa documentación ante la entonces Secretaría de Desarrollo Urbano y Metropolitano, ahora Secretaría de Desarrollo Urbano y Obra, con la finalidad de obtener el Dictamen Único de Factibilidad, respecto del</w:t>
      </w:r>
      <w:r w:rsidRPr="00D7023B">
        <w:rPr>
          <w:rFonts w:ascii="Verdana" w:eastAsia="Verdana" w:hAnsi="Verdana" w:cs="Verdana"/>
          <w:sz w:val="14"/>
          <w:szCs w:val="14"/>
        </w:rPr>
        <w:t xml:space="preserve"> </w:t>
      </w:r>
      <w:r w:rsidRPr="00D7023B">
        <w:rPr>
          <w:rFonts w:ascii="Palatino Linotype" w:eastAsia="Palatino Linotype" w:hAnsi="Palatino Linotype" w:cs="Palatino Linotype"/>
        </w:rPr>
        <w:t xml:space="preserve">proyecto denominado "Parque </w:t>
      </w:r>
      <w:proofErr w:type="spellStart"/>
      <w:r w:rsidRPr="00D7023B">
        <w:rPr>
          <w:rFonts w:ascii="Palatino Linotype" w:eastAsia="Palatino Linotype" w:hAnsi="Palatino Linotype" w:cs="Palatino Linotype"/>
        </w:rPr>
        <w:t>Ecoturístico</w:t>
      </w:r>
      <w:proofErr w:type="spellEnd"/>
      <w:r w:rsidRPr="00D7023B">
        <w:rPr>
          <w:rFonts w:ascii="Palatino Linotype" w:eastAsia="Palatino Linotype" w:hAnsi="Palatino Linotype" w:cs="Palatino Linotype"/>
        </w:rPr>
        <w:t xml:space="preserve"> El Elefante primera etapa, segunda etapa y obra nueva", obra que ejecutó el H. Ayuntamiento de Ixtapaluca 2016-2018 en el interior del Cerro el Elefante, ubicado en el Pueblo de </w:t>
      </w:r>
      <w:proofErr w:type="spellStart"/>
      <w:r w:rsidRPr="00D7023B">
        <w:rPr>
          <w:rFonts w:ascii="Palatino Linotype" w:eastAsia="Palatino Linotype" w:hAnsi="Palatino Linotype" w:cs="Palatino Linotype"/>
        </w:rPr>
        <w:t>Tlapacoya</w:t>
      </w:r>
      <w:proofErr w:type="spellEnd"/>
      <w:r w:rsidRPr="00D7023B">
        <w:rPr>
          <w:rFonts w:ascii="Palatino Linotype" w:eastAsia="Palatino Linotype" w:hAnsi="Palatino Linotype" w:cs="Palatino Linotype"/>
        </w:rPr>
        <w:t>, Ixtapaluca, Estado de México.</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Sin embargo, en su momento la Dirección General de Operación Urbana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en relación a la solicitud número 00113/SEDUM/IP/2018, reservó la información contenida en el expediente CJ/CEF/320-AGOS/17 en razón de </w:t>
      </w:r>
      <w:r w:rsidRPr="00D7023B">
        <w:rPr>
          <w:rFonts w:ascii="Palatino Linotype" w:eastAsia="Palatino Linotype" w:hAnsi="Palatino Linotype" w:cs="Palatino Linotype"/>
        </w:rPr>
        <w:lastRenderedPageBreak/>
        <w:t xml:space="preserve">que el trámite para la obtención del dictamen único de factibilidad por parte del Ayuntamiento de Ixtapaluca para el proyecto referido, se encontraba en proceso deliberativo, hasta en tanto sea adoptada la decisión final y que se documente,  y como es que se acreditó en el punto anterior,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a través de las áreas competentes, hizo una búsqueda exhaustiva y razonable de la información solicitada en el presente asunto y no encontró el dictamen único de factibilidad del proyecto denominado "Parque </w:t>
      </w:r>
      <w:proofErr w:type="spellStart"/>
      <w:r w:rsidRPr="00D7023B">
        <w:rPr>
          <w:rFonts w:ascii="Palatino Linotype" w:eastAsia="Palatino Linotype" w:hAnsi="Palatino Linotype" w:cs="Palatino Linotype"/>
        </w:rPr>
        <w:t>Ecoturístico</w:t>
      </w:r>
      <w:proofErr w:type="spellEnd"/>
      <w:r w:rsidRPr="00D7023B">
        <w:rPr>
          <w:rFonts w:ascii="Palatino Linotype" w:eastAsia="Palatino Linotype" w:hAnsi="Palatino Linotype" w:cs="Palatino Linotype"/>
        </w:rPr>
        <w:t xml:space="preserve"> El Elefante primera etapa, segunda etapa y obra nueva", obra que ejecutó el H. Ayuntamiento de Ixtapaluca 2016-2018 en el interior del Cerro el Elefante, ubicado en el Pueblo de </w:t>
      </w:r>
      <w:proofErr w:type="spellStart"/>
      <w:r w:rsidRPr="00D7023B">
        <w:rPr>
          <w:rFonts w:ascii="Palatino Linotype" w:eastAsia="Palatino Linotype" w:hAnsi="Palatino Linotype" w:cs="Palatino Linotype"/>
        </w:rPr>
        <w:t>Tlapacoya</w:t>
      </w:r>
      <w:proofErr w:type="spellEnd"/>
      <w:r w:rsidRPr="00D7023B">
        <w:rPr>
          <w:rFonts w:ascii="Palatino Linotype" w:eastAsia="Palatino Linotype" w:hAnsi="Palatino Linotype" w:cs="Palatino Linotype"/>
        </w:rPr>
        <w:t xml:space="preserve">, Ixtapaluca, Estado de México, lo que es factible que no se haya generado dicho documento. </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No se omite comentar, que si bien es cierto en su momento se reservó la información contenida en el expediente CJ/CEF/320-AGOS/17, en el presente asunto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no aportó elementos que acredita que subsiste la reserva señala o que dicha documentación contenida en dicho expediente actualice alguna de las hipótesis indicadas en el artículo 140 de la Ley de la Materia; máxime, como ya se indicó no se emitió el dictamen único de factibilidad del proyecto indicado, por lo que dicha reserva no es procedente. </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No obstante, el simple hecho que no se haya emitido el dictamen único de factibilidad del proyecto </w:t>
      </w:r>
      <w:proofErr w:type="spellStart"/>
      <w:r w:rsidRPr="00D7023B">
        <w:rPr>
          <w:rFonts w:ascii="Palatino Linotype" w:eastAsia="Palatino Linotype" w:hAnsi="Palatino Linotype" w:cs="Palatino Linotype"/>
        </w:rPr>
        <w:t>multirreferido</w:t>
      </w:r>
      <w:proofErr w:type="spellEnd"/>
      <w:r w:rsidRPr="00D7023B">
        <w:rPr>
          <w:rFonts w:ascii="Palatino Linotype" w:eastAsia="Palatino Linotype" w:hAnsi="Palatino Linotype" w:cs="Palatino Linotype"/>
        </w:rPr>
        <w:t xml:space="preserve"> por parte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no lo excusa de entregar la documentación que en su momento presento el Ayuntamiento Ixtapaluca 2016-2018 con la finalidad de obtener el Dictamen Único de Factibilidad, respecto del</w:t>
      </w:r>
      <w:r w:rsidRPr="00D7023B">
        <w:rPr>
          <w:rFonts w:ascii="Verdana" w:eastAsia="Verdana" w:hAnsi="Verdana" w:cs="Verdana"/>
          <w:sz w:val="14"/>
          <w:szCs w:val="14"/>
        </w:rPr>
        <w:t xml:space="preserve"> </w:t>
      </w:r>
      <w:r w:rsidRPr="00D7023B">
        <w:rPr>
          <w:rFonts w:ascii="Palatino Linotype" w:eastAsia="Palatino Linotype" w:hAnsi="Palatino Linotype" w:cs="Palatino Linotype"/>
        </w:rPr>
        <w:t xml:space="preserve">proyecto denominado "Parque </w:t>
      </w:r>
      <w:proofErr w:type="spellStart"/>
      <w:r w:rsidRPr="00D7023B">
        <w:rPr>
          <w:rFonts w:ascii="Palatino Linotype" w:eastAsia="Palatino Linotype" w:hAnsi="Palatino Linotype" w:cs="Palatino Linotype"/>
        </w:rPr>
        <w:t>Ecoturístico</w:t>
      </w:r>
      <w:proofErr w:type="spellEnd"/>
      <w:r w:rsidRPr="00D7023B">
        <w:rPr>
          <w:rFonts w:ascii="Palatino Linotype" w:eastAsia="Palatino Linotype" w:hAnsi="Palatino Linotype" w:cs="Palatino Linotype"/>
        </w:rPr>
        <w:t xml:space="preserve"> El Elefante primera etapa, segunda etapa y obra nueva", obra que ejecutó el H. Ayuntamiento de Ixtapaluca </w:t>
      </w:r>
      <w:r w:rsidRPr="00D7023B">
        <w:rPr>
          <w:rFonts w:ascii="Palatino Linotype" w:eastAsia="Palatino Linotype" w:hAnsi="Palatino Linotype" w:cs="Palatino Linotype"/>
        </w:rPr>
        <w:lastRenderedPageBreak/>
        <w:t xml:space="preserve">2016-2018 en el interior del Cerro el Elefante, ubicado en el Pueblo de </w:t>
      </w:r>
      <w:proofErr w:type="spellStart"/>
      <w:r w:rsidRPr="00D7023B">
        <w:rPr>
          <w:rFonts w:ascii="Palatino Linotype" w:eastAsia="Palatino Linotype" w:hAnsi="Palatino Linotype" w:cs="Palatino Linotype"/>
        </w:rPr>
        <w:t>Tlapacoya</w:t>
      </w:r>
      <w:proofErr w:type="spellEnd"/>
      <w:r w:rsidRPr="00D7023B">
        <w:rPr>
          <w:rFonts w:ascii="Palatino Linotype" w:eastAsia="Palatino Linotype" w:hAnsi="Palatino Linotype" w:cs="Palatino Linotype"/>
        </w:rPr>
        <w:t>, Ixtapaluca, Estado de México.</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Razón por la cual lo procedente es ordenar a la Secretaría de Desarrollo Urbano y Obra, entregue la documentación que presentó el Ayuntamiento de Ixtapaluca 2016-2018, del trámite para obtener el Dictamen Único de Factibilidad, respecto del</w:t>
      </w:r>
      <w:r w:rsidRPr="00D7023B">
        <w:rPr>
          <w:rFonts w:ascii="Verdana" w:eastAsia="Verdana" w:hAnsi="Verdana" w:cs="Verdana"/>
          <w:sz w:val="14"/>
          <w:szCs w:val="14"/>
        </w:rPr>
        <w:t xml:space="preserve"> </w:t>
      </w:r>
      <w:r w:rsidRPr="00D7023B">
        <w:rPr>
          <w:rFonts w:ascii="Palatino Linotype" w:eastAsia="Palatino Linotype" w:hAnsi="Palatino Linotype" w:cs="Palatino Linotype"/>
        </w:rPr>
        <w:t xml:space="preserve">proyecto denominado "Parque </w:t>
      </w:r>
      <w:proofErr w:type="spellStart"/>
      <w:r w:rsidRPr="00D7023B">
        <w:rPr>
          <w:rFonts w:ascii="Palatino Linotype" w:eastAsia="Palatino Linotype" w:hAnsi="Palatino Linotype" w:cs="Palatino Linotype"/>
        </w:rPr>
        <w:t>Ecoturístico</w:t>
      </w:r>
      <w:proofErr w:type="spellEnd"/>
      <w:r w:rsidRPr="00D7023B">
        <w:rPr>
          <w:rFonts w:ascii="Palatino Linotype" w:eastAsia="Palatino Linotype" w:hAnsi="Palatino Linotype" w:cs="Palatino Linotype"/>
        </w:rPr>
        <w:t xml:space="preserve"> El Elefante primera etapa, segunda etapa y obra nueva", obra que ejecutó el H. Ayuntamiento de Ixtapaluca 2016-2018 en el interior del Cerro el Elefante, ubicado en el Pueblo de </w:t>
      </w:r>
      <w:proofErr w:type="spellStart"/>
      <w:r w:rsidRPr="00D7023B">
        <w:rPr>
          <w:rFonts w:ascii="Palatino Linotype" w:eastAsia="Palatino Linotype" w:hAnsi="Palatino Linotype" w:cs="Palatino Linotype"/>
        </w:rPr>
        <w:t>Tlapacoya</w:t>
      </w:r>
      <w:proofErr w:type="spellEnd"/>
      <w:r w:rsidRPr="00D7023B">
        <w:rPr>
          <w:rFonts w:ascii="Palatino Linotype" w:eastAsia="Palatino Linotype" w:hAnsi="Palatino Linotype" w:cs="Palatino Linotype"/>
        </w:rPr>
        <w:t xml:space="preserve">, Ixtapaluca, Estado de México, de ser procedente en versión pública conforme a lo señalado en el considerando quinto. </w:t>
      </w:r>
    </w:p>
    <w:p w:rsidR="00242A56" w:rsidRPr="00D7023B" w:rsidRDefault="00C07BE5">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De la modalidad de entrega de la información. </w: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relación con la modalidad de entrega de la información especificada por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a saber, a través de copias simples con costo, es oportuno referir que la Ley de Transparencia y Acceso a la  Información Pública del Estado de México y Municipios, el artículo 155 fracción V,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Pr="00D7023B">
        <w:rPr>
          <w:rFonts w:ascii="Palatino Linotype" w:eastAsia="Palatino Linotype" w:hAnsi="Palatino Linotype" w:cs="Palatino Linotype"/>
        </w:rPr>
        <w:t>CD-</w:t>
      </w:r>
      <w:r w:rsidRPr="00D7023B">
        <w:rPr>
          <w:rFonts w:ascii="Palatino Linotype" w:eastAsia="Palatino Linotype" w:hAnsi="Palatino Linotype" w:cs="Palatino Linotype"/>
        </w:rPr>
        <w:lastRenderedPageBreak/>
        <w:t>Rom</w:t>
      </w:r>
      <w:proofErr w:type="spellEnd"/>
      <w:r w:rsidRPr="00D7023B">
        <w:rPr>
          <w:rFonts w:ascii="Palatino Linotype" w:eastAsia="Palatino Linotype" w:hAnsi="Palatino Linotype" w:cs="Palatino Linotype"/>
        </w:rPr>
        <w:t xml:space="preserve"> (con costo), copias simples  (con costo), copias certificadas (con costo), consulta directa (sin costo), o bien, cualquier otro que determine el particular.</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Por su parte, el artículo 164 de la Ley de Transparencia y Acceso a la Información Pública del Estado de México y Municipios, establece lo que es de la literalidad siguiente:</w:t>
      </w:r>
    </w:p>
    <w:p w:rsidR="00242A56" w:rsidRPr="00D7023B" w:rsidRDefault="00C07BE5">
      <w:pPr>
        <w:spacing w:before="120" w:after="120"/>
        <w:ind w:left="709"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Artículo 164</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rPr>
        <w:t>El acceso se dará en la modalidad de entrega y, en su caso, de envío elegidos por el solicitante</w:t>
      </w:r>
      <w:r w:rsidRPr="00D7023B">
        <w:rPr>
          <w:rFonts w:ascii="Palatino Linotype" w:eastAsia="Palatino Linotype" w:hAnsi="Palatino Linotype" w:cs="Palatino Linotype"/>
          <w:i/>
          <w:sz w:val="22"/>
          <w:szCs w:val="22"/>
        </w:rPr>
        <w:t>. Cuando la información no pueda entregarse o enviarse en la modalidad solicitada, el sujeto obligado deberá ofrecer otra u otras modalidades de entrega.</w:t>
      </w:r>
    </w:p>
    <w:p w:rsidR="00242A56" w:rsidRPr="00D7023B" w:rsidRDefault="00C07BE5">
      <w:pPr>
        <w:spacing w:before="120" w:after="120"/>
        <w:ind w:left="709"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En cualquier caso, se deberá fundar y motivar la necesidad de ofrecer otras modalidades.” (Sic)</w:t>
      </w:r>
    </w:p>
    <w:p w:rsidR="00242A56" w:rsidRPr="00D7023B" w:rsidRDefault="00242A56">
      <w:pPr>
        <w:spacing w:before="120" w:after="120"/>
        <w:ind w:left="851" w:right="902"/>
        <w:jc w:val="both"/>
        <w:rPr>
          <w:rFonts w:ascii="Palatino Linotype" w:eastAsia="Palatino Linotype" w:hAnsi="Palatino Linotype" w:cs="Palatino Linotype"/>
          <w:i/>
        </w:rPr>
      </w:pPr>
    </w:p>
    <w:p w:rsidR="00242A56" w:rsidRPr="00D7023B" w:rsidRDefault="00C07BE5">
      <w:pPr>
        <w:spacing w:before="12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D7023B">
        <w:rPr>
          <w:rFonts w:ascii="Palatino Linotype" w:eastAsia="Palatino Linotype" w:hAnsi="Palatino Linotype" w:cs="Palatino Linotype"/>
          <w:vertAlign w:val="superscript"/>
        </w:rPr>
        <w:t xml:space="preserve"> </w:t>
      </w:r>
      <w:r w:rsidRPr="00D7023B">
        <w:rPr>
          <w:rFonts w:ascii="Palatino Linotype" w:eastAsia="Palatino Linotype" w:hAnsi="Palatino Linotype" w:cs="Palatino Linotype"/>
          <w:vertAlign w:val="superscript"/>
        </w:rPr>
        <w:footnoteReference w:id="1"/>
      </w:r>
      <w:r w:rsidRPr="00D7023B">
        <w:rPr>
          <w:rFonts w:ascii="Palatino Linotype" w:eastAsia="Palatino Linotype" w:hAnsi="Palatino Linotype" w:cs="Palatino Linotype"/>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Asimismo, es importante mencionar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rPr>
        <w:t>gratuidad, de certeza, de celeridad, de objetividad, entre otros.</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D7023B">
        <w:rPr>
          <w:rFonts w:ascii="Palatino Linotype" w:eastAsia="Palatino Linotype" w:hAnsi="Palatino Linotype" w:cs="Palatino Linotype"/>
          <w:b/>
          <w:i/>
        </w:rPr>
        <w:t xml:space="preserve">reproducción </w:t>
      </w:r>
      <w:r w:rsidRPr="00D7023B">
        <w:rPr>
          <w:rFonts w:ascii="Palatino Linotype" w:eastAsia="Palatino Linotype" w:hAnsi="Palatino Linotype" w:cs="Palatino Linotype"/>
        </w:rPr>
        <w:t xml:space="preserve">de la información, y en su caso del costo de </w:t>
      </w:r>
      <w:r w:rsidRPr="00D7023B">
        <w:rPr>
          <w:rFonts w:ascii="Palatino Linotype" w:eastAsia="Palatino Linotype" w:hAnsi="Palatino Linotype" w:cs="Palatino Linotype"/>
          <w:b/>
          <w:i/>
        </w:rPr>
        <w:t>envío</w:t>
      </w:r>
      <w:r w:rsidRPr="00D7023B">
        <w:rPr>
          <w:rFonts w:ascii="Palatino Linotype" w:eastAsia="Palatino Linotype" w:hAnsi="Palatino Linotype" w:cs="Palatino Linotype"/>
        </w:rPr>
        <w:t>, finalmente, conlleva implícitamente un esfuerzo por parte de los Sujetos Obligados para reducir los costos de entrega de la información.</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Por su parte, nuestra Carta Magna, así como la Constitución Política de nuestro Estado, contemplan el ejercicio del derecho de acceso a la información bajo el </w:t>
      </w:r>
      <w:r w:rsidRPr="00D7023B">
        <w:rPr>
          <w:rFonts w:ascii="Palatino Linotype" w:eastAsia="Palatino Linotype" w:hAnsi="Palatino Linotype" w:cs="Palatino Linotype"/>
        </w:rPr>
        <w:lastRenderedPageBreak/>
        <w:t>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Mientras que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gratuitos,  refiere en los artículos 17 y 150, que la búsqueda y acceso a la información es gratuita y </w:t>
      </w:r>
      <w:r w:rsidRPr="00D7023B">
        <w:rPr>
          <w:rFonts w:ascii="Palatino Linotype" w:eastAsia="Palatino Linotype" w:hAnsi="Palatino Linotype" w:cs="Palatino Linotype"/>
          <w:b/>
          <w:i/>
        </w:rPr>
        <w:t xml:space="preserve">sólo se cubrirá en su caso, </w:t>
      </w:r>
      <w:r w:rsidRPr="00D7023B">
        <w:rPr>
          <w:rFonts w:ascii="Palatino Linotype" w:eastAsia="Palatino Linotype" w:hAnsi="Palatino Linotype" w:cs="Palatino Linotype"/>
          <w:b/>
          <w:i/>
          <w:u w:val="single"/>
        </w:rPr>
        <w:t>los gastos de reproducción</w:t>
      </w:r>
      <w:r w:rsidRPr="00D7023B">
        <w:rPr>
          <w:rFonts w:ascii="Palatino Linotype" w:eastAsia="Palatino Linotype" w:hAnsi="Palatino Linotype" w:cs="Palatino Linotype"/>
          <w:u w:val="single"/>
        </w:rPr>
        <w:t>,</w:t>
      </w:r>
      <w:r w:rsidRPr="00D7023B">
        <w:rPr>
          <w:rFonts w:ascii="Palatino Linotype" w:eastAsia="Palatino Linotype" w:hAnsi="Palatino Linotype" w:cs="Palatino Linotype"/>
        </w:rPr>
        <w:t xml:space="preserve"> </w:t>
      </w:r>
      <w:r w:rsidRPr="00D7023B">
        <w:rPr>
          <w:rFonts w:ascii="Palatino Linotype" w:eastAsia="Palatino Linotype" w:hAnsi="Palatino Linotype" w:cs="Palatino Linotype"/>
          <w:b/>
          <w:i/>
          <w:u w:val="single"/>
        </w:rPr>
        <w:t>por la modalidad de entrega solicitada</w:t>
      </w:r>
      <w:r w:rsidRPr="00D7023B">
        <w:rPr>
          <w:rFonts w:ascii="Palatino Linotype" w:eastAsia="Palatino Linotype" w:hAnsi="Palatino Linotype" w:cs="Palatino Linotype"/>
          <w:u w:val="single"/>
        </w:rPr>
        <w:t xml:space="preserve">, </w:t>
      </w:r>
      <w:r w:rsidRPr="00D7023B">
        <w:rPr>
          <w:rFonts w:ascii="Palatino Linotype" w:eastAsia="Palatino Linotype" w:hAnsi="Palatino Linotype" w:cs="Palatino Linotype"/>
          <w:b/>
          <w:i/>
          <w:u w:val="single"/>
        </w:rPr>
        <w:t xml:space="preserve">o por </w:t>
      </w:r>
      <w:proofErr w:type="spellStart"/>
      <w:r w:rsidRPr="00D7023B">
        <w:rPr>
          <w:rFonts w:ascii="Palatino Linotype" w:eastAsia="Palatino Linotype" w:hAnsi="Palatino Linotype" w:cs="Palatino Linotype"/>
          <w:b/>
          <w:i/>
          <w:u w:val="single"/>
        </w:rPr>
        <w:t>el</w:t>
      </w:r>
      <w:proofErr w:type="spellEnd"/>
      <w:r w:rsidRPr="00D7023B">
        <w:rPr>
          <w:rFonts w:ascii="Palatino Linotype" w:eastAsia="Palatino Linotype" w:hAnsi="Palatino Linotype" w:cs="Palatino Linotype"/>
          <w:b/>
          <w:i/>
          <w:u w:val="single"/>
        </w:rPr>
        <w:t xml:space="preserve"> envió</w:t>
      </w:r>
      <w:r w:rsidRPr="00D7023B">
        <w:rPr>
          <w:rFonts w:ascii="Palatino Linotype" w:eastAsia="Palatino Linotype" w:hAnsi="Palatino Linotype" w:cs="Palatino Linotype"/>
          <w:u w:val="single"/>
        </w:rPr>
        <w:t xml:space="preserve"> </w:t>
      </w:r>
      <w:r w:rsidRPr="00D7023B">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D7023B">
        <w:rPr>
          <w:rFonts w:ascii="Palatino Linotype" w:eastAsia="Palatino Linotype" w:hAnsi="Palatino Linotype" w:cs="Palatino Linotype"/>
          <w:i/>
        </w:rPr>
        <w:t>se rige por los principios de simplicidad, rapidez, gratuidad,</w:t>
      </w:r>
      <w:r w:rsidRPr="00D7023B">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w:t>
      </w:r>
      <w:r w:rsidRPr="00D7023B">
        <w:rPr>
          <w:rFonts w:ascii="Palatino Linotype" w:eastAsia="Palatino Linotype" w:hAnsi="Palatino Linotype" w:cs="Palatino Linotype"/>
        </w:rPr>
        <w:lastRenderedPageBreak/>
        <w:t xml:space="preserve">con el principio de gratuidad y solamente en casos excepcionales se procederá al cobro para la entrega de la información, lo cual ocurrirá  </w:t>
      </w:r>
      <w:r w:rsidRPr="00D7023B">
        <w:rPr>
          <w:rFonts w:ascii="Palatino Linotype" w:eastAsia="Palatino Linotype" w:hAnsi="Palatino Linotype" w:cs="Palatino Linotype"/>
          <w:b/>
          <w:i/>
        </w:rPr>
        <w:t>en caso de que se tenga que generar un gasto por la reproducción, por el envío, o por la modalidad de entrega solicitada,</w:t>
      </w:r>
      <w:r w:rsidRPr="00D7023B">
        <w:rPr>
          <w:rFonts w:ascii="Palatino Linotype" w:eastAsia="Palatino Linotype" w:hAnsi="Palatino Linotype" w:cs="Palatino Linotype"/>
        </w:rPr>
        <w:t xml:space="preserve"> supuestos que encuadran con lo  establecido en los artículos 9 fracción III, 17, 165, 174, 175 de la Ley de Acceso a la Información Pública del Estado de México y Municipios, así como el artículo 4.22 de su Reglamento, que son del tenor literal siguiente:</w:t>
      </w:r>
    </w:p>
    <w:p w:rsidR="00242A56" w:rsidRPr="00D7023B" w:rsidRDefault="00C07BE5">
      <w:pPr>
        <w:spacing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 xml:space="preserve">“Artículo 9. </w:t>
      </w:r>
      <w:r w:rsidRPr="00D7023B">
        <w:rPr>
          <w:rFonts w:ascii="Palatino Linotype" w:eastAsia="Palatino Linotype" w:hAnsi="Palatino Linotype" w:cs="Palatino Linotype"/>
          <w:i/>
          <w:sz w:val="22"/>
          <w:szCs w:val="22"/>
        </w:rPr>
        <w:t>El Instituto deberá regir su funcionamiento de acuerdo a los siguientes principios:</w:t>
      </w:r>
    </w:p>
    <w:p w:rsidR="00242A56" w:rsidRPr="00D7023B" w:rsidRDefault="00C07BE5">
      <w:pPr>
        <w:spacing w:before="120" w:after="120"/>
        <w:ind w:left="1134" w:right="902"/>
        <w:jc w:val="both"/>
        <w:rPr>
          <w:rFonts w:ascii="Palatino Linotype" w:eastAsia="Palatino Linotype" w:hAnsi="Palatino Linotype" w:cs="Palatino Linotype"/>
          <w:b/>
          <w:i/>
          <w:sz w:val="22"/>
          <w:szCs w:val="22"/>
        </w:rPr>
      </w:pPr>
      <w:r w:rsidRPr="00D7023B">
        <w:rPr>
          <w:rFonts w:ascii="Palatino Linotype" w:eastAsia="Palatino Linotype" w:hAnsi="Palatino Linotype" w:cs="Palatino Linotype"/>
          <w:b/>
          <w:i/>
          <w:sz w:val="22"/>
          <w:szCs w:val="22"/>
        </w:rPr>
        <w:t>...</w:t>
      </w:r>
    </w:p>
    <w:p w:rsidR="00242A56" w:rsidRPr="00D7023B" w:rsidRDefault="00C07BE5">
      <w:pPr>
        <w:spacing w:before="120" w:after="120"/>
        <w:ind w:left="1134"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 xml:space="preserve">III. Gratuidad: </w:t>
      </w:r>
      <w:r w:rsidRPr="00D7023B">
        <w:rPr>
          <w:rFonts w:ascii="Palatino Linotype" w:eastAsia="Palatino Linotype" w:hAnsi="Palatino Linotype" w:cs="Palatino Linotype"/>
          <w:i/>
          <w:sz w:val="22"/>
          <w:szCs w:val="22"/>
        </w:rPr>
        <w:t xml:space="preserve">Consiste en que el acceso a la información pública no genera costo alguno para los solicitantes, </w:t>
      </w:r>
      <w:r w:rsidRPr="00D7023B">
        <w:rPr>
          <w:rFonts w:ascii="Palatino Linotype" w:eastAsia="Palatino Linotype" w:hAnsi="Palatino Linotype" w:cs="Palatino Linotype"/>
          <w:b/>
          <w:i/>
          <w:sz w:val="22"/>
          <w:szCs w:val="22"/>
        </w:rPr>
        <w:t xml:space="preserve">sólo podrá requerirse el cobro correspondiente a la modalidad de reproducción y entrega solicitada </w:t>
      </w:r>
      <w:r w:rsidRPr="00D7023B">
        <w:rPr>
          <w:rFonts w:ascii="Palatino Linotype" w:eastAsia="Palatino Linotype" w:hAnsi="Palatino Linotype" w:cs="Palatino Linotype"/>
          <w:i/>
          <w:sz w:val="22"/>
          <w:szCs w:val="22"/>
        </w:rPr>
        <w:t>conforme a lo establecido en la presente Ley y demás disposiciones jurídicas aplicables;</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 xml:space="preserve">Artículo 17. </w:t>
      </w:r>
      <w:r w:rsidRPr="00D7023B">
        <w:rPr>
          <w:rFonts w:ascii="Palatino Linotype" w:eastAsia="Palatino Linotype" w:hAnsi="Palatino Linotype" w:cs="Palatino Linotype"/>
          <w:i/>
          <w:sz w:val="22"/>
          <w:szCs w:val="22"/>
        </w:rPr>
        <w:t xml:space="preserve">La búsqueda y acceso a la información es gratuita y </w:t>
      </w:r>
      <w:r w:rsidRPr="00D7023B">
        <w:rPr>
          <w:rFonts w:ascii="Palatino Linotype" w:eastAsia="Palatino Linotype" w:hAnsi="Palatino Linotype" w:cs="Palatino Linotype"/>
          <w:b/>
          <w:i/>
          <w:sz w:val="22"/>
          <w:szCs w:val="22"/>
        </w:rPr>
        <w:t>solo se cubrirán los gastos de reproducción, o por la modalidad de entrega solicitada</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rPr>
        <w:t>así como por el envío</w:t>
      </w:r>
      <w:r w:rsidRPr="00D7023B">
        <w:rPr>
          <w:rFonts w:ascii="Palatino Linotype" w:eastAsia="Palatino Linotype" w:hAnsi="Palatino Linotype" w:cs="Palatino Linotype"/>
          <w:i/>
          <w:sz w:val="22"/>
          <w:szCs w:val="22"/>
        </w:rPr>
        <w:t>, que en su caso se genere, de conformidad con los derechos, productos y aprovechamientos establecidos en la legislación aplicable, sin que exceda de los límites establecidos en la presente Ley.</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Artículo 165. …</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La información que se entregue en versión pública, </w:t>
      </w:r>
      <w:r w:rsidRPr="00D7023B">
        <w:rPr>
          <w:rFonts w:ascii="Palatino Linotype" w:eastAsia="Palatino Linotype" w:hAnsi="Palatino Linotype" w:cs="Palatino Linotype"/>
          <w:b/>
          <w:i/>
          <w:sz w:val="22"/>
          <w:szCs w:val="22"/>
        </w:rPr>
        <w:t xml:space="preserve">cuya modalidad de reproducción o envío tenga un costo, </w:t>
      </w:r>
      <w:r w:rsidRPr="00D7023B">
        <w:rPr>
          <w:rFonts w:ascii="Palatino Linotype" w:eastAsia="Palatino Linotype" w:hAnsi="Palatino Linotype" w:cs="Palatino Linotype"/>
          <w:i/>
          <w:sz w:val="22"/>
          <w:szCs w:val="22"/>
        </w:rPr>
        <w:t>procederá una vez que se acredite el pago respectivo. No puede entenderse como reproducción la elaboración de la misma.</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 xml:space="preserve"> Artículo 174. En caso de existir costos para obtener la información</w:t>
      </w:r>
      <w:r w:rsidRPr="00D7023B">
        <w:rPr>
          <w:rFonts w:ascii="Palatino Linotype" w:eastAsia="Palatino Linotype" w:hAnsi="Palatino Linotype" w:cs="Palatino Linotype"/>
          <w:i/>
          <w:sz w:val="22"/>
          <w:szCs w:val="22"/>
        </w:rPr>
        <w:t xml:space="preserve"> deberán cubrirse de manera previa a la entrega y </w:t>
      </w:r>
      <w:r w:rsidRPr="00D7023B">
        <w:rPr>
          <w:rFonts w:ascii="Palatino Linotype" w:eastAsia="Palatino Linotype" w:hAnsi="Palatino Linotype" w:cs="Palatino Linotype"/>
          <w:b/>
          <w:i/>
          <w:sz w:val="22"/>
          <w:szCs w:val="22"/>
        </w:rPr>
        <w:t>no podrán ser superiores a la suma de</w:t>
      </w:r>
      <w:r w:rsidRPr="00D7023B">
        <w:rPr>
          <w:rFonts w:ascii="Palatino Linotype" w:eastAsia="Palatino Linotype" w:hAnsi="Palatino Linotype" w:cs="Palatino Linotype"/>
          <w:i/>
          <w:sz w:val="22"/>
          <w:szCs w:val="22"/>
        </w:rPr>
        <w:t>:</w:t>
      </w:r>
    </w:p>
    <w:p w:rsidR="00242A56" w:rsidRPr="00D7023B" w:rsidRDefault="00242A56">
      <w:pPr>
        <w:spacing w:before="120" w:after="120"/>
        <w:ind w:left="851" w:right="902"/>
        <w:jc w:val="both"/>
        <w:rPr>
          <w:rFonts w:ascii="Palatino Linotype" w:eastAsia="Palatino Linotype" w:hAnsi="Palatino Linotype" w:cs="Palatino Linotype"/>
          <w:i/>
          <w:sz w:val="22"/>
          <w:szCs w:val="22"/>
        </w:rPr>
      </w:pPr>
    </w:p>
    <w:p w:rsidR="00242A56" w:rsidRPr="00D7023B" w:rsidRDefault="00C07BE5">
      <w:pPr>
        <w:spacing w:before="120" w:after="120"/>
        <w:ind w:left="1134"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I.</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u w:val="single"/>
        </w:rPr>
        <w:t>El costo de los materiales utilizados en la reproducción</w:t>
      </w:r>
      <w:r w:rsidRPr="00D7023B">
        <w:rPr>
          <w:rFonts w:ascii="Palatino Linotype" w:eastAsia="Palatino Linotype" w:hAnsi="Palatino Linotype" w:cs="Palatino Linotype"/>
          <w:i/>
          <w:sz w:val="22"/>
          <w:szCs w:val="22"/>
        </w:rPr>
        <w:t xml:space="preserve"> de la información;</w:t>
      </w:r>
    </w:p>
    <w:p w:rsidR="00242A56" w:rsidRPr="00D7023B" w:rsidRDefault="00C07BE5">
      <w:pPr>
        <w:spacing w:before="120" w:after="120"/>
        <w:ind w:left="1134"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 El costo de envío, en su caso; y</w:t>
      </w:r>
    </w:p>
    <w:p w:rsidR="00242A56" w:rsidRPr="00D7023B" w:rsidRDefault="00C07BE5">
      <w:pPr>
        <w:spacing w:before="120" w:after="120"/>
        <w:ind w:left="1134"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III. El pago de la certificación de los documentos, cuando proceda.</w:t>
      </w:r>
    </w:p>
    <w:p w:rsidR="00242A56" w:rsidRPr="00D7023B" w:rsidRDefault="00C07BE5">
      <w:pPr>
        <w:spacing w:before="120" w:after="120"/>
        <w:ind w:left="1134"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Las cuotas de los derechos aplicables deberán establecerse, en su caso, en el </w:t>
      </w:r>
      <w:r w:rsidRPr="00D7023B">
        <w:rPr>
          <w:rFonts w:ascii="Palatino Linotype" w:eastAsia="Palatino Linotype" w:hAnsi="Palatino Linotype" w:cs="Palatino Linotype"/>
          <w:b/>
          <w:i/>
          <w:sz w:val="22"/>
          <w:szCs w:val="22"/>
        </w:rPr>
        <w:t>Código Financiero del Estado de México y Municipios</w:t>
      </w:r>
      <w:r w:rsidRPr="00D7023B">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 xml:space="preserve">Artículo 175. </w:t>
      </w:r>
      <w:r w:rsidRPr="00D7023B">
        <w:rPr>
          <w:rFonts w:ascii="Palatino Linotype" w:eastAsia="Palatino Linotype" w:hAnsi="Palatino Linotype" w:cs="Palatino Linotype"/>
          <w:i/>
          <w:sz w:val="22"/>
          <w:szCs w:val="22"/>
        </w:rPr>
        <w:t>…</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En ningún caso, el pago de derechos deberá exceder el</w:t>
      </w:r>
      <w:r w:rsidRPr="00D7023B">
        <w:rPr>
          <w:rFonts w:ascii="Palatino Linotype" w:eastAsia="Palatino Linotype" w:hAnsi="Palatino Linotype" w:cs="Palatino Linotype"/>
          <w:b/>
          <w:i/>
          <w:sz w:val="22"/>
          <w:szCs w:val="22"/>
        </w:rPr>
        <w:t xml:space="preserve"> costo de reproducción de la información en el material solicitado</w:t>
      </w:r>
      <w:r w:rsidRPr="00D7023B">
        <w:rPr>
          <w:rFonts w:ascii="Palatino Linotype" w:eastAsia="Palatino Linotype" w:hAnsi="Palatino Linotype" w:cs="Palatino Linotype"/>
          <w:i/>
          <w:sz w:val="22"/>
          <w:szCs w:val="22"/>
        </w:rPr>
        <w:t>.”</w:t>
      </w:r>
    </w:p>
    <w:p w:rsidR="00242A56" w:rsidRPr="00D7023B" w:rsidRDefault="00C07BE5">
      <w:pPr>
        <w:spacing w:before="120" w:after="120"/>
        <w:ind w:left="851" w:right="902"/>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Artículo 4.22</w:t>
      </w:r>
      <w:r w:rsidRPr="00D7023B">
        <w:rPr>
          <w:rFonts w:ascii="Palatino Linotype" w:eastAsia="Palatino Linotype" w:hAnsi="Palatino Linotype" w:cs="Palatino Linotype"/>
          <w:i/>
          <w:sz w:val="22"/>
          <w:szCs w:val="22"/>
        </w:rPr>
        <w:t>.-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información.”(Sic)</w:t>
      </w:r>
    </w:p>
    <w:p w:rsidR="00242A56" w:rsidRPr="00D7023B" w:rsidRDefault="00242A56">
      <w:pPr>
        <w:spacing w:before="120" w:after="120"/>
        <w:ind w:left="851" w:right="902"/>
        <w:jc w:val="both"/>
        <w:rPr>
          <w:rFonts w:ascii="Palatino Linotype" w:eastAsia="Palatino Linotype" w:hAnsi="Palatino Linotype" w:cs="Palatino Linotype"/>
          <w:i/>
        </w:rPr>
      </w:pPr>
    </w:p>
    <w:p w:rsidR="00242A56" w:rsidRPr="00D7023B" w:rsidRDefault="00C07BE5">
      <w:pPr>
        <w:spacing w:before="12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En efecto, de los preceptos citados se desprende que Ley de la Materia estableció el cobró de derechos para la entrega de la información, con el objeto de que se cubran los costos de los materiales utilizados en la reproducción de la información, el costo por el envío de la misma o el pago por la certificación.</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En tal sentido, en el presente caso, la entrega de la información</w:t>
      </w:r>
      <w:r w:rsidRPr="00D7023B">
        <w:rPr>
          <w:rFonts w:ascii="Palatino Linotype" w:eastAsia="Palatino Linotype" w:hAnsi="Palatino Linotype" w:cs="Palatino Linotype"/>
          <w:b/>
        </w:rPr>
        <w:t xml:space="preserve">, </w:t>
      </w:r>
      <w:r w:rsidRPr="00D7023B">
        <w:rPr>
          <w:rFonts w:ascii="Palatino Linotype" w:eastAsia="Palatino Linotype" w:hAnsi="Palatino Linotype" w:cs="Palatino Linotype"/>
        </w:rPr>
        <w:t xml:space="preserve">a través de </w:t>
      </w:r>
      <w:r w:rsidRPr="00D7023B">
        <w:rPr>
          <w:rFonts w:ascii="Palatino Linotype" w:eastAsia="Palatino Linotype" w:hAnsi="Palatino Linotype" w:cs="Palatino Linotype"/>
          <w:b/>
        </w:rPr>
        <w:t>copia simple con costo</w:t>
      </w:r>
      <w:r w:rsidRPr="00D7023B">
        <w:rPr>
          <w:rFonts w:ascii="Palatino Linotype" w:eastAsia="Palatino Linotype" w:hAnsi="Palatino Linotype" w:cs="Palatino Linotype"/>
        </w:rPr>
        <w:t xml:space="preserve">, como ha sido adelantado, dicha modalidad de entrega recae en el </w:t>
      </w:r>
      <w:r w:rsidRPr="00D7023B">
        <w:rPr>
          <w:rFonts w:ascii="Palatino Linotype" w:eastAsia="Palatino Linotype" w:hAnsi="Palatino Linotype" w:cs="Palatino Linotype"/>
        </w:rPr>
        <w:lastRenderedPageBreak/>
        <w:t xml:space="preserve">supuesto previsto en el artículo 174 fracciones I y párrafo segundo de la Ley de Transparencia y Acceso a la Información Pública del Estado de México y Municipios, citado con antelación. </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Asimismo, se precisa que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ind w:firstLine="1"/>
        <w:jc w:val="both"/>
        <w:rPr>
          <w:rFonts w:ascii="Palatino Linotype" w:eastAsia="Palatino Linotype" w:hAnsi="Palatino Linotype" w:cs="Palatino Linotype"/>
        </w:rPr>
      </w:pPr>
      <w:r w:rsidRPr="00D7023B">
        <w:rPr>
          <w:rFonts w:ascii="Palatino Linotype" w:eastAsia="Palatino Linotype" w:hAnsi="Palatino Linotype" w:cs="Palatino Linotype"/>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rsidR="00242A56" w:rsidRPr="00D7023B" w:rsidRDefault="00242A56">
      <w:pPr>
        <w:spacing w:line="360" w:lineRule="auto"/>
        <w:ind w:firstLine="1"/>
        <w:jc w:val="both"/>
        <w:rPr>
          <w:rFonts w:ascii="Palatino Linotype" w:eastAsia="Palatino Linotype" w:hAnsi="Palatino Linotype" w:cs="Palatino Linotype"/>
        </w:rPr>
      </w:pPr>
    </w:p>
    <w:p w:rsidR="00242A56" w:rsidRPr="00D7023B" w:rsidRDefault="00C07BE5">
      <w:pPr>
        <w:spacing w:line="360" w:lineRule="auto"/>
        <w:ind w:firstLine="1"/>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 xml:space="preserve">Así, se tiene que para la expedición de copia simple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a realizar el pago establecido en el artículo 148, fracción II del Código Financiero.</w:t>
      </w:r>
    </w:p>
    <w:p w:rsidR="00242A56" w:rsidRPr="00D7023B" w:rsidRDefault="00C07BE5">
      <w:pPr>
        <w:spacing w:before="240" w:after="240"/>
        <w:jc w:val="center"/>
      </w:pPr>
      <w:r w:rsidRPr="00D7023B">
        <w:rPr>
          <w:noProof/>
          <w:lang w:val="es-MX"/>
        </w:rPr>
        <w:drawing>
          <wp:inline distT="0" distB="0" distL="0" distR="0">
            <wp:extent cx="5791200" cy="2971800"/>
            <wp:effectExtent l="0" t="0" r="0" b="0"/>
            <wp:docPr id="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791200" cy="2971800"/>
                    </a:xfrm>
                    <a:prstGeom prst="rect">
                      <a:avLst/>
                    </a:prstGeom>
                    <a:ln/>
                  </pic:spPr>
                </pic:pic>
              </a:graphicData>
            </a:graphic>
          </wp:inline>
        </w:drawing>
      </w:r>
    </w:p>
    <w:p w:rsidR="00242A56" w:rsidRPr="00D7023B" w:rsidRDefault="00C07BE5">
      <w:pPr>
        <w:spacing w:before="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En este sentido, es evidente que la entrega de la información a la particular mediante copias simples con costo, procederá una vez que se acredite el pago de derechos correspondiente.</w:t>
      </w:r>
    </w:p>
    <w:p w:rsidR="00242A56" w:rsidRPr="00D7023B" w:rsidRDefault="00242A56">
      <w:pPr>
        <w:spacing w:line="360" w:lineRule="auto"/>
        <w:ind w:right="49"/>
        <w:jc w:val="both"/>
        <w:rPr>
          <w:rFonts w:ascii="Palatino Linotype" w:eastAsia="Palatino Linotype" w:hAnsi="Palatino Linotype" w:cs="Palatino Linotype"/>
        </w:rPr>
      </w:pPr>
    </w:p>
    <w:p w:rsidR="00242A56" w:rsidRPr="00D7023B" w:rsidRDefault="00C07BE5">
      <w:pPr>
        <w:spacing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este sentido se señala que el monto por concepto de derechos, como se lee en el referido precepto legal del Código Financiero, se calcula tomando en consideración la Unidad de Medida y Actualización, UMA, como la referencia económica en pesos para determinar la cuantía del pago de las obligaciones y supuestos previstos en las </w:t>
      </w:r>
      <w:r w:rsidRPr="00D7023B">
        <w:rPr>
          <w:rFonts w:ascii="Palatino Linotype" w:eastAsia="Palatino Linotype" w:hAnsi="Palatino Linotype" w:cs="Palatino Linotype"/>
        </w:rPr>
        <w:lastRenderedPageBreak/>
        <w:t>leyes federales, de las entidades federativas, así como en las disposiciones jurídicas que emanen de todas las anteriores, que es determinado en cada ejercicio fiscal por el Instituto Nacional de Estadística y Geografía, INEGI, cuyo valor actual es por la cantidad de $103.74 diarios, como se observa en seguida:</w:t>
      </w:r>
    </w:p>
    <w:p w:rsidR="00242A56" w:rsidRPr="00D7023B" w:rsidRDefault="00242A56">
      <w:pPr>
        <w:spacing w:before="240" w:after="240" w:line="360" w:lineRule="auto"/>
        <w:ind w:right="49"/>
        <w:jc w:val="both"/>
      </w:pP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noProof/>
          <w:lang w:val="es-MX"/>
        </w:rPr>
        <w:drawing>
          <wp:inline distT="0" distB="0" distL="0" distR="0">
            <wp:extent cx="5334000" cy="242570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l="32813" t="30175" r="17741" b="14303"/>
                    <a:stretch>
                      <a:fillRect/>
                    </a:stretch>
                  </pic:blipFill>
                  <pic:spPr>
                    <a:xfrm>
                      <a:off x="0" y="0"/>
                      <a:ext cx="5334000" cy="2425700"/>
                    </a:xfrm>
                    <a:prstGeom prst="rect">
                      <a:avLst/>
                    </a:prstGeom>
                    <a:ln/>
                  </pic:spPr>
                </pic:pic>
              </a:graphicData>
            </a:graphic>
          </wp:inline>
        </w:drawing>
      </w:r>
      <w:r w:rsidRPr="00D7023B">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165100</wp:posOffset>
                </wp:positionH>
                <wp:positionV relativeFrom="paragraph">
                  <wp:posOffset>1130300</wp:posOffset>
                </wp:positionV>
                <wp:extent cx="1371600" cy="228600"/>
                <wp:effectExtent l="0" t="0" r="0" b="0"/>
                <wp:wrapNone/>
                <wp:docPr id="83" name="Rectángulo 83"/>
                <wp:cNvGraphicFramePr/>
                <a:graphic xmlns:a="http://schemas.openxmlformats.org/drawingml/2006/main">
                  <a:graphicData uri="http://schemas.microsoft.com/office/word/2010/wordprocessingShape">
                    <wps:wsp>
                      <wps:cNvSpPr/>
                      <wps:spPr>
                        <a:xfrm>
                          <a:off x="4679250" y="3684750"/>
                          <a:ext cx="1333500" cy="190500"/>
                        </a:xfrm>
                        <a:prstGeom prst="rect">
                          <a:avLst/>
                        </a:prstGeom>
                        <a:noFill/>
                        <a:ln w="38100" cap="flat" cmpd="sng">
                          <a:solidFill>
                            <a:srgbClr val="C00000"/>
                          </a:solidFill>
                          <a:prstDash val="solid"/>
                          <a:round/>
                          <a:headEnd type="none" w="sm" len="sm"/>
                          <a:tailEnd type="none" w="sm" len="sm"/>
                        </a:ln>
                      </wps:spPr>
                      <wps:txbx>
                        <w:txbxContent>
                          <w:p w:rsidR="007B602A" w:rsidRDefault="007B602A">
                            <w:pPr>
                              <w:textDirection w:val="btLr"/>
                            </w:pPr>
                          </w:p>
                        </w:txbxContent>
                      </wps:txbx>
                      <wps:bodyPr spcFirstLastPara="1" wrap="square" lIns="91425" tIns="91425" rIns="91425" bIns="91425" anchor="ctr" anchorCtr="0">
                        <a:noAutofit/>
                      </wps:bodyPr>
                    </wps:wsp>
                  </a:graphicData>
                </a:graphic>
              </wp:anchor>
            </w:drawing>
          </mc:Choice>
          <mc:Fallback>
            <w:pict>
              <v:rect id="Rectángulo 83" o:spid="_x0000_s1030" style="position:absolute;left:0;text-align:left;margin-left:13pt;margin-top:89pt;width:10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" filled="f" strokecolor="#c00000" strokeweight="3pt">
                <v:stroke startarrowwidth="narrow" startarrowlength="short" endarrowwidth="narrow" endarrowlength="short" joinstyle="round"/>
                <v:textbox inset="2.53958mm,2.53958mm,2.53958mm,2.53958mm">
                  <w:txbxContent>
                    <w:p w:rsidR="007B602A" w:rsidRDefault="007B602A">
                      <w:pPr>
                        <w:textDirection w:val="btLr"/>
                      </w:pPr>
                    </w:p>
                  </w:txbxContent>
                </v:textbox>
              </v:rect>
            </w:pict>
          </mc:Fallback>
        </mc:AlternateContent>
      </w:r>
    </w:p>
    <w:p w:rsidR="00242A56" w:rsidRPr="00D7023B" w:rsidRDefault="00C07BE5">
      <w:pPr>
        <w:spacing w:before="240"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Así, los derechos por las copias simples de la primera hoja, equivalen a 0.224 veces el valor diario de la Unidad de Medida y Actualización vigente, mientras que los derechos para cada una de las subsecuentes equivalen a 0.016 veces el valor diario de la Unidad de Medida y Actualización vigente, es decir, $23.23 la primera hoja, y $1.65984 cada una de las hojas subsecuentes.</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line="360" w:lineRule="auto"/>
        <w:ind w:right="51"/>
        <w:jc w:val="both"/>
        <w:rPr>
          <w:rFonts w:ascii="Palatino Linotype" w:eastAsia="Palatino Linotype" w:hAnsi="Palatino Linotype" w:cs="Palatino Linotype"/>
          <w:b/>
        </w:rPr>
      </w:pPr>
      <w:r w:rsidRPr="00D7023B">
        <w:rPr>
          <w:rFonts w:ascii="Palatino Linotype" w:eastAsia="Palatino Linotype" w:hAnsi="Palatino Linotype" w:cs="Palatino Linotype"/>
        </w:rPr>
        <w:t xml:space="preserve">Asimismo, se precisa que para la entrega de la información en copias simples con costo, tal y como fue solicitada por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debemos tener en cuenta que los Lineamientos para la Recepción, Trámite y Resolución de las </w:t>
      </w:r>
      <w:r w:rsidRPr="00D7023B">
        <w:rPr>
          <w:rFonts w:ascii="Palatino Linotype" w:eastAsia="Palatino Linotype" w:hAnsi="Palatino Linotype" w:cs="Palatino Linotype"/>
        </w:rPr>
        <w:lastRenderedPageBreak/>
        <w:t>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D7023B">
        <w:rPr>
          <w:rFonts w:ascii="Palatino Linotype" w:eastAsia="Palatino Linotype" w:hAnsi="Palatino Linotype" w:cs="Palatino Linotype"/>
          <w:b/>
        </w:rPr>
        <w:t xml:space="preserve"> </w:t>
      </w:r>
      <w:r w:rsidRPr="00D7023B">
        <w:rPr>
          <w:rFonts w:ascii="Palatino Linotype" w:eastAsia="Palatino Linotype" w:hAnsi="Palatino Linotype" w:cs="Palatino Linotype"/>
        </w:rPr>
        <w:t xml:space="preserve">previamente, </w:t>
      </w:r>
      <w:r w:rsidRPr="00D7023B">
        <w:rPr>
          <w:rFonts w:ascii="Palatino Linotype" w:eastAsia="Palatino Linotype" w:hAnsi="Palatino Linotype" w:cs="Palatino Linotype"/>
          <w:b/>
        </w:rPr>
        <w:t xml:space="preserve">el costo total por la reproducción de la información requerida, así como el procedimiento para la entrega de la misma en el que se establezca: procedimiento para realizar el pago correspondiente, lugar, día y horarios en los que podrá presentarse a recoger las copias simples y el nombre del o los servidores públicos que le atenderán, </w:t>
      </w:r>
      <w:r w:rsidRPr="00D7023B">
        <w:rPr>
          <w:rFonts w:ascii="Palatino Linotype" w:eastAsia="Palatino Linotype" w:hAnsi="Palatino Linotype" w:cs="Palatino Linotype"/>
          <w:b/>
          <w:u w:val="single"/>
        </w:rPr>
        <w:t>situación que en el presente caso no aconteció</w:t>
      </w:r>
      <w:r w:rsidRPr="00D7023B">
        <w:rPr>
          <w:rFonts w:ascii="Palatino Linotype" w:eastAsia="Palatino Linotype" w:hAnsi="Palatino Linotype" w:cs="Palatino Linotype"/>
          <w:b/>
        </w:rPr>
        <w:t xml:space="preserve">, debido a que el SUJETO OBLIGADO omito pronunciarse al respecto. </w:t>
      </w:r>
    </w:p>
    <w:p w:rsidR="00242A56" w:rsidRPr="00D7023B" w:rsidRDefault="00242A56">
      <w:pPr>
        <w:spacing w:line="360" w:lineRule="auto"/>
        <w:ind w:right="51"/>
        <w:jc w:val="both"/>
        <w:rPr>
          <w:rFonts w:ascii="Palatino Linotype" w:eastAsia="Palatino Linotype" w:hAnsi="Palatino Linotype" w:cs="Palatino Linotype"/>
          <w:b/>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Asimismo, no debe perderse de vista el contenido del artículo 166 de la Ley de Transparencia y Acceso a la Información Pública del Estado de México y Municipios, que señala a la literalidad lo siguiente:</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after="120"/>
        <w:ind w:left="851" w:right="851"/>
        <w:jc w:val="both"/>
        <w:rPr>
          <w:rFonts w:ascii="Palatino Linotype" w:eastAsia="Palatino Linotype" w:hAnsi="Palatino Linotype" w:cs="Palatino Linotype"/>
          <w:i/>
        </w:rPr>
      </w:pPr>
      <w:r w:rsidRPr="00D7023B">
        <w:rPr>
          <w:rFonts w:ascii="Palatino Linotype" w:eastAsia="Palatino Linotype" w:hAnsi="Palatino Linotype" w:cs="Palatino Linotype"/>
          <w:i/>
        </w:rPr>
        <w:t>“</w:t>
      </w:r>
      <w:r w:rsidRPr="00D7023B">
        <w:rPr>
          <w:rFonts w:ascii="Palatino Linotype" w:eastAsia="Palatino Linotype" w:hAnsi="Palatino Linotype" w:cs="Palatino Linotype"/>
          <w:b/>
          <w:i/>
        </w:rPr>
        <w:t>Artículo 166</w:t>
      </w:r>
      <w:r w:rsidRPr="00D7023B">
        <w:rPr>
          <w:rFonts w:ascii="Palatino Linotype" w:eastAsia="Palatino Linotype" w:hAnsi="Palatino Linotype" w:cs="Palatino Linotype"/>
          <w:i/>
        </w:rPr>
        <w:t xml:space="preserve">. La obligación de acceso a la información pública se tendrá por cumplida </w:t>
      </w:r>
      <w:r w:rsidRPr="00D7023B">
        <w:rPr>
          <w:rFonts w:ascii="Palatino Linotype" w:eastAsia="Palatino Linotype" w:hAnsi="Palatino Linotype" w:cs="Palatino Linotype"/>
          <w:b/>
          <w:i/>
        </w:rPr>
        <w:t xml:space="preserve">cuando el solicitante tenga a su disposición la información requerida, </w:t>
      </w:r>
      <w:r w:rsidRPr="00D7023B">
        <w:rPr>
          <w:rFonts w:ascii="Palatino Linotype" w:eastAsia="Palatino Linotype" w:hAnsi="Palatino Linotype" w:cs="Palatino Linotype"/>
          <w:i/>
        </w:rPr>
        <w:t>o cuando realice la consulta de la misma en el lugar en el que ésta se localice.</w:t>
      </w:r>
    </w:p>
    <w:p w:rsidR="00242A56" w:rsidRPr="00D7023B" w:rsidRDefault="00C07BE5">
      <w:pPr>
        <w:spacing w:before="120" w:after="120"/>
        <w:ind w:left="851" w:right="851"/>
        <w:jc w:val="both"/>
        <w:rPr>
          <w:rFonts w:ascii="Palatino Linotype" w:eastAsia="Palatino Linotype" w:hAnsi="Palatino Linotype" w:cs="Palatino Linotype"/>
          <w:b/>
          <w:i/>
        </w:rPr>
      </w:pPr>
      <w:r w:rsidRPr="00D7023B">
        <w:rPr>
          <w:rFonts w:ascii="Palatino Linotype" w:eastAsia="Palatino Linotype" w:hAnsi="Palatino Linotype" w:cs="Palatino Linotype"/>
          <w:b/>
          <w:i/>
          <w:u w:val="single"/>
        </w:rPr>
        <w:t>La Unidad de Transparencia tendrá disponible la información solicitada</w:t>
      </w:r>
      <w:r w:rsidRPr="00D7023B">
        <w:rPr>
          <w:rFonts w:ascii="Palatino Linotype" w:eastAsia="Palatino Linotype" w:hAnsi="Palatino Linotype" w:cs="Palatino Linotype"/>
          <w:b/>
          <w:i/>
        </w:rPr>
        <w:t xml:space="preserve">, durante un plazo mínimo de sesenta días hábiles, contado a partir de que el solicitante hubiere realizado, en su caso, </w:t>
      </w:r>
      <w:r w:rsidRPr="00D7023B">
        <w:rPr>
          <w:rFonts w:ascii="Palatino Linotype" w:eastAsia="Palatino Linotype" w:hAnsi="Palatino Linotype" w:cs="Palatino Linotype"/>
          <w:b/>
          <w:i/>
        </w:rPr>
        <w:lastRenderedPageBreak/>
        <w:t>el pago respectivo, el cual deberá efectuarse en un plazo no mayor a treinta días hábiles.</w:t>
      </w:r>
    </w:p>
    <w:p w:rsidR="00242A56" w:rsidRPr="00D7023B" w:rsidRDefault="00C07BE5">
      <w:pPr>
        <w:spacing w:before="120" w:after="120"/>
        <w:ind w:left="851" w:right="851"/>
        <w:jc w:val="both"/>
        <w:rPr>
          <w:rFonts w:ascii="Palatino Linotype" w:eastAsia="Palatino Linotype" w:hAnsi="Palatino Linotype" w:cs="Palatino Linotype"/>
          <w:i/>
        </w:rPr>
      </w:pPr>
      <w:r w:rsidRPr="00D7023B">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rsidR="00242A56" w:rsidRPr="00D7023B" w:rsidRDefault="00C07BE5">
      <w:pPr>
        <w:spacing w:before="120" w:after="120"/>
        <w:ind w:left="851" w:right="851"/>
        <w:jc w:val="both"/>
        <w:rPr>
          <w:rFonts w:ascii="Palatino Linotype" w:eastAsia="Palatino Linotype" w:hAnsi="Palatino Linotype" w:cs="Palatino Linotype"/>
          <w:i/>
        </w:rPr>
      </w:pPr>
      <w:r w:rsidRPr="00D7023B">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rsidR="00242A56" w:rsidRPr="00D7023B" w:rsidRDefault="00C07BE5">
      <w:pPr>
        <w:spacing w:before="120" w:after="120"/>
        <w:ind w:left="851" w:right="851"/>
        <w:jc w:val="both"/>
        <w:rPr>
          <w:rFonts w:ascii="Palatino Linotype" w:eastAsia="Palatino Linotype" w:hAnsi="Palatino Linotype" w:cs="Palatino Linotype"/>
          <w:i/>
        </w:rPr>
      </w:pPr>
      <w:r w:rsidRPr="00D7023B">
        <w:rPr>
          <w:rFonts w:ascii="Palatino Linotype" w:eastAsia="Palatino Linotype" w:hAnsi="Palatino Linotype" w:cs="Palatino Linotype"/>
          <w:i/>
        </w:rPr>
        <w:t>Una vez entregada la información, el solicitante acusará recibo por escrito, dándose por terminado el trámite de acceso a la información.”</w:t>
      </w:r>
    </w:p>
    <w:p w:rsidR="00242A56" w:rsidRPr="00D7023B" w:rsidRDefault="00242A56">
      <w:pPr>
        <w:spacing w:before="120" w:line="360" w:lineRule="auto"/>
        <w:ind w:right="49"/>
        <w:jc w:val="both"/>
        <w:rPr>
          <w:rFonts w:ascii="Palatino Linotype" w:eastAsia="Palatino Linotype" w:hAnsi="Palatino Linotype" w:cs="Palatino Linotype"/>
        </w:rPr>
      </w:pPr>
    </w:p>
    <w:p w:rsidR="00242A56" w:rsidRPr="00D7023B" w:rsidRDefault="00C07BE5">
      <w:pPr>
        <w:spacing w:line="360" w:lineRule="auto"/>
        <w:ind w:right="49"/>
        <w:jc w:val="both"/>
        <w:rPr>
          <w:rFonts w:ascii="Palatino Linotype" w:eastAsia="Palatino Linotype" w:hAnsi="Palatino Linotype" w:cs="Palatino Linotype"/>
          <w:b/>
          <w:u w:val="single"/>
        </w:rPr>
      </w:pPr>
      <w:r w:rsidRPr="00D7023B">
        <w:rPr>
          <w:rFonts w:ascii="Palatino Linotype" w:eastAsia="Palatino Linotype" w:hAnsi="Palatino Linotype" w:cs="Palatino Linotype"/>
        </w:rPr>
        <w:t>Razón por la cual,</w:t>
      </w:r>
      <w:r w:rsidRPr="00D7023B">
        <w:rPr>
          <w:rFonts w:ascii="Palatino Linotype" w:eastAsia="Palatino Linotype" w:hAnsi="Palatino Linotype" w:cs="Palatino Linotype"/>
          <w:b/>
        </w:rPr>
        <w:t xml:space="preserve"> </w:t>
      </w:r>
      <w:r w:rsidRPr="00D7023B">
        <w:rPr>
          <w:rFonts w:ascii="Palatino Linotype" w:eastAsia="Palatino Linotype" w:hAnsi="Palatino Linotype" w:cs="Palatino Linotype"/>
        </w:rPr>
        <w:t xml:space="preserve">para dar cumplimiento a la presente resolución,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deberá hacer del conocimiento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vía SAIMEX, </w:t>
      </w:r>
      <w:r w:rsidRPr="00D7023B">
        <w:rPr>
          <w:rFonts w:ascii="Palatino Linotype" w:eastAsia="Palatino Linotype" w:hAnsi="Palatino Linotype" w:cs="Palatino Linotype"/>
          <w:b/>
          <w:u w:val="single"/>
        </w:rPr>
        <w:t>el costo por la reproducción en copias simples de la información requerida</w:t>
      </w:r>
      <w:r w:rsidRPr="00D7023B">
        <w:rPr>
          <w:rFonts w:ascii="Palatino Linotype" w:eastAsia="Palatino Linotype" w:hAnsi="Palatino Linotype" w:cs="Palatino Linotype"/>
        </w:rPr>
        <w:t xml:space="preserve">, </w:t>
      </w:r>
      <w:r w:rsidRPr="00D7023B">
        <w:rPr>
          <w:rFonts w:ascii="Palatino Linotype" w:eastAsia="Palatino Linotype" w:hAnsi="Palatino Linotype" w:cs="Palatino Linotype"/>
          <w:b/>
          <w:u w:val="single"/>
        </w:rPr>
        <w:t>así como el procedimiento para la entrega de la misma una vez que haya efectuado el pago por concepto de derechos, en el que se establezca: lugar, día y horarios en los que podrá presentarse a recoger las copias simples, así como  el nombre del o los servidores públicos que le atenderán.</w:t>
      </w:r>
    </w:p>
    <w:p w:rsidR="00242A56" w:rsidRPr="00D7023B" w:rsidRDefault="00242A56">
      <w:pPr>
        <w:spacing w:line="360" w:lineRule="auto"/>
        <w:ind w:right="49"/>
        <w:jc w:val="both"/>
        <w:rPr>
          <w:rFonts w:ascii="Palatino Linotype" w:eastAsia="Palatino Linotype" w:hAnsi="Palatino Linotype" w:cs="Palatino Linotype"/>
          <w:b/>
          <w:u w:val="single"/>
        </w:rPr>
      </w:pPr>
    </w:p>
    <w:p w:rsidR="00242A56" w:rsidRPr="00D7023B" w:rsidRDefault="00C07BE5">
      <w:pPr>
        <w:spacing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Quinto. Versión Pública. </w:t>
      </w:r>
      <w:r w:rsidRPr="00D7023B">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w:t>
      </w:r>
      <w:r w:rsidRPr="00D7023B">
        <w:rPr>
          <w:rFonts w:ascii="Palatino Linotype" w:eastAsia="Palatino Linotype" w:hAnsi="Palatino Linotype" w:cs="Palatino Linotype"/>
        </w:rPr>
        <w:lastRenderedPageBreak/>
        <w:t xml:space="preserve">de satisfacer el derecho de acceso a la información pública del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sin menoscabar el derecho a la protección de los datos personales de terceros.</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after="240" w:line="360" w:lineRule="auto"/>
        <w:ind w:right="50"/>
        <w:jc w:val="both"/>
        <w:rPr>
          <w:rFonts w:ascii="Palatino Linotype" w:eastAsia="Palatino Linotype" w:hAnsi="Palatino Linotype" w:cs="Palatino Linotype"/>
        </w:rPr>
      </w:pPr>
      <w:r w:rsidRPr="00D7023B">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242A56" w:rsidRPr="00D7023B" w:rsidRDefault="00C07BE5">
      <w:pPr>
        <w:ind w:left="993" w:right="1041"/>
        <w:jc w:val="both"/>
        <w:rPr>
          <w:rFonts w:ascii="Palatino Linotype" w:eastAsia="Palatino Linotype" w:hAnsi="Palatino Linotype" w:cs="Palatino Linotype"/>
          <w:b/>
          <w:i/>
          <w:sz w:val="22"/>
          <w:szCs w:val="22"/>
        </w:rPr>
      </w:pPr>
      <w:r w:rsidRPr="00D7023B">
        <w:rPr>
          <w:rFonts w:ascii="Palatino Linotype" w:eastAsia="Palatino Linotype" w:hAnsi="Palatino Linotype" w:cs="Palatino Linotype"/>
          <w:b/>
          <w:i/>
          <w:sz w:val="22"/>
          <w:szCs w:val="22"/>
        </w:rPr>
        <w:t xml:space="preserve"> “Artículo 3. Para los efectos de la presente Ley se entenderá por:</w:t>
      </w: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IX. Datos personales:</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rPr>
        <w:t>La información concerniente a una persona, identificada o identificable</w:t>
      </w:r>
      <w:r w:rsidRPr="00D7023B">
        <w:rPr>
          <w:rFonts w:ascii="Palatino Linotype" w:eastAsia="Palatino Linotype" w:hAnsi="Palatino Linotype" w:cs="Palatino Linotype"/>
          <w:i/>
          <w:sz w:val="22"/>
          <w:szCs w:val="22"/>
        </w:rPr>
        <w:t xml:space="preserve"> según lo dispuesto por la Ley de Protección de Datos Personales del Estado de México;</w:t>
      </w: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XX. Información clasificada:</w:t>
      </w:r>
      <w:r w:rsidRPr="00D7023B">
        <w:rPr>
          <w:rFonts w:ascii="Palatino Linotype" w:eastAsia="Palatino Linotype" w:hAnsi="Palatino Linotype" w:cs="Palatino Linotype"/>
          <w:i/>
          <w:sz w:val="22"/>
          <w:szCs w:val="22"/>
        </w:rPr>
        <w:t xml:space="preserve"> Aquella considerada por la presente Ley como reservada o confidencial;</w:t>
      </w: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XXXII. Protección de Datos Personales:</w:t>
      </w:r>
      <w:r w:rsidRPr="00D7023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XLV. Versión pública</w:t>
      </w:r>
      <w:r w:rsidRPr="00D7023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42A56" w:rsidRPr="00D7023B" w:rsidRDefault="00242A56">
      <w:pPr>
        <w:ind w:left="993" w:right="1041"/>
        <w:jc w:val="both"/>
        <w:rPr>
          <w:rFonts w:ascii="Palatino Linotype" w:eastAsia="Palatino Linotype" w:hAnsi="Palatino Linotype" w:cs="Palatino Linotype"/>
          <w:i/>
          <w:sz w:val="22"/>
          <w:szCs w:val="22"/>
        </w:rPr>
      </w:pP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“Artículo 6.</w:t>
      </w:r>
      <w:r w:rsidRPr="00D7023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42A56" w:rsidRPr="00D7023B" w:rsidRDefault="00242A56">
      <w:pPr>
        <w:ind w:left="993" w:right="1041"/>
        <w:jc w:val="both"/>
        <w:rPr>
          <w:rFonts w:ascii="Palatino Linotype" w:eastAsia="Palatino Linotype" w:hAnsi="Palatino Linotype" w:cs="Palatino Linotype"/>
          <w:i/>
          <w:sz w:val="22"/>
          <w:szCs w:val="22"/>
        </w:rPr>
      </w:pPr>
    </w:p>
    <w:p w:rsidR="00242A56" w:rsidRPr="00D7023B" w:rsidRDefault="00C07BE5">
      <w:pPr>
        <w:ind w:left="993" w:right="1041"/>
        <w:jc w:val="both"/>
        <w:rPr>
          <w:rFonts w:ascii="Palatino Linotype" w:eastAsia="Palatino Linotype" w:hAnsi="Palatino Linotype" w:cs="Palatino Linotype"/>
          <w:b/>
          <w:i/>
          <w:sz w:val="22"/>
          <w:szCs w:val="22"/>
        </w:rPr>
      </w:pPr>
      <w:r w:rsidRPr="00D7023B">
        <w:rPr>
          <w:rFonts w:ascii="Palatino Linotype" w:eastAsia="Palatino Linotype" w:hAnsi="Palatino Linotype" w:cs="Palatino Linotype"/>
          <w:b/>
          <w:i/>
          <w:sz w:val="22"/>
          <w:szCs w:val="22"/>
        </w:rPr>
        <w:t>“Artículo 137.</w:t>
      </w:r>
      <w:r w:rsidRPr="00D7023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sidRPr="00D7023B">
        <w:rPr>
          <w:rFonts w:ascii="Palatino Linotype" w:eastAsia="Palatino Linotype" w:hAnsi="Palatino Linotype" w:cs="Palatino Linotype"/>
          <w:i/>
          <w:sz w:val="22"/>
          <w:szCs w:val="22"/>
        </w:rPr>
        <w:lastRenderedPageBreak/>
        <w:t>versión pública en la que se testen las partes o secciones clasificadas, indicando su contenido de manera genérica y fundando y motivando su clasificación.”</w:t>
      </w:r>
    </w:p>
    <w:p w:rsidR="00242A56" w:rsidRPr="00D7023B" w:rsidRDefault="00242A56">
      <w:pPr>
        <w:ind w:left="993" w:right="1041"/>
        <w:jc w:val="both"/>
        <w:rPr>
          <w:rFonts w:ascii="Palatino Linotype" w:eastAsia="Palatino Linotype" w:hAnsi="Palatino Linotype" w:cs="Palatino Linotype"/>
          <w:b/>
          <w:i/>
          <w:sz w:val="22"/>
          <w:szCs w:val="22"/>
        </w:rPr>
      </w:pP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“Artículo 143</w:t>
      </w:r>
      <w:r w:rsidRPr="00D7023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I.</w:t>
      </w:r>
      <w:r w:rsidRPr="00D7023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242A56" w:rsidRPr="00D7023B" w:rsidRDefault="00C07BE5">
      <w:pPr>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242A56" w:rsidRPr="00D7023B" w:rsidRDefault="00242A56">
      <w:pPr>
        <w:ind w:left="993" w:right="1041"/>
        <w:jc w:val="both"/>
        <w:rPr>
          <w:rFonts w:ascii="Palatino Linotype" w:eastAsia="Palatino Linotype" w:hAnsi="Palatino Linotype" w:cs="Palatino Linotype"/>
          <w:i/>
          <w:sz w:val="22"/>
          <w:szCs w:val="22"/>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line="360" w:lineRule="auto"/>
        <w:ind w:right="50"/>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ind w:left="992" w:right="1043"/>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“Artículo 49.</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rPr>
        <w:t>Los Comités de Transparencia</w:t>
      </w:r>
      <w:r w:rsidRPr="00D7023B">
        <w:rPr>
          <w:rFonts w:ascii="Palatino Linotype" w:eastAsia="Palatino Linotype" w:hAnsi="Palatino Linotype" w:cs="Palatino Linotype"/>
          <w:i/>
          <w:sz w:val="22"/>
          <w:szCs w:val="22"/>
        </w:rPr>
        <w:t xml:space="preserve"> tendrán las siguientes atribuciones:</w:t>
      </w:r>
    </w:p>
    <w:p w:rsidR="00242A56" w:rsidRPr="00D7023B" w:rsidRDefault="00C07BE5">
      <w:pPr>
        <w:ind w:left="992" w:right="1043"/>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VIII. Aprobar, modificar o revocar la clasificación de la información</w:t>
      </w:r>
      <w:r w:rsidRPr="00D7023B">
        <w:rPr>
          <w:rFonts w:ascii="Palatino Linotype" w:eastAsia="Palatino Linotype" w:hAnsi="Palatino Linotype" w:cs="Palatino Linotype"/>
          <w:i/>
          <w:sz w:val="22"/>
          <w:szCs w:val="22"/>
        </w:rPr>
        <w:t>…”</w:t>
      </w:r>
    </w:p>
    <w:p w:rsidR="00242A56" w:rsidRPr="00D7023B" w:rsidRDefault="00C07BE5">
      <w:pPr>
        <w:ind w:left="992" w:right="1043"/>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Artículo 53.</w:t>
      </w:r>
      <w:r w:rsidRPr="00D7023B">
        <w:rPr>
          <w:rFonts w:ascii="Palatino Linotype" w:eastAsia="Palatino Linotype" w:hAnsi="Palatino Linotype" w:cs="Palatino Linotype"/>
          <w:i/>
          <w:sz w:val="22"/>
          <w:szCs w:val="22"/>
        </w:rPr>
        <w:t xml:space="preserve"> Las </w:t>
      </w:r>
      <w:r w:rsidRPr="00D7023B">
        <w:rPr>
          <w:rFonts w:ascii="Palatino Linotype" w:eastAsia="Palatino Linotype" w:hAnsi="Palatino Linotype" w:cs="Palatino Linotype"/>
          <w:b/>
          <w:i/>
          <w:sz w:val="22"/>
          <w:szCs w:val="22"/>
        </w:rPr>
        <w:t>Unidades de Transparencia</w:t>
      </w:r>
      <w:r w:rsidRPr="00D7023B">
        <w:rPr>
          <w:rFonts w:ascii="Palatino Linotype" w:eastAsia="Palatino Linotype" w:hAnsi="Palatino Linotype" w:cs="Palatino Linotype"/>
          <w:i/>
          <w:sz w:val="22"/>
          <w:szCs w:val="22"/>
        </w:rPr>
        <w:t xml:space="preserve"> tendrán las siguientes </w:t>
      </w:r>
      <w:r w:rsidRPr="00D7023B">
        <w:rPr>
          <w:rFonts w:ascii="Palatino Linotype" w:eastAsia="Palatino Linotype" w:hAnsi="Palatino Linotype" w:cs="Palatino Linotype"/>
          <w:b/>
          <w:i/>
          <w:sz w:val="22"/>
          <w:szCs w:val="22"/>
        </w:rPr>
        <w:t>funciones</w:t>
      </w:r>
      <w:r w:rsidRPr="00D7023B">
        <w:rPr>
          <w:rFonts w:ascii="Palatino Linotype" w:eastAsia="Palatino Linotype" w:hAnsi="Palatino Linotype" w:cs="Palatino Linotype"/>
          <w:i/>
          <w:sz w:val="22"/>
          <w:szCs w:val="22"/>
        </w:rPr>
        <w:t>:</w:t>
      </w:r>
    </w:p>
    <w:p w:rsidR="00242A56" w:rsidRPr="00D7023B" w:rsidRDefault="00C07BE5">
      <w:pPr>
        <w:ind w:left="992" w:right="1043"/>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X. Presentar ante el Comité, el proyecto de clasificación de información</w:t>
      </w:r>
      <w:r w:rsidRPr="00D7023B">
        <w:rPr>
          <w:rFonts w:ascii="Palatino Linotype" w:eastAsia="Palatino Linotype" w:hAnsi="Palatino Linotype" w:cs="Palatino Linotype"/>
          <w:i/>
          <w:sz w:val="22"/>
          <w:szCs w:val="22"/>
        </w:rPr>
        <w:t xml:space="preserve">…” </w:t>
      </w:r>
    </w:p>
    <w:p w:rsidR="00242A56" w:rsidRPr="00D7023B" w:rsidRDefault="00C07BE5">
      <w:pPr>
        <w:ind w:left="992" w:right="1043"/>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“Artículo 59.</w:t>
      </w:r>
      <w:r w:rsidRPr="00D7023B">
        <w:rPr>
          <w:rFonts w:ascii="Palatino Linotype" w:eastAsia="Palatino Linotype" w:hAnsi="Palatino Linotype" w:cs="Palatino Linotype"/>
          <w:i/>
          <w:sz w:val="22"/>
          <w:szCs w:val="22"/>
        </w:rPr>
        <w:t xml:space="preserve"> Los </w:t>
      </w:r>
      <w:r w:rsidRPr="00D7023B">
        <w:rPr>
          <w:rFonts w:ascii="Palatino Linotype" w:eastAsia="Palatino Linotype" w:hAnsi="Palatino Linotype" w:cs="Palatino Linotype"/>
          <w:b/>
          <w:i/>
          <w:sz w:val="22"/>
          <w:szCs w:val="22"/>
        </w:rPr>
        <w:t>servidores públicos habilitados</w:t>
      </w:r>
      <w:r w:rsidRPr="00D7023B">
        <w:rPr>
          <w:rFonts w:ascii="Palatino Linotype" w:eastAsia="Palatino Linotype" w:hAnsi="Palatino Linotype" w:cs="Palatino Linotype"/>
          <w:i/>
          <w:sz w:val="22"/>
          <w:szCs w:val="22"/>
        </w:rPr>
        <w:t xml:space="preserve"> tendrán las </w:t>
      </w:r>
      <w:r w:rsidRPr="00D7023B">
        <w:rPr>
          <w:rFonts w:ascii="Palatino Linotype" w:eastAsia="Palatino Linotype" w:hAnsi="Palatino Linotype" w:cs="Palatino Linotype"/>
          <w:b/>
          <w:i/>
          <w:sz w:val="22"/>
          <w:szCs w:val="22"/>
        </w:rPr>
        <w:t>funciones</w:t>
      </w:r>
      <w:r w:rsidRPr="00D7023B">
        <w:rPr>
          <w:rFonts w:ascii="Palatino Linotype" w:eastAsia="Palatino Linotype" w:hAnsi="Palatino Linotype" w:cs="Palatino Linotype"/>
          <w:i/>
          <w:sz w:val="22"/>
          <w:szCs w:val="22"/>
        </w:rPr>
        <w:t xml:space="preserve"> siguientes:</w:t>
      </w:r>
    </w:p>
    <w:p w:rsidR="00242A56" w:rsidRPr="00D7023B" w:rsidRDefault="00C07BE5">
      <w:pPr>
        <w:ind w:left="992" w:right="1043"/>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7023B">
        <w:rPr>
          <w:rFonts w:ascii="Palatino Linotype" w:eastAsia="Palatino Linotype" w:hAnsi="Palatino Linotype" w:cs="Palatino Linotype"/>
          <w:i/>
          <w:sz w:val="22"/>
          <w:szCs w:val="22"/>
        </w:rPr>
        <w:t>, la cual tendrá los fundamentos y argumentos en que se basa dicha propuesta…” (Sic)</w:t>
      </w:r>
    </w:p>
    <w:p w:rsidR="00242A56" w:rsidRPr="00D7023B" w:rsidRDefault="00242A56">
      <w:pPr>
        <w:ind w:left="992" w:right="1043"/>
        <w:jc w:val="both"/>
        <w:rPr>
          <w:rFonts w:ascii="Palatino Linotype" w:eastAsia="Palatino Linotype" w:hAnsi="Palatino Linotype" w:cs="Palatino Linotype"/>
          <w:i/>
          <w:sz w:val="22"/>
          <w:szCs w:val="22"/>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D7023B">
        <w:rPr>
          <w:rFonts w:ascii="Palatino Linotype" w:eastAsia="Palatino Linotype" w:hAnsi="Palatino Linotype" w:cs="Palatino Linotype"/>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242A56" w:rsidRPr="00D7023B" w:rsidRDefault="00C07BE5">
      <w:pPr>
        <w:spacing w:after="240"/>
        <w:ind w:left="993" w:right="104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Artículo 149.</w:t>
      </w:r>
      <w:r w:rsidRPr="00D7023B">
        <w:rPr>
          <w:rFonts w:ascii="Palatino Linotype" w:eastAsia="Palatino Linotype" w:hAnsi="Palatino Linotype" w:cs="Palatino Linotype"/>
          <w:i/>
          <w:sz w:val="22"/>
          <w:szCs w:val="22"/>
        </w:rPr>
        <w:t xml:space="preserve"> El </w:t>
      </w:r>
      <w:r w:rsidRPr="00D7023B">
        <w:rPr>
          <w:rFonts w:ascii="Palatino Linotype" w:eastAsia="Palatino Linotype" w:hAnsi="Palatino Linotype" w:cs="Palatino Linotype"/>
          <w:b/>
          <w:i/>
          <w:sz w:val="22"/>
          <w:szCs w:val="22"/>
        </w:rPr>
        <w:t>acuerdo que clasifique la información como confidencial</w:t>
      </w:r>
      <w:r w:rsidRPr="00D7023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242A56" w:rsidRPr="00D7023B" w:rsidRDefault="00242A56">
      <w:pPr>
        <w:spacing w:before="240" w:line="360" w:lineRule="auto"/>
        <w:ind w:right="51"/>
        <w:jc w:val="both"/>
        <w:rPr>
          <w:rFonts w:ascii="Palatino Linotype" w:eastAsia="Palatino Linotype" w:hAnsi="Palatino Linotype" w:cs="Palatino Linotype"/>
          <w:i/>
          <w:sz w:val="22"/>
          <w:szCs w:val="22"/>
        </w:rPr>
      </w:pPr>
    </w:p>
    <w:p w:rsidR="00242A56" w:rsidRPr="00D7023B" w:rsidRDefault="00C07BE5">
      <w:pPr>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Es decir,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42A56" w:rsidRPr="00D7023B" w:rsidRDefault="00242A56">
      <w:pPr>
        <w:spacing w:line="360" w:lineRule="auto"/>
        <w:ind w:right="51"/>
        <w:jc w:val="both"/>
        <w:rPr>
          <w:rFonts w:ascii="Palatino Linotype" w:eastAsia="Palatino Linotype" w:hAnsi="Palatino Linotype" w:cs="Palatino Linotype"/>
        </w:rPr>
      </w:pP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Por lo que respecta a la credencial para votar, debe ser protegida mediante su clasificación como confidencial en su totalidad, ya que por su naturaleza jurídica contienen datos deben ser clasificados como confidenciales, lo anterior, como a continuación se precisa:</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Artículo 156</w:t>
      </w:r>
      <w:r w:rsidRPr="00D7023B">
        <w:rPr>
          <w:rFonts w:ascii="Palatino Linotype" w:eastAsia="Palatino Linotype" w:hAnsi="Palatino Linotype" w:cs="Palatino Linotype"/>
          <w:i/>
          <w:sz w:val="22"/>
          <w:szCs w:val="22"/>
        </w:rPr>
        <w:t>.</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1.</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u w:val="single"/>
        </w:rPr>
        <w:t>La credencial para votar deberá contener, cuando menos, los siguientes datos del elector</w:t>
      </w:r>
      <w:r w:rsidRPr="00D7023B">
        <w:rPr>
          <w:rFonts w:ascii="Palatino Linotype" w:eastAsia="Palatino Linotype" w:hAnsi="Palatino Linotype" w:cs="Palatino Linotype"/>
          <w:i/>
          <w:sz w:val="22"/>
          <w:szCs w:val="22"/>
        </w:rPr>
        <w:t>:</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d) </w:t>
      </w:r>
      <w:r w:rsidRPr="00D7023B">
        <w:rPr>
          <w:rFonts w:ascii="Palatino Linotype" w:eastAsia="Palatino Linotype" w:hAnsi="Palatino Linotype" w:cs="Palatino Linotype"/>
          <w:b/>
          <w:i/>
          <w:sz w:val="22"/>
          <w:szCs w:val="22"/>
          <w:u w:val="single"/>
        </w:rPr>
        <w:t>Domicilio</w:t>
      </w:r>
      <w:r w:rsidRPr="00D7023B">
        <w:rPr>
          <w:rFonts w:ascii="Palatino Linotype" w:eastAsia="Palatino Linotype" w:hAnsi="Palatino Linotype" w:cs="Palatino Linotype"/>
          <w:i/>
          <w:sz w:val="22"/>
          <w:szCs w:val="22"/>
        </w:rPr>
        <w:t>;</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g) </w:t>
      </w:r>
      <w:r w:rsidRPr="00D7023B">
        <w:rPr>
          <w:rFonts w:ascii="Palatino Linotype" w:eastAsia="Palatino Linotype" w:hAnsi="Palatino Linotype" w:cs="Palatino Linotype"/>
          <w:b/>
          <w:i/>
          <w:sz w:val="22"/>
          <w:szCs w:val="22"/>
        </w:rPr>
        <w:t>Firma</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u w:val="single"/>
        </w:rPr>
        <w:t>huella digital</w:t>
      </w:r>
      <w:r w:rsidRPr="00D7023B">
        <w:rPr>
          <w:rFonts w:ascii="Palatino Linotype" w:eastAsia="Palatino Linotype" w:hAnsi="Palatino Linotype" w:cs="Palatino Linotype"/>
          <w:i/>
          <w:sz w:val="22"/>
          <w:szCs w:val="22"/>
        </w:rPr>
        <w:t xml:space="preserve"> y </w:t>
      </w:r>
      <w:r w:rsidRPr="00D7023B">
        <w:rPr>
          <w:rFonts w:ascii="Palatino Linotype" w:eastAsia="Palatino Linotype" w:hAnsi="Palatino Linotype" w:cs="Palatino Linotype"/>
          <w:b/>
          <w:i/>
          <w:sz w:val="22"/>
          <w:szCs w:val="22"/>
          <w:u w:val="single"/>
        </w:rPr>
        <w:t>fotografía del elector</w:t>
      </w:r>
      <w:r w:rsidRPr="00D7023B">
        <w:rPr>
          <w:rFonts w:ascii="Palatino Linotype" w:eastAsia="Palatino Linotype" w:hAnsi="Palatino Linotype" w:cs="Palatino Linotype"/>
          <w:i/>
          <w:sz w:val="22"/>
          <w:szCs w:val="22"/>
        </w:rPr>
        <w:t>;</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 </w:t>
      </w:r>
      <w:r w:rsidRPr="00D7023B">
        <w:rPr>
          <w:rFonts w:ascii="Palatino Linotype" w:eastAsia="Palatino Linotype" w:hAnsi="Palatino Linotype" w:cs="Palatino Linotype"/>
          <w:b/>
          <w:i/>
          <w:sz w:val="22"/>
          <w:szCs w:val="22"/>
          <w:u w:val="single"/>
        </w:rPr>
        <w:t>Clave Única del Registro de Población</w:t>
      </w:r>
      <w:r w:rsidRPr="00D7023B">
        <w:rPr>
          <w:rFonts w:ascii="Palatino Linotype" w:eastAsia="Palatino Linotype" w:hAnsi="Palatino Linotype" w:cs="Palatino Linotype"/>
          <w:i/>
          <w:sz w:val="22"/>
          <w:szCs w:val="22"/>
        </w:rPr>
        <w:t>. ” (Sic)</w:t>
      </w:r>
    </w:p>
    <w:p w:rsidR="00242A56" w:rsidRPr="00D7023B" w:rsidRDefault="00C07BE5">
      <w:pPr>
        <w:spacing w:line="360" w:lineRule="auto"/>
        <w:ind w:left="860" w:right="860"/>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 </w:t>
      </w:r>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Así, el conocimiento de dichos datos afecta la esfera más íntima de su Titular, en razón de que su utilización indebida pueda dar origen a un riesgo grave para éste.</w:t>
      </w:r>
    </w:p>
    <w:p w:rsidR="0017062E" w:rsidRPr="00D7023B" w:rsidRDefault="0017062E" w:rsidP="0017062E">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Asimismo, en el caso particular de la clave de elector, debe precisarse que es un código alfa numérico compuesto por letras de los apellidos y nombre de la persona, </w:t>
      </w:r>
      <w:r w:rsidRPr="00D7023B">
        <w:rPr>
          <w:rFonts w:ascii="Palatino Linotype" w:eastAsia="Palatino Linotype" w:hAnsi="Palatino Linotype" w:cs="Palatino Linotype"/>
        </w:rPr>
        <w:lastRenderedPageBreak/>
        <w:t>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17062E" w:rsidRPr="00D7023B" w:rsidRDefault="0017062E" w:rsidP="0017062E">
      <w:pPr>
        <w:spacing w:before="240" w:after="240" w:line="360" w:lineRule="auto"/>
        <w:jc w:val="both"/>
        <w:rPr>
          <w:rFonts w:ascii="Palatino Linotype" w:eastAsia="Palatino Linotype" w:hAnsi="Palatino Linotype" w:cs="Palatino Linotype"/>
        </w:rPr>
      </w:pPr>
      <w:r w:rsidRPr="00D7023B">
        <w:rPr>
          <w:noProof/>
          <w:lang w:val="es-MX"/>
        </w:rPr>
        <w:drawing>
          <wp:anchor distT="0" distB="0" distL="0" distR="0" simplePos="0" relativeHeight="251669504" behindDoc="1" locked="0" layoutInCell="1" hidden="0" allowOverlap="1" wp14:anchorId="2A420BE8" wp14:editId="42CF9660">
            <wp:simplePos x="0" y="0"/>
            <wp:positionH relativeFrom="margin">
              <wp:posOffset>0</wp:posOffset>
            </wp:positionH>
            <wp:positionV relativeFrom="paragraph">
              <wp:posOffset>-635</wp:posOffset>
            </wp:positionV>
            <wp:extent cx="5359866" cy="2723104"/>
            <wp:effectExtent l="0" t="0" r="0" b="1270"/>
            <wp:wrapNone/>
            <wp:docPr id="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b="2758"/>
                    <a:stretch>
                      <a:fillRect/>
                    </a:stretch>
                  </pic:blipFill>
                  <pic:spPr>
                    <a:xfrm>
                      <a:off x="0" y="0"/>
                      <a:ext cx="5371905" cy="2729220"/>
                    </a:xfrm>
                    <a:prstGeom prst="rect">
                      <a:avLst/>
                    </a:prstGeom>
                    <a:ln/>
                  </pic:spPr>
                </pic:pic>
              </a:graphicData>
            </a:graphic>
            <wp14:sizeRelH relativeFrom="margin">
              <wp14:pctWidth>0</wp14:pctWidth>
            </wp14:sizeRelH>
            <wp14:sizeRelV relativeFrom="margin">
              <wp14:pctHeight>0</wp14:pctHeight>
            </wp14:sizeRelV>
          </wp:anchor>
        </w:drawing>
      </w:r>
    </w:p>
    <w:p w:rsidR="0017062E" w:rsidRPr="00D7023B" w:rsidRDefault="0017062E" w:rsidP="0017062E">
      <w:pPr>
        <w:spacing w:before="240" w:after="240" w:line="360" w:lineRule="auto"/>
        <w:jc w:val="both"/>
        <w:rPr>
          <w:rFonts w:ascii="Palatino Linotype" w:eastAsia="Palatino Linotype" w:hAnsi="Palatino Linotype" w:cs="Palatino Linotype"/>
        </w:rPr>
      </w:pPr>
    </w:p>
    <w:p w:rsidR="0017062E" w:rsidRPr="00D7023B" w:rsidRDefault="0017062E" w:rsidP="0017062E">
      <w:pPr>
        <w:spacing w:before="240" w:after="240" w:line="360" w:lineRule="auto"/>
        <w:jc w:val="both"/>
        <w:rPr>
          <w:rFonts w:ascii="Palatino Linotype" w:eastAsia="Palatino Linotype" w:hAnsi="Palatino Linotype" w:cs="Palatino Linotype"/>
        </w:rPr>
      </w:pPr>
    </w:p>
    <w:p w:rsidR="0017062E" w:rsidRPr="00D7023B" w:rsidRDefault="0017062E" w:rsidP="0017062E">
      <w:pPr>
        <w:spacing w:before="240" w:after="240" w:line="360" w:lineRule="auto"/>
        <w:jc w:val="both"/>
        <w:rPr>
          <w:rFonts w:ascii="Palatino Linotype" w:eastAsia="Palatino Linotype" w:hAnsi="Palatino Linotype" w:cs="Palatino Linotype"/>
        </w:rPr>
      </w:pPr>
    </w:p>
    <w:p w:rsidR="0017062E" w:rsidRPr="00D7023B" w:rsidRDefault="0017062E" w:rsidP="0017062E">
      <w:pPr>
        <w:spacing w:before="240" w:after="240" w:line="360" w:lineRule="auto"/>
        <w:jc w:val="both"/>
        <w:rPr>
          <w:rFonts w:ascii="Palatino Linotype" w:eastAsia="Palatino Linotype" w:hAnsi="Palatino Linotype" w:cs="Palatino Linotype"/>
        </w:rPr>
      </w:pPr>
    </w:p>
    <w:p w:rsidR="0017062E" w:rsidRPr="00D7023B" w:rsidRDefault="0017062E" w:rsidP="0017062E">
      <w:pPr>
        <w:tabs>
          <w:tab w:val="left" w:pos="6825"/>
        </w:tabs>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rsidR="0017062E" w:rsidRPr="00D7023B" w:rsidRDefault="0017062E" w:rsidP="0017062E">
      <w:pPr>
        <w:spacing w:before="240" w:after="240" w:line="360" w:lineRule="auto"/>
        <w:jc w:val="center"/>
        <w:rPr>
          <w:rFonts w:ascii="Palatino Linotype" w:eastAsia="Palatino Linotype" w:hAnsi="Palatino Linotype" w:cs="Palatino Linotype"/>
        </w:rPr>
      </w:pPr>
      <w:r w:rsidRPr="00D7023B">
        <w:rPr>
          <w:rFonts w:ascii="Palatino Linotype" w:eastAsia="Palatino Linotype" w:hAnsi="Palatino Linotype" w:cs="Palatino Linotype"/>
          <w:noProof/>
          <w:lang w:val="es-MX"/>
        </w:rPr>
        <w:lastRenderedPageBreak/>
        <w:drawing>
          <wp:inline distT="0" distB="0" distL="0" distR="0" wp14:anchorId="30C8CB93" wp14:editId="2236930E">
            <wp:extent cx="5742633" cy="1962785"/>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747324" cy="1964388"/>
                    </a:xfrm>
                    <a:prstGeom prst="rect">
                      <a:avLst/>
                    </a:prstGeom>
                    <a:ln/>
                  </pic:spPr>
                </pic:pic>
              </a:graphicData>
            </a:graphic>
          </wp:inline>
        </w:drawing>
      </w:r>
      <w:r w:rsidRPr="00D7023B">
        <w:rPr>
          <w:noProof/>
          <w:lang w:val="es-MX"/>
        </w:rPr>
        <mc:AlternateContent>
          <mc:Choice Requires="wps">
            <w:drawing>
              <wp:anchor distT="0" distB="0" distL="114300" distR="114300" simplePos="0" relativeHeight="251664384" behindDoc="0" locked="0" layoutInCell="1" hidden="0" allowOverlap="1" wp14:anchorId="22B452F5" wp14:editId="7ADF56CB">
                <wp:simplePos x="0" y="0"/>
                <wp:positionH relativeFrom="column">
                  <wp:posOffset>1270000</wp:posOffset>
                </wp:positionH>
                <wp:positionV relativeFrom="paragraph">
                  <wp:posOffset>279400</wp:posOffset>
                </wp:positionV>
                <wp:extent cx="2726709" cy="336550"/>
                <wp:effectExtent l="0" t="0" r="0" b="0"/>
                <wp:wrapNone/>
                <wp:docPr id="1" name="Rectángulo 1"/>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rsidR="007B602A" w:rsidRDefault="007B602A" w:rsidP="0017062E">
                            <w:pPr>
                              <w:textDirection w:val="btLr"/>
                            </w:pPr>
                          </w:p>
                        </w:txbxContent>
                      </wps:txbx>
                      <wps:bodyPr spcFirstLastPara="1" wrap="square" lIns="91425" tIns="91425" rIns="91425" bIns="91425" anchor="ctr" anchorCtr="0">
                        <a:noAutofit/>
                      </wps:bodyPr>
                    </wps:wsp>
                  </a:graphicData>
                </a:graphic>
              </wp:anchor>
            </w:drawing>
          </mc:Choice>
          <mc:Fallback>
            <w:pict>
              <v:rect w14:anchorId="22B452F5" id="Rectángulo 1" o:spid="_x0000_s1031" style="position:absolute;left:0;text-align:left;margin-left:100pt;margin-top:22pt;width:214.7pt;height:2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" filled="f" strokecolor="red" strokeweight="1.5pt">
                <v:stroke startarrowwidth="narrow" startarrowlength="short" endarrowwidth="narrow" endarrowlength="short"/>
                <v:textbox inset="2.53958mm,2.53958mm,2.53958mm,2.53958mm">
                  <w:txbxContent>
                    <w:p w:rsidR="007B602A" w:rsidRDefault="007B602A" w:rsidP="0017062E">
                      <w:pPr>
                        <w:textDirection w:val="btLr"/>
                      </w:pPr>
                    </w:p>
                  </w:txbxContent>
                </v:textbox>
              </v:rect>
            </w:pict>
          </mc:Fallback>
        </mc:AlternateContent>
      </w:r>
      <w:r w:rsidRPr="00D7023B">
        <w:rPr>
          <w:noProof/>
          <w:lang w:val="es-MX"/>
        </w:rPr>
        <mc:AlternateContent>
          <mc:Choice Requires="wps">
            <w:drawing>
              <wp:anchor distT="0" distB="0" distL="114300" distR="114300" simplePos="0" relativeHeight="251665408" behindDoc="0" locked="0" layoutInCell="1" hidden="0" allowOverlap="1" wp14:anchorId="6511A91F" wp14:editId="7192025E">
                <wp:simplePos x="0" y="0"/>
                <wp:positionH relativeFrom="column">
                  <wp:posOffset>190500</wp:posOffset>
                </wp:positionH>
                <wp:positionV relativeFrom="paragraph">
                  <wp:posOffset>787400</wp:posOffset>
                </wp:positionV>
                <wp:extent cx="802374" cy="563539"/>
                <wp:effectExtent l="0" t="0" r="0" b="0"/>
                <wp:wrapNone/>
                <wp:docPr id="2" name="Rectángulo 2"/>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rsidR="007B602A" w:rsidRDefault="007B602A" w:rsidP="0017062E">
                            <w:pPr>
                              <w:textDirection w:val="btLr"/>
                            </w:pPr>
                          </w:p>
                        </w:txbxContent>
                      </wps:txbx>
                      <wps:bodyPr spcFirstLastPara="1" wrap="square" lIns="91425" tIns="91425" rIns="91425" bIns="91425" anchor="ctr" anchorCtr="0">
                        <a:noAutofit/>
                      </wps:bodyPr>
                    </wps:wsp>
                  </a:graphicData>
                </a:graphic>
              </wp:anchor>
            </w:drawing>
          </mc:Choice>
          <mc:Fallback>
            <w:pict>
              <v:rect w14:anchorId="6511A91F" id="Rectángulo 2" o:spid="_x0000_s1032" style="position:absolute;left:0;text-align:left;margin-left:15pt;margin-top:62pt;width:63.2pt;height:4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" filled="f" strokecolor="red" strokeweight="1.5pt">
                <v:stroke startarrowwidth="narrow" startarrowlength="short" endarrowwidth="narrow" endarrowlength="short"/>
                <v:textbox inset="2.53958mm,2.53958mm,2.53958mm,2.53958mm">
                  <w:txbxContent>
                    <w:p w:rsidR="007B602A" w:rsidRDefault="007B602A" w:rsidP="0017062E">
                      <w:pPr>
                        <w:textDirection w:val="btLr"/>
                      </w:pPr>
                    </w:p>
                  </w:txbxContent>
                </v:textbox>
              </v:rect>
            </w:pict>
          </mc:Fallback>
        </mc:AlternateContent>
      </w:r>
    </w:p>
    <w:p w:rsidR="0017062E" w:rsidRPr="00D7023B" w:rsidRDefault="0017062E" w:rsidP="0017062E">
      <w:pPr>
        <w:widowControl w:val="0"/>
        <w:spacing w:before="240" w:after="240" w:line="360" w:lineRule="auto"/>
        <w:jc w:val="center"/>
        <w:rPr>
          <w:rFonts w:ascii="Palatino Linotype" w:eastAsia="Palatino Linotype" w:hAnsi="Palatino Linotype" w:cs="Palatino Linotype"/>
        </w:rPr>
      </w:pPr>
      <w:r w:rsidRPr="00D7023B">
        <w:rPr>
          <w:rFonts w:ascii="Palatino Linotype" w:eastAsia="Palatino Linotype" w:hAnsi="Palatino Linotype" w:cs="Palatino Linotype"/>
          <w:noProof/>
          <w:lang w:val="es-MX"/>
        </w:rPr>
        <w:drawing>
          <wp:inline distT="0" distB="0" distL="0" distR="0" wp14:anchorId="0971D6E0" wp14:editId="6F4CF343">
            <wp:extent cx="5747657" cy="2591435"/>
            <wp:effectExtent l="0" t="0" r="5715" b="0"/>
            <wp:docPr id="1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5749618" cy="2592319"/>
                    </a:xfrm>
                    <a:prstGeom prst="rect">
                      <a:avLst/>
                    </a:prstGeom>
                    <a:ln/>
                  </pic:spPr>
                </pic:pic>
              </a:graphicData>
            </a:graphic>
          </wp:inline>
        </w:drawing>
      </w:r>
      <w:r w:rsidRPr="00D7023B">
        <w:rPr>
          <w:noProof/>
          <w:lang w:val="es-MX"/>
        </w:rPr>
        <mc:AlternateContent>
          <mc:Choice Requires="wps">
            <w:drawing>
              <wp:anchor distT="0" distB="0" distL="114300" distR="114300" simplePos="0" relativeHeight="251666432" behindDoc="0" locked="0" layoutInCell="1" hidden="0" allowOverlap="1" wp14:anchorId="761D51C4" wp14:editId="5DD6B2EE">
                <wp:simplePos x="0" y="0"/>
                <wp:positionH relativeFrom="column">
                  <wp:posOffset>1117600</wp:posOffset>
                </wp:positionH>
                <wp:positionV relativeFrom="paragraph">
                  <wp:posOffset>177800</wp:posOffset>
                </wp:positionV>
                <wp:extent cx="2542464" cy="488476"/>
                <wp:effectExtent l="0" t="0" r="0" b="0"/>
                <wp:wrapNone/>
                <wp:docPr id="3" name="Rectángulo 3"/>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rsidR="007B602A" w:rsidRDefault="007B602A" w:rsidP="0017062E">
                            <w:pPr>
                              <w:textDirection w:val="btLr"/>
                            </w:pPr>
                          </w:p>
                        </w:txbxContent>
                      </wps:txbx>
                      <wps:bodyPr spcFirstLastPara="1" wrap="square" lIns="91425" tIns="91425" rIns="91425" bIns="91425" anchor="ctr" anchorCtr="0">
                        <a:noAutofit/>
                      </wps:bodyPr>
                    </wps:wsp>
                  </a:graphicData>
                </a:graphic>
              </wp:anchor>
            </w:drawing>
          </mc:Choice>
          <mc:Fallback>
            <w:pict>
              <v:rect w14:anchorId="761D51C4" id="Rectángulo 3" o:spid="_x0000_s1033" style="position:absolute;left:0;text-align:left;margin-left:88pt;margin-top:14pt;width:200.2pt;height:38.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" filled="f" strokecolor="red" strokeweight="1.5pt">
                <v:stroke startarrowwidth="narrow" startarrowlength="short" endarrowwidth="narrow" endarrowlength="short"/>
                <v:textbox inset="2.53958mm,2.53958mm,2.53958mm,2.53958mm">
                  <w:txbxContent>
                    <w:p w:rsidR="007B602A" w:rsidRDefault="007B602A" w:rsidP="0017062E">
                      <w:pPr>
                        <w:textDirection w:val="btLr"/>
                      </w:pPr>
                    </w:p>
                  </w:txbxContent>
                </v:textbox>
              </v:rect>
            </w:pict>
          </mc:Fallback>
        </mc:AlternateContent>
      </w:r>
      <w:r w:rsidRPr="00D7023B">
        <w:rPr>
          <w:noProof/>
          <w:lang w:val="es-MX"/>
        </w:rPr>
        <mc:AlternateContent>
          <mc:Choice Requires="wps">
            <w:drawing>
              <wp:anchor distT="0" distB="0" distL="114300" distR="114300" simplePos="0" relativeHeight="251667456" behindDoc="0" locked="0" layoutInCell="1" hidden="0" allowOverlap="1" wp14:anchorId="109B2F81" wp14:editId="2C7A0F94">
                <wp:simplePos x="0" y="0"/>
                <wp:positionH relativeFrom="column">
                  <wp:posOffset>1117600</wp:posOffset>
                </wp:positionH>
                <wp:positionV relativeFrom="paragraph">
                  <wp:posOffset>1219200</wp:posOffset>
                </wp:positionV>
                <wp:extent cx="2542464" cy="374650"/>
                <wp:effectExtent l="0" t="0" r="0" b="0"/>
                <wp:wrapNone/>
                <wp:docPr id="4" name="Rectángulo 4"/>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rsidR="007B602A" w:rsidRDefault="007B602A" w:rsidP="0017062E">
                            <w:pPr>
                              <w:textDirection w:val="btLr"/>
                            </w:pPr>
                          </w:p>
                        </w:txbxContent>
                      </wps:txbx>
                      <wps:bodyPr spcFirstLastPara="1" wrap="square" lIns="91425" tIns="91425" rIns="91425" bIns="91425" anchor="ctr" anchorCtr="0">
                        <a:noAutofit/>
                      </wps:bodyPr>
                    </wps:wsp>
                  </a:graphicData>
                </a:graphic>
              </wp:anchor>
            </w:drawing>
          </mc:Choice>
          <mc:Fallback>
            <w:pict>
              <v:rect w14:anchorId="109B2F81" id="Rectángulo 4" o:spid="_x0000_s1034" style="position:absolute;left:0;text-align:left;margin-left:88pt;margin-top:96pt;width:200.2pt;height:2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" filled="f" strokecolor="red" strokeweight="1.5pt">
                <v:stroke startarrowwidth="narrow" startarrowlength="short" endarrowwidth="narrow" endarrowlength="short"/>
                <v:textbox inset="2.53958mm,2.53958mm,2.53958mm,2.53958mm">
                  <w:txbxContent>
                    <w:p w:rsidR="007B602A" w:rsidRDefault="007B602A" w:rsidP="0017062E">
                      <w:pPr>
                        <w:textDirection w:val="btLr"/>
                      </w:pPr>
                    </w:p>
                  </w:txbxContent>
                </v:textbox>
              </v:rect>
            </w:pict>
          </mc:Fallback>
        </mc:AlternateContent>
      </w:r>
      <w:r w:rsidRPr="00D7023B">
        <w:rPr>
          <w:noProof/>
          <w:lang w:val="es-MX"/>
        </w:rPr>
        <mc:AlternateContent>
          <mc:Choice Requires="wps">
            <w:drawing>
              <wp:anchor distT="0" distB="0" distL="114300" distR="114300" simplePos="0" relativeHeight="251668480" behindDoc="0" locked="0" layoutInCell="1" hidden="0" allowOverlap="1" wp14:anchorId="61B45E94" wp14:editId="5F9D4E59">
                <wp:simplePos x="0" y="0"/>
                <wp:positionH relativeFrom="column">
                  <wp:posOffset>355600</wp:posOffset>
                </wp:positionH>
                <wp:positionV relativeFrom="paragraph">
                  <wp:posOffset>355600</wp:posOffset>
                </wp:positionV>
                <wp:extent cx="413414" cy="1894195"/>
                <wp:effectExtent l="0" t="0" r="0" b="0"/>
                <wp:wrapNone/>
                <wp:docPr id="5" name="Rectángulo 5"/>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rsidR="007B602A" w:rsidRDefault="007B602A" w:rsidP="0017062E">
                            <w:pPr>
                              <w:textDirection w:val="btLr"/>
                            </w:pPr>
                          </w:p>
                        </w:txbxContent>
                      </wps:txbx>
                      <wps:bodyPr spcFirstLastPara="1" wrap="square" lIns="91425" tIns="91425" rIns="91425" bIns="91425" anchor="ctr" anchorCtr="0">
                        <a:noAutofit/>
                      </wps:bodyPr>
                    </wps:wsp>
                  </a:graphicData>
                </a:graphic>
              </wp:anchor>
            </w:drawing>
          </mc:Choice>
          <mc:Fallback>
            <w:pict>
              <v:rect w14:anchorId="61B45E94" id="Rectángulo 5" o:spid="_x0000_s1035" style="position:absolute;left:0;text-align:left;margin-left:28pt;margin-top:28pt;width:32.55pt;height:149.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" filled="f" strokecolor="red" strokeweight="1.5pt">
                <v:stroke startarrowwidth="narrow" startarrowlength="short" endarrowwidth="narrow" endarrowlength="short"/>
                <v:textbox inset="2.53958mm,2.53958mm,2.53958mm,2.53958mm">
                  <w:txbxContent>
                    <w:p w:rsidR="007B602A" w:rsidRDefault="007B602A" w:rsidP="0017062E">
                      <w:pPr>
                        <w:textDirection w:val="btLr"/>
                      </w:pPr>
                    </w:p>
                  </w:txbxContent>
                </v:textbox>
              </v:rect>
            </w:pict>
          </mc:Fallback>
        </mc:AlternateContent>
      </w:r>
    </w:p>
    <w:p w:rsidR="0017062E" w:rsidRPr="00D7023B" w:rsidRDefault="0017062E" w:rsidP="0017062E">
      <w:pPr>
        <w:widowControl w:val="0"/>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17062E" w:rsidRPr="00D7023B" w:rsidRDefault="0017062E" w:rsidP="0017062E">
      <w:pPr>
        <w:widowControl w:val="0"/>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el caso de la edad, se trata de un dato personal sensible que concierne únicamente a su titular, al corresponder a su esfera más íntima. </w:t>
      </w:r>
    </w:p>
    <w:p w:rsidR="0017062E" w:rsidRPr="00D7023B" w:rsidRDefault="0017062E" w:rsidP="0017062E">
      <w:pPr>
        <w:widowControl w:val="0"/>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17062E" w:rsidRPr="00D7023B" w:rsidRDefault="0017062E" w:rsidP="0017062E">
      <w:pPr>
        <w:widowControl w:val="0"/>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Por lo que se refiere a la CURP</w:t>
      </w:r>
      <w:r w:rsidRPr="00D7023B">
        <w:rPr>
          <w:rFonts w:ascii="Palatino Linotype" w:eastAsia="Palatino Linotype" w:hAnsi="Palatino Linotype" w:cs="Palatino Linotype"/>
          <w:b/>
        </w:rPr>
        <w:t xml:space="preserve">, </w:t>
      </w:r>
      <w:r w:rsidRPr="00D7023B">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7062E" w:rsidRPr="00D7023B" w:rsidRDefault="0017062E" w:rsidP="0017062E">
      <w:pPr>
        <w:spacing w:before="280" w:after="28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Lo anterior, tiene sustento en los artículos 86 y 91 de la Ley General de Población, la cual señala lo siguiente:</w:t>
      </w:r>
    </w:p>
    <w:p w:rsidR="0017062E" w:rsidRPr="00D7023B" w:rsidRDefault="0017062E" w:rsidP="0017062E">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Artículo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86.</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i/>
          <w:sz w:val="22"/>
          <w:szCs w:val="22"/>
        </w:rPr>
        <w:t>El</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Registro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Nacional</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Población</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tiene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como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finalidad</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registrar</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cada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una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las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personas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que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integran</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población</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del</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país,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con</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los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datos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que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permitan</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certificar</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y</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acreditar</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fehacientemente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su</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identidad.</w:t>
      </w:r>
    </w:p>
    <w:p w:rsidR="0017062E" w:rsidRPr="00D7023B" w:rsidRDefault="0017062E" w:rsidP="0017062E">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Artículo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91.</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Al</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incorporar</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una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persona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en</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el</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Registro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Nacional</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Población</w:t>
      </w: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se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asignará</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una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clave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b/>
          <w:i/>
          <w:sz w:val="22"/>
          <w:szCs w:val="22"/>
        </w:rPr>
        <w:t>que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se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denominará</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Clave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Única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Registro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Población</w:t>
      </w: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b/>
          <w:i/>
          <w:sz w:val="22"/>
          <w:szCs w:val="22"/>
        </w:rPr>
        <w:t>Esta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servirá</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para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registrarla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b/>
          <w:i/>
          <w:sz w:val="22"/>
          <w:szCs w:val="22"/>
        </w:rPr>
        <w:t>identificarla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en</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forma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individual</w:t>
      </w: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(Sic)</w:t>
      </w:r>
    </w:p>
    <w:p w:rsidR="0017062E" w:rsidRPr="00D7023B" w:rsidRDefault="0017062E" w:rsidP="0017062E">
      <w:pPr>
        <w:ind w:left="851" w:right="851"/>
        <w:jc w:val="both"/>
        <w:rPr>
          <w:rFonts w:ascii="Palatino Linotype" w:eastAsia="Palatino Linotype" w:hAnsi="Palatino Linotype" w:cs="Palatino Linotype"/>
          <w:i/>
          <w:sz w:val="22"/>
          <w:szCs w:val="22"/>
        </w:rPr>
      </w:pPr>
    </w:p>
    <w:p w:rsidR="0017062E" w:rsidRPr="00D7023B" w:rsidRDefault="0017062E" w:rsidP="0017062E">
      <w:pPr>
        <w:spacing w:before="280" w:after="280" w:line="360" w:lineRule="auto"/>
        <w:jc w:val="both"/>
        <w:rPr>
          <w:rFonts w:ascii="Palatino Linotype" w:eastAsia="Palatino Linotype" w:hAnsi="Palatino Linotype" w:cs="Palatino Linotype"/>
          <w:sz w:val="28"/>
          <w:szCs w:val="28"/>
        </w:rPr>
      </w:pPr>
      <w:r w:rsidRPr="00D7023B">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w:t>
      </w:r>
      <w:r w:rsidRPr="00D7023B">
        <w:rPr>
          <w:rFonts w:ascii="Palatino Linotype" w:eastAsia="Palatino Linotype" w:hAnsi="Palatino Linotype" w:cs="Palatino Linotype"/>
        </w:rPr>
        <w:lastRenderedPageBreak/>
        <w:t xml:space="preserve">sexo; Entidad Federativa de nacimiento; consonantes internas del nombre y apellidos; un diferenciador de homonimia y siglo; y un digito verificador, que garantizan la correcta integración. </w:t>
      </w:r>
    </w:p>
    <w:p w:rsidR="0017062E" w:rsidRPr="00D7023B" w:rsidRDefault="0017062E" w:rsidP="0017062E">
      <w:pPr>
        <w:spacing w:before="280" w:after="28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Al respecto, el INAI, a través del Criterio 18/17 de la Segunda Época, señala literalmente lo siguiente:</w:t>
      </w:r>
    </w:p>
    <w:p w:rsidR="0017062E" w:rsidRPr="00D7023B" w:rsidRDefault="0017062E" w:rsidP="0017062E">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Clave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Única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Registro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Población</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(CURP).</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b/>
          <w:i/>
          <w:sz w:val="22"/>
          <w:szCs w:val="22"/>
        </w:rPr>
        <w:t>La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Clave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Única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Registro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Población</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se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integra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por</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datos</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personales</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que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sólo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conciernen</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al</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particular</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titular</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misma,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b/>
          <w:i/>
          <w:sz w:val="22"/>
          <w:szCs w:val="22"/>
        </w:rPr>
        <w:t>como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lo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son</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su</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nombre,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apellidos,</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fecha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nacimiento,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lugar</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de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nacimiento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y</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sexo</w:t>
      </w: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Dichos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datos,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constituyen</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información</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que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distingue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plenamente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una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persona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física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del</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resto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los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habitantes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del</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país,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b/>
          <w:i/>
          <w:sz w:val="22"/>
          <w:szCs w:val="22"/>
        </w:rPr>
        <w:t>por</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lo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que</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la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CURP</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está</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considerada</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como</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información</w:t>
      </w:r>
      <w:r w:rsidRPr="00D7023B">
        <w:rPr>
          <w:rFonts w:ascii="Palatino Linotype" w:eastAsia="Palatino Linotype" w:hAnsi="Palatino Linotype" w:cs="Palatino Linotype"/>
          <w:b/>
          <w:i/>
        </w:rPr>
        <w:t xml:space="preserve"> </w:t>
      </w:r>
      <w:r w:rsidRPr="00D7023B">
        <w:rPr>
          <w:rFonts w:ascii="Palatino Linotype" w:eastAsia="Palatino Linotype" w:hAnsi="Palatino Linotype" w:cs="Palatino Linotype"/>
          <w:b/>
          <w:i/>
          <w:sz w:val="22"/>
          <w:szCs w:val="22"/>
        </w:rPr>
        <w:t>confidencial</w:t>
      </w: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 xml:space="preserve"> </w:t>
      </w:r>
    </w:p>
    <w:p w:rsidR="0017062E" w:rsidRPr="00D7023B" w:rsidRDefault="0017062E" w:rsidP="0017062E">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Resoluciones:</w:t>
      </w:r>
    </w:p>
    <w:p w:rsidR="0017062E" w:rsidRPr="00D7023B" w:rsidRDefault="0017062E" w:rsidP="0017062E">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RRA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3995/16.</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Secretaría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Defensa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Nacional.</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1</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febrero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2017.</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Por</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unanimidad.</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Comisionado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Ponente</w:t>
      </w:r>
      <w:r w:rsidRPr="00D7023B">
        <w:rPr>
          <w:rFonts w:ascii="Palatino Linotype" w:eastAsia="Palatino Linotype" w:hAnsi="Palatino Linotype" w:cs="Palatino Linotype"/>
          <w:i/>
        </w:rPr>
        <w:t xml:space="preserve"> </w:t>
      </w:r>
      <w:proofErr w:type="spellStart"/>
      <w:r w:rsidRPr="00D7023B">
        <w:rPr>
          <w:rFonts w:ascii="Palatino Linotype" w:eastAsia="Palatino Linotype" w:hAnsi="Palatino Linotype" w:cs="Palatino Linotype"/>
          <w:i/>
          <w:sz w:val="22"/>
          <w:szCs w:val="22"/>
        </w:rPr>
        <w:t>Rosendoevgueni</w:t>
      </w:r>
      <w:proofErr w:type="spellEnd"/>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Monterrey</w:t>
      </w:r>
      <w:r w:rsidRPr="00D7023B">
        <w:rPr>
          <w:rFonts w:ascii="Palatino Linotype" w:eastAsia="Palatino Linotype" w:hAnsi="Palatino Linotype" w:cs="Palatino Linotype"/>
          <w:i/>
        </w:rPr>
        <w:t xml:space="preserve"> </w:t>
      </w:r>
      <w:proofErr w:type="spellStart"/>
      <w:r w:rsidRPr="00D7023B">
        <w:rPr>
          <w:rFonts w:ascii="Palatino Linotype" w:eastAsia="Palatino Linotype" w:hAnsi="Palatino Linotype" w:cs="Palatino Linotype"/>
          <w:i/>
          <w:sz w:val="22"/>
          <w:szCs w:val="22"/>
        </w:rPr>
        <w:t>Chepov</w:t>
      </w:r>
      <w:proofErr w:type="spellEnd"/>
      <w:r w:rsidRPr="00D7023B">
        <w:rPr>
          <w:rFonts w:ascii="Palatino Linotype" w:eastAsia="Palatino Linotype" w:hAnsi="Palatino Linotype" w:cs="Palatino Linotype"/>
          <w:i/>
          <w:sz w:val="22"/>
          <w:szCs w:val="22"/>
        </w:rPr>
        <w:t>.</w:t>
      </w:r>
    </w:p>
    <w:p w:rsidR="0017062E" w:rsidRPr="00D7023B" w:rsidRDefault="0017062E" w:rsidP="0017062E">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RRA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0937/17.</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Senado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República.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15</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marzo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2017.</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Por</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unanimidad.</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Comisionada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Ponente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Ximena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Puente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la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Mora.</w:t>
      </w:r>
      <w:r w:rsidRPr="00D7023B">
        <w:rPr>
          <w:rFonts w:ascii="Palatino Linotype" w:eastAsia="Palatino Linotype" w:hAnsi="Palatino Linotype" w:cs="Palatino Linotype"/>
          <w:i/>
        </w:rPr>
        <w:t xml:space="preserve"> </w:t>
      </w:r>
    </w:p>
    <w:p w:rsidR="0017062E" w:rsidRPr="00D7023B" w:rsidRDefault="0017062E" w:rsidP="0017062E">
      <w:pPr>
        <w:ind w:left="851" w:right="8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RRA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0478/17.</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Secretaría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Relaciones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Exteriores.</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26</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abril</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de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2017.</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Por</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unanimidad.</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Comisionada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Ponente</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Areli</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Cano</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Guadiana.”</w:t>
      </w:r>
      <w:r w:rsidRPr="00D7023B">
        <w:rPr>
          <w:rFonts w:ascii="Palatino Linotype" w:eastAsia="Palatino Linotype" w:hAnsi="Palatino Linotype" w:cs="Palatino Linotype"/>
          <w:i/>
        </w:rPr>
        <w:t xml:space="preserve"> </w:t>
      </w:r>
      <w:r w:rsidRPr="00D7023B">
        <w:rPr>
          <w:rFonts w:ascii="Palatino Linotype" w:eastAsia="Palatino Linotype" w:hAnsi="Palatino Linotype" w:cs="Palatino Linotype"/>
          <w:i/>
          <w:sz w:val="22"/>
          <w:szCs w:val="22"/>
        </w:rPr>
        <w:t>(Sic)</w:t>
      </w:r>
    </w:p>
    <w:p w:rsidR="0017062E" w:rsidRPr="00D7023B" w:rsidRDefault="0017062E" w:rsidP="0017062E">
      <w:pPr>
        <w:ind w:left="851" w:right="851"/>
        <w:jc w:val="both"/>
        <w:rPr>
          <w:rFonts w:ascii="Palatino Linotype" w:eastAsia="Palatino Linotype" w:hAnsi="Palatino Linotype" w:cs="Palatino Linotype"/>
          <w:i/>
          <w:sz w:val="22"/>
          <w:szCs w:val="22"/>
        </w:rPr>
      </w:pPr>
    </w:p>
    <w:p w:rsidR="0017062E" w:rsidRPr="00D7023B" w:rsidRDefault="0017062E" w:rsidP="0017062E">
      <w:pPr>
        <w:spacing w:before="280" w:after="28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7062E" w:rsidRPr="00D7023B" w:rsidRDefault="0017062E" w:rsidP="0017062E">
      <w:pPr>
        <w:spacing w:before="280" w:after="28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rsidR="0017062E" w:rsidRPr="00D7023B" w:rsidRDefault="0017062E" w:rsidP="0017062E">
      <w:pPr>
        <w:spacing w:before="280" w:after="28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rsidR="0017062E" w:rsidRPr="00D7023B" w:rsidRDefault="0017062E" w:rsidP="0017062E">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34">
        <w:r w:rsidRPr="00D7023B">
          <w:rPr>
            <w:rFonts w:ascii="Palatino Linotype" w:eastAsia="Palatino Linotype" w:hAnsi="Palatino Linotype" w:cs="Palatino Linotype"/>
            <w:u w:val="single"/>
          </w:rPr>
          <w:t>https://docplayer.es/5455342-Nuevas-tecnologias-biometricas-instituto-nacional-de-ciencias-penales-procuraduria-general-de-la-republica-version-1-0.html</w:t>
        </w:r>
      </w:hyperlink>
      <w:r w:rsidRPr="00D7023B">
        <w:rPr>
          <w:rFonts w:ascii="Palatino Linotype" w:eastAsia="Palatino Linotype" w:hAnsi="Palatino Linotype" w:cs="Palatino Linotype"/>
        </w:rPr>
        <w:t xml:space="preserve">, se indica que existen tres principios fundamentales para la identificación de las huellas dactilares, a saber: </w:t>
      </w:r>
    </w:p>
    <w:p w:rsidR="0017062E" w:rsidRPr="00D7023B" w:rsidRDefault="0017062E" w:rsidP="0017062E">
      <w:pPr>
        <w:spacing w:line="360" w:lineRule="auto"/>
        <w:jc w:val="both"/>
        <w:rPr>
          <w:rFonts w:ascii="Palatino Linotype" w:eastAsia="Palatino Linotype" w:hAnsi="Palatino Linotype" w:cs="Palatino Linotype"/>
        </w:rPr>
      </w:pPr>
    </w:p>
    <w:p w:rsidR="0017062E" w:rsidRPr="00D7023B" w:rsidRDefault="0017062E" w:rsidP="0017062E">
      <w:pPr>
        <w:numPr>
          <w:ilvl w:val="0"/>
          <w:numId w:val="5"/>
        </w:numPr>
        <w:spacing w:line="360" w:lineRule="auto"/>
        <w:ind w:right="474"/>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 xml:space="preserve">Primer principio. La huella es una característica individual. No hay dos huellas con características en las crestas que sean idénticas. </w:t>
      </w:r>
    </w:p>
    <w:p w:rsidR="0017062E" w:rsidRPr="00D7023B" w:rsidRDefault="0017062E" w:rsidP="0017062E">
      <w:pPr>
        <w:numPr>
          <w:ilvl w:val="0"/>
          <w:numId w:val="5"/>
        </w:numPr>
        <w:spacing w:line="360" w:lineRule="auto"/>
        <w:ind w:right="474"/>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Segundo principio. Una huella permanece sin cambios durante toda la vida de un individuo (sin embargo, puede adquirir cicatrices o cualquier otra deformación que impida su identificación clara). </w:t>
      </w:r>
    </w:p>
    <w:p w:rsidR="0017062E" w:rsidRPr="00D7023B" w:rsidRDefault="0017062E" w:rsidP="0017062E">
      <w:pPr>
        <w:numPr>
          <w:ilvl w:val="0"/>
          <w:numId w:val="5"/>
        </w:numPr>
        <w:spacing w:line="360" w:lineRule="auto"/>
        <w:ind w:right="474"/>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rsidR="0017062E" w:rsidRPr="00D7023B" w:rsidRDefault="0017062E" w:rsidP="0017062E">
      <w:pPr>
        <w:pBdr>
          <w:top w:val="nil"/>
          <w:left w:val="nil"/>
          <w:bottom w:val="nil"/>
          <w:right w:val="nil"/>
          <w:between w:val="nil"/>
        </w:pBdr>
        <w:ind w:left="708"/>
        <w:rPr>
          <w:rFonts w:ascii="Palatino Linotype" w:eastAsia="Palatino Linotype" w:hAnsi="Palatino Linotype" w:cs="Palatino Linotype"/>
          <w:sz w:val="22"/>
          <w:szCs w:val="22"/>
        </w:rPr>
      </w:pPr>
    </w:p>
    <w:p w:rsidR="0017062E" w:rsidRPr="00D7023B" w:rsidRDefault="0017062E" w:rsidP="0017062E">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rsidR="0017062E" w:rsidRPr="00D7023B" w:rsidRDefault="0017062E" w:rsidP="0017062E">
      <w:pPr>
        <w:spacing w:line="360" w:lineRule="auto"/>
        <w:jc w:val="both"/>
        <w:rPr>
          <w:rFonts w:ascii="Palatino Linotype" w:eastAsia="Palatino Linotype" w:hAnsi="Palatino Linotype" w:cs="Palatino Linotype"/>
        </w:rPr>
      </w:pPr>
    </w:p>
    <w:p w:rsidR="0017062E" w:rsidRPr="00D7023B" w:rsidRDefault="0017062E" w:rsidP="0017062E">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rsidR="0017062E" w:rsidRPr="00D7023B" w:rsidRDefault="0017062E" w:rsidP="0017062E">
      <w:pPr>
        <w:spacing w:line="360" w:lineRule="auto"/>
        <w:jc w:val="both"/>
        <w:rPr>
          <w:rFonts w:ascii="Palatino Linotype" w:eastAsia="Palatino Linotype" w:hAnsi="Palatino Linotype" w:cs="Palatino Linotype"/>
        </w:rPr>
      </w:pPr>
    </w:p>
    <w:p w:rsidR="0017062E" w:rsidRPr="00D7023B" w:rsidRDefault="0017062E" w:rsidP="0017062E">
      <w:pPr>
        <w:ind w:left="567" w:right="567"/>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 xml:space="preserve">“La huella dactilar es un elemento jurídicamente reconocido para demostrar tanto la individualización de su autor como la manifestación de su voluntad con el contenido de un documento, porque es más idónea para individualizar al </w:t>
      </w:r>
      <w:r w:rsidRPr="00D7023B">
        <w:rPr>
          <w:rFonts w:ascii="Palatino Linotype" w:eastAsia="Palatino Linotype" w:hAnsi="Palatino Linotype" w:cs="Palatino Linotype"/>
          <w:b/>
          <w:i/>
          <w:sz w:val="22"/>
          <w:szCs w:val="22"/>
        </w:rPr>
        <w:lastRenderedPageBreak/>
        <w:t>sujeto, pues las técnicas dactiloscópicas desarrolladas permiten afirmar que no hay dos personas que posean idénticas huellas dactilares;</w:t>
      </w:r>
      <w:r w:rsidRPr="00D7023B">
        <w:rPr>
          <w:rFonts w:ascii="Palatino Linotype" w:eastAsia="Palatino Linotype" w:hAnsi="Palatino Linotype" w:cs="Palatino Linotype"/>
          <w:i/>
          <w:sz w:val="22"/>
          <w:szCs w:val="22"/>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rsidR="0017062E" w:rsidRPr="00D7023B" w:rsidRDefault="0017062E" w:rsidP="0017062E">
      <w:pPr>
        <w:spacing w:line="360" w:lineRule="auto"/>
        <w:jc w:val="both"/>
        <w:rPr>
          <w:rFonts w:ascii="Palatino Linotype" w:eastAsia="Palatino Linotype" w:hAnsi="Palatino Linotype" w:cs="Palatino Linotype"/>
        </w:rPr>
      </w:pPr>
    </w:p>
    <w:p w:rsidR="0017062E" w:rsidRPr="00D7023B" w:rsidRDefault="0017062E" w:rsidP="0017062E">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 En la actualidad existen sistemas denominados AFIS por sus siglas en inglés </w:t>
      </w:r>
      <w:proofErr w:type="spellStart"/>
      <w:r w:rsidRPr="00D7023B">
        <w:rPr>
          <w:rFonts w:ascii="Palatino Linotype" w:eastAsia="Palatino Linotype" w:hAnsi="Palatino Linotype" w:cs="Palatino Linotype"/>
          <w:i/>
        </w:rPr>
        <w:t>Automated</w:t>
      </w:r>
      <w:proofErr w:type="spellEnd"/>
      <w:r w:rsidRPr="00D7023B">
        <w:rPr>
          <w:rFonts w:ascii="Palatino Linotype" w:eastAsia="Palatino Linotype" w:hAnsi="Palatino Linotype" w:cs="Palatino Linotype"/>
          <w:i/>
        </w:rPr>
        <w:t xml:space="preserve"> </w:t>
      </w:r>
      <w:proofErr w:type="spellStart"/>
      <w:r w:rsidRPr="00D7023B">
        <w:rPr>
          <w:rFonts w:ascii="Palatino Linotype" w:eastAsia="Palatino Linotype" w:hAnsi="Palatino Linotype" w:cs="Palatino Linotype"/>
          <w:i/>
        </w:rPr>
        <w:t>Fingerprint</w:t>
      </w:r>
      <w:proofErr w:type="spellEnd"/>
      <w:r w:rsidRPr="00D7023B">
        <w:rPr>
          <w:rFonts w:ascii="Palatino Linotype" w:eastAsia="Palatino Linotype" w:hAnsi="Palatino Linotype" w:cs="Palatino Linotype"/>
          <w:i/>
        </w:rPr>
        <w:t xml:space="preserve"> </w:t>
      </w:r>
      <w:proofErr w:type="spellStart"/>
      <w:r w:rsidRPr="00D7023B">
        <w:rPr>
          <w:rFonts w:ascii="Palatino Linotype" w:eastAsia="Palatino Linotype" w:hAnsi="Palatino Linotype" w:cs="Palatino Linotype"/>
          <w:i/>
        </w:rPr>
        <w:t>Identification</w:t>
      </w:r>
      <w:proofErr w:type="spellEnd"/>
      <w:r w:rsidRPr="00D7023B">
        <w:rPr>
          <w:rFonts w:ascii="Palatino Linotype" w:eastAsia="Palatino Linotype" w:hAnsi="Palatino Linotype" w:cs="Palatino Linotype"/>
          <w:i/>
        </w:rPr>
        <w:t xml:space="preserve"> </w:t>
      </w:r>
      <w:proofErr w:type="spellStart"/>
      <w:r w:rsidRPr="00D7023B">
        <w:rPr>
          <w:rFonts w:ascii="Palatino Linotype" w:eastAsia="Palatino Linotype" w:hAnsi="Palatino Linotype" w:cs="Palatino Linotype"/>
          <w:i/>
        </w:rPr>
        <w:t>System</w:t>
      </w:r>
      <w:proofErr w:type="spellEnd"/>
      <w:r w:rsidRPr="00D7023B">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rsidR="0017062E" w:rsidRPr="00D7023B" w:rsidRDefault="0017062E" w:rsidP="0017062E">
      <w:pPr>
        <w:spacing w:line="360" w:lineRule="auto"/>
        <w:jc w:val="both"/>
        <w:rPr>
          <w:rFonts w:ascii="Palatino Linotype" w:eastAsia="Palatino Linotype" w:hAnsi="Palatino Linotype" w:cs="Palatino Linotype"/>
        </w:rPr>
      </w:pPr>
    </w:p>
    <w:p w:rsidR="0017062E" w:rsidRPr="00D7023B" w:rsidRDefault="0017062E" w:rsidP="0017062E">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rsidR="0017062E" w:rsidRPr="00D7023B" w:rsidRDefault="0017062E" w:rsidP="0017062E">
      <w:pPr>
        <w:spacing w:line="360" w:lineRule="auto"/>
        <w:jc w:val="both"/>
        <w:rPr>
          <w:rFonts w:ascii="Palatino Linotype" w:eastAsia="Palatino Linotype" w:hAnsi="Palatino Linotype" w:cs="Palatino Linotype"/>
        </w:rPr>
      </w:pPr>
    </w:p>
    <w:p w:rsidR="0017062E" w:rsidRPr="00D7023B" w:rsidRDefault="0017062E" w:rsidP="0017062E">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rsidR="0017062E" w:rsidRPr="00D7023B" w:rsidRDefault="0017062E" w:rsidP="0017062E">
      <w:pPr>
        <w:spacing w:line="360" w:lineRule="auto"/>
        <w:jc w:val="both"/>
        <w:rPr>
          <w:rFonts w:ascii="Palatino Linotype" w:eastAsia="Palatino Linotype" w:hAnsi="Palatino Linotype" w:cs="Palatino Linotype"/>
        </w:rPr>
      </w:pPr>
    </w:p>
    <w:p w:rsidR="0017062E" w:rsidRPr="00D7023B" w:rsidRDefault="0017062E" w:rsidP="0017062E">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 xml:space="preserve">Al respecto, se destaca que la versión pública que elabore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7023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7023B">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242A56" w:rsidRPr="00D7023B" w:rsidRDefault="00242A56">
      <w:pPr>
        <w:ind w:left="709" w:right="709"/>
        <w:jc w:val="both"/>
        <w:rPr>
          <w:rFonts w:ascii="Palatino Linotype" w:eastAsia="Palatino Linotype" w:hAnsi="Palatino Linotype" w:cs="Palatino Linotype"/>
          <w:b/>
          <w:i/>
          <w:sz w:val="22"/>
          <w:szCs w:val="22"/>
        </w:rPr>
      </w:pP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i/>
          <w:sz w:val="22"/>
          <w:szCs w:val="22"/>
        </w:rPr>
        <w:t>“</w:t>
      </w:r>
      <w:r w:rsidRPr="00D7023B">
        <w:rPr>
          <w:rFonts w:ascii="Palatino Linotype" w:eastAsia="Palatino Linotype" w:hAnsi="Palatino Linotype" w:cs="Palatino Linotype"/>
          <w:b/>
          <w:i/>
          <w:sz w:val="22"/>
          <w:szCs w:val="22"/>
        </w:rPr>
        <w:t>Segundo.-</w:t>
      </w:r>
      <w:r w:rsidRPr="00D7023B">
        <w:rPr>
          <w:rFonts w:ascii="Palatino Linotype" w:eastAsia="Palatino Linotype" w:hAnsi="Palatino Linotype" w:cs="Palatino Linotype"/>
          <w:i/>
          <w:sz w:val="22"/>
          <w:szCs w:val="22"/>
        </w:rPr>
        <w:t xml:space="preserve"> Para efectos de los presentes Lineamientos Generales, se entenderá por:</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XVIII.</w:t>
      </w:r>
      <w:r w:rsidRPr="00D7023B">
        <w:rPr>
          <w:rFonts w:ascii="Palatino Linotype" w:eastAsia="Palatino Linotype" w:hAnsi="Palatino Linotype" w:cs="Palatino Linotype"/>
          <w:i/>
          <w:sz w:val="22"/>
          <w:szCs w:val="22"/>
        </w:rPr>
        <w:t xml:space="preserve"> </w:t>
      </w:r>
      <w:r w:rsidRPr="00D7023B">
        <w:rPr>
          <w:rFonts w:ascii="Palatino Linotype" w:eastAsia="Palatino Linotype" w:hAnsi="Palatino Linotype" w:cs="Palatino Linotype"/>
          <w:b/>
          <w:i/>
          <w:sz w:val="22"/>
          <w:szCs w:val="22"/>
        </w:rPr>
        <w:t>Versión pública:</w:t>
      </w:r>
      <w:r w:rsidRPr="00D7023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7023B">
        <w:rPr>
          <w:rFonts w:ascii="Palatino Linotype" w:eastAsia="Palatino Linotype" w:hAnsi="Palatino Linotype" w:cs="Palatino Linotype"/>
          <w:b/>
          <w:i/>
          <w:sz w:val="22"/>
          <w:szCs w:val="22"/>
          <w:u w:val="single"/>
        </w:rPr>
        <w:t>fundando y motivando la</w:t>
      </w:r>
      <w:r w:rsidRPr="00D7023B">
        <w:rPr>
          <w:rFonts w:ascii="Palatino Linotype" w:eastAsia="Palatino Linotype" w:hAnsi="Palatino Linotype" w:cs="Palatino Linotype"/>
          <w:i/>
          <w:sz w:val="22"/>
          <w:szCs w:val="22"/>
        </w:rPr>
        <w:t xml:space="preserve"> reserva o </w:t>
      </w:r>
      <w:r w:rsidRPr="00D7023B">
        <w:rPr>
          <w:rFonts w:ascii="Palatino Linotype" w:eastAsia="Palatino Linotype" w:hAnsi="Palatino Linotype" w:cs="Palatino Linotype"/>
          <w:b/>
          <w:i/>
          <w:sz w:val="22"/>
          <w:szCs w:val="22"/>
          <w:u w:val="single"/>
        </w:rPr>
        <w:t>confidencialidad</w:t>
      </w:r>
      <w:r w:rsidRPr="00D7023B">
        <w:rPr>
          <w:rFonts w:ascii="Palatino Linotype" w:eastAsia="Palatino Linotype" w:hAnsi="Palatino Linotype" w:cs="Palatino Linotype"/>
          <w:i/>
          <w:sz w:val="22"/>
          <w:szCs w:val="22"/>
        </w:rPr>
        <w:t>, a través de la resolución que para tal efecto emita el Comité de Transparencia.</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Cuarto.</w:t>
      </w:r>
      <w:r w:rsidRPr="00D7023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lastRenderedPageBreak/>
        <w:t>Quinto.</w:t>
      </w:r>
      <w:r w:rsidRPr="00D7023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Séptimo.</w:t>
      </w:r>
      <w:r w:rsidRPr="00D7023B">
        <w:rPr>
          <w:rFonts w:ascii="Palatino Linotype" w:eastAsia="Palatino Linotype" w:hAnsi="Palatino Linotype" w:cs="Palatino Linotype"/>
          <w:i/>
          <w:sz w:val="22"/>
          <w:szCs w:val="22"/>
        </w:rPr>
        <w:t xml:space="preserve"> La clasificación de la información se llevará a cabo en el momento en que:</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I.</w:t>
      </w:r>
      <w:r w:rsidRPr="00D7023B">
        <w:rPr>
          <w:rFonts w:ascii="Palatino Linotype" w:eastAsia="Palatino Linotype" w:hAnsi="Palatino Linotype" w:cs="Palatino Linotype"/>
          <w:i/>
          <w:sz w:val="22"/>
          <w:szCs w:val="22"/>
        </w:rPr>
        <w:t xml:space="preserve"> Se reciba una solicitud de acceso a la información;</w:t>
      </w:r>
    </w:p>
    <w:p w:rsidR="00242A56" w:rsidRPr="00D7023B" w:rsidRDefault="00C07BE5">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II.</w:t>
      </w:r>
      <w:r w:rsidRPr="00D7023B">
        <w:rPr>
          <w:rFonts w:ascii="Palatino Linotype" w:eastAsia="Palatino Linotype" w:hAnsi="Palatino Linotype" w:cs="Palatino Linotype"/>
          <w:i/>
          <w:sz w:val="22"/>
          <w:szCs w:val="22"/>
        </w:rPr>
        <w:t xml:space="preserve"> Se  determine mediante resolución del Comité de Transparencia, el órgano garante </w:t>
      </w:r>
    </w:p>
    <w:p w:rsidR="00242A56" w:rsidRPr="00D7023B" w:rsidRDefault="00C07BE5">
      <w:pPr>
        <w:pBdr>
          <w:top w:val="nil"/>
          <w:left w:val="nil"/>
          <w:bottom w:val="nil"/>
          <w:right w:val="nil"/>
          <w:between w:val="nil"/>
        </w:pBdr>
        <w:ind w:left="709" w:right="709"/>
        <w:jc w:val="both"/>
      </w:pPr>
      <w:proofErr w:type="gramStart"/>
      <w:r w:rsidRPr="00D7023B">
        <w:rPr>
          <w:rFonts w:ascii="Palatino Linotype" w:eastAsia="Palatino Linotype" w:hAnsi="Palatino Linotype" w:cs="Palatino Linotype"/>
          <w:i/>
          <w:sz w:val="22"/>
          <w:szCs w:val="22"/>
        </w:rPr>
        <w:t>competente</w:t>
      </w:r>
      <w:proofErr w:type="gramEnd"/>
      <w:r w:rsidRPr="00D7023B">
        <w:rPr>
          <w:rFonts w:ascii="Palatino Linotype" w:eastAsia="Palatino Linotype" w:hAnsi="Palatino Linotype" w:cs="Palatino Linotype"/>
          <w:i/>
          <w:sz w:val="22"/>
          <w:szCs w:val="22"/>
        </w:rPr>
        <w:t>, o en cumplimiento a una sentencia del Poder Judicial; o</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III.</w:t>
      </w:r>
      <w:r w:rsidRPr="00D7023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Octavo.</w:t>
      </w:r>
      <w:r w:rsidRPr="00D7023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42A56" w:rsidRPr="00D7023B" w:rsidRDefault="00C07BE5">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Noveno.</w:t>
      </w:r>
      <w:r w:rsidRPr="00D7023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b/>
          <w:i/>
          <w:sz w:val="22"/>
          <w:szCs w:val="22"/>
        </w:rPr>
        <w:t>Décimo.</w:t>
      </w:r>
      <w:r w:rsidRPr="00D7023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D7023B">
        <w:rPr>
          <w:rFonts w:ascii="Palatino Linotype" w:eastAsia="Palatino Linotype" w:hAnsi="Palatino Linotype" w:cs="Palatino Linotype"/>
          <w:i/>
          <w:sz w:val="22"/>
          <w:szCs w:val="22"/>
        </w:rPr>
        <w:lastRenderedPageBreak/>
        <w:t>información clasificada, en los términos de la Ley General de Archivos, Lineamientos para la Organización y Conservación de Archivos y demás normatividad aplicable.</w:t>
      </w: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42A56" w:rsidRPr="00D7023B" w:rsidRDefault="00C07BE5">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Décimo primero.</w:t>
      </w:r>
      <w:r w:rsidRPr="00D7023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42A56" w:rsidRPr="00D7023B" w:rsidRDefault="00242A56">
      <w:pPr>
        <w:pBdr>
          <w:top w:val="nil"/>
          <w:left w:val="nil"/>
          <w:bottom w:val="nil"/>
          <w:right w:val="nil"/>
          <w:between w:val="nil"/>
        </w:pBdr>
        <w:ind w:right="709"/>
        <w:jc w:val="both"/>
      </w:pPr>
    </w:p>
    <w:p w:rsidR="00242A56" w:rsidRPr="00D7023B" w:rsidRDefault="00C07BE5">
      <w:pPr>
        <w:pBdr>
          <w:top w:val="nil"/>
          <w:left w:val="nil"/>
          <w:bottom w:val="nil"/>
          <w:right w:val="nil"/>
          <w:between w:val="nil"/>
        </w:pBdr>
        <w:ind w:left="709" w:right="709"/>
        <w:jc w:val="both"/>
      </w:pPr>
      <w:r w:rsidRPr="00D7023B">
        <w:rPr>
          <w:rFonts w:ascii="Palatino Linotype" w:eastAsia="Palatino Linotype" w:hAnsi="Palatino Linotype" w:cs="Palatino Linotype"/>
          <w:i/>
          <w:sz w:val="22"/>
          <w:szCs w:val="22"/>
        </w:rPr>
        <w:t>[…]</w:t>
      </w:r>
    </w:p>
    <w:p w:rsidR="00242A56" w:rsidRPr="00D7023B" w:rsidRDefault="00C07BE5">
      <w:pPr>
        <w:pBdr>
          <w:top w:val="nil"/>
          <w:left w:val="nil"/>
          <w:bottom w:val="nil"/>
          <w:right w:val="nil"/>
          <w:between w:val="nil"/>
        </w:pBdr>
        <w:ind w:left="709" w:right="709"/>
        <w:jc w:val="center"/>
      </w:pPr>
      <w:r w:rsidRPr="00D7023B">
        <w:rPr>
          <w:rFonts w:ascii="Palatino Linotype" w:eastAsia="Palatino Linotype" w:hAnsi="Palatino Linotype" w:cs="Palatino Linotype"/>
          <w:b/>
          <w:i/>
          <w:sz w:val="22"/>
          <w:szCs w:val="22"/>
        </w:rPr>
        <w:t>CAPÍTULO VIII</w:t>
      </w:r>
    </w:p>
    <w:p w:rsidR="00242A56" w:rsidRPr="00D7023B" w:rsidRDefault="00C07BE5">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D7023B">
        <w:rPr>
          <w:rFonts w:ascii="Palatino Linotype" w:eastAsia="Palatino Linotype" w:hAnsi="Palatino Linotype" w:cs="Palatino Linotype"/>
          <w:b/>
          <w:i/>
          <w:sz w:val="22"/>
          <w:szCs w:val="22"/>
        </w:rPr>
        <w:t>DE LOS ELEMENTOS PARA LA CLASIFICACIÓN</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Quincuagésimo</w:t>
      </w:r>
      <w:r w:rsidRPr="00D7023B">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Quincuagésimo primero</w:t>
      </w:r>
      <w:r w:rsidRPr="00D7023B">
        <w:rPr>
          <w:rFonts w:ascii="Palatino Linotype" w:eastAsia="Palatino Linotype" w:hAnsi="Palatino Linotype" w:cs="Palatino Linotype"/>
          <w:i/>
          <w:sz w:val="22"/>
          <w:szCs w:val="22"/>
        </w:rPr>
        <w:t>. Toda acta del Comité de Transparencia deberá contener:</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I. El número de sesión y fecha; </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 El nombre del área que solicitó la clasificación de información;</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III. La fundamentación legal y motivación correspondiente;</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IV. La resolución o resoluciones aprobadas; y</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V. La rúbrica o firma digital de cada integrante del Comité de Transparencia. </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 Los motivos y razonamientos que sustenten la confirmación o modificación de la prueba de daño;</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 Descripción de las partes o secciones reservadas, en caso de clasificación parcial;</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III. El periodo por el que mantendrá su clasificación y fecha de expiración; y</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IV. El nombre del titular y área encargada de realizar la versión pública del documento, en su caso.</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b/>
          <w:i/>
          <w:sz w:val="22"/>
          <w:szCs w:val="22"/>
        </w:rPr>
        <w:t>Quincuagésimo segundo</w:t>
      </w:r>
      <w:r w:rsidRPr="00D7023B">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7023B">
        <w:rPr>
          <w:rFonts w:ascii="Palatino Linotype" w:eastAsia="Palatino Linotype" w:hAnsi="Palatino Linotype" w:cs="Palatino Linotype"/>
          <w:i/>
          <w:sz w:val="22"/>
          <w:szCs w:val="22"/>
        </w:rPr>
        <w:t>sobreposición</w:t>
      </w:r>
      <w:proofErr w:type="spellEnd"/>
      <w:r w:rsidRPr="00D7023B">
        <w:rPr>
          <w:rFonts w:ascii="Palatino Linotype" w:eastAsia="Palatino Linotype" w:hAnsi="Palatino Linotype" w:cs="Palatino Linotype"/>
          <w:i/>
          <w:sz w:val="22"/>
          <w:szCs w:val="22"/>
        </w:rPr>
        <w:t xml:space="preserve"> de contenido distinto al autorizado por el Comité.</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III. Señalar las personas o instancias autorizadas a acceder a la información clasificada.</w:t>
      </w:r>
    </w:p>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242A56" w:rsidRPr="00D7023B" w:rsidRDefault="00C07BE5">
      <w:pPr>
        <w:pBdr>
          <w:top w:val="nil"/>
          <w:left w:val="nil"/>
          <w:bottom w:val="nil"/>
          <w:right w:val="nil"/>
          <w:between w:val="nil"/>
        </w:pBdr>
        <w:spacing w:after="160"/>
        <w:ind w:left="709" w:right="709"/>
        <w:jc w:val="both"/>
      </w:pPr>
      <w:r w:rsidRPr="00D7023B">
        <w:rPr>
          <w:rFonts w:ascii="Palatino Linotype" w:eastAsia="Palatino Linotype" w:hAnsi="Palatino Linotype" w:cs="Palatino Linotype"/>
          <w:b/>
          <w:i/>
          <w:sz w:val="22"/>
          <w:szCs w:val="22"/>
        </w:rPr>
        <w:t xml:space="preserve">Quincuagésimo tercero. </w:t>
      </w:r>
      <w:r w:rsidRPr="00D7023B">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roofErr w:type="gramStart"/>
      <w:r w:rsidRPr="00D7023B">
        <w:rPr>
          <w:rFonts w:ascii="Palatino Linotype" w:eastAsia="Palatino Linotype" w:hAnsi="Palatino Linotype" w:cs="Palatino Linotype"/>
          <w:b/>
          <w:i/>
          <w:sz w:val="22"/>
          <w:szCs w:val="22"/>
          <w:u w:val="single"/>
        </w:rPr>
        <w:t>:</w:t>
      </w:r>
      <w:r w:rsidRPr="00D7023B">
        <w:rPr>
          <w:rFonts w:ascii="Palatino Linotype" w:eastAsia="Palatino Linotype" w:hAnsi="Palatino Linotype" w:cs="Palatino Linotype"/>
          <w:i/>
          <w:sz w:val="22"/>
          <w:szCs w:val="22"/>
        </w:rPr>
        <w:t>:</w:t>
      </w:r>
      <w:proofErr w:type="gramEnd"/>
    </w:p>
    <w:tbl>
      <w:tblPr>
        <w:tblStyle w:val="a5"/>
        <w:tblW w:w="8833" w:type="dxa"/>
        <w:jc w:val="center"/>
        <w:tblInd w:w="0" w:type="dxa"/>
        <w:tblLayout w:type="fixed"/>
        <w:tblLook w:val="0400" w:firstRow="0" w:lastRow="0" w:firstColumn="0" w:lastColumn="0" w:noHBand="0" w:noVBand="1"/>
      </w:tblPr>
      <w:tblGrid>
        <w:gridCol w:w="1660"/>
        <w:gridCol w:w="1980"/>
        <w:gridCol w:w="5193"/>
      </w:tblGrid>
      <w:tr w:rsidR="00242A56" w:rsidRPr="00D7023B">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242A56" w:rsidRPr="00D7023B" w:rsidRDefault="00242A56"/>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b/>
                <w:i/>
              </w:rPr>
              <w:t>Dónde:</w:t>
            </w:r>
          </w:p>
        </w:tc>
      </w:tr>
      <w:tr w:rsidR="00242A56" w:rsidRPr="00D7023B">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Se anotará la fecha en la que el Comité de Transparencia confirmó la clasificación del documento o expediente, en su caso.</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Se señalará el nombre del área del cual es titular quien clasifica.</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 xml:space="preserve">Se indicarán las partes o páginas del documento que se clasifican como reservadas, o, en su caso, se </w:t>
            </w:r>
            <w:r w:rsidRPr="00D7023B">
              <w:rPr>
                <w:rFonts w:ascii="Palatino Linotype" w:eastAsia="Palatino Linotype" w:hAnsi="Palatino Linotype" w:cs="Palatino Linotype"/>
                <w:i/>
              </w:rPr>
              <w:lastRenderedPageBreak/>
              <w:t>precisará que se ha reservado el documento o expediente en su totalidad.</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Se señalará el nombre del ordenamiento, el o los artículos, fracción(es), párrafo(s) con base en los cuales se sustente la reserva.</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Rúbrica autógrafa o firma digital de quien clasifica.</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Se anotará la fecha en que se desclasifica el documento.</w:t>
            </w:r>
          </w:p>
        </w:tc>
      </w:tr>
      <w:tr w:rsidR="00242A56" w:rsidRPr="00D7023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42A56" w:rsidRPr="00D7023B" w:rsidRDefault="00C07BE5">
            <w:pPr>
              <w:pBdr>
                <w:top w:val="nil"/>
                <w:left w:val="nil"/>
                <w:bottom w:val="nil"/>
                <w:right w:val="nil"/>
                <w:between w:val="nil"/>
              </w:pBdr>
              <w:jc w:val="center"/>
            </w:pPr>
            <w:r w:rsidRPr="00D7023B">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C07BE5">
            <w:pPr>
              <w:pBdr>
                <w:top w:val="nil"/>
                <w:left w:val="nil"/>
                <w:bottom w:val="nil"/>
                <w:right w:val="nil"/>
                <w:between w:val="nil"/>
              </w:pBdr>
              <w:jc w:val="both"/>
            </w:pPr>
            <w:r w:rsidRPr="00D7023B">
              <w:rPr>
                <w:rFonts w:ascii="Palatino Linotype" w:eastAsia="Palatino Linotype" w:hAnsi="Palatino Linotype" w:cs="Palatino Linotype"/>
                <w:i/>
              </w:rPr>
              <w:t>Rúbrica autógrafa o firma digital de quien desclasifica.</w:t>
            </w:r>
          </w:p>
        </w:tc>
      </w:tr>
      <w:tr w:rsidR="00242A56" w:rsidRPr="00D7023B">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2A56" w:rsidRPr="00D7023B" w:rsidRDefault="00242A56">
            <w:pPr>
              <w:widowControl w:val="0"/>
              <w:pBdr>
                <w:top w:val="nil"/>
                <w:left w:val="nil"/>
                <w:bottom w:val="nil"/>
                <w:right w:val="nil"/>
                <w:between w:val="nil"/>
              </w:pBdr>
              <w:spacing w:line="276" w:lineRule="auto"/>
            </w:pPr>
          </w:p>
        </w:tc>
      </w:tr>
    </w:tbl>
    <w:p w:rsidR="00242A56" w:rsidRPr="00D7023B" w:rsidRDefault="00C07BE5">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242A56" w:rsidRPr="00D7023B" w:rsidRDefault="00C07BE5">
      <w:pPr>
        <w:pBdr>
          <w:top w:val="nil"/>
          <w:left w:val="nil"/>
          <w:bottom w:val="nil"/>
          <w:right w:val="nil"/>
          <w:between w:val="nil"/>
        </w:pBdr>
        <w:spacing w:after="160"/>
        <w:ind w:left="709" w:right="709"/>
        <w:jc w:val="both"/>
      </w:pPr>
      <w:r w:rsidRPr="00D7023B">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D7023B">
        <w:rPr>
          <w:rFonts w:ascii="Palatino Linotype" w:eastAsia="Palatino Linotype" w:hAnsi="Palatino Linotype" w:cs="Palatino Linotype"/>
          <w:i/>
          <w:sz w:val="22"/>
          <w:szCs w:val="22"/>
        </w:rPr>
        <w:t>testado</w:t>
      </w:r>
      <w:proofErr w:type="spellEnd"/>
      <w:r w:rsidRPr="00D7023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rsidR="00242A56" w:rsidRPr="00D7023B" w:rsidRDefault="00242A56">
      <w:pPr>
        <w:jc w:val="both"/>
      </w:pPr>
    </w:p>
    <w:p w:rsidR="00242A56" w:rsidRPr="00D7023B" w:rsidRDefault="00242A56"/>
    <w:p w:rsidR="00242A56" w:rsidRPr="00D7023B" w:rsidRDefault="00C07BE5">
      <w:pPr>
        <w:spacing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242A56" w:rsidRPr="00D7023B" w:rsidRDefault="00242A56">
      <w:pPr>
        <w:spacing w:line="360" w:lineRule="auto"/>
        <w:jc w:val="both"/>
        <w:rPr>
          <w:rFonts w:ascii="Palatino Linotype" w:eastAsia="Palatino Linotype" w:hAnsi="Palatino Linotype" w:cs="Palatino Linotype"/>
        </w:rPr>
      </w:pPr>
    </w:p>
    <w:p w:rsidR="00242A56" w:rsidRPr="00D7023B" w:rsidRDefault="00C07BE5">
      <w:pPr>
        <w:shd w:val="clear" w:color="auto" w:fill="FFFFFF"/>
        <w:spacing w:line="360" w:lineRule="auto"/>
        <w:ind w:right="51"/>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w:t>
      </w:r>
    </w:p>
    <w:p w:rsidR="00242A56" w:rsidRPr="00D7023B" w:rsidRDefault="00242A56">
      <w:pPr>
        <w:spacing w:after="240" w:line="360" w:lineRule="auto"/>
        <w:jc w:val="both"/>
        <w:rPr>
          <w:rFonts w:ascii="Palatino Linotype" w:eastAsia="Palatino Linotype" w:hAnsi="Palatino Linotype" w:cs="Palatino Linotype"/>
        </w:rPr>
      </w:pPr>
    </w:p>
    <w:p w:rsidR="00242A56" w:rsidRPr="00D7023B" w:rsidRDefault="00C07BE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F16D1F" w:rsidRPr="00D7023B" w:rsidRDefault="00F16D1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242A56" w:rsidRPr="00D7023B" w:rsidRDefault="00C07BE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7023B">
        <w:rPr>
          <w:rFonts w:ascii="Palatino Linotype" w:eastAsia="Palatino Linotype" w:hAnsi="Palatino Linotype" w:cs="Palatino Linotype"/>
          <w:b/>
        </w:rPr>
        <w:lastRenderedPageBreak/>
        <w:t>III. R E S U E L V E:</w:t>
      </w:r>
    </w:p>
    <w:p w:rsidR="00242A56" w:rsidRPr="00D7023B" w:rsidRDefault="00C07BE5">
      <w:pPr>
        <w:spacing w:before="240" w:after="240" w:line="360" w:lineRule="auto"/>
        <w:jc w:val="both"/>
        <w:rPr>
          <w:rFonts w:ascii="Palatino Linotype" w:eastAsia="Palatino Linotype" w:hAnsi="Palatino Linotype" w:cs="Palatino Linotype"/>
        </w:rPr>
      </w:pPr>
      <w:bookmarkStart w:id="4" w:name="_heading=h.3dy6vkm" w:colFirst="0" w:colLast="0"/>
      <w:bookmarkEnd w:id="4"/>
      <w:r w:rsidRPr="00D7023B">
        <w:rPr>
          <w:rFonts w:ascii="Palatino Linotype" w:eastAsia="Palatino Linotype" w:hAnsi="Palatino Linotype" w:cs="Palatino Linotype"/>
          <w:b/>
        </w:rPr>
        <w:t xml:space="preserve">Primero. </w:t>
      </w:r>
      <w:r w:rsidRPr="00D7023B">
        <w:rPr>
          <w:rFonts w:ascii="Palatino Linotype" w:eastAsia="Palatino Linotype" w:hAnsi="Palatino Linotype" w:cs="Palatino Linotype"/>
        </w:rPr>
        <w:t xml:space="preserve">Resultan parcialmente fundados los motivos de inconformidad hechos valer por el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en el Recurso de Revisión </w:t>
      </w:r>
      <w:r w:rsidRPr="00D7023B">
        <w:rPr>
          <w:rFonts w:ascii="Palatino Linotype" w:eastAsia="Palatino Linotype" w:hAnsi="Palatino Linotype" w:cs="Palatino Linotype"/>
          <w:b/>
        </w:rPr>
        <w:t xml:space="preserve">01679/INFOEM/IP/RR/2023, </w:t>
      </w:r>
      <w:r w:rsidRPr="00D7023B">
        <w:rPr>
          <w:rFonts w:ascii="Palatino Linotype" w:eastAsia="Palatino Linotype" w:hAnsi="Palatino Linotype" w:cs="Palatino Linotype"/>
        </w:rPr>
        <w:t xml:space="preserve">por lo que, en términos del considerando </w:t>
      </w:r>
      <w:r w:rsidRPr="00D7023B">
        <w:rPr>
          <w:rFonts w:ascii="Palatino Linotype" w:eastAsia="Palatino Linotype" w:hAnsi="Palatino Linotype" w:cs="Palatino Linotype"/>
          <w:b/>
        </w:rPr>
        <w:t xml:space="preserve">Cuarto </w:t>
      </w:r>
      <w:r w:rsidRPr="00D7023B">
        <w:rPr>
          <w:rFonts w:ascii="Palatino Linotype" w:eastAsia="Palatino Linotype" w:hAnsi="Palatino Linotype" w:cs="Palatino Linotype"/>
        </w:rPr>
        <w:t xml:space="preserve">de esta resolución, se </w:t>
      </w:r>
      <w:r w:rsidRPr="00D7023B">
        <w:rPr>
          <w:rFonts w:ascii="Palatino Linotype" w:eastAsia="Palatino Linotype" w:hAnsi="Palatino Linotype" w:cs="Palatino Linotype"/>
          <w:b/>
        </w:rPr>
        <w:t xml:space="preserve">MODIFICA </w:t>
      </w:r>
      <w:r w:rsidRPr="00D7023B">
        <w:rPr>
          <w:rFonts w:ascii="Palatino Linotype" w:eastAsia="Palatino Linotype" w:hAnsi="Palatino Linotype" w:cs="Palatino Linotype"/>
        </w:rPr>
        <w:t xml:space="preserve">la respuesta emitida por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w:t>
      </w:r>
    </w:p>
    <w:p w:rsidR="00242A56" w:rsidRPr="00D7023B" w:rsidRDefault="00C07BE5">
      <w:pPr>
        <w:spacing w:before="240" w:after="240"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Segundo. </w:t>
      </w:r>
      <w:r w:rsidRPr="00D7023B">
        <w:rPr>
          <w:rFonts w:ascii="Palatino Linotype" w:eastAsia="Palatino Linotype" w:hAnsi="Palatino Linotype" w:cs="Palatino Linotype"/>
        </w:rPr>
        <w:t>Se</w:t>
      </w:r>
      <w:r w:rsidRPr="00D7023B">
        <w:rPr>
          <w:rFonts w:ascii="Palatino Linotype" w:eastAsia="Palatino Linotype" w:hAnsi="Palatino Linotype" w:cs="Palatino Linotype"/>
          <w:b/>
        </w:rPr>
        <w:t xml:space="preserve"> ORDENA </w:t>
      </w:r>
      <w:r w:rsidRPr="00D7023B">
        <w:rPr>
          <w:rFonts w:ascii="Palatino Linotype" w:eastAsia="Palatino Linotype" w:hAnsi="Palatino Linotype" w:cs="Palatino Linotype"/>
        </w:rPr>
        <w:t xml:space="preserve">al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a que,</w:t>
      </w:r>
      <w:r w:rsidRPr="00D7023B">
        <w:rPr>
          <w:rFonts w:ascii="Palatino Linotype" w:eastAsia="Palatino Linotype" w:hAnsi="Palatino Linotype" w:cs="Palatino Linotype"/>
          <w:b/>
        </w:rPr>
        <w:t xml:space="preserve"> </w:t>
      </w:r>
      <w:r w:rsidRPr="00D7023B">
        <w:rPr>
          <w:rFonts w:ascii="Palatino Linotype" w:eastAsia="Palatino Linotype" w:hAnsi="Palatino Linotype" w:cs="Palatino Linotype"/>
        </w:rPr>
        <w:t xml:space="preserve">en términos de los Considerandos Cuarto y Quinto de la presente resolución, haga entrega previa búsqueda exhaustiva y razonable, </w:t>
      </w:r>
      <w:r w:rsidRPr="00D7023B">
        <w:rPr>
          <w:rFonts w:ascii="Palatino Linotype" w:eastAsia="Palatino Linotype" w:hAnsi="Palatino Linotype" w:cs="Palatino Linotype"/>
          <w:b/>
        </w:rPr>
        <w:t xml:space="preserve">en copias simples con costo, </w:t>
      </w:r>
      <w:r w:rsidRPr="00D7023B">
        <w:rPr>
          <w:rFonts w:ascii="Palatino Linotype" w:eastAsia="Palatino Linotype" w:hAnsi="Palatino Linotype" w:cs="Palatino Linotype"/>
        </w:rPr>
        <w:t>de ser procedente en versión pública, de lo siguiente:</w:t>
      </w:r>
    </w:p>
    <w:p w:rsidR="00242A56" w:rsidRPr="00D7023B" w:rsidRDefault="00C07BE5">
      <w:pPr>
        <w:numPr>
          <w:ilvl w:val="0"/>
          <w:numId w:val="2"/>
        </w:numPr>
        <w:pBdr>
          <w:top w:val="nil"/>
          <w:left w:val="nil"/>
          <w:bottom w:val="nil"/>
          <w:right w:val="nil"/>
          <w:between w:val="nil"/>
        </w:pBdr>
        <w:spacing w:before="240" w:after="240" w:line="360" w:lineRule="auto"/>
        <w:ind w:right="40"/>
        <w:jc w:val="both"/>
        <w:rPr>
          <w:rFonts w:ascii="Palatino Linotype" w:eastAsia="Palatino Linotype" w:hAnsi="Palatino Linotype" w:cs="Palatino Linotype"/>
          <w:i/>
        </w:rPr>
      </w:pPr>
      <w:r w:rsidRPr="00D7023B">
        <w:rPr>
          <w:rFonts w:ascii="Palatino Linotype" w:eastAsia="Palatino Linotype" w:hAnsi="Palatino Linotype" w:cs="Palatino Linotype"/>
        </w:rPr>
        <w:t>La documentación que presentó el Ayuntamiento de Ixtapaluca 2016-2018, del trámite para obtener el Dictamen Único de Factibilidad, respecto del</w:t>
      </w:r>
      <w:r w:rsidRPr="00D7023B">
        <w:rPr>
          <w:rFonts w:ascii="Verdana" w:eastAsia="Verdana" w:hAnsi="Verdana" w:cs="Verdana"/>
          <w:sz w:val="14"/>
          <w:szCs w:val="14"/>
        </w:rPr>
        <w:t xml:space="preserve"> </w:t>
      </w:r>
      <w:r w:rsidRPr="00D7023B">
        <w:rPr>
          <w:rFonts w:ascii="Palatino Linotype" w:eastAsia="Palatino Linotype" w:hAnsi="Palatino Linotype" w:cs="Palatino Linotype"/>
        </w:rPr>
        <w:t xml:space="preserve">proyecto denominado "Parque </w:t>
      </w:r>
      <w:proofErr w:type="spellStart"/>
      <w:r w:rsidRPr="00D7023B">
        <w:rPr>
          <w:rFonts w:ascii="Palatino Linotype" w:eastAsia="Palatino Linotype" w:hAnsi="Palatino Linotype" w:cs="Palatino Linotype"/>
        </w:rPr>
        <w:t>Ecoturístico</w:t>
      </w:r>
      <w:proofErr w:type="spellEnd"/>
      <w:r w:rsidRPr="00D7023B">
        <w:rPr>
          <w:rFonts w:ascii="Palatino Linotype" w:eastAsia="Palatino Linotype" w:hAnsi="Palatino Linotype" w:cs="Palatino Linotype"/>
        </w:rPr>
        <w:t xml:space="preserve"> El Elefante primera etapa, segunda etapa y obra nueva", en el interior del Cerro el Elefante, ubicado en el Pueblo de </w:t>
      </w:r>
      <w:proofErr w:type="spellStart"/>
      <w:r w:rsidRPr="00D7023B">
        <w:rPr>
          <w:rFonts w:ascii="Palatino Linotype" w:eastAsia="Palatino Linotype" w:hAnsi="Palatino Linotype" w:cs="Palatino Linotype"/>
        </w:rPr>
        <w:t>Tlapacoya</w:t>
      </w:r>
      <w:proofErr w:type="spellEnd"/>
      <w:r w:rsidRPr="00D7023B">
        <w:rPr>
          <w:rFonts w:ascii="Palatino Linotype" w:eastAsia="Palatino Linotype" w:hAnsi="Palatino Linotype" w:cs="Palatino Linotype"/>
        </w:rPr>
        <w:t>, Ixtapaluca, Estado de México.</w:t>
      </w:r>
    </w:p>
    <w:p w:rsidR="0017062E" w:rsidRPr="00D7023B" w:rsidRDefault="00C07BE5" w:rsidP="0017062E">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De ser procedente </w:t>
      </w:r>
      <w:r w:rsidR="0017062E" w:rsidRPr="00D7023B">
        <w:rPr>
          <w:rFonts w:ascii="Palatino Linotype" w:eastAsia="Palatino Linotype" w:hAnsi="Palatino Linotype" w:cs="Palatino Linotype"/>
          <w:i/>
          <w:sz w:val="22"/>
          <w:szCs w:val="22"/>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w:t>
      </w:r>
      <w:r w:rsidR="0017062E" w:rsidRPr="00D7023B">
        <w:rPr>
          <w:rFonts w:ascii="Palatino Linotype" w:eastAsia="Palatino Linotype" w:hAnsi="Palatino Linotype" w:cs="Palatino Linotype"/>
          <w:b/>
          <w:i/>
          <w:sz w:val="22"/>
          <w:szCs w:val="22"/>
          <w:u w:val="single"/>
        </w:rPr>
        <w:t>y de los documentos que se deban clasificar en su totalidad</w:t>
      </w:r>
      <w:r w:rsidR="0017062E" w:rsidRPr="00D7023B">
        <w:rPr>
          <w:rFonts w:ascii="Palatino Linotype" w:eastAsia="Palatino Linotype" w:hAnsi="Palatino Linotype" w:cs="Palatino Linotype"/>
          <w:i/>
          <w:sz w:val="22"/>
          <w:szCs w:val="22"/>
        </w:rPr>
        <w:t xml:space="preserve">, los que se deberán poner a disposición del </w:t>
      </w:r>
      <w:r w:rsidR="0017062E" w:rsidRPr="00D7023B">
        <w:rPr>
          <w:rFonts w:ascii="Palatino Linotype" w:eastAsia="Palatino Linotype" w:hAnsi="Palatino Linotype" w:cs="Palatino Linotype"/>
          <w:b/>
          <w:i/>
          <w:sz w:val="22"/>
          <w:szCs w:val="22"/>
        </w:rPr>
        <w:t>RECURRENTE</w:t>
      </w:r>
      <w:r w:rsidR="0017062E" w:rsidRPr="00D7023B">
        <w:rPr>
          <w:rFonts w:ascii="Palatino Linotype" w:eastAsia="Palatino Linotype" w:hAnsi="Palatino Linotype" w:cs="Palatino Linotype"/>
          <w:i/>
          <w:sz w:val="22"/>
          <w:szCs w:val="22"/>
        </w:rPr>
        <w:t>, mismo que igualmente hará de su conocimiento.</w:t>
      </w:r>
    </w:p>
    <w:p w:rsidR="0017062E" w:rsidRPr="00D7023B" w:rsidRDefault="0017062E">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rsidR="00242A56" w:rsidRPr="00D7023B" w:rsidRDefault="00242A56">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rsidR="00242A56" w:rsidRPr="00D7023B" w:rsidRDefault="00C07BE5">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D7023B">
        <w:rPr>
          <w:rFonts w:ascii="Palatino Linotype" w:eastAsia="Palatino Linotype" w:hAnsi="Palatino Linotype" w:cs="Palatino Linotype"/>
          <w:i/>
          <w:sz w:val="22"/>
          <w:szCs w:val="22"/>
        </w:rPr>
        <w:t xml:space="preserve">Para la entrega de la información a través de copias simples con costo, el </w:t>
      </w:r>
      <w:r w:rsidRPr="00D7023B">
        <w:rPr>
          <w:rFonts w:ascii="Palatino Linotype" w:eastAsia="Palatino Linotype" w:hAnsi="Palatino Linotype" w:cs="Palatino Linotype"/>
          <w:b/>
          <w:i/>
          <w:sz w:val="22"/>
          <w:szCs w:val="22"/>
        </w:rPr>
        <w:t>SUJETO OBLIGADO</w:t>
      </w:r>
      <w:r w:rsidRPr="00D7023B">
        <w:rPr>
          <w:rFonts w:ascii="Palatino Linotype" w:eastAsia="Palatino Linotype" w:hAnsi="Palatino Linotype" w:cs="Palatino Linotype"/>
          <w:i/>
          <w:sz w:val="22"/>
          <w:szCs w:val="22"/>
        </w:rPr>
        <w:t xml:space="preserve">, deberá notificar a la parte </w:t>
      </w:r>
      <w:r w:rsidRPr="00D7023B">
        <w:rPr>
          <w:rFonts w:ascii="Palatino Linotype" w:eastAsia="Palatino Linotype" w:hAnsi="Palatino Linotype" w:cs="Palatino Linotype"/>
          <w:b/>
          <w:i/>
          <w:sz w:val="22"/>
          <w:szCs w:val="22"/>
        </w:rPr>
        <w:t>RECURRENTE</w:t>
      </w:r>
      <w:r w:rsidRPr="00D7023B">
        <w:rPr>
          <w:rFonts w:ascii="Palatino Linotype" w:eastAsia="Palatino Linotype" w:hAnsi="Palatino Linotype" w:cs="Palatino Linotype"/>
          <w:i/>
          <w:sz w:val="22"/>
          <w:szCs w:val="22"/>
        </w:rPr>
        <w:t xml:space="preserve"> través del </w:t>
      </w:r>
      <w:r w:rsidRPr="00D7023B">
        <w:rPr>
          <w:rFonts w:ascii="Palatino Linotype" w:eastAsia="Palatino Linotype" w:hAnsi="Palatino Linotype" w:cs="Palatino Linotype"/>
          <w:b/>
          <w:i/>
          <w:sz w:val="22"/>
          <w:szCs w:val="22"/>
        </w:rPr>
        <w:t>SAIMEX</w:t>
      </w:r>
      <w:r w:rsidRPr="00D7023B">
        <w:rPr>
          <w:rFonts w:ascii="Palatino Linotype" w:eastAsia="Palatino Linotype" w:hAnsi="Palatino Linotype" w:cs="Palatino Linotype"/>
          <w:i/>
          <w:sz w:val="22"/>
          <w:szCs w:val="22"/>
        </w:rPr>
        <w:t xml:space="preserve">, el costo total por la reproducción de las copias simples de la información que se ordena, así como el procedimiento para la entrega de la misma en el que se establezca: procedimiento para realizar </w:t>
      </w:r>
      <w:r w:rsidRPr="00D7023B">
        <w:rPr>
          <w:rFonts w:ascii="Palatino Linotype" w:eastAsia="Palatino Linotype" w:hAnsi="Palatino Linotype" w:cs="Palatino Linotype"/>
          <w:i/>
          <w:sz w:val="22"/>
          <w:szCs w:val="22"/>
        </w:rPr>
        <w:lastRenderedPageBreak/>
        <w:t>el pago correspondiente, lugar, día y horarios en los que podrá presentarse a recoger las copias simples y el nombre del o los servidores públicos que le atenderán.</w:t>
      </w:r>
    </w:p>
    <w:p w:rsidR="00242A56" w:rsidRPr="00D7023B" w:rsidRDefault="00242A56">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rsidR="00242A56" w:rsidRPr="00D7023B" w:rsidRDefault="00C07BE5">
      <w:pPr>
        <w:spacing w:line="360" w:lineRule="auto"/>
        <w:ind w:right="49"/>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Tercero. Notifíquese, </w:t>
      </w:r>
      <w:r w:rsidRPr="00D7023B">
        <w:rPr>
          <w:rFonts w:ascii="Palatino Linotype" w:eastAsia="Palatino Linotype" w:hAnsi="Palatino Linotype" w:cs="Palatino Linotype"/>
        </w:rPr>
        <w:t xml:space="preserve">vía </w:t>
      </w:r>
      <w:r w:rsidRPr="00D7023B">
        <w:rPr>
          <w:rFonts w:ascii="Palatino Linotype" w:eastAsia="Palatino Linotype" w:hAnsi="Palatino Linotype" w:cs="Palatino Linotype"/>
          <w:b/>
        </w:rPr>
        <w:t>SAIMEX</w:t>
      </w:r>
      <w:r w:rsidRPr="00D7023B">
        <w:rPr>
          <w:rFonts w:ascii="Palatino Linotype" w:eastAsia="Palatino Linotype" w:hAnsi="Palatino Linotype" w:cs="Palatino Linotype"/>
        </w:rPr>
        <w:t xml:space="preserve">, al Titular de la Unidad de Transparencia del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16D1F" w:rsidRPr="00D7023B" w:rsidRDefault="00F16D1F">
      <w:pPr>
        <w:spacing w:after="240" w:line="360" w:lineRule="auto"/>
        <w:jc w:val="both"/>
        <w:rPr>
          <w:rFonts w:ascii="Palatino Linotype" w:eastAsia="Palatino Linotype" w:hAnsi="Palatino Linotype" w:cs="Palatino Linotype"/>
          <w:b/>
        </w:rPr>
      </w:pP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 xml:space="preserve">Cuarto. </w:t>
      </w:r>
      <w:r w:rsidRPr="00D7023B">
        <w:rPr>
          <w:rFonts w:ascii="Palatino Linotype" w:eastAsia="Palatino Linotype" w:hAnsi="Palatino Linotype" w:cs="Palatino Linotype"/>
        </w:rPr>
        <w:t xml:space="preserve">Notifíquese, vía </w:t>
      </w:r>
      <w:r w:rsidRPr="00D7023B">
        <w:rPr>
          <w:rFonts w:ascii="Palatino Linotype" w:eastAsia="Palatino Linotype" w:hAnsi="Palatino Linotype" w:cs="Palatino Linotype"/>
          <w:b/>
        </w:rPr>
        <w:t>SAIMEX</w:t>
      </w:r>
      <w:r w:rsidRPr="00D7023B">
        <w:rPr>
          <w:rFonts w:ascii="Palatino Linotype" w:eastAsia="Palatino Linotype" w:hAnsi="Palatino Linotype" w:cs="Palatino Linotype"/>
        </w:rPr>
        <w:t xml:space="preserve">, a la parte </w:t>
      </w:r>
      <w:r w:rsidRPr="00D7023B">
        <w:rPr>
          <w:rFonts w:ascii="Palatino Linotype" w:eastAsia="Palatino Linotype" w:hAnsi="Palatino Linotype" w:cs="Palatino Linotype"/>
          <w:b/>
        </w:rPr>
        <w:t>RECURRENTE</w:t>
      </w:r>
      <w:r w:rsidRPr="00D7023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42A56" w:rsidRPr="00D7023B" w:rsidRDefault="00C07BE5">
      <w:pPr>
        <w:spacing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b/>
        </w:rPr>
        <w:t>Quinto.</w:t>
      </w:r>
      <w:r w:rsidRPr="00D7023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D7023B">
        <w:rPr>
          <w:rFonts w:ascii="Palatino Linotype" w:eastAsia="Palatino Linotype" w:hAnsi="Palatino Linotype" w:cs="Palatino Linotype"/>
          <w:b/>
        </w:rPr>
        <w:t>SUJETO OBLIGADO</w:t>
      </w:r>
      <w:r w:rsidRPr="00D7023B">
        <w:rPr>
          <w:rFonts w:ascii="Palatino Linotype" w:eastAsia="Palatino Linotype" w:hAnsi="Palatino Linotype" w:cs="Palatino Linotype"/>
        </w:rPr>
        <w:t xml:space="preserve"> de manera fundada y motivada, podrá solicitar una ampliación de plazo para el cumplimiento de la presente resolución.</w:t>
      </w:r>
    </w:p>
    <w:p w:rsidR="00681D1B" w:rsidRPr="00D7023B" w:rsidRDefault="00681D1B">
      <w:pPr>
        <w:spacing w:before="240" w:after="240" w:line="360" w:lineRule="auto"/>
        <w:jc w:val="both"/>
        <w:rPr>
          <w:rFonts w:ascii="Palatino Linotype" w:eastAsia="Palatino Linotype" w:hAnsi="Palatino Linotype" w:cs="Palatino Linotype"/>
        </w:rPr>
      </w:pPr>
      <w:bookmarkStart w:id="5" w:name="_heading=h.1fob9te" w:colFirst="0" w:colLast="0"/>
      <w:bookmarkEnd w:id="5"/>
    </w:p>
    <w:p w:rsidR="00242A56" w:rsidRPr="00D7023B" w:rsidRDefault="00C07BE5">
      <w:pPr>
        <w:spacing w:before="240" w:after="240" w:line="360" w:lineRule="auto"/>
        <w:jc w:val="both"/>
        <w:rPr>
          <w:rFonts w:ascii="Palatino Linotype" w:eastAsia="Palatino Linotype" w:hAnsi="Palatino Linotype" w:cs="Palatino Linotype"/>
        </w:rPr>
      </w:pPr>
      <w:r w:rsidRPr="00D7023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w:t>
      </w:r>
      <w:r w:rsidR="00496177" w:rsidRPr="00D7023B">
        <w:rPr>
          <w:rFonts w:ascii="Palatino Linotype" w:eastAsia="Palatino Linotype" w:hAnsi="Palatino Linotype" w:cs="Palatino Linotype"/>
        </w:rPr>
        <w:t xml:space="preserve">COMISIONADOS JOSÉ MARTÍNEZ VILCHIS, MARÍA DEL ROSARIO MEJÍA AYALA EMITIENDO VOTO PARTICULAR CONCURRENTE, SHARON CRISTINA MORALES MARTÍNEZ, LUIS GUSTAVO PARRA NORIEGA EMITIENDO VOTO PARTICULAR CONCURRENTE Y GUADALUPE </w:t>
      </w:r>
      <w:r w:rsidRPr="00D7023B">
        <w:rPr>
          <w:rFonts w:ascii="Palatino Linotype" w:eastAsia="Palatino Linotype" w:hAnsi="Palatino Linotype" w:cs="Palatino Linotype"/>
        </w:rPr>
        <w:t>RAMÍREZ PEÑA; EN LA CUADRAGÉSIMA SEGUNDA SESIÓN ORDINARIA CELEBRADA EL VEINTITRÉS DE NOVIEMBRE DE DOS MIL VEINTITRÉS, ANTE EL SECRETARIO TÉCNICO DEL PLENO ALEXIS TAPIA RAMÍREZ.</w:t>
      </w:r>
    </w:p>
    <w:p w:rsidR="00242A56" w:rsidRPr="00D7023B" w:rsidRDefault="00242A56">
      <w:pPr>
        <w:spacing w:before="240" w:after="240" w:line="360" w:lineRule="auto"/>
        <w:jc w:val="both"/>
        <w:rPr>
          <w:rFonts w:ascii="Palatino Linotype" w:eastAsia="Palatino Linotype" w:hAnsi="Palatino Linotype" w:cs="Palatino Linotype"/>
        </w:rPr>
      </w:pPr>
    </w:p>
    <w:p w:rsidR="00242A56" w:rsidRPr="00D7023B" w:rsidRDefault="00242A56">
      <w:pPr>
        <w:spacing w:before="240" w:after="240" w:line="360" w:lineRule="auto"/>
        <w:jc w:val="both"/>
        <w:rPr>
          <w:rFonts w:ascii="Palatino Linotype" w:eastAsia="Palatino Linotype" w:hAnsi="Palatino Linotype" w:cs="Palatino Linotype"/>
        </w:rPr>
      </w:pPr>
    </w:p>
    <w:p w:rsidR="00242A56" w:rsidRPr="00D7023B" w:rsidRDefault="00242A56">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p w:rsidR="007B602A" w:rsidRPr="00D7023B" w:rsidRDefault="007B602A">
      <w:pPr>
        <w:spacing w:before="240" w:after="240" w:line="360" w:lineRule="auto"/>
        <w:jc w:val="both"/>
        <w:rPr>
          <w:rFonts w:ascii="Palatino Linotype" w:eastAsia="Palatino Linotype" w:hAnsi="Palatino Linotype" w:cs="Palatino Linotype"/>
        </w:rPr>
      </w:pPr>
    </w:p>
    <w:sectPr w:rsidR="007B602A" w:rsidRPr="00D7023B">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9A3" w:rsidRDefault="00C829A3">
      <w:r>
        <w:separator/>
      </w:r>
    </w:p>
  </w:endnote>
  <w:endnote w:type="continuationSeparator" w:id="0">
    <w:p w:rsidR="00C829A3" w:rsidRDefault="00C8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02A" w:rsidRDefault="007B60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B36C2">
      <w:rPr>
        <w:rFonts w:ascii="Palatino Linotype" w:eastAsia="Palatino Linotype" w:hAnsi="Palatino Linotype" w:cs="Palatino Linotype"/>
        <w:b/>
        <w:noProof/>
        <w:color w:val="000000"/>
        <w:sz w:val="20"/>
        <w:szCs w:val="20"/>
      </w:rPr>
      <w:t>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B36C2">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rsidR="007B602A" w:rsidRDefault="007B602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02A" w:rsidRDefault="007B602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B36C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B36C2">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rsidR="007B602A" w:rsidRDefault="007B602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9A3" w:rsidRDefault="00C829A3">
      <w:r>
        <w:separator/>
      </w:r>
    </w:p>
  </w:footnote>
  <w:footnote w:type="continuationSeparator" w:id="0">
    <w:p w:rsidR="00C829A3" w:rsidRDefault="00C829A3">
      <w:r>
        <w:continuationSeparator/>
      </w:r>
    </w:p>
  </w:footnote>
  <w:footnote w:id="1">
    <w:p w:rsidR="007B602A" w:rsidRDefault="007B602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02A" w:rsidRDefault="007B602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-488312</wp:posOffset>
          </wp:positionV>
          <wp:extent cx="7809865" cy="10165715"/>
          <wp:effectExtent l="0" t="0" r="0" b="0"/>
          <wp:wrapNone/>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7B602A">
      <w:tc>
        <w:tcPr>
          <w:tcW w:w="2489" w:type="dxa"/>
          <w:shd w:val="clear" w:color="auto" w:fill="auto"/>
        </w:tcPr>
        <w:p w:rsidR="007B602A" w:rsidRDefault="007B60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7B602A" w:rsidRDefault="007B602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01679/INFOEM/IP/RR/2023</w:t>
          </w:r>
        </w:p>
      </w:tc>
    </w:tr>
    <w:tr w:rsidR="007B602A">
      <w:trPr>
        <w:trHeight w:val="228"/>
      </w:trPr>
      <w:tc>
        <w:tcPr>
          <w:tcW w:w="2489" w:type="dxa"/>
          <w:shd w:val="clear" w:color="auto" w:fill="auto"/>
          <w:vAlign w:val="center"/>
        </w:tcPr>
        <w:p w:rsidR="007B602A" w:rsidRDefault="007B60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7B602A" w:rsidRDefault="007B602A">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Urbano y Obra</w:t>
          </w:r>
        </w:p>
      </w:tc>
    </w:tr>
    <w:tr w:rsidR="007B602A">
      <w:tc>
        <w:tcPr>
          <w:tcW w:w="2489" w:type="dxa"/>
          <w:shd w:val="clear" w:color="auto" w:fill="auto"/>
          <w:vAlign w:val="center"/>
        </w:tcPr>
        <w:p w:rsidR="007B602A" w:rsidRDefault="007B602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7B602A" w:rsidRDefault="007B602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B602A" w:rsidRDefault="007B602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02A" w:rsidRDefault="007B602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670" w:type="dxa"/>
      <w:tblInd w:w="3261" w:type="dxa"/>
      <w:tblLayout w:type="fixed"/>
      <w:tblLook w:val="0400" w:firstRow="0" w:lastRow="0" w:firstColumn="0" w:lastColumn="0" w:noHBand="0" w:noVBand="1"/>
    </w:tblPr>
    <w:tblGrid>
      <w:gridCol w:w="2551"/>
      <w:gridCol w:w="3119"/>
    </w:tblGrid>
    <w:tr w:rsidR="007B602A">
      <w:tc>
        <w:tcPr>
          <w:tcW w:w="2551" w:type="dxa"/>
          <w:shd w:val="clear" w:color="auto" w:fill="auto"/>
          <w:vAlign w:val="center"/>
        </w:tcPr>
        <w:p w:rsidR="007B602A" w:rsidRDefault="007B60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7B602A" w:rsidRDefault="007B602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01679/INFOEM/IP/RR/2023</w:t>
          </w:r>
        </w:p>
      </w:tc>
    </w:tr>
    <w:tr w:rsidR="007B602A">
      <w:trPr>
        <w:trHeight w:val="130"/>
      </w:trPr>
      <w:tc>
        <w:tcPr>
          <w:tcW w:w="2551" w:type="dxa"/>
          <w:shd w:val="clear" w:color="auto" w:fill="auto"/>
          <w:vAlign w:val="center"/>
        </w:tcPr>
        <w:p w:rsidR="007B602A" w:rsidRDefault="007B60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7B602A" w:rsidRDefault="00BB36C2" w:rsidP="00BB36C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w:t>
          </w:r>
        </w:p>
      </w:tc>
    </w:tr>
    <w:tr w:rsidR="007B602A">
      <w:trPr>
        <w:trHeight w:val="228"/>
      </w:trPr>
      <w:tc>
        <w:tcPr>
          <w:tcW w:w="2551" w:type="dxa"/>
          <w:shd w:val="clear" w:color="auto" w:fill="auto"/>
          <w:vAlign w:val="center"/>
        </w:tcPr>
        <w:p w:rsidR="007B602A" w:rsidRDefault="007B60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7B602A" w:rsidRDefault="007B602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Urbano y Obra.</w:t>
          </w:r>
        </w:p>
      </w:tc>
    </w:tr>
    <w:tr w:rsidR="007B602A">
      <w:tc>
        <w:tcPr>
          <w:tcW w:w="2551" w:type="dxa"/>
          <w:shd w:val="clear" w:color="auto" w:fill="auto"/>
          <w:vAlign w:val="center"/>
        </w:tcPr>
        <w:p w:rsidR="007B602A" w:rsidRDefault="007B60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7B602A" w:rsidRDefault="007B602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B602A" w:rsidRDefault="007B602A">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-1089657</wp:posOffset>
          </wp:positionH>
          <wp:positionV relativeFrom="paragraph">
            <wp:posOffset>-1169667</wp:posOffset>
          </wp:positionV>
          <wp:extent cx="7809865" cy="10165715"/>
          <wp:effectExtent l="0" t="0" r="0" b="0"/>
          <wp:wrapNone/>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71C4EE2"/>
    <w:multiLevelType w:val="multilevel"/>
    <w:tmpl w:val="F19C8E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534C4531"/>
    <w:multiLevelType w:val="multilevel"/>
    <w:tmpl w:val="6F9E8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BB546D5"/>
    <w:multiLevelType w:val="multilevel"/>
    <w:tmpl w:val="49466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46B70BE"/>
    <w:multiLevelType w:val="multilevel"/>
    <w:tmpl w:val="E77E5E5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A56"/>
    <w:rsid w:val="0017062E"/>
    <w:rsid w:val="00242A56"/>
    <w:rsid w:val="00496177"/>
    <w:rsid w:val="00681D1B"/>
    <w:rsid w:val="007B602A"/>
    <w:rsid w:val="00936B94"/>
    <w:rsid w:val="00942CC6"/>
    <w:rsid w:val="00BB36C2"/>
    <w:rsid w:val="00BF3B0F"/>
    <w:rsid w:val="00C00FAE"/>
    <w:rsid w:val="00C07BE5"/>
    <w:rsid w:val="00C829A3"/>
    <w:rsid w:val="00D7023B"/>
    <w:rsid w:val="00F16D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2A92F-145F-4ADD-B630-2561F358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761336.page" TargetMode="External"/><Relationship Id="rId18" Type="http://schemas.openxmlformats.org/officeDocument/2006/relationships/image" Target="media/image7.png"/><Relationship Id="rId26" Type="http://schemas.openxmlformats.org/officeDocument/2006/relationships/hyperlink" Target="https://saimex.org.mx/saimex/solicitud/downloadAttach/1761336.page" TargetMode="External"/><Relationship Id="rId39" Type="http://schemas.openxmlformats.org/officeDocument/2006/relationships/fontTable" Target="fontTable.xml"/><Relationship Id="rId21" Type="http://schemas.openxmlformats.org/officeDocument/2006/relationships/hyperlink" Target="https://saimex.org.mx/saimex/solicitud/downloadAttach/1761337.page" TargetMode="External"/><Relationship Id="rId34" Type="http://schemas.openxmlformats.org/officeDocument/2006/relationships/hyperlink" Target="https://docplayer.es/5455342-Nuevas-tecnologias-biometricas-instituto-nacional-de-ciencias-penales-procuraduria-general-de-la-republica-version-1-0.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aimex.org.mx/saimex/solicitud/downloadAttach/1761335.page" TargetMode="External"/><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aimex.org.mx/saimex/solicitud/downloadAttach/1761341.pag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saimex.org.mx/saimex/solicitud/downloadAttach/1761339.page" TargetMode="External"/><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aimex.org.mx/saimex/solicitud/downloadAttach/1761338.page" TargetMode="External"/><Relationship Id="rId28" Type="http://schemas.openxmlformats.org/officeDocument/2006/relationships/hyperlink" Target="https://saimex.org.mx/saimex/solicitud/downloadAttach/1761336.page" TargetMode="External"/><Relationship Id="rId36" Type="http://schemas.openxmlformats.org/officeDocument/2006/relationships/footer" Target="footer1.xml"/><Relationship Id="rId10" Type="http://schemas.openxmlformats.org/officeDocument/2006/relationships/hyperlink" Target="https://saimex.org.mx/saimex/solicitud/downloadAttach/1742666.page" TargetMode="External"/><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aimex.org.mx/saimex/solicitud/downloadAttach/1732235.page" TargetMode="External"/><Relationship Id="rId14" Type="http://schemas.openxmlformats.org/officeDocument/2006/relationships/image" Target="media/image3.png"/><Relationship Id="rId22" Type="http://schemas.openxmlformats.org/officeDocument/2006/relationships/hyperlink" Target="https://saimex.org.mx/saimex/solicitud/downloadAttach/1761340.page" TargetMode="External"/><Relationship Id="rId27" Type="http://schemas.openxmlformats.org/officeDocument/2006/relationships/hyperlink" Target="https://saimex.org.mx/saimex/solicitud/downloadAttach/1761335.page" TargetMode="External"/><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hyperlink" Target="https://saimex.org.mx/saimex/solicitud/downloadAttach/1732234.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onwngroHIxAaeRLNk/6oSCEpug==">CgMxLjAyCGguZ2pkZ3hzMgloLjMwajB6bGwyCGgudHlqY3d0MgloLjNkeTZ2a20yCWguMWZvYjl0ZTgAciExaEZOSGhFOXFja1MzcmNnYzBWU2hrWEN6cnBuQU5kTk0=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17954</Words>
  <Characters>98750</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2023-11-27T17:07:00Z</cp:lastPrinted>
  <dcterms:created xsi:type="dcterms:W3CDTF">2023-12-05T19:47:00Z</dcterms:created>
  <dcterms:modified xsi:type="dcterms:W3CDTF">2023-12-05T19:47:00Z</dcterms:modified>
</cp:coreProperties>
</file>