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jc w:val="both"/>
        <w:rPr>
          <w:rFonts w:ascii="Palatino Linotype" w:cs="Palatino Linotype" w:eastAsia="Palatino Linotype" w:hAnsi="Palatino Linotype"/>
        </w:rPr>
      </w:pPr>
      <w:bookmarkStart w:colFirst="0" w:colLast="0" w:name="_heading=h.1fob9te" w:id="0"/>
      <w:bookmarkEnd w:id="0"/>
      <w:r w:rsidDel="00000000" w:rsidR="00000000" w:rsidRPr="00000000">
        <w:rPr>
          <w:rFonts w:ascii="Palatino Linotype" w:cs="Palatino Linotype" w:eastAsia="Palatino Linotype" w:hAnsi="Palatino Linotype"/>
          <w:rtl w:val="0"/>
        </w:rPr>
        <w:t xml:space="preserve">Resolución del Pleno del Instituto de Transparencia, Acceso a la Información Pública y Protección de Datos Personales del Estado de México y Municipios, con domicilio en Metepec, Estado de México, a uno de marzo de dos mil veintitrés. </w:t>
      </w:r>
    </w:p>
    <w:p w:rsidR="00000000" w:rsidDel="00000000" w:rsidP="00000000" w:rsidRDefault="00000000" w:rsidRPr="00000000" w14:paraId="00000002">
      <w:pPr>
        <w:spacing w:after="240" w:before="240" w:line="360" w:lineRule="auto"/>
        <w:jc w:val="both"/>
        <w:rPr>
          <w:rFonts w:ascii="Palatino Linotype" w:cs="Palatino Linotype" w:eastAsia="Palatino Linotype" w:hAnsi="Palatino Linotype"/>
          <w:b w:val="1"/>
        </w:rPr>
      </w:pPr>
      <w:bookmarkStart w:colFirst="0" w:colLast="0" w:name="_heading=h.1t3h5sf" w:id="1"/>
      <w:bookmarkEnd w:id="1"/>
      <w:r w:rsidDel="00000000" w:rsidR="00000000" w:rsidRPr="00000000">
        <w:rPr>
          <w:rFonts w:ascii="Palatino Linotype" w:cs="Palatino Linotype" w:eastAsia="Palatino Linotype" w:hAnsi="Palatino Linotype"/>
          <w:b w:val="1"/>
          <w:rtl w:val="0"/>
        </w:rPr>
        <w:t xml:space="preserve">VISTO</w:t>
      </w:r>
      <w:r w:rsidDel="00000000" w:rsidR="00000000" w:rsidRPr="00000000">
        <w:rPr>
          <w:rFonts w:ascii="Palatino Linotype" w:cs="Palatino Linotype" w:eastAsia="Palatino Linotype" w:hAnsi="Palatino Linotype"/>
          <w:rtl w:val="0"/>
        </w:rPr>
        <w:t xml:space="preserve"> el expediente formado con motivo del recurso de revisión </w:t>
      </w:r>
      <w:r w:rsidDel="00000000" w:rsidR="00000000" w:rsidRPr="00000000">
        <w:rPr>
          <w:rFonts w:ascii="Palatino Linotype" w:cs="Palatino Linotype" w:eastAsia="Palatino Linotype" w:hAnsi="Palatino Linotype"/>
          <w:b w:val="1"/>
          <w:rtl w:val="0"/>
        </w:rPr>
        <w:t xml:space="preserve">16469/INFOEM/IP/RR/2022</w:t>
      </w:r>
      <w:r w:rsidDel="00000000" w:rsidR="00000000" w:rsidRPr="00000000">
        <w:rPr>
          <w:rFonts w:ascii="Palatino Linotype" w:cs="Palatino Linotype" w:eastAsia="Palatino Linotype" w:hAnsi="Palatino Linotype"/>
          <w:rtl w:val="0"/>
        </w:rPr>
        <w:t xml:space="preserve">, interpuesto por </w:t>
      </w:r>
      <w:r w:rsidDel="00000000" w:rsidR="00000000" w:rsidRPr="00000000">
        <w:rPr>
          <w:rFonts w:ascii="Palatino Linotype" w:cs="Palatino Linotype" w:eastAsia="Palatino Linotype" w:hAnsi="Palatino Linotype"/>
          <w:b w:val="1"/>
          <w:rtl w:val="0"/>
        </w:rPr>
        <w:t xml:space="preserve">XXXXXX XXXX XXXXXXX</w:t>
      </w:r>
      <w:r w:rsidDel="00000000" w:rsidR="00000000" w:rsidRPr="00000000">
        <w:rPr>
          <w:rFonts w:ascii="Palatino Linotype" w:cs="Palatino Linotype" w:eastAsia="Palatino Linotype" w:hAnsi="Palatino Linotype"/>
          <w:rtl w:val="0"/>
        </w:rPr>
        <w:t xml:space="preserve">, en lo sucesivo</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en contra de la respuesta a su solicitud por parte del </w:t>
      </w:r>
      <w:r w:rsidDel="00000000" w:rsidR="00000000" w:rsidRPr="00000000">
        <w:rPr>
          <w:rFonts w:ascii="Palatino Linotype" w:cs="Palatino Linotype" w:eastAsia="Palatino Linotype" w:hAnsi="Palatino Linotype"/>
          <w:b w:val="1"/>
          <w:rtl w:val="0"/>
        </w:rPr>
        <w:t xml:space="preserve">Ayuntamiento de Capulhuac, </w:t>
      </w:r>
      <w:r w:rsidDel="00000000" w:rsidR="00000000" w:rsidRPr="00000000">
        <w:rPr>
          <w:rFonts w:ascii="Palatino Linotype" w:cs="Palatino Linotype" w:eastAsia="Palatino Linotype" w:hAnsi="Palatino Linotype"/>
          <w:rtl w:val="0"/>
        </w:rPr>
        <w:t xml:space="preserve">en lo sucesivo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se procede a dictar la presente resolución con base en los siguientes: </w:t>
      </w:r>
      <w:r w:rsidDel="00000000" w:rsidR="00000000" w:rsidRPr="00000000">
        <w:rPr>
          <w:rtl w:val="0"/>
        </w:rPr>
      </w:r>
    </w:p>
    <w:p w:rsidR="00000000" w:rsidDel="00000000" w:rsidP="00000000" w:rsidRDefault="00000000" w:rsidRPr="00000000" w14:paraId="00000003">
      <w:pP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 A N T E C E D E N T E S</w:t>
      </w:r>
    </w:p>
    <w:p w:rsidR="00000000" w:rsidDel="00000000" w:rsidP="00000000" w:rsidRDefault="00000000" w:rsidRPr="00000000" w14:paraId="00000004">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1. Solicitud de acceso a la información.</w:t>
      </w:r>
      <w:r w:rsidDel="00000000" w:rsidR="00000000" w:rsidRPr="00000000">
        <w:rPr>
          <w:rFonts w:ascii="Palatino Linotype" w:cs="Palatino Linotype" w:eastAsia="Palatino Linotype" w:hAnsi="Palatino Linotype"/>
          <w:rtl w:val="0"/>
        </w:rPr>
        <w:t xml:space="preserve"> Con fecha </w:t>
      </w:r>
      <w:r w:rsidDel="00000000" w:rsidR="00000000" w:rsidRPr="00000000">
        <w:rPr>
          <w:rFonts w:ascii="Palatino Linotype" w:cs="Palatino Linotype" w:eastAsia="Palatino Linotype" w:hAnsi="Palatino Linotype"/>
          <w:b w:val="1"/>
          <w:rtl w:val="0"/>
        </w:rPr>
        <w:t xml:space="preserve">catorce de octubre de dos mil veintidós,</w:t>
      </w:r>
      <w:r w:rsidDel="00000000" w:rsidR="00000000" w:rsidRPr="00000000">
        <w:rPr>
          <w:rFonts w:ascii="Palatino Linotype" w:cs="Palatino Linotype" w:eastAsia="Palatino Linotype" w:hAnsi="Palatino Linotype"/>
          <w:rtl w:val="0"/>
        </w:rPr>
        <w:t xml:space="preserv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presentó, través del Sistema de Acceso a la Información Mexiquense, en lo subsecuente el </w:t>
      </w:r>
      <w:r w:rsidDel="00000000" w:rsidR="00000000" w:rsidRPr="00000000">
        <w:rPr>
          <w:rFonts w:ascii="Palatino Linotype" w:cs="Palatino Linotype" w:eastAsia="Palatino Linotype" w:hAnsi="Palatino Linotype"/>
          <w:b w:val="1"/>
          <w:rtl w:val="0"/>
        </w:rPr>
        <w:t xml:space="preserve">SAIMEX,</w:t>
      </w:r>
      <w:r w:rsidDel="00000000" w:rsidR="00000000" w:rsidRPr="00000000">
        <w:rPr>
          <w:rFonts w:ascii="Palatino Linotype" w:cs="Palatino Linotype" w:eastAsia="Palatino Linotype" w:hAnsi="Palatino Linotype"/>
          <w:rtl w:val="0"/>
        </w:rPr>
        <w:t xml:space="preserve">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solicitud de acceso a la información pública, a la que se le asignó el número</w:t>
      </w:r>
      <w:r w:rsidDel="00000000" w:rsidR="00000000" w:rsidRPr="00000000">
        <w:rPr>
          <w:rFonts w:ascii="Palatino Linotype" w:cs="Palatino Linotype" w:eastAsia="Palatino Linotype" w:hAnsi="Palatino Linotype"/>
          <w:b w:val="1"/>
          <w:rtl w:val="0"/>
        </w:rPr>
        <w:t xml:space="preserve"> 00155/CAPULHUA/IP/2022, </w:t>
      </w:r>
      <w:r w:rsidDel="00000000" w:rsidR="00000000" w:rsidRPr="00000000">
        <w:rPr>
          <w:rFonts w:ascii="Palatino Linotype" w:cs="Palatino Linotype" w:eastAsia="Palatino Linotype" w:hAnsi="Palatino Linotype"/>
          <w:rtl w:val="0"/>
        </w:rPr>
        <w:t xml:space="preserve">mediante la cual requirió la información siguiente: </w:t>
      </w:r>
    </w:p>
    <w:p w:rsidR="00000000" w:rsidDel="00000000" w:rsidP="00000000" w:rsidRDefault="00000000" w:rsidRPr="00000000" w14:paraId="00000005">
      <w:pPr>
        <w:spacing w:after="240" w:before="240" w:lineRule="auto"/>
        <w:ind w:left="851" w:right="902" w:firstLine="0"/>
        <w:jc w:val="both"/>
        <w:rPr>
          <w:rFonts w:ascii="Palatino Linotype" w:cs="Palatino Linotype" w:eastAsia="Palatino Linotype" w:hAnsi="Palatino Linotype"/>
          <w:b w:val="1"/>
          <w:i w:val="1"/>
          <w:sz w:val="22"/>
          <w:szCs w:val="22"/>
        </w:rPr>
      </w:pPr>
      <w:bookmarkStart w:colFirst="0" w:colLast="0" w:name="_heading=h.gjdgxs" w:id="2"/>
      <w:bookmarkEnd w:id="2"/>
      <w:r w:rsidDel="00000000" w:rsidR="00000000" w:rsidRPr="00000000">
        <w:rPr>
          <w:rFonts w:ascii="Palatino Linotype" w:cs="Palatino Linotype" w:eastAsia="Palatino Linotype" w:hAnsi="Palatino Linotype"/>
          <w:i w:val="1"/>
          <w:sz w:val="22"/>
          <w:szCs w:val="22"/>
          <w:rtl w:val="0"/>
        </w:rPr>
        <w:t xml:space="preserve">“Solicito de la manera más atenta la información archivística municipal pública, la cual se detalla en el documento adjunto, de igual forma solicito se me responda vía SAIMEX al correo electrónico [...] con los anexos en PDF requeridos.” (sic)</w:t>
      </w:r>
      <w:r w:rsidDel="00000000" w:rsidR="00000000" w:rsidRPr="00000000">
        <w:rPr>
          <w:rtl w:val="0"/>
        </w:rPr>
      </w:r>
    </w:p>
    <w:p w:rsidR="00000000" w:rsidDel="00000000" w:rsidP="00000000" w:rsidRDefault="00000000" w:rsidRPr="00000000" w14:paraId="00000006">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Solicitante </w:t>
      </w:r>
      <w:r w:rsidDel="00000000" w:rsidR="00000000" w:rsidRPr="00000000">
        <w:rPr>
          <w:rFonts w:ascii="Palatino Linotype" w:cs="Palatino Linotype" w:eastAsia="Palatino Linotype" w:hAnsi="Palatino Linotype"/>
          <w:rtl w:val="0"/>
        </w:rPr>
        <w:t xml:space="preserve">adjuntó a su formato de solicitud de información, el archivo denominado “</w:t>
      </w:r>
      <w:r w:rsidDel="00000000" w:rsidR="00000000" w:rsidRPr="00000000">
        <w:rPr>
          <w:rFonts w:ascii="Palatino Linotype" w:cs="Palatino Linotype" w:eastAsia="Palatino Linotype" w:hAnsi="Palatino Linotype"/>
          <w:i w:val="1"/>
          <w:rtl w:val="0"/>
        </w:rPr>
        <w:t xml:space="preserve">ESTADO11.pdf</w:t>
      </w:r>
      <w:r w:rsidDel="00000000" w:rsidR="00000000" w:rsidRPr="00000000">
        <w:rPr>
          <w:rFonts w:ascii="Palatino Linotype" w:cs="Palatino Linotype" w:eastAsia="Palatino Linotype" w:hAnsi="Palatino Linotype"/>
          <w:rtl w:val="0"/>
        </w:rPr>
        <w:t xml:space="preserve">”, que contiene un documento constante de cincuenta y tres fojas, a través del cual detalla la información que se solicita, en los siguientes términos:</w:t>
      </w:r>
    </w:p>
    <w:p w:rsidR="00000000" w:rsidDel="00000000" w:rsidP="00000000" w:rsidRDefault="00000000" w:rsidRPr="00000000" w14:paraId="00000007">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LOS ARTÍCULOS 1, 4, 5 PÁRRAFO SEGUNDO,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w:t>
      </w:r>
      <w:r w:rsidDel="00000000" w:rsidR="00000000" w:rsidRPr="00000000">
        <w:rPr>
          <w:rFonts w:ascii="Palatino Linotype" w:cs="Palatino Linotype" w:eastAsia="Palatino Linotype" w:hAnsi="Palatino Linotype"/>
          <w:b w:val="1"/>
          <w:i w:val="1"/>
          <w:sz w:val="22"/>
          <w:szCs w:val="22"/>
          <w:rtl w:val="0"/>
        </w:rPr>
        <w:t xml:space="preserve">ESTADO DE MÉXICO Y MUNICIPIOS</w:t>
      </w:r>
      <w:r w:rsidDel="00000000" w:rsidR="00000000" w:rsidRPr="00000000">
        <w:rPr>
          <w:rFonts w:ascii="Palatino Linotype" w:cs="Palatino Linotype" w:eastAsia="Palatino Linotype" w:hAnsi="Palatino Linotype"/>
          <w:i w:val="1"/>
          <w:sz w:val="22"/>
          <w:szCs w:val="22"/>
          <w:rtl w:val="0"/>
        </w:rPr>
        <w:t xml:space="preserve">; ARTÍCULOS 1, 6, 7 Y 8 DE LA LEY GENERAL DE ARCHIVOS; ARTÍCULO SEGUNDO DE LOS LINEAMIENTOS PARA LA ORGANIZACIÓN Y CONSERVACIÓN DE LOS ARCHIVOS; ARTÍCULOS 1, 6, 7 Y 8 DE LA LEY DE ARCHIVOS Y ADMINISTRACIÓN DE DOCUMENTOS DEL ESTADO DE MÉXICO Y MUNICIPIOS Y ARTÍCULO 54 DE LA LEY DE GOBIERNO DIGITAL DEL ESTADO DE MÉXICO Y MUNICIPIOS ME PERMITO SOLICITAR DE LA MANERA MÁS ATENTA LA SIGUIENTE INFORMACIÓN PÚBLICA COMO SE INDICA, ASÍ COMO ATENDER LAS SIGUIENTES. </w:t>
      </w:r>
    </w:p>
    <w:p w:rsidR="00000000" w:rsidDel="00000000" w:rsidP="00000000" w:rsidRDefault="00000000" w:rsidRPr="00000000" w14:paraId="00000008">
      <w:pPr>
        <w:spacing w:after="120" w:before="120" w:lineRule="auto"/>
        <w:ind w:left="426" w:right="474" w:firstLine="0"/>
        <w:jc w:val="center"/>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ACLARACIONES</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09">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w:t>
      </w:r>
      <w:r w:rsidDel="00000000" w:rsidR="00000000" w:rsidRPr="00000000">
        <w:rPr>
          <w:rFonts w:ascii="Palatino Linotype" w:cs="Palatino Linotype" w:eastAsia="Palatino Linotype" w:hAnsi="Palatino Linotype"/>
          <w:i w:val="1"/>
          <w:sz w:val="22"/>
          <w:szCs w:val="22"/>
          <w:rtl w:val="0"/>
        </w:rPr>
        <w:t xml:space="preserve"> EL PRESENTE DOCUMENTO TIENE COMO NOMBRE “ANÁLISIS DE CUMPLIMIENTO MUNICIPAL DE NORMATIVIDAD ARCHIVÍSTICA”. </w:t>
      </w:r>
    </w:p>
    <w:p w:rsidR="00000000" w:rsidDel="00000000" w:rsidP="00000000" w:rsidRDefault="00000000" w:rsidRPr="00000000" w14:paraId="0000000A">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2.</w:t>
      </w:r>
      <w:r w:rsidDel="00000000" w:rsidR="00000000" w:rsidRPr="00000000">
        <w:rPr>
          <w:rFonts w:ascii="Palatino Linotype" w:cs="Palatino Linotype" w:eastAsia="Palatino Linotype" w:hAnsi="Palatino Linotype"/>
          <w:i w:val="1"/>
          <w:sz w:val="22"/>
          <w:szCs w:val="22"/>
          <w:rtl w:val="0"/>
        </w:rPr>
        <w:t xml:space="preserve"> CON RESPECTO A TODA LA INFORMACIÓN PÚBLICA REQUERIDA EN EL PRESENTE DOCUMENTO EN EL MARCO DE LA NORMATIVIDAD DE LAS LEYES DE TRANSPARENCIA GENERAL Y ESTATAL, SE SOLICITA DE LA MANERA MÁS ATENTA SEA REMITIDA EN FORMATO PDF AL CORREO ELECTRÓNICO INDICADO. </w:t>
      </w:r>
    </w:p>
    <w:p w:rsidR="00000000" w:rsidDel="00000000" w:rsidP="00000000" w:rsidRDefault="00000000" w:rsidRPr="00000000" w14:paraId="0000000B">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3.</w:t>
      </w:r>
      <w:r w:rsidDel="00000000" w:rsidR="00000000" w:rsidRPr="00000000">
        <w:rPr>
          <w:rFonts w:ascii="Palatino Linotype" w:cs="Palatino Linotype" w:eastAsia="Palatino Linotype" w:hAnsi="Palatino Linotype"/>
          <w:i w:val="1"/>
          <w:sz w:val="22"/>
          <w:szCs w:val="22"/>
          <w:rtl w:val="0"/>
        </w:rPr>
        <w:t xml:space="preserve"> TODAS LAS PREGUNTAS Y SOLICITUDES DE INFORMACIÓN PÚBLICA EXPRESADAS EN EL PRESENTE DOCUMENTO TIENEN FUNDAMENTO EN LA NORMATIVIDAD APLICABLE VIGENTE EN CUESTIÓN DE ARCHIVÍSTICA PARA EL ESTADO DE MÉXICO Y SUS MUNICIPIOS. LA NORMATIVIDAD MENCIONADA OBLIGA AL CUMPLIMIENTO DE LA MISMA A TODOS LOS SUJETOS OBLIGADOS QUE SE ENUNCIAN EN CADA UNA DE ELLAS. </w:t>
      </w:r>
    </w:p>
    <w:p w:rsidR="00000000" w:rsidDel="00000000" w:rsidP="00000000" w:rsidRDefault="00000000" w:rsidRPr="00000000" w14:paraId="0000000C">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4</w:t>
      </w:r>
      <w:r w:rsidDel="00000000" w:rsidR="00000000" w:rsidRPr="00000000">
        <w:rPr>
          <w:rFonts w:ascii="Palatino Linotype" w:cs="Palatino Linotype" w:eastAsia="Palatino Linotype" w:hAnsi="Palatino Linotype"/>
          <w:i w:val="1"/>
          <w:sz w:val="22"/>
          <w:szCs w:val="22"/>
          <w:rtl w:val="0"/>
        </w:rPr>
        <w:t xml:space="preserve">.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SE RECONOCE QUE LA NORMATIVIDAD APLICABLE VIGENTE EN CUESTIÓN DE ARCHIVÍSTICA PARA EL ESTADO DE MÉXICO ES DE ÓRDEN PÚBLICO E INTERÉS GENERAL. </w:t>
      </w:r>
    </w:p>
    <w:p w:rsidR="00000000" w:rsidDel="00000000" w:rsidP="00000000" w:rsidRDefault="00000000" w:rsidRPr="00000000" w14:paraId="0000000D">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5</w:t>
      </w:r>
      <w:r w:rsidDel="00000000" w:rsidR="00000000" w:rsidRPr="00000000">
        <w:rPr>
          <w:rFonts w:ascii="Palatino Linotype" w:cs="Palatino Linotype" w:eastAsia="Palatino Linotype" w:hAnsi="Palatino Linotype"/>
          <w:i w:val="1"/>
          <w:sz w:val="22"/>
          <w:szCs w:val="22"/>
          <w:rtl w:val="0"/>
        </w:rPr>
        <w:t xml:space="preserve">. LAS PREGUNTAS Y SOLICITUDES DE INFORMACIÓN PÚBLICA EXPRESADAS EN EL PRESENTE DOCUMENTO ESTÁN DIRIGIDAS AL TITULAR DEL ÁREA COORDINADORA DE ARCHIVOS DE SU MUNICIPIO O EN SU CASO, AL TITULAR DE LA UNIDAD ADMINISTRATIVA QUE HACE LA LABOR DEL ÁREA COORDINADORA DE ARCHIVOS, EXCEPTUANDO AQUELLAS EN DONDE SE INDICA ESPECÍFICAMENTE A QUIEN VAN DIRIGIDAS LAS MISMAS. </w:t>
      </w:r>
    </w:p>
    <w:p w:rsidR="00000000" w:rsidDel="00000000" w:rsidP="00000000" w:rsidRDefault="00000000" w:rsidRPr="00000000" w14:paraId="0000000E">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6.</w:t>
      </w:r>
      <w:r w:rsidDel="00000000" w:rsidR="00000000" w:rsidRPr="00000000">
        <w:rPr>
          <w:rFonts w:ascii="Palatino Linotype" w:cs="Palatino Linotype" w:eastAsia="Palatino Linotype" w:hAnsi="Palatino Linotype"/>
          <w:i w:val="1"/>
          <w:sz w:val="22"/>
          <w:szCs w:val="22"/>
          <w:rtl w:val="0"/>
        </w:rPr>
        <w:t xml:space="preserve"> TODAS LAS PREGUNTAS Y SOLICITUDES DE INFORMACIÓN PÚBLICA EXPRESADAS EN EL PRESENTE DOCUMENTO, ESTÁN RELACIONADAS CON LAS ACTIVIDADES ARCHIVISTICAS LLEVADAS A CABO EN SU MUNICIPIO EN EL CUMPLIMIENTO DE LA NORMATIVIDAD APLICABLE VIGENTE EN CUESTIÓN DE ARCHIVÍSTICA DURANTE EL TRANSCURSO DEL AÑO 2022.</w:t>
      </w:r>
    </w:p>
    <w:p w:rsidR="00000000" w:rsidDel="00000000" w:rsidP="00000000" w:rsidRDefault="00000000" w:rsidRPr="00000000" w14:paraId="0000000F">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7</w:t>
      </w:r>
      <w:r w:rsidDel="00000000" w:rsidR="00000000" w:rsidRPr="00000000">
        <w:rPr>
          <w:rFonts w:ascii="Palatino Linotype" w:cs="Palatino Linotype" w:eastAsia="Palatino Linotype" w:hAnsi="Palatino Linotype"/>
          <w:i w:val="1"/>
          <w:sz w:val="22"/>
          <w:szCs w:val="22"/>
          <w:rtl w:val="0"/>
        </w:rPr>
        <w:t xml:space="preserve">. 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 </w:t>
      </w:r>
    </w:p>
    <w:p w:rsidR="00000000" w:rsidDel="00000000" w:rsidP="00000000" w:rsidRDefault="00000000" w:rsidRPr="00000000" w14:paraId="00000010">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8</w:t>
      </w:r>
      <w:r w:rsidDel="00000000" w:rsidR="00000000" w:rsidRPr="00000000">
        <w:rPr>
          <w:rFonts w:ascii="Palatino Linotype" w:cs="Palatino Linotype" w:eastAsia="Palatino Linotype" w:hAnsi="Palatino Linotype"/>
          <w:i w:val="1"/>
          <w:sz w:val="22"/>
          <w:szCs w:val="22"/>
          <w:rtl w:val="0"/>
        </w:rPr>
        <w:t xml:space="preserve">. EN CASO DE QUE EL SUJETO OBLIGADO SEA INCOMPETENTE PARA ATENDER LA PRESENTE SOLICITUD DE INFORMACIÓN PÚBLICA, SE SOLICITA DE LA MANERA MÁS ATENTA, SE PROCEDA CONFORME A LO INDICADO EN EL ARTÍCULO 136 DE LA LEY GENERAL DE TRANSPARENCIA Y ACCESO A LA INFORMACIÓN PÚBLICA Y AL ARTÍCULO 167 DE LA LEY DE TRANSPARENCIA Y ACCESO A LA INFORMACIÓN PÚBLICA DEL ESTADO DE MÉXICO Y MUNICIPIOS. </w:t>
      </w:r>
    </w:p>
    <w:p w:rsidR="00000000" w:rsidDel="00000000" w:rsidP="00000000" w:rsidRDefault="00000000" w:rsidRPr="00000000" w14:paraId="00000011">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9.</w:t>
      </w:r>
      <w:r w:rsidDel="00000000" w:rsidR="00000000" w:rsidRPr="00000000">
        <w:rPr>
          <w:rFonts w:ascii="Palatino Linotype" w:cs="Palatino Linotype" w:eastAsia="Palatino Linotype" w:hAnsi="Palatino Linotype"/>
          <w:i w:val="1"/>
          <w:sz w:val="22"/>
          <w:szCs w:val="22"/>
          <w:rtl w:val="0"/>
        </w:rPr>
        <w:t xml:space="preserve"> EN EL PRESENTE DOCUMENTO NO SE ESTÁ SOLICITANDO INFORMACIÓN NI DOCUMENTACIÓN CLASIFICADA COMO RESERVADA Y/O CONFIDENCIAL. EN CASO DE QUE EL SUJETO OBLIGADO CONSIDERE QUE LA INFORMACIÓN O DOCUMENTOS SOLICITADOS EN EL PRESENTE DOCUMENTO DEBAN SER CLASIFICADOS; SE SOLICITA DE LA MANERA MÁS ATENTA SE PROCEDA CONFORME A LO INDICADO EN EL ARTÍCULO 137 DE LA LEY GENERAL DE TRANSPARENCIA Y ACCESO A LA INFORMACIÓN PÚBLICA Y AL ARTÍCULO 168 DE LA LEY DE TRANSPARENCIA Y ACCESO A LA INFORMACIÓN PÚBLICA DEL ESTADO DE MÉXICO Y MUNICIPIOS, NOTIFICANDO LA RESOLUCIÓN AL ENTE SOLICITANTE EN LOS TÉRMINOS QUE EL MISMO ARTÍCULO DISPONE. </w:t>
      </w:r>
    </w:p>
    <w:p w:rsidR="00000000" w:rsidDel="00000000" w:rsidP="00000000" w:rsidRDefault="00000000" w:rsidRPr="00000000" w14:paraId="00000012">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10</w:t>
      </w:r>
      <w:r w:rsidDel="00000000" w:rsidR="00000000" w:rsidRPr="00000000">
        <w:rPr>
          <w:rFonts w:ascii="Palatino Linotype" w:cs="Palatino Linotype" w:eastAsia="Palatino Linotype" w:hAnsi="Palatino Linotype"/>
          <w:i w:val="1"/>
          <w:sz w:val="22"/>
          <w:szCs w:val="22"/>
          <w:rtl w:val="0"/>
        </w:rPr>
        <w:t xml:space="preserve">. SE SOLICITA DE LA MANERA MÁS ATENTA SE CONTESTEN TODAS Y CADA UNA DE LAS PREGUNTAS DEL PRESENTE DOCUMENTO.</w:t>
      </w:r>
    </w:p>
    <w:p w:rsidR="00000000" w:rsidDel="00000000" w:rsidP="00000000" w:rsidRDefault="00000000" w:rsidRPr="00000000" w14:paraId="00000013">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11.</w:t>
      </w:r>
      <w:r w:rsidDel="00000000" w:rsidR="00000000" w:rsidRPr="00000000">
        <w:rPr>
          <w:rFonts w:ascii="Palatino Linotype" w:cs="Palatino Linotype" w:eastAsia="Palatino Linotype" w:hAnsi="Palatino Linotype"/>
          <w:i w:val="1"/>
          <w:sz w:val="22"/>
          <w:szCs w:val="22"/>
          <w:rtl w:val="0"/>
        </w:rPr>
        <w:t xml:space="preserve"> EL ENTE SOLICITANTE SE RESERVA EL DERECHO DE EJERCER EL RECURSO DE REVISIÓN EN TÉRMINOS DE LO DISPUESTO EN LOS ARTÍCULOS 142, 143 Y 144 DE LA LEY GENERAL DE TRANSPARENCIA Y ACCESO A LA INFORMACIÓN PÚBLICA Y ARTÍCULOS 176, 177, 178, 179, Y 180 DE LA LEY DE TRANSPARENCIA Y ACCESO A LA INFORMACIÓN PÚBLICA DEL ESTADO DE MÉXICO Y MUNICPIOS EN CASO DE QUE ALGUNA Y/O TODAS LAS RESPUESTAS DEL SUJETO OBLIGADO ESTEN EN DENTRO DE LOS SUPUESTOS DEL ARTÍCULO 143 DE LA LEY GENERAL DE TRANSPARENCIA Y ACCESO A LA INFORMACIÓN PÚBLICA Y ARTÍCULO 179 DE LA LEY DE TRANSPARENCIA Y ACCESO A LA INFORMACIÓN PÚBLICA DEL ESTADO DE MÉXICO Y MUNICPIOS. </w:t>
      </w:r>
    </w:p>
    <w:p w:rsidR="00000000" w:rsidDel="00000000" w:rsidP="00000000" w:rsidRDefault="00000000" w:rsidRPr="00000000" w14:paraId="00000014">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12</w:t>
      </w:r>
      <w:r w:rsidDel="00000000" w:rsidR="00000000" w:rsidRPr="00000000">
        <w:rPr>
          <w:rFonts w:ascii="Palatino Linotype" w:cs="Palatino Linotype" w:eastAsia="Palatino Linotype" w:hAnsi="Palatino Linotype"/>
          <w:i w:val="1"/>
          <w:sz w:val="22"/>
          <w:szCs w:val="22"/>
          <w:rtl w:val="0"/>
        </w:rPr>
        <w:t xml:space="preserve">. EL ENTE SOLICITANTE SE RESERVA EL DERECHO DE EJERCER EL RECURSO DE INCONFORMIDAD ANTE EL INSTITUTO NACIONAL Y/O ANTE EL PODER JUDICIAL DE LA FEDERACIÓN EN CASO QUE LA RESOLUCIÓN A LOS RECURSOS DE REVISIÓN EMANADOS DE LAS SOLICITUD DE INFORMACIÓN Y DOCUMENTACIÓN DEL PRESENTE DOCUMENTO ENTREN EN LOS SUPUESTOS DEL ARTÍCULO 160 DE LA LEY GENERAL DE TRANSPARENCIA Y ACCESO A LA INFORMACIÓN PÚBLICA Y EL ARTÍCULO 196 DE LA LEY DE TRANSPARENCIA Y ACCESO A LA INFORMACIÓN PÚBLICA DEL ESTADO DE MÉXICO Y MUNICIPIOS.</w:t>
      </w:r>
    </w:p>
    <w:p w:rsidR="00000000" w:rsidDel="00000000" w:rsidP="00000000" w:rsidRDefault="00000000" w:rsidRPr="00000000" w14:paraId="00000015">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13.</w:t>
      </w:r>
      <w:r w:rsidDel="00000000" w:rsidR="00000000" w:rsidRPr="00000000">
        <w:rPr>
          <w:rFonts w:ascii="Palatino Linotype" w:cs="Palatino Linotype" w:eastAsia="Palatino Linotype" w:hAnsi="Palatino Linotype"/>
          <w:i w:val="1"/>
          <w:sz w:val="22"/>
          <w:szCs w:val="22"/>
          <w:rtl w:val="0"/>
        </w:rPr>
        <w:t xml:space="preserve"> EL ENTE SOLICITANTE SE RESERVA EL DERECHO DE SOLICITAR LA ATRACCIÓN DE LOS RECURSOS DE REVISIÓN HACIA EL PLENO DEL INSTITUTO, CUANDO EL SUJETO OBLIGADO NO ATIENDA LA SOLICITUD DE INFORMACIÓN Y DOCUMENTACIÓN EXPRESADAS EN EL PRESENTE DOCUMENTO COMO LO ESTABLECE LA LEY APLICABLE VIGENTE EN CUESTIÓN DE TRANSPARENCIA; TODO ELLO EN TÉRMINOS DE LO DISPUESTO EN LOS ARTÍCULOS 181 Y 182 DE LA LEY GENERAL DE TRANSPARENCIA Y ACCESO A LA INFORMACIÓN PÚBLICA, Y ARTÍCULO 197 DE LA LEY DE TRANSPARENCIA Y ACCESO DE A LA INFORMACIÓN PÚBLICA DEL ESTADO DE MÉXICO Y MUNICIPIOS. </w:t>
      </w:r>
    </w:p>
    <w:p w:rsidR="00000000" w:rsidDel="00000000" w:rsidP="00000000" w:rsidRDefault="00000000" w:rsidRPr="00000000" w14:paraId="00000016">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14</w:t>
      </w:r>
      <w:r w:rsidDel="00000000" w:rsidR="00000000" w:rsidRPr="00000000">
        <w:rPr>
          <w:rFonts w:ascii="Palatino Linotype" w:cs="Palatino Linotype" w:eastAsia="Palatino Linotype" w:hAnsi="Palatino Linotype"/>
          <w:i w:val="1"/>
          <w:sz w:val="22"/>
          <w:szCs w:val="22"/>
          <w:rtl w:val="0"/>
        </w:rPr>
        <w:t xml:space="preserve">. ESTA ES LA NORMATIVIDAD APLICABLE VIGENTE EN CUESTIÓN DE ARCHIVÍSTICA EN LA CUAL SE BASAN LAS PREGUNTAS Y SOLICITUDES DE INFORMACIÓN PÚBLICA DEL PRESENTE DOCUMENTO: </w:t>
      </w:r>
    </w:p>
    <w:p w:rsidR="00000000" w:rsidDel="00000000" w:rsidP="00000000" w:rsidRDefault="00000000" w:rsidRPr="00000000" w14:paraId="00000017">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w:t>
      </w:r>
      <w:r w:rsidDel="00000000" w:rsidR="00000000" w:rsidRPr="00000000">
        <w:rPr>
          <w:rFonts w:ascii="Palatino Linotype" w:cs="Palatino Linotype" w:eastAsia="Palatino Linotype" w:hAnsi="Palatino Linotype"/>
          <w:i w:val="1"/>
          <w:sz w:val="22"/>
          <w:szCs w:val="22"/>
          <w:rtl w:val="0"/>
        </w:rPr>
        <w:t xml:space="preserve">. LEY GENERAL DE TRANSPARENCIA Y ACCESO A LA INFORMACIÓN PÚBLICA. </w:t>
      </w:r>
    </w:p>
    <w:p w:rsidR="00000000" w:rsidDel="00000000" w:rsidP="00000000" w:rsidRDefault="00000000" w:rsidRPr="00000000" w14:paraId="00000018">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B</w:t>
      </w:r>
      <w:r w:rsidDel="00000000" w:rsidR="00000000" w:rsidRPr="00000000">
        <w:rPr>
          <w:rFonts w:ascii="Palatino Linotype" w:cs="Palatino Linotype" w:eastAsia="Palatino Linotype" w:hAnsi="Palatino Linotype"/>
          <w:i w:val="1"/>
          <w:sz w:val="22"/>
          <w:szCs w:val="22"/>
          <w:rtl w:val="0"/>
        </w:rPr>
        <w:t xml:space="preserve">. LEY DE TRANSPARENCIA Y ACCESO A LA INFORMACIÓN PÚBLICA DEL ESTADO DE MÉXICO Y MUNICIPOS. </w:t>
      </w:r>
    </w:p>
    <w:p w:rsidR="00000000" w:rsidDel="00000000" w:rsidP="00000000" w:rsidRDefault="00000000" w:rsidRPr="00000000" w14:paraId="00000019">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w:t>
      </w:r>
      <w:r w:rsidDel="00000000" w:rsidR="00000000" w:rsidRPr="00000000">
        <w:rPr>
          <w:rFonts w:ascii="Palatino Linotype" w:cs="Palatino Linotype" w:eastAsia="Palatino Linotype" w:hAnsi="Palatino Linotype"/>
          <w:i w:val="1"/>
          <w:sz w:val="22"/>
          <w:szCs w:val="22"/>
          <w:rtl w:val="0"/>
        </w:rPr>
        <w:t xml:space="preserve">. LEY GENERAL DE ARCHIVOS. </w:t>
      </w:r>
    </w:p>
    <w:p w:rsidR="00000000" w:rsidDel="00000000" w:rsidP="00000000" w:rsidRDefault="00000000" w:rsidRPr="00000000" w14:paraId="0000001A">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w:t>
      </w:r>
      <w:r w:rsidDel="00000000" w:rsidR="00000000" w:rsidRPr="00000000">
        <w:rPr>
          <w:rFonts w:ascii="Palatino Linotype" w:cs="Palatino Linotype" w:eastAsia="Palatino Linotype" w:hAnsi="Palatino Linotype"/>
          <w:i w:val="1"/>
          <w:sz w:val="22"/>
          <w:szCs w:val="22"/>
          <w:rtl w:val="0"/>
        </w:rPr>
        <w:t xml:space="preserve">. LINEAMIENTOS PARA LA ORGANIZACIÓN Y CONSERVACIÓN DE LOS ARCHIVOS. </w:t>
      </w:r>
    </w:p>
    <w:p w:rsidR="00000000" w:rsidDel="00000000" w:rsidP="00000000" w:rsidRDefault="00000000" w:rsidRPr="00000000" w14:paraId="0000001B">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E.</w:t>
      </w:r>
      <w:r w:rsidDel="00000000" w:rsidR="00000000" w:rsidRPr="00000000">
        <w:rPr>
          <w:rFonts w:ascii="Palatino Linotype" w:cs="Palatino Linotype" w:eastAsia="Palatino Linotype" w:hAnsi="Palatino Linotype"/>
          <w:i w:val="1"/>
          <w:sz w:val="22"/>
          <w:szCs w:val="22"/>
          <w:rtl w:val="0"/>
        </w:rPr>
        <w:t xml:space="preserve"> LEY DE ARCHIVOS Y ADMINISTRACIÓN DE DOCUMENTOS DEL ESTADO DE MÉXICO Y MUNICIPIOS. </w:t>
      </w:r>
    </w:p>
    <w:p w:rsidR="00000000" w:rsidDel="00000000" w:rsidP="00000000" w:rsidRDefault="00000000" w:rsidRPr="00000000" w14:paraId="0000001C">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F</w:t>
      </w:r>
      <w:r w:rsidDel="00000000" w:rsidR="00000000" w:rsidRPr="00000000">
        <w:rPr>
          <w:rFonts w:ascii="Palatino Linotype" w:cs="Palatino Linotype" w:eastAsia="Palatino Linotype" w:hAnsi="Palatino Linotype"/>
          <w:i w:val="1"/>
          <w:sz w:val="22"/>
          <w:szCs w:val="22"/>
          <w:rtl w:val="0"/>
        </w:rPr>
        <w:t xml:space="preserve">. LINEAMIENTOS PARA LA ADMINISTRACIÓN DE DOCUMENTOS EN EL ESTADO DE MÉXICO. </w:t>
      </w:r>
    </w:p>
    <w:p w:rsidR="00000000" w:rsidDel="00000000" w:rsidP="00000000" w:rsidRDefault="00000000" w:rsidRPr="00000000" w14:paraId="0000001D">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G</w:t>
      </w:r>
      <w:r w:rsidDel="00000000" w:rsidR="00000000" w:rsidRPr="00000000">
        <w:rPr>
          <w:rFonts w:ascii="Palatino Linotype" w:cs="Palatino Linotype" w:eastAsia="Palatino Linotype" w:hAnsi="Palatino Linotype"/>
          <w:i w:val="1"/>
          <w:sz w:val="22"/>
          <w:szCs w:val="22"/>
          <w:rtl w:val="0"/>
        </w:rPr>
        <w:t xml:space="preserve">. LINEAMIENTOS PARA LA VALORACIÓN, SELECCIÓN Y BAJA DE LOS DOCUMENTOS, EXPEDIENTES Y SERIES DE TRÁMITE CONCLUIDO EN LOS ARCHIVOS DEL ESTADO DE MÉXICO. </w:t>
      </w:r>
    </w:p>
    <w:p w:rsidR="00000000" w:rsidDel="00000000" w:rsidP="00000000" w:rsidRDefault="00000000" w:rsidRPr="00000000" w14:paraId="0000001E">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H</w:t>
      </w:r>
      <w:r w:rsidDel="00000000" w:rsidR="00000000" w:rsidRPr="00000000">
        <w:rPr>
          <w:rFonts w:ascii="Palatino Linotype" w:cs="Palatino Linotype" w:eastAsia="Palatino Linotype" w:hAnsi="Palatino Linotype"/>
          <w:i w:val="1"/>
          <w:sz w:val="22"/>
          <w:szCs w:val="22"/>
          <w:rtl w:val="0"/>
        </w:rPr>
        <w:t xml:space="preserve">. LA LEY DE GOBIERNO DIGITAL DEL ESTADO DE MÉXICO Y MUNICIPIOS. </w:t>
      </w:r>
    </w:p>
    <w:p w:rsidR="00000000" w:rsidDel="00000000" w:rsidP="00000000" w:rsidRDefault="00000000" w:rsidRPr="00000000" w14:paraId="0000001F">
      <w:pPr>
        <w:spacing w:after="120" w:before="120" w:lineRule="auto"/>
        <w:ind w:left="709"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w:t>
      </w:r>
      <w:r w:rsidDel="00000000" w:rsidR="00000000" w:rsidRPr="00000000">
        <w:rPr>
          <w:rFonts w:ascii="Palatino Linotype" w:cs="Palatino Linotype" w:eastAsia="Palatino Linotype" w:hAnsi="Palatino Linotype"/>
          <w:i w:val="1"/>
          <w:sz w:val="22"/>
          <w:szCs w:val="22"/>
          <w:rtl w:val="0"/>
        </w:rPr>
        <w:t xml:space="preserve">. REGLAMENTO DE LA LEY DE GOBIERNO DIGITAL DEL ESTADO DE MÉXICO Y MUNICIPIOS? </w:t>
      </w:r>
    </w:p>
    <w:p w:rsidR="00000000" w:rsidDel="00000000" w:rsidP="00000000" w:rsidRDefault="00000000" w:rsidRPr="00000000" w14:paraId="00000020">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15</w:t>
      </w:r>
      <w:r w:rsidDel="00000000" w:rsidR="00000000" w:rsidRPr="00000000">
        <w:rPr>
          <w:rFonts w:ascii="Palatino Linotype" w:cs="Palatino Linotype" w:eastAsia="Palatino Linotype" w:hAnsi="Palatino Linotype"/>
          <w:i w:val="1"/>
          <w:sz w:val="22"/>
          <w:szCs w:val="22"/>
          <w:rtl w:val="0"/>
        </w:rPr>
        <w:t xml:space="preserve">. EL PRESENTE DOCUMENTO CONSTA DE 53 PÁGINAS ÚTILES.</w:t>
      </w:r>
      <w:r w:rsidDel="00000000" w:rsidR="00000000" w:rsidRPr="00000000">
        <w:rPr>
          <w:rtl w:val="0"/>
        </w:rPr>
      </w:r>
    </w:p>
    <w:p w:rsidR="00000000" w:rsidDel="00000000" w:rsidP="00000000" w:rsidRDefault="00000000" w:rsidRPr="00000000" w14:paraId="00000021">
      <w:pPr>
        <w:spacing w:after="120" w:before="12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SECCIÓN 1</w:t>
      </w:r>
    </w:p>
    <w:p w:rsidR="00000000" w:rsidDel="00000000" w:rsidP="00000000" w:rsidRDefault="00000000" w:rsidRPr="00000000" w14:paraId="00000022">
      <w:pPr>
        <w:spacing w:after="120" w:before="12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ÓRGANOS ARCHIVÍSTICOS</w:t>
      </w:r>
    </w:p>
    <w:p w:rsidR="00000000" w:rsidDel="00000000" w:rsidP="00000000" w:rsidRDefault="00000000" w:rsidRPr="00000000" w14:paraId="00000023">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w:t>
      </w:r>
      <w:r w:rsidDel="00000000" w:rsidR="00000000" w:rsidRPr="00000000">
        <w:rPr>
          <w:rFonts w:ascii="Palatino Linotype" w:cs="Palatino Linotype" w:eastAsia="Palatino Linotype" w:hAnsi="Palatino Linotype"/>
          <w:i w:val="1"/>
          <w:sz w:val="22"/>
          <w:szCs w:val="22"/>
          <w:rtl w:val="0"/>
        </w:rPr>
        <w:t xml:space="preserve"> ÁREA COORDINADORA DE ARCHIVOS</w:t>
      </w:r>
    </w:p>
    <w:p w:rsidR="00000000" w:rsidDel="00000000" w:rsidP="00000000" w:rsidRDefault="00000000" w:rsidRPr="00000000" w14:paraId="00000024">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5">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w:t>
      </w:r>
      <w:r w:rsidDel="00000000" w:rsidR="00000000" w:rsidRPr="00000000">
        <w:rPr>
          <w:rFonts w:ascii="Palatino Linotype" w:cs="Palatino Linotype" w:eastAsia="Palatino Linotype" w:hAnsi="Palatino Linotype"/>
          <w:i w:val="1"/>
          <w:sz w:val="22"/>
          <w:szCs w:val="22"/>
          <w:rtl w:val="0"/>
        </w:rPr>
        <w:t xml:space="preserve"> SISTEMA INSTITUCIONAL DE ARCHIVOS</w:t>
      </w:r>
    </w:p>
    <w:p w:rsidR="00000000" w:rsidDel="00000000" w:rsidP="00000000" w:rsidRDefault="00000000" w:rsidRPr="00000000" w14:paraId="00000026">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7">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3</w:t>
      </w:r>
      <w:r w:rsidDel="00000000" w:rsidR="00000000" w:rsidRPr="00000000">
        <w:rPr>
          <w:rFonts w:ascii="Palatino Linotype" w:cs="Palatino Linotype" w:eastAsia="Palatino Linotype" w:hAnsi="Palatino Linotype"/>
          <w:i w:val="1"/>
          <w:sz w:val="22"/>
          <w:szCs w:val="22"/>
          <w:rtl w:val="0"/>
        </w:rPr>
        <w:t xml:space="preserve"> GRUPO INTERDISCIPLINARIO</w:t>
      </w:r>
      <w:r w:rsidDel="00000000" w:rsidR="00000000" w:rsidRPr="00000000">
        <w:rPr>
          <w:rtl w:val="0"/>
        </w:rPr>
      </w:r>
    </w:p>
    <w:p w:rsidR="00000000" w:rsidDel="00000000" w:rsidP="00000000" w:rsidRDefault="00000000" w:rsidRPr="00000000" w14:paraId="00000028">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9">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4</w:t>
      </w:r>
      <w:r w:rsidDel="00000000" w:rsidR="00000000" w:rsidRPr="00000000">
        <w:rPr>
          <w:rFonts w:ascii="Palatino Linotype" w:cs="Palatino Linotype" w:eastAsia="Palatino Linotype" w:hAnsi="Palatino Linotype"/>
          <w:i w:val="1"/>
          <w:sz w:val="22"/>
          <w:szCs w:val="22"/>
          <w:rtl w:val="0"/>
        </w:rPr>
        <w:t xml:space="preserve"> SISTEMA DE ADMINISTRACIÓN DE ARCHIVOS Y GESTIÓN DOCUMENTAL</w:t>
      </w:r>
      <w:r w:rsidDel="00000000" w:rsidR="00000000" w:rsidRPr="00000000">
        <w:rPr>
          <w:rtl w:val="0"/>
        </w:rPr>
      </w:r>
    </w:p>
    <w:p w:rsidR="00000000" w:rsidDel="00000000" w:rsidP="00000000" w:rsidRDefault="00000000" w:rsidRPr="00000000" w14:paraId="0000002A">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B">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5</w:t>
      </w:r>
      <w:r w:rsidDel="00000000" w:rsidR="00000000" w:rsidRPr="00000000">
        <w:rPr>
          <w:rFonts w:ascii="Palatino Linotype" w:cs="Palatino Linotype" w:eastAsia="Palatino Linotype" w:hAnsi="Palatino Linotype"/>
          <w:i w:val="1"/>
          <w:sz w:val="22"/>
          <w:szCs w:val="22"/>
          <w:rtl w:val="0"/>
        </w:rPr>
        <w:t xml:space="preserve"> COMITÉ DE TRANSPARENCIA</w:t>
      </w:r>
    </w:p>
    <w:p w:rsidR="00000000" w:rsidDel="00000000" w:rsidP="00000000" w:rsidRDefault="00000000" w:rsidRPr="00000000" w14:paraId="0000002C">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D">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6</w:t>
      </w:r>
      <w:r w:rsidDel="00000000" w:rsidR="00000000" w:rsidRPr="00000000">
        <w:rPr>
          <w:rFonts w:ascii="Palatino Linotype" w:cs="Palatino Linotype" w:eastAsia="Palatino Linotype" w:hAnsi="Palatino Linotype"/>
          <w:i w:val="1"/>
          <w:sz w:val="22"/>
          <w:szCs w:val="22"/>
          <w:rtl w:val="0"/>
        </w:rPr>
        <w:t xml:space="preserve"> COMITÉ DE SELECCIÓN DOCUMENTAL</w:t>
      </w:r>
    </w:p>
    <w:p w:rsidR="00000000" w:rsidDel="00000000" w:rsidP="00000000" w:rsidRDefault="00000000" w:rsidRPr="00000000" w14:paraId="0000002E">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2F">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7</w:t>
      </w:r>
      <w:r w:rsidDel="00000000" w:rsidR="00000000" w:rsidRPr="00000000">
        <w:rPr>
          <w:rFonts w:ascii="Palatino Linotype" w:cs="Palatino Linotype" w:eastAsia="Palatino Linotype" w:hAnsi="Palatino Linotype"/>
          <w:i w:val="1"/>
          <w:sz w:val="22"/>
          <w:szCs w:val="22"/>
          <w:rtl w:val="0"/>
        </w:rPr>
        <w:t xml:space="preserve"> CUADRO GENERAL DE CLASIFICACIÓN ARCHIVÍSTICA (CGCA)</w:t>
      </w:r>
    </w:p>
    <w:p w:rsidR="00000000" w:rsidDel="00000000" w:rsidP="00000000" w:rsidRDefault="00000000" w:rsidRPr="00000000" w14:paraId="00000030">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1">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8</w:t>
      </w:r>
      <w:r w:rsidDel="00000000" w:rsidR="00000000" w:rsidRPr="00000000">
        <w:rPr>
          <w:rFonts w:ascii="Palatino Linotype" w:cs="Palatino Linotype" w:eastAsia="Palatino Linotype" w:hAnsi="Palatino Linotype"/>
          <w:i w:val="1"/>
          <w:sz w:val="22"/>
          <w:szCs w:val="22"/>
          <w:rtl w:val="0"/>
        </w:rPr>
        <w:t xml:space="preserve"> CATÁLOGO DE DISPOSICIÓN DOCUMENTAL (CADIDO)</w:t>
      </w:r>
    </w:p>
    <w:p w:rsidR="00000000" w:rsidDel="00000000" w:rsidP="00000000" w:rsidRDefault="00000000" w:rsidRPr="00000000" w14:paraId="00000032">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3">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9</w:t>
      </w:r>
      <w:r w:rsidDel="00000000" w:rsidR="00000000" w:rsidRPr="00000000">
        <w:rPr>
          <w:rFonts w:ascii="Palatino Linotype" w:cs="Palatino Linotype" w:eastAsia="Palatino Linotype" w:hAnsi="Palatino Linotype"/>
          <w:i w:val="1"/>
          <w:sz w:val="22"/>
          <w:szCs w:val="22"/>
          <w:rtl w:val="0"/>
        </w:rPr>
        <w:t xml:space="preserve"> INVENTARIOS DE ARCHIVO DE TRÁMITE, CONCENTRACIÓN E HISTÓRICO</w:t>
      </w:r>
    </w:p>
    <w:p w:rsidR="00000000" w:rsidDel="00000000" w:rsidP="00000000" w:rsidRDefault="00000000" w:rsidRPr="00000000" w14:paraId="00000034">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5">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10</w:t>
      </w:r>
      <w:r w:rsidDel="00000000" w:rsidR="00000000" w:rsidRPr="00000000">
        <w:rPr>
          <w:rFonts w:ascii="Palatino Linotype" w:cs="Palatino Linotype" w:eastAsia="Palatino Linotype" w:hAnsi="Palatino Linotype"/>
          <w:i w:val="1"/>
          <w:sz w:val="22"/>
          <w:szCs w:val="22"/>
          <w:rtl w:val="0"/>
        </w:rPr>
        <w:t xml:space="preserve"> GUÍA DE ARCHIVO DOCUMENTAL</w:t>
      </w:r>
      <w:r w:rsidDel="00000000" w:rsidR="00000000" w:rsidRPr="00000000">
        <w:rPr>
          <w:rtl w:val="0"/>
        </w:rPr>
      </w:r>
    </w:p>
    <w:p w:rsidR="00000000" w:rsidDel="00000000" w:rsidP="00000000" w:rsidRDefault="00000000" w:rsidRPr="00000000" w14:paraId="00000036">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7">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11</w:t>
      </w:r>
      <w:r w:rsidDel="00000000" w:rsidR="00000000" w:rsidRPr="00000000">
        <w:rPr>
          <w:rFonts w:ascii="Palatino Linotype" w:cs="Palatino Linotype" w:eastAsia="Palatino Linotype" w:hAnsi="Palatino Linotype"/>
          <w:i w:val="1"/>
          <w:sz w:val="22"/>
          <w:szCs w:val="22"/>
          <w:rtl w:val="0"/>
        </w:rPr>
        <w:t xml:space="preserve"> INDICE DE EXPEDIENTES CLASIFICADOS COMO RESERVADOS</w:t>
      </w:r>
      <w:r w:rsidDel="00000000" w:rsidR="00000000" w:rsidRPr="00000000">
        <w:rPr>
          <w:rtl w:val="0"/>
        </w:rPr>
      </w:r>
    </w:p>
    <w:p w:rsidR="00000000" w:rsidDel="00000000" w:rsidP="00000000" w:rsidRDefault="00000000" w:rsidRPr="00000000" w14:paraId="00000038">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9">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12</w:t>
      </w:r>
      <w:r w:rsidDel="00000000" w:rsidR="00000000" w:rsidRPr="00000000">
        <w:rPr>
          <w:rFonts w:ascii="Palatino Linotype" w:cs="Palatino Linotype" w:eastAsia="Palatino Linotype" w:hAnsi="Palatino Linotype"/>
          <w:i w:val="1"/>
          <w:sz w:val="22"/>
          <w:szCs w:val="22"/>
          <w:rtl w:val="0"/>
        </w:rPr>
        <w:t xml:space="preserve"> CALENDARIO DE CADUCIDADES</w:t>
      </w:r>
      <w:r w:rsidDel="00000000" w:rsidR="00000000" w:rsidRPr="00000000">
        <w:rPr>
          <w:rtl w:val="0"/>
        </w:rPr>
      </w:r>
    </w:p>
    <w:p w:rsidR="00000000" w:rsidDel="00000000" w:rsidP="00000000" w:rsidRDefault="00000000" w:rsidRPr="00000000" w14:paraId="0000003A">
      <w:pPr>
        <w:spacing w:after="120" w:before="12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SECCIÓN 3</w:t>
      </w:r>
    </w:p>
    <w:p w:rsidR="00000000" w:rsidDel="00000000" w:rsidP="00000000" w:rsidRDefault="00000000" w:rsidRPr="00000000" w14:paraId="0000003B">
      <w:pPr>
        <w:spacing w:after="120" w:before="12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TIPOS DE ARCHIVOS</w:t>
      </w:r>
    </w:p>
    <w:p w:rsidR="00000000" w:rsidDel="00000000" w:rsidP="00000000" w:rsidRDefault="00000000" w:rsidRPr="00000000" w14:paraId="0000003C">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13 </w:t>
      </w:r>
      <w:r w:rsidDel="00000000" w:rsidR="00000000" w:rsidRPr="00000000">
        <w:rPr>
          <w:rFonts w:ascii="Palatino Linotype" w:cs="Palatino Linotype" w:eastAsia="Palatino Linotype" w:hAnsi="Palatino Linotype"/>
          <w:i w:val="1"/>
          <w:sz w:val="22"/>
          <w:szCs w:val="22"/>
          <w:rtl w:val="0"/>
        </w:rPr>
        <w:t xml:space="preserve">ARCHIVOS DE TRÁMITE</w:t>
      </w:r>
      <w:r w:rsidDel="00000000" w:rsidR="00000000" w:rsidRPr="00000000">
        <w:rPr>
          <w:rtl w:val="0"/>
        </w:rPr>
      </w:r>
    </w:p>
    <w:p w:rsidR="00000000" w:rsidDel="00000000" w:rsidP="00000000" w:rsidRDefault="00000000" w:rsidRPr="00000000" w14:paraId="0000003D">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3E">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14</w:t>
      </w:r>
      <w:r w:rsidDel="00000000" w:rsidR="00000000" w:rsidRPr="00000000">
        <w:rPr>
          <w:rFonts w:ascii="Palatino Linotype" w:cs="Palatino Linotype" w:eastAsia="Palatino Linotype" w:hAnsi="Palatino Linotype"/>
          <w:i w:val="1"/>
          <w:sz w:val="22"/>
          <w:szCs w:val="22"/>
          <w:rtl w:val="0"/>
        </w:rPr>
        <w:t xml:space="preserve"> ARCHIVO DE CONCENTRACIÓN</w:t>
      </w:r>
      <w:r w:rsidDel="00000000" w:rsidR="00000000" w:rsidRPr="00000000">
        <w:rPr>
          <w:rtl w:val="0"/>
        </w:rPr>
      </w:r>
    </w:p>
    <w:p w:rsidR="00000000" w:rsidDel="00000000" w:rsidP="00000000" w:rsidRDefault="00000000" w:rsidRPr="00000000" w14:paraId="0000003F">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0">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15</w:t>
      </w:r>
      <w:r w:rsidDel="00000000" w:rsidR="00000000" w:rsidRPr="00000000">
        <w:rPr>
          <w:rFonts w:ascii="Palatino Linotype" w:cs="Palatino Linotype" w:eastAsia="Palatino Linotype" w:hAnsi="Palatino Linotype"/>
          <w:i w:val="1"/>
          <w:sz w:val="22"/>
          <w:szCs w:val="22"/>
          <w:rtl w:val="0"/>
        </w:rPr>
        <w:t xml:space="preserve"> ARCHIVO HISTÓRICO</w:t>
      </w:r>
      <w:r w:rsidDel="00000000" w:rsidR="00000000" w:rsidRPr="00000000">
        <w:rPr>
          <w:rtl w:val="0"/>
        </w:rPr>
      </w:r>
    </w:p>
    <w:p w:rsidR="00000000" w:rsidDel="00000000" w:rsidP="00000000" w:rsidRDefault="00000000" w:rsidRPr="00000000" w14:paraId="00000041">
      <w:pPr>
        <w:spacing w:after="120" w:before="12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SECCIÓN 4</w:t>
      </w:r>
    </w:p>
    <w:p w:rsidR="00000000" w:rsidDel="00000000" w:rsidP="00000000" w:rsidRDefault="00000000" w:rsidRPr="00000000" w14:paraId="00000042">
      <w:pPr>
        <w:spacing w:after="120" w:before="12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ACTIVIDADES ARCHIVÍSTICAS</w:t>
      </w:r>
    </w:p>
    <w:p w:rsidR="00000000" w:rsidDel="00000000" w:rsidP="00000000" w:rsidRDefault="00000000" w:rsidRPr="00000000" w14:paraId="00000043">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16</w:t>
      </w:r>
      <w:r w:rsidDel="00000000" w:rsidR="00000000" w:rsidRPr="00000000">
        <w:rPr>
          <w:rFonts w:ascii="Palatino Linotype" w:cs="Palatino Linotype" w:eastAsia="Palatino Linotype" w:hAnsi="Palatino Linotype"/>
          <w:i w:val="1"/>
          <w:sz w:val="22"/>
          <w:szCs w:val="22"/>
          <w:rtl w:val="0"/>
        </w:rPr>
        <w:t xml:space="preserve"> PROGRAMA ANUAL DE DESARROLLO ARCHIVÍSTICO</w:t>
      </w:r>
      <w:r w:rsidDel="00000000" w:rsidR="00000000" w:rsidRPr="00000000">
        <w:rPr>
          <w:rtl w:val="0"/>
        </w:rPr>
      </w:r>
    </w:p>
    <w:p w:rsidR="00000000" w:rsidDel="00000000" w:rsidP="00000000" w:rsidRDefault="00000000" w:rsidRPr="00000000" w14:paraId="00000044">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5">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17</w:t>
      </w:r>
      <w:r w:rsidDel="00000000" w:rsidR="00000000" w:rsidRPr="00000000">
        <w:rPr>
          <w:rFonts w:ascii="Palatino Linotype" w:cs="Palatino Linotype" w:eastAsia="Palatino Linotype" w:hAnsi="Palatino Linotype"/>
          <w:i w:val="1"/>
          <w:sz w:val="22"/>
          <w:szCs w:val="22"/>
          <w:rtl w:val="0"/>
        </w:rPr>
        <w:t xml:space="preserve"> PROGRAMA DE PRESERVACIÓN DIGITAL</w:t>
      </w:r>
      <w:r w:rsidDel="00000000" w:rsidR="00000000" w:rsidRPr="00000000">
        <w:rPr>
          <w:rtl w:val="0"/>
        </w:rPr>
      </w:r>
    </w:p>
    <w:p w:rsidR="00000000" w:rsidDel="00000000" w:rsidP="00000000" w:rsidRDefault="00000000" w:rsidRPr="00000000" w14:paraId="00000046">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tl w:val="0"/>
        </w:rPr>
      </w:r>
    </w:p>
    <w:p w:rsidR="00000000" w:rsidDel="00000000" w:rsidP="00000000" w:rsidRDefault="00000000" w:rsidRPr="00000000" w14:paraId="00000047">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18</w:t>
      </w:r>
      <w:r w:rsidDel="00000000" w:rsidR="00000000" w:rsidRPr="00000000">
        <w:rPr>
          <w:rFonts w:ascii="Palatino Linotype" w:cs="Palatino Linotype" w:eastAsia="Palatino Linotype" w:hAnsi="Palatino Linotype"/>
          <w:i w:val="1"/>
          <w:sz w:val="22"/>
          <w:szCs w:val="22"/>
          <w:rtl w:val="0"/>
        </w:rPr>
        <w:t xml:space="preserve"> SEGURIDAD DE LA INFORMACIÓN</w:t>
      </w:r>
    </w:p>
    <w:p w:rsidR="00000000" w:rsidDel="00000000" w:rsidP="00000000" w:rsidRDefault="00000000" w:rsidRPr="00000000" w14:paraId="00000048">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9">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19</w:t>
      </w:r>
      <w:r w:rsidDel="00000000" w:rsidR="00000000" w:rsidRPr="00000000">
        <w:rPr>
          <w:rFonts w:ascii="Palatino Linotype" w:cs="Palatino Linotype" w:eastAsia="Palatino Linotype" w:hAnsi="Palatino Linotype"/>
          <w:i w:val="1"/>
          <w:sz w:val="22"/>
          <w:szCs w:val="22"/>
          <w:rtl w:val="0"/>
        </w:rPr>
        <w:t xml:space="preserve"> SEGURIDAD DE DOCUMENTOS ELECTRÓNICOS Y EXPEDIENTES DIGITALES</w:t>
      </w:r>
    </w:p>
    <w:p w:rsidR="00000000" w:rsidDel="00000000" w:rsidP="00000000" w:rsidRDefault="00000000" w:rsidRPr="00000000" w14:paraId="0000004A">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B">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20</w:t>
      </w:r>
      <w:r w:rsidDel="00000000" w:rsidR="00000000" w:rsidRPr="00000000">
        <w:rPr>
          <w:rFonts w:ascii="Palatino Linotype" w:cs="Palatino Linotype" w:eastAsia="Palatino Linotype" w:hAnsi="Palatino Linotype"/>
          <w:i w:val="1"/>
          <w:sz w:val="22"/>
          <w:szCs w:val="22"/>
          <w:rtl w:val="0"/>
        </w:rPr>
        <w:t xml:space="preserve"> ARCHIVACIÓN</w:t>
      </w:r>
    </w:p>
    <w:p w:rsidR="00000000" w:rsidDel="00000000" w:rsidP="00000000" w:rsidRDefault="00000000" w:rsidRPr="00000000" w14:paraId="0000004C">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D">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21</w:t>
      </w:r>
      <w:r w:rsidDel="00000000" w:rsidR="00000000" w:rsidRPr="00000000">
        <w:rPr>
          <w:rFonts w:ascii="Palatino Linotype" w:cs="Palatino Linotype" w:eastAsia="Palatino Linotype" w:hAnsi="Palatino Linotype"/>
          <w:i w:val="1"/>
          <w:sz w:val="22"/>
          <w:szCs w:val="22"/>
          <w:rtl w:val="0"/>
        </w:rPr>
        <w:t xml:space="preserve"> TRANSFERENCIA PRIMARIA</w:t>
      </w:r>
    </w:p>
    <w:p w:rsidR="00000000" w:rsidDel="00000000" w:rsidP="00000000" w:rsidRDefault="00000000" w:rsidRPr="00000000" w14:paraId="0000004E">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4F">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22</w:t>
      </w:r>
      <w:r w:rsidDel="00000000" w:rsidR="00000000" w:rsidRPr="00000000">
        <w:rPr>
          <w:rFonts w:ascii="Palatino Linotype" w:cs="Palatino Linotype" w:eastAsia="Palatino Linotype" w:hAnsi="Palatino Linotype"/>
          <w:i w:val="1"/>
          <w:sz w:val="22"/>
          <w:szCs w:val="22"/>
          <w:rtl w:val="0"/>
        </w:rPr>
        <w:t xml:space="preserve"> TRANSFERENCIA SECUNDARIA</w:t>
      </w:r>
    </w:p>
    <w:p w:rsidR="00000000" w:rsidDel="00000000" w:rsidP="00000000" w:rsidRDefault="00000000" w:rsidRPr="00000000" w14:paraId="00000050">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1">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23</w:t>
      </w:r>
      <w:r w:rsidDel="00000000" w:rsidR="00000000" w:rsidRPr="00000000">
        <w:rPr>
          <w:rFonts w:ascii="Palatino Linotype" w:cs="Palatino Linotype" w:eastAsia="Palatino Linotype" w:hAnsi="Palatino Linotype"/>
          <w:i w:val="1"/>
          <w:sz w:val="22"/>
          <w:szCs w:val="22"/>
          <w:rtl w:val="0"/>
        </w:rPr>
        <w:t xml:space="preserve"> DIGITALIZACIÓN</w:t>
      </w:r>
    </w:p>
    <w:p w:rsidR="00000000" w:rsidDel="00000000" w:rsidP="00000000" w:rsidRDefault="00000000" w:rsidRPr="00000000" w14:paraId="00000052">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3">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24</w:t>
      </w:r>
      <w:r w:rsidDel="00000000" w:rsidR="00000000" w:rsidRPr="00000000">
        <w:rPr>
          <w:rFonts w:ascii="Palatino Linotype" w:cs="Palatino Linotype" w:eastAsia="Palatino Linotype" w:hAnsi="Palatino Linotype"/>
          <w:i w:val="1"/>
          <w:sz w:val="22"/>
          <w:szCs w:val="22"/>
          <w:rtl w:val="0"/>
        </w:rPr>
        <w:t xml:space="preserve"> SELECCIÓN FINAL</w:t>
      </w:r>
    </w:p>
    <w:p w:rsidR="00000000" w:rsidDel="00000000" w:rsidP="00000000" w:rsidRDefault="00000000" w:rsidRPr="00000000" w14:paraId="00000054">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5">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25</w:t>
      </w:r>
      <w:r w:rsidDel="00000000" w:rsidR="00000000" w:rsidRPr="00000000">
        <w:rPr>
          <w:rFonts w:ascii="Palatino Linotype" w:cs="Palatino Linotype" w:eastAsia="Palatino Linotype" w:hAnsi="Palatino Linotype"/>
          <w:i w:val="1"/>
          <w:sz w:val="22"/>
          <w:szCs w:val="22"/>
          <w:rtl w:val="0"/>
        </w:rPr>
        <w:t xml:space="preserve"> ADMINISTRACIÓN DE ARCHIVOS DE TRÁMITE</w:t>
      </w:r>
    </w:p>
    <w:p w:rsidR="00000000" w:rsidDel="00000000" w:rsidP="00000000" w:rsidRDefault="00000000" w:rsidRPr="00000000" w14:paraId="00000056">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7">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26 </w:t>
      </w:r>
      <w:r w:rsidDel="00000000" w:rsidR="00000000" w:rsidRPr="00000000">
        <w:rPr>
          <w:rFonts w:ascii="Palatino Linotype" w:cs="Palatino Linotype" w:eastAsia="Palatino Linotype" w:hAnsi="Palatino Linotype"/>
          <w:i w:val="1"/>
          <w:sz w:val="22"/>
          <w:szCs w:val="22"/>
          <w:rtl w:val="0"/>
        </w:rPr>
        <w:t xml:space="preserve">CAPACITACIÓN ARCHIVÍSTICA</w:t>
      </w:r>
    </w:p>
    <w:p w:rsidR="00000000" w:rsidDel="00000000" w:rsidP="00000000" w:rsidRDefault="00000000" w:rsidRPr="00000000" w14:paraId="00000058">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9">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27</w:t>
      </w:r>
      <w:r w:rsidDel="00000000" w:rsidR="00000000" w:rsidRPr="00000000">
        <w:rPr>
          <w:rFonts w:ascii="Palatino Linotype" w:cs="Palatino Linotype" w:eastAsia="Palatino Linotype" w:hAnsi="Palatino Linotype"/>
          <w:i w:val="1"/>
          <w:sz w:val="22"/>
          <w:szCs w:val="22"/>
          <w:rtl w:val="0"/>
        </w:rPr>
        <w:t xml:space="preserve"> PRÉSTAMO DE DOCUMENTOS</w:t>
      </w:r>
    </w:p>
    <w:p w:rsidR="00000000" w:rsidDel="00000000" w:rsidP="00000000" w:rsidRDefault="00000000" w:rsidRPr="00000000" w14:paraId="0000005A">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B">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28</w:t>
      </w:r>
      <w:r w:rsidDel="00000000" w:rsidR="00000000" w:rsidRPr="00000000">
        <w:rPr>
          <w:rFonts w:ascii="Palatino Linotype" w:cs="Palatino Linotype" w:eastAsia="Palatino Linotype" w:hAnsi="Palatino Linotype"/>
          <w:i w:val="1"/>
          <w:sz w:val="22"/>
          <w:szCs w:val="22"/>
          <w:rtl w:val="0"/>
        </w:rPr>
        <w:t xml:space="preserve"> DIFUSIÓN</w:t>
      </w:r>
    </w:p>
    <w:p w:rsidR="00000000" w:rsidDel="00000000" w:rsidP="00000000" w:rsidRDefault="00000000" w:rsidRPr="00000000" w14:paraId="0000005C">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5D">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29</w:t>
      </w:r>
      <w:r w:rsidDel="00000000" w:rsidR="00000000" w:rsidRPr="00000000">
        <w:rPr>
          <w:rFonts w:ascii="Palatino Linotype" w:cs="Palatino Linotype" w:eastAsia="Palatino Linotype" w:hAnsi="Palatino Linotype"/>
          <w:i w:val="1"/>
          <w:sz w:val="22"/>
          <w:szCs w:val="22"/>
          <w:rtl w:val="0"/>
        </w:rPr>
        <w:t xml:space="preserve"> SEGURIDAD EN LOS ARCHIVOS</w:t>
      </w:r>
      <w:r w:rsidDel="00000000" w:rsidR="00000000" w:rsidRPr="00000000">
        <w:rPr>
          <w:rtl w:val="0"/>
        </w:rPr>
      </w:r>
    </w:p>
    <w:p w:rsidR="00000000" w:rsidDel="00000000" w:rsidP="00000000" w:rsidRDefault="00000000" w:rsidRPr="00000000" w14:paraId="0000005E">
      <w:pPr>
        <w:spacing w:after="240" w:before="24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SECCIÓN 5</w:t>
      </w:r>
    </w:p>
    <w:p w:rsidR="00000000" w:rsidDel="00000000" w:rsidP="00000000" w:rsidRDefault="00000000" w:rsidRPr="00000000" w14:paraId="0000005F">
      <w:pPr>
        <w:spacing w:after="240" w:before="240" w:lineRule="auto"/>
        <w:ind w:left="426" w:right="474"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CONTROL DE ARCHIVOS</w:t>
      </w:r>
    </w:p>
    <w:p w:rsidR="00000000" w:rsidDel="00000000" w:rsidP="00000000" w:rsidRDefault="00000000" w:rsidRPr="00000000" w14:paraId="00000060">
      <w:pPr>
        <w:spacing w:after="120" w:before="120" w:lineRule="auto"/>
        <w:ind w:left="426" w:right="474"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30 </w:t>
      </w:r>
      <w:r w:rsidDel="00000000" w:rsidR="00000000" w:rsidRPr="00000000">
        <w:rPr>
          <w:rFonts w:ascii="Palatino Linotype" w:cs="Palatino Linotype" w:eastAsia="Palatino Linotype" w:hAnsi="Palatino Linotype"/>
          <w:i w:val="1"/>
          <w:sz w:val="22"/>
          <w:szCs w:val="22"/>
          <w:rtl w:val="0"/>
        </w:rPr>
        <w:t xml:space="preserve">REGISTRO NACIONAL DE ARCHIVOS</w:t>
      </w:r>
      <w:r w:rsidDel="00000000" w:rsidR="00000000" w:rsidRPr="00000000">
        <w:rPr>
          <w:rFonts w:ascii="Palatino Linotype" w:cs="Palatino Linotype" w:eastAsia="Palatino Linotype" w:hAnsi="Palatino Linotype"/>
          <w:b w:val="1"/>
          <w:i w:val="1"/>
          <w:sz w:val="22"/>
          <w:szCs w:val="22"/>
          <w:rtl w:val="0"/>
        </w:rPr>
        <w:t xml:space="preserve"> </w:t>
      </w:r>
    </w:p>
    <w:p w:rsidR="00000000" w:rsidDel="00000000" w:rsidP="00000000" w:rsidRDefault="00000000" w:rsidRPr="00000000" w14:paraId="00000061">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2">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31</w:t>
      </w:r>
      <w:r w:rsidDel="00000000" w:rsidR="00000000" w:rsidRPr="00000000">
        <w:rPr>
          <w:rFonts w:ascii="Palatino Linotype" w:cs="Palatino Linotype" w:eastAsia="Palatino Linotype" w:hAnsi="Palatino Linotype"/>
          <w:i w:val="1"/>
          <w:sz w:val="22"/>
          <w:szCs w:val="22"/>
          <w:rtl w:val="0"/>
        </w:rPr>
        <w:t xml:space="preserve"> ENTREGA-RECEPCIÓN DE ARCHIVOS </w:t>
      </w:r>
    </w:p>
    <w:p w:rsidR="00000000" w:rsidDel="00000000" w:rsidP="00000000" w:rsidRDefault="00000000" w:rsidRPr="00000000" w14:paraId="00000063">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4">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32</w:t>
      </w:r>
      <w:r w:rsidDel="00000000" w:rsidR="00000000" w:rsidRPr="00000000">
        <w:rPr>
          <w:rFonts w:ascii="Palatino Linotype" w:cs="Palatino Linotype" w:eastAsia="Palatino Linotype" w:hAnsi="Palatino Linotype"/>
          <w:i w:val="1"/>
          <w:sz w:val="22"/>
          <w:szCs w:val="22"/>
          <w:rtl w:val="0"/>
        </w:rPr>
        <w:t xml:space="preserve"> DOCUMENTACIÓN CLASIFICADA </w:t>
      </w:r>
    </w:p>
    <w:p w:rsidR="00000000" w:rsidDel="00000000" w:rsidP="00000000" w:rsidRDefault="00000000" w:rsidRPr="00000000" w14:paraId="00000065">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6">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33</w:t>
      </w:r>
      <w:r w:rsidDel="00000000" w:rsidR="00000000" w:rsidRPr="00000000">
        <w:rPr>
          <w:rFonts w:ascii="Palatino Linotype" w:cs="Palatino Linotype" w:eastAsia="Palatino Linotype" w:hAnsi="Palatino Linotype"/>
          <w:i w:val="1"/>
          <w:sz w:val="22"/>
          <w:szCs w:val="22"/>
          <w:rtl w:val="0"/>
        </w:rPr>
        <w:t xml:space="preserve"> DOCUMENTACIÓN SINIESTRADA </w:t>
      </w:r>
    </w:p>
    <w:p w:rsidR="00000000" w:rsidDel="00000000" w:rsidP="00000000" w:rsidRDefault="00000000" w:rsidRPr="00000000" w14:paraId="00000067">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8">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NUMERAL 34</w:t>
      </w:r>
      <w:r w:rsidDel="00000000" w:rsidR="00000000" w:rsidRPr="00000000">
        <w:rPr>
          <w:rFonts w:ascii="Palatino Linotype" w:cs="Palatino Linotype" w:eastAsia="Palatino Linotype" w:hAnsi="Palatino Linotype"/>
          <w:i w:val="1"/>
          <w:sz w:val="22"/>
          <w:szCs w:val="22"/>
          <w:rtl w:val="0"/>
        </w:rPr>
        <w:t xml:space="preserve"> CONTROL DE ARCHIVOS</w:t>
      </w:r>
    </w:p>
    <w:p w:rsidR="00000000" w:rsidDel="00000000" w:rsidP="00000000" w:rsidRDefault="00000000" w:rsidRPr="00000000" w14:paraId="00000069">
      <w:pPr>
        <w:spacing w:after="120" w:before="120" w:lineRule="auto"/>
        <w:ind w:left="426" w:right="474"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6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Modalidad de Entrega:</w:t>
      </w:r>
      <w:r w:rsidDel="00000000" w:rsidR="00000000" w:rsidRPr="00000000">
        <w:rPr>
          <w:rFonts w:ascii="Palatino Linotype" w:cs="Palatino Linotype" w:eastAsia="Palatino Linotype" w:hAnsi="Palatino Linotype"/>
          <w:rtl w:val="0"/>
        </w:rPr>
        <w:t xml:space="preserve"> A través de SAIMEX y mediante correo electrónico.</w:t>
      </w:r>
    </w:p>
    <w:p w:rsidR="00000000" w:rsidDel="00000000" w:rsidP="00000000" w:rsidRDefault="00000000" w:rsidRPr="00000000" w14:paraId="0000006B">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2. Respuesta. </w:t>
      </w:r>
      <w:r w:rsidDel="00000000" w:rsidR="00000000" w:rsidRPr="00000000">
        <w:rPr>
          <w:rFonts w:ascii="Palatino Linotype" w:cs="Palatino Linotype" w:eastAsia="Palatino Linotype" w:hAnsi="Palatino Linotype"/>
          <w:rtl w:val="0"/>
        </w:rPr>
        <w:t xml:space="preserve">Con fecha </w:t>
      </w:r>
      <w:r w:rsidDel="00000000" w:rsidR="00000000" w:rsidRPr="00000000">
        <w:rPr>
          <w:rFonts w:ascii="Palatino Linotype" w:cs="Palatino Linotype" w:eastAsia="Palatino Linotype" w:hAnsi="Palatino Linotype"/>
          <w:b w:val="1"/>
          <w:rtl w:val="0"/>
        </w:rPr>
        <w:t xml:space="preserve">cuatro de noviembre de dos mil veintidós</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envió su respuesta a la solicitud de acceso a la información a través de SAIMEX, sustancialmente en los términos siguientes:   </w:t>
      </w:r>
      <w:r w:rsidDel="00000000" w:rsidR="00000000" w:rsidRPr="00000000">
        <w:rPr>
          <w:rtl w:val="0"/>
        </w:rPr>
      </w:r>
    </w:p>
    <w:p w:rsidR="00000000" w:rsidDel="00000000" w:rsidP="00000000" w:rsidRDefault="00000000" w:rsidRPr="00000000" w14:paraId="0000006C">
      <w:pPr>
        <w:spacing w:after="240" w:before="24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 anexa informacion...” (sic)</w:t>
      </w:r>
    </w:p>
    <w:p w:rsidR="00000000" w:rsidDel="00000000" w:rsidP="00000000" w:rsidRDefault="00000000" w:rsidRPr="00000000" w14:paraId="0000006D">
      <w:pPr>
        <w:spacing w:after="240" w:before="240" w:line="360" w:lineRule="auto"/>
        <w:ind w:right="49"/>
        <w:jc w:val="both"/>
        <w:rPr>
          <w:rFonts w:ascii="Palatino Linotype" w:cs="Palatino Linotype" w:eastAsia="Palatino Linotype" w:hAnsi="Palatino Linotype"/>
        </w:rPr>
      </w:pPr>
      <w:bookmarkStart w:colFirst="0" w:colLast="0" w:name="_heading=h.26in1rg" w:id="3"/>
      <w:bookmarkEnd w:id="3"/>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adjuntó el archivo: “</w:t>
      </w:r>
      <w:r w:rsidDel="00000000" w:rsidR="00000000" w:rsidRPr="00000000">
        <w:rPr>
          <w:rFonts w:ascii="Palatino Linotype" w:cs="Palatino Linotype" w:eastAsia="Palatino Linotype" w:hAnsi="Palatino Linotype"/>
          <w:i w:val="1"/>
          <w:rtl w:val="0"/>
        </w:rPr>
        <w:t xml:space="preserve">00155.PDF</w:t>
      </w:r>
      <w:r w:rsidDel="00000000" w:rsidR="00000000" w:rsidRPr="00000000">
        <w:rPr>
          <w:rFonts w:ascii="Palatino Linotype" w:cs="Palatino Linotype" w:eastAsia="Palatino Linotype" w:hAnsi="Palatino Linotype"/>
          <w:rtl w:val="0"/>
        </w:rPr>
        <w:t xml:space="preserve">” que contiene lo siguiente:</w:t>
      </w:r>
    </w:p>
    <w:p w:rsidR="00000000" w:rsidDel="00000000" w:rsidP="00000000" w:rsidRDefault="00000000" w:rsidRPr="00000000" w14:paraId="0000006E">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Oficio número MCAP/ITAIPMYPDP/0833/2022, de fecha dieciocho de octubre de dos mil veintidós, signado por el Titular de Transparencia, Acceso a la Información Pública Municipal y Protección de Datos Personales, mediante el cual remite al Secretario del Ayuntamiento la solicitud de información 00155/CAPULHUA/IP/2022, concediéndole un término de tres días hábiles para remitir lo solicitado.</w:t>
      </w:r>
    </w:p>
    <w:p w:rsidR="00000000" w:rsidDel="00000000" w:rsidP="00000000" w:rsidRDefault="00000000" w:rsidRPr="00000000" w14:paraId="0000006F">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Oficio MCAP/SA/980/2022, de fecha veintiuno de octubre de dos mil veintidós, signado por el Secretario del Ayuntamiento, mediante el cual manifiesta remitir la información descrita en la solicitud 00155/CAPULHUA/IP/2022, y enlista los numerales y a qué áreas van dirigidas las preguntas, concretamente por cuanto hace a los numerales 5, 11, 18, 19, 29, 31, 32, 33 y 34.</w:t>
      </w:r>
    </w:p>
    <w:p w:rsidR="00000000" w:rsidDel="00000000" w:rsidP="00000000" w:rsidRDefault="00000000" w:rsidRPr="00000000" w14:paraId="00000070">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Oficio número MCAP/UT/0841/2022, de fecha cuatro de noviembre de dos mil veintidós, signado por el Titular de Transparencia, Acceso a la Información Pública Municipal y Protección de Datos Personales, mediante el cual hace del conocimiento de la persona solicitante, en términos del artículo 12 de la Ley de Transparencia y Acceso a la Información Pública del Estado de México y Municipios, que el Ayuntamiento no está obligado a realizar un procesamiento para proporcionar la información para proporcionar la información como se solicita.</w:t>
      </w:r>
    </w:p>
    <w:p w:rsidR="00000000" w:rsidDel="00000000" w:rsidP="00000000" w:rsidRDefault="00000000" w:rsidRPr="00000000" w14:paraId="00000071">
      <w:pPr>
        <w:spacing w:after="240" w:before="240" w:line="360" w:lineRule="auto"/>
        <w:ind w:right="49"/>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3. Interposición del recurso de revisión. </w:t>
      </w:r>
      <w:r w:rsidDel="00000000" w:rsidR="00000000" w:rsidRPr="00000000">
        <w:rPr>
          <w:rFonts w:ascii="Palatino Linotype" w:cs="Palatino Linotype" w:eastAsia="Palatino Linotype" w:hAnsi="Palatino Linotype"/>
          <w:rtl w:val="0"/>
        </w:rPr>
        <w:t xml:space="preserve">Inconforme con los términos de la respuesta emitida por parte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el </w:t>
      </w:r>
      <w:r w:rsidDel="00000000" w:rsidR="00000000" w:rsidRPr="00000000">
        <w:rPr>
          <w:rFonts w:ascii="Palatino Linotype" w:cs="Palatino Linotype" w:eastAsia="Palatino Linotype" w:hAnsi="Palatino Linotype"/>
          <w:b w:val="1"/>
          <w:rtl w:val="0"/>
        </w:rPr>
        <w:t xml:space="preserve">catorce de noviembre de dos mil veintidós,</w:t>
      </w:r>
      <w:r w:rsidDel="00000000" w:rsidR="00000000" w:rsidRPr="00000000">
        <w:rPr>
          <w:rFonts w:ascii="Palatino Linotype" w:cs="Palatino Linotype" w:eastAsia="Palatino Linotype" w:hAnsi="Palatino Linotype"/>
          <w:rtl w:val="0"/>
        </w:rPr>
        <w:t xml:space="preserve"> la parte recurrente interpuso el recurso de revisión a través de </w:t>
      </w:r>
      <w:r w:rsidDel="00000000" w:rsidR="00000000" w:rsidRPr="00000000">
        <w:rPr>
          <w:rFonts w:ascii="Palatino Linotype" w:cs="Palatino Linotype" w:eastAsia="Palatino Linotype" w:hAnsi="Palatino Linotype"/>
          <w:b w:val="1"/>
          <w:rtl w:val="0"/>
        </w:rPr>
        <w:t xml:space="preserve">SAIMEX, </w:t>
      </w:r>
      <w:r w:rsidDel="00000000" w:rsidR="00000000" w:rsidRPr="00000000">
        <w:rPr>
          <w:rFonts w:ascii="Palatino Linotype" w:cs="Palatino Linotype" w:eastAsia="Palatino Linotype" w:hAnsi="Palatino Linotype"/>
          <w:rtl w:val="0"/>
        </w:rPr>
        <w:t xml:space="preserve">en donde se manifestó de la siguiente manera:</w:t>
      </w:r>
    </w:p>
    <w:p w:rsidR="00000000" w:rsidDel="00000000" w:rsidP="00000000" w:rsidRDefault="00000000" w:rsidRPr="00000000" w14:paraId="00000072">
      <w:pPr>
        <w:tabs>
          <w:tab w:val="left" w:leader="none" w:pos="2745"/>
        </w:tabs>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Acto impugnado: </w:t>
      </w:r>
    </w:p>
    <w:p w:rsidR="00000000" w:rsidDel="00000000" w:rsidP="00000000" w:rsidRDefault="00000000" w:rsidRPr="00000000" w14:paraId="00000073">
      <w:pPr>
        <w:tabs>
          <w:tab w:val="left" w:leader="none" w:pos="2745"/>
        </w:tabs>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“RECURSO DE REVISIÓN.” (sic)</w:t>
      </w:r>
    </w:p>
    <w:p w:rsidR="00000000" w:rsidDel="00000000" w:rsidP="00000000" w:rsidRDefault="00000000" w:rsidRPr="00000000" w14:paraId="00000074">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Y Razones o motivos de inconformidad</w:t>
      </w:r>
      <w:r w:rsidDel="00000000" w:rsidR="00000000" w:rsidRPr="00000000">
        <w:rPr>
          <w:rFonts w:ascii="Palatino Linotype" w:cs="Palatino Linotype" w:eastAsia="Palatino Linotype" w:hAnsi="Palatino Linotype"/>
          <w:rtl w:val="0"/>
        </w:rPr>
        <w:t xml:space="preserve">:</w:t>
      </w:r>
    </w:p>
    <w:p w:rsidR="00000000" w:rsidDel="00000000" w:rsidP="00000000" w:rsidRDefault="00000000" w:rsidRPr="00000000" w14:paraId="00000075">
      <w:pPr>
        <w:ind w:left="851" w:right="902" w:firstLine="0"/>
        <w:jc w:val="both"/>
        <w:rPr>
          <w:rFonts w:ascii="Palatino Linotype" w:cs="Palatino Linotype" w:eastAsia="Palatino Linotype" w:hAnsi="Palatino Linotype"/>
          <w:i w:val="1"/>
          <w:sz w:val="22"/>
          <w:szCs w:val="22"/>
        </w:rPr>
      </w:pPr>
      <w:bookmarkStart w:colFirst="0" w:colLast="0" w:name="_heading=h.30j0zll" w:id="4"/>
      <w:bookmarkEnd w:id="4"/>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u w:val="single"/>
          <w:rtl w:val="0"/>
        </w:rPr>
        <w:t xml:space="preserve">POR LA FALTA DE RESPUESTA</w:t>
      </w:r>
      <w:r w:rsidDel="00000000" w:rsidR="00000000" w:rsidRPr="00000000">
        <w:rPr>
          <w:rFonts w:ascii="Palatino Linotype" w:cs="Palatino Linotype" w:eastAsia="Palatino Linotype" w:hAnsi="Palatino Linotype"/>
          <w:i w:val="1"/>
          <w:sz w:val="22"/>
          <w:szCs w:val="22"/>
          <w:rtl w:val="0"/>
        </w:rPr>
        <w:t xml:space="preserve"> A UNA SOLICITUD DE ACCESO A LA INFORMACIÓN </w:t>
      </w:r>
      <w:r w:rsidDel="00000000" w:rsidR="00000000" w:rsidRPr="00000000">
        <w:rPr>
          <w:rFonts w:ascii="Palatino Linotype" w:cs="Palatino Linotype" w:eastAsia="Palatino Linotype" w:hAnsi="Palatino Linotype"/>
          <w:b w:val="1"/>
          <w:i w:val="1"/>
          <w:sz w:val="22"/>
          <w:szCs w:val="22"/>
          <w:u w:val="single"/>
          <w:rtl w:val="0"/>
        </w:rPr>
        <w:t xml:space="preserve">DENTRO DE LOS PLAZOS ESTABLECIDOS EN LA LEY</w:t>
      </w:r>
      <w:r w:rsidDel="00000000" w:rsidR="00000000" w:rsidRPr="00000000">
        <w:rPr>
          <w:rFonts w:ascii="Palatino Linotype" w:cs="Palatino Linotype" w:eastAsia="Palatino Linotype" w:hAnsi="Palatino Linotype"/>
          <w:i w:val="1"/>
          <w:sz w:val="22"/>
          <w:szCs w:val="22"/>
          <w:rtl w:val="0"/>
        </w:rPr>
        <w:t xml:space="preserve">.” (sic)</w:t>
      </w:r>
    </w:p>
    <w:p w:rsidR="00000000" w:rsidDel="00000000" w:rsidP="00000000" w:rsidRDefault="00000000" w:rsidRPr="00000000" w14:paraId="00000076">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Anexos: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adjuntó el archivo “</w:t>
      </w:r>
      <w:r w:rsidDel="00000000" w:rsidR="00000000" w:rsidRPr="00000000">
        <w:rPr>
          <w:rFonts w:ascii="Palatino Linotype" w:cs="Palatino Linotype" w:eastAsia="Palatino Linotype" w:hAnsi="Palatino Linotype"/>
          <w:i w:val="1"/>
          <w:rtl w:val="0"/>
        </w:rPr>
        <w:t xml:space="preserve">CAPULHUAC_RR_20221114_2S.pdf</w:t>
      </w:r>
      <w:r w:rsidDel="00000000" w:rsidR="00000000" w:rsidRPr="00000000">
        <w:rPr>
          <w:rFonts w:ascii="Palatino Linotype" w:cs="Palatino Linotype" w:eastAsia="Palatino Linotype" w:hAnsi="Palatino Linotype"/>
          <w:rtl w:val="0"/>
        </w:rPr>
        <w:t xml:space="preserve">”, que consiste en lo siguiente:</w:t>
      </w:r>
    </w:p>
    <w:p w:rsidR="00000000" w:rsidDel="00000000" w:rsidP="00000000" w:rsidRDefault="00000000" w:rsidRPr="00000000" w14:paraId="0000007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MI CARÁCTER DE PROMOVENTE, ANTE USTED CON EL DEBIDO RESPETO COMPAREZCO A EXPONER: </w:t>
      </w:r>
    </w:p>
    <w:p w:rsidR="00000000" w:rsidDel="00000000" w:rsidP="00000000" w:rsidRDefault="00000000" w:rsidRPr="00000000" w14:paraId="0000007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QUE ENCONTRANDOME EN TIEMPO Y FORMA Y CON FUNDAMENTO EN LOS ARTÍCULOS 142 Y 143 FRACCIÓN VI DE LA LEY GENERAL DE TRANSPARENCIA Y ACCESO A LA INFORMACIÓN PÚBLICA; ARTÍCULOS 178 Y 179 FRACCIÓN VII DE LA LEY DE TRANSPARENCIA Y ACCESO A LA INFORMACIÓN PÚBLICA DEL ESTADO DE MÉXICO Y MUNICIPIOS </w:t>
      </w:r>
      <w:r w:rsidDel="00000000" w:rsidR="00000000" w:rsidRPr="00000000">
        <w:rPr>
          <w:rFonts w:ascii="Palatino Linotype" w:cs="Palatino Linotype" w:eastAsia="Palatino Linotype" w:hAnsi="Palatino Linotype"/>
          <w:b w:val="1"/>
          <w:i w:val="1"/>
          <w:sz w:val="22"/>
          <w:szCs w:val="22"/>
          <w:u w:val="single"/>
          <w:rtl w:val="0"/>
        </w:rPr>
        <w:t xml:space="preserve">POR LA FALTA DE RESPUESTA A UNA SOLICITUD</w:t>
      </w:r>
      <w:r w:rsidDel="00000000" w:rsidR="00000000" w:rsidRPr="00000000">
        <w:rPr>
          <w:rFonts w:ascii="Palatino Linotype" w:cs="Palatino Linotype" w:eastAsia="Palatino Linotype" w:hAnsi="Palatino Linotype"/>
          <w:b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DE ACCESO A LA INFORMACIÓN </w:t>
      </w:r>
      <w:r w:rsidDel="00000000" w:rsidR="00000000" w:rsidRPr="00000000">
        <w:rPr>
          <w:rFonts w:ascii="Palatino Linotype" w:cs="Palatino Linotype" w:eastAsia="Palatino Linotype" w:hAnsi="Palatino Linotype"/>
          <w:b w:val="1"/>
          <w:i w:val="1"/>
          <w:sz w:val="22"/>
          <w:szCs w:val="22"/>
          <w:u w:val="single"/>
          <w:rtl w:val="0"/>
        </w:rPr>
        <w:t xml:space="preserve">DENTRO DE LOS PLAZOS ESTABLECIDOS EN LA LEY</w:t>
      </w:r>
      <w:r w:rsidDel="00000000" w:rsidR="00000000" w:rsidRPr="00000000">
        <w:rPr>
          <w:rFonts w:ascii="Palatino Linotype" w:cs="Palatino Linotype" w:eastAsia="Palatino Linotype" w:hAnsi="Palatino Linotype"/>
          <w:i w:val="1"/>
          <w:sz w:val="22"/>
          <w:szCs w:val="22"/>
          <w:rtl w:val="0"/>
        </w:rPr>
        <w:t xml:space="preserve"> DE ACUERDO A LO SIGUIENTE. </w:t>
      </w:r>
    </w:p>
    <w:p w:rsidR="00000000" w:rsidDel="00000000" w:rsidP="00000000" w:rsidRDefault="00000000" w:rsidRPr="00000000" w14:paraId="00000079">
      <w:pPr>
        <w:spacing w:after="120" w:before="12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ACLARACIONES</w:t>
      </w:r>
    </w:p>
    <w:p w:rsidR="00000000" w:rsidDel="00000000" w:rsidP="00000000" w:rsidRDefault="00000000" w:rsidRPr="00000000" w14:paraId="0000007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PRIMERO.</w:t>
      </w:r>
      <w:r w:rsidDel="00000000" w:rsidR="00000000" w:rsidRPr="00000000">
        <w:rPr>
          <w:rFonts w:ascii="Palatino Linotype" w:cs="Palatino Linotype" w:eastAsia="Palatino Linotype" w:hAnsi="Palatino Linotype"/>
          <w:i w:val="1"/>
          <w:sz w:val="22"/>
          <w:szCs w:val="22"/>
          <w:rtl w:val="0"/>
        </w:rPr>
        <w:t xml:space="preserve"> EL PRESIDENTE MUNICIPAL DE CAPULHUAC, ESTADO DE MÉXICO, ES EL PRIMER RESPONSABLE DE LOS ARCHIVOS DEL MISMO MUNICIPIO DE ACUERDO AL ARTÍCULO 16 DE LA LEY GENERAL DE ARCHIVOS Y ARTÍCULO 16 DE LA LEY DE ARCHIVOS Y ADMINISTRACIÓN DE DOCUMENTOS DEL ESTADO DE MÉXICO Y MUNICIPOS. SEGUNDO. EL DOCUMENTO ELECTRÓNICO ESTADO11.PDF LLAMADO “ANÁLISIS DE CUMPLIMIENTO MUNICIPAL DE NORMATIVIDAD ARCHIVÍSTICA” QUE SE ADJUNTÓ A LA SOLICITUD DE INFORMACIÓN PÚBLICA CON FOLIO 00155/CAPULHUA/IP/2022 EN LA CUAL SE DETALLA LO SOLICITADO CONSTA DE 53 PÁGINAS ÚTILES. ANTECEDENTES PRIMERO. CON FUNDAMENTO EN LAS LEYES APLICABLES VIGENTES EN CUESTIÓN DE TRANSPARENCIA Y ACCESO A LA INFORMACIÓN, SE PRESENTÓ LA SOLICITUD DE INFORMACIÓN PÚBLICA CON FOLIO 00155/CAPULHUA/IP/2022EL DÍA 14 DE OCTUBRE DEL 2022. (ANEXO 1). </w:t>
      </w:r>
    </w:p>
    <w:p w:rsidR="00000000" w:rsidDel="00000000" w:rsidP="00000000" w:rsidRDefault="00000000" w:rsidRPr="00000000" w14:paraId="0000007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NO SE RECIBIÓ RESPUESTA A LA SOLICITUD DE INFORMACIÓN PÚBLICA CON FOLIO 00155/CAPULHUA/IP/2022. </w:t>
      </w:r>
    </w:p>
    <w:p w:rsidR="00000000" w:rsidDel="00000000" w:rsidP="00000000" w:rsidRDefault="00000000" w:rsidRPr="00000000" w14:paraId="0000007C">
      <w:pPr>
        <w:spacing w:after="120" w:before="12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SEGUIMIENTO A LA SOLICITUD DE INFORMACIÓN PÚBLICA 00155/CAPULHUA/IP/2022</w:t>
      </w:r>
    </w:p>
    <w:p w:rsidR="00000000" w:rsidDel="00000000" w:rsidP="00000000" w:rsidRDefault="00000000" w:rsidRPr="00000000" w14:paraId="0000007D">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DERIVADO DE TODO LO ANTERIOR SE SOLICITA AL TITULAR DE LA UNIDAD DE TRANSPARENCIA DEL MUNICIPIO DE CAPULHUAC, ESTADO DE MÉXICO, DE LA MANERA MÁS ATENTA, LO SIGUIENTE. </w:t>
      </w:r>
    </w:p>
    <w:p w:rsidR="00000000" w:rsidDel="00000000" w:rsidP="00000000" w:rsidRDefault="00000000" w:rsidRPr="00000000" w14:paraId="0000007E">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PRIMERO.</w:t>
      </w:r>
      <w:r w:rsidDel="00000000" w:rsidR="00000000" w:rsidRPr="00000000">
        <w:rPr>
          <w:rFonts w:ascii="Palatino Linotype" w:cs="Palatino Linotype" w:eastAsia="Palatino Linotype" w:hAnsi="Palatino Linotype"/>
          <w:i w:val="1"/>
          <w:sz w:val="22"/>
          <w:szCs w:val="22"/>
          <w:rtl w:val="0"/>
        </w:rPr>
        <w:t xml:space="preserve"> CON FUNDAMENTO EN EL ARTÍCULO 16 DE LA LEY GENERAL DE ARCHIVOS Y ARTÍCULO 16 DE LA LEY DE ARCHIVOS Y ADMINISTRACIÓN DE DOCUMENTOS DEL ESTADO DE MÉXICO Y MUNICIPIOS, ENVIAR AL PRESIDENTE MUNICIPAL DE CAPULHUAC, ESTADO DE MÉXICO, EL PRESENTE RECURSO DE REVISIÓN PARA SU CONOCIMIENTO, HACIENDO LLEGAR A LA PROMOVENTE EN FORMATO PDF EL ACUSE DE RECIBO DEL OFICIO MEDIANTE EL CUAL SE INFORMÓ A LA PRESIDENCIA MUNICIPAL DE LA EXISTENCIA DEL PRESENTE RECURSO DE REVISIÓN, LO ANTERIOR COMO PARTE D ELA SOLICITUD DE INFORMACIÓN PÚBLICA EN COMENTO. </w:t>
      </w:r>
    </w:p>
    <w:p w:rsidR="00000000" w:rsidDel="00000000" w:rsidP="00000000" w:rsidRDefault="00000000" w:rsidRPr="00000000" w14:paraId="0000007F">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QUE HAGA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 </w:t>
      </w:r>
    </w:p>
    <w:p w:rsidR="00000000" w:rsidDel="00000000" w:rsidP="00000000" w:rsidRDefault="00000000" w:rsidRPr="00000000" w14:paraId="00000080">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LO ANTERIORMENTE EXPUESTO Y FUNDADO ANTE EL MUNICIPIO DE CAPULHUAC, ESTADO DE MÉXICO, SOLICITO SE SIRVA: </w:t>
      </w:r>
    </w:p>
    <w:p w:rsidR="00000000" w:rsidDel="00000000" w:rsidP="00000000" w:rsidRDefault="00000000" w:rsidRPr="00000000" w14:paraId="0000008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PRIMERO.</w:t>
      </w:r>
      <w:r w:rsidDel="00000000" w:rsidR="00000000" w:rsidRPr="00000000">
        <w:rPr>
          <w:rFonts w:ascii="Palatino Linotype" w:cs="Palatino Linotype" w:eastAsia="Palatino Linotype" w:hAnsi="Palatino Linotype"/>
          <w:i w:val="1"/>
          <w:sz w:val="22"/>
          <w:szCs w:val="22"/>
          <w:rtl w:val="0"/>
        </w:rPr>
        <w:t xml:space="preserve"> TENERME POR PRESENTADA EN LOS TÉRMINOS DEL PRESENTE ESCRITO. </w:t>
      </w:r>
    </w:p>
    <w:p w:rsidR="00000000" w:rsidDel="00000000" w:rsidP="00000000" w:rsidRDefault="00000000" w:rsidRPr="00000000" w14:paraId="0000008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INTERPONIENDO EN TIEMPO Y FORMA RECURSO DE REVISIÓN EN </w:t>
      </w:r>
      <w:r w:rsidDel="00000000" w:rsidR="00000000" w:rsidRPr="00000000">
        <w:rPr>
          <w:rFonts w:ascii="Palatino Linotype" w:cs="Palatino Linotype" w:eastAsia="Palatino Linotype" w:hAnsi="Palatino Linotype"/>
          <w:b w:val="1"/>
          <w:i w:val="1"/>
          <w:sz w:val="22"/>
          <w:szCs w:val="22"/>
          <w:u w:val="single"/>
          <w:rtl w:val="0"/>
        </w:rPr>
        <w:t xml:space="preserve">CONTRA DE LA FALTA DE RESPUESTA A LA SOLICITUD DE INFORMACIÓN</w:t>
      </w:r>
      <w:r w:rsidDel="00000000" w:rsidR="00000000" w:rsidRPr="00000000">
        <w:rPr>
          <w:rFonts w:ascii="Palatino Linotype" w:cs="Palatino Linotype" w:eastAsia="Palatino Linotype" w:hAnsi="Palatino Linotype"/>
          <w:i w:val="1"/>
          <w:sz w:val="22"/>
          <w:szCs w:val="22"/>
          <w:rtl w:val="0"/>
        </w:rPr>
        <w:t xml:space="preserve"> PÚBLICA CON FOLIO 00155/CAPULHUA/IP/2022. </w:t>
      </w:r>
    </w:p>
    <w:p w:rsidR="00000000" w:rsidDel="00000000" w:rsidP="00000000" w:rsidRDefault="00000000" w:rsidRPr="00000000" w14:paraId="00000083">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TERCERO</w:t>
      </w:r>
      <w:r w:rsidDel="00000000" w:rsidR="00000000" w:rsidRPr="00000000">
        <w:rPr>
          <w:rFonts w:ascii="Palatino Linotype" w:cs="Palatino Linotype" w:eastAsia="Palatino Linotype" w:hAnsi="Palatino Linotype"/>
          <w:i w:val="1"/>
          <w:sz w:val="22"/>
          <w:szCs w:val="22"/>
          <w:rtl w:val="0"/>
        </w:rPr>
        <w:t xml:space="preserve">. SE REVOQUE EL ACUERDO EN REVISIÓN EN SU PARTE CONDUCENTE...” (sic)</w:t>
      </w:r>
    </w:p>
    <w:p w:rsidR="00000000" w:rsidDel="00000000" w:rsidP="00000000" w:rsidRDefault="00000000" w:rsidRPr="00000000" w14:paraId="00000084">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agregó el acuse de la solicitud y los oficios referidos en el numeral anterior.</w:t>
      </w:r>
    </w:p>
    <w:p w:rsidR="00000000" w:rsidDel="00000000" w:rsidP="00000000" w:rsidRDefault="00000000" w:rsidRPr="00000000" w14:paraId="00000085">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4. Turno. </w:t>
      </w:r>
      <w:r w:rsidDel="00000000" w:rsidR="00000000" w:rsidRPr="00000000">
        <w:rPr>
          <w:rFonts w:ascii="Palatino Linotype" w:cs="Palatino Linotype" w:eastAsia="Palatino Linotype" w:hAnsi="Palatino Linotype"/>
          <w:rtl w:val="0"/>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Del="00000000" w:rsidR="00000000" w:rsidRPr="00000000">
        <w:rPr>
          <w:rFonts w:ascii="Palatino Linotype" w:cs="Palatino Linotype" w:eastAsia="Palatino Linotype" w:hAnsi="Palatino Linotype"/>
          <w:b w:val="1"/>
          <w:rtl w:val="0"/>
        </w:rPr>
        <w:t xml:space="preserve">Guadalupe Ramírez Peña, </w:t>
      </w:r>
      <w:r w:rsidDel="00000000" w:rsidR="00000000" w:rsidRPr="00000000">
        <w:rPr>
          <w:rFonts w:ascii="Palatino Linotype" w:cs="Palatino Linotype" w:eastAsia="Palatino Linotype" w:hAnsi="Palatino Linotype"/>
          <w:rtl w:val="0"/>
        </w:rPr>
        <w:t xml:space="preserve">a efecto de que analizara sobre su admisión o su desechamiento.</w:t>
      </w:r>
    </w:p>
    <w:p w:rsidR="00000000" w:rsidDel="00000000" w:rsidP="00000000" w:rsidRDefault="00000000" w:rsidRPr="00000000" w14:paraId="0000008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5. Admisión del Recurso de revisión.</w:t>
      </w:r>
      <w:r w:rsidDel="00000000" w:rsidR="00000000" w:rsidRPr="00000000">
        <w:rPr>
          <w:rFonts w:ascii="Palatino Linotype" w:cs="Palatino Linotype" w:eastAsia="Palatino Linotype" w:hAnsi="Palatino Linotype"/>
          <w:rtl w:val="0"/>
        </w:rPr>
        <w:t xml:space="preserve"> Con fecha</w:t>
      </w:r>
      <w:r w:rsidDel="00000000" w:rsidR="00000000" w:rsidRPr="00000000">
        <w:rPr>
          <w:rFonts w:ascii="Palatino Linotype" w:cs="Palatino Linotype" w:eastAsia="Palatino Linotype" w:hAnsi="Palatino Linotype"/>
          <w:b w:val="1"/>
          <w:rtl w:val="0"/>
        </w:rPr>
        <w:t xml:space="preserve"> diecisiete de noviembre de dos mil veintidós, </w:t>
      </w:r>
      <w:r w:rsidDel="00000000" w:rsidR="00000000" w:rsidRPr="00000000">
        <w:rPr>
          <w:rFonts w:ascii="Palatino Linotype" w:cs="Palatino Linotype" w:eastAsia="Palatino Linotype" w:hAnsi="Palatino Linotype"/>
          <w:rtl w:val="0"/>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presentara su informe justificado.</w:t>
      </w:r>
    </w:p>
    <w:p w:rsidR="00000000" w:rsidDel="00000000" w:rsidP="00000000" w:rsidRDefault="00000000" w:rsidRPr="00000000" w14:paraId="00000087">
      <w:pPr>
        <w:spacing w:after="240" w:before="240" w:line="360" w:lineRule="auto"/>
        <w:ind w:right="49"/>
        <w:jc w:val="both"/>
        <w:rPr>
          <w:rFonts w:ascii="Palatino Linotype" w:cs="Palatino Linotype" w:eastAsia="Palatino Linotype" w:hAnsi="Palatino Linotype"/>
        </w:rPr>
      </w:pPr>
      <w:bookmarkStart w:colFirst="0" w:colLast="0" w:name="_heading=h.2s8eyo1" w:id="5"/>
      <w:bookmarkEnd w:id="5"/>
      <w:r w:rsidDel="00000000" w:rsidR="00000000" w:rsidRPr="00000000">
        <w:rPr>
          <w:rFonts w:ascii="Palatino Linotype" w:cs="Palatino Linotype" w:eastAsia="Palatino Linotype" w:hAnsi="Palatino Linotype"/>
          <w:b w:val="1"/>
          <w:rtl w:val="0"/>
        </w:rPr>
        <w:t xml:space="preserve">6. Manifestaciones</w:t>
      </w:r>
      <w:r w:rsidDel="00000000" w:rsidR="00000000" w:rsidRPr="00000000">
        <w:rPr>
          <w:rFonts w:ascii="Palatino Linotype" w:cs="Palatino Linotype" w:eastAsia="Palatino Linotype" w:hAnsi="Palatino Linotype"/>
          <w:rtl w:val="0"/>
        </w:rPr>
        <w:t xml:space="preserve">. De las constancias que integran el expediente electrónico en que se actúa se advierte que en fecha </w:t>
      </w:r>
      <w:r w:rsidDel="00000000" w:rsidR="00000000" w:rsidRPr="00000000">
        <w:rPr>
          <w:rFonts w:ascii="Palatino Linotype" w:cs="Palatino Linotype" w:eastAsia="Palatino Linotype" w:hAnsi="Palatino Linotype"/>
          <w:b w:val="1"/>
          <w:rtl w:val="0"/>
        </w:rPr>
        <w:t xml:space="preserve">trece de diciembre de dos mil veintidós, </w:t>
      </w:r>
      <w:r w:rsidDel="00000000" w:rsidR="00000000" w:rsidRPr="00000000">
        <w:rPr>
          <w:rFonts w:ascii="Palatino Linotype" w:cs="Palatino Linotype" w:eastAsia="Palatino Linotype" w:hAnsi="Palatino Linotype"/>
          <w:rtl w:val="0"/>
        </w:rPr>
        <w:t xml:space="preserve">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remitió los mismos oficios que fueron entregados en respuesta a la solicitud de información, relacionados en el antecedente marcado con el número 2 de la presente resolución.</w:t>
      </w:r>
    </w:p>
    <w:p w:rsidR="00000000" w:rsidDel="00000000" w:rsidP="00000000" w:rsidRDefault="00000000" w:rsidRPr="00000000" w14:paraId="00000088">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Una vez analizados los documentos, se determinó hacerlo del conocimiento de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con la finalidad de que manifestara lo que a su derecho estimara conveniente, siendo omisa en ejercer dicha prerrogativa.</w:t>
      </w:r>
    </w:p>
    <w:p w:rsidR="00000000" w:rsidDel="00000000" w:rsidP="00000000" w:rsidRDefault="00000000" w:rsidRPr="00000000" w14:paraId="00000089">
      <w:pPr>
        <w:tabs>
          <w:tab w:val="left" w:leader="none" w:pos="5103"/>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7. Ampliación del término para resolver</w:t>
      </w:r>
      <w:r w:rsidDel="00000000" w:rsidR="00000000" w:rsidRPr="00000000">
        <w:rPr>
          <w:rFonts w:ascii="Palatino Linotype" w:cs="Palatino Linotype" w:eastAsia="Palatino Linotype" w:hAnsi="Palatino Linotype"/>
          <w:rtl w:val="0"/>
        </w:rPr>
        <w:t xml:space="preserve">. En fecha </w:t>
      </w:r>
      <w:r w:rsidDel="00000000" w:rsidR="00000000" w:rsidRPr="00000000">
        <w:rPr>
          <w:rFonts w:ascii="Palatino Linotype" w:cs="Palatino Linotype" w:eastAsia="Palatino Linotype" w:hAnsi="Palatino Linotype"/>
          <w:b w:val="1"/>
          <w:rtl w:val="0"/>
        </w:rPr>
        <w:t xml:space="preserve">veintiuno de febrero de dos mil veintitrés</w:t>
      </w:r>
      <w:r w:rsidDel="00000000" w:rsidR="00000000" w:rsidRPr="00000000">
        <w:rPr>
          <w:rFonts w:ascii="Palatino Linotype" w:cs="Palatino Linotype" w:eastAsia="Palatino Linotype" w:hAnsi="Palatino Linotype"/>
          <w:rtl w:val="0"/>
        </w:rPr>
        <w:t xml:space="preserve">, se amplió el término para resolver el recurso de revisión en términos del artículo 181 párrafo tercero de la Ley de Transparencia y Acceso a la Información Pública del Estado de México y Municipios. </w:t>
      </w:r>
    </w:p>
    <w:p w:rsidR="00000000" w:rsidDel="00000000" w:rsidP="00000000" w:rsidRDefault="00000000" w:rsidRPr="00000000" w14:paraId="0000008A">
      <w:pPr>
        <w:spacing w:after="240" w:before="240" w:line="360" w:lineRule="auto"/>
        <w:jc w:val="both"/>
        <w:rPr>
          <w:rFonts w:ascii="Palatino Linotype" w:cs="Palatino Linotype" w:eastAsia="Palatino Linotype" w:hAnsi="Palatino Linotype"/>
        </w:rPr>
      </w:pPr>
      <w:bookmarkStart w:colFirst="0" w:colLast="0" w:name="_heading=h.2p2csry" w:id="6"/>
      <w:bookmarkEnd w:id="6"/>
      <w:r w:rsidDel="00000000" w:rsidR="00000000" w:rsidRPr="00000000">
        <w:rPr>
          <w:rFonts w:ascii="Palatino Linotype" w:cs="Palatino Linotype" w:eastAsia="Palatino Linotype" w:hAnsi="Palatino Linotype"/>
          <w:rtl w:val="0"/>
        </w:rPr>
        <w:t xml:space="preserve">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rsidR="00000000" w:rsidDel="00000000" w:rsidP="00000000" w:rsidRDefault="00000000" w:rsidRPr="00000000" w14:paraId="0000008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000000" w:rsidDel="00000000" w:rsidP="00000000" w:rsidRDefault="00000000" w:rsidRPr="00000000" w14:paraId="0000008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000000" w:rsidDel="00000000" w:rsidP="00000000" w:rsidRDefault="00000000" w:rsidRPr="00000000" w14:paraId="0000008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000000" w:rsidDel="00000000" w:rsidP="00000000" w:rsidRDefault="00000000" w:rsidRPr="00000000" w14:paraId="0000008E">
      <w:pPr>
        <w:spacing w:after="240" w:before="240" w:line="360" w:lineRule="auto"/>
        <w:jc w:val="both"/>
        <w:rPr>
          <w:rFonts w:ascii="Palatino Linotype" w:cs="Palatino Linotype" w:eastAsia="Palatino Linotype" w:hAnsi="Palatino Linotype"/>
          <w:strike w:val="1"/>
        </w:rPr>
      </w:pPr>
      <w:r w:rsidDel="00000000" w:rsidR="00000000" w:rsidRPr="00000000">
        <w:rPr>
          <w:rFonts w:ascii="Palatino Linotype" w:cs="Palatino Linotype" w:eastAsia="Palatino Linotype" w:hAnsi="Palatino Linotype"/>
          <w:rtl w:val="0"/>
        </w:rPr>
        <w:t xml:space="preserve">Por ello, excepcionalmente, si un asunto es resuelto con posterioridad a los plazos señalados por la norma debe analizarse la razonabilidad del tiempo necesario para su resolución atentos a los siguientes criterios: </w:t>
      </w:r>
      <w:r w:rsidDel="00000000" w:rsidR="00000000" w:rsidRPr="00000000">
        <w:rPr>
          <w:rtl w:val="0"/>
        </w:rPr>
      </w:r>
    </w:p>
    <w:p w:rsidR="00000000" w:rsidDel="00000000" w:rsidP="00000000" w:rsidRDefault="00000000" w:rsidRPr="00000000" w14:paraId="0000008F">
      <w:pPr>
        <w:numPr>
          <w:ilvl w:val="0"/>
          <w:numId w:val="1"/>
        </w:numPr>
        <w:tabs>
          <w:tab w:val="left" w:leader="none" w:pos="993"/>
        </w:tabs>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Complejidad del Asunto: La complejidad de la prueba, la pluralidad de sujetos procesales, el tiempo transcurrido, las características y contexto del recurso. </w:t>
      </w:r>
    </w:p>
    <w:p w:rsidR="00000000" w:rsidDel="00000000" w:rsidP="00000000" w:rsidRDefault="00000000" w:rsidRPr="00000000" w14:paraId="00000090">
      <w:pPr>
        <w:numPr>
          <w:ilvl w:val="0"/>
          <w:numId w:val="1"/>
        </w:numPr>
        <w:tabs>
          <w:tab w:val="left" w:leader="none" w:pos="993"/>
        </w:tabs>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Actividad Procesal del interesado. Acciones u omisiones del interesado.</w:t>
      </w:r>
    </w:p>
    <w:p w:rsidR="00000000" w:rsidDel="00000000" w:rsidP="00000000" w:rsidRDefault="00000000" w:rsidRPr="00000000" w14:paraId="00000091">
      <w:pPr>
        <w:numPr>
          <w:ilvl w:val="0"/>
          <w:numId w:val="1"/>
        </w:numPr>
        <w:tabs>
          <w:tab w:val="left" w:leader="none" w:pos="993"/>
        </w:tabs>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Conducta de la Autoridad: Las Acciones u omisiones realizadas en el procedimiento. Así como si la autoridad actuó con la debida diligencia.</w:t>
      </w:r>
    </w:p>
    <w:p w:rsidR="00000000" w:rsidDel="00000000" w:rsidP="00000000" w:rsidRDefault="00000000" w:rsidRPr="00000000" w14:paraId="00000092">
      <w:pPr>
        <w:numPr>
          <w:ilvl w:val="0"/>
          <w:numId w:val="1"/>
        </w:numPr>
        <w:tabs>
          <w:tab w:val="left" w:leader="none" w:pos="993"/>
        </w:tabs>
        <w:spacing w:after="240" w:before="240" w:line="360" w:lineRule="auto"/>
        <w:ind w:left="567"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afectación generada en la situación jurídica de la persona involucrada en el proceso: Violación a sus derechos humanos.</w:t>
      </w:r>
    </w:p>
    <w:p w:rsidR="00000000" w:rsidDel="00000000" w:rsidP="00000000" w:rsidRDefault="00000000" w:rsidRPr="00000000" w14:paraId="0000009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000000" w:rsidDel="00000000" w:rsidP="00000000" w:rsidRDefault="00000000" w:rsidRPr="00000000" w14:paraId="00000094">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Argumento que encuentra sustento en la jurisprudencia P./J. 32/92 emitida por el Pleno de la Suprema Corte de Justicia de la Nación de rubro </w:t>
      </w:r>
      <w:r w:rsidDel="00000000" w:rsidR="00000000" w:rsidRPr="00000000">
        <w:rPr>
          <w:rFonts w:ascii="Palatino Linotype" w:cs="Palatino Linotype" w:eastAsia="Palatino Linotype" w:hAnsi="Palatino Linotype"/>
          <w:i w:val="1"/>
          <w:rtl w:val="0"/>
        </w:rPr>
        <w:t xml:space="preserve">“TÉRMINOS PROCESALES. PARA DETERMINAR SI UN FUNCIONARIO JUDICIAL ACTUÓ INDEBIDAMENTE POR NO RESPETARLOS SE DEBE ATENDER AL PRESUPUESTO QUE CONSIDERÓ EL LEGISLADOR AL FIJARLOS Y LAS CARACTERÍSTICAS DEL CASO.”</w:t>
      </w:r>
      <w:r w:rsidDel="00000000" w:rsidR="00000000" w:rsidRPr="00000000">
        <w:rPr>
          <w:rFonts w:ascii="Palatino Linotype" w:cs="Palatino Linotype" w:eastAsia="Palatino Linotype" w:hAnsi="Palatino Linotype"/>
          <w:rtl w:val="0"/>
        </w:rPr>
        <w:t xml:space="preserve">, visible en la Gaceta del Seminario Judicial de la Federación con el registro digital 205635.</w:t>
      </w:r>
      <w:r w:rsidDel="00000000" w:rsidR="00000000" w:rsidRPr="00000000">
        <w:rPr>
          <w:rtl w:val="0"/>
        </w:rPr>
      </w:r>
    </w:p>
    <w:p w:rsidR="00000000" w:rsidDel="00000000" w:rsidP="00000000" w:rsidRDefault="00000000" w:rsidRPr="00000000" w14:paraId="0000009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000000" w:rsidDel="00000000" w:rsidP="00000000" w:rsidRDefault="00000000" w:rsidRPr="00000000" w14:paraId="0000009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Al respecto, también son de considerar los criterios sostenidos por el Cuarto Tribunal Colegiado en Materia Administrativa del Primer Circuito, cuyos rubros y datos de identificación son los siguientes:</w:t>
      </w:r>
    </w:p>
    <w:p w:rsidR="00000000" w:rsidDel="00000000" w:rsidP="00000000" w:rsidRDefault="00000000" w:rsidRPr="00000000" w14:paraId="00000097">
      <w:pPr>
        <w:spacing w:after="240" w:before="240" w:lineRule="auto"/>
        <w:ind w:left="851" w:right="90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“PLAZO RAZONABLE PARA RESOLVER. DIMENSIÓN Y EFECTOS DE ESTE CONCEPTO CUANDO SE ADUCE EXCESIVA CARGA DE TRABAJO</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sz w:val="22"/>
          <w:szCs w:val="22"/>
          <w:rtl w:val="0"/>
        </w:rPr>
        <w:t xml:space="preserve"> consultable en el Seminario Judicial de la Federación y su gaceta, con el registro digital 2002351.</w:t>
      </w:r>
    </w:p>
    <w:p w:rsidR="00000000" w:rsidDel="00000000" w:rsidP="00000000" w:rsidRDefault="00000000" w:rsidRPr="00000000" w14:paraId="00000098">
      <w:pPr>
        <w:spacing w:after="240" w:before="240" w:lineRule="auto"/>
        <w:ind w:left="851" w:right="900" w:firstLine="0"/>
        <w:jc w:val="both"/>
        <w:rPr>
          <w:rFonts w:ascii="Palatino Linotype" w:cs="Palatino Linotype" w:eastAsia="Palatino Linotype" w:hAnsi="Palatino Linotype"/>
          <w:sz w:val="22"/>
          <w:szCs w:val="22"/>
        </w:rPr>
      </w:pPr>
      <w:r w:rsidDel="00000000" w:rsidR="00000000" w:rsidRPr="00000000">
        <w:rPr>
          <w:rFonts w:ascii="Palatino Linotype" w:cs="Palatino Linotype" w:eastAsia="Palatino Linotype" w:hAnsi="Palatino Linotype"/>
          <w:b w:val="1"/>
          <w:i w:val="1"/>
          <w:sz w:val="22"/>
          <w:szCs w:val="22"/>
          <w:rtl w:val="0"/>
        </w:rPr>
        <w:t xml:space="preserve">“PLAZO RAZONABLE PARA RESOLVER. CONCEPTO Y ELEMENTOS QUE LO INTEGRAN A LA LUZ DEL DERECHO INTERNACIONAL DE LOS DERECHOS HUMANOS.”</w:t>
      </w:r>
      <w:r w:rsidDel="00000000" w:rsidR="00000000" w:rsidRPr="00000000">
        <w:rPr>
          <w:rFonts w:ascii="Palatino Linotype" w:cs="Palatino Linotype" w:eastAsia="Palatino Linotype" w:hAnsi="Palatino Linotype"/>
          <w:sz w:val="22"/>
          <w:szCs w:val="22"/>
          <w:rtl w:val="0"/>
        </w:rPr>
        <w:t xml:space="preserve">, visible en el Seminario Judicial de la Federación y su gaceta, con el registro digital 2002350.</w:t>
      </w:r>
    </w:p>
    <w:p w:rsidR="00000000" w:rsidDel="00000000" w:rsidP="00000000" w:rsidRDefault="00000000" w:rsidRPr="00000000" w14:paraId="00000099">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ello, este organismo garante comprometido con la tutela de los derechos humanos confiados, señala que este exceso del plazo legal para resolver el presente asunto, resulta de carácter excepcional.</w:t>
      </w:r>
    </w:p>
    <w:p w:rsidR="00000000" w:rsidDel="00000000" w:rsidP="00000000" w:rsidRDefault="00000000" w:rsidRPr="00000000" w14:paraId="0000009A">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8. Cierre de instrucción. </w:t>
      </w:r>
      <w:r w:rsidDel="00000000" w:rsidR="00000000" w:rsidRPr="00000000">
        <w:rPr>
          <w:rFonts w:ascii="Palatino Linotype" w:cs="Palatino Linotype" w:eastAsia="Palatino Linotype" w:hAnsi="Palatino Linotype"/>
          <w:rtl w:val="0"/>
        </w:rPr>
        <w:t xml:space="preserve">Una vez transcurrido el periodo otorgado a las partes para realizar sus manifestaciones y no habiendo documentos que integrar al expediente, con fecha </w:t>
      </w:r>
      <w:r w:rsidDel="00000000" w:rsidR="00000000" w:rsidRPr="00000000">
        <w:rPr>
          <w:rFonts w:ascii="Palatino Linotype" w:cs="Palatino Linotype" w:eastAsia="Palatino Linotype" w:hAnsi="Palatino Linotype"/>
          <w:b w:val="1"/>
          <w:rtl w:val="0"/>
        </w:rPr>
        <w:t xml:space="preserve">veintiuno de febrero de dos mil veintitrés</w:t>
      </w:r>
      <w:r w:rsidDel="00000000" w:rsidR="00000000" w:rsidRPr="00000000">
        <w:rPr>
          <w:rFonts w:ascii="Palatino Linotype" w:cs="Palatino Linotype" w:eastAsia="Palatino Linotype" w:hAnsi="Palatino Linotype"/>
          <w:rtl w:val="0"/>
        </w:rPr>
        <w:t xml:space="preserve">, la Comisionada Ponente determinó el cierre de instrucción en términos de la fracción VI del artículo 185 de la Ley de Transparencia y Acceso a la Información Pública del Estado de México y Municipios.</w:t>
      </w:r>
      <w:r w:rsidDel="00000000" w:rsidR="00000000" w:rsidRPr="00000000">
        <w:rPr>
          <w:rtl w:val="0"/>
        </w:rPr>
      </w:r>
    </w:p>
    <w:p w:rsidR="00000000" w:rsidDel="00000000" w:rsidP="00000000" w:rsidRDefault="00000000" w:rsidRPr="00000000" w14:paraId="0000009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razón de que fue debidamente sustanciado el expediente electrónico y no existe diligencia pendiente de desahogo, se emite la Resolución que conforme a Derecho proceda, de acuerdo con los siguientes: </w:t>
      </w:r>
    </w:p>
    <w:p w:rsidR="00000000" w:rsidDel="00000000" w:rsidP="00000000" w:rsidRDefault="00000000" w:rsidRPr="00000000" w14:paraId="0000009C">
      <w:pPr>
        <w:widowControl w:val="0"/>
        <w:spacing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 C O N S I D E R A N D O S</w:t>
      </w:r>
    </w:p>
    <w:p w:rsidR="00000000" w:rsidDel="00000000" w:rsidP="00000000" w:rsidRDefault="00000000" w:rsidRPr="00000000" w14:paraId="0000009D">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Primero. Competencia.</w:t>
      </w:r>
      <w:r w:rsidDel="00000000" w:rsidR="00000000" w:rsidRPr="00000000">
        <w:rPr>
          <w:rFonts w:ascii="Palatino Linotype" w:cs="Palatino Linotype" w:eastAsia="Palatino Linotype" w:hAnsi="Palatino Linotype"/>
          <w:rtl w:val="0"/>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000000" w:rsidDel="00000000" w:rsidP="00000000" w:rsidRDefault="00000000" w:rsidRPr="00000000" w14:paraId="0000009E">
      <w:pPr>
        <w:spacing w:after="240" w:before="240" w:line="360" w:lineRule="auto"/>
        <w:jc w:val="both"/>
        <w:rPr>
          <w:rFonts w:ascii="Palatino Linotype" w:cs="Palatino Linotype" w:eastAsia="Palatino Linotype" w:hAnsi="Palatino Linotype"/>
        </w:rPr>
      </w:pPr>
      <w:bookmarkStart w:colFirst="0" w:colLast="0" w:name="_heading=h.tyjcwt" w:id="7"/>
      <w:bookmarkEnd w:id="7"/>
      <w:r w:rsidDel="00000000" w:rsidR="00000000" w:rsidRPr="00000000">
        <w:rPr>
          <w:rFonts w:ascii="Palatino Linotype" w:cs="Palatino Linotype" w:eastAsia="Palatino Linotype" w:hAnsi="Palatino Linotype"/>
          <w:b w:val="1"/>
          <w:rtl w:val="0"/>
        </w:rPr>
        <w:t xml:space="preserve">Segundo. Oportunidad y Procedibilidad del Recurso de Revisión</w:t>
      </w:r>
      <w:r w:rsidDel="00000000" w:rsidR="00000000" w:rsidRPr="00000000">
        <w:rPr>
          <w:rFonts w:ascii="Palatino Linotype" w:cs="Palatino Linotype" w:eastAsia="Palatino Linotype" w:hAnsi="Palatino Linotype"/>
          <w:rtl w:val="0"/>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000000" w:rsidDel="00000000" w:rsidP="00000000" w:rsidRDefault="00000000" w:rsidRPr="00000000" w14:paraId="0000009F">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El recurso de revisión fue interpuesto dentro del plazo de quince días hábiles, previsto en el artículo 178 de la Ley de Transparencia y Acceso a la Información Pública del Estado de México y Municipios, toda vez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remitió la respuesta a la solicitud de información el día </w:t>
      </w:r>
      <w:r w:rsidDel="00000000" w:rsidR="00000000" w:rsidRPr="00000000">
        <w:rPr>
          <w:rFonts w:ascii="Palatino Linotype" w:cs="Palatino Linotype" w:eastAsia="Palatino Linotype" w:hAnsi="Palatino Linotype"/>
          <w:b w:val="1"/>
          <w:rtl w:val="0"/>
        </w:rPr>
        <w:t xml:space="preserve">cuatro de noviembre de dos mil veintidós, </w:t>
      </w:r>
      <w:r w:rsidDel="00000000" w:rsidR="00000000" w:rsidRPr="00000000">
        <w:rPr>
          <w:rFonts w:ascii="Palatino Linotype" w:cs="Palatino Linotype" w:eastAsia="Palatino Linotype" w:hAnsi="Palatino Linotype"/>
          <w:rtl w:val="0"/>
        </w:rPr>
        <w:t xml:space="preserve">mientras que el recurso de revisión interpuesto por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tuvo por presentado el día </w:t>
      </w:r>
      <w:r w:rsidDel="00000000" w:rsidR="00000000" w:rsidRPr="00000000">
        <w:rPr>
          <w:rFonts w:ascii="Palatino Linotype" w:cs="Palatino Linotype" w:eastAsia="Palatino Linotype" w:hAnsi="Palatino Linotype"/>
          <w:b w:val="1"/>
          <w:rtl w:val="0"/>
        </w:rPr>
        <w:t xml:space="preserve">catorce de noviembre de dos mil veintidós</w:t>
      </w:r>
      <w:r w:rsidDel="00000000" w:rsidR="00000000" w:rsidRPr="00000000">
        <w:rPr>
          <w:rFonts w:ascii="Palatino Linotype" w:cs="Palatino Linotype" w:eastAsia="Palatino Linotype" w:hAnsi="Palatino Linotype"/>
          <w:rtl w:val="0"/>
        </w:rPr>
        <w:t xml:space="preserve">, esto es, al sexto día hábil en que tuvo conocimiento de la respuesta impugnada.</w:t>
      </w:r>
    </w:p>
    <w:p w:rsidR="00000000" w:rsidDel="00000000" w:rsidP="00000000" w:rsidRDefault="00000000" w:rsidRPr="00000000" w14:paraId="000000A0">
      <w:pPr>
        <w:spacing w:after="240" w:before="240" w:line="360" w:lineRule="auto"/>
        <w:jc w:val="both"/>
        <w:rPr>
          <w:rFonts w:ascii="Palatino Linotype" w:cs="Palatino Linotype" w:eastAsia="Palatino Linotype" w:hAnsi="Palatino Linotype"/>
        </w:rPr>
      </w:pPr>
      <w:bookmarkStart w:colFirst="0" w:colLast="0" w:name="_heading=h.3znysh7" w:id="8"/>
      <w:bookmarkEnd w:id="8"/>
      <w:r w:rsidDel="00000000" w:rsidR="00000000" w:rsidRPr="00000000">
        <w:rPr>
          <w:rFonts w:ascii="Palatino Linotype" w:cs="Palatino Linotype" w:eastAsia="Palatino Linotype" w:hAnsi="Palatino Linotype"/>
          <w:rtl w:val="0"/>
        </w:rPr>
        <w:t xml:space="preserve">En este sentido, al considerar la fecha en que se formuló la solicitud y la fecha en que respondió a ésta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así como la fecha en que se interpuso el recurso de revisión, se concluye que el presente recurso de revisión se encuentra dentro de los márgenes temporales previstos las disposiciones legales referidas.</w:t>
      </w:r>
    </w:p>
    <w:p w:rsidR="00000000" w:rsidDel="00000000" w:rsidP="00000000" w:rsidRDefault="00000000" w:rsidRPr="00000000" w14:paraId="000000A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000000" w:rsidDel="00000000" w:rsidP="00000000" w:rsidRDefault="00000000" w:rsidRPr="00000000" w14:paraId="000000A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se advierte que resulta procedente la interposición del recurso, según lo manifestado por el recurrente en sus motivos de inconformidad, de acuerdo al artículo 179, fracción VII del ordenamiento legal citado, que a la letra dice: </w:t>
      </w:r>
    </w:p>
    <w:p w:rsidR="00000000" w:rsidDel="00000000" w:rsidP="00000000" w:rsidRDefault="00000000" w:rsidRPr="00000000" w14:paraId="000000A3">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0A4">
      <w:pPr>
        <w:spacing w:after="120" w:before="120" w:lineRule="auto"/>
        <w:ind w:left="993"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0A5">
      <w:pPr>
        <w:spacing w:after="120" w:before="120" w:lineRule="auto"/>
        <w:ind w:left="993"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 </w:t>
      </w:r>
      <w:r w:rsidDel="00000000" w:rsidR="00000000" w:rsidRPr="00000000">
        <w:rPr>
          <w:rFonts w:ascii="Palatino Linotype" w:cs="Palatino Linotype" w:eastAsia="Palatino Linotype" w:hAnsi="Palatino Linotype"/>
          <w:i w:val="1"/>
          <w:sz w:val="22"/>
          <w:szCs w:val="22"/>
          <w:rtl w:val="0"/>
        </w:rPr>
        <w:t xml:space="preserve">La falta de respuesta a una solicitud de acceso a la información;”</w:t>
      </w:r>
    </w:p>
    <w:p w:rsidR="00000000" w:rsidDel="00000000" w:rsidP="00000000" w:rsidRDefault="00000000" w:rsidRPr="00000000" w14:paraId="000000A6">
      <w:pPr>
        <w:spacing w:after="240" w:before="240" w:line="360" w:lineRule="auto"/>
        <w:jc w:val="both"/>
        <w:rPr/>
      </w:pPr>
      <w:r w:rsidDel="00000000" w:rsidR="00000000" w:rsidRPr="00000000">
        <w:rPr>
          <w:rFonts w:ascii="Palatino Linotype" w:cs="Palatino Linotype" w:eastAsia="Palatino Linotype" w:hAnsi="Palatino Linotype"/>
          <w:b w:val="1"/>
          <w:rtl w:val="0"/>
        </w:rPr>
        <w:t xml:space="preserve">Tercero. Análisis de las causales de improcedencia y sobreseimiento del recurso de revisión.</w:t>
      </w:r>
      <w:r w:rsidDel="00000000" w:rsidR="00000000" w:rsidRPr="00000000">
        <w:rPr>
          <w:rtl w:val="0"/>
        </w:rPr>
        <w:t xml:space="preserve"> </w:t>
      </w:r>
      <w:r w:rsidDel="00000000" w:rsidR="00000000" w:rsidRPr="00000000">
        <w:rPr>
          <w:rFonts w:ascii="Palatino Linotype" w:cs="Palatino Linotype" w:eastAsia="Palatino Linotype" w:hAnsi="Palatino Linotype"/>
          <w:rtl w:val="0"/>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r w:rsidDel="00000000" w:rsidR="00000000" w:rsidRPr="00000000">
        <w:rPr>
          <w:rtl w:val="0"/>
        </w:rPr>
      </w:r>
    </w:p>
    <w:p w:rsidR="00000000" w:rsidDel="00000000" w:rsidP="00000000" w:rsidRDefault="00000000" w:rsidRPr="00000000" w14:paraId="000000A7">
      <w:pPr>
        <w:spacing w:after="240" w:before="240" w:line="360" w:lineRule="auto"/>
        <w:jc w:val="both"/>
        <w:rPr/>
      </w:pPr>
      <w:r w:rsidDel="00000000" w:rsidR="00000000" w:rsidRPr="00000000">
        <w:rPr>
          <w:rFonts w:ascii="Palatino Linotype" w:cs="Palatino Linotype" w:eastAsia="Palatino Linotype" w:hAnsi="Palatino Linotype"/>
          <w:rtl w:val="0"/>
        </w:rPr>
        <w:t xml:space="preserve">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r w:rsidDel="00000000" w:rsidR="00000000" w:rsidRPr="00000000">
        <w:rPr>
          <w:rtl w:val="0"/>
        </w:rPr>
      </w:r>
    </w:p>
    <w:p w:rsidR="00000000" w:rsidDel="00000000" w:rsidP="00000000" w:rsidRDefault="00000000" w:rsidRPr="00000000" w14:paraId="000000A8">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manera preliminar en el caso concreto conviene analizar si se actualiza alguna de las causales de sobreseimiento del recurso de revisión.</w:t>
      </w:r>
    </w:p>
    <w:p w:rsidR="00000000" w:rsidDel="00000000" w:rsidP="00000000" w:rsidRDefault="00000000" w:rsidRPr="00000000" w14:paraId="000000A9">
      <w:pPr>
        <w:spacing w:after="240" w:before="240" w:line="360" w:lineRule="auto"/>
        <w:ind w:right="51"/>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del análisis de la solicitud de información motivo del recurso de revisión que ahora se resuelve, se advierte que la parte solicitante requirió al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le proporcione información consistente en lo siguiente:</w:t>
      </w:r>
    </w:p>
    <w:p w:rsidR="00000000" w:rsidDel="00000000" w:rsidP="00000000" w:rsidRDefault="00000000" w:rsidRPr="00000000" w14:paraId="000000AA">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“CON FUNDAMENTO EN LOS ARTÍCULOS 1, 4, 5 PÁRRAFO SEGUNDO, 6, 12, 13, 15, 16, 17, 18, 23, 121, 122, 124 Y 125 DE LA LEY GENERAL DE TRANSPARENCIA Y ACCESO A LA INFORMACIÓN PÚBLICA; ARTÍCULOS 2 FRACCIÓN II, 4, 7, 11, 12, 15, 16, 17, 18, 19, 20, 21, 22, 23, FRACCIÓN IV Y XI, 24 FRACCIÓN IV, XI, XXII Y XXIII, 150, 152, 153, 155, 156, 160, 167 Y 173 DE LA LEY DE TRANSPARENCIA Y ACCESO A LA INFORMACIÓN PÚBLICA DEL ESTADO DE MÉXICO Y MUNICIPIOS; ARTÍCULOS 1, 6, 7 Y 8 DE LA LEY GENERAL DE ARCHIVOS; ARTÍCULO SEGUNDO DE LOS LINEAMIENTOS PARA LA ORGANIZACIÓN Y CONSERVACIÓN DE LOS ARCHIVOS; ARTÍCULOS 1, 6, 7 Y 8 DE LA LEY DE ARCHIVOS Y ADMINISTRACIÓN DE DOCUMENTOS DEL ESTADO DE MÉXICO Y MUNICIPIOS Y ARTÍCULO 54 DE LA LEY DE GOBIERNO DIGITAL DEL ESTADO DE MÉXICO Y MUNICIPIOS ME PERMITO SOLICITAR DE LA MANERA MÁS ATENTA LA SIGUIENTE INFORMACIÓN PÚBLICA COMO SE INDICA, ASÍ COMO ATENDER LAS SIGUIENTES. </w:t>
      </w:r>
    </w:p>
    <w:p w:rsidR="00000000" w:rsidDel="00000000" w:rsidP="00000000" w:rsidRDefault="00000000" w:rsidRPr="00000000" w14:paraId="000000AB">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ACLARACIONES:</w:t>
      </w:r>
    </w:p>
    <w:p w:rsidR="00000000" w:rsidDel="00000000" w:rsidP="00000000" w:rsidRDefault="00000000" w:rsidRPr="00000000" w14:paraId="000000AC">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 EL PRESENTE DOCUMENTO TIENE COMO NOMBRE “ANÁLISIS DE CUMPLIMIENTO MUNICIPAL DE NORMATIVIDAD ARCHIVÍSTICA”. </w:t>
      </w:r>
    </w:p>
    <w:p w:rsidR="00000000" w:rsidDel="00000000" w:rsidP="00000000" w:rsidRDefault="00000000" w:rsidRPr="00000000" w14:paraId="000000AD">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2. CON RESPECTO A TODA LA INFORMACIÓN PÚBLICA REQUERIDA EN EL PRESENTE DOCUMENTO EN EL MARCO DE LA NORMATIVIDAD DE LAS LEYES DE TRANSPARENCIA GENERAL Y ESTATAL, SE SOLICITA DE LA MANERA MÁS ATENTA SEA REMITIDA EN FORMATO PDF AL CORREO ELECTRÓNICO INDICADO. </w:t>
      </w:r>
    </w:p>
    <w:p w:rsidR="00000000" w:rsidDel="00000000" w:rsidP="00000000" w:rsidRDefault="00000000" w:rsidRPr="00000000" w14:paraId="000000AE">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3. TODAS LAS PREGUNTAS Y SOLICITUDES DE INFORMACIÓN PÚBLICA EXPRESADAS EN EL PRESENTE DOCUMENTO TIENEN FUNDAMENTO EN LA NORMATIVIDAD APLICABLE VIGENTE EN CUESTIÓN DE ARCHIVÍSTICA PARA EL ESTADO DE MÉXICO Y SUS MUNICIPIOS. LA NORMATIVIDAD MENCIONADA OBLIGA AL CUMPLIMIENTO DE LA MISMA A TODOS LOS SUJETOS OBLIGADOS QUE SE ENUNCIAN EN CADA UNA DE ELLAS. </w:t>
      </w:r>
    </w:p>
    <w:p w:rsidR="00000000" w:rsidDel="00000000" w:rsidP="00000000" w:rsidRDefault="00000000" w:rsidRPr="00000000" w14:paraId="000000AF">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4. CON FUNDAMENTO EN EL ARTÍCULO 1 DE LA LEY GENERAL DE TRANSPARENCIA Y ACCESO A LA INFORMACIÓN PÚBLICA; ARTÍCULO 1 DE LA LEY DE TRANSPARENCIA Y ACCESO A LA INFORMACIÓN PÚBLICA DEL ESTADO DE MÉXICO Y MUNICIPIOS; ARTÍCULO 1 DE LA LEY GENERAL DE ARCHIVOS; ARTÍCULO 2 DE LOS LINEAMIENTOS PARA LA ORGANIZACIÓN Y CONSERVACIÓN DE ARCHIVOS Y ARTÍCULO 1 DE LA LEY DE ARCHIVOS Y ADMINISTRACIÓN DE DOCUMENTOS DEL ESTADO DE MÉXICO Y MUNICIPIOS; SE RECONOCE QUE LA NORMATIVIDAD APLICABLE VIGENTE EN CUESTIÓN DE ARCHIVÍSTICA PARA EL ESTADO DE MÉXICO ES DE ÓRDEN PÚBLICO E INTERÉS GENERAL. </w:t>
      </w:r>
    </w:p>
    <w:p w:rsidR="00000000" w:rsidDel="00000000" w:rsidP="00000000" w:rsidRDefault="00000000" w:rsidRPr="00000000" w14:paraId="000000B0">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5. LAS PREGUNTAS Y SOLICITUDES DE INFORMACIÓN PÚBLICA EXPRESADAS EN EL PRESENTE DOCUMENTO ESTÁN DIRIGIDAS AL TITULAR DEL ÁREA COORDINADORA DE ARCHIVOS DE SU MUNICIPIO O EN SU CASO, AL TITULAR DE LA UNIDAD ADMINISTRATIVA QUE HACE LA LABOR DEL ÁREA COORDINADORA DE ARCHIVOS, EXCEPTUANDO AQUELLAS EN DONDE SE INDICA ESPECÍFICAMENTE A QUIEN VAN DIRIGIDAS LAS MISMAS. </w:t>
      </w:r>
    </w:p>
    <w:p w:rsidR="00000000" w:rsidDel="00000000" w:rsidP="00000000" w:rsidRDefault="00000000" w:rsidRPr="00000000" w14:paraId="000000B1">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6. TODAS LAS PREGUNTAS Y SOLICITUDES DE INFORMACIÓN PÚBLICA EXPRESADAS EN EL PRESENTE DOCUMENTO, ESTÁN RELACIONADAS CON LAS ACTIVIDADES ARCHIVISTICAS LLEVADAS A CABO EN SU MUNICIPIO EN EL CUMPLIMIENTO DE LA NORMATIVIDAD APLICABLE VIGENTE EN CUESTIÓN DE ARCHIVÍSTICA DURANTE EL TRANSCURSO DEL AÑO 2022.</w:t>
      </w:r>
    </w:p>
    <w:p w:rsidR="00000000" w:rsidDel="00000000" w:rsidP="00000000" w:rsidRDefault="00000000" w:rsidRPr="00000000" w14:paraId="000000B2">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7. EN CASO DE QUE LA INFORMACIÓN SOLICITADA NO SE ENCUENTRE EN LOS ARCHIVOS DEL SUJETO OBLIGADO, SE SOLICITA DE LA MANERA MÁS ATENTA, SE PROCEDA CONFORME A LO INDICADO EN LOS ARTÍCULOS 138 Y 139 DE LA LEY GENERAL DE TRANSPARENCIA Y ACCESO A LA INFORMACIÓN PÚBLICA Y ARTÍCULOS 169 Y 170 DE LA LEY DE TRANSPARENCIA Y ACCESO A LA INFORMACIÓN PÚBLICA DEL ESTADO DE MÉXICO Y MUNICIPIOS, HACIENDO LLEGAR UNA COPIA DEL ACTA QUE ELABORE EL COMITÉ DE TRANSPARENCIA PARA EL CASO MENCIONADO. LO ANTERIOR PARA CADA CASO EN QUE NO SE ENCUENTRE LA INFORMACIÓN SOLICITADA, YA SEA POR SEPARADO O EN CONJUNTO, COMO LO DETERMINE EL COMITÉ DE TRANSPARENCIA. </w:t>
      </w:r>
    </w:p>
    <w:p w:rsidR="00000000" w:rsidDel="00000000" w:rsidP="00000000" w:rsidRDefault="00000000" w:rsidRPr="00000000" w14:paraId="000000B3">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8. EN CASO DE QUE EL SUJETO OBLIGADO SEA INCOMPETENTE PARA ATENDER LA PRESENTE SOLICITUD DE INFORMACIÓN PÚBLICA, SE SOLICITA DE LA MANERA MÁS ATENTA, SE PROCEDA CONFORME A LO INDICADO EN EL ARTÍCULO 136 DE LA LEY GENERAL DE TRANSPARENCIA Y ACCESO A LA INFORMACIÓN PÚBLICA Y AL ARTÍCULO 167 DE LA LEY DE TRANSPARENCIA Y ACCESO A LA INFORMACIÓN PÚBLICA DEL ESTADO DE MÉXICO Y MUNICIPIOS. </w:t>
      </w:r>
    </w:p>
    <w:p w:rsidR="00000000" w:rsidDel="00000000" w:rsidP="00000000" w:rsidRDefault="00000000" w:rsidRPr="00000000" w14:paraId="000000B4">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9. EN EL PRESENTE DOCUMENTO NO SE ESTÁ SOLICITANDO INFORMACIÓN NI DOCUMENTACIÓN CLASIFICADA COMO RESERVADA Y/O CONFIDENCIAL. EN CASO DE QUE EL SUJETO OBLIGADO CONSIDERE QUE LA INFORMACIÓN O DOCUMENTOS SOLICITADOS EN EL PRESENTE DOCUMENTO DEBAN SER CLASIFICADOS; SE SOLICITA DE LA MANERA MÁS ATENTA SE PROCEDA CONFORME A LO INDICADO EN EL ARTÍCULO 137 DE LA LEY GENERAL DE TRANSPARENCIA Y ACCESO A LA INFORMACIÓN PÚBLICA Y AL ARTÍCULO 168 DE LA LEY DE TRANSPARENCIA Y ACCESO A LA INFORMACIÓN PÚBLICA DEL ESTADO DE MÉXICO Y MUNICIPIOS, NOTIFICANDO LA RESOLUCIÓN AL ENTE SOLICITANTE EN LOS TÉRMINOS QUE EL MISMO ARTÍCULO DISPONE. </w:t>
      </w:r>
    </w:p>
    <w:p w:rsidR="00000000" w:rsidDel="00000000" w:rsidP="00000000" w:rsidRDefault="00000000" w:rsidRPr="00000000" w14:paraId="000000B5">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10. SE SOLICITA DE LA MANERA MÁS ATENTA SE CONTESTEN TODAS Y CADA UNA DE LAS PREGUNTAS DEL PRESENTE DOCUMENTO.</w:t>
      </w:r>
    </w:p>
    <w:p w:rsidR="00000000" w:rsidDel="00000000" w:rsidP="00000000" w:rsidRDefault="00000000" w:rsidRPr="00000000" w14:paraId="000000B6">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11. EL ENTE SOLICITANTE SE RESERVA EL DERECHO DE EJERCER EL RECURSO DE REVISIÓN EN TÉRMINOS DE LO DISPUESTO EN LOS ARTÍCULOS 142, 143 Y 144 DE LA LEY GENERAL DE TRANSPARENCIA Y ACCESO A LA INFORMACIÓN PÚBLICA Y ARTÍCULOS 176, 177, 178, 179, Y 180 DE LA LEY DE TRANSPARENCIA Y ACCESO A LA INFORMACIÓN PÚBLICA DEL ESTADO DE MÉXICO Y MUNICPIOS EN CASO DE QUE ALGUNA Y/O TODAS LAS RESPUESTAS DEL SUJETO OBLIGADO ESTEN EN DENTRO DE LOS SUPUESTOS DEL ARTÍCULO 143 DE LA LEY GENERAL DE TRANSPARENCIA Y ACCESO A LA INFORMACIÓN PÚBLICA Y ARTÍCULO 179 DE LA LEY DE TRANSPARENCIA Y ACCESO A LA INFORMACIÓN PÚBLICA DEL ESTADO DE MÉXICO Y MUNICPIOS. </w:t>
      </w:r>
    </w:p>
    <w:p w:rsidR="00000000" w:rsidDel="00000000" w:rsidP="00000000" w:rsidRDefault="00000000" w:rsidRPr="00000000" w14:paraId="000000B7">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12. EL ENTE SOLICITANTE SE RESERVA EL DERECHO DE EJERCER EL RECURSO DE INCONFORMIDAD ANTE EL INSTITUTO NACIONAL Y/O ANTE EL PODER JUDICIAL DE LA FEDERACIÓN EN CASO QUE LA RESOLUCIÓN A LOS RECURSOS DE REVISIÓN EMANADOS DE LAS SOLICITUD DE INFORMACIÓN Y DOCUMENTACIÓN DEL PRESENTE DOCUMENTO ENTREN EN LOS SUPUESTOS DEL ARTÍCULO 160 DE LA LEY GENERAL DE TRANSPARENCIA Y ACCESO A LA INFORMACIÓN PÚBLICA Y EL ARTÍCULO 196 DE LA LEY DE TRANSPARENCIA Y ACCESO A LA INFORMACIÓN PÚBLICA DEL ESTADO DE MÉXICO Y MUNICIPIOS.</w:t>
      </w:r>
    </w:p>
    <w:p w:rsidR="00000000" w:rsidDel="00000000" w:rsidP="00000000" w:rsidRDefault="00000000" w:rsidRPr="00000000" w14:paraId="000000B8">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13. EL ENTE SOLICITANTE SE RESERVA EL DERECHO DE SOLICITAR LA ATRACCIÓN DE LOS RECURSOS DE REVISIÓN HACIA EL PLENO DEL INSTITUTO, CUANDO EL SUJETO OBLIGADO NO ATIENDA LA SOLICITUD DE INFORMACIÓN Y DOCUMENTACIÓN EXPRESADAS EN EL PRESENTE DOCUMENTO COMO LO ESTABLECE LA LEY APLICABLE VIGENTE EN CUESTIÓN DE TRANSPARENCIA; TODO ELLO EN TÉRMINOS DE LO DISPUESTO EN LOS ARTÍCULOS 181 Y 182 DE LA LEY GENERAL DE TRANSPARENCIA Y ACCESO A LA INFORMACIÓN PÚBLICA, Y ARTÍCULO 197 DE LA LEY DE TRANSPARENCIA Y ACCESO DE A LA INFORMACIÓN PÚBLICA DEL ESTADO DE MÉXICO Y MUNICIPIOS. </w:t>
      </w:r>
    </w:p>
    <w:p w:rsidR="00000000" w:rsidDel="00000000" w:rsidP="00000000" w:rsidRDefault="00000000" w:rsidRPr="00000000" w14:paraId="000000B9">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14. ESTA ES LA NORMATIVIDAD APLICABLE VIGENTE EN CUESTIÓN DE ARCHIVÍSTICA EN LA CUAL SE BASAN LAS PREGUNTAS Y SOLICITUDES DE INFORMACIÓN PÚBLICA DEL PRESENTE DOCUMENTO: </w:t>
      </w:r>
    </w:p>
    <w:p w:rsidR="00000000" w:rsidDel="00000000" w:rsidP="00000000" w:rsidRDefault="00000000" w:rsidRPr="00000000" w14:paraId="000000BA">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LEY GENERAL DE TRANSPARENCIA Y ACCESO A LA INFORMACIÓN PÚBLICA. </w:t>
      </w:r>
    </w:p>
    <w:p w:rsidR="00000000" w:rsidDel="00000000" w:rsidP="00000000" w:rsidRDefault="00000000" w:rsidRPr="00000000" w14:paraId="000000BB">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B. LEY DE TRANSPARENCIA Y ACCESO A LA INFORMACIÓN PÚBLICA DEL ESTADO DE MÉXICO Y MUNICIPOS. </w:t>
      </w:r>
    </w:p>
    <w:p w:rsidR="00000000" w:rsidDel="00000000" w:rsidP="00000000" w:rsidRDefault="00000000" w:rsidRPr="00000000" w14:paraId="000000BC">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 LEY GENERAL DE ARCHIVOS. </w:t>
      </w:r>
    </w:p>
    <w:p w:rsidR="00000000" w:rsidDel="00000000" w:rsidP="00000000" w:rsidRDefault="00000000" w:rsidRPr="00000000" w14:paraId="000000BD">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 LINEAMIENTOS PARA LA ORGANIZACIÓN Y CONSERVACIÓN DE LOS ARCHIVOS. </w:t>
      </w:r>
    </w:p>
    <w:p w:rsidR="00000000" w:rsidDel="00000000" w:rsidP="00000000" w:rsidRDefault="00000000" w:rsidRPr="00000000" w14:paraId="000000BE">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 LEY DE ARCHIVOS Y ADMINISTRACIÓN DE DOCUMENTOS DEL ESTADO DE MÉXICO Y MUNICIPIOS. </w:t>
      </w:r>
    </w:p>
    <w:p w:rsidR="00000000" w:rsidDel="00000000" w:rsidP="00000000" w:rsidRDefault="00000000" w:rsidRPr="00000000" w14:paraId="000000BF">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F. LINEAMIENTOS PARA LA ADMINISTRACIÓN DE DOCUMENTOS EN EL ESTADO DE MÉXICO. </w:t>
      </w:r>
    </w:p>
    <w:p w:rsidR="00000000" w:rsidDel="00000000" w:rsidP="00000000" w:rsidRDefault="00000000" w:rsidRPr="00000000" w14:paraId="000000C0">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G. LINEAMIENTOS PARA LA VALORACIÓN, SELECCIÓN Y BAJA DE LOS DOCUMENTOS, EXPEDIENTES Y SERIES DE TRÁMITE CONCLUIDO EN LOS ARCHIVOS DEL ESTADO DE MÉXICO. </w:t>
      </w:r>
    </w:p>
    <w:p w:rsidR="00000000" w:rsidDel="00000000" w:rsidP="00000000" w:rsidRDefault="00000000" w:rsidRPr="00000000" w14:paraId="000000C1">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H. LA LEY DE GOBIERNO DIGITAL DEL ESTADO DE MÉXICO Y MUNICIPIOS. </w:t>
      </w:r>
    </w:p>
    <w:p w:rsidR="00000000" w:rsidDel="00000000" w:rsidP="00000000" w:rsidRDefault="00000000" w:rsidRPr="00000000" w14:paraId="000000C2">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I. REGLAMENTO DE LA LEY DE GOBIERNO DIGITAL DEL ESTADO DE MÉXICO Y MUNICIPIOS? </w:t>
      </w:r>
    </w:p>
    <w:p w:rsidR="00000000" w:rsidDel="00000000" w:rsidP="00000000" w:rsidRDefault="00000000" w:rsidRPr="00000000" w14:paraId="000000C3">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15. EL PRESENTE DOCUMENTO CONSTA DE 53 PÁGINAS ÚTILES.</w:t>
      </w:r>
    </w:p>
    <w:p w:rsidR="00000000" w:rsidDel="00000000" w:rsidP="00000000" w:rsidRDefault="00000000" w:rsidRPr="00000000" w14:paraId="000000C4">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SECCIÓN 1</w:t>
      </w:r>
    </w:p>
    <w:p w:rsidR="00000000" w:rsidDel="00000000" w:rsidP="00000000" w:rsidRDefault="00000000" w:rsidRPr="00000000" w14:paraId="000000C5">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ÓRGANOS ARCHIVÍSTICOS</w:t>
      </w:r>
    </w:p>
    <w:p w:rsidR="00000000" w:rsidDel="00000000" w:rsidP="00000000" w:rsidRDefault="00000000" w:rsidRPr="00000000" w14:paraId="000000C6">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 ÁREA COORDINADORA DE ARCHIVOS</w:t>
      </w:r>
    </w:p>
    <w:p w:rsidR="00000000" w:rsidDel="00000000" w:rsidP="00000000" w:rsidRDefault="00000000" w:rsidRPr="00000000" w14:paraId="000000C7">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8">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 SISTEMA INSTITUCIONAL DE ARCHIVOS</w:t>
      </w:r>
    </w:p>
    <w:p w:rsidR="00000000" w:rsidDel="00000000" w:rsidP="00000000" w:rsidRDefault="00000000" w:rsidRPr="00000000" w14:paraId="000000C9">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A">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3 GRUPO INTERDISCIPLINARIO</w:t>
      </w:r>
    </w:p>
    <w:p w:rsidR="00000000" w:rsidDel="00000000" w:rsidP="00000000" w:rsidRDefault="00000000" w:rsidRPr="00000000" w14:paraId="000000CB">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C">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4 SISTEMA DE ADMINISTRACIÓN DE ARCHIVOS Y GESTIÓN DOCUMENTAL</w:t>
      </w:r>
    </w:p>
    <w:p w:rsidR="00000000" w:rsidDel="00000000" w:rsidP="00000000" w:rsidRDefault="00000000" w:rsidRPr="00000000" w14:paraId="000000CD">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CE">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5 COMITÉ DE TRANSPARENCIA</w:t>
      </w:r>
    </w:p>
    <w:p w:rsidR="00000000" w:rsidDel="00000000" w:rsidP="00000000" w:rsidRDefault="00000000" w:rsidRPr="00000000" w14:paraId="000000CF">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0">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6 COMITÉ DE SELECCIÓN DOCUMENTAL</w:t>
      </w:r>
    </w:p>
    <w:p w:rsidR="00000000" w:rsidDel="00000000" w:rsidP="00000000" w:rsidRDefault="00000000" w:rsidRPr="00000000" w14:paraId="000000D1">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2">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7 CUADRO GENERAL DE CLASIFICACIÓN ARCHIVÍSTICA (CGCA)</w:t>
      </w:r>
    </w:p>
    <w:p w:rsidR="00000000" w:rsidDel="00000000" w:rsidP="00000000" w:rsidRDefault="00000000" w:rsidRPr="00000000" w14:paraId="000000D3">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4">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8 CATÁLOGO DE DISPOSICIÓN DOCUMENTAL (CADIDO)</w:t>
      </w:r>
    </w:p>
    <w:p w:rsidR="00000000" w:rsidDel="00000000" w:rsidP="00000000" w:rsidRDefault="00000000" w:rsidRPr="00000000" w14:paraId="000000D5">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6">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9 INVENTARIOS DE ARCHIVO DE TRÁMITE, CONCENTRACIÓN E HISTÓRICO</w:t>
      </w:r>
    </w:p>
    <w:p w:rsidR="00000000" w:rsidDel="00000000" w:rsidP="00000000" w:rsidRDefault="00000000" w:rsidRPr="00000000" w14:paraId="000000D7">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8">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10 GUÍA DE ARCHIVO DOCUMENTAL</w:t>
      </w:r>
    </w:p>
    <w:p w:rsidR="00000000" w:rsidDel="00000000" w:rsidP="00000000" w:rsidRDefault="00000000" w:rsidRPr="00000000" w14:paraId="000000D9">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A">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11 INDICE DE EXPEDIENTES CLASIFICADOS COMO RESERVADOS</w:t>
      </w:r>
    </w:p>
    <w:p w:rsidR="00000000" w:rsidDel="00000000" w:rsidP="00000000" w:rsidRDefault="00000000" w:rsidRPr="00000000" w14:paraId="000000DB">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DC">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12 CALENDARIO DE CADUCIDADES</w:t>
      </w:r>
    </w:p>
    <w:p w:rsidR="00000000" w:rsidDel="00000000" w:rsidP="00000000" w:rsidRDefault="00000000" w:rsidRPr="00000000" w14:paraId="000000DD">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SECCIÓN 3</w:t>
      </w:r>
    </w:p>
    <w:p w:rsidR="00000000" w:rsidDel="00000000" w:rsidP="00000000" w:rsidRDefault="00000000" w:rsidRPr="00000000" w14:paraId="000000DE">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TIPOS DE ARCHIVOS</w:t>
      </w:r>
    </w:p>
    <w:p w:rsidR="00000000" w:rsidDel="00000000" w:rsidP="00000000" w:rsidRDefault="00000000" w:rsidRPr="00000000" w14:paraId="000000DF">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13 ARCHIVOS DE TRÁMITE</w:t>
      </w:r>
    </w:p>
    <w:p w:rsidR="00000000" w:rsidDel="00000000" w:rsidP="00000000" w:rsidRDefault="00000000" w:rsidRPr="00000000" w14:paraId="000000E0">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E1">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14 ARCHIVO DE CONCENTRACIÓN</w:t>
      </w:r>
    </w:p>
    <w:p w:rsidR="00000000" w:rsidDel="00000000" w:rsidP="00000000" w:rsidRDefault="00000000" w:rsidRPr="00000000" w14:paraId="000000E2">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E3">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15 ARCHIVO HISTÓRICO</w:t>
      </w:r>
    </w:p>
    <w:p w:rsidR="00000000" w:rsidDel="00000000" w:rsidP="00000000" w:rsidRDefault="00000000" w:rsidRPr="00000000" w14:paraId="000000E4">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SECCIÓN 4</w:t>
      </w:r>
    </w:p>
    <w:p w:rsidR="00000000" w:rsidDel="00000000" w:rsidP="00000000" w:rsidRDefault="00000000" w:rsidRPr="00000000" w14:paraId="000000E5">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ACTIVIDADES ARCHIVÍSTICAS</w:t>
      </w:r>
    </w:p>
    <w:p w:rsidR="00000000" w:rsidDel="00000000" w:rsidP="00000000" w:rsidRDefault="00000000" w:rsidRPr="00000000" w14:paraId="000000E6">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16 PROGRAMA ANUAL DE DESARROLLO ARCHIVÍSTICO</w:t>
      </w:r>
    </w:p>
    <w:p w:rsidR="00000000" w:rsidDel="00000000" w:rsidP="00000000" w:rsidRDefault="00000000" w:rsidRPr="00000000" w14:paraId="000000E7">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E8">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17 PROGRAMA DE PRESERVACIÓN DIGITAL</w:t>
      </w:r>
    </w:p>
    <w:p w:rsidR="00000000" w:rsidDel="00000000" w:rsidP="00000000" w:rsidRDefault="00000000" w:rsidRPr="00000000" w14:paraId="000000E9">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tl w:val="0"/>
        </w:rPr>
      </w:r>
    </w:p>
    <w:p w:rsidR="00000000" w:rsidDel="00000000" w:rsidP="00000000" w:rsidRDefault="00000000" w:rsidRPr="00000000" w14:paraId="000000EA">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18 SEGURIDAD DE LA INFORMACIÓN</w:t>
      </w:r>
    </w:p>
    <w:p w:rsidR="00000000" w:rsidDel="00000000" w:rsidP="00000000" w:rsidRDefault="00000000" w:rsidRPr="00000000" w14:paraId="000000EB">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EC">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19 SEGURIDAD DE DOCUMENTOS ELECTRÓNICOS Y EXPEDIENTES DIGITALES</w:t>
      </w:r>
    </w:p>
    <w:p w:rsidR="00000000" w:rsidDel="00000000" w:rsidP="00000000" w:rsidRDefault="00000000" w:rsidRPr="00000000" w14:paraId="000000ED">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EE">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20 ARCHIVACIÓN</w:t>
      </w:r>
    </w:p>
    <w:p w:rsidR="00000000" w:rsidDel="00000000" w:rsidP="00000000" w:rsidRDefault="00000000" w:rsidRPr="00000000" w14:paraId="000000EF">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0">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21 TRANSFERENCIA PRIMARIA</w:t>
      </w:r>
    </w:p>
    <w:p w:rsidR="00000000" w:rsidDel="00000000" w:rsidP="00000000" w:rsidRDefault="00000000" w:rsidRPr="00000000" w14:paraId="000000F1">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2">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22 TRANSFERENCIA SECUNDARIA</w:t>
      </w:r>
    </w:p>
    <w:p w:rsidR="00000000" w:rsidDel="00000000" w:rsidP="00000000" w:rsidRDefault="00000000" w:rsidRPr="00000000" w14:paraId="000000F3">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4">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23 DIGITALIZACIÓN</w:t>
      </w:r>
    </w:p>
    <w:p w:rsidR="00000000" w:rsidDel="00000000" w:rsidP="00000000" w:rsidRDefault="00000000" w:rsidRPr="00000000" w14:paraId="000000F5">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6">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24 SELECCIÓN FINAL</w:t>
      </w:r>
    </w:p>
    <w:p w:rsidR="00000000" w:rsidDel="00000000" w:rsidP="00000000" w:rsidRDefault="00000000" w:rsidRPr="00000000" w14:paraId="000000F7">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8">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25 ADMINISTRACIÓN DE ARCHIVOS DE TRÁMITE</w:t>
      </w:r>
    </w:p>
    <w:p w:rsidR="00000000" w:rsidDel="00000000" w:rsidP="00000000" w:rsidRDefault="00000000" w:rsidRPr="00000000" w14:paraId="000000F9">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A">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26 CAPACITACIÓN ARCHIVÍSTICA</w:t>
      </w:r>
    </w:p>
    <w:p w:rsidR="00000000" w:rsidDel="00000000" w:rsidP="00000000" w:rsidRDefault="00000000" w:rsidRPr="00000000" w14:paraId="000000FB">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C">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27 PRÉSTAMO DE DOCUMENTOS</w:t>
      </w:r>
    </w:p>
    <w:p w:rsidR="00000000" w:rsidDel="00000000" w:rsidP="00000000" w:rsidRDefault="00000000" w:rsidRPr="00000000" w14:paraId="000000FD">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0FE">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28 DIFUSIÓN</w:t>
      </w:r>
    </w:p>
    <w:p w:rsidR="00000000" w:rsidDel="00000000" w:rsidP="00000000" w:rsidRDefault="00000000" w:rsidRPr="00000000" w14:paraId="000000FF">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00">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29 SEGURIDAD EN LOS ARCHIVOS</w:t>
      </w:r>
    </w:p>
    <w:p w:rsidR="00000000" w:rsidDel="00000000" w:rsidP="00000000" w:rsidRDefault="00000000" w:rsidRPr="00000000" w14:paraId="00000101">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SECCIÓN 5</w:t>
      </w:r>
    </w:p>
    <w:p w:rsidR="00000000" w:rsidDel="00000000" w:rsidP="00000000" w:rsidRDefault="00000000" w:rsidRPr="00000000" w14:paraId="00000102">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CONTROL DE ARCHIVOS</w:t>
      </w:r>
    </w:p>
    <w:p w:rsidR="00000000" w:rsidDel="00000000" w:rsidP="00000000" w:rsidRDefault="00000000" w:rsidRPr="00000000" w14:paraId="00000103">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30 REGISTRO NACIONAL DE ARCHIVOS </w:t>
      </w:r>
    </w:p>
    <w:p w:rsidR="00000000" w:rsidDel="00000000" w:rsidP="00000000" w:rsidRDefault="00000000" w:rsidRPr="00000000" w14:paraId="00000104">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05">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31 ENTREGA-RECEPCIÓN DE ARCHIVOS </w:t>
      </w:r>
    </w:p>
    <w:p w:rsidR="00000000" w:rsidDel="00000000" w:rsidP="00000000" w:rsidRDefault="00000000" w:rsidRPr="00000000" w14:paraId="00000106">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07">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32 DOCUMENTACIÓN CLASIFICADA </w:t>
      </w:r>
    </w:p>
    <w:p w:rsidR="00000000" w:rsidDel="00000000" w:rsidP="00000000" w:rsidRDefault="00000000" w:rsidRPr="00000000" w14:paraId="00000108">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09">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33 DOCUMENTACIÓN SINIESTRADA </w:t>
      </w:r>
    </w:p>
    <w:p w:rsidR="00000000" w:rsidDel="00000000" w:rsidP="00000000" w:rsidRDefault="00000000" w:rsidRPr="00000000" w14:paraId="0000010A">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0B">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NUMERAL 34 CONTROL DE ARCHIVOS</w:t>
      </w:r>
    </w:p>
    <w:p w:rsidR="00000000" w:rsidDel="00000000" w:rsidP="00000000" w:rsidRDefault="00000000" w:rsidRPr="00000000" w14:paraId="0000010C">
      <w:pPr>
        <w:spacing w:after="120" w:before="12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 (Sic)</w:t>
      </w:r>
    </w:p>
    <w:p w:rsidR="00000000" w:rsidDel="00000000" w:rsidP="00000000" w:rsidRDefault="00000000" w:rsidRPr="00000000" w14:paraId="0000010D">
      <w:pPr>
        <w:spacing w:after="120" w:before="120" w:lineRule="auto"/>
        <w:ind w:right="-234"/>
        <w:jc w:val="both"/>
        <w:rPr/>
      </w:pPr>
      <w:r w:rsidDel="00000000" w:rsidR="00000000" w:rsidRPr="00000000">
        <w:rPr>
          <w:rtl w:val="0"/>
        </w:rPr>
      </w:r>
    </w:p>
    <w:p w:rsidR="00000000" w:rsidDel="00000000" w:rsidP="00000000" w:rsidRDefault="00000000" w:rsidRPr="00000000" w14:paraId="0000010E">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respuesta,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 través del Titular de Transparencia, Acceso a la Información Pública Municipal y Protección de Datos Personales, hizo del conocimiento de la persona solicitante, en términos del artículo 12 de la Ley de Transparencia y Acceso a la Información Pública del Estado de México y Municipios, que el Ayuntamiento no está obligado a realizar un procesamiento para proporcionar la información para proporcionar la información como se solicita, así como el pronunciamiento vertido por el Secretario del Ayuntamiento, en los términos precisados en el antecedente 1 de la presente resolución.</w:t>
      </w:r>
    </w:p>
    <w:p w:rsidR="00000000" w:rsidDel="00000000" w:rsidP="00000000" w:rsidRDefault="00000000" w:rsidRPr="00000000" w14:paraId="0000010F">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Conocida la respuesta por la persona solicitante, al no estar conforme con los términos de la misma, interpuso el recurso de revisión que nos ocupa, mediante el cual señaló como motivo de inconformidad: “</w:t>
      </w:r>
      <w:r w:rsidDel="00000000" w:rsidR="00000000" w:rsidRPr="00000000">
        <w:rPr>
          <w:rFonts w:ascii="Palatino Linotype" w:cs="Palatino Linotype" w:eastAsia="Palatino Linotype" w:hAnsi="Palatino Linotype"/>
          <w:b w:val="1"/>
          <w:i w:val="1"/>
          <w:u w:val="single"/>
          <w:rtl w:val="0"/>
        </w:rPr>
        <w:t xml:space="preserve">POR LA FALTA DE RESPUESTA</w:t>
      </w:r>
      <w:r w:rsidDel="00000000" w:rsidR="00000000" w:rsidRPr="00000000">
        <w:rPr>
          <w:rFonts w:ascii="Palatino Linotype" w:cs="Palatino Linotype" w:eastAsia="Palatino Linotype" w:hAnsi="Palatino Linotype"/>
          <w:i w:val="1"/>
          <w:rtl w:val="0"/>
        </w:rPr>
        <w:t xml:space="preserve"> A UNA SOLICITUD DE ACCESO A LA INFORMACIÓN </w:t>
      </w:r>
      <w:r w:rsidDel="00000000" w:rsidR="00000000" w:rsidRPr="00000000">
        <w:rPr>
          <w:rFonts w:ascii="Palatino Linotype" w:cs="Palatino Linotype" w:eastAsia="Palatino Linotype" w:hAnsi="Palatino Linotype"/>
          <w:b w:val="1"/>
          <w:i w:val="1"/>
          <w:u w:val="single"/>
          <w:rtl w:val="0"/>
        </w:rPr>
        <w:t xml:space="preserve">DENTRO DE LOS PLAZOS ESTABLECIDOS EN LA LEY.”</w:t>
      </w:r>
      <w:r w:rsidDel="00000000" w:rsidR="00000000" w:rsidRPr="00000000">
        <w:rPr>
          <w:rFonts w:ascii="Palatino Linotype" w:cs="Palatino Linotype" w:eastAsia="Palatino Linotype" w:hAnsi="Palatino Linotype"/>
          <w:rtl w:val="0"/>
        </w:rPr>
        <w:t xml:space="preserve"> </w:t>
      </w:r>
    </w:p>
    <w:p w:rsidR="00000000" w:rsidDel="00000000" w:rsidP="00000000" w:rsidRDefault="00000000" w:rsidRPr="00000000" w14:paraId="00000110">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agregó un archivo mediante el cual detalla sus motivos de inconformidad en los siguientes términos:</w:t>
      </w:r>
    </w:p>
    <w:p w:rsidR="00000000" w:rsidDel="00000000" w:rsidP="00000000" w:rsidRDefault="00000000" w:rsidRPr="00000000" w14:paraId="0000011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MI CARÁCTER DE PROMOVENTE, ANTE USTED CON EL DEBIDO RESPETO COMPAREZCO A EXPONER: </w:t>
      </w:r>
    </w:p>
    <w:p w:rsidR="00000000" w:rsidDel="00000000" w:rsidP="00000000" w:rsidRDefault="00000000" w:rsidRPr="00000000" w14:paraId="0000011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QUE ENCONTRANDOME EN TIEMPO Y FORMA Y CON FUNDAMENTO EN LOS ARTÍCULOS 142 Y 143 FRACCIÓN VI DE LA LEY GENERAL DE TRANSPARENCIA Y ACCESO A LA INFORMACIÓN PÚBLICA; ARTÍCULOS 178 Y 179 FRACCIÓN VII DE LA LEY DE TRANSPARENCIA Y ACCESO A LA INFORMACIÓN PÚBLICA DEL ESTADO DE MÉXICO Y MUNICIPIOS </w:t>
      </w:r>
      <w:r w:rsidDel="00000000" w:rsidR="00000000" w:rsidRPr="00000000">
        <w:rPr>
          <w:rFonts w:ascii="Palatino Linotype" w:cs="Palatino Linotype" w:eastAsia="Palatino Linotype" w:hAnsi="Palatino Linotype"/>
          <w:b w:val="1"/>
          <w:i w:val="1"/>
          <w:sz w:val="22"/>
          <w:szCs w:val="22"/>
          <w:u w:val="single"/>
          <w:rtl w:val="0"/>
        </w:rPr>
        <w:t xml:space="preserve">POR LA FALTA DE RESPUESTA A UNA SOLICITUD</w:t>
      </w:r>
      <w:r w:rsidDel="00000000" w:rsidR="00000000" w:rsidRPr="00000000">
        <w:rPr>
          <w:rFonts w:ascii="Palatino Linotype" w:cs="Palatino Linotype" w:eastAsia="Palatino Linotype" w:hAnsi="Palatino Linotype"/>
          <w:b w:val="1"/>
          <w:i w:val="1"/>
          <w:sz w:val="22"/>
          <w:szCs w:val="22"/>
          <w:rtl w:val="0"/>
        </w:rPr>
        <w:t xml:space="preserve"> </w:t>
      </w:r>
      <w:r w:rsidDel="00000000" w:rsidR="00000000" w:rsidRPr="00000000">
        <w:rPr>
          <w:rFonts w:ascii="Palatino Linotype" w:cs="Palatino Linotype" w:eastAsia="Palatino Linotype" w:hAnsi="Palatino Linotype"/>
          <w:i w:val="1"/>
          <w:sz w:val="22"/>
          <w:szCs w:val="22"/>
          <w:rtl w:val="0"/>
        </w:rPr>
        <w:t xml:space="preserve">DE ACCESO A LA INFORMACIÓN </w:t>
      </w:r>
      <w:r w:rsidDel="00000000" w:rsidR="00000000" w:rsidRPr="00000000">
        <w:rPr>
          <w:rFonts w:ascii="Palatino Linotype" w:cs="Palatino Linotype" w:eastAsia="Palatino Linotype" w:hAnsi="Palatino Linotype"/>
          <w:b w:val="1"/>
          <w:i w:val="1"/>
          <w:sz w:val="22"/>
          <w:szCs w:val="22"/>
          <w:u w:val="single"/>
          <w:rtl w:val="0"/>
        </w:rPr>
        <w:t xml:space="preserve">DENTRO DE LOS PLAZOS ESTABLECIDOS EN LA LEY</w:t>
      </w:r>
      <w:r w:rsidDel="00000000" w:rsidR="00000000" w:rsidRPr="00000000">
        <w:rPr>
          <w:rFonts w:ascii="Palatino Linotype" w:cs="Palatino Linotype" w:eastAsia="Palatino Linotype" w:hAnsi="Palatino Linotype"/>
          <w:i w:val="1"/>
          <w:sz w:val="22"/>
          <w:szCs w:val="22"/>
          <w:rtl w:val="0"/>
        </w:rPr>
        <w:t xml:space="preserve"> DE ACUERDO A LO SIGUIENTE. </w:t>
      </w:r>
    </w:p>
    <w:p w:rsidR="00000000" w:rsidDel="00000000" w:rsidP="00000000" w:rsidRDefault="00000000" w:rsidRPr="00000000" w14:paraId="00000113">
      <w:pPr>
        <w:spacing w:after="120" w:before="12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ACLARACIONES</w:t>
      </w:r>
    </w:p>
    <w:p w:rsidR="00000000" w:rsidDel="00000000" w:rsidP="00000000" w:rsidRDefault="00000000" w:rsidRPr="00000000" w14:paraId="00000114">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PRIMERO.</w:t>
      </w:r>
      <w:r w:rsidDel="00000000" w:rsidR="00000000" w:rsidRPr="00000000">
        <w:rPr>
          <w:rFonts w:ascii="Palatino Linotype" w:cs="Palatino Linotype" w:eastAsia="Palatino Linotype" w:hAnsi="Palatino Linotype"/>
          <w:i w:val="1"/>
          <w:sz w:val="22"/>
          <w:szCs w:val="22"/>
          <w:rtl w:val="0"/>
        </w:rPr>
        <w:t xml:space="preserve"> EL PRESIDENTE MUNICIPAL DE CAPULHUAC, ESTADO DE MÉXICO, ES EL PRIMER RESPONSABLE DE LOS ARCHIVOS DEL MISMO MUNICIPIO DE ACUERDO AL ARTÍCULO 16 DE LA LEY GENERAL DE ARCHIVOS Y ARTÍCULO 16 DE LA LEY DE ARCHIVOS Y ADMINISTRACIÓN DE DOCUMENTOS DEL ESTADO DE MÉXICO Y MUNICIPOS. SEGUNDO. EL DOCUMENTO ELECTRÓNICO ESTADO11.PDF LLAMADO “ANÁLISIS DE CUMPLIMIENTO MUNICIPAL DE NORMATIVIDAD ARCHIVÍSTICA” QUE SE ADJUNTÓ A LA SOLICITUD DE INFORMACIÓN PÚBLICA CON FOLIO 00155/CAPULHUA/IP/2022 EN LA CUAL SE DETALLA LO SOLICITADO CONSTA DE 53 PÁGINAS ÚTILES. ANTECEDENTES PRIMERO. CON FUNDAMENTO EN LAS LEYES APLICABLES VIGENTES EN CUESTIÓN DE TRANSPARENCIA Y ACCESO A LA INFORMACIÓN, SE PRESENTÓ LA SOLICITUD DE INFORMACIÓN PÚBLICA CON FOLIO 00155/CAPULHUA/IP/2022EL DÍA 14 DE OCTUBRE DEL 2022. (ANEXO 1). </w:t>
      </w:r>
    </w:p>
    <w:p w:rsidR="00000000" w:rsidDel="00000000" w:rsidP="00000000" w:rsidRDefault="00000000" w:rsidRPr="00000000" w14:paraId="00000115">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NO SE RECIBIÓ RESPUESTA A LA SOLICITUD DE INFORMACIÓN PÚBLICA CON FOLIO 00155/CAPULHUA/IP/2022. </w:t>
      </w:r>
    </w:p>
    <w:p w:rsidR="00000000" w:rsidDel="00000000" w:rsidP="00000000" w:rsidRDefault="00000000" w:rsidRPr="00000000" w14:paraId="00000116">
      <w:pPr>
        <w:spacing w:after="120" w:before="120" w:lineRule="auto"/>
        <w:ind w:left="851" w:right="902" w:firstLine="0"/>
        <w:jc w:val="center"/>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SEGUIMIENTO A LA SOLICITUD DE INFORMACIÓN PÚBLICA 00155/CAPULHUA/IP/2022</w:t>
      </w:r>
    </w:p>
    <w:p w:rsidR="00000000" w:rsidDel="00000000" w:rsidP="00000000" w:rsidRDefault="00000000" w:rsidRPr="00000000" w14:paraId="0000011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DERIVADO DE TODO LO ANTERIOR SE SOLICITA AL TITULAR DE LA UNIDAD DE TRANSPARENCIA DEL MUNICIPIO DE CAPULHUAC, ESTADO DE MÉXICO, DE LA MANERA MÁS ATENTA, LO SIGUIENTE. </w:t>
      </w:r>
    </w:p>
    <w:p w:rsidR="00000000" w:rsidDel="00000000" w:rsidP="00000000" w:rsidRDefault="00000000" w:rsidRPr="00000000" w14:paraId="00000118">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PRIMERO.</w:t>
      </w:r>
      <w:r w:rsidDel="00000000" w:rsidR="00000000" w:rsidRPr="00000000">
        <w:rPr>
          <w:rFonts w:ascii="Palatino Linotype" w:cs="Palatino Linotype" w:eastAsia="Palatino Linotype" w:hAnsi="Palatino Linotype"/>
          <w:i w:val="1"/>
          <w:sz w:val="22"/>
          <w:szCs w:val="22"/>
          <w:rtl w:val="0"/>
        </w:rPr>
        <w:t xml:space="preserve"> CON FUNDAMENTO EN EL ARTÍCULO 16 DE LA LEY GENERAL DE ARCHIVOS Y ARTÍCULO 16 DE LA LEY DE ARCHIVOS Y ADMINISTRACIÓN DE DOCUMENTOS DEL ESTADO DE MÉXICO Y MUNICIPIOS, ENVIAR AL PRESIDENTE MUNICIPAL DE CAPULHUAC, ESTADO DE MÉXICO, EL PRESENTE RECURSO DE REVISIÓN PARA SU CONOCIMIENTO, HACIENDO LLEGAR A LA PROMOVENTE EN FORMATO PDF EL ACUSE DE RECIBO DEL OFICIO MEDIANTE EL CUAL SE INFORMÓ A LA PRESIDENCIA MUNICIPAL DE LA EXISTENCIA DEL PRESENTE RECURSO DE REVISIÓN, LO ANTERIOR COMO PARTE D ELA SOLICITUD DE INFORMACIÓN PÚBLICA EN COMENTO. </w:t>
      </w:r>
    </w:p>
    <w:p w:rsidR="00000000" w:rsidDel="00000000" w:rsidP="00000000" w:rsidRDefault="00000000" w:rsidRPr="00000000" w14:paraId="00000119">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QUE HAGA LLEGAR A LOS TITULARES DEL ÁREA COORDINADORA DE ARCHIVOS O EN SU CASO AL TITULAR DE LA UNIDAD ADMINISTRATIVA QUE LLEVE A CABO LAS ACTIVIDADES DEL ÁREA COORDINADORA DE ARCHIVOS, DEL ÁREA DE SISTEMAS Y/O TECNOLOGÍAS DE LA INFORMACIÓN, DEL ÓRGANO INTERNO DE CONTROL Y A LA MISMA UNIDAD DE TRANSPARENCIA EL DOCUMENTO ELECTRÓNICO ESTADO11.PDF LLAMADO “ANÁLISIS DE CUMPLIMIENTO MUNICIPAL DE NORMATIVIDAD ARCHIVÍSTICA” PARA SER RESPONDIDO POR CADA UNO DE ELLOS EN LOS NUMERALES CORRESPONDIENTES. </w:t>
      </w:r>
    </w:p>
    <w:p w:rsidR="00000000" w:rsidDel="00000000" w:rsidP="00000000" w:rsidRDefault="00000000" w:rsidRPr="00000000" w14:paraId="0000011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POR LO ANTERIORMENTE EXPUESTO Y FUNDADO ANTE EL MUNICIPIO DE CAPULHUAC, ESTADO DE MÉXICO, SOLICITO SE SIRVA: </w:t>
      </w:r>
    </w:p>
    <w:p w:rsidR="00000000" w:rsidDel="00000000" w:rsidP="00000000" w:rsidRDefault="00000000" w:rsidRPr="00000000" w14:paraId="0000011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PRIMERO.</w:t>
      </w:r>
      <w:r w:rsidDel="00000000" w:rsidR="00000000" w:rsidRPr="00000000">
        <w:rPr>
          <w:rFonts w:ascii="Palatino Linotype" w:cs="Palatino Linotype" w:eastAsia="Palatino Linotype" w:hAnsi="Palatino Linotype"/>
          <w:i w:val="1"/>
          <w:sz w:val="22"/>
          <w:szCs w:val="22"/>
          <w:rtl w:val="0"/>
        </w:rPr>
        <w:t xml:space="preserve"> TENERME POR PRESENTADA EN LOS TÉRMINOS DEL PRESENTE ESCRITO. </w:t>
      </w:r>
    </w:p>
    <w:p w:rsidR="00000000" w:rsidDel="00000000" w:rsidP="00000000" w:rsidRDefault="00000000" w:rsidRPr="00000000" w14:paraId="0000011C">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SEGUNDO</w:t>
      </w:r>
      <w:r w:rsidDel="00000000" w:rsidR="00000000" w:rsidRPr="00000000">
        <w:rPr>
          <w:rFonts w:ascii="Palatino Linotype" w:cs="Palatino Linotype" w:eastAsia="Palatino Linotype" w:hAnsi="Palatino Linotype"/>
          <w:i w:val="1"/>
          <w:sz w:val="22"/>
          <w:szCs w:val="22"/>
          <w:rtl w:val="0"/>
        </w:rPr>
        <w:t xml:space="preserve">. INTERPONIENDO EN TIEMPO Y FORMA RECURSO DE REVISIÓN EN </w:t>
      </w:r>
      <w:r w:rsidDel="00000000" w:rsidR="00000000" w:rsidRPr="00000000">
        <w:rPr>
          <w:rFonts w:ascii="Palatino Linotype" w:cs="Palatino Linotype" w:eastAsia="Palatino Linotype" w:hAnsi="Palatino Linotype"/>
          <w:b w:val="1"/>
          <w:i w:val="1"/>
          <w:sz w:val="22"/>
          <w:szCs w:val="22"/>
          <w:u w:val="single"/>
          <w:rtl w:val="0"/>
        </w:rPr>
        <w:t xml:space="preserve">CONTRA DE LA FALTA DE RESPUESTA A LA SOLICITUD DE INFORMACIÓN</w:t>
      </w:r>
      <w:r w:rsidDel="00000000" w:rsidR="00000000" w:rsidRPr="00000000">
        <w:rPr>
          <w:rFonts w:ascii="Palatino Linotype" w:cs="Palatino Linotype" w:eastAsia="Palatino Linotype" w:hAnsi="Palatino Linotype"/>
          <w:i w:val="1"/>
          <w:sz w:val="22"/>
          <w:szCs w:val="22"/>
          <w:rtl w:val="0"/>
        </w:rPr>
        <w:t xml:space="preserve"> PÚBLICA CON FOLIO 00155/CAPULHUA/IP/2022. </w:t>
      </w:r>
    </w:p>
    <w:p w:rsidR="00000000" w:rsidDel="00000000" w:rsidP="00000000" w:rsidRDefault="00000000" w:rsidRPr="00000000" w14:paraId="0000011D">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TERCERO</w:t>
      </w:r>
      <w:r w:rsidDel="00000000" w:rsidR="00000000" w:rsidRPr="00000000">
        <w:rPr>
          <w:rFonts w:ascii="Palatino Linotype" w:cs="Palatino Linotype" w:eastAsia="Palatino Linotype" w:hAnsi="Palatino Linotype"/>
          <w:i w:val="1"/>
          <w:sz w:val="22"/>
          <w:szCs w:val="22"/>
          <w:rtl w:val="0"/>
        </w:rPr>
        <w:t xml:space="preserve">. SE REVOQUE EL ACUERDO EN REVISIÓN EN SU PARTE CONDUCENTE...” (sic)</w:t>
      </w:r>
    </w:p>
    <w:p w:rsidR="00000000" w:rsidDel="00000000" w:rsidP="00000000" w:rsidRDefault="00000000" w:rsidRPr="00000000" w14:paraId="0000011E">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Ahora bien, atentos a la inconformidad planteada, en primer lugar, resulta necesario señalar que de las constancias que obran en el expediente electrónico, se advierte que el </w:t>
      </w:r>
      <w:r w:rsidDel="00000000" w:rsidR="00000000" w:rsidRPr="00000000">
        <w:rPr>
          <w:rFonts w:ascii="Palatino Linotype" w:cs="Palatino Linotype" w:eastAsia="Palatino Linotype" w:hAnsi="Palatino Linotype"/>
          <w:b w:val="1"/>
          <w:rtl w:val="0"/>
        </w:rPr>
        <w:t xml:space="preserve">Sujeto Obligado emitió respuesta en el plazo establecido </w:t>
      </w:r>
      <w:r w:rsidDel="00000000" w:rsidR="00000000" w:rsidRPr="00000000">
        <w:rPr>
          <w:rFonts w:ascii="Palatino Linotype" w:cs="Palatino Linotype" w:eastAsia="Palatino Linotype" w:hAnsi="Palatino Linotype"/>
          <w:rtl w:val="0"/>
        </w:rPr>
        <w:t xml:space="preserve">en el artículo 163, párrafo primero de la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 que es del tenor literal siguiente:</w:t>
      </w:r>
    </w:p>
    <w:p w:rsidR="00000000" w:rsidDel="00000000" w:rsidP="00000000" w:rsidRDefault="00000000" w:rsidRPr="00000000" w14:paraId="0000011F">
      <w:pPr>
        <w:spacing w:after="160" w:lineRule="auto"/>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163</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La Unidad de Transparencia deberá notificar la respuesta a la solicitud</w:t>
      </w:r>
      <w:r w:rsidDel="00000000" w:rsidR="00000000" w:rsidRPr="00000000">
        <w:rPr>
          <w:rFonts w:ascii="Palatino Linotype" w:cs="Palatino Linotype" w:eastAsia="Palatino Linotype" w:hAnsi="Palatino Linotype"/>
          <w:i w:val="1"/>
          <w:sz w:val="22"/>
          <w:szCs w:val="22"/>
          <w:rtl w:val="0"/>
        </w:rPr>
        <w:t xml:space="preserve"> al interesado </w:t>
      </w:r>
      <w:r w:rsidDel="00000000" w:rsidR="00000000" w:rsidRPr="00000000">
        <w:rPr>
          <w:rFonts w:ascii="Palatino Linotype" w:cs="Palatino Linotype" w:eastAsia="Palatino Linotype" w:hAnsi="Palatino Linotype"/>
          <w:b w:val="1"/>
          <w:i w:val="1"/>
          <w:sz w:val="22"/>
          <w:szCs w:val="22"/>
          <w:rtl w:val="0"/>
        </w:rPr>
        <w:t xml:space="preserve">en el menor tiempo posible, que no podrá exceder de quince días hábiles</w:t>
      </w:r>
      <w:r w:rsidDel="00000000" w:rsidR="00000000" w:rsidRPr="00000000">
        <w:rPr>
          <w:rFonts w:ascii="Palatino Linotype" w:cs="Palatino Linotype" w:eastAsia="Palatino Linotype" w:hAnsi="Palatino Linotype"/>
          <w:i w:val="1"/>
          <w:sz w:val="22"/>
          <w:szCs w:val="22"/>
          <w:rtl w:val="0"/>
        </w:rPr>
        <w:t xml:space="preserve">, contados a partir del día siguiente a la presentación de aquélla.”</w:t>
      </w:r>
    </w:p>
    <w:p w:rsidR="00000000" w:rsidDel="00000000" w:rsidP="00000000" w:rsidRDefault="00000000" w:rsidRPr="00000000" w14:paraId="00000120">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se afirma así en virtud de que, como se advierte en los antecedentes de la presente resolución, la solicitud se tuvo por presentada el día </w:t>
      </w:r>
      <w:r w:rsidDel="00000000" w:rsidR="00000000" w:rsidRPr="00000000">
        <w:rPr>
          <w:rFonts w:ascii="Palatino Linotype" w:cs="Palatino Linotype" w:eastAsia="Palatino Linotype" w:hAnsi="Palatino Linotype"/>
          <w:b w:val="1"/>
          <w:rtl w:val="0"/>
        </w:rPr>
        <w:t xml:space="preserve">catorce de octubre de dos mil veintidós, </w:t>
      </w:r>
      <w:r w:rsidDel="00000000" w:rsidR="00000000" w:rsidRPr="00000000">
        <w:rPr>
          <w:rFonts w:ascii="Palatino Linotype" w:cs="Palatino Linotype" w:eastAsia="Palatino Linotype" w:hAnsi="Palatino Linotype"/>
          <w:rtl w:val="0"/>
        </w:rPr>
        <w:t xml:space="preserve">por lo que el plazo de quince días para dar respuesta a la misma, transcurrió del </w:t>
      </w:r>
      <w:r w:rsidDel="00000000" w:rsidR="00000000" w:rsidRPr="00000000">
        <w:rPr>
          <w:rFonts w:ascii="Palatino Linotype" w:cs="Palatino Linotype" w:eastAsia="Palatino Linotype" w:hAnsi="Palatino Linotype"/>
          <w:b w:val="1"/>
          <w:rtl w:val="0"/>
        </w:rPr>
        <w:t xml:space="preserve">diecisiete de octubre al siete de noviembre de dos mil veintidós</w:t>
      </w:r>
      <w:r w:rsidDel="00000000" w:rsidR="00000000" w:rsidRPr="00000000">
        <w:rPr>
          <w:rFonts w:ascii="Palatino Linotype" w:cs="Palatino Linotype" w:eastAsia="Palatino Linotype" w:hAnsi="Palatino Linotype"/>
          <w:rtl w:val="0"/>
        </w:rPr>
        <w:t xml:space="preserve">, notificándose la respuesta el día </w:t>
      </w:r>
      <w:r w:rsidDel="00000000" w:rsidR="00000000" w:rsidRPr="00000000">
        <w:rPr>
          <w:rFonts w:ascii="Palatino Linotype" w:cs="Palatino Linotype" w:eastAsia="Palatino Linotype" w:hAnsi="Palatino Linotype"/>
          <w:b w:val="1"/>
          <w:rtl w:val="0"/>
        </w:rPr>
        <w:t xml:space="preserve">cuatro de noviembre de dos mil veintidós, </w:t>
      </w:r>
      <w:r w:rsidDel="00000000" w:rsidR="00000000" w:rsidRPr="00000000">
        <w:rPr>
          <w:rFonts w:ascii="Palatino Linotype" w:cs="Palatino Linotype" w:eastAsia="Palatino Linotype" w:hAnsi="Palatino Linotype"/>
          <w:rtl w:val="0"/>
        </w:rPr>
        <w:t xml:space="preserve">es decir al </w:t>
      </w:r>
      <w:r w:rsidDel="00000000" w:rsidR="00000000" w:rsidRPr="00000000">
        <w:rPr>
          <w:rFonts w:ascii="Palatino Linotype" w:cs="Palatino Linotype" w:eastAsia="Palatino Linotype" w:hAnsi="Palatino Linotype"/>
          <w:b w:val="1"/>
          <w:rtl w:val="0"/>
        </w:rPr>
        <w:t xml:space="preserve">décimo cuarto día posterior a la presentación de la solicitud, </w:t>
      </w:r>
      <w:r w:rsidDel="00000000" w:rsidR="00000000" w:rsidRPr="00000000">
        <w:rPr>
          <w:rFonts w:ascii="Palatino Linotype" w:cs="Palatino Linotype" w:eastAsia="Palatino Linotype" w:hAnsi="Palatino Linotype"/>
          <w:rtl w:val="0"/>
        </w:rPr>
        <w:t xml:space="preserve">como se muestra a continuación:</w:t>
      </w:r>
    </w:p>
    <w:p w:rsidR="00000000" w:rsidDel="00000000" w:rsidP="00000000" w:rsidRDefault="00000000" w:rsidRPr="00000000" w14:paraId="00000121">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5610225" cy="1009650"/>
            <wp:effectExtent b="0" l="0" r="0" t="0"/>
            <wp:docPr id="9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5610225" cy="1009650"/>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5499100</wp:posOffset>
                </wp:positionH>
                <wp:positionV relativeFrom="paragraph">
                  <wp:posOffset>711200</wp:posOffset>
                </wp:positionV>
                <wp:extent cx="120650" cy="301625"/>
                <wp:effectExtent b="0" l="0" r="0" t="0"/>
                <wp:wrapNone/>
                <wp:docPr id="95" name=""/>
                <a:graphic>
                  <a:graphicData uri="http://schemas.microsoft.com/office/word/2010/wordprocessingShape">
                    <wps:wsp>
                      <wps:cNvSpPr/>
                      <wps:cNvPr id="3" name="Shape 3"/>
                      <wps:spPr>
                        <a:xfrm>
                          <a:off x="5298375" y="3641888"/>
                          <a:ext cx="95250" cy="276225"/>
                        </a:xfrm>
                        <a:prstGeom prst="rightBrace">
                          <a:avLst>
                            <a:gd fmla="val 8333" name="adj1"/>
                            <a:gd fmla="val 50000" name="adj2"/>
                          </a:avLst>
                        </a:prstGeom>
                        <a:noFill/>
                        <a:ln cap="flat" cmpd="sng" w="25400">
                          <a:solidFill>
                            <a:srgbClr val="C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5499100</wp:posOffset>
                </wp:positionH>
                <wp:positionV relativeFrom="paragraph">
                  <wp:posOffset>711200</wp:posOffset>
                </wp:positionV>
                <wp:extent cx="120650" cy="301625"/>
                <wp:effectExtent b="0" l="0" r="0" t="0"/>
                <wp:wrapNone/>
                <wp:docPr id="95"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120650" cy="301625"/>
                        </a:xfrm>
                        <a:prstGeom prst="rect"/>
                        <a:ln/>
                      </pic:spPr>
                    </pic:pic>
                  </a:graphicData>
                </a:graphic>
              </wp:anchor>
            </w:drawing>
          </mc:Fallback>
        </mc:AlternateContent>
      </w:r>
    </w:p>
    <w:p w:rsidR="00000000" w:rsidDel="00000000" w:rsidP="00000000" w:rsidRDefault="00000000" w:rsidRPr="00000000" w14:paraId="00000122">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Asimismo, el Titular de Transparencia, Acceso a la Información Pública Municipal y Protección de Datos Personales adjuntó el archivo que contiene la respuesta proporcionada, como se advierte a continuación:</w:t>
      </w:r>
    </w:p>
    <w:p w:rsidR="00000000" w:rsidDel="00000000" w:rsidP="00000000" w:rsidRDefault="00000000" w:rsidRPr="00000000" w14:paraId="00000123">
      <w:pPr>
        <w:spacing w:after="160" w:line="360" w:lineRule="auto"/>
        <w:jc w:val="center"/>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Pr>
        <w:drawing>
          <wp:inline distB="0" distT="0" distL="0" distR="0">
            <wp:extent cx="4320000" cy="2303022"/>
            <wp:effectExtent b="0" l="0" r="0" t="0"/>
            <wp:docPr id="99" name="image1.png"/>
            <a:graphic>
              <a:graphicData uri="http://schemas.openxmlformats.org/drawingml/2006/picture">
                <pic:pic>
                  <pic:nvPicPr>
                    <pic:cNvPr id="0" name="image1.png"/>
                    <pic:cNvPicPr preferRelativeResize="0"/>
                  </pic:nvPicPr>
                  <pic:blipFill>
                    <a:blip r:embed="rId10"/>
                    <a:srcRect b="0" l="0" r="0" t="0"/>
                    <a:stretch>
                      <a:fillRect/>
                    </a:stretch>
                  </pic:blipFill>
                  <pic:spPr>
                    <a:xfrm>
                      <a:off x="0" y="0"/>
                      <a:ext cx="4320000" cy="2303022"/>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3048000</wp:posOffset>
                </wp:positionH>
                <wp:positionV relativeFrom="paragraph">
                  <wp:posOffset>368300</wp:posOffset>
                </wp:positionV>
                <wp:extent cx="501650" cy="71119"/>
                <wp:effectExtent b="0" l="0" r="0" t="0"/>
                <wp:wrapNone/>
                <wp:docPr id="94" name=""/>
                <a:graphic>
                  <a:graphicData uri="http://schemas.microsoft.com/office/word/2010/wordprocessingShape">
                    <wps:wsp>
                      <wps:cNvCnPr/>
                      <wps:spPr>
                        <a:xfrm flipH="1">
                          <a:off x="5107875" y="3757141"/>
                          <a:ext cx="476250" cy="45719"/>
                        </a:xfrm>
                        <a:prstGeom prst="straightConnector1">
                          <a:avLst/>
                        </a:prstGeom>
                        <a:noFill/>
                        <a:ln cap="flat" cmpd="sng" w="25400">
                          <a:solidFill>
                            <a:srgbClr val="C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3048000</wp:posOffset>
                </wp:positionH>
                <wp:positionV relativeFrom="paragraph">
                  <wp:posOffset>368300</wp:posOffset>
                </wp:positionV>
                <wp:extent cx="501650" cy="71119"/>
                <wp:effectExtent b="0" l="0" r="0" t="0"/>
                <wp:wrapNone/>
                <wp:docPr id="94"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501650" cy="71119"/>
                        </a:xfrm>
                        <a:prstGeom prst="rect"/>
                        <a:ln/>
                      </pic:spPr>
                    </pic:pic>
                  </a:graphicData>
                </a:graphic>
              </wp:anchor>
            </w:drawing>
          </mc:Fallback>
        </mc:AlternateContent>
      </w:r>
    </w:p>
    <w:p w:rsidR="00000000" w:rsidDel="00000000" w:rsidP="00000000" w:rsidRDefault="00000000" w:rsidRPr="00000000" w14:paraId="00000124">
      <w:pPr>
        <w:spacing w:after="16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contrario a lo manifestado por la parte </w:t>
      </w:r>
      <w:r w:rsidDel="00000000" w:rsidR="00000000" w:rsidRPr="00000000">
        <w:rPr>
          <w:rFonts w:ascii="Palatino Linotype" w:cs="Palatino Linotype" w:eastAsia="Palatino Linotype" w:hAnsi="Palatino Linotype"/>
          <w:b w:val="1"/>
          <w:rtl w:val="0"/>
        </w:rPr>
        <w:t xml:space="preserve">Recurrente, </w:t>
      </w:r>
      <w:r w:rsidDel="00000000" w:rsidR="00000000" w:rsidRPr="00000000">
        <w:rPr>
          <w:rFonts w:ascii="Palatino Linotype" w:cs="Palatino Linotype" w:eastAsia="Palatino Linotype" w:hAnsi="Palatino Linotype"/>
          <w:rtl w:val="0"/>
        </w:rPr>
        <w:t xml:space="preserve">se colige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b w:val="1"/>
          <w:u w:val="single"/>
          <w:rtl w:val="0"/>
        </w:rPr>
        <w:t xml:space="preserve">sí emitió respuesta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no obstante, esta se inconformó por la falta de respuesta dentro del plazo legal establecido, con fundamento en los artículos 142 y 143, fracción VI de la Ley General de Transparencia y Acceso a la Información Pública; y 178 y 179,  fracción VII de la Ley de Transparencia y Acceso a la Información Pública del Estado de México y Municipios, que son del tenor literal siguiente:</w:t>
      </w:r>
    </w:p>
    <w:p w:rsidR="00000000" w:rsidDel="00000000" w:rsidP="00000000" w:rsidRDefault="00000000" w:rsidRPr="00000000" w14:paraId="00000125">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142</w:t>
      </w:r>
      <w:r w:rsidDel="00000000" w:rsidR="00000000" w:rsidRPr="00000000">
        <w:rPr>
          <w:rFonts w:ascii="Palatino Linotype" w:cs="Palatino Linotype" w:eastAsia="Palatino Linotype" w:hAnsi="Palatino Linotype"/>
          <w:i w:val="1"/>
          <w:sz w:val="22"/>
          <w:szCs w:val="22"/>
          <w:rtl w:val="0"/>
        </w:rPr>
        <w:t xml:space="preserve">. El solicitante podrá interponer, por sí mismo o a través de su representante, de manera directa o por medios electrónicos, recurso de revisión ante el organismo garante que corresponda o ante la Unidad de Transparencia que haya conocido de la solicitud dentro de los quince días siguientes a la fecha de la notificación de la respuesta, o del vencimiento del plazo para su notificación. </w:t>
      </w:r>
    </w:p>
    <w:p w:rsidR="00000000" w:rsidDel="00000000" w:rsidP="00000000" w:rsidRDefault="00000000" w:rsidRPr="00000000" w14:paraId="00000126">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el caso de que se interponga ante la Unidad de Transparencia, ésta deberá remitir el recurso de revisión al organismo garante que corresponda a más tardar al día siguiente de haberlo recibido.</w:t>
      </w:r>
    </w:p>
    <w:p w:rsidR="00000000" w:rsidDel="00000000" w:rsidP="00000000" w:rsidRDefault="00000000" w:rsidRPr="00000000" w14:paraId="00000127">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143.</w:t>
      </w:r>
      <w:r w:rsidDel="00000000" w:rsidR="00000000" w:rsidRPr="00000000">
        <w:rPr>
          <w:rFonts w:ascii="Palatino Linotype" w:cs="Palatino Linotype" w:eastAsia="Palatino Linotype" w:hAnsi="Palatino Linotype"/>
          <w:i w:val="1"/>
          <w:sz w:val="22"/>
          <w:szCs w:val="22"/>
          <w:rtl w:val="0"/>
        </w:rPr>
        <w:t xml:space="preserve"> El recurso de revisión procederá en contra de:</w:t>
      </w:r>
    </w:p>
    <w:p w:rsidR="00000000" w:rsidDel="00000000" w:rsidP="00000000" w:rsidRDefault="00000000" w:rsidRPr="00000000" w14:paraId="00000128">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29">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w:t>
      </w:r>
      <w:r w:rsidDel="00000000" w:rsidR="00000000" w:rsidRPr="00000000">
        <w:rPr>
          <w:rFonts w:ascii="Palatino Linotype" w:cs="Palatino Linotype" w:eastAsia="Palatino Linotype" w:hAnsi="Palatino Linotype"/>
          <w:i w:val="1"/>
          <w:sz w:val="22"/>
          <w:szCs w:val="22"/>
          <w:rtl w:val="0"/>
        </w:rPr>
        <w:t xml:space="preserve"> La falta de respuesta a una solicitud de acceso a la información dentro de los plazos establecidos en la ley;”</w:t>
      </w:r>
    </w:p>
    <w:p w:rsidR="00000000" w:rsidDel="00000000" w:rsidP="00000000" w:rsidRDefault="00000000" w:rsidRPr="00000000" w14:paraId="0000012A">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178.</w:t>
      </w:r>
      <w:r w:rsidDel="00000000" w:rsidR="00000000" w:rsidRPr="00000000">
        <w:rPr>
          <w:rFonts w:ascii="Palatino Linotype" w:cs="Palatino Linotype" w:eastAsia="Palatino Linotype" w:hAnsi="Palatino Linotype"/>
          <w:i w:val="1"/>
          <w:sz w:val="22"/>
          <w:szCs w:val="22"/>
          <w:rtl w:val="0"/>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w:t>
      </w:r>
    </w:p>
    <w:p w:rsidR="00000000" w:rsidDel="00000000" w:rsidP="00000000" w:rsidRDefault="00000000" w:rsidRPr="00000000" w14:paraId="0000012B">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rsidR="00000000" w:rsidDel="00000000" w:rsidP="00000000" w:rsidRDefault="00000000" w:rsidRPr="00000000" w14:paraId="0000012C">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En el caso de que se interponga ante la Unidad de Transparencia, ésta deberá remitir el recurso de revisión al Instituto a más tardar al día siguiente de haberlo recibido.</w:t>
      </w:r>
    </w:p>
    <w:p w:rsidR="00000000" w:rsidDel="00000000" w:rsidP="00000000" w:rsidRDefault="00000000" w:rsidRPr="00000000" w14:paraId="0000012D">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179</w:t>
      </w:r>
      <w:r w:rsidDel="00000000" w:rsidR="00000000" w:rsidRPr="00000000">
        <w:rPr>
          <w:rFonts w:ascii="Palatino Linotype" w:cs="Palatino Linotype" w:eastAsia="Palatino Linotype" w:hAnsi="Palatino Linotype"/>
          <w:i w:val="1"/>
          <w:sz w:val="22"/>
          <w:szCs w:val="22"/>
          <w:rtl w:val="0"/>
        </w:rPr>
        <w:t xml:space="preserve">. El recurso de revisión es un medio de protección que la Ley otorga a los particulares, para hacer valer su derecho de acceso a la información pública, y procederá en contra de las siguientes causas:</w:t>
      </w:r>
    </w:p>
    <w:p w:rsidR="00000000" w:rsidDel="00000000" w:rsidP="00000000" w:rsidRDefault="00000000" w:rsidRPr="00000000" w14:paraId="0000012E">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2F">
      <w:pPr>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VII</w:t>
      </w:r>
      <w:r w:rsidDel="00000000" w:rsidR="00000000" w:rsidRPr="00000000">
        <w:rPr>
          <w:rFonts w:ascii="Palatino Linotype" w:cs="Palatino Linotype" w:eastAsia="Palatino Linotype" w:hAnsi="Palatino Linotype"/>
          <w:i w:val="1"/>
          <w:sz w:val="22"/>
          <w:szCs w:val="22"/>
          <w:rtl w:val="0"/>
        </w:rPr>
        <w:t xml:space="preserve">. La falta de respuesta a una solicitud de acceso a la información;”</w:t>
      </w:r>
    </w:p>
    <w:p w:rsidR="00000000" w:rsidDel="00000000" w:rsidP="00000000" w:rsidRDefault="00000000" w:rsidRPr="00000000" w14:paraId="00000130">
      <w:pPr>
        <w:spacing w:after="240" w:before="240" w:line="360" w:lineRule="auto"/>
        <w:jc w:val="both"/>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rtl w:val="0"/>
        </w:rPr>
        <w:t xml:space="preserve">En esa virtud, si bien las razones o motivos de inconformidad se encuentran fundados para la procedencia de la interposición del recurso de revisión, al encuadrar en la hipótesis normativa de la fracción VI del artículo 143 de la Ley de Transparencia General y la fracción VII del artículo 179 de la Ley de Transparencia Local, toda vez que se impugna la falta de respuesta a la solicitud; también lo es que los mismos resultan inoperantes en el caso particular, toda vez que como quedó acreditado en párrafos anteriores, se advierte que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si emitió respuesta en el plazo que establece la legislación, contrario a lo que pretende hacer valer la parte </w:t>
      </w:r>
      <w:r w:rsidDel="00000000" w:rsidR="00000000" w:rsidRPr="00000000">
        <w:rPr>
          <w:rFonts w:ascii="Palatino Linotype" w:cs="Palatino Linotype" w:eastAsia="Palatino Linotype" w:hAnsi="Palatino Linotype"/>
          <w:b w:val="1"/>
          <w:rtl w:val="0"/>
        </w:rPr>
        <w:t xml:space="preserve">Recurrente.</w:t>
      </w:r>
    </w:p>
    <w:p w:rsidR="00000000" w:rsidDel="00000000" w:rsidP="00000000" w:rsidRDefault="00000000" w:rsidRPr="00000000" w14:paraId="0000013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ese orden de ideas, podemos llegar a la conclusión de la inexistencia del acto reclamado, al acreditarse con las constancias que integran el expediente, que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w:t>
      </w:r>
      <w:r w:rsidDel="00000000" w:rsidR="00000000" w:rsidRPr="00000000">
        <w:rPr>
          <w:rFonts w:ascii="Palatino Linotype" w:cs="Palatino Linotype" w:eastAsia="Palatino Linotype" w:hAnsi="Palatino Linotype"/>
          <w:b w:val="1"/>
          <w:rtl w:val="0"/>
        </w:rPr>
        <w:t xml:space="preserve">emitió respuesta en el plazo establecido </w:t>
      </w:r>
      <w:r w:rsidDel="00000000" w:rsidR="00000000" w:rsidRPr="00000000">
        <w:rPr>
          <w:rFonts w:ascii="Palatino Linotype" w:cs="Palatino Linotype" w:eastAsia="Palatino Linotype" w:hAnsi="Palatino Linotype"/>
          <w:rtl w:val="0"/>
        </w:rPr>
        <w:t xml:space="preserve">en el artículo 163, párrafo primero de la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Ley de Transparencia y Acceso a la Información Pública del Estado de México y Municipios, quedando sin materia el presente asunto. </w:t>
      </w:r>
    </w:p>
    <w:p w:rsidR="00000000" w:rsidDel="00000000" w:rsidP="00000000" w:rsidRDefault="00000000" w:rsidRPr="00000000" w14:paraId="00000132">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consiguiente, en estricto derecho, la alegación de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se limita a realizar manifestaciones sin sustento, las cuales han quedado demostradas, por ello se califican de inoperantes; quedando sin materia el presente recurso de revisión, resultando necesario traer a colación la Tesis Aislada con número de registro 2017549, de rubro y texto siguiente:</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INEXISTENCIA DE LOS ACTOS RECLAMADOS EN EL AMPARO. NO ES UN MOTIVO MANIFIESTO E INDUDABLE DE IMPROCEDENCIA QUE DÉ LUGAR AL DESECHAMIENTO DE LA DEMANDA, SINO QUE CONSTITUYE UNA CAUSAL DE SOBRESEIMIENTO EN EL JUICIO</w:t>
      </w:r>
      <w:r w:rsidDel="00000000" w:rsidR="00000000" w:rsidRPr="00000000">
        <w:rPr>
          <w:rFonts w:ascii="Palatino Linotype" w:cs="Palatino Linotype" w:eastAsia="Palatino Linotype" w:hAnsi="Palatino Linotype"/>
          <w:i w:val="1"/>
          <w:sz w:val="22"/>
          <w:szCs w:val="22"/>
          <w:rtl w:val="0"/>
        </w:rPr>
        <w:t xml:space="preserve">.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rsidR="00000000" w:rsidDel="00000000" w:rsidP="00000000" w:rsidRDefault="00000000" w:rsidRPr="00000000" w14:paraId="00000135">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Derivado de lo expuesto, es necesario hacer del conocimiento de la persona solicitante que, de la simple lectura a su Recurso de Revisión, se desprende que</w:t>
      </w:r>
      <w:r w:rsidDel="00000000" w:rsidR="00000000" w:rsidRPr="00000000">
        <w:rPr>
          <w:rFonts w:ascii="Palatino Linotype" w:cs="Palatino Linotype" w:eastAsia="Palatino Linotype" w:hAnsi="Palatino Linotype"/>
          <w:b w:val="1"/>
          <w:u w:val="single"/>
          <w:rtl w:val="0"/>
        </w:rPr>
        <w:t xml:space="preserve"> las razones o motivos de inconformidad hechas valer, no corresponden con la respuesta del Sujeto Obligado para atender su requerimiento de información,</w:t>
      </w:r>
      <w:r w:rsidDel="00000000" w:rsidR="00000000" w:rsidRPr="00000000">
        <w:rPr>
          <w:rFonts w:ascii="Palatino Linotype" w:cs="Palatino Linotype" w:eastAsia="Palatino Linotype" w:hAnsi="Palatino Linotype"/>
          <w:rtl w:val="0"/>
        </w:rPr>
        <w:t xml:space="preserve"> por lo tanto, es claro que el Recurso de Revisión que nos ocupa, no actualiza ninguno de los supuestos previstos en la Ley de la materia conforme a las actuaciones que obran en el expediente electrónico formado en el Sistema de Acceso a la Información Mexiquense, SAIMEX.</w:t>
      </w:r>
    </w:p>
    <w:p w:rsidR="00000000" w:rsidDel="00000000" w:rsidP="00000000" w:rsidRDefault="00000000" w:rsidRPr="00000000" w14:paraId="0000013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tales circunstancias, este Instituto se encuentra impedido a entrar al estudio de fondo, en virtud que la particular no manifestó razones o motivos de inconformidad, relacionados con la respuesta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fin de atender su solicitud de acceso.</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240" w:before="240" w:line="360" w:lineRule="auto"/>
        <w:ind w:right="96"/>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Por lo tanto, en virtud de  los argumentos expuestos con anterioridad así como del análisis realizado a las constancias que obran en el expediente electrónico, toda vez que no se actualizó algún supuesto de procedencia</w:t>
      </w:r>
      <w:r w:rsidDel="00000000" w:rsidR="00000000" w:rsidRPr="00000000">
        <w:rPr>
          <w:rFonts w:ascii="Palatino Linotype" w:cs="Palatino Linotype" w:eastAsia="Palatino Linotype" w:hAnsi="Palatino Linotype"/>
          <w:sz w:val="22"/>
          <w:szCs w:val="22"/>
          <w:rtl w:val="0"/>
        </w:rPr>
        <w:t xml:space="preserve">, </w:t>
      </w:r>
      <w:r w:rsidDel="00000000" w:rsidR="00000000" w:rsidRPr="00000000">
        <w:rPr>
          <w:rFonts w:ascii="Palatino Linotype" w:cs="Palatino Linotype" w:eastAsia="Palatino Linotype" w:hAnsi="Palatino Linotype"/>
          <w:rtl w:val="0"/>
        </w:rPr>
        <w:t xml:space="preserve">se determina </w:t>
      </w:r>
      <w:r w:rsidDel="00000000" w:rsidR="00000000" w:rsidRPr="00000000">
        <w:rPr>
          <w:rFonts w:ascii="Palatino Linotype" w:cs="Palatino Linotype" w:eastAsia="Palatino Linotype" w:hAnsi="Palatino Linotype"/>
          <w:i w:val="1"/>
          <w:rtl w:val="0"/>
        </w:rPr>
        <w:t xml:space="preserve">sobreseer </w:t>
      </w:r>
      <w:r w:rsidDel="00000000" w:rsidR="00000000" w:rsidRPr="00000000">
        <w:rPr>
          <w:rFonts w:ascii="Palatino Linotype" w:cs="Palatino Linotype" w:eastAsia="Palatino Linotype" w:hAnsi="Palatino Linotype"/>
          <w:rtl w:val="0"/>
        </w:rPr>
        <w:t xml:space="preserve">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w:t>
      </w:r>
      <w:r w:rsidDel="00000000" w:rsidR="00000000" w:rsidRPr="00000000">
        <w:rPr>
          <w:rFonts w:ascii="Palatino Linotype" w:cs="Palatino Linotype" w:eastAsia="Palatino Linotype" w:hAnsi="Palatino Linotype"/>
          <w:sz w:val="22"/>
          <w:szCs w:val="22"/>
          <w:rtl w:val="0"/>
        </w:rPr>
        <w:t xml:space="preserve">l</w:t>
      </w:r>
      <w:r w:rsidDel="00000000" w:rsidR="00000000" w:rsidRPr="00000000">
        <w:rPr>
          <w:rFonts w:ascii="Palatino Linotype" w:cs="Palatino Linotype" w:eastAsia="Palatino Linotype" w:hAnsi="Palatino Linotype"/>
          <w:rtl w:val="0"/>
        </w:rPr>
        <w:t xml:space="preserve">os que se transcriben a continuación, para un mejor entendimiento:</w:t>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7938"/>
        </w:tabs>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Artículo 191</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El recurso</w:t>
      </w:r>
      <w:r w:rsidDel="00000000" w:rsidR="00000000" w:rsidRPr="00000000">
        <w:rPr>
          <w:rFonts w:ascii="Palatino Linotype" w:cs="Palatino Linotype" w:eastAsia="Palatino Linotype" w:hAnsi="Palatino Linotype"/>
          <w:i w:val="1"/>
          <w:sz w:val="22"/>
          <w:szCs w:val="22"/>
          <w:rtl w:val="0"/>
        </w:rPr>
        <w:t xml:space="preserve"> </w:t>
      </w:r>
      <w:r w:rsidDel="00000000" w:rsidR="00000000" w:rsidRPr="00000000">
        <w:rPr>
          <w:rFonts w:ascii="Palatino Linotype" w:cs="Palatino Linotype" w:eastAsia="Palatino Linotype" w:hAnsi="Palatino Linotype"/>
          <w:b w:val="1"/>
          <w:i w:val="1"/>
          <w:sz w:val="22"/>
          <w:szCs w:val="22"/>
          <w:rtl w:val="0"/>
        </w:rPr>
        <w:t xml:space="preserve">será </w:t>
      </w:r>
      <w:r w:rsidDel="00000000" w:rsidR="00000000" w:rsidRPr="00000000">
        <w:rPr>
          <w:rFonts w:ascii="Palatino Linotype" w:cs="Palatino Linotype" w:eastAsia="Palatino Linotype" w:hAnsi="Palatino Linotype"/>
          <w:i w:val="1"/>
          <w:sz w:val="22"/>
          <w:szCs w:val="22"/>
          <w:rtl w:val="0"/>
        </w:rPr>
        <w:t xml:space="preserve">desechado por </w:t>
      </w:r>
      <w:r w:rsidDel="00000000" w:rsidR="00000000" w:rsidRPr="00000000">
        <w:rPr>
          <w:rFonts w:ascii="Palatino Linotype" w:cs="Palatino Linotype" w:eastAsia="Palatino Linotype" w:hAnsi="Palatino Linotype"/>
          <w:b w:val="1"/>
          <w:i w:val="1"/>
          <w:sz w:val="22"/>
          <w:szCs w:val="22"/>
          <w:rtl w:val="0"/>
        </w:rPr>
        <w:t xml:space="preserve">improcedente cuando</w:t>
      </w: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39">
      <w:pPr>
        <w:pBdr>
          <w:top w:space="0" w:sz="0" w:val="nil"/>
          <w:left w:space="0" w:sz="0" w:val="nil"/>
          <w:bottom w:space="0" w:sz="0" w:val="nil"/>
          <w:right w:space="0" w:sz="0" w:val="nil"/>
          <w:between w:space="0" w:sz="0" w:val="nil"/>
        </w:pBdr>
        <w:tabs>
          <w:tab w:val="left" w:leader="none" w:pos="7938"/>
        </w:tabs>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3A">
      <w:pPr>
        <w:tabs>
          <w:tab w:val="left" w:leader="none" w:pos="7938"/>
        </w:tabs>
        <w:spacing w:after="120" w:before="120" w:lineRule="auto"/>
        <w:ind w:left="1134"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III. </w:t>
      </w:r>
      <w:r w:rsidDel="00000000" w:rsidR="00000000" w:rsidRPr="00000000">
        <w:rPr>
          <w:rFonts w:ascii="Palatino Linotype" w:cs="Palatino Linotype" w:eastAsia="Palatino Linotype" w:hAnsi="Palatino Linotype"/>
          <w:i w:val="1"/>
          <w:sz w:val="22"/>
          <w:szCs w:val="22"/>
          <w:rtl w:val="0"/>
        </w:rPr>
        <w:t xml:space="preserve">No actualice alguno de los supuestos previstos en la presente Ley</w:t>
      </w: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13B">
      <w:pPr>
        <w:tabs>
          <w:tab w:val="left" w:leader="none" w:pos="7938"/>
        </w:tabs>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938"/>
        </w:tabs>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Artículo 192.</w:t>
      </w:r>
      <w:r w:rsidDel="00000000" w:rsidR="00000000" w:rsidRPr="00000000">
        <w:rPr>
          <w:rFonts w:ascii="Palatino Linotype" w:cs="Palatino Linotype" w:eastAsia="Palatino Linotype" w:hAnsi="Palatino Linotype"/>
          <w:i w:val="1"/>
          <w:sz w:val="22"/>
          <w:szCs w:val="22"/>
          <w:rtl w:val="0"/>
        </w:rPr>
        <w:t xml:space="preserve"> El recurso será sobreseído, en todo o en parte, cuando una vez admitido, se actualicen alguno de los siguientes supuestos:</w:t>
      </w:r>
    </w:p>
    <w:p w:rsidR="00000000" w:rsidDel="00000000" w:rsidP="00000000" w:rsidRDefault="00000000" w:rsidRPr="00000000" w14:paraId="0000013D">
      <w:pPr>
        <w:pBdr>
          <w:top w:space="0" w:sz="0" w:val="nil"/>
          <w:left w:space="0" w:sz="0" w:val="nil"/>
          <w:bottom w:space="0" w:sz="0" w:val="nil"/>
          <w:right w:space="0" w:sz="0" w:val="nil"/>
          <w:between w:space="0" w:sz="0" w:val="nil"/>
        </w:pBdr>
        <w:tabs>
          <w:tab w:val="left" w:leader="none" w:pos="7938"/>
        </w:tabs>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w:t>
      </w:r>
    </w:p>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938"/>
        </w:tabs>
        <w:spacing w:after="120" w:before="120" w:lineRule="auto"/>
        <w:ind w:left="1134"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IV</w:t>
      </w:r>
      <w:r w:rsidDel="00000000" w:rsidR="00000000" w:rsidRPr="00000000">
        <w:rPr>
          <w:rFonts w:ascii="Palatino Linotype" w:cs="Palatino Linotype" w:eastAsia="Palatino Linotype" w:hAnsi="Palatino Linotype"/>
          <w:i w:val="1"/>
          <w:sz w:val="22"/>
          <w:szCs w:val="22"/>
          <w:rtl w:val="0"/>
        </w:rPr>
        <w:t xml:space="preserve">. Admitido el recurso de revisión, </w:t>
      </w:r>
      <w:r w:rsidDel="00000000" w:rsidR="00000000" w:rsidRPr="00000000">
        <w:rPr>
          <w:rFonts w:ascii="Palatino Linotype" w:cs="Palatino Linotype" w:eastAsia="Palatino Linotype" w:hAnsi="Palatino Linotype"/>
          <w:b w:val="1"/>
          <w:i w:val="1"/>
          <w:sz w:val="22"/>
          <w:szCs w:val="22"/>
          <w:rtl w:val="0"/>
        </w:rPr>
        <w:t xml:space="preserve">aparezca alguna causal de improcedencia</w:t>
      </w:r>
      <w:r w:rsidDel="00000000" w:rsidR="00000000" w:rsidRPr="00000000">
        <w:rPr>
          <w:rFonts w:ascii="Palatino Linotype" w:cs="Palatino Linotype" w:eastAsia="Palatino Linotype" w:hAnsi="Palatino Linotype"/>
          <w:i w:val="1"/>
          <w:sz w:val="22"/>
          <w:szCs w:val="22"/>
          <w:rtl w:val="0"/>
        </w:rPr>
        <w:t xml:space="preserve"> en los términos de la presente Ley. “</w:t>
      </w:r>
    </w:p>
    <w:p w:rsidR="00000000" w:rsidDel="00000000" w:rsidP="00000000" w:rsidRDefault="00000000" w:rsidRPr="00000000" w14:paraId="0000013F">
      <w:pPr>
        <w:spacing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Siendo el </w:t>
      </w:r>
      <w:r w:rsidDel="00000000" w:rsidR="00000000" w:rsidRPr="00000000">
        <w:rPr>
          <w:rFonts w:ascii="Palatino Linotype" w:cs="Palatino Linotype" w:eastAsia="Palatino Linotype" w:hAnsi="Palatino Linotype"/>
          <w:i w:val="1"/>
          <w:rtl w:val="0"/>
        </w:rPr>
        <w:t xml:space="preserve">sobreseimiento</w:t>
      </w:r>
      <w:r w:rsidDel="00000000" w:rsidR="00000000" w:rsidRPr="00000000">
        <w:rPr>
          <w:rFonts w:ascii="Palatino Linotype" w:cs="Palatino Linotype" w:eastAsia="Palatino Linotype" w:hAnsi="Palatino Linotype"/>
          <w:rtl w:val="0"/>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rsidR="00000000" w:rsidDel="00000000" w:rsidP="00000000" w:rsidRDefault="00000000" w:rsidRPr="00000000" w14:paraId="00000140">
      <w:pPr>
        <w:spacing w:after="120" w:lineRule="auto"/>
        <w:ind w:left="851" w:right="902" w:firstLine="0"/>
        <w:jc w:val="both"/>
        <w:rPr>
          <w:rFonts w:ascii="Palatino Linotype" w:cs="Palatino Linotype" w:eastAsia="Palatino Linotype" w:hAnsi="Palatino Linotype"/>
          <w:b w:val="1"/>
          <w:i w:val="1"/>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SOBRESEIMIENTO, NO PERMITE ENTRAR AL ESTUDIO DE LAS CUESTIONES DE FONDO</w:t>
      </w:r>
      <w:r w:rsidDel="00000000" w:rsidR="00000000" w:rsidRPr="00000000">
        <w:rPr>
          <w:rtl w:val="0"/>
        </w:rPr>
      </w:r>
    </w:p>
    <w:p w:rsidR="00000000" w:rsidDel="00000000" w:rsidP="00000000" w:rsidRDefault="00000000" w:rsidRPr="00000000" w14:paraId="00000141">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Localización: 213609. II.2o.183 K. Tribunales Colegiados de Circuito. Octava Época. Semanario Judicial de la Federación. Tomo XIII, Febrero de 1994, Pág. 420</w:t>
      </w:r>
    </w:p>
    <w:p w:rsidR="00000000" w:rsidDel="00000000" w:rsidP="00000000" w:rsidRDefault="00000000" w:rsidRPr="00000000" w14:paraId="00000142">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000000" w:rsidDel="00000000" w:rsidP="00000000" w:rsidRDefault="00000000" w:rsidRPr="00000000" w14:paraId="0000014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Cabe destacar que la decisión de este Organismo Colegiado de sobreseer el recurso de revisión no implica una limitación o negación a la justicia, según lo ha establecido el Poder Judicial Federal, en el criterio que es aplicable por analogía, con rubro:</w:t>
      </w:r>
    </w:p>
    <w:p w:rsidR="00000000" w:rsidDel="00000000" w:rsidP="00000000" w:rsidRDefault="00000000" w:rsidRPr="00000000" w14:paraId="00000144">
      <w:pPr>
        <w:spacing w:after="120" w:before="120" w:lineRule="auto"/>
        <w:ind w:left="851" w:right="902" w:firstLine="0"/>
        <w:jc w:val="both"/>
        <w:rPr>
          <w:rFonts w:ascii="Palatino Linotype" w:cs="Palatino Linotype" w:eastAsia="Palatino Linotype" w:hAnsi="Palatino Linotype"/>
          <w:b w:val="1"/>
          <w:i w:val="1"/>
          <w:sz w:val="22"/>
          <w:szCs w:val="22"/>
        </w:rPr>
      </w:pPr>
      <w:r w:rsidDel="00000000" w:rsidR="00000000" w:rsidRPr="00000000">
        <w:rPr>
          <w:rFonts w:ascii="Palatino Linotype" w:cs="Palatino Linotype" w:eastAsia="Palatino Linotype" w:hAnsi="Palatino Linotype"/>
          <w:b w:val="1"/>
          <w:i w:val="1"/>
          <w:sz w:val="22"/>
          <w:szCs w:val="22"/>
          <w:rtl w:val="0"/>
        </w:rPr>
        <w:t xml:space="preserve">“DESECHAMIENTO O SOBRESEIMIENTO EN EL JUICIO DE AMPARO. NO IMPLICA DENEGACIÓN DE JUSTICIA NI GENERA INSEGURIDAD JURÍDICA”</w:t>
      </w:r>
    </w:p>
    <w:p w:rsidR="00000000" w:rsidDel="00000000" w:rsidP="00000000" w:rsidRDefault="00000000" w:rsidRPr="00000000" w14:paraId="00000145">
      <w:pPr>
        <w:spacing w:after="120" w:before="120" w:lineRule="auto"/>
        <w:ind w:left="851" w:right="902"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Del="00000000" w:rsidR="00000000" w:rsidRPr="00000000">
        <w:rPr>
          <w:rFonts w:ascii="Palatino Linotype" w:cs="Palatino Linotype" w:eastAsia="Palatino Linotype" w:hAnsi="Palatino Linotype"/>
          <w:rtl w:val="0"/>
        </w:rPr>
        <w:tab/>
      </w:r>
      <w:r w:rsidDel="00000000" w:rsidR="00000000" w:rsidRPr="00000000">
        <w:rPr>
          <w:rtl w:val="0"/>
        </w:rPr>
      </w:r>
    </w:p>
    <w:p w:rsidR="00000000" w:rsidDel="00000000" w:rsidP="00000000" w:rsidRDefault="00000000" w:rsidRPr="00000000" w14:paraId="0000014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No obstante de lo anterior, se dejan a salvo los derechos de persona solicitante a efecto de que, de considerarlo pertinente, interponga una nueva solicitud de acceso ante 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a fin de obtener la información de su interés. </w:t>
      </w:r>
    </w:p>
    <w:p w:rsidR="00000000" w:rsidDel="00000000" w:rsidP="00000000" w:rsidRDefault="00000000" w:rsidRPr="00000000" w14:paraId="00000147">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Finalmente, no escapa de la óptica de este Organismo Garante que 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como parte de sus motivos de inconformidad, manifestó lo siguiente:</w:t>
      </w:r>
    </w:p>
    <w:p w:rsidR="00000000" w:rsidDel="00000000" w:rsidP="00000000" w:rsidRDefault="00000000" w:rsidRPr="00000000" w14:paraId="00000148">
      <w:pPr>
        <w:ind w:left="851" w:right="900" w:firstLine="0"/>
        <w:jc w:val="both"/>
        <w:rPr>
          <w:rFonts w:ascii="Palatino Linotype" w:cs="Palatino Linotype" w:eastAsia="Palatino Linotype" w:hAnsi="Palatino Linotype"/>
          <w:i w:val="1"/>
          <w:sz w:val="22"/>
          <w:szCs w:val="22"/>
        </w:rPr>
      </w:pPr>
      <w:r w:rsidDel="00000000" w:rsidR="00000000" w:rsidRPr="00000000">
        <w:rPr>
          <w:rFonts w:ascii="Palatino Linotype" w:cs="Palatino Linotype" w:eastAsia="Palatino Linotype" w:hAnsi="Palatino Linotype"/>
          <w:i w:val="1"/>
          <w:sz w:val="22"/>
          <w:szCs w:val="22"/>
          <w:rtl w:val="0"/>
        </w:rPr>
        <w:t xml:space="preserve">“CON FUNDAMENTO EN EL ARTÍCULO 16 DE LA LEY GENERAL DE ARCHIVOS Y ARTÍCULO 16 DE LA LEY DE ARCHIVOS Y  ADMINISTRACIÓN DE DOCUMENTOS DEL ESTADO DE MÉXICO Y</w:t>
      </w:r>
    </w:p>
    <w:p w:rsidR="00000000" w:rsidDel="00000000" w:rsidP="00000000" w:rsidRDefault="00000000" w:rsidRPr="00000000" w14:paraId="00000149">
      <w:pPr>
        <w:ind w:left="851" w:right="900" w:firstLine="0"/>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i w:val="1"/>
          <w:sz w:val="22"/>
          <w:szCs w:val="22"/>
          <w:rtl w:val="0"/>
        </w:rPr>
        <w:t xml:space="preserve">MUNICIPIOS, </w:t>
      </w:r>
      <w:r w:rsidDel="00000000" w:rsidR="00000000" w:rsidRPr="00000000">
        <w:rPr>
          <w:rFonts w:ascii="Palatino Linotype" w:cs="Palatino Linotype" w:eastAsia="Palatino Linotype" w:hAnsi="Palatino Linotype"/>
          <w:b w:val="1"/>
          <w:i w:val="1"/>
          <w:sz w:val="22"/>
          <w:szCs w:val="22"/>
          <w:rtl w:val="0"/>
        </w:rPr>
        <w:t xml:space="preserve">ENVIAR AL PRESIDENTE MUNICIPAL DE CAPULHUAC, ESTADO DE MÉXICO, EL PRESENTE RECURSO DE REVISIÓN PARA SU CONOCIMIENTO, </w:t>
      </w:r>
      <w:r w:rsidDel="00000000" w:rsidR="00000000" w:rsidRPr="00000000">
        <w:rPr>
          <w:rFonts w:ascii="Palatino Linotype" w:cs="Palatino Linotype" w:eastAsia="Palatino Linotype" w:hAnsi="Palatino Linotype"/>
          <w:b w:val="1"/>
          <w:i w:val="1"/>
          <w:sz w:val="22"/>
          <w:szCs w:val="22"/>
          <w:u w:val="single"/>
          <w:rtl w:val="0"/>
        </w:rPr>
        <w:t xml:space="preserve">HACIENDO LLEGAR A LA PROMOVENTE EN FORMATO PDF EL ACUSE DE RECIBO DEL OFICIO</w:t>
      </w:r>
      <w:r w:rsidDel="00000000" w:rsidR="00000000" w:rsidRPr="00000000">
        <w:rPr>
          <w:rFonts w:ascii="Palatino Linotype" w:cs="Palatino Linotype" w:eastAsia="Palatino Linotype" w:hAnsi="Palatino Linotype"/>
          <w:b w:val="1"/>
          <w:i w:val="1"/>
          <w:sz w:val="22"/>
          <w:szCs w:val="22"/>
          <w:rtl w:val="0"/>
        </w:rPr>
        <w:t xml:space="preserve"> MEDIANTE EL CUAL SE INFORMÓ A LA PRESIDENCIA MUNICIPAL DE LA EXISTENCIA DEL PRESENTE RECURSO DE REVISIÓN</w:t>
      </w:r>
      <w:r w:rsidDel="00000000" w:rsidR="00000000" w:rsidRPr="00000000">
        <w:rPr>
          <w:rFonts w:ascii="Palatino Linotype" w:cs="Palatino Linotype" w:eastAsia="Palatino Linotype" w:hAnsi="Palatino Linotype"/>
          <w:i w:val="1"/>
          <w:sz w:val="22"/>
          <w:szCs w:val="22"/>
          <w:rtl w:val="0"/>
        </w:rPr>
        <w:t xml:space="preserve">, LO ANTERIOR COMO PARTE DE LA SOLICITUD DE INFORMACIÓN PÚBLICA EN COMENTO.” (sic)</w:t>
      </w:r>
      <w:r w:rsidDel="00000000" w:rsidR="00000000" w:rsidRPr="00000000">
        <w:rPr>
          <w:rtl w:val="0"/>
        </w:rPr>
      </w:r>
    </w:p>
    <w:p w:rsidR="00000000" w:rsidDel="00000000" w:rsidP="00000000" w:rsidRDefault="00000000" w:rsidRPr="00000000" w14:paraId="0000014A">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Razón por la cual se considera pertinente, en primer lugar, establecer las diferencias entre el derecho de petición y el derecho base del asunto que nos ocupa, basado en lo siguiente:</w:t>
      </w:r>
    </w:p>
    <w:p w:rsidR="00000000" w:rsidDel="00000000" w:rsidP="00000000" w:rsidRDefault="00000000" w:rsidRPr="00000000" w14:paraId="0000014B">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David Cienfuegos Salgado, concibe al derecho de petición como </w:t>
      </w:r>
      <w:r w:rsidDel="00000000" w:rsidR="00000000" w:rsidRPr="00000000">
        <w:rPr>
          <w:rFonts w:ascii="Palatino Linotype" w:cs="Palatino Linotype" w:eastAsia="Palatino Linotype" w:hAnsi="Palatino Linotype"/>
          <w:i w:val="1"/>
          <w:rtl w:val="0"/>
        </w:rPr>
        <w:t xml:space="preserve">“</w:t>
      </w:r>
      <w:r w:rsidDel="00000000" w:rsidR="00000000" w:rsidRPr="00000000">
        <w:rPr>
          <w:rFonts w:ascii="Palatino Linotype" w:cs="Palatino Linotype" w:eastAsia="Palatino Linotype" w:hAnsi="Palatino Linotype"/>
          <w:b w:val="1"/>
          <w:i w:val="1"/>
          <w:u w:val="single"/>
          <w:rtl w:val="0"/>
        </w:rPr>
        <w:t xml:space="preserve">el derecho de toda persona a ser escuchado por quienes ejercen el poder públic</w:t>
      </w:r>
      <w:r w:rsidDel="00000000" w:rsidR="00000000" w:rsidRPr="00000000">
        <w:rPr>
          <w:rFonts w:ascii="Palatino Linotype" w:cs="Palatino Linotype" w:eastAsia="Palatino Linotype" w:hAnsi="Palatino Linotype"/>
          <w:i w:val="1"/>
          <w:rtl w:val="0"/>
        </w:rPr>
        <w:t xml:space="preserve">o.</w:t>
      </w:r>
      <w:r w:rsidDel="00000000" w:rsidR="00000000" w:rsidRPr="00000000">
        <w:rPr>
          <w:rFonts w:ascii="Palatino Linotype" w:cs="Palatino Linotype" w:eastAsia="Palatino Linotype" w:hAnsi="Palatino Linotype"/>
          <w:i w:val="1"/>
          <w:vertAlign w:val="superscript"/>
        </w:rPr>
        <w:footnoteReference w:customMarkFollows="0" w:id="0"/>
      </w:r>
      <w:r w:rsidDel="00000000" w:rsidR="00000000" w:rsidRPr="00000000">
        <w:rPr>
          <w:rFonts w:ascii="Palatino Linotype" w:cs="Palatino Linotype" w:eastAsia="Palatino Linotype" w:hAnsi="Palatino Linotype"/>
          <w:i w:val="1"/>
          <w:rtl w:val="0"/>
        </w:rPr>
        <w:t xml:space="preserve">” (Sic)</w:t>
      </w:r>
    </w:p>
    <w:p w:rsidR="00000000" w:rsidDel="00000000" w:rsidP="00000000" w:rsidRDefault="00000000" w:rsidRPr="00000000" w14:paraId="0000014C">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la misma manera, Miguel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w:t>
      </w:r>
    </w:p>
    <w:p w:rsidR="00000000" w:rsidDel="00000000" w:rsidP="00000000" w:rsidRDefault="00000000" w:rsidRPr="00000000" w14:paraId="0000014D">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Del="00000000" w:rsidR="00000000" w:rsidRPr="00000000">
        <w:rPr>
          <w:rFonts w:ascii="Palatino Linotype" w:cs="Palatino Linotype" w:eastAsia="Palatino Linotype" w:hAnsi="Palatino Linotype"/>
          <w:vertAlign w:val="superscript"/>
        </w:rPr>
        <w:footnoteReference w:customMarkFollows="0" w:id="1"/>
      </w:r>
      <w:r w:rsidDel="00000000" w:rsidR="00000000" w:rsidRPr="00000000">
        <w:rPr>
          <w:rtl w:val="0"/>
        </w:rPr>
      </w:r>
    </w:p>
    <w:p w:rsidR="00000000" w:rsidDel="00000000" w:rsidP="00000000" w:rsidRDefault="00000000" w:rsidRPr="00000000" w14:paraId="0000014E">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 Por otro lado, el autor anteriormente citado, indica que el </w:t>
      </w:r>
      <w:r w:rsidDel="00000000" w:rsidR="00000000" w:rsidRPr="00000000">
        <w:rPr>
          <w:rFonts w:ascii="Palatino Linotype" w:cs="Palatino Linotype" w:eastAsia="Palatino Linotype" w:hAnsi="Palatino Linotype"/>
          <w:b w:val="1"/>
          <w:u w:val="single"/>
          <w:rtl w:val="0"/>
        </w:rPr>
        <w:t xml:space="preserve">derecho de acceso a la información pública</w:t>
      </w:r>
      <w:r w:rsidDel="00000000" w:rsidR="00000000" w:rsidRPr="00000000">
        <w:rPr>
          <w:rFonts w:ascii="Palatino Linotype" w:cs="Palatino Linotype" w:eastAsia="Palatino Linotype" w:hAnsi="Palatino Linotype"/>
          <w:rtl w:val="0"/>
        </w:rPr>
        <w:t xml:space="preserve"> es el derecho de conocer la </w:t>
      </w:r>
      <w:r w:rsidDel="00000000" w:rsidR="00000000" w:rsidRPr="00000000">
        <w:rPr>
          <w:rFonts w:ascii="Palatino Linotype" w:cs="Palatino Linotype" w:eastAsia="Palatino Linotype" w:hAnsi="Palatino Linotype"/>
          <w:u w:val="single"/>
          <w:rtl w:val="0"/>
        </w:rPr>
        <w:t xml:space="preserve">información de carácter público que se genera o está en posesión de los órganos del poder público</w:t>
      </w:r>
      <w:r w:rsidDel="00000000" w:rsidR="00000000" w:rsidRPr="00000000">
        <w:rPr>
          <w:rFonts w:ascii="Palatino Linotype" w:cs="Palatino Linotype" w:eastAsia="Palatino Linotype" w:hAnsi="Palatino Linotype"/>
          <w:rtl w:val="0"/>
        </w:rPr>
        <w:t xml:space="preserve"> o de los sujetos que utilizan o se benefician con recursos provenientes del Estado, es el derecho que tienen los ciudadanos para acceder a documentos y datos que obren en el poder del gobierno.</w:t>
      </w:r>
    </w:p>
    <w:p w:rsidR="00000000" w:rsidDel="00000000" w:rsidP="00000000" w:rsidRDefault="00000000" w:rsidRPr="00000000" w14:paraId="0000014F">
      <w:pPr>
        <w:spacing w:after="240" w:before="240" w:line="360" w:lineRule="auto"/>
        <w:jc w:val="both"/>
        <w:rPr>
          <w:rFonts w:ascii="Palatino Linotype" w:cs="Palatino Linotype" w:eastAsia="Palatino Linotype" w:hAnsi="Palatino Linotype"/>
          <w:sz w:val="44"/>
          <w:szCs w:val="44"/>
          <w:vertAlign w:val="superscript"/>
        </w:rPr>
      </w:pPr>
      <w:r w:rsidDel="00000000" w:rsidR="00000000" w:rsidRPr="00000000">
        <w:rPr>
          <w:rFonts w:ascii="Palatino Linotype" w:cs="Palatino Linotype" w:eastAsia="Palatino Linotype" w:hAnsi="Palatino Linotype"/>
          <w:rtl w:val="0"/>
        </w:rPr>
        <w:t xml:space="preserve">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Del="00000000" w:rsidR="00000000" w:rsidRPr="00000000">
        <w:rPr>
          <w:rFonts w:ascii="Palatino Linotype" w:cs="Palatino Linotype" w:eastAsia="Palatino Linotype" w:hAnsi="Palatino Linotype"/>
          <w:vertAlign w:val="superscript"/>
        </w:rPr>
        <w:footnoteReference w:customMarkFollows="0" w:id="2"/>
      </w:r>
      <w:r w:rsidDel="00000000" w:rsidR="00000000" w:rsidRPr="00000000">
        <w:rPr>
          <w:rtl w:val="0"/>
        </w:rPr>
      </w:r>
    </w:p>
    <w:p w:rsidR="00000000" w:rsidDel="00000000" w:rsidP="00000000" w:rsidRDefault="00000000" w:rsidRPr="00000000" w14:paraId="00000150">
      <w:pPr>
        <w:spacing w:after="240" w:before="240" w:line="360" w:lineRule="auto"/>
        <w:ind w:right="10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De lo anterior se puede concluir que la distinción entre el </w:t>
      </w:r>
      <w:r w:rsidDel="00000000" w:rsidR="00000000" w:rsidRPr="00000000">
        <w:rPr>
          <w:rFonts w:ascii="Palatino Linotype" w:cs="Palatino Linotype" w:eastAsia="Palatino Linotype" w:hAnsi="Palatino Linotype"/>
          <w:b w:val="1"/>
          <w:rtl w:val="0"/>
        </w:rPr>
        <w:t xml:space="preserve">derecho de petición</w:t>
      </w:r>
      <w:r w:rsidDel="00000000" w:rsidR="00000000" w:rsidRPr="00000000">
        <w:rPr>
          <w:rFonts w:ascii="Palatino Linotype" w:cs="Palatino Linotype" w:eastAsia="Palatino Linotype" w:hAnsi="Palatino Linotype"/>
          <w:rtl w:val="0"/>
        </w:rPr>
        <w:t xml:space="preserve"> y el </w:t>
      </w:r>
      <w:r w:rsidDel="00000000" w:rsidR="00000000" w:rsidRPr="00000000">
        <w:rPr>
          <w:rFonts w:ascii="Palatino Linotype" w:cs="Palatino Linotype" w:eastAsia="Palatino Linotype" w:hAnsi="Palatino Linotype"/>
          <w:b w:val="1"/>
          <w:rtl w:val="0"/>
        </w:rPr>
        <w:t xml:space="preserve">derecho de acceso a la información</w:t>
      </w:r>
      <w:r w:rsidDel="00000000" w:rsidR="00000000" w:rsidRPr="00000000">
        <w:rPr>
          <w:rFonts w:ascii="Palatino Linotype" w:cs="Palatino Linotype" w:eastAsia="Palatino Linotype" w:hAnsi="Palatino Linotype"/>
          <w:rtl w:val="0"/>
        </w:rPr>
        <w:t xml:space="preserve"> descansa, principalmente, en que </w:t>
      </w:r>
      <w:r w:rsidDel="00000000" w:rsidR="00000000" w:rsidRPr="00000000">
        <w:rPr>
          <w:rFonts w:ascii="Palatino Linotype" w:cs="Palatino Linotype" w:eastAsia="Palatino Linotype" w:hAnsi="Palatino Linotype"/>
          <w:u w:val="single"/>
          <w:rtl w:val="0"/>
        </w:rPr>
        <w:t xml:space="preserve">la pretensión del peticionario consiste generalmente en obligar a la autoridad responsable a que actúe </w:t>
      </w:r>
      <w:r w:rsidDel="00000000" w:rsidR="00000000" w:rsidRPr="00000000">
        <w:rPr>
          <w:rFonts w:ascii="Palatino Linotype" w:cs="Palatino Linotype" w:eastAsia="Palatino Linotype" w:hAnsi="Palatino Linotype"/>
          <w:rtl w:val="0"/>
        </w:rPr>
        <w:t xml:space="preserve">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000000" w:rsidDel="00000000" w:rsidP="00000000" w:rsidRDefault="00000000" w:rsidRPr="00000000" w14:paraId="00000151">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En tal sentido, en el caso concreto, la persona solicitante pretende obligar a la autoridad a realizar determinada acción con la finalidad de contestar lo solicitado, situación que se traduce en un derecho de petición.</w:t>
      </w:r>
    </w:p>
    <w:p w:rsidR="00000000" w:rsidDel="00000000" w:rsidP="00000000" w:rsidRDefault="00000000" w:rsidRPr="00000000" w14:paraId="00000152">
      <w:pPr>
        <w:spacing w:after="240" w:before="240" w:line="360" w:lineRule="auto"/>
        <w:jc w:val="both"/>
        <w:rPr>
          <w:rFonts w:ascii="Palatino Linotype" w:cs="Palatino Linotype" w:eastAsia="Palatino Linotype" w:hAnsi="Palatino Linotype"/>
          <w:i w:val="1"/>
        </w:rPr>
      </w:pPr>
      <w:r w:rsidDel="00000000" w:rsidR="00000000" w:rsidRPr="00000000">
        <w:rPr>
          <w:rFonts w:ascii="Palatino Linotype" w:cs="Palatino Linotype" w:eastAsia="Palatino Linotype" w:hAnsi="Palatino Linotype"/>
          <w:rtl w:val="0"/>
        </w:rPr>
        <w:t xml:space="preserve">Por otro lado, además solicita la entrega del acuse de recibo del oficio mediante el cual se le hubiera enviado al presidente municipal la solicitud para su conocimiento, como parte de la solicitud, sin embargo,  además de que dicho soporte documental, en caso de existir,  derivaría de un derecho de petición, se trataría de un documento con el cual el </w:t>
      </w:r>
      <w:r w:rsidDel="00000000" w:rsidR="00000000" w:rsidRPr="00000000">
        <w:rPr>
          <w:rFonts w:ascii="Palatino Linotype" w:cs="Palatino Linotype" w:eastAsia="Palatino Linotype" w:hAnsi="Palatino Linotype"/>
          <w:b w:val="1"/>
          <w:rtl w:val="0"/>
        </w:rPr>
        <w:t xml:space="preserve">Sujeto Obligado </w:t>
      </w:r>
      <w:r w:rsidDel="00000000" w:rsidR="00000000" w:rsidRPr="00000000">
        <w:rPr>
          <w:rFonts w:ascii="Palatino Linotype" w:cs="Palatino Linotype" w:eastAsia="Palatino Linotype" w:hAnsi="Palatino Linotype"/>
          <w:rtl w:val="0"/>
        </w:rPr>
        <w:t xml:space="preserve">no contaba a la fecha presentación de la solicitud, por lo que se trataría de una ampliación a la solicitud, ya que el mismo no fue solicitado en un primer momento, como se desprende de la solicitud de información primigenia. En este sentido, dicho pronunciamientos se traduciría como una </w:t>
      </w:r>
      <w:r w:rsidDel="00000000" w:rsidR="00000000" w:rsidRPr="00000000">
        <w:rPr>
          <w:rFonts w:ascii="Palatino Linotype" w:cs="Palatino Linotype" w:eastAsia="Palatino Linotype" w:hAnsi="Palatino Linotype"/>
          <w:i w:val="1"/>
          <w:rtl w:val="0"/>
        </w:rPr>
        <w:t xml:space="preserve">plus petitio</w:t>
      </w:r>
      <w:r w:rsidDel="00000000" w:rsidR="00000000" w:rsidRPr="00000000">
        <w:rPr>
          <w:rFonts w:ascii="Palatino Linotype" w:cs="Palatino Linotype" w:eastAsia="Palatino Linotype" w:hAnsi="Palatino Linotype"/>
          <w:b w:val="1"/>
          <w:i w:val="1"/>
          <w:rtl w:val="0"/>
        </w:rPr>
        <w:t xml:space="preserve">, </w:t>
      </w:r>
      <w:r w:rsidDel="00000000" w:rsidR="00000000" w:rsidRPr="00000000">
        <w:rPr>
          <w:rFonts w:ascii="Palatino Linotype" w:cs="Palatino Linotype" w:eastAsia="Palatino Linotype" w:hAnsi="Palatino Linotype"/>
          <w:rtl w:val="0"/>
        </w:rPr>
        <w:t xml:space="preserve">y por tanto inatendible a través del recurso de revisión. </w:t>
      </w:r>
      <w:r w:rsidDel="00000000" w:rsidR="00000000" w:rsidRPr="00000000">
        <w:rPr>
          <w:rtl w:val="0"/>
        </w:rPr>
      </w:r>
    </w:p>
    <w:p w:rsidR="00000000" w:rsidDel="00000000" w:rsidP="00000000" w:rsidRDefault="00000000" w:rsidRPr="00000000" w14:paraId="00000153">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Lo anterior es así ya que, una vez formulada la solicitud inicial,</w:t>
      </w:r>
      <w:r w:rsidDel="00000000" w:rsidR="00000000" w:rsidRPr="00000000">
        <w:rPr>
          <w:rFonts w:ascii="Palatino Linotype" w:cs="Palatino Linotype" w:eastAsia="Palatino Linotype" w:hAnsi="Palatino Linotype"/>
          <w:i w:val="1"/>
          <w:rtl w:val="0"/>
        </w:rPr>
        <w:t xml:space="preserve"> </w:t>
      </w:r>
      <w:r w:rsidDel="00000000" w:rsidR="00000000" w:rsidRPr="00000000">
        <w:rPr>
          <w:rFonts w:ascii="Palatino Linotype" w:cs="Palatino Linotype" w:eastAsia="Palatino Linotype" w:hAnsi="Palatino Linotype"/>
          <w:rtl w:val="0"/>
        </w:rPr>
        <w:t xml:space="preserve">los particulares no pueden modificarla o ampliarla a través de posteriores promociones o en el momento de ingresar su recurso de revisión, y menos aún si les fue otorgada la oportunidad para su ampliación, por tanto, la materia de las solicitudes de información se circunscribe a que se permita el acceso a los documentos inicialmente solicitados y en su caso a los aclarados o corregidos.</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Palatino Linotype" w:cs="Palatino Linotype" w:eastAsia="Palatino Linotype" w:hAnsi="Palatino Linotype"/>
          <w:b w:val="0"/>
          <w:i w:val="0"/>
          <w:smallCaps w:val="0"/>
          <w:strike w:val="0"/>
          <w:color w:val="000000"/>
          <w:sz w:val="24"/>
          <w:szCs w:val="24"/>
          <w:u w:val="none"/>
          <w:shd w:fill="auto" w:val="clear"/>
          <w:vertAlign w:val="baseline"/>
        </w:rPr>
      </w:pPr>
      <w:r w:rsidDel="00000000" w:rsidR="00000000" w:rsidRPr="00000000">
        <w:rPr>
          <w:rFonts w:ascii="Palatino Linotype" w:cs="Palatino Linotype" w:eastAsia="Palatino Linotype" w:hAnsi="Palatino Linotype"/>
          <w:b w:val="0"/>
          <w:i w:val="0"/>
          <w:smallCaps w:val="0"/>
          <w:strike w:val="0"/>
          <w:color w:val="000000"/>
          <w:sz w:val="24"/>
          <w:szCs w:val="24"/>
          <w:u w:val="none"/>
          <w:shd w:fill="auto" w:val="clear"/>
          <w:vertAlign w:val="baseline"/>
          <w:rtl w:val="0"/>
        </w:rPr>
        <w:t xml:space="preserve">Robustece lo anterior lo plasmado en el criterio orientador número 01/17 emitido por el Instituto Nacional de Transparencia, Acceso a la Información y Protección de Datos Personales, INAI, que lleva por rubro y texto lo que a continuación se transcribe:</w:t>
      </w:r>
    </w:p>
    <w:p w:rsidR="00000000" w:rsidDel="00000000" w:rsidP="00000000" w:rsidRDefault="00000000" w:rsidRPr="00000000" w14:paraId="00000155">
      <w:pPr>
        <w:spacing w:after="240" w:before="240" w:lineRule="auto"/>
        <w:ind w:left="851" w:right="900" w:firstLine="0"/>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Fonts w:ascii="Palatino Linotype" w:cs="Palatino Linotype" w:eastAsia="Palatino Linotype" w:hAnsi="Palatino Linotype"/>
          <w:b w:val="1"/>
          <w:i w:val="1"/>
          <w:sz w:val="22"/>
          <w:szCs w:val="22"/>
          <w:rtl w:val="0"/>
        </w:rPr>
        <w:t xml:space="preserve">Es improcedente ampliar las solicitudes de acceso a información, a través de la interposición del recurso de revisión. </w:t>
      </w:r>
      <w:r w:rsidDel="00000000" w:rsidR="00000000" w:rsidRPr="00000000">
        <w:rPr>
          <w:rFonts w:ascii="Palatino Linotype" w:cs="Palatino Linotype" w:eastAsia="Palatino Linotype" w:hAnsi="Palatino Linotype"/>
          <w:i w:val="1"/>
          <w:sz w:val="22"/>
          <w:szCs w:val="22"/>
          <w:rtl w:val="0"/>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Del="00000000" w:rsidR="00000000" w:rsidRPr="00000000">
        <w:rPr>
          <w:rFonts w:ascii="Palatino Linotype" w:cs="Palatino Linotype" w:eastAsia="Palatino Linotype" w:hAnsi="Palatino Linotype"/>
          <w:b w:val="1"/>
          <w:i w:val="1"/>
          <w:sz w:val="22"/>
          <w:szCs w:val="22"/>
          <w:rtl w:val="0"/>
        </w:rPr>
        <w:t xml:space="preserve">.</w:t>
      </w:r>
      <w:r w:rsidDel="00000000" w:rsidR="00000000" w:rsidRPr="00000000">
        <w:rPr>
          <w:rFonts w:ascii="Palatino Linotype" w:cs="Palatino Linotype" w:eastAsia="Palatino Linotype" w:hAnsi="Palatino Linotype"/>
          <w:i w:val="1"/>
          <w:sz w:val="22"/>
          <w:szCs w:val="22"/>
          <w:rtl w:val="0"/>
        </w:rPr>
        <w:t xml:space="preserve">”</w:t>
      </w:r>
      <w:r w:rsidDel="00000000" w:rsidR="00000000" w:rsidRPr="00000000">
        <w:rPr>
          <w:rtl w:val="0"/>
        </w:rPr>
      </w:r>
    </w:p>
    <w:p w:rsidR="00000000" w:rsidDel="00000000" w:rsidP="00000000" w:rsidRDefault="00000000" w:rsidRPr="00000000" w14:paraId="00000156">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Bajo ese tenor con fundamento en la segunda hipótesis de la fracción I del artículo 186, de la Ley de Transparencia y Acceso a la Información Pública del Estado de México y Municipios, se </w:t>
      </w:r>
      <w:r w:rsidDel="00000000" w:rsidR="00000000" w:rsidRPr="00000000">
        <w:rPr>
          <w:rFonts w:ascii="Palatino Linotype" w:cs="Palatino Linotype" w:eastAsia="Palatino Linotype" w:hAnsi="Palatino Linotype"/>
          <w:b w:val="1"/>
          <w:rtl w:val="0"/>
        </w:rPr>
        <w:t xml:space="preserve">Sobresee </w:t>
      </w:r>
      <w:r w:rsidDel="00000000" w:rsidR="00000000" w:rsidRPr="00000000">
        <w:rPr>
          <w:rFonts w:ascii="Palatino Linotype" w:cs="Palatino Linotype" w:eastAsia="Palatino Linotype" w:hAnsi="Palatino Linotype"/>
          <w:rtl w:val="0"/>
        </w:rPr>
        <w:t xml:space="preserve">el recurso de revisión </w:t>
      </w:r>
      <w:r w:rsidDel="00000000" w:rsidR="00000000" w:rsidRPr="00000000">
        <w:rPr>
          <w:rFonts w:ascii="Palatino Linotype" w:cs="Palatino Linotype" w:eastAsia="Palatino Linotype" w:hAnsi="Palatino Linotype"/>
          <w:b w:val="1"/>
          <w:rtl w:val="0"/>
        </w:rPr>
        <w:t xml:space="preserve">16469/INFOEM/IP/RR/2022</w:t>
      </w:r>
      <w:r w:rsidDel="00000000" w:rsidR="00000000" w:rsidRPr="00000000">
        <w:rPr>
          <w:rFonts w:ascii="Palatino Linotype" w:cs="Palatino Linotype" w:eastAsia="Palatino Linotype" w:hAnsi="Palatino Linotype"/>
          <w:rtl w:val="0"/>
        </w:rPr>
        <w:t xml:space="preserve">, que ha sido materia del presente fallo.</w:t>
      </w:r>
    </w:p>
    <w:p w:rsidR="00000000" w:rsidDel="00000000" w:rsidP="00000000" w:rsidRDefault="00000000" w:rsidRPr="00000000" w14:paraId="00000157">
      <w:pPr>
        <w:pBdr>
          <w:top w:space="0" w:sz="0" w:val="nil"/>
          <w:left w:space="0" w:sz="0" w:val="nil"/>
          <w:bottom w:space="0" w:sz="0" w:val="nil"/>
          <w:right w:space="0" w:sz="0" w:val="nil"/>
          <w:between w:space="0" w:sz="0" w:val="nil"/>
        </w:pBd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000000" w:rsidDel="00000000" w:rsidP="00000000" w:rsidRDefault="00000000" w:rsidRPr="00000000" w14:paraId="00000158">
      <w:pPr>
        <w:pBdr>
          <w:top w:space="0" w:sz="0" w:val="nil"/>
          <w:left w:space="0" w:sz="0" w:val="nil"/>
          <w:bottom w:space="0" w:sz="0" w:val="nil"/>
          <w:right w:space="0" w:sz="0" w:val="nil"/>
          <w:between w:space="0" w:sz="0" w:val="nil"/>
        </w:pBdr>
        <w:spacing w:after="240" w:before="240" w:line="360" w:lineRule="auto"/>
        <w:jc w:val="center"/>
        <w:rPr>
          <w:rFonts w:ascii="Palatino Linotype" w:cs="Palatino Linotype" w:eastAsia="Palatino Linotype" w:hAnsi="Palatino Linotype"/>
          <w:b w:val="1"/>
        </w:rPr>
      </w:pPr>
      <w:r w:rsidDel="00000000" w:rsidR="00000000" w:rsidRPr="00000000">
        <w:rPr>
          <w:rFonts w:ascii="Palatino Linotype" w:cs="Palatino Linotype" w:eastAsia="Palatino Linotype" w:hAnsi="Palatino Linotype"/>
          <w:b w:val="1"/>
          <w:rtl w:val="0"/>
        </w:rPr>
        <w:t xml:space="preserve">III. R E S U E L V E:</w:t>
      </w:r>
    </w:p>
    <w:p w:rsidR="00000000" w:rsidDel="00000000" w:rsidP="00000000" w:rsidRDefault="00000000" w:rsidRPr="00000000" w14:paraId="00000159">
      <w:pPr>
        <w:pBdr>
          <w:top w:space="0" w:sz="0" w:val="nil"/>
          <w:left w:space="0" w:sz="0" w:val="nil"/>
          <w:bottom w:space="0" w:sz="0" w:val="nil"/>
          <w:right w:space="0" w:sz="0" w:val="nil"/>
          <w:between w:space="0" w:sz="0" w:val="nil"/>
        </w:pBdr>
        <w:tabs>
          <w:tab w:val="left" w:leader="none" w:pos="7936"/>
        </w:tabs>
        <w:spacing w:after="240" w:before="240" w:line="360" w:lineRule="auto"/>
        <w:jc w:val="both"/>
        <w:rPr>
          <w:rFonts w:ascii="Palatino Linotype" w:cs="Palatino Linotype" w:eastAsia="Palatino Linotype" w:hAnsi="Palatino Linotype"/>
        </w:rPr>
      </w:pPr>
      <w:bookmarkStart w:colFirst="0" w:colLast="0" w:name="_heading=h.3dy6vkm" w:id="9"/>
      <w:bookmarkEnd w:id="9"/>
      <w:r w:rsidDel="00000000" w:rsidR="00000000" w:rsidRPr="00000000">
        <w:rPr>
          <w:rFonts w:ascii="Palatino Linotype" w:cs="Palatino Linotype" w:eastAsia="Palatino Linotype" w:hAnsi="Palatino Linotype"/>
          <w:b w:val="1"/>
          <w:rtl w:val="0"/>
        </w:rPr>
        <w:t xml:space="preserve">Primero. </w:t>
      </w:r>
      <w:r w:rsidDel="00000000" w:rsidR="00000000" w:rsidRPr="00000000">
        <w:rPr>
          <w:rFonts w:ascii="Palatino Linotype" w:cs="Palatino Linotype" w:eastAsia="Palatino Linotype" w:hAnsi="Palatino Linotype"/>
          <w:rtl w:val="0"/>
        </w:rPr>
        <w:t xml:space="preserve">Se</w:t>
      </w:r>
      <w:r w:rsidDel="00000000" w:rsidR="00000000" w:rsidRPr="00000000">
        <w:rPr>
          <w:rFonts w:ascii="Palatino Linotype" w:cs="Palatino Linotype" w:eastAsia="Palatino Linotype" w:hAnsi="Palatino Linotype"/>
          <w:b w:val="1"/>
          <w:rtl w:val="0"/>
        </w:rPr>
        <w:t xml:space="preserve"> Sobresee </w:t>
      </w:r>
      <w:r w:rsidDel="00000000" w:rsidR="00000000" w:rsidRPr="00000000">
        <w:rPr>
          <w:rFonts w:ascii="Palatino Linotype" w:cs="Palatino Linotype" w:eastAsia="Palatino Linotype" w:hAnsi="Palatino Linotype"/>
          <w:rtl w:val="0"/>
        </w:rPr>
        <w:t xml:space="preserve">el recurso de revisión número </w:t>
      </w:r>
      <w:r w:rsidDel="00000000" w:rsidR="00000000" w:rsidRPr="00000000">
        <w:rPr>
          <w:rFonts w:ascii="Palatino Linotype" w:cs="Palatino Linotype" w:eastAsia="Palatino Linotype" w:hAnsi="Palatino Linotype"/>
          <w:b w:val="1"/>
          <w:rtl w:val="0"/>
        </w:rPr>
        <w:t xml:space="preserve">16469/INFOEM/IP/RR/2022, </w:t>
      </w:r>
      <w:r w:rsidDel="00000000" w:rsidR="00000000" w:rsidRPr="00000000">
        <w:rPr>
          <w:rFonts w:ascii="Palatino Linotype" w:cs="Palatino Linotype" w:eastAsia="Palatino Linotype" w:hAnsi="Palatino Linotype"/>
          <w:rtl w:val="0"/>
        </w:rPr>
        <w:t xml:space="preserve">porque una vez admitido se actualizó la causal de improcedencia prevista en artículo 192 fracción IV, en relación con la fracción III del artículo 191, de la Ley de Transparencia vigente en la entidad, que lo dejó sin materia en términos del Considerando</w:t>
      </w:r>
      <w:r w:rsidDel="00000000" w:rsidR="00000000" w:rsidRPr="00000000">
        <w:rPr>
          <w:rFonts w:ascii="Palatino Linotype" w:cs="Palatino Linotype" w:eastAsia="Palatino Linotype" w:hAnsi="Palatino Linotype"/>
          <w:b w:val="1"/>
          <w:rtl w:val="0"/>
        </w:rPr>
        <w:t xml:space="preserve"> Tercero d</w:t>
      </w:r>
      <w:r w:rsidDel="00000000" w:rsidR="00000000" w:rsidRPr="00000000">
        <w:rPr>
          <w:rFonts w:ascii="Palatino Linotype" w:cs="Palatino Linotype" w:eastAsia="Palatino Linotype" w:hAnsi="Palatino Linotype"/>
          <w:rtl w:val="0"/>
        </w:rPr>
        <w:t xml:space="preserve">e la presente resolución.</w:t>
      </w:r>
    </w:p>
    <w:p w:rsidR="00000000" w:rsidDel="00000000" w:rsidP="00000000" w:rsidRDefault="00000000" w:rsidRPr="00000000" w14:paraId="0000015A">
      <w:pPr>
        <w:pBdr>
          <w:top w:space="0" w:sz="0" w:val="nil"/>
          <w:left w:space="0" w:sz="0" w:val="nil"/>
          <w:bottom w:space="0" w:sz="0" w:val="nil"/>
          <w:right w:space="0" w:sz="0" w:val="nil"/>
          <w:between w:space="0" w:sz="0" w:val="nil"/>
        </w:pBdr>
        <w:tabs>
          <w:tab w:val="left" w:leader="none" w:pos="7936"/>
        </w:tabs>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Segundo.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al Responsable de la Unidad de Transparencia del </w:t>
      </w:r>
      <w:r w:rsidDel="00000000" w:rsidR="00000000" w:rsidRPr="00000000">
        <w:rPr>
          <w:rFonts w:ascii="Palatino Linotype" w:cs="Palatino Linotype" w:eastAsia="Palatino Linotype" w:hAnsi="Palatino Linotype"/>
          <w:b w:val="1"/>
          <w:rtl w:val="0"/>
        </w:rPr>
        <w:t xml:space="preserve">Sujeto Obligado</w:t>
      </w:r>
      <w:r w:rsidDel="00000000" w:rsidR="00000000" w:rsidRPr="00000000">
        <w:rPr>
          <w:rFonts w:ascii="Palatino Linotype" w:cs="Palatino Linotype" w:eastAsia="Palatino Linotype" w:hAnsi="Palatino Linotype"/>
          <w:rtl w:val="0"/>
        </w:rPr>
        <w:t xml:space="preserve"> la presente resolución, para su conocimiento.</w:t>
      </w:r>
    </w:p>
    <w:p w:rsidR="00000000" w:rsidDel="00000000" w:rsidP="00000000" w:rsidRDefault="00000000" w:rsidRPr="00000000" w14:paraId="0000015B">
      <w:pPr>
        <w:spacing w:after="240" w:before="240"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b w:val="1"/>
          <w:rtl w:val="0"/>
        </w:rPr>
        <w:t xml:space="preserve">Tercero. Notifíquese, </w:t>
      </w:r>
      <w:r w:rsidDel="00000000" w:rsidR="00000000" w:rsidRPr="00000000">
        <w:rPr>
          <w:rFonts w:ascii="Palatino Linotype" w:cs="Palatino Linotype" w:eastAsia="Palatino Linotype" w:hAnsi="Palatino Linotype"/>
          <w:rtl w:val="0"/>
        </w:rPr>
        <w:t xml:space="preserve">vía</w:t>
      </w:r>
      <w:r w:rsidDel="00000000" w:rsidR="00000000" w:rsidRPr="00000000">
        <w:rPr>
          <w:rFonts w:ascii="Palatino Linotype" w:cs="Palatino Linotype" w:eastAsia="Palatino Linotype" w:hAnsi="Palatino Linotype"/>
          <w:b w:val="1"/>
          <w:rtl w:val="0"/>
        </w:rPr>
        <w:t xml:space="preserve"> SAIMEX</w:t>
      </w:r>
      <w:r w:rsidDel="00000000" w:rsidR="00000000" w:rsidRPr="00000000">
        <w:rPr>
          <w:rFonts w:ascii="Palatino Linotype" w:cs="Palatino Linotype" w:eastAsia="Palatino Linotype" w:hAnsi="Palatino Linotype"/>
          <w:rtl w:val="0"/>
        </w:rPr>
        <w:t xml:space="preserve"> y mediante </w:t>
      </w:r>
      <w:r w:rsidDel="00000000" w:rsidR="00000000" w:rsidRPr="00000000">
        <w:rPr>
          <w:rFonts w:ascii="Palatino Linotype" w:cs="Palatino Linotype" w:eastAsia="Palatino Linotype" w:hAnsi="Palatino Linotype"/>
          <w:b w:val="1"/>
          <w:rtl w:val="0"/>
        </w:rPr>
        <w:t xml:space="preserve">correo electrónico</w:t>
      </w:r>
      <w:r w:rsidDel="00000000" w:rsidR="00000000" w:rsidRPr="00000000">
        <w:rPr>
          <w:rFonts w:ascii="Palatino Linotype" w:cs="Palatino Linotype" w:eastAsia="Palatino Linotype" w:hAnsi="Palatino Linotype"/>
          <w:rtl w:val="0"/>
        </w:rPr>
        <w:t xml:space="preserve"> a</w:t>
      </w:r>
      <w:r w:rsidDel="00000000" w:rsidR="00000000" w:rsidRPr="00000000">
        <w:rPr>
          <w:rFonts w:ascii="Palatino Linotype" w:cs="Palatino Linotype" w:eastAsia="Palatino Linotype" w:hAnsi="Palatino Linotype"/>
          <w:b w:val="1"/>
          <w:rtl w:val="0"/>
        </w:rPr>
        <w:t xml:space="preserve"> </w:t>
      </w:r>
      <w:r w:rsidDel="00000000" w:rsidR="00000000" w:rsidRPr="00000000">
        <w:rPr>
          <w:rFonts w:ascii="Palatino Linotype" w:cs="Palatino Linotype" w:eastAsia="Palatino Linotype" w:hAnsi="Palatino Linotype"/>
          <w:rtl w:val="0"/>
        </w:rPr>
        <w:t xml:space="preserve">la parte </w:t>
      </w:r>
      <w:r w:rsidDel="00000000" w:rsidR="00000000" w:rsidRPr="00000000">
        <w:rPr>
          <w:rFonts w:ascii="Palatino Linotype" w:cs="Palatino Linotype" w:eastAsia="Palatino Linotype" w:hAnsi="Palatino Linotype"/>
          <w:b w:val="1"/>
          <w:rtl w:val="0"/>
        </w:rPr>
        <w:t xml:space="preserve">Recurrente</w:t>
      </w:r>
      <w:r w:rsidDel="00000000" w:rsidR="00000000" w:rsidRPr="00000000">
        <w:rPr>
          <w:rFonts w:ascii="Palatino Linotype" w:cs="Palatino Linotype" w:eastAsia="Palatino Linotype" w:hAnsi="Palatino Linotype"/>
          <w:rtl w:val="0"/>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000000" w:rsidDel="00000000" w:rsidP="00000000" w:rsidRDefault="00000000" w:rsidRPr="00000000" w14:paraId="0000015C">
      <w:pPr>
        <w:spacing w:line="360" w:lineRule="auto"/>
        <w:jc w:val="both"/>
        <w:rPr>
          <w:rFonts w:ascii="Palatino Linotype" w:cs="Palatino Linotype" w:eastAsia="Palatino Linotype" w:hAnsi="Palatino Linotype"/>
        </w:rPr>
      </w:pPr>
      <w:r w:rsidDel="00000000" w:rsidR="00000000" w:rsidRPr="00000000">
        <w:rPr>
          <w:rFonts w:ascii="Palatino Linotype" w:cs="Palatino Linotype" w:eastAsia="Palatino Linotype" w:hAnsi="Palatino Linotype"/>
          <w:rtl w:val="0"/>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SESIÓN ORDINARIA CELEBRADA EL UNO DE MARZO DE DOS MIL VEINTITRÉS, ANTE EL SECRETARIO TÉCNICO DEL PLENO ALEXIS TAPIA RAMÍREZ.</w:t>
      </w:r>
    </w:p>
    <w:p w:rsidR="00000000" w:rsidDel="00000000" w:rsidP="00000000" w:rsidRDefault="00000000" w:rsidRPr="00000000" w14:paraId="0000015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5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5F">
      <w:pPr>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4">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5">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6">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7">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8">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9">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A">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B">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C">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D">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E">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6F">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0">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1">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2">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3">
      <w:pPr>
        <w:spacing w:line="360" w:lineRule="auto"/>
        <w:jc w:val="both"/>
        <w:rPr>
          <w:rFonts w:ascii="Palatino Linotype" w:cs="Palatino Linotype" w:eastAsia="Palatino Linotype" w:hAnsi="Palatino Linotype"/>
        </w:rPr>
      </w:pPr>
      <w:r w:rsidDel="00000000" w:rsidR="00000000" w:rsidRPr="00000000">
        <w:rPr>
          <w:rtl w:val="0"/>
        </w:rPr>
      </w:r>
    </w:p>
    <w:p w:rsidR="00000000" w:rsidDel="00000000" w:rsidP="00000000" w:rsidRDefault="00000000" w:rsidRPr="00000000" w14:paraId="00000174">
      <w:pPr>
        <w:spacing w:line="360" w:lineRule="auto"/>
        <w:jc w:val="both"/>
        <w:rPr>
          <w:rFonts w:ascii="Palatino Linotype" w:cs="Palatino Linotype" w:eastAsia="Palatino Linotype" w:hAnsi="Palatino Linotype"/>
        </w:rPr>
      </w:pPr>
      <w:r w:rsidDel="00000000" w:rsidR="00000000" w:rsidRPr="00000000">
        <w:rPr>
          <w:rtl w:val="0"/>
        </w:rPr>
      </w:r>
    </w:p>
    <w:sectPr>
      <w:headerReference r:id="rId12" w:type="default"/>
      <w:headerReference r:id="rId13" w:type="first"/>
      <w:footerReference r:id="rId14" w:type="default"/>
      <w:footerReference r:id="rId15" w:type="first"/>
      <w:pgSz w:h="15840" w:w="12240" w:orient="portrait"/>
      <w:pgMar w:bottom="1701" w:top="1985" w:left="1701" w:right="170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B">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C">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D">
    <w:pPr>
      <w:pBdr>
        <w:top w:space="0" w:sz="0" w:val="nil"/>
        <w:left w:space="0" w:sz="0" w:val="nil"/>
        <w:bottom w:space="0" w:sz="0" w:val="nil"/>
        <w:right w:space="0" w:sz="0" w:val="nil"/>
        <w:between w:space="0" w:sz="0" w:val="nil"/>
      </w:pBdr>
      <w:tabs>
        <w:tab w:val="center" w:leader="none" w:pos="4252"/>
        <w:tab w:val="right" w:leader="none" w:pos="8504"/>
      </w:tabs>
      <w:jc w:val="right"/>
      <w:rPr>
        <w:rFonts w:ascii="Palatino Linotype" w:cs="Palatino Linotype" w:eastAsia="Palatino Linotype" w:hAnsi="Palatino Linotype"/>
        <w:color w:val="000000"/>
        <w:sz w:val="20"/>
        <w:szCs w:val="20"/>
      </w:rPr>
    </w:pPr>
    <w:r w:rsidDel="00000000" w:rsidR="00000000" w:rsidRPr="00000000">
      <w:rPr>
        <w:rFonts w:ascii="Palatino Linotype" w:cs="Palatino Linotype" w:eastAsia="Palatino Linotype" w:hAnsi="Palatino Linotype"/>
        <w:b w:val="1"/>
        <w:color w:val="000000"/>
        <w:sz w:val="20"/>
        <w:szCs w:val="20"/>
        <w:rtl w:val="0"/>
      </w:rPr>
      <w:t xml:space="preserve">Página </w:t>
    </w:r>
    <w:r w:rsidDel="00000000" w:rsidR="00000000" w:rsidRPr="00000000">
      <w:rPr>
        <w:rFonts w:ascii="Palatino Linotype" w:cs="Palatino Linotype" w:eastAsia="Palatino Linotype" w:hAnsi="Palatino Linotype"/>
        <w:b w:val="1"/>
        <w:color w:val="000000"/>
        <w:sz w:val="20"/>
        <w:szCs w:val="20"/>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color w:val="000000"/>
        <w:sz w:val="20"/>
        <w:szCs w:val="20"/>
        <w:rtl w:val="0"/>
      </w:rPr>
      <w:t xml:space="preserve"> de </w:t>
    </w:r>
    <w:r w:rsidDel="00000000" w:rsidR="00000000" w:rsidRPr="00000000">
      <w:rPr>
        <w:rFonts w:ascii="Palatino Linotype" w:cs="Palatino Linotype" w:eastAsia="Palatino Linotype" w:hAnsi="Palatino Linotype"/>
        <w:b w:val="1"/>
        <w:color w:val="000000"/>
        <w:sz w:val="20"/>
        <w:szCs w:val="20"/>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leader="none" w:pos="4252"/>
        <w:tab w:val="right" w:leader="none" w:pos="8504"/>
      </w:tabs>
      <w:ind w:firstLine="708"/>
      <w:rPr>
        <w:rFonts w:ascii="Cambria" w:cs="Cambria" w:eastAsia="Cambria" w:hAnsi="Cambria"/>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175">
      <w:pPr>
        <w:jc w:val="both"/>
        <w:rPr>
          <w:rFonts w:ascii="Palatino Linotype" w:cs="Palatino Linotype" w:eastAsia="Palatino Linotype" w:hAnsi="Palatino Linotype"/>
          <w:sz w:val="16"/>
          <w:szCs w:val="16"/>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Palatino Linotype" w:cs="Palatino Linotype" w:eastAsia="Palatino Linotype" w:hAnsi="Palatino Linotype"/>
          <w:sz w:val="16"/>
          <w:szCs w:val="16"/>
          <w:rtl w:val="0"/>
        </w:rPr>
        <w:t xml:space="preserve">CIENFUEGOS SALGADO David. El Derecho de Petición en México. Ed. Instituto de Investigaciones Jurídica UNAM. México 2004. p. 31</w:t>
      </w:r>
    </w:p>
    <w:p w:rsidR="00000000" w:rsidDel="00000000" w:rsidP="00000000" w:rsidRDefault="00000000" w:rsidRPr="00000000" w14:paraId="00000176">
      <w:pPr>
        <w:pBdr>
          <w:top w:space="0" w:sz="0" w:val="nil"/>
          <w:left w:space="0" w:sz="0" w:val="nil"/>
          <w:bottom w:space="0" w:sz="0" w:val="nil"/>
          <w:right w:space="0" w:sz="0" w:val="nil"/>
          <w:between w:space="0" w:sz="0" w:val="nil"/>
        </w:pBdr>
        <w:rPr>
          <w:color w:val="000000"/>
          <w:sz w:val="20"/>
          <w:szCs w:val="20"/>
        </w:rPr>
      </w:pPr>
      <w:r w:rsidDel="00000000" w:rsidR="00000000" w:rsidRPr="00000000">
        <w:rPr>
          <w:rtl w:val="0"/>
        </w:rPr>
      </w:r>
    </w:p>
  </w:footnote>
  <w:footnote w:id="1">
    <w:p w:rsidR="00000000" w:rsidDel="00000000" w:rsidP="00000000" w:rsidRDefault="00000000" w:rsidRPr="00000000" w14:paraId="00000177">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Carbonell, M. (2004). Los Derechos Fundamentales (Primera Edición ed.), México: Instituto de investigaciones Jurídicas.</w:t>
      </w:r>
      <w:r w:rsidDel="00000000" w:rsidR="00000000" w:rsidRPr="00000000">
        <w:rPr>
          <w:rtl w:val="0"/>
        </w:rPr>
      </w:r>
    </w:p>
  </w:footnote>
  <w:footnote w:id="2">
    <w:p w:rsidR="00000000" w:rsidDel="00000000" w:rsidP="00000000" w:rsidRDefault="00000000" w:rsidRPr="00000000" w14:paraId="00000178">
      <w:pPr>
        <w:pBdr>
          <w:top w:space="0" w:sz="0" w:val="nil"/>
          <w:left w:space="0" w:sz="0" w:val="nil"/>
          <w:bottom w:space="0" w:sz="0" w:val="nil"/>
          <w:right w:space="0" w:sz="0" w:val="nil"/>
          <w:between w:space="0" w:sz="0" w:val="nil"/>
        </w:pBdr>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Palatino Linotype" w:cs="Palatino Linotype" w:eastAsia="Palatino Linotype" w:hAnsi="Palatino Linotype"/>
          <w:color w:val="000000"/>
          <w:sz w:val="16"/>
          <w:szCs w:val="16"/>
          <w:rtl w:val="0"/>
        </w:rPr>
        <w:t xml:space="preserve">VILLANUEVA VILLANUEVA Ernesto, Derecho de la Información, Ed, Porrúa S.A., México. 2006, pág.270.</w:t>
      </w:r>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pacing w:line="276" w:lineRule="auto"/>
      <w:rPr>
        <w:rFonts w:ascii="Palatino Linotype" w:cs="Palatino Linotype" w:eastAsia="Palatino Linotype" w:hAnsi="Palatino Linotype"/>
        <w:color w:val="000000"/>
        <w:sz w:val="16"/>
        <w:szCs w:val="16"/>
      </w:rPr>
    </w:pPr>
    <w:r w:rsidDel="00000000" w:rsidR="00000000" w:rsidRPr="00000000">
      <w:rPr>
        <w:rtl w:val="0"/>
      </w:rPr>
    </w:r>
  </w:p>
  <w:tbl>
    <w:tblPr>
      <w:tblStyle w:val="Table1"/>
      <w:tblW w:w="5670.0" w:type="dxa"/>
      <w:jc w:val="left"/>
      <w:tblInd w:w="3261.0" w:type="dxa"/>
      <w:tblLayout w:type="fixed"/>
      <w:tblLook w:val="0400"/>
    </w:tblPr>
    <w:tblGrid>
      <w:gridCol w:w="2551"/>
      <w:gridCol w:w="3119"/>
      <w:tblGridChange w:id="0">
        <w:tblGrid>
          <w:gridCol w:w="2551"/>
          <w:gridCol w:w="3119"/>
        </w:tblGrid>
      </w:tblGridChange>
    </w:tblGrid>
    <w:tr>
      <w:trPr>
        <w:cantSplit w:val="0"/>
        <w:tblHeader w:val="0"/>
      </w:trPr>
      <w:tc>
        <w:tcPr>
          <w:shd w:fill="auto" w:val="clear"/>
          <w:vAlign w:val="center"/>
        </w:tcPr>
        <w:p w:rsidR="00000000" w:rsidDel="00000000" w:rsidP="00000000" w:rsidRDefault="00000000" w:rsidRPr="00000000" w14:paraId="0000017A">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7B">
          <w:pPr>
            <w:tabs>
              <w:tab w:val="left" w:leader="none" w:pos="3153"/>
            </w:tabs>
            <w:ind w:left="-45"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16469/INFOEM/IP/RR/2022</w:t>
          </w:r>
        </w:p>
      </w:tc>
    </w:tr>
    <w:tr>
      <w:trPr>
        <w:cantSplit w:val="0"/>
        <w:trHeight w:val="130" w:hRule="atLeast"/>
        <w:tblHeader w:val="0"/>
      </w:trPr>
      <w:tc>
        <w:tcPr>
          <w:shd w:fill="auto" w:val="clear"/>
          <w:vAlign w:val="center"/>
        </w:tcPr>
        <w:p w:rsidR="00000000" w:rsidDel="00000000" w:rsidP="00000000" w:rsidRDefault="00000000" w:rsidRPr="00000000" w14:paraId="0000017C">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Recurrente:</w:t>
          </w:r>
        </w:p>
      </w:tc>
      <w:tc>
        <w:tcPr>
          <w:shd w:fill="auto" w:val="clear"/>
          <w:vAlign w:val="center"/>
        </w:tcPr>
        <w:p w:rsidR="00000000" w:rsidDel="00000000" w:rsidP="00000000" w:rsidRDefault="00000000" w:rsidRPr="00000000" w14:paraId="0000017D">
          <w:pPr>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XXXXXX XXXX XXXXXXX</w:t>
          </w:r>
        </w:p>
      </w:tc>
    </w:tr>
    <w:tr>
      <w:trPr>
        <w:cantSplit w:val="0"/>
        <w:trHeight w:val="228" w:hRule="atLeast"/>
        <w:tblHeader w:val="0"/>
      </w:trPr>
      <w:tc>
        <w:tcPr>
          <w:shd w:fill="auto" w:val="clear"/>
          <w:vAlign w:val="center"/>
        </w:tcPr>
        <w:p w:rsidR="00000000" w:rsidDel="00000000" w:rsidP="00000000" w:rsidRDefault="00000000" w:rsidRPr="00000000" w14:paraId="0000017E">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7F">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Capulhuac</w:t>
          </w:r>
        </w:p>
      </w:tc>
    </w:tr>
    <w:tr>
      <w:trPr>
        <w:cantSplit w:val="0"/>
        <w:tblHeader w:val="0"/>
      </w:trPr>
      <w:tc>
        <w:tcPr>
          <w:shd w:fill="auto" w:val="clear"/>
          <w:vAlign w:val="center"/>
        </w:tcPr>
        <w:p w:rsidR="00000000" w:rsidDel="00000000" w:rsidP="00000000" w:rsidRDefault="00000000" w:rsidRPr="00000000" w14:paraId="00000180">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181">
          <w:pPr>
            <w:ind w:left="-45" w:right="-533"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82">
    <w:pPr>
      <w:pBdr>
        <w:top w:space="0" w:sz="0" w:val="nil"/>
        <w:left w:space="0" w:sz="0" w:val="nil"/>
        <w:bottom w:space="0" w:sz="0" w:val="nil"/>
        <w:right w:space="0" w:sz="0" w:val="nil"/>
        <w:between w:space="0" w:sz="0" w:val="nil"/>
      </w:pBdr>
      <w:tabs>
        <w:tab w:val="center" w:leader="none" w:pos="4252"/>
        <w:tab w:val="right" w:leader="none" w:pos="8504"/>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-1089655</wp:posOffset>
          </wp:positionH>
          <wp:positionV relativeFrom="paragraph">
            <wp:posOffset>-1169665</wp:posOffset>
          </wp:positionV>
          <wp:extent cx="7809865" cy="10165715"/>
          <wp:effectExtent b="0" l="0" r="0" t="0"/>
          <wp:wrapNone/>
          <wp:docPr id="97"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3">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mbria" w:cs="Cambria" w:eastAsia="Cambria" w:hAnsi="Cambria"/>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-1080130</wp:posOffset>
          </wp:positionH>
          <wp:positionV relativeFrom="paragraph">
            <wp:posOffset>-488310</wp:posOffset>
          </wp:positionV>
          <wp:extent cx="7809865" cy="10165715"/>
          <wp:effectExtent b="0" l="0" r="0" t="0"/>
          <wp:wrapNone/>
          <wp:docPr id="96"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09865" cy="10165715"/>
                  </a:xfrm>
                  <a:prstGeom prst="rect"/>
                  <a:ln/>
                </pic:spPr>
              </pic:pic>
            </a:graphicData>
          </a:graphic>
        </wp:anchor>
      </w:drawing>
    </w:r>
  </w:p>
  <w:tbl>
    <w:tblPr>
      <w:tblStyle w:val="Table2"/>
      <w:tblW w:w="5953.0" w:type="dxa"/>
      <w:jc w:val="left"/>
      <w:tblInd w:w="3261.0" w:type="dxa"/>
      <w:tblLayout w:type="fixed"/>
      <w:tblLook w:val="0400"/>
    </w:tblPr>
    <w:tblGrid>
      <w:gridCol w:w="2489"/>
      <w:gridCol w:w="3464"/>
      <w:tblGridChange w:id="0">
        <w:tblGrid>
          <w:gridCol w:w="2489"/>
          <w:gridCol w:w="3464"/>
        </w:tblGrid>
      </w:tblGridChange>
    </w:tblGrid>
    <w:tr>
      <w:trPr>
        <w:cantSplit w:val="0"/>
        <w:tblHeader w:val="0"/>
      </w:trPr>
      <w:tc>
        <w:tcPr>
          <w:shd w:fill="auto" w:val="clear"/>
        </w:tcPr>
        <w:p w:rsidR="00000000" w:rsidDel="00000000" w:rsidP="00000000" w:rsidRDefault="00000000" w:rsidRPr="00000000" w14:paraId="00000184">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Recurso de Revisión:</w:t>
          </w:r>
        </w:p>
      </w:tc>
      <w:tc>
        <w:tcPr>
          <w:shd w:fill="auto" w:val="clear"/>
          <w:vAlign w:val="center"/>
        </w:tcPr>
        <w:p w:rsidR="00000000" w:rsidDel="00000000" w:rsidP="00000000" w:rsidRDefault="00000000" w:rsidRPr="00000000" w14:paraId="00000185">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16469/INFOEM/IP/RR/2022</w:t>
          </w:r>
        </w:p>
      </w:tc>
    </w:tr>
    <w:tr>
      <w:trPr>
        <w:cantSplit w:val="0"/>
        <w:trHeight w:val="228" w:hRule="atLeast"/>
        <w:tblHeader w:val="0"/>
      </w:trPr>
      <w:tc>
        <w:tcPr>
          <w:shd w:fill="auto" w:val="clear"/>
          <w:vAlign w:val="center"/>
        </w:tcPr>
        <w:p w:rsidR="00000000" w:rsidDel="00000000" w:rsidP="00000000" w:rsidRDefault="00000000" w:rsidRPr="00000000" w14:paraId="00000186">
          <w:pPr>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Sujeto Obligado:</w:t>
          </w:r>
        </w:p>
      </w:tc>
      <w:tc>
        <w:tcPr>
          <w:shd w:fill="auto" w:val="clear"/>
          <w:vAlign w:val="center"/>
        </w:tcPr>
        <w:p w:rsidR="00000000" w:rsidDel="00000000" w:rsidP="00000000" w:rsidRDefault="00000000" w:rsidRPr="00000000" w14:paraId="00000187">
          <w:pPr>
            <w:ind w:left="-45" w:right="176" w:firstLine="0"/>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Ayuntamiento de Capulhuac</w:t>
          </w:r>
        </w:p>
      </w:tc>
    </w:tr>
    <w:tr>
      <w:trPr>
        <w:cantSplit w:val="0"/>
        <w:tblHeader w:val="0"/>
      </w:trPr>
      <w:tc>
        <w:tcPr>
          <w:shd w:fill="auto" w:val="clear"/>
          <w:vAlign w:val="center"/>
        </w:tcPr>
        <w:p w:rsidR="00000000" w:rsidDel="00000000" w:rsidP="00000000" w:rsidRDefault="00000000" w:rsidRPr="00000000" w14:paraId="00000188">
          <w:pPr>
            <w:ind w:right="-108"/>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Comisionada ponente:</w:t>
          </w:r>
        </w:p>
      </w:tc>
      <w:tc>
        <w:tcPr>
          <w:shd w:fill="auto" w:val="clear"/>
          <w:vAlign w:val="center"/>
        </w:tcPr>
        <w:p w:rsidR="00000000" w:rsidDel="00000000" w:rsidP="00000000" w:rsidRDefault="00000000" w:rsidRPr="00000000" w14:paraId="00000189">
          <w:pPr>
            <w:ind w:right="175"/>
            <w:jc w:val="both"/>
            <w:rPr>
              <w:rFonts w:ascii="Palatino Linotype" w:cs="Palatino Linotype" w:eastAsia="Palatino Linotype" w:hAnsi="Palatino Linotype"/>
              <w:b w:val="1"/>
              <w:sz w:val="22"/>
              <w:szCs w:val="22"/>
            </w:rPr>
          </w:pPr>
          <w:r w:rsidDel="00000000" w:rsidR="00000000" w:rsidRPr="00000000">
            <w:rPr>
              <w:rFonts w:ascii="Palatino Linotype" w:cs="Palatino Linotype" w:eastAsia="Palatino Linotype" w:hAnsi="Palatino Linotype"/>
              <w:b w:val="1"/>
              <w:sz w:val="22"/>
              <w:szCs w:val="22"/>
              <w:rtl w:val="0"/>
            </w:rPr>
            <w:t xml:space="preserve">Guadalupe Ramírez Peña</w:t>
          </w:r>
        </w:p>
      </w:tc>
    </w:tr>
  </w:tbl>
  <w:p w:rsidR="00000000" w:rsidDel="00000000" w:rsidP="00000000" w:rsidRDefault="00000000" w:rsidRPr="00000000" w14:paraId="0000018A">
    <w:pPr>
      <w:pBdr>
        <w:top w:space="0" w:sz="0" w:val="nil"/>
        <w:left w:space="0" w:sz="0" w:val="nil"/>
        <w:bottom w:space="0" w:sz="0" w:val="nil"/>
        <w:right w:space="0" w:sz="0" w:val="nil"/>
        <w:between w:space="0" w:sz="0" w:val="nil"/>
      </w:pBdr>
      <w:tabs>
        <w:tab w:val="center" w:leader="none" w:pos="4252"/>
        <w:tab w:val="right" w:leader="none" w:pos="8504"/>
        <w:tab w:val="left" w:leader="none" w:pos="2326"/>
      </w:tabs>
      <w:rPr>
        <w:rFonts w:ascii="Cambria" w:cs="Cambria" w:eastAsia="Cambria" w:hAnsi="Cambria"/>
        <w:color w:val="000000"/>
      </w:rPr>
    </w:pPr>
    <w:r w:rsidDel="00000000" w:rsidR="00000000" w:rsidRPr="00000000">
      <w:rPr>
        <w:rFonts w:ascii="Cambria" w:cs="Cambria" w:eastAsia="Cambria" w:hAnsi="Cambria"/>
        <w:color w:val="000000"/>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927" w:hanging="360"/>
      </w:pPr>
      <w:rPr/>
    </w:lvl>
    <w:lvl w:ilvl="1">
      <w:start w:val="1"/>
      <w:numFmt w:val="lowerLetter"/>
      <w:lvlText w:val="%2."/>
      <w:lvlJc w:val="left"/>
      <w:pPr>
        <w:ind w:left="1647" w:hanging="360"/>
      </w:pPr>
      <w:rPr/>
    </w:lvl>
    <w:lvl w:ilvl="2">
      <w:start w:val="1"/>
      <w:numFmt w:val="lowerRoman"/>
      <w:lvlText w:val="%3."/>
      <w:lvlJc w:val="right"/>
      <w:pPr>
        <w:ind w:left="2367" w:hanging="180"/>
      </w:pPr>
      <w:rPr/>
    </w:lvl>
    <w:lvl w:ilvl="3">
      <w:start w:val="1"/>
      <w:numFmt w:val="decimal"/>
      <w:lvlText w:val="%4."/>
      <w:lvlJc w:val="left"/>
      <w:pPr>
        <w:ind w:left="3087" w:hanging="360"/>
      </w:pPr>
      <w:rPr/>
    </w:lvl>
    <w:lvl w:ilvl="4">
      <w:start w:val="1"/>
      <w:numFmt w:val="lowerLetter"/>
      <w:lvlText w:val="%5."/>
      <w:lvlJc w:val="left"/>
      <w:pPr>
        <w:ind w:left="3807" w:hanging="360"/>
      </w:pPr>
      <w:rPr/>
    </w:lvl>
    <w:lvl w:ilvl="5">
      <w:start w:val="1"/>
      <w:numFmt w:val="lowerRoman"/>
      <w:lvlText w:val="%6."/>
      <w:lvlJc w:val="right"/>
      <w:pPr>
        <w:ind w:left="4527" w:hanging="180"/>
      </w:pPr>
      <w:rPr/>
    </w:lvl>
    <w:lvl w:ilvl="6">
      <w:start w:val="1"/>
      <w:numFmt w:val="decimal"/>
      <w:lvlText w:val="%7."/>
      <w:lvlJc w:val="left"/>
      <w:pPr>
        <w:ind w:left="5247" w:hanging="360"/>
      </w:pPr>
      <w:rPr/>
    </w:lvl>
    <w:lvl w:ilvl="7">
      <w:start w:val="1"/>
      <w:numFmt w:val="lowerLetter"/>
      <w:lvlText w:val="%8."/>
      <w:lvlJc w:val="left"/>
      <w:pPr>
        <w:ind w:left="5967" w:hanging="360"/>
      </w:pPr>
      <w:rPr/>
    </w:lvl>
    <w:lvl w:ilvl="8">
      <w:start w:val="1"/>
      <w:numFmt w:val="lowerRoman"/>
      <w:lvlText w:val="%9."/>
      <w:lvlJc w:val="right"/>
      <w:pPr>
        <w:ind w:left="6687"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s-MX"/>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spacing w:after="60" w:before="240" w:lineRule="auto"/>
      <w:ind w:left="2160" w:hanging="720"/>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ind w:left="2880" w:hanging="720"/>
    </w:pPr>
    <w:rPr>
      <w:rFonts w:ascii="Cambria" w:cs="Cambria" w:eastAsia="Cambria" w:hAnsi="Cambria"/>
      <w:b w:val="1"/>
      <w:sz w:val="28"/>
      <w:szCs w:val="28"/>
    </w:rPr>
  </w:style>
  <w:style w:type="paragraph" w:styleId="Heading5">
    <w:name w:val="heading 5"/>
    <w:basedOn w:val="Normal"/>
    <w:next w:val="Normal"/>
    <w:pPr>
      <w:spacing w:after="60" w:before="240" w:lineRule="auto"/>
      <w:ind w:left="3600" w:hanging="720"/>
    </w:pPr>
    <w:rPr>
      <w:rFonts w:ascii="Cambria" w:cs="Cambria" w:eastAsia="Cambria" w:hAnsi="Cambria"/>
      <w:b w:val="1"/>
      <w:i w:val="1"/>
      <w:sz w:val="26"/>
      <w:szCs w:val="26"/>
    </w:rPr>
  </w:style>
  <w:style w:type="paragraph" w:styleId="Heading6">
    <w:name w:val="heading 6"/>
    <w:basedOn w:val="Normal"/>
    <w:next w:val="Normal"/>
    <w:pPr>
      <w:spacing w:after="60" w:before="240" w:lineRule="auto"/>
      <w:ind w:left="4320" w:hanging="720"/>
    </w:pPr>
    <w:rPr>
      <w:b w:val="1"/>
      <w:sz w:val="22"/>
      <w:szCs w:val="22"/>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A04518"/>
  </w:style>
  <w:style w:type="paragraph" w:styleId="Ttulo1">
    <w:name w:val="heading 1"/>
    <w:basedOn w:val="Normal"/>
    <w:next w:val="Normal"/>
    <w:link w:val="Ttulo1Car"/>
    <w:uiPriority w:val="9"/>
    <w:qFormat w:val="1"/>
    <w:rsid w:val="00603D72"/>
    <w:pPr>
      <w:keepNext w:val="1"/>
      <w:keepLines w:val="1"/>
      <w:spacing w:before="240"/>
      <w:outlineLvl w:val="0"/>
    </w:pPr>
    <w:rPr>
      <w:rFonts w:asciiTheme="majorHAnsi" w:cstheme="majorBidi" w:eastAsiaTheme="majorEastAsia" w:hAnsiTheme="majorHAnsi"/>
      <w:color w:val="365f91" w:themeColor="accent1" w:themeShade="0000BF"/>
      <w:sz w:val="32"/>
      <w:szCs w:val="32"/>
    </w:rPr>
  </w:style>
  <w:style w:type="paragraph" w:styleId="Ttulo2">
    <w:name w:val="heading 2"/>
    <w:basedOn w:val="Normal"/>
    <w:next w:val="Normal"/>
    <w:link w:val="Ttulo2Car"/>
    <w:uiPriority w:val="9"/>
    <w:semiHidden w:val="1"/>
    <w:unhideWhenUsed w:val="1"/>
    <w:qFormat w:val="1"/>
    <w:rsid w:val="00603D72"/>
    <w:pPr>
      <w:keepNext w:val="1"/>
      <w:keepLines w:val="1"/>
      <w:spacing w:before="40"/>
      <w:outlineLvl w:val="1"/>
    </w:pPr>
    <w:rPr>
      <w:rFonts w:asciiTheme="majorHAnsi" w:cstheme="majorBidi" w:eastAsiaTheme="majorEastAsia" w:hAnsiTheme="majorHAnsi"/>
      <w:color w:val="365f91" w:themeColor="accent1" w:themeShade="0000BF"/>
      <w:sz w:val="26"/>
      <w:szCs w:val="26"/>
    </w:rPr>
  </w:style>
  <w:style w:type="paragraph" w:styleId="Ttulo3">
    <w:name w:val="heading 3"/>
    <w:basedOn w:val="Normal"/>
    <w:next w:val="Normal"/>
    <w:link w:val="Ttulo3Car"/>
    <w:uiPriority w:val="9"/>
    <w:semiHidden w:val="1"/>
    <w:unhideWhenUsed w:val="1"/>
    <w:qFormat w:val="1"/>
    <w:rsid w:val="003B73CD"/>
    <w:pPr>
      <w:keepNext w:val="1"/>
      <w:tabs>
        <w:tab w:val="num" w:pos="2160"/>
      </w:tabs>
      <w:spacing w:after="60" w:before="240"/>
      <w:ind w:left="2160" w:hanging="720"/>
      <w:outlineLvl w:val="2"/>
    </w:pPr>
    <w:rPr>
      <w:rFonts w:asciiTheme="majorHAnsi" w:cstheme="majorBidi" w:eastAsiaTheme="majorEastAsia" w:hAnsiTheme="majorHAnsi"/>
      <w:b w:val="1"/>
      <w:bCs w:val="1"/>
      <w:sz w:val="26"/>
      <w:szCs w:val="26"/>
      <w:lang w:eastAsia="en-US" w:val="en-US"/>
    </w:rPr>
  </w:style>
  <w:style w:type="paragraph" w:styleId="Ttulo4">
    <w:name w:val="heading 4"/>
    <w:basedOn w:val="Normal"/>
    <w:next w:val="Normal"/>
    <w:link w:val="Ttulo4Car"/>
    <w:uiPriority w:val="9"/>
    <w:semiHidden w:val="1"/>
    <w:unhideWhenUsed w:val="1"/>
    <w:qFormat w:val="1"/>
    <w:rsid w:val="003B73CD"/>
    <w:pPr>
      <w:keepNext w:val="1"/>
      <w:tabs>
        <w:tab w:val="num" w:pos="2880"/>
      </w:tabs>
      <w:spacing w:after="60" w:before="240"/>
      <w:ind w:left="2880" w:hanging="720"/>
      <w:outlineLvl w:val="3"/>
    </w:pPr>
    <w:rPr>
      <w:rFonts w:asciiTheme="minorHAnsi" w:cstheme="minorBidi" w:eastAsiaTheme="minorEastAsia" w:hAnsiTheme="minorHAnsi"/>
      <w:b w:val="1"/>
      <w:bCs w:val="1"/>
      <w:sz w:val="28"/>
      <w:szCs w:val="28"/>
      <w:lang w:eastAsia="en-US" w:val="en-US"/>
    </w:rPr>
  </w:style>
  <w:style w:type="paragraph" w:styleId="Ttulo5">
    <w:name w:val="heading 5"/>
    <w:basedOn w:val="Normal"/>
    <w:next w:val="Normal"/>
    <w:link w:val="Ttulo5Car"/>
    <w:uiPriority w:val="9"/>
    <w:semiHidden w:val="1"/>
    <w:unhideWhenUsed w:val="1"/>
    <w:qFormat w:val="1"/>
    <w:rsid w:val="003B73CD"/>
    <w:pPr>
      <w:tabs>
        <w:tab w:val="num" w:pos="3600"/>
      </w:tabs>
      <w:spacing w:after="60" w:before="240"/>
      <w:ind w:left="3600" w:hanging="720"/>
      <w:outlineLvl w:val="4"/>
    </w:pPr>
    <w:rPr>
      <w:rFonts w:asciiTheme="minorHAnsi" w:cstheme="minorBidi" w:eastAsiaTheme="minorEastAsia" w:hAnsiTheme="minorHAnsi"/>
      <w:b w:val="1"/>
      <w:bCs w:val="1"/>
      <w:i w:val="1"/>
      <w:iCs w:val="1"/>
      <w:sz w:val="26"/>
      <w:szCs w:val="26"/>
      <w:lang w:eastAsia="en-US" w:val="en-US"/>
    </w:rPr>
  </w:style>
  <w:style w:type="paragraph" w:styleId="Ttulo6">
    <w:name w:val="heading 6"/>
    <w:basedOn w:val="Normal"/>
    <w:next w:val="Normal"/>
    <w:link w:val="Ttulo6Car"/>
    <w:uiPriority w:val="9"/>
    <w:semiHidden w:val="1"/>
    <w:unhideWhenUsed w:val="1"/>
    <w:qFormat w:val="1"/>
    <w:rsid w:val="003B73CD"/>
    <w:pPr>
      <w:tabs>
        <w:tab w:val="num" w:pos="4320"/>
      </w:tabs>
      <w:spacing w:after="60" w:before="240"/>
      <w:ind w:left="4320" w:hanging="720"/>
      <w:outlineLvl w:val="5"/>
    </w:pPr>
    <w:rPr>
      <w:b w:val="1"/>
      <w:bCs w:val="1"/>
      <w:sz w:val="22"/>
      <w:szCs w:val="22"/>
      <w:lang w:eastAsia="en-US" w:val="en-US"/>
    </w:rPr>
  </w:style>
  <w:style w:type="paragraph" w:styleId="Ttulo7">
    <w:name w:val="heading 7"/>
    <w:basedOn w:val="Normal"/>
    <w:next w:val="Normal"/>
    <w:link w:val="Ttulo7Car"/>
    <w:uiPriority w:val="9"/>
    <w:semiHidden w:val="1"/>
    <w:unhideWhenUsed w:val="1"/>
    <w:qFormat w:val="1"/>
    <w:rsid w:val="003B73CD"/>
    <w:pPr>
      <w:tabs>
        <w:tab w:val="num" w:pos="5040"/>
      </w:tabs>
      <w:spacing w:after="60" w:before="240"/>
      <w:ind w:left="5040" w:hanging="720"/>
      <w:outlineLvl w:val="6"/>
    </w:pPr>
    <w:rPr>
      <w:rFonts w:asciiTheme="minorHAnsi" w:cstheme="minorBidi" w:eastAsiaTheme="minorEastAsia" w:hAnsiTheme="minorHAnsi"/>
      <w:lang w:eastAsia="en-US" w:val="en-US"/>
    </w:rPr>
  </w:style>
  <w:style w:type="paragraph" w:styleId="Ttulo8">
    <w:name w:val="heading 8"/>
    <w:basedOn w:val="Normal"/>
    <w:next w:val="Normal"/>
    <w:link w:val="Ttulo8Car"/>
    <w:uiPriority w:val="9"/>
    <w:semiHidden w:val="1"/>
    <w:unhideWhenUsed w:val="1"/>
    <w:qFormat w:val="1"/>
    <w:rsid w:val="003B73CD"/>
    <w:pPr>
      <w:tabs>
        <w:tab w:val="num" w:pos="5760"/>
      </w:tabs>
      <w:spacing w:after="60" w:before="240"/>
      <w:ind w:left="5760" w:hanging="720"/>
      <w:outlineLvl w:val="7"/>
    </w:pPr>
    <w:rPr>
      <w:rFonts w:asciiTheme="minorHAnsi" w:cstheme="minorBidi" w:eastAsiaTheme="minorEastAsia" w:hAnsiTheme="minorHAnsi"/>
      <w:i w:val="1"/>
      <w:iCs w:val="1"/>
      <w:lang w:eastAsia="en-US" w:val="en-US"/>
    </w:rPr>
  </w:style>
  <w:style w:type="paragraph" w:styleId="Ttulo9">
    <w:name w:val="heading 9"/>
    <w:basedOn w:val="Normal"/>
    <w:next w:val="Normal"/>
    <w:link w:val="Ttulo9Car"/>
    <w:uiPriority w:val="9"/>
    <w:semiHidden w:val="1"/>
    <w:unhideWhenUsed w:val="1"/>
    <w:qFormat w:val="1"/>
    <w:rsid w:val="003B73CD"/>
    <w:pPr>
      <w:tabs>
        <w:tab w:val="num" w:pos="6480"/>
      </w:tabs>
      <w:spacing w:after="60" w:before="240"/>
      <w:ind w:left="6480" w:hanging="720"/>
      <w:outlineLvl w:val="8"/>
    </w:pPr>
    <w:rPr>
      <w:rFonts w:asciiTheme="majorHAnsi" w:cstheme="majorBidi" w:eastAsiaTheme="majorEastAsia" w:hAnsiTheme="majorHAnsi"/>
      <w:sz w:val="22"/>
      <w:szCs w:val="22"/>
      <w:lang w:eastAsia="en-US" w:val="en-US"/>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Puest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Encabezado">
    <w:name w:val="header"/>
    <w:basedOn w:val="Normal"/>
    <w:link w:val="Encabezado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val="1"/>
    <w:rsid w:val="00C80F8C"/>
    <w:pPr>
      <w:tabs>
        <w:tab w:val="center" w:pos="4252"/>
        <w:tab w:val="right" w:pos="8504"/>
      </w:tabs>
    </w:pPr>
    <w:rPr>
      <w:rFonts w:asciiTheme="minorHAnsi" w:cstheme="minorBidi" w:eastAsiaTheme="minorEastAsia" w:hAnsiTheme="minorHAns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val="1"/>
    <w:unhideWhenUsed w:val="1"/>
    <w:rsid w:val="00C80F8C"/>
    <w:rPr>
      <w:rFonts w:ascii="Lucida Grande" w:cs="Lucida Grande" w:hAnsi="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val="1"/>
    <w:rsid w:val="00C80F8C"/>
    <w:rPr>
      <w:rFonts w:ascii="Lucida Grande" w:cs="Lucida Grande" w:hAnsi="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val="1"/>
    <w:rsid w:val="0070703E"/>
    <w:pPr>
      <w:ind w:left="720"/>
      <w:contextualSpacing w:val="1"/>
    </w:pPr>
  </w:style>
  <w:style w:type="character" w:styleId="Hipervnculo">
    <w:name w:val="Hyperlink"/>
    <w:basedOn w:val="Fuentedeprrafopredeter"/>
    <w:uiPriority w:val="99"/>
    <w:unhideWhenUsed w:val="1"/>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val="1"/>
    <w:rsid w:val="000D2D89"/>
    <w:pPr>
      <w:ind w:left="708"/>
    </w:pPr>
  </w:style>
  <w:style w:type="character" w:styleId="Listavistosa-nfasis1Car" w:customStyle="1">
    <w:name w:val="Lista vistosa - Énfasis 1 Car"/>
    <w:link w:val="Listavistosa-nfasis11"/>
    <w:uiPriority w:val="34"/>
    <w:locked w:val="1"/>
    <w:rsid w:val="000D2D89"/>
    <w:rPr>
      <w:rFonts w:ascii="Times New Roman" w:cs="Times New Roman" w:eastAsia="Times New Roman" w:hAnsi="Times New Roman"/>
      <w:lang w:val="es-ES"/>
    </w:rPr>
  </w:style>
  <w:style w:type="paragraph" w:styleId="Texto" w:customStyle="1">
    <w:name w:val="Texto"/>
    <w:basedOn w:val="Normal"/>
    <w:link w:val="TextoCar"/>
    <w:rsid w:val="000470FE"/>
    <w:pPr>
      <w:spacing w:after="101" w:line="216" w:lineRule="exact"/>
      <w:ind w:firstLine="288"/>
      <w:jc w:val="both"/>
    </w:pPr>
    <w:rPr>
      <w:rFonts w:ascii="Arial" w:cs="Arial" w:hAnsi="Arial"/>
      <w:sz w:val="18"/>
      <w:szCs w:val="18"/>
    </w:rPr>
  </w:style>
  <w:style w:type="paragraph" w:styleId="NormalWeb">
    <w:name w:val="Normal (Web)"/>
    <w:basedOn w:val="Normal"/>
    <w:uiPriority w:val="99"/>
    <w:rsid w:val="000470FE"/>
    <w:pPr>
      <w:spacing w:after="100" w:afterAutospacing="1" w:before="100" w:before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val="1"/>
    <w:locked w:val="1"/>
    <w:rsid w:val="007E1FF4"/>
    <w:rPr>
      <w:rFonts w:ascii="Times New Roman" w:cs="Times New Roman" w:eastAsia="Times New Roman" w:hAnsi="Times New Roman"/>
      <w:lang w:val="es-ES"/>
    </w:rPr>
  </w:style>
  <w:style w:type="character" w:styleId="Textoennegrita">
    <w:name w:val="Strong"/>
    <w:uiPriority w:val="22"/>
    <w:qFormat w:val="1"/>
    <w:rsid w:val="003D1B5F"/>
    <w:rPr>
      <w:b w:val="1"/>
      <w:bCs w:val="1"/>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val="1"/>
    <w:qFormat w:val="1"/>
    <w:rsid w:val="002944C8"/>
    <w:rPr>
      <w:rFonts w:asciiTheme="minorHAnsi" w:cstheme="minorBidi" w:eastAsiaTheme="minorHAnsi" w:hAnsiTheme="minorHAnsi"/>
      <w:sz w:val="20"/>
      <w:szCs w:val="20"/>
      <w:lang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eastAsia="en-US"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val="1"/>
    <w:qFormat w:val="1"/>
    <w:rsid w:val="002944C8"/>
    <w:rPr>
      <w:vertAlign w:val="superscript"/>
    </w:rPr>
  </w:style>
  <w:style w:type="paragraph" w:styleId="Sinespaciado">
    <w:name w:val="No Spacing"/>
    <w:aliases w:val="Francesa"/>
    <w:link w:val="SinespaciadoCar"/>
    <w:uiPriority w:val="1"/>
    <w:qFormat w:val="1"/>
    <w:rsid w:val="002944C8"/>
  </w:style>
  <w:style w:type="paragraph" w:styleId="Textoindependiente2">
    <w:name w:val="Body Text 2"/>
    <w:basedOn w:val="Normal"/>
    <w:link w:val="Textoindependiente2Car"/>
    <w:uiPriority w:val="99"/>
    <w:unhideWhenUsed w:val="1"/>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cs="Times New Roman" w:eastAsia="Times New Roman" w:hAnsi="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styleId="TextosinformatoCar" w:customStyle="1">
    <w:name w:val="Texto sin formato Car"/>
    <w:basedOn w:val="Fuentedeprrafopredeter"/>
    <w:link w:val="Textosinformato"/>
    <w:rsid w:val="002944C8"/>
    <w:rPr>
      <w:rFonts w:ascii="Courier New" w:cs="Times New Roman" w:eastAsia="Times New Roman" w:hAnsi="Courier New"/>
      <w:sz w:val="20"/>
      <w:szCs w:val="20"/>
      <w:lang w:val="es-ES"/>
    </w:rPr>
  </w:style>
  <w:style w:type="paragraph" w:styleId="Standard" w:customStyle="1">
    <w:name w:val="Standard"/>
    <w:rsid w:val="002944C8"/>
    <w:pPr>
      <w:widowControl w:val="0"/>
      <w:suppressAutoHyphens w:val="1"/>
      <w:autoSpaceDN w:val="0"/>
      <w:textAlignment w:val="baseline"/>
    </w:pPr>
    <w:rPr>
      <w:rFonts w:ascii="Liberation Serif" w:cs="Lohit Hindi" w:eastAsia="DejaVu Sans" w:hAnsi="Liberation Serif"/>
      <w:kern w:val="3"/>
      <w:lang w:bidi="hi-IN" w:eastAsia="zh-CN"/>
    </w:rPr>
  </w:style>
  <w:style w:type="character" w:styleId="negritas1" w:customStyle="1">
    <w:name w:val="negritas1"/>
    <w:rsid w:val="002944C8"/>
    <w:rPr>
      <w:rFonts w:ascii="Arial" w:cs="Arial" w:hAnsi="Arial" w:hint="default"/>
      <w:b w:val="1"/>
      <w:bCs w:val="1"/>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eastAsia="es-ES_tradnl" w:val="es-ES_tradnl"/>
    </w:rPr>
  </w:style>
  <w:style w:type="paragraph" w:styleId="Default" w:customStyle="1">
    <w:name w:val="Default"/>
    <w:rsid w:val="002944C8"/>
    <w:pPr>
      <w:autoSpaceDE w:val="0"/>
      <w:autoSpaceDN w:val="0"/>
      <w:adjustRightInd w:val="0"/>
    </w:pPr>
    <w:rPr>
      <w:rFonts w:ascii="Arial" w:cs="Arial" w:hAnsi="Arial" w:eastAsiaTheme="minorHAnsi"/>
      <w:color w:val="000000"/>
      <w:lang w:eastAsia="en-US"/>
    </w:rPr>
  </w:style>
  <w:style w:type="character" w:styleId="f" w:customStyle="1">
    <w:name w:val="f"/>
    <w:basedOn w:val="Fuentedeprrafopredeter"/>
    <w:rsid w:val="002944C8"/>
  </w:style>
  <w:style w:type="paragraph" w:styleId="q" w:customStyle="1">
    <w:name w:val="q"/>
    <w:basedOn w:val="Normal"/>
    <w:rsid w:val="002944C8"/>
    <w:pPr>
      <w:spacing w:after="100" w:afterAutospacing="1" w:before="100" w:beforeAutospacing="1"/>
    </w:p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val="1"/>
    <w:unhideWhenUsed w:val="1"/>
    <w:rsid w:val="002944C8"/>
    <w:rPr>
      <w:color w:val="800080" w:themeColor="followedHyperlink"/>
      <w:u w:val="single"/>
    </w:rPr>
  </w:style>
  <w:style w:type="character" w:styleId="CitaHTML">
    <w:name w:val="HTML Cite"/>
    <w:uiPriority w:val="99"/>
    <w:semiHidden w:val="1"/>
    <w:unhideWhenUsed w:val="1"/>
    <w:rsid w:val="00B85C7C"/>
    <w:rPr>
      <w:i w:val="1"/>
      <w:iCs w:val="1"/>
    </w:rPr>
  </w:style>
  <w:style w:type="character" w:styleId="SinespaciadoCar" w:customStyle="1">
    <w:name w:val="Sin espaciado Car"/>
    <w:aliases w:val="Francesa Car"/>
    <w:link w:val="Sinespaciado"/>
    <w:uiPriority w:val="1"/>
    <w:locked w:val="1"/>
    <w:rsid w:val="00270539"/>
    <w:rPr>
      <w:rFonts w:ascii="Times New Roman" w:cs="Times New Roman" w:eastAsia="Times New Roman" w:hAnsi="Times New Roman"/>
      <w:lang w:val="es-MX"/>
    </w:rPr>
  </w:style>
  <w:style w:type="character" w:styleId="medium" w:customStyle="1">
    <w:name w:val="medium"/>
    <w:basedOn w:val="Fuentedeprrafopredeter"/>
    <w:rsid w:val="00354DB7"/>
  </w:style>
  <w:style w:type="table" w:styleId="Tablaconcuadrcula">
    <w:name w:val="Table Grid"/>
    <w:basedOn w:val="Tablanormal"/>
    <w:uiPriority w:val="39"/>
    <w:rsid w:val="00BB3AE1"/>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numeroconsecutivo" w:customStyle="1">
    <w:name w:val="numeroconsecutivo"/>
    <w:basedOn w:val="Fuentedeprrafopredeter"/>
    <w:rsid w:val="00615060"/>
  </w:style>
  <w:style w:type="character" w:styleId="titulorubrolgt" w:customStyle="1">
    <w:name w:val="titulorubrolgt"/>
    <w:basedOn w:val="Fuentedeprrafopredeter"/>
    <w:rsid w:val="00615060"/>
  </w:style>
  <w:style w:type="character" w:styleId="ctr" w:customStyle="1">
    <w:name w:val="ctr"/>
    <w:basedOn w:val="Fuentedeprrafopredeter"/>
    <w:rsid w:val="00615060"/>
  </w:style>
  <w:style w:type="paragraph" w:styleId="Textonotaalfinal">
    <w:name w:val="endnote text"/>
    <w:basedOn w:val="Normal"/>
    <w:link w:val="TextonotaalfinalCar"/>
    <w:uiPriority w:val="99"/>
    <w:semiHidden w:val="1"/>
    <w:unhideWhenUsed w:val="1"/>
    <w:rsid w:val="00D25E88"/>
    <w:rPr>
      <w:sz w:val="20"/>
      <w:szCs w:val="20"/>
    </w:rPr>
  </w:style>
  <w:style w:type="character" w:styleId="TextonotaalfinalCar" w:customStyle="1">
    <w:name w:val="Texto nota al final Car"/>
    <w:basedOn w:val="Fuentedeprrafopredeter"/>
    <w:link w:val="Textonotaalfinal"/>
    <w:uiPriority w:val="99"/>
    <w:semiHidden w:val="1"/>
    <w:rsid w:val="00D25E88"/>
    <w:rPr>
      <w:rFonts w:ascii="Times New Roman" w:cs="Times New Roman" w:eastAsia="Times New Roman" w:hAnsi="Times New Roman"/>
      <w:sz w:val="20"/>
      <w:szCs w:val="20"/>
      <w:lang w:val="es-ES"/>
    </w:rPr>
  </w:style>
  <w:style w:type="character" w:styleId="Refdenotaalfinal">
    <w:name w:val="endnote reference"/>
    <w:basedOn w:val="Fuentedeprrafopredeter"/>
    <w:uiPriority w:val="99"/>
    <w:semiHidden w:val="1"/>
    <w:unhideWhenUsed w:val="1"/>
    <w:rsid w:val="00D25E88"/>
    <w:rPr>
      <w:vertAlign w:val="superscript"/>
    </w:rPr>
  </w:style>
  <w:style w:type="character" w:styleId="A1" w:customStyle="1">
    <w:name w:val="A1"/>
    <w:uiPriority w:val="99"/>
    <w:rsid w:val="00EC4ECD"/>
    <w:rPr>
      <w:rFonts w:ascii="Myriad Pro" w:cs="Myriad Pro" w:hAnsi="Myriad Pro" w:hint="default"/>
      <w:color w:val="000000"/>
      <w:sz w:val="22"/>
      <w:szCs w:val="22"/>
    </w:rPr>
  </w:style>
  <w:style w:type="paragraph" w:styleId="Pa9" w:customStyle="1">
    <w:name w:val="Pa9"/>
    <w:basedOn w:val="Normal"/>
    <w:next w:val="Normal"/>
    <w:uiPriority w:val="99"/>
    <w:rsid w:val="00EC4ECD"/>
    <w:pPr>
      <w:autoSpaceDE w:val="0"/>
      <w:autoSpaceDN w:val="0"/>
      <w:adjustRightInd w:val="0"/>
      <w:spacing w:line="241" w:lineRule="atLeast"/>
    </w:pPr>
    <w:rPr>
      <w:rFonts w:ascii="Myriad Pro" w:hAnsi="Myriad Pro" w:cstheme="minorBidi" w:eastAsiaTheme="minorHAnsi"/>
      <w:lang w:eastAsia="en-US"/>
    </w:rPr>
  </w:style>
  <w:style w:type="paragraph" w:styleId="Pa5" w:customStyle="1">
    <w:name w:val="Pa5"/>
    <w:basedOn w:val="Normal"/>
    <w:next w:val="Normal"/>
    <w:uiPriority w:val="99"/>
    <w:rsid w:val="00EC4ECD"/>
    <w:pPr>
      <w:autoSpaceDE w:val="0"/>
      <w:autoSpaceDN w:val="0"/>
      <w:adjustRightInd w:val="0"/>
      <w:spacing w:line="201" w:lineRule="atLeast"/>
    </w:pPr>
    <w:rPr>
      <w:rFonts w:ascii="Myriad Pro" w:hAnsi="Myriad Pro" w:cstheme="minorBidi" w:eastAsiaTheme="minorHAnsi"/>
      <w:lang w:eastAsia="en-US"/>
    </w:rPr>
  </w:style>
  <w:style w:type="paragraph" w:styleId="m5127500252372250437gmail-paragraph" w:customStyle="1">
    <w:name w:val="m_5127500252372250437gmail-paragraph"/>
    <w:basedOn w:val="Normal"/>
    <w:rsid w:val="00980B7E"/>
    <w:pPr>
      <w:spacing w:after="100" w:afterAutospacing="1" w:before="100" w:beforeAutospacing="1"/>
    </w:pPr>
  </w:style>
  <w:style w:type="character" w:styleId="nombrefraccder" w:customStyle="1">
    <w:name w:val="nombrefraccder"/>
    <w:basedOn w:val="Fuentedeprrafopredeter"/>
    <w:rsid w:val="009B4A68"/>
  </w:style>
  <w:style w:type="character" w:styleId="numberfraccder" w:customStyle="1">
    <w:name w:val="numberfraccder"/>
    <w:basedOn w:val="Fuentedeprrafopredeter"/>
    <w:rsid w:val="009B4A68"/>
  </w:style>
  <w:style w:type="character" w:styleId="TextoCar" w:customStyle="1">
    <w:name w:val="Texto Car"/>
    <w:link w:val="Texto"/>
    <w:locked w:val="1"/>
    <w:rsid w:val="002B0963"/>
    <w:rPr>
      <w:rFonts w:ascii="Arial" w:cs="Arial" w:eastAsia="Times New Roman" w:hAnsi="Arial"/>
      <w:sz w:val="18"/>
      <w:szCs w:val="18"/>
      <w:lang w:val="es-MX"/>
    </w:rPr>
  </w:style>
  <w:style w:type="character" w:styleId="nfasis">
    <w:name w:val="Emphasis"/>
    <w:basedOn w:val="Fuentedeprrafopredeter"/>
    <w:uiPriority w:val="20"/>
    <w:qFormat w:val="1"/>
    <w:rsid w:val="00C536F2"/>
    <w:rPr>
      <w:i w:val="1"/>
      <w:iCs w:val="1"/>
    </w:rPr>
  </w:style>
  <w:style w:type="character" w:styleId="normaltextrun" w:customStyle="1">
    <w:name w:val="normaltextrun"/>
    <w:basedOn w:val="Fuentedeprrafopredeter"/>
    <w:rsid w:val="0011437B"/>
  </w:style>
  <w:style w:type="character" w:styleId="m5127500252372250437gmail-normaltextrun" w:customStyle="1">
    <w:name w:val="m_5127500252372250437gmail-normaltextrun"/>
    <w:basedOn w:val="Fuentedeprrafopredeter"/>
    <w:rsid w:val="0011437B"/>
  </w:style>
  <w:style w:type="paragraph" w:styleId="m-60081275284358516gmail-msolistparagraph" w:customStyle="1">
    <w:name w:val="m_-60081275284358516gmail-msolistparagraph"/>
    <w:basedOn w:val="Normal"/>
    <w:rsid w:val="00207C90"/>
    <w:pPr>
      <w:spacing w:after="100" w:afterAutospacing="1" w:before="100" w:beforeAutospacing="1"/>
    </w:pPr>
  </w:style>
  <w:style w:type="paragraph" w:styleId="ANOTACION" w:customStyle="1">
    <w:name w:val="ANOTACION"/>
    <w:basedOn w:val="Normal"/>
    <w:link w:val="ANOTACIONCar"/>
    <w:rsid w:val="001B5A73"/>
    <w:pPr>
      <w:spacing w:after="101" w:before="101" w:line="216" w:lineRule="atLeast"/>
      <w:jc w:val="center"/>
    </w:pPr>
    <w:rPr>
      <w:b w:val="1"/>
      <w:sz w:val="18"/>
      <w:szCs w:val="20"/>
      <w:lang w:val="es-ES_tradnl"/>
    </w:rPr>
  </w:style>
  <w:style w:type="character" w:styleId="ANOTACIONCar" w:customStyle="1">
    <w:name w:val="ANOTACION Car"/>
    <w:link w:val="ANOTACION"/>
    <w:locked w:val="1"/>
    <w:rsid w:val="001B5A73"/>
    <w:rPr>
      <w:rFonts w:ascii="Times New Roman" w:cs="Times New Roman" w:eastAsia="Times New Roman" w:hAnsi="Times New Roman"/>
      <w:b w:val="1"/>
      <w:sz w:val="18"/>
      <w:szCs w:val="20"/>
    </w:rPr>
  </w:style>
  <w:style w:type="paragraph" w:styleId="j" w:customStyle="1">
    <w:name w:val="j"/>
    <w:basedOn w:val="Normal"/>
    <w:rsid w:val="007B00BD"/>
    <w:pPr>
      <w:spacing w:after="100" w:afterAutospacing="1" w:before="100" w:beforeAutospacing="1"/>
    </w:pPr>
  </w:style>
  <w:style w:type="character" w:styleId="nacep" w:customStyle="1">
    <w:name w:val="n_acep"/>
    <w:basedOn w:val="Fuentedeprrafopredeter"/>
    <w:rsid w:val="007B00BD"/>
  </w:style>
  <w:style w:type="paragraph" w:styleId="k5" w:customStyle="1">
    <w:name w:val="k5"/>
    <w:basedOn w:val="Normal"/>
    <w:rsid w:val="007B00BD"/>
    <w:pPr>
      <w:spacing w:after="100" w:afterAutospacing="1" w:before="100" w:beforeAutospacing="1"/>
    </w:pPr>
  </w:style>
  <w:style w:type="paragraph" w:styleId="m" w:customStyle="1">
    <w:name w:val="m"/>
    <w:basedOn w:val="Normal"/>
    <w:rsid w:val="007B00BD"/>
    <w:pPr>
      <w:spacing w:after="100" w:afterAutospacing="1" w:before="100" w:beforeAutospacing="1"/>
    </w:pPr>
  </w:style>
  <w:style w:type="character" w:styleId="Refdecomentario">
    <w:name w:val="annotation reference"/>
    <w:basedOn w:val="Fuentedeprrafopredeter"/>
    <w:uiPriority w:val="99"/>
    <w:semiHidden w:val="1"/>
    <w:unhideWhenUsed w:val="1"/>
    <w:rsid w:val="003219FE"/>
    <w:rPr>
      <w:sz w:val="16"/>
      <w:szCs w:val="16"/>
    </w:rPr>
  </w:style>
  <w:style w:type="paragraph" w:styleId="Textocomentario">
    <w:name w:val="annotation text"/>
    <w:basedOn w:val="Normal"/>
    <w:link w:val="TextocomentarioCar"/>
    <w:uiPriority w:val="99"/>
    <w:semiHidden w:val="1"/>
    <w:unhideWhenUsed w:val="1"/>
    <w:rsid w:val="003219FE"/>
    <w:rPr>
      <w:sz w:val="20"/>
      <w:szCs w:val="20"/>
    </w:rPr>
  </w:style>
  <w:style w:type="character" w:styleId="TextocomentarioCar" w:customStyle="1">
    <w:name w:val="Texto comentario Car"/>
    <w:basedOn w:val="Fuentedeprrafopredeter"/>
    <w:link w:val="Textocomentario"/>
    <w:uiPriority w:val="99"/>
    <w:semiHidden w:val="1"/>
    <w:rsid w:val="003219FE"/>
    <w:rPr>
      <w:rFonts w:ascii="Times New Roman" w:cs="Times New Roman" w:eastAsia="Times New Roman" w:hAnsi="Times New Roman"/>
      <w:sz w:val="20"/>
      <w:szCs w:val="20"/>
      <w:lang w:val="es-ES"/>
    </w:rPr>
  </w:style>
  <w:style w:type="paragraph" w:styleId="Asuntodelcomentario">
    <w:name w:val="annotation subject"/>
    <w:basedOn w:val="Textocomentario"/>
    <w:next w:val="Textocomentario"/>
    <w:link w:val="AsuntodelcomentarioCar"/>
    <w:uiPriority w:val="99"/>
    <w:semiHidden w:val="1"/>
    <w:unhideWhenUsed w:val="1"/>
    <w:rsid w:val="003219FE"/>
    <w:rPr>
      <w:b w:val="1"/>
      <w:bCs w:val="1"/>
    </w:rPr>
  </w:style>
  <w:style w:type="character" w:styleId="AsuntodelcomentarioCar" w:customStyle="1">
    <w:name w:val="Asunto del comentario Car"/>
    <w:basedOn w:val="TextocomentarioCar"/>
    <w:link w:val="Asuntodelcomentario"/>
    <w:uiPriority w:val="99"/>
    <w:semiHidden w:val="1"/>
    <w:rsid w:val="003219FE"/>
    <w:rPr>
      <w:rFonts w:ascii="Times New Roman" w:cs="Times New Roman" w:eastAsia="Times New Roman" w:hAnsi="Times New Roman"/>
      <w:b w:val="1"/>
      <w:bCs w:val="1"/>
      <w:sz w:val="20"/>
      <w:szCs w:val="20"/>
      <w:lang w:val="es-ES"/>
    </w:rPr>
  </w:style>
  <w:style w:type="paragraph" w:styleId="FAFunotente1" w:customStyle="1">
    <w:name w:val="FA Fu?notente1"/>
    <w:basedOn w:val="Normal"/>
    <w:next w:val="Textonotapie"/>
    <w:uiPriority w:val="99"/>
    <w:unhideWhenUsed w:val="1"/>
    <w:rsid w:val="00A403D3"/>
    <w:rPr>
      <w:rFonts w:eastAsia="Cambria" w:asciiTheme="minorHAnsi" w:cstheme="minorBidi" w:hAnsiTheme="minorHAnsi"/>
      <w:sz w:val="20"/>
      <w:szCs w:val="20"/>
      <w:lang w:eastAsia="en-US"/>
    </w:rPr>
  </w:style>
  <w:style w:type="character" w:styleId="Ttulo1Car" w:customStyle="1">
    <w:name w:val="Título 1 Car"/>
    <w:basedOn w:val="Fuentedeprrafopredeter"/>
    <w:link w:val="Ttulo1"/>
    <w:uiPriority w:val="9"/>
    <w:rsid w:val="00603D72"/>
    <w:rPr>
      <w:rFonts w:asciiTheme="majorHAnsi" w:cstheme="majorBidi" w:eastAsiaTheme="majorEastAsia" w:hAnsiTheme="majorHAnsi"/>
      <w:color w:val="365f91" w:themeColor="accent1" w:themeShade="0000BF"/>
      <w:sz w:val="32"/>
      <w:szCs w:val="32"/>
      <w:lang w:val="es-ES"/>
    </w:rPr>
  </w:style>
  <w:style w:type="character" w:styleId="Ttulo2Car" w:customStyle="1">
    <w:name w:val="Título 2 Car"/>
    <w:basedOn w:val="Fuentedeprrafopredeter"/>
    <w:link w:val="Ttulo2"/>
    <w:uiPriority w:val="9"/>
    <w:rsid w:val="00603D72"/>
    <w:rPr>
      <w:rFonts w:asciiTheme="majorHAnsi" w:cstheme="majorBidi" w:eastAsiaTheme="majorEastAsia" w:hAnsiTheme="majorHAnsi"/>
      <w:color w:val="365f91" w:themeColor="accent1" w:themeShade="0000BF"/>
      <w:sz w:val="26"/>
      <w:szCs w:val="26"/>
      <w:lang w:val="es-ES"/>
    </w:rPr>
  </w:style>
  <w:style w:type="paragraph" w:styleId="Lista">
    <w:name w:val="List"/>
    <w:basedOn w:val="Normal"/>
    <w:uiPriority w:val="99"/>
    <w:unhideWhenUsed w:val="1"/>
    <w:rsid w:val="00603D72"/>
    <w:pPr>
      <w:ind w:left="283" w:hanging="283"/>
      <w:contextualSpacing w:val="1"/>
    </w:pPr>
  </w:style>
  <w:style w:type="paragraph" w:styleId="Lista2">
    <w:name w:val="List 2"/>
    <w:basedOn w:val="Normal"/>
    <w:uiPriority w:val="99"/>
    <w:unhideWhenUsed w:val="1"/>
    <w:rsid w:val="00603D72"/>
    <w:pPr>
      <w:ind w:left="566" w:hanging="283"/>
      <w:contextualSpacing w:val="1"/>
    </w:pPr>
  </w:style>
  <w:style w:type="paragraph" w:styleId="Lista3">
    <w:name w:val="List 3"/>
    <w:basedOn w:val="Normal"/>
    <w:uiPriority w:val="99"/>
    <w:unhideWhenUsed w:val="1"/>
    <w:rsid w:val="00603D72"/>
    <w:pPr>
      <w:ind w:left="849" w:hanging="283"/>
      <w:contextualSpacing w:val="1"/>
    </w:pPr>
  </w:style>
  <w:style w:type="paragraph" w:styleId="Listaconvietas3">
    <w:name w:val="List Bullet 3"/>
    <w:basedOn w:val="Normal"/>
    <w:uiPriority w:val="99"/>
    <w:unhideWhenUsed w:val="1"/>
    <w:rsid w:val="00603D72"/>
    <w:pPr>
      <w:numPr>
        <w:numId w:val="2"/>
      </w:numPr>
      <w:contextualSpacing w:val="1"/>
    </w:pPr>
  </w:style>
  <w:style w:type="paragraph" w:styleId="Continuarlista">
    <w:name w:val="List Continue"/>
    <w:basedOn w:val="Normal"/>
    <w:uiPriority w:val="99"/>
    <w:unhideWhenUsed w:val="1"/>
    <w:rsid w:val="00603D72"/>
    <w:pPr>
      <w:spacing w:after="120"/>
      <w:ind w:left="283"/>
      <w:contextualSpacing w:val="1"/>
    </w:pPr>
  </w:style>
  <w:style w:type="paragraph" w:styleId="Continuarlista2">
    <w:name w:val="List Continue 2"/>
    <w:basedOn w:val="Normal"/>
    <w:uiPriority w:val="99"/>
    <w:unhideWhenUsed w:val="1"/>
    <w:rsid w:val="00603D72"/>
    <w:pPr>
      <w:spacing w:after="120"/>
      <w:ind w:left="566"/>
      <w:contextualSpacing w:val="1"/>
    </w:pPr>
  </w:style>
  <w:style w:type="paragraph" w:styleId="Textoindependiente">
    <w:name w:val="Body Text"/>
    <w:basedOn w:val="Normal"/>
    <w:link w:val="TextoindependienteCar"/>
    <w:uiPriority w:val="99"/>
    <w:unhideWhenUsed w:val="1"/>
    <w:rsid w:val="00603D72"/>
    <w:pPr>
      <w:spacing w:after="120"/>
    </w:pPr>
  </w:style>
  <w:style w:type="character" w:styleId="TextoindependienteCar" w:customStyle="1">
    <w:name w:val="Texto independiente Car"/>
    <w:basedOn w:val="Fuentedeprrafopredeter"/>
    <w:link w:val="Textoindependiente"/>
    <w:uiPriority w:val="99"/>
    <w:rsid w:val="00603D72"/>
    <w:rPr>
      <w:rFonts w:ascii="Times New Roman" w:cs="Times New Roman" w:eastAsia="Times New Roman" w:hAnsi="Times New Roman"/>
      <w:lang w:val="es-ES"/>
    </w:rPr>
  </w:style>
  <w:style w:type="paragraph" w:styleId="Sangradetextonormal">
    <w:name w:val="Body Text Indent"/>
    <w:basedOn w:val="Normal"/>
    <w:link w:val="SangradetextonormalCar"/>
    <w:uiPriority w:val="99"/>
    <w:semiHidden w:val="1"/>
    <w:unhideWhenUsed w:val="1"/>
    <w:rsid w:val="00603D72"/>
    <w:pPr>
      <w:spacing w:after="120"/>
      <w:ind w:left="283"/>
    </w:pPr>
  </w:style>
  <w:style w:type="character" w:styleId="SangradetextonormalCar" w:customStyle="1">
    <w:name w:val="Sangría de texto normal Car"/>
    <w:basedOn w:val="Fuentedeprrafopredeter"/>
    <w:link w:val="Sangradetextonormal"/>
    <w:uiPriority w:val="99"/>
    <w:semiHidden w:val="1"/>
    <w:rsid w:val="00603D72"/>
    <w:rPr>
      <w:rFonts w:ascii="Times New Roman" w:cs="Times New Roman" w:eastAsia="Times New Roman" w:hAnsi="Times New Roman"/>
      <w:lang w:val="es-ES"/>
    </w:rPr>
  </w:style>
  <w:style w:type="paragraph" w:styleId="Textoindependienteprimerasangra2">
    <w:name w:val="Body Text First Indent 2"/>
    <w:basedOn w:val="Sangradetextonormal"/>
    <w:link w:val="Textoindependienteprimerasangra2Car"/>
    <w:uiPriority w:val="99"/>
    <w:unhideWhenUsed w:val="1"/>
    <w:rsid w:val="00603D7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603D72"/>
    <w:rPr>
      <w:rFonts w:ascii="Times New Roman" w:cs="Times New Roman" w:eastAsia="Times New Roman" w:hAnsi="Times New Roman"/>
      <w:lang w:val="es-ES"/>
    </w:rPr>
  </w:style>
  <w:style w:type="paragraph" w:styleId="paragraph" w:customStyle="1">
    <w:name w:val="paragraph"/>
    <w:basedOn w:val="Normal"/>
    <w:rsid w:val="00E34821"/>
    <w:pPr>
      <w:spacing w:after="100" w:afterAutospacing="1" w:before="100" w:beforeAutospacing="1"/>
    </w:pPr>
  </w:style>
  <w:style w:type="paragraph" w:styleId="n2" w:customStyle="1">
    <w:name w:val="n2"/>
    <w:basedOn w:val="Normal"/>
    <w:rsid w:val="009D307C"/>
    <w:pPr>
      <w:spacing w:after="100" w:afterAutospacing="1" w:before="100" w:beforeAutospacing="1"/>
    </w:pPr>
  </w:style>
  <w:style w:type="character" w:styleId="u" w:customStyle="1">
    <w:name w:val="u"/>
    <w:basedOn w:val="Fuentedeprrafopredeter"/>
    <w:rsid w:val="009D307C"/>
  </w:style>
  <w:style w:type="paragraph" w:styleId="j1" w:customStyle="1">
    <w:name w:val="j1"/>
    <w:basedOn w:val="Normal"/>
    <w:rsid w:val="009D307C"/>
    <w:pPr>
      <w:spacing w:after="100" w:afterAutospacing="1" w:before="100" w:beforeAutospacing="1"/>
    </w:pPr>
  </w:style>
  <w:style w:type="paragraph" w:styleId="j2" w:customStyle="1">
    <w:name w:val="j2"/>
    <w:basedOn w:val="Normal"/>
    <w:rsid w:val="009D307C"/>
    <w:pPr>
      <w:spacing w:after="100" w:afterAutospacing="1" w:before="100" w:beforeAutospacing="1"/>
    </w:pPr>
  </w:style>
  <w:style w:type="table" w:styleId="Tabladelista1clara-nfasis1">
    <w:name w:val="List Table 1 Light Accent 1"/>
    <w:basedOn w:val="Tablanormal"/>
    <w:uiPriority w:val="46"/>
    <w:rsid w:val="00A01B91"/>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themeColor="accent1" w:themeTint="000099" w:val="single"/>
        </w:tcBorders>
      </w:tcPr>
    </w:tblStylePr>
    <w:tblStylePr w:type="lastRow">
      <w:rPr>
        <w:b w:val="1"/>
        <w:bCs w:val="1"/>
      </w:rPr>
      <w:tblPr/>
      <w:tcPr>
        <w:tcBorders>
          <w:top w:color="95b3d7" w:space="0" w:sz="4" w:themeColor="accent1" w:themeTint="000099" w:val="single"/>
        </w:tcBorders>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Mencinsinresolver1" w:customStyle="1">
    <w:name w:val="Mención sin resolver1"/>
    <w:basedOn w:val="Fuentedeprrafopredeter"/>
    <w:uiPriority w:val="99"/>
    <w:semiHidden w:val="1"/>
    <w:unhideWhenUsed w:val="1"/>
    <w:rsid w:val="00457753"/>
    <w:rPr>
      <w:color w:val="605e5c"/>
      <w:shd w:color="auto" w:fill="e1dfdd" w:val="clear"/>
    </w:rPr>
  </w:style>
  <w:style w:type="character" w:styleId="Mencinsinresolver2" w:customStyle="1">
    <w:name w:val="Mención sin resolver2"/>
    <w:basedOn w:val="Fuentedeprrafopredeter"/>
    <w:uiPriority w:val="99"/>
    <w:semiHidden w:val="1"/>
    <w:unhideWhenUsed w:val="1"/>
    <w:rsid w:val="00CE48D4"/>
    <w:rPr>
      <w:color w:val="605e5c"/>
      <w:shd w:color="auto" w:fill="e1dfdd" w:val="clear"/>
    </w:rPr>
  </w:style>
  <w:style w:type="table" w:styleId="Tabladelista1clara-nfasis11" w:customStyle="1">
    <w:name w:val="Tabla de lista 1 clara - Énfasis 11"/>
    <w:basedOn w:val="Tablanormal"/>
    <w:uiPriority w:val="46"/>
    <w:rsid w:val="008F79FD"/>
    <w:rPr>
      <w:rFonts w:eastAsia="MS Mincho"/>
    </w:rPr>
    <w:tblPr>
      <w:tblStyleRowBandSize w:val="1"/>
      <w:tblStyleColBandSize w:val="1"/>
      <w:tblInd w:w="0.0" w:type="dxa"/>
      <w:tblCellMar>
        <w:top w:w="0.0" w:type="dxa"/>
        <w:left w:w="108.0" w:type="dxa"/>
        <w:bottom w:w="0.0" w:type="dxa"/>
        <w:right w:w="108.0" w:type="dxa"/>
      </w:tblCellMar>
    </w:tblPr>
    <w:tblStylePr w:type="firstRow">
      <w:rPr>
        <w:b w:val="1"/>
        <w:bCs w:val="1"/>
      </w:rPr>
      <w:tblPr/>
      <w:tcPr>
        <w:tcBorders>
          <w:bottom w:color="95b3d7" w:space="0" w:sz="4" w:val="single"/>
        </w:tcBorders>
      </w:tcPr>
    </w:tblStylePr>
    <w:tblStylePr w:type="lastRow">
      <w:rPr>
        <w:b w:val="1"/>
        <w:bCs w:val="1"/>
      </w:rPr>
      <w:tblPr/>
      <w:tcPr>
        <w:tcBorders>
          <w:top w:color="95b3d7" w:space="0" w:sz="4" w:val="single"/>
        </w:tcBorders>
      </w:tcPr>
    </w:tblStylePr>
    <w:tblStylePr w:type="firstCol">
      <w:rPr>
        <w:b w:val="1"/>
        <w:bCs w:val="1"/>
      </w:rPr>
    </w:tblStylePr>
    <w:tblStylePr w:type="lastCol">
      <w:rPr>
        <w:b w:val="1"/>
        <w:bCs w:val="1"/>
      </w:rPr>
    </w:tblStylePr>
    <w:tblStylePr w:type="band1Vert">
      <w:tblPr/>
      <w:tcPr>
        <w:shd w:color="auto" w:fill="dbe5f1" w:val="clear"/>
      </w:tcPr>
    </w:tblStylePr>
    <w:tblStylePr w:type="band1Horz">
      <w:tblPr/>
      <w:tcPr>
        <w:shd w:color="auto" w:fill="dbe5f1" w:val="clear"/>
      </w:tcPr>
    </w:tblStylePr>
  </w:style>
  <w:style w:type="character" w:styleId="Ttulo3Car" w:customStyle="1">
    <w:name w:val="Título 3 Car"/>
    <w:basedOn w:val="Fuentedeprrafopredeter"/>
    <w:link w:val="Ttulo3"/>
    <w:uiPriority w:val="9"/>
    <w:semiHidden w:val="1"/>
    <w:rsid w:val="003B73CD"/>
    <w:rPr>
      <w:rFonts w:asciiTheme="majorHAnsi" w:cstheme="majorBidi" w:eastAsiaTheme="majorEastAsia" w:hAnsiTheme="majorHAnsi"/>
      <w:b w:val="1"/>
      <w:bCs w:val="1"/>
      <w:sz w:val="26"/>
      <w:szCs w:val="26"/>
      <w:lang w:eastAsia="en-US" w:val="en-US"/>
    </w:rPr>
  </w:style>
  <w:style w:type="character" w:styleId="Ttulo4Car" w:customStyle="1">
    <w:name w:val="Título 4 Car"/>
    <w:basedOn w:val="Fuentedeprrafopredeter"/>
    <w:link w:val="Ttulo4"/>
    <w:uiPriority w:val="9"/>
    <w:semiHidden w:val="1"/>
    <w:rsid w:val="003B73CD"/>
    <w:rPr>
      <w:b w:val="1"/>
      <w:bCs w:val="1"/>
      <w:sz w:val="28"/>
      <w:szCs w:val="28"/>
      <w:lang w:eastAsia="en-US" w:val="en-US"/>
    </w:rPr>
  </w:style>
  <w:style w:type="character" w:styleId="Ttulo5Car" w:customStyle="1">
    <w:name w:val="Título 5 Car"/>
    <w:basedOn w:val="Fuentedeprrafopredeter"/>
    <w:link w:val="Ttulo5"/>
    <w:uiPriority w:val="9"/>
    <w:semiHidden w:val="1"/>
    <w:rsid w:val="003B73CD"/>
    <w:rPr>
      <w:b w:val="1"/>
      <w:bCs w:val="1"/>
      <w:i w:val="1"/>
      <w:iCs w:val="1"/>
      <w:sz w:val="26"/>
      <w:szCs w:val="26"/>
      <w:lang w:eastAsia="en-US" w:val="en-US"/>
    </w:rPr>
  </w:style>
  <w:style w:type="character" w:styleId="Ttulo6Car" w:customStyle="1">
    <w:name w:val="Título 6 Car"/>
    <w:basedOn w:val="Fuentedeprrafopredeter"/>
    <w:link w:val="Ttulo6"/>
    <w:semiHidden w:val="1"/>
    <w:rsid w:val="003B73CD"/>
    <w:rPr>
      <w:rFonts w:ascii="Times New Roman" w:cs="Times New Roman" w:eastAsia="Times New Roman" w:hAnsi="Times New Roman"/>
      <w:b w:val="1"/>
      <w:bCs w:val="1"/>
      <w:sz w:val="22"/>
      <w:szCs w:val="22"/>
      <w:lang w:eastAsia="en-US" w:val="en-US"/>
    </w:rPr>
  </w:style>
  <w:style w:type="character" w:styleId="Ttulo7Car" w:customStyle="1">
    <w:name w:val="Título 7 Car"/>
    <w:basedOn w:val="Fuentedeprrafopredeter"/>
    <w:link w:val="Ttulo7"/>
    <w:uiPriority w:val="9"/>
    <w:semiHidden w:val="1"/>
    <w:rsid w:val="003B73CD"/>
    <w:rPr>
      <w:lang w:eastAsia="en-US" w:val="en-US"/>
    </w:rPr>
  </w:style>
  <w:style w:type="character" w:styleId="Ttulo8Car" w:customStyle="1">
    <w:name w:val="Título 8 Car"/>
    <w:basedOn w:val="Fuentedeprrafopredeter"/>
    <w:link w:val="Ttulo8"/>
    <w:uiPriority w:val="9"/>
    <w:semiHidden w:val="1"/>
    <w:rsid w:val="003B73CD"/>
    <w:rPr>
      <w:i w:val="1"/>
      <w:iCs w:val="1"/>
      <w:lang w:eastAsia="en-US" w:val="en-US"/>
    </w:rPr>
  </w:style>
  <w:style w:type="character" w:styleId="Ttulo9Car" w:customStyle="1">
    <w:name w:val="Título 9 Car"/>
    <w:basedOn w:val="Fuentedeprrafopredeter"/>
    <w:link w:val="Ttulo9"/>
    <w:uiPriority w:val="9"/>
    <w:semiHidden w:val="1"/>
    <w:rsid w:val="003B73CD"/>
    <w:rPr>
      <w:rFonts w:asciiTheme="majorHAnsi" w:cstheme="majorBidi" w:eastAsiaTheme="majorEastAsia" w:hAnsiTheme="majorHAnsi"/>
      <w:sz w:val="22"/>
      <w:szCs w:val="22"/>
      <w:lang w:eastAsia="en-US" w:val="en-US"/>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2"/>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2"/>
    <w:tblPr>
      <w:tblStyleRowBandSize w:val="1"/>
      <w:tblStyleColBandSize w:val="1"/>
      <w:tblCellMar>
        <w:top w:w="0.0" w:type="dxa"/>
        <w:left w:w="115.0" w:type="dxa"/>
        <w:bottom w:w="0.0" w:type="dxa"/>
        <w:right w:w="115.0" w:type="dxa"/>
      </w:tblCellMar>
    </w:tblPr>
  </w:style>
  <w:style w:type="table" w:styleId="a2" w:customStyle="1">
    <w:basedOn w:val="TableNormal2"/>
    <w:tblPr>
      <w:tblStyleRowBandSize w:val="1"/>
      <w:tblStyleColBandSize w:val="1"/>
      <w:tblCellMar>
        <w:top w:w="0.0" w:type="dxa"/>
        <w:left w:w="115.0" w:type="dxa"/>
        <w:bottom w:w="0.0" w:type="dxa"/>
        <w:right w:w="115.0" w:type="dxa"/>
      </w:tblCellMar>
    </w:tblPr>
  </w:style>
  <w:style w:type="character" w:styleId="Mencinsinresolver3" w:customStyle="1">
    <w:name w:val="Mención sin resolver3"/>
    <w:basedOn w:val="Fuentedeprrafopredeter"/>
    <w:uiPriority w:val="99"/>
    <w:semiHidden w:val="1"/>
    <w:unhideWhenUsed w:val="1"/>
    <w:rsid w:val="0094565C"/>
    <w:rPr>
      <w:color w:val="605e5c"/>
      <w:shd w:color="auto" w:fill="e1dfdd" w:val="clear"/>
    </w:rPr>
  </w:style>
  <w:style w:type="paragraph" w:styleId="Citas" w:customStyle="1">
    <w:name w:val="Citas"/>
    <w:basedOn w:val="Normal"/>
    <w:qFormat w:val="1"/>
    <w:rsid w:val="003B5C34"/>
    <w:pPr>
      <w:spacing w:after="160" w:before="240" w:line="360" w:lineRule="auto"/>
      <w:ind w:left="851" w:right="851"/>
      <w:jc w:val="both"/>
    </w:pPr>
    <w:rPr>
      <w:rFonts w:ascii="Palatino Linotype" w:cs="Arial" w:hAnsi="Palatino Linotype" w:eastAsiaTheme="minorHAnsi"/>
      <w:i w:val="1"/>
      <w:sz w:val="22"/>
      <w:szCs w:val="22"/>
      <w:lang w:eastAsia="en-US"/>
    </w:rPr>
  </w:style>
  <w:style w:type="table" w:styleId="a3" w:customStyle="1">
    <w:basedOn w:val="TableNormal2"/>
    <w:tblPr>
      <w:tblStyleRowBandSize w:val="1"/>
      <w:tblStyleColBandSize w:val="1"/>
      <w:tblCellMar>
        <w:top w:w="0.0" w:type="dxa"/>
        <w:left w:w="108.0" w:type="dxa"/>
        <w:bottom w:w="0.0" w:type="dxa"/>
        <w:right w:w="108.0" w:type="dxa"/>
      </w:tblCellMar>
    </w:tblPr>
  </w:style>
  <w:style w:type="table" w:styleId="a4" w:customStyle="1">
    <w:basedOn w:val="TableNormal2"/>
    <w:tblPr>
      <w:tblStyleRowBandSize w:val="1"/>
      <w:tblStyleColBandSize w:val="1"/>
      <w:tblCellMar>
        <w:top w:w="0.0" w:type="dxa"/>
        <w:left w:w="108.0" w:type="dxa"/>
        <w:bottom w:w="0.0" w:type="dxa"/>
        <w:right w:w="108.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5" w:customStyle="1">
    <w:basedOn w:val="TableNormal2"/>
    <w:tblPr>
      <w:tblStyleRowBandSize w:val="1"/>
      <w:tblStyleColBandSize w:val="1"/>
      <w:tblCellMar>
        <w:top w:w="0.0" w:type="dxa"/>
        <w:left w:w="115.0" w:type="dxa"/>
        <w:bottom w:w="0.0" w:type="dxa"/>
        <w:right w:w="115.0" w:type="dxa"/>
      </w:tblCellMar>
    </w:tblPr>
  </w:style>
  <w:style w:type="table" w:styleId="a6" w:customStyle="1">
    <w:basedOn w:val="TableNormal2"/>
    <w:tblPr>
      <w:tblStyleRowBandSize w:val="1"/>
      <w:tblStyleColBandSize w:val="1"/>
      <w:tblCellMar>
        <w:top w:w="0.0" w:type="dxa"/>
        <w:left w:w="115.0" w:type="dxa"/>
        <w:bottom w:w="0.0" w:type="dxa"/>
        <w:right w:w="115.0" w:type="dxa"/>
      </w:tblCellMar>
    </w:tblPr>
  </w:style>
  <w:style w:type="table" w:styleId="a7" w:customStyle="1">
    <w:basedOn w:val="TableNormal1"/>
    <w:tblPr>
      <w:tblStyleRowBandSize w:val="1"/>
      <w:tblStyleColBandSize w:val="1"/>
      <w:tblCellMar>
        <w:top w:w="0.0" w:type="dxa"/>
        <w:left w:w="108.0" w:type="dxa"/>
        <w:bottom w:w="0.0" w:type="dxa"/>
        <w:right w:w="108.0" w:type="dxa"/>
      </w:tblCellMar>
    </w:tblPr>
  </w:style>
  <w:style w:type="table" w:styleId="a8" w:customStyle="1">
    <w:basedOn w:val="TableNormal1"/>
    <w:tblPr>
      <w:tblStyleRowBandSize w:val="1"/>
      <w:tblStyleColBandSize w:val="1"/>
      <w:tblCellMar>
        <w:top w:w="0.0" w:type="dxa"/>
        <w:left w:w="108.0" w:type="dxa"/>
        <w:bottom w:w="0.0" w:type="dxa"/>
        <w:right w:w="108.0" w:type="dxa"/>
      </w:tblCellMar>
    </w:tblPr>
  </w:style>
  <w:style w:type="table" w:styleId="a9" w:customStyle="1">
    <w:basedOn w:val="TableNormal1"/>
    <w:tblPr>
      <w:tblStyleRowBandSize w:val="1"/>
      <w:tblStyleColBandSize w:val="1"/>
      <w:tblCellMar>
        <w:top w:w="0.0" w:type="dxa"/>
        <w:left w:w="108.0" w:type="dxa"/>
        <w:bottom w:w="0.0" w:type="dxa"/>
        <w:right w:w="108.0" w:type="dxa"/>
      </w:tblCellMar>
    </w:tblPr>
  </w:style>
  <w:style w:type="table" w:styleId="aa" w:customStyle="1">
    <w:basedOn w:val="TableNormal1"/>
    <w:tblPr>
      <w:tblStyleRowBandSize w:val="1"/>
      <w:tblStyleColBandSize w:val="1"/>
      <w:tblCellMar>
        <w:top w:w="0.0" w:type="dxa"/>
        <w:left w:w="108.0" w:type="dxa"/>
        <w:bottom w:w="0.0" w:type="dxa"/>
        <w:right w:w="108.0" w:type="dxa"/>
      </w:tblCellMar>
    </w:tblPr>
  </w:style>
  <w:style w:type="table" w:styleId="ab" w:customStyle="1">
    <w:basedOn w:val="TableNormal1"/>
    <w:tblPr>
      <w:tblStyleRowBandSize w:val="1"/>
      <w:tblStyleColBandSize w:val="1"/>
      <w:tblCellMar>
        <w:top w:w="0.0" w:type="dxa"/>
        <w:left w:w="108.0" w:type="dxa"/>
        <w:bottom w:w="0.0" w:type="dxa"/>
        <w:right w:w="108.0" w:type="dxa"/>
      </w:tblCellMar>
    </w:tblPr>
  </w:style>
  <w:style w:type="table" w:styleId="ac" w:customStyle="1">
    <w:basedOn w:val="TableNormal1"/>
    <w:tblPr>
      <w:tblStyleRowBandSize w:val="1"/>
      <w:tblStyleColBandSize w:val="1"/>
      <w:tblCellMar>
        <w:top w:w="0.0" w:type="dxa"/>
        <w:left w:w="108.0" w:type="dxa"/>
        <w:bottom w:w="0.0" w:type="dxa"/>
        <w:right w:w="108.0" w:type="dxa"/>
      </w:tblCellMar>
    </w:tblPr>
  </w:style>
  <w:style w:type="table" w:styleId="ad" w:customStyle="1">
    <w:basedOn w:val="TableNormal1"/>
    <w:tblPr>
      <w:tblStyleRowBandSize w:val="1"/>
      <w:tblStyleColBandSize w:val="1"/>
      <w:tblCellMar>
        <w:top w:w="0.0" w:type="dxa"/>
        <w:left w:w="108.0" w:type="dxa"/>
        <w:bottom w:w="0.0" w:type="dxa"/>
        <w:right w:w="108.0" w:type="dxa"/>
      </w:tblCellMar>
    </w:tblPr>
  </w:style>
  <w:style w:type="table" w:styleId="ae" w:customStyle="1">
    <w:basedOn w:val="TableNormal1"/>
    <w:tblPr>
      <w:tblStyleRowBandSize w:val="1"/>
      <w:tblStyleColBandSize w:val="1"/>
      <w:tblCellMar>
        <w:top w:w="0.0" w:type="dxa"/>
        <w:left w:w="108.0" w:type="dxa"/>
        <w:bottom w:w="0.0" w:type="dxa"/>
        <w:right w:w="108.0" w:type="dxa"/>
      </w:tblCellMar>
    </w:tblPr>
  </w:style>
  <w:style w:type="table" w:styleId="af" w:customStyle="1">
    <w:basedOn w:val="TableNormal1"/>
    <w:tblPr>
      <w:tblStyleRowBandSize w:val="1"/>
      <w:tblStyleColBandSize w:val="1"/>
      <w:tblCellMar>
        <w:top w:w="0.0" w:type="dxa"/>
        <w:left w:w="108.0" w:type="dxa"/>
        <w:bottom w:w="0.0" w:type="dxa"/>
        <w:right w:w="108.0" w:type="dxa"/>
      </w:tblCellMar>
    </w:tblPr>
  </w:style>
  <w:style w:type="table" w:styleId="af0" w:customStyle="1">
    <w:basedOn w:val="TableNormal1"/>
    <w:tblPr>
      <w:tblStyleRowBandSize w:val="1"/>
      <w:tblStyleColBandSize w:val="1"/>
      <w:tblCellMar>
        <w:top w:w="0.0" w:type="dxa"/>
        <w:left w:w="108.0" w:type="dxa"/>
        <w:bottom w:w="0.0" w:type="dxa"/>
        <w:right w:w="108.0" w:type="dxa"/>
      </w:tblCellMar>
    </w:tblPr>
  </w:style>
  <w:style w:type="table" w:styleId="af1" w:customStyle="1">
    <w:basedOn w:val="TableNormal1"/>
    <w:tblPr>
      <w:tblStyleRowBandSize w:val="1"/>
      <w:tblStyleColBandSize w:val="1"/>
      <w:tblCellMar>
        <w:top w:w="0.0" w:type="dxa"/>
        <w:left w:w="108.0" w:type="dxa"/>
        <w:bottom w:w="0.0" w:type="dxa"/>
        <w:right w:w="108.0" w:type="dxa"/>
      </w:tblCellMar>
    </w:tblPr>
  </w:style>
  <w:style w:type="table" w:styleId="af2" w:customStyle="1">
    <w:basedOn w:val="TableNormal1"/>
    <w:tblPr>
      <w:tblStyleRowBandSize w:val="1"/>
      <w:tblStyleColBandSize w:val="1"/>
      <w:tblCellMar>
        <w:top w:w="0.0" w:type="dxa"/>
        <w:left w:w="108.0" w:type="dxa"/>
        <w:bottom w:w="0.0" w:type="dxa"/>
        <w:right w:w="108.0" w:type="dxa"/>
      </w:tblCellMar>
    </w:tblPr>
  </w:style>
  <w:style w:type="table" w:styleId="af3" w:customStyle="1">
    <w:basedOn w:val="TableNormal1"/>
    <w:tblPr>
      <w:tblStyleRowBandSize w:val="1"/>
      <w:tblStyleColBandSize w:val="1"/>
      <w:tblCellMar>
        <w:top w:w="0.0" w:type="dxa"/>
        <w:left w:w="108.0" w:type="dxa"/>
        <w:bottom w:w="0.0" w:type="dxa"/>
        <w:right w:w="108.0" w:type="dxa"/>
      </w:tblCellMar>
    </w:tblPr>
  </w:style>
  <w:style w:type="table" w:styleId="af4" w:customStyle="1">
    <w:basedOn w:val="TableNormal1"/>
    <w:tblPr>
      <w:tblStyleRowBandSize w:val="1"/>
      <w:tblStyleColBandSize w:val="1"/>
      <w:tblCellMar>
        <w:top w:w="0.0" w:type="dxa"/>
        <w:left w:w="108.0" w:type="dxa"/>
        <w:bottom w:w="0.0" w:type="dxa"/>
        <w:right w:w="108.0" w:type="dxa"/>
      </w:tblCellMar>
    </w:tblPr>
  </w:style>
  <w:style w:type="table" w:styleId="af5" w:customStyle="1">
    <w:basedOn w:val="TableNormal1"/>
    <w:tblPr>
      <w:tblStyleRowBandSize w:val="1"/>
      <w:tblStyleColBandSize w:val="1"/>
      <w:tblCellMar>
        <w:top w:w="0.0" w:type="dxa"/>
        <w:left w:w="108.0" w:type="dxa"/>
        <w:bottom w:w="0.0" w:type="dxa"/>
        <w:right w:w="108.0" w:type="dxa"/>
      </w:tblCellMar>
    </w:tblPr>
  </w:style>
  <w:style w:type="table" w:styleId="af6" w:customStyle="1">
    <w:basedOn w:val="TableNormal1"/>
    <w:tblPr>
      <w:tblStyleRowBandSize w:val="1"/>
      <w:tblStyleColBandSize w:val="1"/>
      <w:tblCellMar>
        <w:top w:w="0.0" w:type="dxa"/>
        <w:left w:w="108.0" w:type="dxa"/>
        <w:bottom w:w="0.0" w:type="dxa"/>
        <w:right w:w="108.0" w:type="dxa"/>
      </w:tblCellMar>
    </w:tblPr>
  </w:style>
  <w:style w:type="table" w:styleId="af7" w:customStyle="1">
    <w:basedOn w:val="TableNormal1"/>
    <w:tblPr>
      <w:tblStyleRowBandSize w:val="1"/>
      <w:tblStyleColBandSize w:val="1"/>
      <w:tblCellMar>
        <w:top w:w="0.0" w:type="dxa"/>
        <w:left w:w="108.0" w:type="dxa"/>
        <w:bottom w:w="0.0" w:type="dxa"/>
        <w:right w:w="108.0" w:type="dxa"/>
      </w:tblCellMar>
    </w:tblPr>
  </w:style>
  <w:style w:type="table" w:styleId="af8" w:customStyle="1">
    <w:basedOn w:val="TableNormal1"/>
    <w:tblPr>
      <w:tblStyleRowBandSize w:val="1"/>
      <w:tblStyleColBandSize w:val="1"/>
      <w:tblCellMar>
        <w:top w:w="0.0" w:type="dxa"/>
        <w:left w:w="108.0" w:type="dxa"/>
        <w:bottom w:w="0.0" w:type="dxa"/>
        <w:right w:w="108.0" w:type="dxa"/>
      </w:tblCellMar>
    </w:tblPr>
  </w:style>
  <w:style w:type="table" w:styleId="af9" w:customStyle="1">
    <w:basedOn w:val="TableNormal1"/>
    <w:tblPr>
      <w:tblStyleRowBandSize w:val="1"/>
      <w:tblStyleColBandSize w:val="1"/>
      <w:tblCellMar>
        <w:top w:w="0.0" w:type="dxa"/>
        <w:left w:w="108.0" w:type="dxa"/>
        <w:bottom w:w="0.0" w:type="dxa"/>
        <w:right w:w="108.0" w:type="dxa"/>
      </w:tblCellMar>
    </w:tblPr>
  </w:style>
  <w:style w:type="table" w:styleId="afa" w:customStyle="1">
    <w:basedOn w:val="TableNormal1"/>
    <w:tblPr>
      <w:tblStyleRowBandSize w:val="1"/>
      <w:tblStyleColBandSize w:val="1"/>
      <w:tblCellMar>
        <w:top w:w="0.0" w:type="dxa"/>
        <w:left w:w="108.0" w:type="dxa"/>
        <w:bottom w:w="0.0" w:type="dxa"/>
        <w:right w:w="108.0" w:type="dxa"/>
      </w:tblCellMar>
    </w:tblPr>
  </w:style>
  <w:style w:type="table" w:styleId="afb" w:customStyle="1">
    <w:basedOn w:val="TableNormal1"/>
    <w:tblPr>
      <w:tblStyleRowBandSize w:val="1"/>
      <w:tblStyleColBandSize w:val="1"/>
      <w:tblCellMar>
        <w:top w:w="0.0" w:type="dxa"/>
        <w:left w:w="108.0" w:type="dxa"/>
        <w:bottom w:w="0.0" w:type="dxa"/>
        <w:right w:w="108.0" w:type="dxa"/>
      </w:tblCellMar>
    </w:tblPr>
  </w:style>
  <w:style w:type="table" w:styleId="afc" w:customStyle="1">
    <w:basedOn w:val="TableNormal1"/>
    <w:tblPr>
      <w:tblStyleRowBandSize w:val="1"/>
      <w:tblStyleColBandSize w:val="1"/>
      <w:tblCellMar>
        <w:top w:w="0.0" w:type="dxa"/>
        <w:left w:w="108.0" w:type="dxa"/>
        <w:bottom w:w="0.0" w:type="dxa"/>
        <w:right w:w="108.0" w:type="dxa"/>
      </w:tblCellMar>
    </w:tblPr>
  </w:style>
  <w:style w:type="table" w:styleId="afd" w:customStyle="1">
    <w:basedOn w:val="TableNormal1"/>
    <w:tblPr>
      <w:tblStyleRowBandSize w:val="1"/>
      <w:tblStyleColBandSize w:val="1"/>
      <w:tblCellMar>
        <w:top w:w="0.0" w:type="dxa"/>
        <w:left w:w="108.0" w:type="dxa"/>
        <w:bottom w:w="0.0" w:type="dxa"/>
        <w:right w:w="108.0" w:type="dxa"/>
      </w:tblCellMar>
    </w:tblPr>
  </w:style>
  <w:style w:type="table" w:styleId="afe" w:customStyle="1">
    <w:basedOn w:val="TableNormal1"/>
    <w:tblPr>
      <w:tblStyleRowBandSize w:val="1"/>
      <w:tblStyleColBandSize w:val="1"/>
      <w:tblCellMar>
        <w:top w:w="0.0" w:type="dxa"/>
        <w:left w:w="115.0" w:type="dxa"/>
        <w:bottom w:w="0.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 w:customStyle="1">
    <w:basedOn w:val="TableNormal1"/>
    <w:tblPr>
      <w:tblStyleRowBandSize w:val="1"/>
      <w:tblStyleColBandSize w:val="1"/>
      <w:tblCellMar>
        <w:top w:w="0.0" w:type="dxa"/>
        <w:left w:w="115.0" w:type="dxa"/>
        <w:bottom w:w="0.0" w:type="dxa"/>
        <w:right w:w="115.0" w:type="dxa"/>
      </w:tblCellMar>
    </w:tblPr>
  </w:style>
  <w:style w:type="table" w:styleId="aff0" w:customStyle="1">
    <w:basedOn w:val="TableNormal1"/>
    <w:tblPr>
      <w:tblStyleRowBandSize w:val="1"/>
      <w:tblStyleColBandSize w:val="1"/>
      <w:tblCellMar>
        <w:top w:w="0.0" w:type="dxa"/>
        <w:left w:w="115.0" w:type="dxa"/>
        <w:bottom w:w="0.0" w:type="dxa"/>
        <w:right w:w="115.0" w:type="dxa"/>
      </w:tblCellMar>
    </w:tblPr>
  </w:style>
  <w:style w:type="table" w:styleId="aff1" w:customStyle="1">
    <w:basedOn w:val="TableNormal0"/>
    <w:tblPr>
      <w:tblStyleRowBandSize w:val="1"/>
      <w:tblStyleColBandSize w:val="1"/>
      <w:tblCellMar>
        <w:top w:w="0.0" w:type="dxa"/>
        <w:left w:w="108.0" w:type="dxa"/>
        <w:bottom w:w="0.0" w:type="dxa"/>
        <w:right w:w="108.0" w:type="dxa"/>
      </w:tblCellMar>
    </w:tblPr>
  </w:style>
  <w:style w:type="table" w:styleId="aff2" w:customStyle="1">
    <w:basedOn w:val="TableNormal0"/>
    <w:tblPr>
      <w:tblStyleRowBandSize w:val="1"/>
      <w:tblStyleColBandSize w:val="1"/>
      <w:tblCellMar>
        <w:top w:w="0.0" w:type="dxa"/>
        <w:left w:w="108.0" w:type="dxa"/>
        <w:bottom w:w="0.0" w:type="dxa"/>
        <w:right w:w="108.0" w:type="dxa"/>
      </w:tblCellMar>
    </w:tblPr>
  </w:style>
  <w:style w:type="table" w:styleId="aff3" w:customStyle="1">
    <w:basedOn w:val="TableNormal0"/>
    <w:tblPr>
      <w:tblStyleRowBandSize w:val="1"/>
      <w:tblStyleColBandSize w:val="1"/>
      <w:tblCellMar>
        <w:top w:w="0.0" w:type="dxa"/>
        <w:left w:w="108.0" w:type="dxa"/>
        <w:bottom w:w="0.0" w:type="dxa"/>
        <w:right w:w="108.0" w:type="dxa"/>
      </w:tblCellMar>
    </w:tblPr>
  </w:style>
  <w:style w:type="table" w:styleId="aff4" w:customStyle="1">
    <w:basedOn w:val="TableNormal0"/>
    <w:tblPr>
      <w:tblStyleRowBandSize w:val="1"/>
      <w:tblStyleColBandSize w:val="1"/>
      <w:tblCellMar>
        <w:top w:w="0.0" w:type="dxa"/>
        <w:left w:w="108.0" w:type="dxa"/>
        <w:bottom w:w="0.0" w:type="dxa"/>
        <w:right w:w="108.0" w:type="dxa"/>
      </w:tblCellMar>
    </w:tblPr>
  </w:style>
  <w:style w:type="table" w:styleId="aff5" w:customStyle="1">
    <w:basedOn w:val="TableNormal0"/>
    <w:tblPr>
      <w:tblStyleRowBandSize w:val="1"/>
      <w:tblStyleColBandSize w:val="1"/>
      <w:tblCellMar>
        <w:top w:w="0.0" w:type="dxa"/>
        <w:left w:w="108.0" w:type="dxa"/>
        <w:bottom w:w="0.0" w:type="dxa"/>
        <w:right w:w="108.0" w:type="dxa"/>
      </w:tblCellMar>
    </w:tblPr>
  </w:style>
  <w:style w:type="table" w:styleId="aff6" w:customStyle="1">
    <w:basedOn w:val="TableNormal0"/>
    <w:tblPr>
      <w:tblStyleRowBandSize w:val="1"/>
      <w:tblStyleColBandSize w:val="1"/>
      <w:tblCellMar>
        <w:top w:w="0.0" w:type="dxa"/>
        <w:left w:w="108.0" w:type="dxa"/>
        <w:bottom w:w="0.0" w:type="dxa"/>
        <w:right w:w="108.0" w:type="dxa"/>
      </w:tblCellMar>
    </w:tblPr>
  </w:style>
  <w:style w:type="table" w:styleId="aff7" w:customStyle="1">
    <w:basedOn w:val="TableNormal0"/>
    <w:tblPr>
      <w:tblStyleRowBandSize w:val="1"/>
      <w:tblStyleColBandSize w:val="1"/>
      <w:tblCellMar>
        <w:top w:w="0.0" w:type="dxa"/>
        <w:left w:w="108.0" w:type="dxa"/>
        <w:bottom w:w="0.0" w:type="dxa"/>
        <w:right w:w="108.0" w:type="dxa"/>
      </w:tblCellMar>
    </w:tblPr>
  </w:style>
  <w:style w:type="table" w:styleId="aff8" w:customStyle="1">
    <w:basedOn w:val="TableNormal0"/>
    <w:tblPr>
      <w:tblStyleRowBandSize w:val="1"/>
      <w:tblStyleColBandSize w:val="1"/>
      <w:tblCellMar>
        <w:top w:w="0.0" w:type="dxa"/>
        <w:left w:w="108.0" w:type="dxa"/>
        <w:bottom w:w="0.0" w:type="dxa"/>
        <w:right w:w="108.0" w:type="dxa"/>
      </w:tblCellMar>
    </w:tblPr>
  </w:style>
  <w:style w:type="table" w:styleId="aff9" w:customStyle="1">
    <w:basedOn w:val="TableNormal0"/>
    <w:tblPr>
      <w:tblStyleRowBandSize w:val="1"/>
      <w:tblStyleColBandSize w:val="1"/>
      <w:tblCellMar>
        <w:top w:w="0.0" w:type="dxa"/>
        <w:left w:w="108.0" w:type="dxa"/>
        <w:bottom w:w="0.0" w:type="dxa"/>
        <w:right w:w="108.0" w:type="dxa"/>
      </w:tblCellMar>
    </w:tblPr>
  </w:style>
  <w:style w:type="table" w:styleId="affa" w:customStyle="1">
    <w:basedOn w:val="TableNormal0"/>
    <w:tblPr>
      <w:tblStyleRowBandSize w:val="1"/>
      <w:tblStyleColBandSize w:val="1"/>
      <w:tblCellMar>
        <w:top w:w="0.0" w:type="dxa"/>
        <w:left w:w="108.0" w:type="dxa"/>
        <w:bottom w:w="0.0" w:type="dxa"/>
        <w:right w:w="108.0" w:type="dxa"/>
      </w:tblCellMar>
    </w:tblPr>
  </w:style>
  <w:style w:type="table" w:styleId="affb" w:customStyle="1">
    <w:basedOn w:val="TableNormal0"/>
    <w:tblPr>
      <w:tblStyleRowBandSize w:val="1"/>
      <w:tblStyleColBandSize w:val="1"/>
      <w:tblCellMar>
        <w:top w:w="0.0" w:type="dxa"/>
        <w:left w:w="108.0" w:type="dxa"/>
        <w:bottom w:w="0.0" w:type="dxa"/>
        <w:right w:w="108.0" w:type="dxa"/>
      </w:tblCellMar>
    </w:tblPr>
  </w:style>
  <w:style w:type="table" w:styleId="affc" w:customStyle="1">
    <w:basedOn w:val="TableNormal0"/>
    <w:tblPr>
      <w:tblStyleRowBandSize w:val="1"/>
      <w:tblStyleColBandSize w:val="1"/>
      <w:tblCellMar>
        <w:top w:w="0.0" w:type="dxa"/>
        <w:left w:w="108.0" w:type="dxa"/>
        <w:bottom w:w="0.0" w:type="dxa"/>
        <w:right w:w="108.0" w:type="dxa"/>
      </w:tblCellMar>
    </w:tblPr>
  </w:style>
  <w:style w:type="table" w:styleId="affd" w:customStyle="1">
    <w:basedOn w:val="TableNormal0"/>
    <w:tblPr>
      <w:tblStyleRowBandSize w:val="1"/>
      <w:tblStyleColBandSize w:val="1"/>
      <w:tblCellMar>
        <w:top w:w="0.0" w:type="dxa"/>
        <w:left w:w="108.0" w:type="dxa"/>
        <w:bottom w:w="0.0" w:type="dxa"/>
        <w:right w:w="108.0" w:type="dxa"/>
      </w:tblCellMar>
    </w:tblPr>
  </w:style>
  <w:style w:type="table" w:styleId="affe" w:customStyle="1">
    <w:basedOn w:val="TableNormal0"/>
    <w:tblPr>
      <w:tblStyleRowBandSize w:val="1"/>
      <w:tblStyleColBandSize w:val="1"/>
      <w:tblCellMar>
        <w:top w:w="0.0" w:type="dxa"/>
        <w:left w:w="108.0" w:type="dxa"/>
        <w:bottom w:w="0.0" w:type="dxa"/>
        <w:right w:w="108.0" w:type="dxa"/>
      </w:tblCellMar>
    </w:tblPr>
  </w:style>
  <w:style w:type="table" w:styleId="afff" w:customStyle="1">
    <w:basedOn w:val="TableNormal0"/>
    <w:tblPr>
      <w:tblStyleRowBandSize w:val="1"/>
      <w:tblStyleColBandSize w:val="1"/>
      <w:tblCellMar>
        <w:top w:w="0.0" w:type="dxa"/>
        <w:left w:w="108.0" w:type="dxa"/>
        <w:bottom w:w="0.0" w:type="dxa"/>
        <w:right w:w="108.0" w:type="dxa"/>
      </w:tblCellMar>
    </w:tblPr>
  </w:style>
  <w:style w:type="table" w:styleId="afff0" w:customStyle="1">
    <w:basedOn w:val="TableNormal0"/>
    <w:tblPr>
      <w:tblStyleRowBandSize w:val="1"/>
      <w:tblStyleColBandSize w:val="1"/>
      <w:tblCellMar>
        <w:top w:w="0.0" w:type="dxa"/>
        <w:left w:w="108.0" w:type="dxa"/>
        <w:bottom w:w="0.0" w:type="dxa"/>
        <w:right w:w="108.0" w:type="dxa"/>
      </w:tblCellMar>
    </w:tblPr>
  </w:style>
  <w:style w:type="table" w:styleId="afff1" w:customStyle="1">
    <w:basedOn w:val="TableNormal0"/>
    <w:tblPr>
      <w:tblStyleRowBandSize w:val="1"/>
      <w:tblStyleColBandSize w:val="1"/>
      <w:tblCellMar>
        <w:top w:w="0.0" w:type="dxa"/>
        <w:left w:w="108.0" w:type="dxa"/>
        <w:bottom w:w="0.0" w:type="dxa"/>
        <w:right w:w="108.0" w:type="dxa"/>
      </w:tblCellMar>
    </w:tblPr>
  </w:style>
  <w:style w:type="table" w:styleId="afff2" w:customStyle="1">
    <w:basedOn w:val="TableNormal0"/>
    <w:tblPr>
      <w:tblStyleRowBandSize w:val="1"/>
      <w:tblStyleColBandSize w:val="1"/>
      <w:tblCellMar>
        <w:top w:w="0.0" w:type="dxa"/>
        <w:left w:w="108.0" w:type="dxa"/>
        <w:bottom w:w="0.0" w:type="dxa"/>
        <w:right w:w="108.0" w:type="dxa"/>
      </w:tblCellMar>
    </w:tblPr>
  </w:style>
  <w:style w:type="table" w:styleId="afff3" w:customStyle="1">
    <w:basedOn w:val="TableNormal0"/>
    <w:tblPr>
      <w:tblStyleRowBandSize w:val="1"/>
      <w:tblStyleColBandSize w:val="1"/>
      <w:tblCellMar>
        <w:top w:w="0.0" w:type="dxa"/>
        <w:left w:w="108.0" w:type="dxa"/>
        <w:bottom w:w="0.0" w:type="dxa"/>
        <w:right w:w="108.0" w:type="dxa"/>
      </w:tblCellMar>
    </w:tblPr>
  </w:style>
  <w:style w:type="table" w:styleId="afff4" w:customStyle="1">
    <w:basedOn w:val="TableNormal0"/>
    <w:tblPr>
      <w:tblStyleRowBandSize w:val="1"/>
      <w:tblStyleColBandSize w:val="1"/>
      <w:tblCellMar>
        <w:top w:w="0.0" w:type="dxa"/>
        <w:left w:w="108.0" w:type="dxa"/>
        <w:bottom w:w="0.0" w:type="dxa"/>
        <w:right w:w="108.0" w:type="dxa"/>
      </w:tblCellMar>
    </w:tblPr>
  </w:style>
  <w:style w:type="table" w:styleId="afff5" w:customStyle="1">
    <w:basedOn w:val="TableNormal0"/>
    <w:tblPr>
      <w:tblStyleRowBandSize w:val="1"/>
      <w:tblStyleColBandSize w:val="1"/>
      <w:tblCellMar>
        <w:top w:w="0.0" w:type="dxa"/>
        <w:left w:w="108.0" w:type="dxa"/>
        <w:bottom w:w="0.0" w:type="dxa"/>
        <w:right w:w="108.0" w:type="dxa"/>
      </w:tblCellMar>
    </w:tblPr>
  </w:style>
  <w:style w:type="table" w:styleId="afff6" w:customStyle="1">
    <w:basedOn w:val="TableNormal0"/>
    <w:tblPr>
      <w:tblStyleRowBandSize w:val="1"/>
      <w:tblStyleColBandSize w:val="1"/>
      <w:tblCellMar>
        <w:top w:w="0.0" w:type="dxa"/>
        <w:left w:w="108.0" w:type="dxa"/>
        <w:bottom w:w="0.0" w:type="dxa"/>
        <w:right w:w="108.0" w:type="dxa"/>
      </w:tblCellMar>
    </w:tblPr>
  </w:style>
  <w:style w:type="table" w:styleId="afff7" w:customStyle="1">
    <w:basedOn w:val="TableNormal0"/>
    <w:tblPr>
      <w:tblStyleRowBandSize w:val="1"/>
      <w:tblStyleColBandSize w:val="1"/>
      <w:tblCellMar>
        <w:top w:w="0.0" w:type="dxa"/>
        <w:left w:w="108.0" w:type="dxa"/>
        <w:bottom w:w="0.0" w:type="dxa"/>
        <w:right w:w="108.0" w:type="dxa"/>
      </w:tblCellMar>
    </w:tblPr>
  </w:style>
  <w:style w:type="table" w:styleId="afff8" w:customStyle="1">
    <w:basedOn w:val="TableNormal0"/>
    <w:tblPr>
      <w:tblStyleRowBandSize w:val="1"/>
      <w:tblStyleColBandSize w:val="1"/>
      <w:tblCellMar>
        <w:top w:w="0.0" w:type="dxa"/>
        <w:left w:w="108.0" w:type="dxa"/>
        <w:bottom w:w="0.0" w:type="dxa"/>
        <w:right w:w="108.0" w:type="dxa"/>
      </w:tblCellMar>
    </w:tblPr>
  </w:style>
  <w:style w:type="table" w:styleId="afff9" w:customStyle="1">
    <w:basedOn w:val="TableNormal0"/>
    <w:tblPr>
      <w:tblStyleRowBandSize w:val="1"/>
      <w:tblStyleColBandSize w:val="1"/>
      <w:tblCellMar>
        <w:top w:w="0.0" w:type="dxa"/>
        <w:left w:w="108.0" w:type="dxa"/>
        <w:bottom w:w="0.0" w:type="dxa"/>
        <w:right w:w="108.0" w:type="dxa"/>
      </w:tblCellMar>
    </w:tblPr>
  </w:style>
  <w:style w:type="table" w:styleId="afffa" w:customStyle="1">
    <w:basedOn w:val="TableNormal0"/>
    <w:tblPr>
      <w:tblStyleRowBandSize w:val="1"/>
      <w:tblStyleColBandSize w:val="1"/>
      <w:tblCellMar>
        <w:top w:w="0.0" w:type="dxa"/>
        <w:left w:w="108.0" w:type="dxa"/>
        <w:bottom w:w="0.0" w:type="dxa"/>
        <w:right w:w="108.0" w:type="dxa"/>
      </w:tblCellMar>
    </w:tblPr>
  </w:style>
  <w:style w:type="table" w:styleId="afffb" w:customStyle="1">
    <w:basedOn w:val="TableNormal0"/>
    <w:tblPr>
      <w:tblStyleRowBandSize w:val="1"/>
      <w:tblStyleColBandSize w:val="1"/>
      <w:tblCellMar>
        <w:top w:w="0.0" w:type="dxa"/>
        <w:left w:w="108.0" w:type="dxa"/>
        <w:bottom w:w="0.0" w:type="dxa"/>
        <w:right w:w="108.0" w:type="dxa"/>
      </w:tblCellMar>
    </w:tblPr>
  </w:style>
  <w:style w:type="table" w:styleId="afffc" w:customStyle="1">
    <w:basedOn w:val="TableNormal0"/>
    <w:tblPr>
      <w:tblStyleRowBandSize w:val="1"/>
      <w:tblStyleColBandSize w:val="1"/>
      <w:tblCellMar>
        <w:top w:w="0.0" w:type="dxa"/>
        <w:left w:w="108.0" w:type="dxa"/>
        <w:bottom w:w="0.0" w:type="dxa"/>
        <w:right w:w="108.0" w:type="dxa"/>
      </w:tblCellMar>
    </w:tblPr>
  </w:style>
  <w:style w:type="table" w:styleId="afffd" w:customStyle="1">
    <w:basedOn w:val="TableNormal0"/>
    <w:tblPr>
      <w:tblStyleRowBandSize w:val="1"/>
      <w:tblStyleColBandSize w:val="1"/>
      <w:tblCellMar>
        <w:top w:w="0.0" w:type="dxa"/>
        <w:left w:w="108.0" w:type="dxa"/>
        <w:bottom w:w="0.0" w:type="dxa"/>
        <w:right w:w="108.0" w:type="dxa"/>
      </w:tblCellMar>
    </w:tblPr>
  </w:style>
  <w:style w:type="table" w:styleId="afffe" w:customStyle="1">
    <w:basedOn w:val="TableNormal0"/>
    <w:tblPr>
      <w:tblStyleRowBandSize w:val="1"/>
      <w:tblStyleColBandSize w:val="1"/>
      <w:tblCellMar>
        <w:top w:w="0.0" w:type="dxa"/>
        <w:left w:w="108.0" w:type="dxa"/>
        <w:bottom w:w="0.0" w:type="dxa"/>
        <w:right w:w="108.0" w:type="dxa"/>
      </w:tblCellMar>
    </w:tblPr>
  </w:style>
  <w:style w:type="table" w:styleId="affff" w:customStyle="1">
    <w:basedOn w:val="TableNormal0"/>
    <w:tblPr>
      <w:tblStyleRowBandSize w:val="1"/>
      <w:tblStyleColBandSize w:val="1"/>
      <w:tblCellMar>
        <w:top w:w="0.0" w:type="dxa"/>
        <w:left w:w="108.0" w:type="dxa"/>
        <w:bottom w:w="0.0" w:type="dxa"/>
        <w:right w:w="108.0" w:type="dxa"/>
      </w:tblCellMar>
    </w:tblPr>
  </w:style>
  <w:style w:type="table" w:styleId="affff0" w:customStyle="1">
    <w:basedOn w:val="TableNormal0"/>
    <w:tblPr>
      <w:tblStyleRowBandSize w:val="1"/>
      <w:tblStyleColBandSize w:val="1"/>
      <w:tblCellMar>
        <w:top w:w="0.0" w:type="dxa"/>
        <w:left w:w="108.0" w:type="dxa"/>
        <w:bottom w:w="0.0" w:type="dxa"/>
        <w:right w:w="108.0" w:type="dxa"/>
      </w:tblCellMar>
    </w:tblPr>
  </w:style>
  <w:style w:type="table" w:styleId="affff1" w:customStyle="1">
    <w:basedOn w:val="TableNormal0"/>
    <w:tblPr>
      <w:tblStyleRowBandSize w:val="1"/>
      <w:tblStyleColBandSize w:val="1"/>
      <w:tblCellMar>
        <w:top w:w="0.0" w:type="dxa"/>
        <w:left w:w="115.0" w:type="dxa"/>
        <w:bottom w:w="0.0" w:type="dxa"/>
        <w:right w:w="115.0" w:type="dxa"/>
      </w:tblCellMar>
    </w:tblPr>
    <w:tblStylePr w:type="firstRow">
      <w:rPr>
        <w:b w:val="1"/>
      </w:rPr>
      <w:tblPr/>
      <w:tcPr>
        <w:tcBorders>
          <w:bottom w:color="95b3d7" w:space="0" w:sz="4" w:val="single"/>
        </w:tcBorders>
      </w:tcPr>
    </w:tblStylePr>
    <w:tblStylePr w:type="lastRow">
      <w:rPr>
        <w:b w:val="1"/>
      </w:rPr>
      <w:tblPr/>
      <w:tcPr>
        <w:tcBorders>
          <w:top w:color="95b3d7" w:space="0" w:sz="4" w:val="single"/>
        </w:tcBorders>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ffff2" w:customStyle="1">
    <w:basedOn w:val="TableNormal0"/>
    <w:tblPr>
      <w:tblStyleRowBandSize w:val="1"/>
      <w:tblStyleColBandSize w:val="1"/>
      <w:tblCellMar>
        <w:top w:w="0.0" w:type="dxa"/>
        <w:left w:w="115.0" w:type="dxa"/>
        <w:bottom w:w="0.0" w:type="dxa"/>
        <w:right w:w="115.0" w:type="dxa"/>
      </w:tblCellMar>
    </w:tblPr>
  </w:style>
  <w:style w:type="table" w:styleId="affff3" w:customStyle="1">
    <w:basedOn w:val="TableNormal0"/>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1.png"/><Relationship Id="rId13" Type="http://schemas.openxmlformats.org/officeDocument/2006/relationships/header" Target="head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5.png"/><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U6qD+uEPpVEvWaYlzLLKqg+AyWw==">AMUW2mXOu+byIkTdu9kavAVm4CQpzD9V7nWC/kueetcrwrX+fxaEoo2X7GCNf4gg7eqrZMdbhx3rt5pigs5uJrwcVx+fzTrfm/1R+L5GhtwUgcbQCH/Atwt90edDknEmlFKDe8z51gtNOD3+jeciE/Cz3sdkwAJo7nPETToMJ56uJF5R0WmAQZc2RdXibfaG3LWMppqNubZ/61z4XP2ItuR0dWVYLebHlszYxYptc21meAeeGrsLv7rQ5bcA3iYyHkta6Y/UG0wW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2023-03-08T23:54:00Z</dcterms:created>
  <dc:creator>iMac</dc:creator>
</cp:coreProperties>
</file>