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813270"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Resolución del Pleno del Instituto de Transparencia, Acceso a la Información Pública y Protección de Datos Personales del Estado de México y Municipios, con domicilio en Metepec, Estado de México, de fecha diecisiete de mayo de dos mil veintitrés.</w:t>
      </w:r>
    </w:p>
    <w:p w14:paraId="1178E09C" w14:textId="77777777" w:rsidR="00BF7F97" w:rsidRDefault="00243AE8">
      <w:pPr>
        <w:spacing w:before="240" w:after="240" w:line="360" w:lineRule="auto"/>
        <w:jc w:val="both"/>
        <w:rPr>
          <w:rFonts w:ascii="Palatino Linotype" w:eastAsia="Palatino Linotype" w:hAnsi="Palatino Linotype" w:cs="Palatino Linotype"/>
        </w:rPr>
      </w:pPr>
      <w:bookmarkStart w:id="0" w:name="_heading=h.30j0zll" w:colFirst="0" w:colLast="0"/>
      <w:bookmarkEnd w:id="0"/>
      <w:r>
        <w:rPr>
          <w:rFonts w:ascii="Palatino Linotype" w:eastAsia="Palatino Linotype" w:hAnsi="Palatino Linotype" w:cs="Palatino Linotype"/>
          <w:b/>
        </w:rPr>
        <w:t xml:space="preserve">VISTOS </w:t>
      </w:r>
      <w:r>
        <w:rPr>
          <w:rFonts w:ascii="Palatino Linotype" w:eastAsia="Palatino Linotype" w:hAnsi="Palatino Linotype" w:cs="Palatino Linotype"/>
        </w:rPr>
        <w:t xml:space="preserve">los expedientes relativos a los recursos de revisión </w:t>
      </w:r>
      <w:r>
        <w:rPr>
          <w:rFonts w:ascii="Palatino Linotype" w:eastAsia="Palatino Linotype" w:hAnsi="Palatino Linotype" w:cs="Palatino Linotype"/>
          <w:b/>
        </w:rPr>
        <w:t>13034/INFOEM/IP/RR/2022, 13035/INFOEM/IP/RR/2022 y 13036/INFOEM/IP/RR/2022, acumulados</w:t>
      </w:r>
      <w:r>
        <w:rPr>
          <w:rFonts w:ascii="Palatino Linotype" w:eastAsia="Palatino Linotype" w:hAnsi="Palatino Linotype" w:cs="Palatino Linotype"/>
        </w:rPr>
        <w:t xml:space="preserve">, interpuestos por </w:t>
      </w:r>
      <w:r>
        <w:rPr>
          <w:rFonts w:ascii="Palatino Linotype" w:eastAsia="Palatino Linotype" w:hAnsi="Palatino Linotype" w:cs="Palatino Linotype"/>
          <w:b/>
        </w:rPr>
        <w:t>un particular que no proporcionó nombre o seudónimo,</w:t>
      </w:r>
      <w:r>
        <w:rPr>
          <w:rFonts w:ascii="Palatino Linotype" w:eastAsia="Palatino Linotype" w:hAnsi="Palatino Linotype" w:cs="Palatino Linotype"/>
        </w:rPr>
        <w:t xml:space="preserve"> en lo sucesivo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contra de la respuesta sus solicitudes de información por parte de la </w:t>
      </w:r>
      <w:r>
        <w:rPr>
          <w:rFonts w:ascii="Palatino Linotype" w:eastAsia="Palatino Linotype" w:hAnsi="Palatino Linotype" w:cs="Palatino Linotype"/>
          <w:b/>
        </w:rPr>
        <w:t>Secretaría Desarrollo Social</w:t>
      </w:r>
      <w:r>
        <w:rPr>
          <w:rFonts w:ascii="Palatino Linotype" w:eastAsia="Palatino Linotype" w:hAnsi="Palatino Linotype" w:cs="Palatino Linotype"/>
        </w:rPr>
        <w:t xml:space="preserve">, 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con base en lo siguiente. </w:t>
      </w:r>
    </w:p>
    <w:p w14:paraId="654D860E" w14:textId="77777777" w:rsidR="00BF7F97" w:rsidRDefault="00243AE8">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 A N T E C E D E N T E S:</w:t>
      </w:r>
    </w:p>
    <w:p w14:paraId="6A1CA891" w14:textId="77777777" w:rsidR="00BF7F97" w:rsidRDefault="00243AE8">
      <w:pPr>
        <w:spacing w:before="240" w:after="240" w:line="360" w:lineRule="auto"/>
        <w:jc w:val="both"/>
        <w:rPr>
          <w:rFonts w:ascii="Palatino Linotype" w:eastAsia="Palatino Linotype" w:hAnsi="Palatino Linotype" w:cs="Palatino Linotype"/>
        </w:rPr>
      </w:pPr>
      <w:bookmarkStart w:id="1" w:name="_heading=h.gjdgxs" w:colFirst="0" w:colLast="0"/>
      <w:bookmarkEnd w:id="1"/>
      <w:r>
        <w:rPr>
          <w:rFonts w:ascii="Palatino Linotype" w:eastAsia="Palatino Linotype" w:hAnsi="Palatino Linotype" w:cs="Palatino Linotype"/>
          <w:b/>
        </w:rPr>
        <w:t>1. Solicitudes de acceso a la información.</w:t>
      </w:r>
      <w:r>
        <w:rPr>
          <w:rFonts w:ascii="Palatino Linotype" w:eastAsia="Palatino Linotype" w:hAnsi="Palatino Linotype" w:cs="Palatino Linotype"/>
        </w:rPr>
        <w:t xml:space="preserve"> Con fecha </w:t>
      </w:r>
      <w:r>
        <w:rPr>
          <w:rFonts w:ascii="Palatino Linotype" w:eastAsia="Palatino Linotype" w:hAnsi="Palatino Linotype" w:cs="Palatino Linotype"/>
          <w:b/>
        </w:rPr>
        <w:t xml:space="preserve">veintidós de junio de dos mil veintidós, </w:t>
      </w:r>
      <w:r>
        <w:rPr>
          <w:rFonts w:ascii="Palatino Linotype" w:eastAsia="Palatino Linotype" w:hAnsi="Palatino Linotype" w:cs="Palatino Linotype"/>
        </w:rPr>
        <w:t>la persona solicitante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presentó, través del Sistema de Acceso a la Información Mexiquense, en lo subsecuente el </w:t>
      </w:r>
      <w:r>
        <w:rPr>
          <w:rFonts w:ascii="Palatino Linotype" w:eastAsia="Palatino Linotype" w:hAnsi="Palatino Linotype" w:cs="Palatino Linotype"/>
          <w:b/>
        </w:rPr>
        <w:t xml:space="preserve">SAIMEX, </w:t>
      </w:r>
      <w:r>
        <w:rPr>
          <w:rFonts w:ascii="Palatino Linotype" w:eastAsia="Palatino Linotype" w:hAnsi="Palatino Linotype" w:cs="Palatino Linotype"/>
        </w:rPr>
        <w:t xml:space="preserve">ante el </w:t>
      </w:r>
      <w:r>
        <w:rPr>
          <w:rFonts w:ascii="Palatino Linotype" w:eastAsia="Palatino Linotype" w:hAnsi="Palatino Linotype" w:cs="Palatino Linotype"/>
          <w:b/>
        </w:rPr>
        <w:t>SUJETO OBLIGADO</w:t>
      </w:r>
      <w:r>
        <w:rPr>
          <w:rFonts w:ascii="Palatino Linotype" w:eastAsia="Palatino Linotype" w:hAnsi="Palatino Linotype" w:cs="Palatino Linotype"/>
        </w:rPr>
        <w:t>, las solicitudes de acceso a la información pública, mediante las cuales requirió la información siguiente:</w:t>
      </w:r>
    </w:p>
    <w:tbl>
      <w:tblPr>
        <w:tblStyle w:val="af1"/>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BF7F97" w14:paraId="56347CE9" w14:textId="77777777">
        <w:trPr>
          <w:jc w:val="center"/>
        </w:trPr>
        <w:tc>
          <w:tcPr>
            <w:tcW w:w="2972" w:type="dxa"/>
            <w:shd w:val="clear" w:color="auto" w:fill="A6A6A6"/>
          </w:tcPr>
          <w:p w14:paraId="687BA893" w14:textId="77777777" w:rsidR="00BF7F97" w:rsidRDefault="00243AE8">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Número de solicitud</w:t>
            </w:r>
          </w:p>
        </w:tc>
        <w:tc>
          <w:tcPr>
            <w:tcW w:w="5856" w:type="dxa"/>
            <w:shd w:val="clear" w:color="auto" w:fill="A6A6A6"/>
          </w:tcPr>
          <w:p w14:paraId="6AFF10CD" w14:textId="77777777" w:rsidR="00BF7F97" w:rsidRDefault="00243AE8">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Información requerida</w:t>
            </w:r>
          </w:p>
        </w:tc>
      </w:tr>
      <w:tr w:rsidR="00BF7F97" w14:paraId="2951B2EE" w14:textId="77777777">
        <w:trPr>
          <w:jc w:val="center"/>
        </w:trPr>
        <w:tc>
          <w:tcPr>
            <w:tcW w:w="2972" w:type="dxa"/>
            <w:vAlign w:val="center"/>
          </w:tcPr>
          <w:p w14:paraId="36A8DAF9" w14:textId="77777777" w:rsidR="00BF7F97" w:rsidRDefault="00243AE8">
            <w:pPr>
              <w:spacing w:before="120" w:after="120"/>
              <w:jc w:val="center"/>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t>00098/SEDESEM/IP/2022 13034/INFOEM/IP/RR/2022</w:t>
            </w:r>
          </w:p>
        </w:tc>
        <w:tc>
          <w:tcPr>
            <w:tcW w:w="5856" w:type="dxa"/>
          </w:tcPr>
          <w:p w14:paraId="06E5649E" w14:textId="77777777" w:rsidR="00BF7F97" w:rsidRDefault="00243AE8">
            <w:pPr>
              <w:spacing w:before="120" w:after="12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Solicito el Plan de Trabajo del Sistema de Gestión de Protección de Datos Personales de esta Dependencia, correspondiente al ejercicio 2019 a 2022, así como los documentos y/</w:t>
            </w:r>
            <w:proofErr w:type="spellStart"/>
            <w:r>
              <w:rPr>
                <w:rFonts w:ascii="Palatino Linotype" w:eastAsia="Palatino Linotype" w:hAnsi="Palatino Linotype" w:cs="Palatino Linotype"/>
                <w:i/>
                <w:sz w:val="20"/>
                <w:szCs w:val="20"/>
              </w:rPr>
              <w:t>o</w:t>
            </w:r>
            <w:proofErr w:type="spellEnd"/>
            <w:r>
              <w:rPr>
                <w:rFonts w:ascii="Palatino Linotype" w:eastAsia="Palatino Linotype" w:hAnsi="Palatino Linotype" w:cs="Palatino Linotype"/>
                <w:i/>
                <w:sz w:val="20"/>
                <w:szCs w:val="20"/>
              </w:rPr>
              <w:t xml:space="preserve"> oficios generados y recibidos por la Unidad de Transparencia conforme al siguiente orden: Designación de los Administradores de Bases de Datos, Actualización de Avisos de Privacidad, Supervisión a las bases de datos documentales </w:t>
            </w:r>
            <w:r>
              <w:rPr>
                <w:rFonts w:ascii="Palatino Linotype" w:eastAsia="Palatino Linotype" w:hAnsi="Palatino Linotype" w:cs="Palatino Linotype"/>
                <w:i/>
                <w:sz w:val="20"/>
                <w:szCs w:val="20"/>
              </w:rPr>
              <w:lastRenderedPageBreak/>
              <w:t>o electrónicas para establecer medidas de seguridad, Establecer bitácora de violaciones a la seguridad de las bases de datos documentales o electrónicas, Establecer el Plan de contingencia con las Unidades Administrativas y Actualización de bases de datos, el inventario de las bases de datos, documentos de Gestión de seguridad y documentos de seguridad de la dependencia</w:t>
            </w:r>
          </w:p>
        </w:tc>
      </w:tr>
      <w:tr w:rsidR="00BF7F97" w14:paraId="38F49EB4" w14:textId="77777777">
        <w:trPr>
          <w:jc w:val="center"/>
        </w:trPr>
        <w:tc>
          <w:tcPr>
            <w:tcW w:w="2972" w:type="dxa"/>
            <w:vAlign w:val="center"/>
          </w:tcPr>
          <w:p w14:paraId="3E4A0A69" w14:textId="77777777" w:rsidR="00BF7F97" w:rsidRDefault="00243AE8">
            <w:pPr>
              <w:spacing w:before="120" w:after="120"/>
              <w:jc w:val="center"/>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lastRenderedPageBreak/>
              <w:t>00097/SEDESEM/IP/2022 13035/INFOEM/IP/RR/2022</w:t>
            </w:r>
          </w:p>
        </w:tc>
        <w:tc>
          <w:tcPr>
            <w:tcW w:w="5856" w:type="dxa"/>
          </w:tcPr>
          <w:p w14:paraId="397E2F98" w14:textId="77777777" w:rsidR="00BF7F97" w:rsidRDefault="00243AE8">
            <w:pPr>
              <w:spacing w:before="120" w:after="12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Solicito el Plan de Trabajo del Sistema de Gestión de Protección de Datos Personales de esta Dependencia, correspondiente al ejercicio 2019 a 2022, así como los documentos y/</w:t>
            </w:r>
            <w:proofErr w:type="spellStart"/>
            <w:r>
              <w:rPr>
                <w:rFonts w:ascii="Palatino Linotype" w:eastAsia="Palatino Linotype" w:hAnsi="Palatino Linotype" w:cs="Palatino Linotype"/>
                <w:i/>
                <w:sz w:val="20"/>
                <w:szCs w:val="20"/>
              </w:rPr>
              <w:t>o</w:t>
            </w:r>
            <w:proofErr w:type="spellEnd"/>
            <w:r>
              <w:rPr>
                <w:rFonts w:ascii="Palatino Linotype" w:eastAsia="Palatino Linotype" w:hAnsi="Palatino Linotype" w:cs="Palatino Linotype"/>
                <w:i/>
                <w:sz w:val="20"/>
                <w:szCs w:val="20"/>
              </w:rPr>
              <w:t xml:space="preserve"> oficios generados y recibidos por la Unidad de Transparencia conforme al siguiente orden: Designación de los Administradores de Bases de Datos, Actualización de Avisos de Privacidad, Supervisión a las bases de datos documentales o electrónicas para establecer medidas de seguridad, Establecer bitácora de violaciones a la seguridad de las bases de datos documentales o electrónicas, Establecer el Plan de contingencia con las Unidades Administrativas y Actualización de bases de datos, el inventario de las bases de datos, documentos de Gestión de seguridad y documentos de seguridad de la dependencia.</w:t>
            </w:r>
          </w:p>
        </w:tc>
      </w:tr>
      <w:tr w:rsidR="00BF7F97" w14:paraId="10082E1C" w14:textId="77777777">
        <w:trPr>
          <w:jc w:val="center"/>
        </w:trPr>
        <w:tc>
          <w:tcPr>
            <w:tcW w:w="2972" w:type="dxa"/>
            <w:vAlign w:val="center"/>
          </w:tcPr>
          <w:p w14:paraId="1B7939FB" w14:textId="77777777" w:rsidR="00BF7F97" w:rsidRDefault="00243AE8">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00096/SEDESEM/IP/2022 13036/INFOEM/IP/RR/2022</w:t>
            </w:r>
          </w:p>
        </w:tc>
        <w:tc>
          <w:tcPr>
            <w:tcW w:w="5856" w:type="dxa"/>
          </w:tcPr>
          <w:p w14:paraId="14B21CD1" w14:textId="77777777" w:rsidR="00BF7F97" w:rsidRDefault="00243AE8">
            <w:pPr>
              <w:spacing w:before="120" w:after="120"/>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Solicito el Plan de Trabajo del Sistema de Gestión de Protección de Datos Personales de esta Dependencia, correspondiente al ejercicio 2019 a 2022, así como los documentos y/</w:t>
            </w:r>
            <w:proofErr w:type="spellStart"/>
            <w:r>
              <w:rPr>
                <w:rFonts w:ascii="Palatino Linotype" w:eastAsia="Palatino Linotype" w:hAnsi="Palatino Linotype" w:cs="Palatino Linotype"/>
                <w:i/>
                <w:sz w:val="20"/>
                <w:szCs w:val="20"/>
              </w:rPr>
              <w:t>o</w:t>
            </w:r>
            <w:proofErr w:type="spellEnd"/>
            <w:r>
              <w:rPr>
                <w:rFonts w:ascii="Palatino Linotype" w:eastAsia="Palatino Linotype" w:hAnsi="Palatino Linotype" w:cs="Palatino Linotype"/>
                <w:i/>
                <w:sz w:val="20"/>
                <w:szCs w:val="20"/>
              </w:rPr>
              <w:t xml:space="preserve"> oficios generados y recibidos por la Unidad de Transparencia conforme al siguiente orden: Designación de los Administradores de Bases de Datos, Actualización de Avisos de Privacidad, Supervisión a las bases de datos documentales o electrónicas para establecer medidas de seguridad, Establecer bitácora de violaciones a la seguridad de las bases de datos documentales o electrónicas, Establecer el Plan de contingencia con las Unidades Administrativas y Actualización de bases de datos, el inventario de las bases de datos, documentos de Gestión de seguridad y documentos de seguridad de la dependencia.</w:t>
            </w:r>
          </w:p>
        </w:tc>
      </w:tr>
    </w:tbl>
    <w:p w14:paraId="24DD93C8" w14:textId="77777777" w:rsidR="00BF7F97" w:rsidRDefault="00243AE8">
      <w:pPr>
        <w:spacing w:before="240" w:after="240" w:line="360" w:lineRule="auto"/>
        <w:jc w:val="both"/>
        <w:rPr>
          <w:rFonts w:ascii="Palatino Linotype" w:eastAsia="Palatino Linotype" w:hAnsi="Palatino Linotype" w:cs="Palatino Linotype"/>
        </w:rPr>
      </w:pPr>
      <w:bookmarkStart w:id="2" w:name="_heading=h.2et92p0" w:colFirst="0" w:colLast="0"/>
      <w:bookmarkEnd w:id="2"/>
      <w:r>
        <w:rPr>
          <w:rFonts w:ascii="Palatino Linotype" w:eastAsia="Palatino Linotype" w:hAnsi="Palatino Linotype" w:cs="Palatino Linotype"/>
          <w:b/>
        </w:rPr>
        <w:t xml:space="preserve">Modalidad elegida para la entrega de la información: </w:t>
      </w:r>
      <w:r>
        <w:rPr>
          <w:rFonts w:ascii="Palatino Linotype" w:eastAsia="Palatino Linotype" w:hAnsi="Palatino Linotype" w:cs="Palatino Linotype"/>
        </w:rPr>
        <w:t>a través del SAIMEX en todos los casos.</w:t>
      </w:r>
    </w:p>
    <w:p w14:paraId="637B2E8E"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2. Respuestas. </w:t>
      </w:r>
      <w:r>
        <w:rPr>
          <w:rFonts w:ascii="Palatino Linotype" w:eastAsia="Palatino Linotype" w:hAnsi="Palatino Linotype" w:cs="Palatino Linotype"/>
        </w:rPr>
        <w:t xml:space="preserve">Con fechas </w:t>
      </w:r>
      <w:r>
        <w:rPr>
          <w:rFonts w:ascii="Palatino Linotype" w:eastAsia="Palatino Linotype" w:hAnsi="Palatino Linotype" w:cs="Palatino Linotype"/>
          <w:b/>
        </w:rPr>
        <w:t>trece de julio de dos mil veintidós</w:t>
      </w:r>
      <w:r>
        <w:rPr>
          <w:rFonts w:ascii="Palatino Linotype" w:eastAsia="Palatino Linotype" w:hAnsi="Palatino Linotype" w:cs="Palatino Linotype"/>
        </w:rPr>
        <w:t xml:space="preserv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envió su respuesta a las solicitudes de acceso a la información a través de SAIMEX, sustancialmente en los términos siguientes:   </w:t>
      </w:r>
    </w:p>
    <w:tbl>
      <w:tblPr>
        <w:tblStyle w:val="a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BF7F97" w14:paraId="02A7D57B" w14:textId="77777777">
        <w:tc>
          <w:tcPr>
            <w:tcW w:w="2972" w:type="dxa"/>
            <w:shd w:val="clear" w:color="auto" w:fill="A6A6A6"/>
          </w:tcPr>
          <w:p w14:paraId="07B5E1B2" w14:textId="77777777" w:rsidR="00BF7F97" w:rsidRDefault="00243AE8">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Número de solicitud</w:t>
            </w:r>
          </w:p>
        </w:tc>
        <w:tc>
          <w:tcPr>
            <w:tcW w:w="5856" w:type="dxa"/>
            <w:shd w:val="clear" w:color="auto" w:fill="A6A6A6"/>
          </w:tcPr>
          <w:p w14:paraId="67A0108D" w14:textId="77777777" w:rsidR="00BF7F97" w:rsidRDefault="00243AE8">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Información entregada</w:t>
            </w:r>
          </w:p>
        </w:tc>
      </w:tr>
      <w:tr w:rsidR="00BF7F97" w14:paraId="62B8562C" w14:textId="77777777">
        <w:tc>
          <w:tcPr>
            <w:tcW w:w="2972" w:type="dxa"/>
            <w:vAlign w:val="center"/>
          </w:tcPr>
          <w:p w14:paraId="7BB58481" w14:textId="77777777" w:rsidR="00BF7F97" w:rsidRDefault="00243AE8">
            <w:pPr>
              <w:jc w:val="center"/>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t>00098/SEDESEM/IP/2022 13034/INFOEM/IP/RR/2022</w:t>
            </w:r>
          </w:p>
        </w:tc>
        <w:tc>
          <w:tcPr>
            <w:tcW w:w="5856" w:type="dxa"/>
          </w:tcPr>
          <w:p w14:paraId="7DA94B3D" w14:textId="77777777" w:rsidR="00BF7F97" w:rsidRDefault="00243AE8">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Se anexa oficio de respuesta número SEDESEM/UT/097/2022, de fecha 13 de julio de 2022; asimismo se adjunta el Acuerdo emitido por el Comité de Transparencia, donde se clasifican como confidencial en su totalidad los documentos denominados: “Plan de Trabajo del Sistema de Gestión de Protección de Datos Personales” de los ejercicios 2019, 2020, 2021 y 2022,“ y “Gestión de Seguridad” y “Documento de Seguridad” de la Secretaría de Desarrollo Social, con corte al 30 de junio de 2022, igualmente se le proporciona los oficios de los administradores, los avisos de privacidad integral e simplificado, formato de bitácoras de la base de datos documentales y electrónica.</w:t>
            </w:r>
          </w:p>
        </w:tc>
      </w:tr>
      <w:tr w:rsidR="00BF7F97" w14:paraId="3CDE1A9F" w14:textId="77777777">
        <w:tc>
          <w:tcPr>
            <w:tcW w:w="2972" w:type="dxa"/>
            <w:vAlign w:val="center"/>
          </w:tcPr>
          <w:p w14:paraId="54CECF4B" w14:textId="77777777" w:rsidR="00BF7F97" w:rsidRDefault="00243AE8">
            <w:pPr>
              <w:jc w:val="both"/>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t>00097/SEDESEM/IP/2022 13035/INFOEM/IP/RR/2022</w:t>
            </w:r>
          </w:p>
        </w:tc>
        <w:tc>
          <w:tcPr>
            <w:tcW w:w="5856" w:type="dxa"/>
          </w:tcPr>
          <w:p w14:paraId="1CF34D03" w14:textId="77777777" w:rsidR="00BF7F97" w:rsidRDefault="00243AE8">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Se anexa oficio de respuesta número SEDESEM/UT/098/2022, de fecha 13 de julio de 2022; asimismo se adjunta el Acuerdo emitido por el Comité de Transparencia, donde se clasifican como confidencial en su totalidad los documentos denominados: “Plan de Trabajo del Sistema de Gestión de Protección de Datos Personales” de los ejercicios 2019, 2020, 2021 y 2022,“ y “Gestión de Seguridad” y “Documento de Seguridad” de la Secretaría de Desarrollo Social, con corte al 30 de junio de 2022, igualmente se le proporciona los oficios de los administradores, los avisos de privacidad integral e simplificado, formato de bitácoras de la base de datos documentales y electrónica.</w:t>
            </w:r>
          </w:p>
        </w:tc>
      </w:tr>
      <w:tr w:rsidR="00BF7F97" w14:paraId="0603740E" w14:textId="77777777">
        <w:tc>
          <w:tcPr>
            <w:tcW w:w="2972" w:type="dxa"/>
            <w:vAlign w:val="center"/>
          </w:tcPr>
          <w:p w14:paraId="2FB017E2" w14:textId="77777777" w:rsidR="00BF7F97" w:rsidRDefault="00243AE8">
            <w:pPr>
              <w:jc w:val="both"/>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00096/SEDESEM/IP/2022 13036/INFOEM/IP/RR/2022</w:t>
            </w:r>
          </w:p>
        </w:tc>
        <w:tc>
          <w:tcPr>
            <w:tcW w:w="5856" w:type="dxa"/>
          </w:tcPr>
          <w:p w14:paraId="119115F1" w14:textId="77777777" w:rsidR="00BF7F97" w:rsidRDefault="00243AE8">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Se anexa oficio de respuesta número SEDESEM/UT/096/2022, de fecha 13 de julio de 2022; asimismo se adjunta el Acuerdo emitido por el Comité de Transparencia, donde se clasifican como confidencial en su totalidad los documentos denominados: “Plan de Trabajo del Sistema de Gestión de Protección de Datos Personales” de los ejercicios 2019, 2020, 2021 y 2022,“ y “Gestión de Seguridad” y “Documento de Seguridad” de la Secretaría de Desarrollo Social, con corte al 30 de junio de 2022, igualmente se le proporciona los oficios de los administradores, los avisos de privacidad integral e simplificado, formato de bitácoras de la base de datos documentales y electrónica.</w:t>
            </w:r>
          </w:p>
        </w:tc>
      </w:tr>
    </w:tbl>
    <w:p w14:paraId="4D87E4B9"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anexó a sus respuestas los siguientes archivos:</w:t>
      </w:r>
    </w:p>
    <w:p w14:paraId="715E6A6A"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Solicitud </w:t>
      </w:r>
      <w:r>
        <w:rPr>
          <w:rFonts w:ascii="Palatino Linotype" w:eastAsia="Palatino Linotype" w:hAnsi="Palatino Linotype" w:cs="Palatino Linotype"/>
          <w:b/>
        </w:rPr>
        <w:t>00097/SEDESEM/IP/2022:</w:t>
      </w:r>
    </w:p>
    <w:p w14:paraId="4E256336"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8">
        <w:r>
          <w:rPr>
            <w:rFonts w:ascii="Palatino Linotype" w:eastAsia="Palatino Linotype" w:hAnsi="Palatino Linotype" w:cs="Palatino Linotype"/>
          </w:rPr>
          <w:t>ANEXO 1 - OFICIOS ADMINISTRADORES - 2022.pdf</w:t>
        </w:r>
      </w:hyperlink>
      <w:r>
        <w:rPr>
          <w:rFonts w:ascii="Palatino Linotype" w:eastAsia="Palatino Linotype" w:hAnsi="Palatino Linotype" w:cs="Palatino Linotype"/>
        </w:rPr>
        <w:t>”, el cual contiene 10 oficios por medio del cual la Secretaría de Desarrollo Social, designó al Director de Administración de Personal de la Coordinación de Administración y Finanzas,  Directora General de Programas Sociales Estratégicos, Subdirectora de Recursos Materiales de la de la Coordinación de Administración y Finanzas y Director General de Bienestar Social y Fortalecimiento Familiar, para administrar la base de datos personales de los “expedientes de los servidores públicos de la Secretaría de Desarrollo Social”, “programa de desarrollo social familias fuertes salario rosa”, “sistema de registro a proveedores SIREPRO”, “programa de desarrollo social por una infancia en grande”, “programa de desarrollo social familias fuertes canasta EDOMEX”, “programa de desarrollo social seguridad alimentaria del Estado de México”, “programa de desarrollo social por mi comunidad”, “programa de desarrollo social salud visual en el Estado de México”, programa de desarrollo social de la mano con papá”, “programa de desarrollo social familias fuertes apoyo a personas adultas mayores”, respectivamente.</w:t>
      </w:r>
    </w:p>
    <w:p w14:paraId="0B5BEE74" w14:textId="77777777" w:rsidR="00BF7F97" w:rsidRDefault="00243AE8">
      <w:pPr>
        <w:spacing w:before="240" w:after="240" w:line="360" w:lineRule="auto"/>
        <w:jc w:val="both"/>
        <w:rPr>
          <w:rFonts w:ascii="Palatino Linotype" w:eastAsia="Palatino Linotype" w:hAnsi="Palatino Linotype" w:cs="Palatino Linotype"/>
          <w:color w:val="FF0000"/>
        </w:rPr>
      </w:pPr>
      <w:r>
        <w:rPr>
          <w:rFonts w:ascii="Palatino Linotype" w:eastAsia="Palatino Linotype" w:hAnsi="Palatino Linotype" w:cs="Palatino Linotype"/>
        </w:rPr>
        <w:t>“</w:t>
      </w:r>
      <w:hyperlink r:id="rId9">
        <w:r>
          <w:rPr>
            <w:rFonts w:ascii="Palatino Linotype" w:eastAsia="Palatino Linotype" w:hAnsi="Palatino Linotype" w:cs="Palatino Linotype"/>
          </w:rPr>
          <w:t>RESOLUTIVO.pdf</w:t>
        </w:r>
      </w:hyperlink>
      <w:r>
        <w:rPr>
          <w:rFonts w:ascii="Palatino Linotype" w:eastAsia="Palatino Linotype" w:hAnsi="Palatino Linotype" w:cs="Palatino Linotype"/>
        </w:rPr>
        <w:t xml:space="preserve">”; el cual contiene el acuerdo del Comité de Transparencia de la Secretaría de Desarrollo Social, número CTSDS-EXT-019-2022, por medio del cual se aprueba la propuesta de clasificación en su totalidad en los documentos denominados “Plan de Trabajo del Sistema de Gestión de Protección de Datos Personales” de los ejercicios 2019, 2020, 2021 y 2022, “Gestión de Seguridad” y “Seguridad”, con corte al 30 de junio del 2022 de la Secretaría de Desarrollo Social, </w:t>
      </w:r>
      <w:r>
        <w:rPr>
          <w:rFonts w:ascii="Palatino Linotype" w:eastAsia="Palatino Linotype" w:hAnsi="Palatino Linotype" w:cs="Palatino Linotype"/>
        </w:rPr>
        <w:lastRenderedPageBreak/>
        <w:t>para dar respuesta a las solicitudes 00098/SEDESEM/IP/2022 y 00097/SEDESEM/IP/2022 y 00096/SEDESEM/IP/2022.</w:t>
      </w:r>
    </w:p>
    <w:p w14:paraId="60D797D4"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10">
        <w:r>
          <w:rPr>
            <w:rFonts w:ascii="Palatino Linotype" w:eastAsia="Palatino Linotype" w:hAnsi="Palatino Linotype" w:cs="Palatino Linotype"/>
          </w:rPr>
          <w:t>ANEXO 3 - BITACORA DE INCIDENCIAS DOCUMENTALES.pdf</w:t>
        </w:r>
      </w:hyperlink>
      <w:r>
        <w:rPr>
          <w:rFonts w:ascii="Palatino Linotype" w:eastAsia="Palatino Linotype" w:hAnsi="Palatino Linotype" w:cs="Palatino Linotype"/>
        </w:rPr>
        <w:t>”, el cual contiene el formato de la bitácora de incidencias de la Base de datos personales documentales del ejercicio 2022, respecto de los “expedientes de los servidores públicos de la Secretaría de Desarrollo Social”, “programa de desarrollo social familias fuertes salario rosa” y “programa de desarrollo social familias fuertes apoyo a personas adultas mayores”</w:t>
      </w:r>
    </w:p>
    <w:p w14:paraId="49E888FD"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w:t>
      </w:r>
      <w:hyperlink r:id="rId11">
        <w:r>
          <w:rPr>
            <w:rFonts w:ascii="Palatino Linotype" w:eastAsia="Palatino Linotype" w:hAnsi="Palatino Linotype" w:cs="Palatino Linotype"/>
          </w:rPr>
          <w:t>ANEXO 2 - AVISOS DE PRIVACIDAD INTEGRAL.pdf</w:t>
        </w:r>
      </w:hyperlink>
      <w:r>
        <w:rPr>
          <w:rFonts w:ascii="Palatino Linotype" w:eastAsia="Palatino Linotype" w:hAnsi="Palatino Linotype" w:cs="Palatino Linotype"/>
        </w:rPr>
        <w:t xml:space="preserve">”, el cual contiene los avisos de privacidad integral para el resguardo de los expedientes del personal de la Secretaría de Desarrollo Social, del sistema de registro a proveedores SIREPRO de la Secretaría de Desarrollo Social, del programa de desarrollo social familias fuertes canasta EDOMEX, del programa de desarrollo social familias fuertes apoyo a personas adultas mayores, del programa de desarrollo social familias fuertes salario rosa; constante de 83 fojas. </w:t>
      </w:r>
    </w:p>
    <w:p w14:paraId="78DC3E1A"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12">
        <w:r>
          <w:rPr>
            <w:rFonts w:ascii="Palatino Linotype" w:eastAsia="Palatino Linotype" w:hAnsi="Palatino Linotype" w:cs="Palatino Linotype"/>
          </w:rPr>
          <w:t>097 - C. Ciudadano - Unidad de Transparencia - 097.pdf</w:t>
        </w:r>
      </w:hyperlink>
      <w:r>
        <w:rPr>
          <w:rFonts w:ascii="Palatino Linotype" w:eastAsia="Palatino Linotype" w:hAnsi="Palatino Linotype" w:cs="Palatino Linotype"/>
        </w:rPr>
        <w:t xml:space="preserve">”, el cual contiene la respuesta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por medio del cual informó al solicitante lo siguiente:</w:t>
      </w:r>
    </w:p>
    <w:p w14:paraId="344776BD"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Respecto del requerimiento de la Designación de los Administradores de Bases de Datos, adjuntó copia simple de los oficios de designación por parte del responsable del </w:t>
      </w:r>
      <w:r>
        <w:rPr>
          <w:rFonts w:ascii="Palatino Linotype" w:eastAsia="Palatino Linotype" w:hAnsi="Palatino Linotype" w:cs="Palatino Linotype"/>
          <w:b/>
        </w:rPr>
        <w:t>SUJETO OBLIGADO</w:t>
      </w:r>
      <w:r>
        <w:rPr>
          <w:rFonts w:ascii="Palatino Linotype" w:eastAsia="Palatino Linotype" w:hAnsi="Palatino Linotype" w:cs="Palatino Linotype"/>
        </w:rPr>
        <w:t>, como a continuación se describe:</w:t>
      </w:r>
    </w:p>
    <w:p w14:paraId="34A2FDEA"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lastRenderedPageBreak/>
        <w:drawing>
          <wp:inline distT="0" distB="0" distL="0" distR="0" wp14:anchorId="229480F4" wp14:editId="3623C491">
            <wp:extent cx="5485294" cy="1046508"/>
            <wp:effectExtent l="0" t="0" r="0" b="0"/>
            <wp:docPr id="8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l="36731" t="34379" r="16201" b="45412"/>
                    <a:stretch>
                      <a:fillRect/>
                    </a:stretch>
                  </pic:blipFill>
                  <pic:spPr>
                    <a:xfrm>
                      <a:off x="0" y="0"/>
                      <a:ext cx="5485294" cy="1046508"/>
                    </a:xfrm>
                    <a:prstGeom prst="rect">
                      <a:avLst/>
                    </a:prstGeom>
                    <a:ln/>
                  </pic:spPr>
                </pic:pic>
              </a:graphicData>
            </a:graphic>
          </wp:inline>
        </w:drawing>
      </w:r>
    </w:p>
    <w:p w14:paraId="6BF3B7E5"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drawing>
          <wp:inline distT="0" distB="0" distL="0" distR="0" wp14:anchorId="1538C3CC" wp14:editId="3DBC29C6">
            <wp:extent cx="5419800" cy="857619"/>
            <wp:effectExtent l="0" t="0" r="0" b="0"/>
            <wp:docPr id="9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l="37334" t="42821" r="16337" b="41817"/>
                    <a:stretch>
                      <a:fillRect/>
                    </a:stretch>
                  </pic:blipFill>
                  <pic:spPr>
                    <a:xfrm>
                      <a:off x="0" y="0"/>
                      <a:ext cx="5419800" cy="857619"/>
                    </a:xfrm>
                    <a:prstGeom prst="rect">
                      <a:avLst/>
                    </a:prstGeom>
                    <a:ln/>
                  </pic:spPr>
                </pic:pic>
              </a:graphicData>
            </a:graphic>
          </wp:inline>
        </w:drawing>
      </w:r>
    </w:p>
    <w:p w14:paraId="7FE2CDBD"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cuanto al requerimiento de Actualización de Avisos de Privacidad, anexó en formato </w:t>
      </w:r>
      <w:proofErr w:type="spellStart"/>
      <w:r>
        <w:rPr>
          <w:rFonts w:ascii="Palatino Linotype" w:eastAsia="Palatino Linotype" w:hAnsi="Palatino Linotype" w:cs="Palatino Linotype"/>
        </w:rPr>
        <w:t>pdf</w:t>
      </w:r>
      <w:proofErr w:type="spellEnd"/>
      <w:r>
        <w:rPr>
          <w:rFonts w:ascii="Palatino Linotype" w:eastAsia="Palatino Linotype" w:hAnsi="Palatino Linotype" w:cs="Palatino Linotype"/>
        </w:rPr>
        <w:t xml:space="preserve"> los avisos de privacidad simplificado e integral, como se enlista a continuación:</w:t>
      </w:r>
    </w:p>
    <w:p w14:paraId="3AFBCE1C"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drawing>
          <wp:inline distT="0" distB="0" distL="0" distR="0" wp14:anchorId="769B6166" wp14:editId="41F48967">
            <wp:extent cx="5384103" cy="1413036"/>
            <wp:effectExtent l="0" t="0" r="0" b="0"/>
            <wp:docPr id="9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l="44277" t="46713" r="21671" b="36190"/>
                    <a:stretch>
                      <a:fillRect/>
                    </a:stretch>
                  </pic:blipFill>
                  <pic:spPr>
                    <a:xfrm>
                      <a:off x="0" y="0"/>
                      <a:ext cx="5384103" cy="1413036"/>
                    </a:xfrm>
                    <a:prstGeom prst="rect">
                      <a:avLst/>
                    </a:prstGeom>
                    <a:ln/>
                  </pic:spPr>
                </pic:pic>
              </a:graphicData>
            </a:graphic>
          </wp:inline>
        </w:drawing>
      </w:r>
      <w:r>
        <w:rPr>
          <w:rFonts w:ascii="Palatino Linotype" w:eastAsia="Palatino Linotype" w:hAnsi="Palatino Linotype" w:cs="Palatino Linotype"/>
        </w:rPr>
        <w:t xml:space="preserve"> </w:t>
      </w:r>
    </w:p>
    <w:p w14:paraId="691EEB26"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También, señaló que dichos avisos de privacidad simplificado e integral, se encuentran disponibles para su consulta pública en la página institucional </w:t>
      </w:r>
      <w:hyperlink r:id="rId16">
        <w:r>
          <w:rPr>
            <w:rFonts w:ascii="Palatino Linotype" w:eastAsia="Palatino Linotype" w:hAnsi="Palatino Linotype" w:cs="Palatino Linotype"/>
            <w:color w:val="0000FF"/>
            <w:u w:val="single"/>
          </w:rPr>
          <w:t>https://sedesem.edomex.gob.mx/avisos-privacidad</w:t>
        </w:r>
      </w:hyperlink>
      <w:r>
        <w:rPr>
          <w:rFonts w:ascii="Palatino Linotype" w:eastAsia="Palatino Linotype" w:hAnsi="Palatino Linotype" w:cs="Palatino Linotype"/>
        </w:rPr>
        <w:t xml:space="preserve">. </w:t>
      </w:r>
    </w:p>
    <w:p w14:paraId="62300EFB"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Referente al requerimiento establecer bitácora de violaciones a la seguridad de las bases de datos documentales o electrónicas, hizo llegar en formato </w:t>
      </w:r>
      <w:proofErr w:type="spellStart"/>
      <w:r>
        <w:rPr>
          <w:rFonts w:ascii="Palatino Linotype" w:eastAsia="Palatino Linotype" w:hAnsi="Palatino Linotype" w:cs="Palatino Linotype"/>
        </w:rPr>
        <w:t>pdf</w:t>
      </w:r>
      <w:proofErr w:type="spellEnd"/>
      <w:r>
        <w:rPr>
          <w:rFonts w:ascii="Palatino Linotype" w:eastAsia="Palatino Linotype" w:hAnsi="Palatino Linotype" w:cs="Palatino Linotype"/>
        </w:rPr>
        <w:t xml:space="preserve">  la bitácora de incidente (violaciones a la seguridad de base de datos) de manera física y </w:t>
      </w:r>
      <w:r>
        <w:rPr>
          <w:rFonts w:ascii="Palatino Linotype" w:eastAsia="Palatino Linotype" w:hAnsi="Palatino Linotype" w:cs="Palatino Linotype"/>
        </w:rPr>
        <w:lastRenderedPageBreak/>
        <w:t xml:space="preserve">electrónica en formato </w:t>
      </w:r>
      <w:proofErr w:type="spellStart"/>
      <w:r>
        <w:rPr>
          <w:rFonts w:ascii="Palatino Linotype" w:eastAsia="Palatino Linotype" w:hAnsi="Palatino Linotype" w:cs="Palatino Linotype"/>
        </w:rPr>
        <w:t>pdf</w:t>
      </w:r>
      <w:proofErr w:type="spellEnd"/>
      <w:r>
        <w:rPr>
          <w:rFonts w:ascii="Palatino Linotype" w:eastAsia="Palatino Linotype" w:hAnsi="Palatino Linotype" w:cs="Palatino Linotype"/>
        </w:rPr>
        <w:t xml:space="preserve">, que se han implementado por parte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precisando que la fecha no se ha presentado alguna violación a la base de datos personales que se encuentran registrados en la INTRANET de la plataforma INFOEM.</w:t>
      </w:r>
    </w:p>
    <w:p w14:paraId="68BBAEE3"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respecta a la Actualización de bases de datos e inventario de base de datos, informó que:</w:t>
      </w:r>
    </w:p>
    <w:p w14:paraId="03313666" w14:textId="77777777" w:rsidR="00BF7F97" w:rsidRDefault="00243AE8">
      <w:pPr>
        <w:spacing w:before="240" w:after="240" w:line="360" w:lineRule="auto"/>
        <w:jc w:val="both"/>
      </w:pPr>
      <w:r>
        <w:rPr>
          <w:noProof/>
          <w:lang w:eastAsia="es-MX"/>
        </w:rPr>
        <w:drawing>
          <wp:inline distT="0" distB="0" distL="0" distR="0" wp14:anchorId="5D481E4A" wp14:editId="32BEEFF9">
            <wp:extent cx="5569191" cy="931700"/>
            <wp:effectExtent l="0" t="0" r="0" b="0"/>
            <wp:docPr id="9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l="36607" t="34387" r="16093" b="55877"/>
                    <a:stretch>
                      <a:fillRect/>
                    </a:stretch>
                  </pic:blipFill>
                  <pic:spPr>
                    <a:xfrm>
                      <a:off x="0" y="0"/>
                      <a:ext cx="5569191" cy="931700"/>
                    </a:xfrm>
                    <a:prstGeom prst="rect">
                      <a:avLst/>
                    </a:prstGeom>
                    <a:ln/>
                  </pic:spPr>
                </pic:pic>
              </a:graphicData>
            </a:graphic>
          </wp:inline>
        </w:drawing>
      </w:r>
    </w:p>
    <w:p w14:paraId="1200AB2B"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drawing>
          <wp:inline distT="0" distB="0" distL="0" distR="0" wp14:anchorId="6208FD4B" wp14:editId="0DEA1E49">
            <wp:extent cx="5593613" cy="1602215"/>
            <wp:effectExtent l="0" t="0" r="0" b="0"/>
            <wp:docPr id="9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l="37709" t="37414" r="15216" b="29488"/>
                    <a:stretch>
                      <a:fillRect/>
                    </a:stretch>
                  </pic:blipFill>
                  <pic:spPr>
                    <a:xfrm>
                      <a:off x="0" y="0"/>
                      <a:ext cx="5593613" cy="1602215"/>
                    </a:xfrm>
                    <a:prstGeom prst="rect">
                      <a:avLst/>
                    </a:prstGeom>
                    <a:ln/>
                  </pic:spPr>
                </pic:pic>
              </a:graphicData>
            </a:graphic>
          </wp:inline>
        </w:drawing>
      </w:r>
      <w:r>
        <w:rPr>
          <w:rFonts w:ascii="Palatino Linotype" w:eastAsia="Palatino Linotype" w:hAnsi="Palatino Linotype" w:cs="Palatino Linotype"/>
        </w:rPr>
        <w:t xml:space="preserve"> </w:t>
      </w:r>
    </w:p>
    <w:p w14:paraId="3EB3485F"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respecta al requerimiento sobre la Supervisión a las bases de datos documentales o electrónicas para establecer medidas de seguridad, informó:</w:t>
      </w:r>
    </w:p>
    <w:p w14:paraId="7EEC3462"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lastRenderedPageBreak/>
        <w:drawing>
          <wp:inline distT="0" distB="0" distL="0" distR="0" wp14:anchorId="6998898B" wp14:editId="1BE18E16">
            <wp:extent cx="5563336" cy="1368706"/>
            <wp:effectExtent l="0" t="0" r="0" b="0"/>
            <wp:docPr id="9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l="37340" t="44767" r="15598" b="28401"/>
                    <a:stretch>
                      <a:fillRect/>
                    </a:stretch>
                  </pic:blipFill>
                  <pic:spPr>
                    <a:xfrm>
                      <a:off x="0" y="0"/>
                      <a:ext cx="5563336" cy="1368706"/>
                    </a:xfrm>
                    <a:prstGeom prst="rect">
                      <a:avLst/>
                    </a:prstGeom>
                    <a:ln/>
                  </pic:spPr>
                </pic:pic>
              </a:graphicData>
            </a:graphic>
          </wp:inline>
        </w:drawing>
      </w:r>
    </w:p>
    <w:p w14:paraId="46A28591"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otro lado, en cuanto a los requerimientos relacionados con el Plan de Trabajo del Sistema de Gestión de Protección de Datos Personales, de los ejercicios 2019, 2020, 2021 y 2022, Gestión de Seguridad y Documento de Seguridad,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al corte al 30 de junio del 2022; informó que solicitó apoyo al Comité de Transparencia para que se someta a su consideración la propuesta de clasificar como confidencial  en su totalidad dichos documentos y en su caso emita el acuerdo correspondiente. </w:t>
      </w:r>
    </w:p>
    <w:p w14:paraId="63EAF027"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Finalmente hizo del conocimiento al particular que el Comité de Transparencia emitió el acuerdo número CTSDS-EXT-019-2022, mediante el cual se clasificó como confidencial en su totalidad en los documentos denominados “Plan de Trabajo del Sistema de Gestión de Protección de Datos Personales” de los ejercicios 2019, 2020, 2021 y 2022, “Gestión de Seguridad” y “Seguridad”, con corte al 30 de junio del 2022 de la Secretaría de Desarrollo Social</w:t>
      </w:r>
    </w:p>
    <w:p w14:paraId="470BF843"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20">
        <w:r>
          <w:rPr>
            <w:rFonts w:ascii="Palatino Linotype" w:eastAsia="Palatino Linotype" w:hAnsi="Palatino Linotype" w:cs="Palatino Linotype"/>
          </w:rPr>
          <w:t>ANEXO 2 - AVISOS DE PRIVACIDAD SIMPLIFICADO.pdf</w:t>
        </w:r>
      </w:hyperlink>
      <w:r>
        <w:rPr>
          <w:rFonts w:ascii="Palatino Linotype" w:eastAsia="Palatino Linotype" w:hAnsi="Palatino Linotype" w:cs="Palatino Linotype"/>
        </w:rPr>
        <w:t xml:space="preserve">”, el cual contiene los avisos de privacidad simplificados para el resguardo de los expedientes del personal de la Secretaría de Desarrollo Social, del sistema de registro a proveedores SIREPRO de la Secretaría de Desarrollo Social, del programa de desarrollo social familias </w:t>
      </w:r>
      <w:r>
        <w:rPr>
          <w:rFonts w:ascii="Palatino Linotype" w:eastAsia="Palatino Linotype" w:hAnsi="Palatino Linotype" w:cs="Palatino Linotype"/>
        </w:rPr>
        <w:lastRenderedPageBreak/>
        <w:t xml:space="preserve">fuertes canasta EDOMEX, del programa de desarrollo social familias fuertes apoyo a personas adultas mayores, del programa de desarrollo social familias fuertes salario rosa; constante de 14 fojas. </w:t>
      </w:r>
    </w:p>
    <w:p w14:paraId="313FF1FD"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21">
        <w:r>
          <w:rPr>
            <w:rFonts w:ascii="Palatino Linotype" w:eastAsia="Palatino Linotype" w:hAnsi="Palatino Linotype" w:cs="Palatino Linotype"/>
          </w:rPr>
          <w:t>ANEXO 3 - BITACORA DE INCIDENCIAS ELECTRONICAS.pdf</w:t>
        </w:r>
      </w:hyperlink>
      <w:r>
        <w:rPr>
          <w:rFonts w:ascii="Palatino Linotype" w:eastAsia="Palatino Linotype" w:hAnsi="Palatino Linotype" w:cs="Palatino Linotype"/>
        </w:rPr>
        <w:t>”, el cual contiene el formato de la bitácora de incidencias de la Base de datos personales electrónicas del ejercicio 2022, respecto de los “expedientes de los servidores públicos de la Secretaría de Desarrollo Social”, “programa de desarrollo social familias fuertes salario rosa” y “programa de desarrollo social familias fuertes apoyo a personas adultas mayores”.</w:t>
      </w:r>
    </w:p>
    <w:p w14:paraId="7D3353F8"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cuanto a la solicitud 00098/SEDESEM/IP/2022,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respuesta adjuntó los siguientes archivos electrónicos: “</w:t>
      </w:r>
      <w:hyperlink r:id="rId22">
        <w:r>
          <w:rPr>
            <w:rFonts w:ascii="Palatino Linotype" w:eastAsia="Palatino Linotype" w:hAnsi="Palatino Linotype" w:cs="Palatino Linotype"/>
          </w:rPr>
          <w:t>ANEXO 2 - AVISOS DE PRIVACIDAD SIMPLIFICADO.pdf</w:t>
        </w:r>
      </w:hyperlink>
      <w:r>
        <w:rPr>
          <w:rFonts w:ascii="Palatino Linotype" w:eastAsia="Palatino Linotype" w:hAnsi="Palatino Linotype" w:cs="Palatino Linotype"/>
        </w:rPr>
        <w:t>”, “</w:t>
      </w:r>
      <w:hyperlink r:id="rId23">
        <w:r>
          <w:rPr>
            <w:rFonts w:ascii="Palatino Linotype" w:eastAsia="Palatino Linotype" w:hAnsi="Palatino Linotype" w:cs="Palatino Linotype"/>
          </w:rPr>
          <w:t>ANEXO 3 - BITACORA DE INCIDENCIAS DOCUMENTALES.pdf</w:t>
        </w:r>
      </w:hyperlink>
      <w:r>
        <w:rPr>
          <w:rFonts w:ascii="Palatino Linotype" w:eastAsia="Palatino Linotype" w:hAnsi="Palatino Linotype" w:cs="Palatino Linotype"/>
        </w:rPr>
        <w:t>”, “</w:t>
      </w:r>
      <w:hyperlink r:id="rId24">
        <w:r>
          <w:rPr>
            <w:rFonts w:ascii="Palatino Linotype" w:eastAsia="Palatino Linotype" w:hAnsi="Palatino Linotype" w:cs="Palatino Linotype"/>
          </w:rPr>
          <w:t>RESOLUTIVO.pdf</w:t>
        </w:r>
      </w:hyperlink>
      <w:r>
        <w:rPr>
          <w:rFonts w:ascii="Palatino Linotype" w:eastAsia="Palatino Linotype" w:hAnsi="Palatino Linotype" w:cs="Palatino Linotype"/>
        </w:rPr>
        <w:t>”, “</w:t>
      </w:r>
      <w:hyperlink r:id="rId25">
        <w:r>
          <w:rPr>
            <w:rFonts w:ascii="Palatino Linotype" w:eastAsia="Palatino Linotype" w:hAnsi="Palatino Linotype" w:cs="Palatino Linotype"/>
          </w:rPr>
          <w:t>ANEXO 1 - OFICIOS ADMINISTRADORES - 2022.pdf</w:t>
        </w:r>
      </w:hyperlink>
      <w:r>
        <w:rPr>
          <w:rFonts w:ascii="Palatino Linotype" w:eastAsia="Palatino Linotype" w:hAnsi="Palatino Linotype" w:cs="Palatino Linotype"/>
        </w:rPr>
        <w:t>”, “</w:t>
      </w:r>
      <w:hyperlink r:id="rId26">
        <w:r>
          <w:rPr>
            <w:rFonts w:ascii="Palatino Linotype" w:eastAsia="Palatino Linotype" w:hAnsi="Palatino Linotype" w:cs="Palatino Linotype"/>
          </w:rPr>
          <w:t>ANEXO 2 - AVISOS DE PRIVACIDAD INTEGRAL.pdf</w:t>
        </w:r>
      </w:hyperlink>
      <w:r>
        <w:rPr>
          <w:rFonts w:ascii="Palatino Linotype" w:eastAsia="Palatino Linotype" w:hAnsi="Palatino Linotype" w:cs="Palatino Linotype"/>
        </w:rPr>
        <w:t>”, “</w:t>
      </w:r>
      <w:hyperlink r:id="rId27">
        <w:r>
          <w:rPr>
            <w:rFonts w:ascii="Palatino Linotype" w:eastAsia="Palatino Linotype" w:hAnsi="Palatino Linotype" w:cs="Palatino Linotype"/>
          </w:rPr>
          <w:t>098 - C. Ciudadano - Unidad de Transparencia - 098.pdf</w:t>
        </w:r>
      </w:hyperlink>
      <w:r>
        <w:rPr>
          <w:rFonts w:ascii="Palatino Linotype" w:eastAsia="Palatino Linotype" w:hAnsi="Palatino Linotype" w:cs="Palatino Linotype"/>
        </w:rPr>
        <w:t>” y “</w:t>
      </w:r>
      <w:hyperlink r:id="rId28">
        <w:r>
          <w:rPr>
            <w:rFonts w:ascii="Palatino Linotype" w:eastAsia="Palatino Linotype" w:hAnsi="Palatino Linotype" w:cs="Palatino Linotype"/>
          </w:rPr>
          <w:t>ANEXO 3 - BITACORA DE INCIDENCIAS ELECTRONICAS.pdf</w:t>
        </w:r>
      </w:hyperlink>
      <w:r>
        <w:rPr>
          <w:rFonts w:ascii="Palatino Linotype" w:eastAsia="Palatino Linotype" w:hAnsi="Palatino Linotype" w:cs="Palatino Linotype"/>
        </w:rPr>
        <w:t xml:space="preserve">”, los cuales corresponden a los mismos archivos descritos en la solicitud 00097/SEDESEM/IP/2022, señalados en el presente antecedente. </w:t>
      </w:r>
    </w:p>
    <w:p w14:paraId="352941DD"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cuanto a la solicitud 00096/SEDESEM/IP/2022,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respuesta adjuntó los siguientes archivos electrónicos: </w:t>
      </w:r>
      <w:hyperlink r:id="rId29">
        <w:r>
          <w:rPr>
            <w:rFonts w:ascii="Palatino Linotype" w:eastAsia="Palatino Linotype" w:hAnsi="Palatino Linotype" w:cs="Palatino Linotype"/>
          </w:rPr>
          <w:t>ANEXO 1 - OFICIOS ADMINISTRADORES - 2022.pdf</w:t>
        </w:r>
      </w:hyperlink>
      <w:r>
        <w:rPr>
          <w:rFonts w:ascii="Palatino Linotype" w:eastAsia="Palatino Linotype" w:hAnsi="Palatino Linotype" w:cs="Palatino Linotype"/>
        </w:rPr>
        <w:br/>
      </w:r>
      <w:hyperlink r:id="rId30">
        <w:r>
          <w:rPr>
            <w:rFonts w:ascii="Palatino Linotype" w:eastAsia="Palatino Linotype" w:hAnsi="Palatino Linotype" w:cs="Palatino Linotype"/>
          </w:rPr>
          <w:t>ANEXO 2 - AVISOS DE PRIVACIDAD SIMPLIFICADO.pdf</w:t>
        </w:r>
      </w:hyperlink>
      <w:r>
        <w:rPr>
          <w:rFonts w:ascii="Palatino Linotype" w:eastAsia="Palatino Linotype" w:hAnsi="Palatino Linotype" w:cs="Palatino Linotype"/>
        </w:rPr>
        <w:br/>
      </w:r>
      <w:hyperlink r:id="rId31">
        <w:r>
          <w:rPr>
            <w:rFonts w:ascii="Palatino Linotype" w:eastAsia="Palatino Linotype" w:hAnsi="Palatino Linotype" w:cs="Palatino Linotype"/>
          </w:rPr>
          <w:t>ANEXO 3 - BITACORA DE INCIDENCIAS DOCUMENTALES.pdf</w:t>
        </w:r>
      </w:hyperlink>
      <w:r>
        <w:rPr>
          <w:rFonts w:ascii="Palatino Linotype" w:eastAsia="Palatino Linotype" w:hAnsi="Palatino Linotype" w:cs="Palatino Linotype"/>
        </w:rPr>
        <w:br/>
      </w:r>
      <w:hyperlink r:id="rId32">
        <w:r>
          <w:rPr>
            <w:rFonts w:ascii="Palatino Linotype" w:eastAsia="Palatino Linotype" w:hAnsi="Palatino Linotype" w:cs="Palatino Linotype"/>
          </w:rPr>
          <w:t>096 - C. Ciudadano - Unidad de Transparencia - 096.pdf</w:t>
        </w:r>
      </w:hyperlink>
      <w:r>
        <w:rPr>
          <w:rFonts w:ascii="Palatino Linotype" w:eastAsia="Palatino Linotype" w:hAnsi="Palatino Linotype" w:cs="Palatino Linotype"/>
        </w:rPr>
        <w:br/>
      </w:r>
      <w:hyperlink r:id="rId33">
        <w:r>
          <w:rPr>
            <w:rFonts w:ascii="Palatino Linotype" w:eastAsia="Palatino Linotype" w:hAnsi="Palatino Linotype" w:cs="Palatino Linotype"/>
          </w:rPr>
          <w:t>ANEXO 2 - AVISOS DE PRIVACIDAD INTEGRAL.pdf</w:t>
        </w:r>
      </w:hyperlink>
      <w:r>
        <w:rPr>
          <w:rFonts w:ascii="Palatino Linotype" w:eastAsia="Palatino Linotype" w:hAnsi="Palatino Linotype" w:cs="Palatino Linotype"/>
        </w:rPr>
        <w:br/>
      </w:r>
      <w:hyperlink r:id="rId34">
        <w:r>
          <w:rPr>
            <w:rFonts w:ascii="Palatino Linotype" w:eastAsia="Palatino Linotype" w:hAnsi="Palatino Linotype" w:cs="Palatino Linotype"/>
          </w:rPr>
          <w:t>ANEXO 3 - BITACORA DE INCIDENCIAS ELECTRONICAS.pdf</w:t>
        </w:r>
      </w:hyperlink>
      <w:r>
        <w:rPr>
          <w:rFonts w:ascii="Palatino Linotype" w:eastAsia="Palatino Linotype" w:hAnsi="Palatino Linotype" w:cs="Palatino Linotype"/>
        </w:rPr>
        <w:br/>
      </w:r>
      <w:hyperlink r:id="rId35">
        <w:r>
          <w:rPr>
            <w:rFonts w:ascii="Palatino Linotype" w:eastAsia="Palatino Linotype" w:hAnsi="Palatino Linotype" w:cs="Palatino Linotype"/>
          </w:rPr>
          <w:t>RESOLUTIVO.pdf</w:t>
        </w:r>
      </w:hyperlink>
      <w:r>
        <w:rPr>
          <w:rFonts w:ascii="Palatino Linotype" w:eastAsia="Palatino Linotype" w:hAnsi="Palatino Linotype" w:cs="Palatino Linotype"/>
        </w:rPr>
        <w:t xml:space="preserve">, los cuales corresponden a los mismos archivos descritos en la solicitud 00097/SEDESEM/IP/2022, señalados en el presente antecedente. </w:t>
      </w:r>
    </w:p>
    <w:p w14:paraId="0AD07D00"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4. Interposición de los recursos de revisión. </w:t>
      </w:r>
      <w:r>
        <w:rPr>
          <w:rFonts w:ascii="Palatino Linotype" w:eastAsia="Palatino Linotype" w:hAnsi="Palatino Linotype" w:cs="Palatino Linotype"/>
        </w:rPr>
        <w:t xml:space="preserve">Inconforme la persona solicitante con la respuesta emitida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fecha </w:t>
      </w:r>
      <w:r>
        <w:rPr>
          <w:rFonts w:ascii="Palatino Linotype" w:eastAsia="Palatino Linotype" w:hAnsi="Palatino Linotype" w:cs="Palatino Linotype"/>
          <w:b/>
        </w:rPr>
        <w:t>primero de agosto de dos mil veintidós</w:t>
      </w:r>
      <w:r>
        <w:rPr>
          <w:rFonts w:ascii="Palatino Linotype" w:eastAsia="Palatino Linotype" w:hAnsi="Palatino Linotype" w:cs="Palatino Linotype"/>
        </w:rPr>
        <w:t>, interpuso recursos de revisión a través del SAIMEX expresando lo siguiente:</w:t>
      </w:r>
    </w:p>
    <w:tbl>
      <w:tblPr>
        <w:tblStyle w:val="af3"/>
        <w:tblW w:w="897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3119"/>
        <w:gridCol w:w="3021"/>
      </w:tblGrid>
      <w:tr w:rsidR="00BF7F97" w14:paraId="3E51E8E1" w14:textId="77777777">
        <w:tc>
          <w:tcPr>
            <w:tcW w:w="2830" w:type="dxa"/>
            <w:shd w:val="clear" w:color="auto" w:fill="D9D9D9"/>
            <w:vAlign w:val="center"/>
          </w:tcPr>
          <w:p w14:paraId="7B5827F0" w14:textId="77777777" w:rsidR="00BF7F97" w:rsidRDefault="00243AE8">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Recurso de revisión</w:t>
            </w:r>
          </w:p>
        </w:tc>
        <w:tc>
          <w:tcPr>
            <w:tcW w:w="3119" w:type="dxa"/>
            <w:shd w:val="clear" w:color="auto" w:fill="D9D9D9"/>
            <w:vAlign w:val="center"/>
          </w:tcPr>
          <w:p w14:paraId="00011236" w14:textId="77777777" w:rsidR="00BF7F97" w:rsidRDefault="00243AE8">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Acto impugnado.</w:t>
            </w:r>
          </w:p>
        </w:tc>
        <w:tc>
          <w:tcPr>
            <w:tcW w:w="3021" w:type="dxa"/>
            <w:shd w:val="clear" w:color="auto" w:fill="D9D9D9"/>
            <w:vAlign w:val="center"/>
          </w:tcPr>
          <w:p w14:paraId="44244402" w14:textId="77777777" w:rsidR="00BF7F97" w:rsidRDefault="00243AE8">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Motivos de inconformidad.</w:t>
            </w:r>
          </w:p>
        </w:tc>
      </w:tr>
      <w:tr w:rsidR="00BF7F97" w14:paraId="76DEBB10" w14:textId="77777777">
        <w:tc>
          <w:tcPr>
            <w:tcW w:w="2830" w:type="dxa"/>
            <w:vAlign w:val="center"/>
          </w:tcPr>
          <w:p w14:paraId="675FD382" w14:textId="77777777" w:rsidR="00BF7F97" w:rsidRDefault="00243AE8">
            <w:pPr>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13034/INFOEM/IP/RR/2022</w:t>
            </w:r>
          </w:p>
        </w:tc>
        <w:tc>
          <w:tcPr>
            <w:tcW w:w="3119" w:type="dxa"/>
            <w:shd w:val="clear" w:color="auto" w:fill="auto"/>
          </w:tcPr>
          <w:p w14:paraId="6241FEE9" w14:textId="77777777" w:rsidR="00BF7F97" w:rsidRDefault="00243AE8">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“no se entrega </w:t>
            </w:r>
            <w:proofErr w:type="gramStart"/>
            <w:r>
              <w:rPr>
                <w:rFonts w:ascii="Palatino Linotype" w:eastAsia="Palatino Linotype" w:hAnsi="Palatino Linotype" w:cs="Palatino Linotype"/>
                <w:i/>
                <w:sz w:val="20"/>
                <w:szCs w:val="20"/>
              </w:rPr>
              <w:t>la bases</w:t>
            </w:r>
            <w:proofErr w:type="gramEnd"/>
            <w:r>
              <w:rPr>
                <w:rFonts w:ascii="Palatino Linotype" w:eastAsia="Palatino Linotype" w:hAnsi="Palatino Linotype" w:cs="Palatino Linotype"/>
                <w:i/>
                <w:sz w:val="20"/>
                <w:szCs w:val="20"/>
              </w:rPr>
              <w:t xml:space="preserve"> de datos y Plan de Trabajo del Sistema de Gestión de Protección de Datos Personales de esta Dependencia” (sic)</w:t>
            </w:r>
          </w:p>
        </w:tc>
        <w:tc>
          <w:tcPr>
            <w:tcW w:w="3021" w:type="dxa"/>
            <w:shd w:val="clear" w:color="auto" w:fill="auto"/>
          </w:tcPr>
          <w:p w14:paraId="18DD24F0" w14:textId="77777777" w:rsidR="00BF7F97" w:rsidRDefault="00243AE8">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“no se entrega </w:t>
            </w:r>
            <w:proofErr w:type="gramStart"/>
            <w:r>
              <w:rPr>
                <w:rFonts w:ascii="Palatino Linotype" w:eastAsia="Palatino Linotype" w:hAnsi="Palatino Linotype" w:cs="Palatino Linotype"/>
                <w:i/>
                <w:sz w:val="20"/>
                <w:szCs w:val="20"/>
              </w:rPr>
              <w:t>la bases</w:t>
            </w:r>
            <w:proofErr w:type="gramEnd"/>
            <w:r>
              <w:rPr>
                <w:rFonts w:ascii="Palatino Linotype" w:eastAsia="Palatino Linotype" w:hAnsi="Palatino Linotype" w:cs="Palatino Linotype"/>
                <w:i/>
                <w:sz w:val="20"/>
                <w:szCs w:val="20"/>
              </w:rPr>
              <w:t xml:space="preserve"> de datos y Plan de Trabajo del Sistema de Gestión de Protección de Datos Personales de esta Dependencia” (sic)</w:t>
            </w:r>
          </w:p>
        </w:tc>
      </w:tr>
      <w:tr w:rsidR="00BF7F97" w14:paraId="0388CF90" w14:textId="77777777">
        <w:tc>
          <w:tcPr>
            <w:tcW w:w="2830" w:type="dxa"/>
            <w:vAlign w:val="center"/>
          </w:tcPr>
          <w:p w14:paraId="59BB57A3" w14:textId="77777777" w:rsidR="00BF7F97" w:rsidRDefault="00243AE8">
            <w:pPr>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13035/INFOEM/IP/RR/2022</w:t>
            </w:r>
          </w:p>
        </w:tc>
        <w:tc>
          <w:tcPr>
            <w:tcW w:w="3119" w:type="dxa"/>
            <w:shd w:val="clear" w:color="auto" w:fill="auto"/>
          </w:tcPr>
          <w:p w14:paraId="031DE7C1" w14:textId="77777777" w:rsidR="00BF7F97" w:rsidRDefault="00243AE8">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“no se entrega </w:t>
            </w:r>
            <w:proofErr w:type="gramStart"/>
            <w:r>
              <w:rPr>
                <w:rFonts w:ascii="Palatino Linotype" w:eastAsia="Palatino Linotype" w:hAnsi="Palatino Linotype" w:cs="Palatino Linotype"/>
                <w:i/>
                <w:sz w:val="20"/>
                <w:szCs w:val="20"/>
              </w:rPr>
              <w:t>la bases</w:t>
            </w:r>
            <w:proofErr w:type="gramEnd"/>
            <w:r>
              <w:rPr>
                <w:rFonts w:ascii="Palatino Linotype" w:eastAsia="Palatino Linotype" w:hAnsi="Palatino Linotype" w:cs="Palatino Linotype"/>
                <w:i/>
                <w:sz w:val="20"/>
                <w:szCs w:val="20"/>
              </w:rPr>
              <w:t xml:space="preserve"> de datos y Plan de Trabajo del Sistema de Gestión de Protección de Datos Personales de esta Dependencia.” (sic)</w:t>
            </w:r>
          </w:p>
        </w:tc>
        <w:tc>
          <w:tcPr>
            <w:tcW w:w="3021" w:type="dxa"/>
            <w:shd w:val="clear" w:color="auto" w:fill="auto"/>
          </w:tcPr>
          <w:p w14:paraId="2D507AEE" w14:textId="77777777" w:rsidR="00BF7F97" w:rsidRDefault="00243AE8">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“no se entrega </w:t>
            </w:r>
            <w:proofErr w:type="gramStart"/>
            <w:r>
              <w:rPr>
                <w:rFonts w:ascii="Palatino Linotype" w:eastAsia="Palatino Linotype" w:hAnsi="Palatino Linotype" w:cs="Palatino Linotype"/>
                <w:i/>
                <w:sz w:val="20"/>
                <w:szCs w:val="20"/>
              </w:rPr>
              <w:t>la bases</w:t>
            </w:r>
            <w:proofErr w:type="gramEnd"/>
            <w:r>
              <w:rPr>
                <w:rFonts w:ascii="Palatino Linotype" w:eastAsia="Palatino Linotype" w:hAnsi="Palatino Linotype" w:cs="Palatino Linotype"/>
                <w:i/>
                <w:sz w:val="20"/>
                <w:szCs w:val="20"/>
              </w:rPr>
              <w:t xml:space="preserve"> de datos y Plan de Trabajo del Sistema de Gestión de Protección de Datos Personales de esta Dependencia” (sic)</w:t>
            </w:r>
          </w:p>
        </w:tc>
      </w:tr>
      <w:tr w:rsidR="00BF7F97" w14:paraId="595CB599" w14:textId="77777777">
        <w:tc>
          <w:tcPr>
            <w:tcW w:w="2830" w:type="dxa"/>
            <w:vAlign w:val="center"/>
          </w:tcPr>
          <w:p w14:paraId="328F7C4A" w14:textId="77777777" w:rsidR="00BF7F97" w:rsidRDefault="00243AE8">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13036/INFOEM/IP/RR/2022</w:t>
            </w:r>
          </w:p>
        </w:tc>
        <w:tc>
          <w:tcPr>
            <w:tcW w:w="3119" w:type="dxa"/>
            <w:shd w:val="clear" w:color="auto" w:fill="auto"/>
          </w:tcPr>
          <w:p w14:paraId="459FE678" w14:textId="77777777" w:rsidR="00BF7F97" w:rsidRDefault="00243AE8">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“no se entrega </w:t>
            </w:r>
            <w:proofErr w:type="gramStart"/>
            <w:r>
              <w:rPr>
                <w:rFonts w:ascii="Palatino Linotype" w:eastAsia="Palatino Linotype" w:hAnsi="Palatino Linotype" w:cs="Palatino Linotype"/>
                <w:i/>
                <w:sz w:val="20"/>
                <w:szCs w:val="20"/>
              </w:rPr>
              <w:t>la bases</w:t>
            </w:r>
            <w:proofErr w:type="gramEnd"/>
            <w:r>
              <w:rPr>
                <w:rFonts w:ascii="Palatino Linotype" w:eastAsia="Palatino Linotype" w:hAnsi="Palatino Linotype" w:cs="Palatino Linotype"/>
                <w:i/>
                <w:sz w:val="20"/>
                <w:szCs w:val="20"/>
              </w:rPr>
              <w:t xml:space="preserve"> de datos y Plan de Trabajo del Sistema de Gestión de Protección de Datos Personales de esta Dependencia” (sic)</w:t>
            </w:r>
          </w:p>
        </w:tc>
        <w:tc>
          <w:tcPr>
            <w:tcW w:w="3021" w:type="dxa"/>
            <w:shd w:val="clear" w:color="auto" w:fill="auto"/>
          </w:tcPr>
          <w:p w14:paraId="22595D4A" w14:textId="77777777" w:rsidR="00BF7F97" w:rsidRDefault="00243AE8">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“no se entrega </w:t>
            </w:r>
            <w:proofErr w:type="gramStart"/>
            <w:r>
              <w:rPr>
                <w:rFonts w:ascii="Palatino Linotype" w:eastAsia="Palatino Linotype" w:hAnsi="Palatino Linotype" w:cs="Palatino Linotype"/>
                <w:i/>
                <w:sz w:val="20"/>
                <w:szCs w:val="20"/>
              </w:rPr>
              <w:t>la bases</w:t>
            </w:r>
            <w:proofErr w:type="gramEnd"/>
            <w:r>
              <w:rPr>
                <w:rFonts w:ascii="Palatino Linotype" w:eastAsia="Palatino Linotype" w:hAnsi="Palatino Linotype" w:cs="Palatino Linotype"/>
                <w:i/>
                <w:sz w:val="20"/>
                <w:szCs w:val="20"/>
              </w:rPr>
              <w:t xml:space="preserve"> de datos y Plan de Trabajo del Sistema de Gestión de Protección de Datos Personales de esta Dependencia” (sic)</w:t>
            </w:r>
          </w:p>
        </w:tc>
      </w:tr>
    </w:tbl>
    <w:p w14:paraId="54AFA6FE"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5. Turno.</w:t>
      </w:r>
      <w:r>
        <w:rPr>
          <w:rFonts w:ascii="Palatino Linotype" w:eastAsia="Palatino Linotype" w:hAnsi="Palatino Linotype" w:cs="Palatino Linotype"/>
        </w:rPr>
        <w:t xml:space="preserve"> De conformidad con el artículo 185 fracción I de la Ley de Transparencia y Acceso a la Información Pública del Estado de México y Municipios vigente, los presentes recursos de revisión se turnaron por el sistema electrónico del Instituto de </w:t>
      </w:r>
      <w:r>
        <w:rPr>
          <w:rFonts w:ascii="Palatino Linotype" w:eastAsia="Palatino Linotype" w:hAnsi="Palatino Linotype" w:cs="Palatino Linotype"/>
        </w:rPr>
        <w:lastRenderedPageBreak/>
        <w:t>Transparencia, Acceso a la Información Pública y Protección de Datos Personales del Estado de México y Municipios, a los Comisionados</w:t>
      </w:r>
      <w:r>
        <w:rPr>
          <w:rFonts w:ascii="Palatino Linotype" w:eastAsia="Palatino Linotype" w:hAnsi="Palatino Linotype" w:cs="Palatino Linotype"/>
          <w:b/>
        </w:rPr>
        <w:t xml:space="preserve"> Guadalupe Ramírez Peña, José Vilchis Martínez y Luis Gustavo Parra Noriega, </w:t>
      </w:r>
      <w:r>
        <w:rPr>
          <w:rFonts w:ascii="Palatino Linotype" w:eastAsia="Palatino Linotype" w:hAnsi="Palatino Linotype" w:cs="Palatino Linotype"/>
        </w:rPr>
        <w:t xml:space="preserve">a efecto de que analizaran sobre su admisión o su </w:t>
      </w:r>
      <w:proofErr w:type="spellStart"/>
      <w:r>
        <w:rPr>
          <w:rFonts w:ascii="Palatino Linotype" w:eastAsia="Palatino Linotype" w:hAnsi="Palatino Linotype" w:cs="Palatino Linotype"/>
        </w:rPr>
        <w:t>desechamiento</w:t>
      </w:r>
      <w:proofErr w:type="spellEnd"/>
      <w:r>
        <w:rPr>
          <w:rFonts w:ascii="Palatino Linotype" w:eastAsia="Palatino Linotype" w:hAnsi="Palatino Linotype" w:cs="Palatino Linotype"/>
        </w:rPr>
        <w:t xml:space="preserve">. </w:t>
      </w:r>
    </w:p>
    <w:p w14:paraId="71A63423"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6. Admisión de los Recursos de Revisión. </w:t>
      </w:r>
      <w:r>
        <w:rPr>
          <w:rFonts w:ascii="Palatino Linotype" w:eastAsia="Palatino Linotype" w:hAnsi="Palatino Linotype" w:cs="Palatino Linotype"/>
        </w:rPr>
        <w:t xml:space="preserve">En fechas </w:t>
      </w:r>
      <w:r>
        <w:rPr>
          <w:rFonts w:ascii="Palatino Linotype" w:eastAsia="Palatino Linotype" w:hAnsi="Palatino Linotype" w:cs="Palatino Linotype"/>
          <w:b/>
        </w:rPr>
        <w:t>cuatro y cinco de agosto de dos mil veintidós</w:t>
      </w:r>
      <w:r>
        <w:rPr>
          <w:rFonts w:ascii="Palatino Linotype" w:eastAsia="Palatino Linotype" w:hAnsi="Palatino Linotype" w:cs="Palatino Linotype"/>
        </w:rPr>
        <w:t>, en términos de lo dispuesto en el artículo 185 fracciones I, II y IV de la Ley de Transparencia y Acceso a la Información Pública del Estado de México y Municipios, se admitieron a trámite los recursos de revisión al rubro indicado.</w:t>
      </w:r>
    </w:p>
    <w:p w14:paraId="102B2911" w14:textId="77777777" w:rsidR="00BF7F97" w:rsidRDefault="00243AE8">
      <w:pPr>
        <w:pBdr>
          <w:top w:val="nil"/>
          <w:left w:val="nil"/>
          <w:bottom w:val="nil"/>
          <w:right w:val="nil"/>
          <w:between w:val="nil"/>
        </w:pBdr>
        <w:spacing w:before="240" w:after="240" w:line="360" w:lineRule="auto"/>
        <w:jc w:val="both"/>
      </w:pPr>
      <w:r>
        <w:rPr>
          <w:rFonts w:ascii="Palatino Linotype" w:eastAsia="Palatino Linotype" w:hAnsi="Palatino Linotype" w:cs="Palatino Linotype"/>
          <w:b/>
        </w:rPr>
        <w:t xml:space="preserve">7. Acumulación de los recursos de revisión. </w:t>
      </w:r>
      <w:r>
        <w:rPr>
          <w:rFonts w:ascii="Palatino Linotype" w:eastAsia="Palatino Linotype" w:hAnsi="Palatino Linotype" w:cs="Palatino Linotype"/>
        </w:rPr>
        <w:t xml:space="preserve">Al respecto cabe señalar, que el Pleno de este Instituto, en la Vigésima Octava Sesión Ordinaria, celebrada el diez de agosto de dos mil veintidós, ordenó la acumulación de los expedientes citados, a efecto de que la Comisionada </w:t>
      </w:r>
      <w:r>
        <w:rPr>
          <w:rFonts w:ascii="Palatino Linotype" w:eastAsia="Palatino Linotype" w:hAnsi="Palatino Linotype" w:cs="Palatino Linotype"/>
          <w:b/>
        </w:rPr>
        <w:t xml:space="preserve">Guadalupe Ramírez Peña </w:t>
      </w:r>
      <w:r>
        <w:rPr>
          <w:rFonts w:ascii="Palatino Linotype" w:eastAsia="Palatino Linotype" w:hAnsi="Palatino Linotype" w:cs="Palatino Linotype"/>
        </w:rPr>
        <w:t>formulara y presentara el proyecto de resolución correspondiente, de conformidad con lo dispuesto en el artículo 18 del Código de Procedimientos Administrativos del Estado de México, de aplicación supletoria en términos del artículo 195 de la Ley de Transparencia y Acceso a la Información Pública del Estado de México y Municipios, que a la letra señalan:  </w:t>
      </w:r>
    </w:p>
    <w:p w14:paraId="62D31883" w14:textId="77777777" w:rsidR="00BF7F97" w:rsidRDefault="00243AE8">
      <w:pPr>
        <w:pBdr>
          <w:top w:val="nil"/>
          <w:left w:val="nil"/>
          <w:bottom w:val="nil"/>
          <w:right w:val="nil"/>
          <w:between w:val="nil"/>
        </w:pBdr>
        <w:spacing w:before="120" w:after="120"/>
        <w:ind w:left="851" w:right="902"/>
        <w:jc w:val="both"/>
      </w:pPr>
      <w:r>
        <w:rPr>
          <w:rFonts w:ascii="Palatino Linotype" w:eastAsia="Palatino Linotype" w:hAnsi="Palatino Linotype" w:cs="Palatino Linotype"/>
          <w:b/>
          <w:i/>
          <w:sz w:val="22"/>
          <w:szCs w:val="22"/>
        </w:rPr>
        <w:t>Código de Procedimientos Administrativos del Estado de México</w:t>
      </w:r>
    </w:p>
    <w:p w14:paraId="5760414A" w14:textId="77777777" w:rsidR="00BF7F97" w:rsidRDefault="00243AE8">
      <w:pPr>
        <w:pBdr>
          <w:top w:val="nil"/>
          <w:left w:val="nil"/>
          <w:bottom w:val="nil"/>
          <w:right w:val="nil"/>
          <w:between w:val="nil"/>
        </w:pBdr>
        <w:spacing w:before="120" w:after="120"/>
        <w:ind w:left="851" w:right="902"/>
        <w:jc w:val="both"/>
      </w:pPr>
      <w:r>
        <w:rPr>
          <w:rFonts w:ascii="Palatino Linotype" w:eastAsia="Palatino Linotype" w:hAnsi="Palatino Linotype" w:cs="Palatino Linotype"/>
          <w:b/>
          <w:i/>
          <w:sz w:val="22"/>
          <w:szCs w:val="22"/>
        </w:rPr>
        <w:t>“Artículo 18.-</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autoridad administrativa o el Tribunal acordarán la acumulación de los expedientes del procedimiento y proceso administrativo que ante ellos se sigan, de oficio</w:t>
      </w:r>
      <w:r>
        <w:rPr>
          <w:rFonts w:ascii="Palatino Linotype" w:eastAsia="Palatino Linotype" w:hAnsi="Palatino Linotype" w:cs="Palatino Linotype"/>
          <w:i/>
          <w:sz w:val="22"/>
          <w:szCs w:val="22"/>
        </w:rPr>
        <w:t xml:space="preserve"> o a petición de parte, </w:t>
      </w:r>
      <w:r>
        <w:rPr>
          <w:rFonts w:ascii="Palatino Linotype" w:eastAsia="Palatino Linotype" w:hAnsi="Palatino Linotype" w:cs="Palatino Linotype"/>
          <w:b/>
          <w:i/>
          <w:sz w:val="22"/>
          <w:szCs w:val="22"/>
        </w:rPr>
        <w:t>cuando las partes</w:t>
      </w:r>
      <w:r>
        <w:rPr>
          <w:rFonts w:ascii="Palatino Linotype" w:eastAsia="Palatino Linotype" w:hAnsi="Palatino Linotype" w:cs="Palatino Linotype"/>
          <w:i/>
          <w:sz w:val="22"/>
          <w:szCs w:val="22"/>
        </w:rPr>
        <w:t xml:space="preserve"> o los actos administrativos sean iguales, se trate de actos conexos o </w:t>
      </w:r>
      <w:r>
        <w:rPr>
          <w:rFonts w:ascii="Palatino Linotype" w:eastAsia="Palatino Linotype" w:hAnsi="Palatino Linotype" w:cs="Palatino Linotype"/>
          <w:b/>
          <w:i/>
          <w:sz w:val="22"/>
          <w:szCs w:val="22"/>
        </w:rPr>
        <w:t>resulte conveniente el trámite unificado de los asuntos, para evitar la emisión de resoluciones contradictorias</w:t>
      </w:r>
      <w:r>
        <w:rPr>
          <w:rFonts w:ascii="Palatino Linotype" w:eastAsia="Palatino Linotype" w:hAnsi="Palatino Linotype" w:cs="Palatino Linotype"/>
          <w:i/>
          <w:sz w:val="22"/>
          <w:szCs w:val="22"/>
        </w:rPr>
        <w:t>. La misma regla se aplicará, en lo conducente, para la separación de los expedientes.”</w:t>
      </w:r>
    </w:p>
    <w:p w14:paraId="22B59CB6" w14:textId="77777777" w:rsidR="00BF7F97" w:rsidRDefault="00243AE8">
      <w:pPr>
        <w:pBdr>
          <w:top w:val="nil"/>
          <w:left w:val="nil"/>
          <w:bottom w:val="nil"/>
          <w:right w:val="nil"/>
          <w:between w:val="nil"/>
        </w:pBdr>
        <w:spacing w:before="120" w:after="120"/>
        <w:ind w:left="851" w:right="902"/>
        <w:jc w:val="both"/>
      </w:pPr>
      <w:r>
        <w:rPr>
          <w:rFonts w:ascii="Palatino Linotype" w:eastAsia="Palatino Linotype" w:hAnsi="Palatino Linotype" w:cs="Palatino Linotype"/>
          <w:b/>
          <w:i/>
          <w:sz w:val="22"/>
          <w:szCs w:val="22"/>
        </w:rPr>
        <w:lastRenderedPageBreak/>
        <w:t>Ley de Transparencia y Acceso a la Información Pública del Estado de México y Municipios</w:t>
      </w:r>
    </w:p>
    <w:p w14:paraId="2C49AA04" w14:textId="77777777" w:rsidR="00BF7F97" w:rsidRDefault="00243AE8">
      <w:pPr>
        <w:pBdr>
          <w:top w:val="nil"/>
          <w:left w:val="nil"/>
          <w:bottom w:val="nil"/>
          <w:right w:val="nil"/>
          <w:between w:val="nil"/>
        </w:pBdr>
        <w:spacing w:before="120" w:after="120"/>
        <w:ind w:left="851" w:right="902"/>
        <w:jc w:val="both"/>
      </w:pPr>
      <w:r>
        <w:rPr>
          <w:rFonts w:ascii="Palatino Linotype" w:eastAsia="Palatino Linotype" w:hAnsi="Palatino Linotype" w:cs="Palatino Linotype"/>
          <w:b/>
          <w:i/>
          <w:sz w:val="22"/>
          <w:szCs w:val="22"/>
        </w:rPr>
        <w:t>“Artículo 195.-</w:t>
      </w:r>
      <w:r>
        <w:rPr>
          <w:rFonts w:ascii="Palatino Linotype" w:eastAsia="Palatino Linotype" w:hAnsi="Palatino Linotype" w:cs="Palatino Linotype"/>
          <w:i/>
          <w:sz w:val="22"/>
          <w:szCs w:val="22"/>
        </w:rPr>
        <w:t xml:space="preserve"> En la tramitación del recurso de revisión se aplicará supletoriamente las disposiciones contenidas en el Código de Procedimientos Administrativos del Estado de México.”</w:t>
      </w:r>
    </w:p>
    <w:p w14:paraId="210C2243"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8. Manifestaciones. </w:t>
      </w:r>
      <w:r>
        <w:rPr>
          <w:rFonts w:ascii="Palatino Linotype" w:eastAsia="Palatino Linotype" w:hAnsi="Palatino Linotype" w:cs="Palatino Linotype"/>
        </w:rPr>
        <w:t xml:space="preserve">De las constancias que obran en los expedientes electrónicos del SAIMEX se desprende que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omitió realizar manifestaciones.</w:t>
      </w:r>
    </w:p>
    <w:p w14:paraId="698B30C4"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su parte el </w:t>
      </w:r>
      <w:r>
        <w:rPr>
          <w:rFonts w:ascii="Palatino Linotype" w:eastAsia="Palatino Linotype" w:hAnsi="Palatino Linotype" w:cs="Palatino Linotype"/>
          <w:b/>
        </w:rPr>
        <w:t>SUJETO OBLIGADO</w:t>
      </w:r>
      <w:r>
        <w:rPr>
          <w:rFonts w:ascii="Palatino Linotype" w:eastAsia="Palatino Linotype" w:hAnsi="Palatino Linotype" w:cs="Palatino Linotype"/>
        </w:rPr>
        <w:t>, en fecha quince de agosto del año 2022, en los tres recursos de revisión, remitió su informe justificado, a través de los cual en lo medular confirmó sus respuestas iniciales.</w:t>
      </w:r>
    </w:p>
    <w:p w14:paraId="1BDAB389"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9. Ampliación del término para resolver</w:t>
      </w:r>
      <w:r>
        <w:rPr>
          <w:rFonts w:ascii="Palatino Linotype" w:eastAsia="Palatino Linotype" w:hAnsi="Palatino Linotype" w:cs="Palatino Linotype"/>
        </w:rPr>
        <w:t xml:space="preserve">. En fecha </w:t>
      </w:r>
      <w:r>
        <w:rPr>
          <w:rFonts w:ascii="Palatino Linotype" w:eastAsia="Palatino Linotype" w:hAnsi="Palatino Linotype" w:cs="Palatino Linotype"/>
          <w:b/>
        </w:rPr>
        <w:t>cinco de octubre de dos mil veintidós</w:t>
      </w:r>
      <w:r>
        <w:rPr>
          <w:rFonts w:ascii="Palatino Linotype" w:eastAsia="Palatino Linotype" w:hAnsi="Palatino Linotype" w:cs="Palatino Linotype"/>
        </w:rPr>
        <w:t>, se amplió el término para resolver los recursos de revisión</w:t>
      </w:r>
      <w:r>
        <w:rPr>
          <w:rFonts w:ascii="Palatino Linotype" w:eastAsia="Palatino Linotype" w:hAnsi="Palatino Linotype" w:cs="Palatino Linotype"/>
          <w:color w:val="FF0000"/>
        </w:rPr>
        <w:t xml:space="preserve"> </w:t>
      </w:r>
      <w:r>
        <w:rPr>
          <w:rFonts w:ascii="Palatino Linotype" w:eastAsia="Palatino Linotype" w:hAnsi="Palatino Linotype" w:cs="Palatino Linotype"/>
        </w:rPr>
        <w:t>en términos del artículo 181 párrafo tercero de la Ley de Transparencia y Acceso a la Información Pública del Estado de México y Municipios.</w:t>
      </w:r>
    </w:p>
    <w:p w14:paraId="30264A90"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en el año dos mil veintidós, que, en comparación con los recibidos en el año dos mil veintiuno, se incrementó aproximadamente un 300%, circunstancia atípica que ha rebasado las capacidades técnicas y humanas del personal encargado de la proyección de las resoluciones a dichos medios de impugnación.</w:t>
      </w:r>
    </w:p>
    <w:p w14:paraId="48074E34"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Por ello, es menester precisar </w:t>
      </w:r>
      <w:proofErr w:type="gramStart"/>
      <w:r>
        <w:rPr>
          <w:rFonts w:ascii="Palatino Linotype" w:eastAsia="Palatino Linotype" w:hAnsi="Palatino Linotype" w:cs="Palatino Linotype"/>
        </w:rPr>
        <w:t>que</w:t>
      </w:r>
      <w:proofErr w:type="gramEnd"/>
      <w:r>
        <w:rPr>
          <w:rFonts w:ascii="Palatino Linotype" w:eastAsia="Palatino Linotype" w:hAnsi="Palatino Linotype" w:cs="Palatino Linotype"/>
        </w:rPr>
        <w:t xml:space="preserv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5B4FFD33"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26B18557"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03551F18" w14:textId="77777777" w:rsidR="00BF7F97" w:rsidRDefault="00243AE8">
      <w:pPr>
        <w:spacing w:before="240" w:after="240" w:line="360" w:lineRule="auto"/>
        <w:jc w:val="both"/>
        <w:rPr>
          <w:rFonts w:ascii="Palatino Linotype" w:eastAsia="Palatino Linotype" w:hAnsi="Palatino Linotype" w:cs="Palatino Linotype"/>
          <w:strike/>
        </w:rPr>
      </w:pPr>
      <w:r>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73968FF1" w14:textId="77777777" w:rsidR="00BF7F97" w:rsidRDefault="00243AE8">
      <w:pPr>
        <w:numPr>
          <w:ilvl w:val="0"/>
          <w:numId w:val="1"/>
        </w:numPr>
        <w:tabs>
          <w:tab w:val="left" w:pos="993"/>
        </w:tabs>
        <w:spacing w:before="240" w:after="24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14:paraId="721D018B" w14:textId="77777777" w:rsidR="00BF7F97" w:rsidRDefault="00243AE8">
      <w:pPr>
        <w:numPr>
          <w:ilvl w:val="0"/>
          <w:numId w:val="1"/>
        </w:numPr>
        <w:tabs>
          <w:tab w:val="left" w:pos="993"/>
        </w:tabs>
        <w:spacing w:before="240" w:after="24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t>Actividad Procesal del interesado. Acciones u omisiones del interesado.</w:t>
      </w:r>
    </w:p>
    <w:p w14:paraId="5DD11F1D" w14:textId="77777777" w:rsidR="00BF7F97" w:rsidRDefault="00243AE8">
      <w:pPr>
        <w:numPr>
          <w:ilvl w:val="0"/>
          <w:numId w:val="1"/>
        </w:numPr>
        <w:tabs>
          <w:tab w:val="left" w:pos="993"/>
        </w:tabs>
        <w:spacing w:before="240" w:after="24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lastRenderedPageBreak/>
        <w:t>Conducta de la Autoridad: Las Acciones u omisiones realizadas en el procedimiento. Así como si la autoridad actuó con la debida diligencia.</w:t>
      </w:r>
    </w:p>
    <w:p w14:paraId="3AA391D9" w14:textId="77777777" w:rsidR="00BF7F97" w:rsidRDefault="00243AE8">
      <w:pPr>
        <w:numPr>
          <w:ilvl w:val="0"/>
          <w:numId w:val="1"/>
        </w:numPr>
        <w:tabs>
          <w:tab w:val="left" w:pos="993"/>
        </w:tabs>
        <w:spacing w:before="240" w:after="24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t>La afectación generada en la situación jurídica de la persona involucrada en el proceso: Violación a sus derechos humanos.</w:t>
      </w:r>
    </w:p>
    <w:p w14:paraId="301F0468"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30F8C3B4" w14:textId="77777777" w:rsidR="00BF7F97" w:rsidRDefault="00243AE8">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Pr>
          <w:rFonts w:ascii="Palatino Linotype" w:eastAsia="Palatino Linotype" w:hAnsi="Palatino Linotype" w:cs="Palatino Linotype"/>
        </w:rPr>
        <w:t>, visible en la Gaceta del Seminario Judicial de la Federación con el registro digital 205635.</w:t>
      </w:r>
    </w:p>
    <w:p w14:paraId="52789387"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w:t>
      </w:r>
      <w:r>
        <w:rPr>
          <w:rFonts w:ascii="Palatino Linotype" w:eastAsia="Palatino Linotype" w:hAnsi="Palatino Linotype" w:cs="Palatino Linotype"/>
        </w:rPr>
        <w:lastRenderedPageBreak/>
        <w:t>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76C0724A"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4FED6F54" w14:textId="77777777" w:rsidR="00BF7F97" w:rsidRDefault="00243AE8">
      <w:pPr>
        <w:spacing w:before="240" w:after="240"/>
        <w:ind w:left="851" w:right="900"/>
        <w:jc w:val="both"/>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b/>
          <w:i/>
          <w:sz w:val="22"/>
          <w:szCs w:val="22"/>
        </w:rPr>
        <w:t>“PLAZO RAZONABLE PARA RESOLVER. DIMENSIÓN Y EFECTOS DE ESTE CONCEPTO CUANDO SE ADUCE EXCESIVA CARGA DE TRABAJO</w:t>
      </w:r>
      <w:r>
        <w:rPr>
          <w:rFonts w:ascii="Palatino Linotype" w:eastAsia="Palatino Linotype" w:hAnsi="Palatino Linotype" w:cs="Palatino Linotype"/>
          <w:i/>
          <w:sz w:val="22"/>
          <w:szCs w:val="22"/>
        </w:rPr>
        <w:t>.”</w:t>
      </w:r>
      <w:r>
        <w:rPr>
          <w:rFonts w:ascii="Palatino Linotype" w:eastAsia="Palatino Linotype" w:hAnsi="Palatino Linotype" w:cs="Palatino Linotype"/>
          <w:sz w:val="22"/>
          <w:szCs w:val="22"/>
        </w:rPr>
        <w:t xml:space="preserve"> consultable en el Seminario Judicial de la Federación y su gaceta, con el registro digital 2002351.</w:t>
      </w:r>
    </w:p>
    <w:p w14:paraId="62D4B976" w14:textId="77777777" w:rsidR="00BF7F97" w:rsidRDefault="00243AE8">
      <w:pPr>
        <w:spacing w:before="240" w:after="240"/>
        <w:ind w:left="851" w:right="900"/>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“PLAZO RAZONABLE PARA RESOLVER. CONCEPTO Y ELEMENTOS QUE LO INTEGRAN A LA LUZ DEL DERECHO INTERNACIONAL DE LOS DERECHOS HUMANOS.”</w:t>
      </w:r>
      <w:r>
        <w:rPr>
          <w:rFonts w:ascii="Palatino Linotype" w:eastAsia="Palatino Linotype" w:hAnsi="Palatino Linotype" w:cs="Palatino Linotype"/>
          <w:sz w:val="22"/>
          <w:szCs w:val="22"/>
        </w:rPr>
        <w:t>, visible en el Seminario Judicial de la Federación y su gaceta, con el registro digital 2002350.</w:t>
      </w:r>
    </w:p>
    <w:p w14:paraId="15DBDCCE"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14:paraId="2EB284C2"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10. Cierre de Instrucción. </w:t>
      </w:r>
      <w:r>
        <w:rPr>
          <w:rFonts w:ascii="Palatino Linotype" w:eastAsia="Palatino Linotype" w:hAnsi="Palatino Linotype" w:cs="Palatino Linotype"/>
        </w:rPr>
        <w:t xml:space="preserve">En fechas </w:t>
      </w:r>
      <w:r>
        <w:rPr>
          <w:rFonts w:ascii="Palatino Linotype" w:eastAsia="Palatino Linotype" w:hAnsi="Palatino Linotype" w:cs="Palatino Linotype"/>
          <w:b/>
        </w:rPr>
        <w:t>dieciséis y diecisiete de mayo de dos mil veintidós</w:t>
      </w:r>
      <w:r>
        <w:rPr>
          <w:rFonts w:ascii="Palatino Linotype" w:eastAsia="Palatino Linotype" w:hAnsi="Palatino Linotype" w:cs="Palatino Linotype"/>
        </w:rPr>
        <w:t xml:space="preserve">, con fundamento en lo establecido en los artículos 185, fracción VI de la Ley de Transparencia y Acceso a la Información Pública del Estado de México y </w:t>
      </w:r>
      <w:r>
        <w:rPr>
          <w:rFonts w:ascii="Palatino Linotype" w:eastAsia="Palatino Linotype" w:hAnsi="Palatino Linotype" w:cs="Palatino Linotype"/>
        </w:rPr>
        <w:lastRenderedPageBreak/>
        <w:t>Municipios y 30, fracción IV del Reglamento Interior del Instituto de Transparencia, Acceso a la Información Pública y Protección de Datos Personales del Estado de México y Municipios, al no existir trámite pendiente por realizar y haber sido sustanciados los medios de impugnación se acordó el cierre de instrucción y se procede a formular la resolución que en derecho corresponda.</w:t>
      </w:r>
    </w:p>
    <w:p w14:paraId="119BC99E"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razón de que fueron debidamente sustanciados los expedientes electrónicos y no existe diligencia pendiente de desahogo, se emite la Resolución que conforme a Derecho proceda, de acuerdo con los siguientes: </w:t>
      </w:r>
    </w:p>
    <w:p w14:paraId="20925C49" w14:textId="77777777" w:rsidR="00BF7F97" w:rsidRDefault="00243AE8">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 C O N S I D E R A N D O S:</w:t>
      </w:r>
    </w:p>
    <w:p w14:paraId="29EB249A"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los presentes recursos de revisión interpuestos por la parte </w:t>
      </w:r>
      <w:r>
        <w:rPr>
          <w:rFonts w:ascii="Palatino Linotype" w:eastAsia="Palatino Linotype" w:hAnsi="Palatino Linotype" w:cs="Palatino Linotype"/>
          <w:b/>
        </w:rPr>
        <w:t>Recurrente</w:t>
      </w:r>
      <w:r>
        <w:rPr>
          <w:rFonts w:ascii="Palatino Linotype" w:eastAsia="Palatino Linotype" w:hAnsi="Palatino Linotype" w:cs="Palatino Linotype"/>
        </w:rPr>
        <w:t>,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XXIII y 11 del Reglamento Interior del Instituto de Transparencia, Acceso a la Información Pública y Protección de Datos Personales del Estado de México y Municipios.</w:t>
      </w:r>
    </w:p>
    <w:p w14:paraId="3CE7F7BF"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Segundo. Oportunidad y Procedibilidad del Recurso de Revisión</w:t>
      </w:r>
      <w:r>
        <w:rPr>
          <w:rFonts w:ascii="Palatino Linotype" w:eastAsia="Palatino Linotype" w:hAnsi="Palatino Linotype" w:cs="Palatino Linotype"/>
        </w:rPr>
        <w:t>. Previo al estudio del fondo del asunto, se procede a analizar los requisitos de oportunidad y procedibilidad que deben reunir los recursos de revisión interpuestos, previstos en los artículos 178 y 180 de la Ley de Transparencia y Acceso a la Información Pública del Estado de México y Municipios.</w:t>
      </w:r>
    </w:p>
    <w:p w14:paraId="2A181F06"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Los recursos de revisión fueron interpuestos dentro del plazo de quince días hábiles, previsto en el artículo 178 de la Ley de Transparencia y Acceso a la Información Pública del Estado de México y Municipios, toda vez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remitió la respuesta a las solicitudes de información el día </w:t>
      </w:r>
      <w:r>
        <w:rPr>
          <w:rFonts w:ascii="Palatino Linotype" w:eastAsia="Palatino Linotype" w:hAnsi="Palatino Linotype" w:cs="Palatino Linotype"/>
          <w:b/>
        </w:rPr>
        <w:t xml:space="preserve">trece de julio de dos mil veintidós, </w:t>
      </w:r>
      <w:r>
        <w:rPr>
          <w:rFonts w:ascii="Palatino Linotype" w:eastAsia="Palatino Linotype" w:hAnsi="Palatino Linotype" w:cs="Palatino Linotype"/>
        </w:rPr>
        <w:t xml:space="preserve">mientras que los recursos de revisión interpuestos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se tuvieron por presentados el día </w:t>
      </w:r>
      <w:r>
        <w:rPr>
          <w:rFonts w:ascii="Palatino Linotype" w:eastAsia="Palatino Linotype" w:hAnsi="Palatino Linotype" w:cs="Palatino Linotype"/>
          <w:b/>
        </w:rPr>
        <w:t>veintisiete de julio  de dos mil veintidós</w:t>
      </w:r>
      <w:r>
        <w:rPr>
          <w:rFonts w:ascii="Palatino Linotype" w:eastAsia="Palatino Linotype" w:hAnsi="Palatino Linotype" w:cs="Palatino Linotype"/>
        </w:rPr>
        <w:t>, esto es, al tercer día  hábil posterior en que tuvo conocimiento de las respuestas impugnadas, respectivamente.</w:t>
      </w:r>
    </w:p>
    <w:p w14:paraId="7A6AEB57" w14:textId="77777777" w:rsidR="00BF7F97" w:rsidRDefault="00243AE8">
      <w:pPr>
        <w:spacing w:after="16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No se omite comentar, que si bien es cierto que los recursos de revisión fueron ingresados a través del sistema SAIMEX, el día veintisiete de julio del año dos mil veintidós; sin embargo, dicho día correspondió a un día inhábil porque estaba transcurriendo el primer periodo vacacional de este Instituto, en términos del calendario oficial de esta Organismo Garante el cual puede ser consultado en la siguiente liga electrónica para mayor referencia https://www.infoem.org.mx/doc/publicaciones/calendarioOficial_2022.pdf; es por ello, que se tuvieron por presentadas las inconformidades hasta el primero de agosto </w:t>
      </w:r>
      <w:r>
        <w:rPr>
          <w:rFonts w:ascii="Palatino Linotype" w:eastAsia="Palatino Linotype" w:hAnsi="Palatino Linotype" w:cs="Palatino Linotype"/>
        </w:rPr>
        <w:lastRenderedPageBreak/>
        <w:t xml:space="preserve">del año dos mil veintidós, día que se retomaron las actividades laborales de este Organismo Garante.  </w:t>
      </w:r>
    </w:p>
    <w:p w14:paraId="72D3515A"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este sentido, se concluye que los presentes recursos de revisión se encuentran dentro de los márgenes temporales previstos las disposiciones legales referidas.</w:t>
      </w:r>
    </w:p>
    <w:p w14:paraId="2FE4E780"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Al mismo tiempo, por cuanto hace a la procedibilidad de los recursos de revisión, una vez realizado el análisis de los formatos de interposición de los recursos, se concluye la acreditación plena de los elementos formales precisados por el artículo 180 de la Ley de Transparencia y Acceso a la Información Pública del Estado de México y Municipios, en atención a que fueron presentados mediante el formato visible en el SAIMEX.</w:t>
      </w:r>
    </w:p>
    <w:p w14:paraId="7B91F270"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 efecto de sustentar lo anterior, es de suma importancia mencionar que si bien la persona solicitante </w:t>
      </w:r>
      <w:r>
        <w:rPr>
          <w:rFonts w:ascii="Palatino Linotype" w:eastAsia="Palatino Linotype" w:hAnsi="Palatino Linotype" w:cs="Palatino Linotype"/>
          <w:b/>
        </w:rPr>
        <w:t xml:space="preserve">no proporcionó nombre o seudónimo </w:t>
      </w:r>
      <w:r>
        <w:rPr>
          <w:rFonts w:ascii="Palatino Linotype" w:eastAsia="Palatino Linotype" w:hAnsi="Palatino Linotype" w:cs="Palatino Linotype"/>
        </w:rPr>
        <w:t>como se advierte en el detalle de seguimiento del SAIMEX, sin embargo, el no proporcionar un nombre completo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290EA3D5" w14:textId="77777777" w:rsidR="00BF7F97" w:rsidRDefault="00243AE8">
      <w:pPr>
        <w:spacing w:before="120" w:after="120"/>
        <w:ind w:left="851" w:right="902"/>
        <w:jc w:val="both"/>
        <w:rPr>
          <w:rFonts w:ascii="Palatino Linotype" w:eastAsia="Palatino Linotype" w:hAnsi="Palatino Linotype" w:cs="Palatino Linotype"/>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Las solicitudes anónimas</w:t>
      </w:r>
      <w:r>
        <w:rPr>
          <w:rFonts w:ascii="Palatino Linotype" w:eastAsia="Palatino Linotype" w:hAnsi="Palatino Linotype" w:cs="Palatino Linotype"/>
          <w:i/>
          <w:sz w:val="22"/>
          <w:szCs w:val="22"/>
        </w:rPr>
        <w:t xml:space="preserve">, con nombre incompleto o seudónimo </w:t>
      </w:r>
      <w:r>
        <w:rPr>
          <w:rFonts w:ascii="Palatino Linotype" w:eastAsia="Palatino Linotype" w:hAnsi="Palatino Linotype" w:cs="Palatino Linotype"/>
          <w:b/>
          <w:i/>
          <w:sz w:val="22"/>
          <w:szCs w:val="22"/>
        </w:rPr>
        <w:t>serán procedentes para su trámite por parte del sujeto obligado ante quien se presente</w:t>
      </w:r>
      <w:r>
        <w:rPr>
          <w:rFonts w:ascii="Palatino Linotype" w:eastAsia="Palatino Linotype" w:hAnsi="Palatino Linotype" w:cs="Palatino Linotype"/>
          <w:i/>
          <w:sz w:val="22"/>
          <w:szCs w:val="22"/>
        </w:rPr>
        <w:t>. No podrá requerirse información adicional con motivo del nombre proporcionado por el solicitante."</w:t>
      </w:r>
    </w:p>
    <w:p w14:paraId="31AFE0A5"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En el mismo tenor, el propio artículo 180 de la Ley de Transparencia local citado, en su último párrafo establece que cuando el recurso se interponga de manera electrónica, no será indispensable que contenga determinados requisitos, entre ellos, el nombre de la parte </w:t>
      </w:r>
      <w:r>
        <w:rPr>
          <w:rFonts w:ascii="Palatino Linotype" w:eastAsia="Palatino Linotype" w:hAnsi="Palatino Linotype" w:cs="Palatino Linotype"/>
          <w:b/>
        </w:rPr>
        <w:t>RECURRENTE</w:t>
      </w:r>
      <w:r>
        <w:rPr>
          <w:rFonts w:ascii="Palatino Linotype" w:eastAsia="Palatino Linotype" w:hAnsi="Palatino Linotype" w:cs="Palatino Linotype"/>
        </w:rPr>
        <w:t>, por lo que, en el presente caso, al haber sido presentado el recurso de revisión vía SAIMEX, dicho requisito resulta innecesario.</w:t>
      </w:r>
    </w:p>
    <w:p w14:paraId="4349F19C"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Finalmente, se advierte que resulta procedente la interposición del recurso, según lo manifestado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sus motivos de inconformidad, de acuerdo al artículo 179, fracción V del ordenamiento legal citado, que a la letra dice: </w:t>
      </w:r>
    </w:p>
    <w:p w14:paraId="06C6B515" w14:textId="77777777" w:rsidR="00BF7F97" w:rsidRDefault="00243AE8">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179.</w:t>
      </w:r>
      <w:r>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101D9E14" w14:textId="77777777" w:rsidR="00BF7F97" w:rsidRDefault="00243AE8">
      <w:pPr>
        <w:spacing w:before="120" w:after="120"/>
        <w:ind w:left="1134"/>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5B4628A0" w14:textId="77777777" w:rsidR="00BF7F97" w:rsidRDefault="00243AE8">
      <w:pPr>
        <w:spacing w:before="120" w:after="120"/>
        <w:ind w:left="1134"/>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xml:space="preserve"> La entrega de información incompleta;”</w:t>
      </w:r>
    </w:p>
    <w:p w14:paraId="2D916748"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Tercero. Materia de la revisión. </w:t>
      </w:r>
      <w:r>
        <w:rPr>
          <w:rFonts w:ascii="Palatino Linotype" w:eastAsia="Palatino Linotype" w:hAnsi="Palatino Linotype" w:cs="Palatino Linotype"/>
        </w:rPr>
        <w:t xml:space="preserve">De la revisión a las constancias y documentos que obran en el expediente electrónico se advierte, que el tema sobre el que este Organismo Garante de Transparencia y Acceso a la Información se pronunciará será: </w:t>
      </w:r>
      <w:r>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Pr>
          <w:rFonts w:ascii="Palatino Linotype" w:eastAsia="Palatino Linotype" w:hAnsi="Palatino Linotype" w:cs="Palatino Linotype"/>
        </w:rPr>
        <w:t xml:space="preserve">de la parte </w:t>
      </w:r>
      <w:r>
        <w:rPr>
          <w:rFonts w:ascii="Palatino Linotype" w:eastAsia="Palatino Linotype" w:hAnsi="Palatino Linotype" w:cs="Palatino Linotype"/>
          <w:b/>
        </w:rPr>
        <w:t>RECURRENTE</w:t>
      </w:r>
      <w:r>
        <w:rPr>
          <w:rFonts w:ascii="Palatino Linotype" w:eastAsia="Palatino Linotype" w:hAnsi="Palatino Linotype" w:cs="Palatino Linotype"/>
        </w:rPr>
        <w:t>, o en su defecto, en caso de ser procedente, ordenar la entrega de información oportuna.</w:t>
      </w:r>
    </w:p>
    <w:p w14:paraId="3E33F0E0"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Estudio del asunto. </w:t>
      </w:r>
      <w:r>
        <w:rPr>
          <w:rFonts w:ascii="Palatino Linotype" w:eastAsia="Palatino Linotype" w:hAnsi="Palatino Linotype" w:cs="Palatino Linotype"/>
        </w:rPr>
        <w:t xml:space="preserve">Acotado lo anterior, tenemos en principio de cuentas que el artículo 6°, Apartado A), fracción I de la Constitución Política de los Estados Unidos Mexicanos, establece que toda la información en posesión de cualquier </w:t>
      </w:r>
      <w:r>
        <w:rPr>
          <w:rFonts w:ascii="Palatino Linotype" w:eastAsia="Palatino Linotype" w:hAnsi="Palatino Linotype" w:cs="Palatino Linotype"/>
        </w:rPr>
        <w:lastRenderedPageBreak/>
        <w:t xml:space="preserve">autoridad es pública y sólo podrá ser reservada temporalmente por razones de interés público. </w:t>
      </w:r>
    </w:p>
    <w:p w14:paraId="69AC924C"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su parte, en materia local, el artículo 5°, fracción I de la Constitución Política del Estado Libre y Soberano de México, es coincidente con la Constitución Federal, en el sentido de la publicidad de toda la información, con la única restricción de proteger el interés público, así como la información referente a la intimidad de la vida privada y la imagen de las personas, con las excepciones que establezca la ley reglamentaria.</w:t>
      </w:r>
    </w:p>
    <w:p w14:paraId="1C754E0B"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su parte, la Ley de Transparencia y Acceso a la Información Pública del Estado de México y Municipios (Reglamentaria del artículo 5° de la Constitución Local), establece lo siguiente:</w:t>
      </w:r>
    </w:p>
    <w:p w14:paraId="5B3FCD11" w14:textId="77777777" w:rsidR="00BF7F97" w:rsidRDefault="00243AE8">
      <w:pPr>
        <w:numPr>
          <w:ilvl w:val="0"/>
          <w:numId w:val="2"/>
        </w:numPr>
        <w:pBdr>
          <w:top w:val="nil"/>
          <w:left w:val="nil"/>
          <w:bottom w:val="nil"/>
          <w:right w:val="nil"/>
          <w:between w:val="nil"/>
        </w:pBdr>
        <w:spacing w:before="240" w:after="240" w:line="360" w:lineRule="auto"/>
        <w:ind w:left="426" w:firstLine="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El artículo </w:t>
      </w:r>
      <w:r>
        <w:rPr>
          <w:rFonts w:ascii="Palatino Linotype" w:eastAsia="Palatino Linotype" w:hAnsi="Palatino Linotype" w:cs="Palatino Linotype"/>
        </w:rPr>
        <w:t>12 dice que</w:t>
      </w:r>
      <w:r>
        <w:rPr>
          <w:rFonts w:ascii="Palatino Linotype" w:eastAsia="Palatino Linotype" w:hAnsi="Palatino Linotype" w:cs="Palatino Linotype"/>
          <w:color w:val="000000"/>
        </w:rPr>
        <w:t>, quienes generen, recopilen, administren, manejen, procesen, archiven o conserven información pública serán responsables de la misma.</w:t>
      </w:r>
    </w:p>
    <w:p w14:paraId="39AAF38C" w14:textId="77777777" w:rsidR="00BF7F97" w:rsidRDefault="00243AE8">
      <w:pPr>
        <w:numPr>
          <w:ilvl w:val="0"/>
          <w:numId w:val="2"/>
        </w:numPr>
        <w:pBdr>
          <w:top w:val="nil"/>
          <w:left w:val="nil"/>
          <w:bottom w:val="nil"/>
          <w:right w:val="nil"/>
          <w:between w:val="nil"/>
        </w:pBdr>
        <w:spacing w:before="240" w:after="240" w:line="360" w:lineRule="auto"/>
        <w:ind w:left="426" w:firstLine="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El artículo 18, que, los Sujetos Obligados deberán documentar todo acto que derive del ejercicio de sus facultades, competencias o funciones, considerando desde su origen la eventual publicidad y reutilización de la información que generen.</w:t>
      </w:r>
    </w:p>
    <w:p w14:paraId="6E4E0AB0" w14:textId="77777777" w:rsidR="00BF7F97" w:rsidRDefault="00243AE8">
      <w:pPr>
        <w:numPr>
          <w:ilvl w:val="0"/>
          <w:numId w:val="2"/>
        </w:numPr>
        <w:pBdr>
          <w:top w:val="nil"/>
          <w:left w:val="nil"/>
          <w:bottom w:val="nil"/>
          <w:right w:val="nil"/>
          <w:between w:val="nil"/>
        </w:pBdr>
        <w:spacing w:before="240" w:after="240" w:line="360" w:lineRule="auto"/>
        <w:ind w:left="426" w:firstLine="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El artículo 19, que, se presume que la información debe existir si se refiere a las facultades, competencias y funciones que los ordenamientos jurídicos aplicables otorgan a los sujetos Obligados y en caso de que dichas facultades no </w:t>
      </w:r>
      <w:r>
        <w:rPr>
          <w:rFonts w:ascii="Palatino Linotype" w:eastAsia="Palatino Linotype" w:hAnsi="Palatino Linotype" w:cs="Palatino Linotype"/>
          <w:color w:val="000000"/>
        </w:rPr>
        <w:lastRenderedPageBreak/>
        <w:t>se hayan ejercido, se deberá motivar la respuesta en función de las causas que motivaron tal circunstancia.</w:t>
      </w:r>
    </w:p>
    <w:p w14:paraId="42FCF10E"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esta lógica,  debe destacarse que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14:paraId="7CB88E4F" w14:textId="77777777" w:rsidR="00BF7F97" w:rsidRDefault="00243AE8">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3. </w:t>
      </w:r>
      <w:r>
        <w:rPr>
          <w:rFonts w:ascii="Palatino Linotype" w:eastAsia="Palatino Linotype" w:hAnsi="Palatino Linotype" w:cs="Palatino Linotype"/>
          <w:i/>
          <w:sz w:val="22"/>
          <w:szCs w:val="22"/>
        </w:rPr>
        <w:t>Para los efectos de la presente Ley se entenderá por:</w:t>
      </w:r>
    </w:p>
    <w:p w14:paraId="4F385FF0" w14:textId="77777777" w:rsidR="00BF7F97" w:rsidRDefault="00243AE8">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0C5621D" w14:textId="77777777" w:rsidR="00BF7F97" w:rsidRDefault="00243AE8">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XI. Documento:</w:t>
      </w:r>
      <w:r>
        <w:rPr>
          <w:rFonts w:ascii="Palatino Linotype" w:eastAsia="Palatino Linotype" w:hAnsi="Palatino Linotype" w:cs="Palatino Linotype"/>
          <w:i/>
          <w:sz w:val="22"/>
          <w:szCs w:val="22"/>
        </w:rPr>
        <w:t xml:space="preserve"> Los expedientes, reportes, estudios, actas</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14:paraId="6F51C9E6"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Siendo aplicable, el Criterio de interpretación en el orden administrativo número 0002-11, emitido por Acuerdo del Pleno del Instituto de Transparencia y Acceso a la Información Pública del Estado de México y Municipios; publicado en el Periódico </w:t>
      </w:r>
      <w:r>
        <w:rPr>
          <w:rFonts w:ascii="Palatino Linotype" w:eastAsia="Palatino Linotype" w:hAnsi="Palatino Linotype" w:cs="Palatino Linotype"/>
        </w:rPr>
        <w:lastRenderedPageBreak/>
        <w:t>Oficial del Gobierno del Estado Libre y Soberano de México “Gaceta del Gobierno”, el diecinueve de octubre de dos mil once, cuyo rubro y texto refieren lo siguiente:</w:t>
      </w:r>
    </w:p>
    <w:p w14:paraId="2FBB74D1" w14:textId="77777777" w:rsidR="00BF7F97" w:rsidRDefault="00243AE8">
      <w:pPr>
        <w:spacing w:before="120" w:after="120"/>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sz w:val="22"/>
          <w:szCs w:val="22"/>
        </w:rPr>
        <w:t>“</w:t>
      </w:r>
      <w:r>
        <w:rPr>
          <w:rFonts w:ascii="Palatino Linotype" w:eastAsia="Palatino Linotype" w:hAnsi="Palatino Linotype" w:cs="Palatino Linotype"/>
          <w:b/>
          <w:i/>
          <w:sz w:val="22"/>
          <w:szCs w:val="22"/>
        </w:rPr>
        <w:t>CRITERIO 0002-11</w:t>
      </w:r>
    </w:p>
    <w:p w14:paraId="457D3DEF" w14:textId="77777777" w:rsidR="00BF7F97" w:rsidRDefault="00243AE8">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70BDC2A7" w14:textId="77777777" w:rsidR="00BF7F97" w:rsidRDefault="00243AE8">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En </w:t>
      </w:r>
      <w:proofErr w:type="gramStart"/>
      <w:r>
        <w:rPr>
          <w:rFonts w:ascii="Palatino Linotype" w:eastAsia="Palatino Linotype" w:hAnsi="Palatino Linotype" w:cs="Palatino Linotype"/>
          <w:i/>
          <w:sz w:val="22"/>
          <w:szCs w:val="22"/>
        </w:rPr>
        <w:t>consecuencia</w:t>
      </w:r>
      <w:proofErr w:type="gramEnd"/>
      <w:r>
        <w:rPr>
          <w:rFonts w:ascii="Palatino Linotype" w:eastAsia="Palatino Linotype" w:hAnsi="Palatino Linotype" w:cs="Palatino Linotype"/>
          <w:i/>
          <w:sz w:val="22"/>
          <w:szCs w:val="22"/>
        </w:rPr>
        <w:t xml:space="preserve"> el acceso a la información se refiere a que se cumplan cualquiera de los siguientes tres supuestos:</w:t>
      </w:r>
    </w:p>
    <w:p w14:paraId="3AE16FCA" w14:textId="77777777" w:rsidR="00BF7F97" w:rsidRDefault="00243AE8">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 </w:t>
      </w:r>
      <w:r>
        <w:rPr>
          <w:rFonts w:ascii="Palatino Linotype" w:eastAsia="Palatino Linotype" w:hAnsi="Palatino Linotype" w:cs="Palatino Linotype"/>
          <w:b/>
          <w:i/>
          <w:sz w:val="22"/>
          <w:szCs w:val="22"/>
        </w:rPr>
        <w:t xml:space="preserve">Que se trate de información registrada en cualquier soporte documental, </w:t>
      </w:r>
      <w:proofErr w:type="gramStart"/>
      <w:r>
        <w:rPr>
          <w:rFonts w:ascii="Palatino Linotype" w:eastAsia="Palatino Linotype" w:hAnsi="Palatino Linotype" w:cs="Palatino Linotype"/>
          <w:b/>
          <w:i/>
          <w:sz w:val="22"/>
          <w:szCs w:val="22"/>
        </w:rPr>
        <w:t>que</w:t>
      </w:r>
      <w:proofErr w:type="gramEnd"/>
      <w:r>
        <w:rPr>
          <w:rFonts w:ascii="Palatino Linotype" w:eastAsia="Palatino Linotype" w:hAnsi="Palatino Linotype" w:cs="Palatino Linotype"/>
          <w:b/>
          <w:i/>
          <w:sz w:val="22"/>
          <w:szCs w:val="22"/>
        </w:rPr>
        <w:t xml:space="preserve"> en ejercicio de las atribuciones conferidas, sea generada por los Sujetos Obligados;</w:t>
      </w:r>
    </w:p>
    <w:p w14:paraId="758A5A3E" w14:textId="77777777" w:rsidR="00BF7F97" w:rsidRDefault="00243AE8">
      <w:pPr>
        <w:spacing w:before="120" w:after="120"/>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2) Que se trate de información registrada en cualquier soporte documental, </w:t>
      </w:r>
      <w:proofErr w:type="gramStart"/>
      <w:r>
        <w:rPr>
          <w:rFonts w:ascii="Palatino Linotype" w:eastAsia="Palatino Linotype" w:hAnsi="Palatino Linotype" w:cs="Palatino Linotype"/>
          <w:b/>
          <w:i/>
          <w:sz w:val="22"/>
          <w:szCs w:val="22"/>
        </w:rPr>
        <w:t>que</w:t>
      </w:r>
      <w:proofErr w:type="gramEnd"/>
      <w:r>
        <w:rPr>
          <w:rFonts w:ascii="Palatino Linotype" w:eastAsia="Palatino Linotype" w:hAnsi="Palatino Linotype" w:cs="Palatino Linotype"/>
          <w:b/>
          <w:i/>
          <w:sz w:val="22"/>
          <w:szCs w:val="22"/>
        </w:rPr>
        <w:t xml:space="preserve"> en ejercicio de las atribuciones conferidas, sea administrada por los Sujetos Obligados, y</w:t>
      </w:r>
    </w:p>
    <w:p w14:paraId="57B4EFC3" w14:textId="77777777" w:rsidR="00BF7F97" w:rsidRDefault="00243AE8">
      <w:pPr>
        <w:spacing w:before="120" w:after="120"/>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3) Que se trate de información registrada en cualquier soporte documental, </w:t>
      </w:r>
      <w:proofErr w:type="gramStart"/>
      <w:r>
        <w:rPr>
          <w:rFonts w:ascii="Palatino Linotype" w:eastAsia="Palatino Linotype" w:hAnsi="Palatino Linotype" w:cs="Palatino Linotype"/>
          <w:b/>
          <w:i/>
          <w:sz w:val="22"/>
          <w:szCs w:val="22"/>
        </w:rPr>
        <w:t>que</w:t>
      </w:r>
      <w:proofErr w:type="gramEnd"/>
      <w:r>
        <w:rPr>
          <w:rFonts w:ascii="Palatino Linotype" w:eastAsia="Palatino Linotype" w:hAnsi="Palatino Linotype" w:cs="Palatino Linotype"/>
          <w:b/>
          <w:i/>
          <w:sz w:val="22"/>
          <w:szCs w:val="22"/>
        </w:rPr>
        <w:t xml:space="preserve"> en ejercicio de las atribuciones conferidas, se encuentre en posesión de los Sujetos Obligados.” </w:t>
      </w:r>
    </w:p>
    <w:p w14:paraId="535EF3C4" w14:textId="77777777" w:rsidR="00BF7F97" w:rsidRDefault="00243AE8">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ahí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cuenta con el deber de satisfacer las solicitudes de acceso a la información que le sean formuladas y entregar la información pública que obre en sus archivos pudiendo ser de manera electrónica; más aún si la misma se trata de información relativa a obligaciones de transparencia, la cual se relaciona con aquella que se genere de acuerdo con sus facultades, atribuciones y obligaciones </w:t>
      </w:r>
      <w:r>
        <w:rPr>
          <w:rFonts w:ascii="Palatino Linotype" w:eastAsia="Palatino Linotype" w:hAnsi="Palatino Linotype" w:cs="Palatino Linotype"/>
        </w:rPr>
        <w:lastRenderedPageBreak/>
        <w:t>señaladas por la Ley en la materia</w:t>
      </w:r>
      <w:r>
        <w:rPr>
          <w:rFonts w:ascii="Palatino Linotype" w:eastAsia="Palatino Linotype" w:hAnsi="Palatino Linotype" w:cs="Palatino Linotype"/>
          <w:vertAlign w:val="superscript"/>
        </w:rPr>
        <w:footnoteReference w:id="1"/>
      </w:r>
      <w:r>
        <w:rPr>
          <w:rFonts w:ascii="Palatino Linotype" w:eastAsia="Palatino Linotype" w:hAnsi="Palatino Linotype" w:cs="Palatino Linotype"/>
        </w:rPr>
        <w:t>, así como de interés público, es decir, aquella que resulta relevante o beneficiosa para la sociedad y no simplemente de interés individual, y cuya divulgación resulta útil para que el público comprenda las actividades que llevan a cabo los Sujetos Obligados</w:t>
      </w:r>
      <w:r>
        <w:rPr>
          <w:rFonts w:ascii="Palatino Linotype" w:eastAsia="Palatino Linotype" w:hAnsi="Palatino Linotype" w:cs="Palatino Linotype"/>
          <w:vertAlign w:val="superscript"/>
        </w:rPr>
        <w:footnoteReference w:id="2"/>
      </w:r>
      <w:r>
        <w:rPr>
          <w:rFonts w:ascii="Palatino Linotype" w:eastAsia="Palatino Linotype" w:hAnsi="Palatino Linotype" w:cs="Palatino Linotype"/>
        </w:rPr>
        <w:t>, como pudiera tratarse de aquella relacionada con las obligaciones de transparencia señaladas en los artículos 92 y 94 de la Ley de la Materia.</w:t>
      </w:r>
    </w:p>
    <w:p w14:paraId="7CBA7D91"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del análisis de las solicitudes de información motivo de los recursos de revisión que ahora se resuelven, se advierte que el particular requirió a la </w:t>
      </w:r>
      <w:r>
        <w:rPr>
          <w:rFonts w:ascii="Palatino Linotype" w:eastAsia="Palatino Linotype" w:hAnsi="Palatino Linotype" w:cs="Palatino Linotype"/>
          <w:b/>
        </w:rPr>
        <w:t>Secretaría de Desarrollo Social,</w:t>
      </w:r>
      <w:r>
        <w:rPr>
          <w:rFonts w:ascii="Palatino Linotype" w:eastAsia="Palatino Linotype" w:hAnsi="Palatino Linotype" w:cs="Palatino Linotype"/>
        </w:rPr>
        <w:t xml:space="preserve"> lo siguiente:</w:t>
      </w:r>
    </w:p>
    <w:p w14:paraId="19701BF0" w14:textId="77777777" w:rsidR="00BF7F97" w:rsidRDefault="00243AE8">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El Plan de Trabajo del Sistema de Gestión de Protección de Datos Personales de esta Dependencia, correspondiente al ejercicio 2019 a 2022, </w:t>
      </w:r>
    </w:p>
    <w:p w14:paraId="7CEC8E31"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Los documentos y/</w:t>
      </w:r>
      <w:proofErr w:type="spellStart"/>
      <w:r>
        <w:rPr>
          <w:rFonts w:ascii="Palatino Linotype" w:eastAsia="Palatino Linotype" w:hAnsi="Palatino Linotype" w:cs="Palatino Linotype"/>
        </w:rPr>
        <w:t>o</w:t>
      </w:r>
      <w:proofErr w:type="spellEnd"/>
      <w:r>
        <w:rPr>
          <w:rFonts w:ascii="Palatino Linotype" w:eastAsia="Palatino Linotype" w:hAnsi="Palatino Linotype" w:cs="Palatino Linotype"/>
        </w:rPr>
        <w:t xml:space="preserve"> oficios generados y recibidos por la Unidad de Transparencia conforme al siguiente orden: </w:t>
      </w:r>
    </w:p>
    <w:p w14:paraId="1A17DCFF" w14:textId="77777777" w:rsidR="00BF7F97" w:rsidRDefault="00243AE8">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Designación de los Administradores de Bases de Datos.</w:t>
      </w:r>
    </w:p>
    <w:p w14:paraId="2085EB65" w14:textId="77777777" w:rsidR="00BF7F97" w:rsidRDefault="00243AE8">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Actualización de Avisos de Privacidad.</w:t>
      </w:r>
    </w:p>
    <w:p w14:paraId="4CA4437A" w14:textId="77777777" w:rsidR="00BF7F97" w:rsidRDefault="00243AE8">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Supervisión a las bases de datos documentales o electrónicas para establecer medidas de seguridad.</w:t>
      </w:r>
    </w:p>
    <w:p w14:paraId="54BD8B97" w14:textId="77777777" w:rsidR="00BF7F97" w:rsidRDefault="00243AE8">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Establecer bitácora de violaciones a la seguridad de las bases de datos documentales o electrónicas.</w:t>
      </w:r>
    </w:p>
    <w:p w14:paraId="06A10BC2" w14:textId="77777777" w:rsidR="00BF7F97" w:rsidRDefault="00243AE8">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Establecer el Plan de contingencia con las Unidades Administrativas y Actualización de bases de datos.</w:t>
      </w:r>
    </w:p>
    <w:p w14:paraId="6B4CB42B" w14:textId="77777777" w:rsidR="00BF7F97" w:rsidRDefault="00243AE8">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El inventario de las bases de datos.</w:t>
      </w:r>
    </w:p>
    <w:p w14:paraId="78A8B347" w14:textId="77777777" w:rsidR="00BF7F97" w:rsidRDefault="00243AE8">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Documentos de Gestión de seguridad.</w:t>
      </w:r>
    </w:p>
    <w:p w14:paraId="7AF2AD17" w14:textId="77777777" w:rsidR="00BF7F97" w:rsidRDefault="00243AE8">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Documentos de seguridad de la dependencia.</w:t>
      </w:r>
    </w:p>
    <w:p w14:paraId="4AE746C3"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su parte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emitió sus respuestas a través de los siguientes archivos electrónicos:</w:t>
      </w:r>
    </w:p>
    <w:p w14:paraId="259286FA"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36">
        <w:r>
          <w:rPr>
            <w:rFonts w:ascii="Palatino Linotype" w:eastAsia="Palatino Linotype" w:hAnsi="Palatino Linotype" w:cs="Palatino Linotype"/>
          </w:rPr>
          <w:t>ANEXO 1 - OFICIOS ADMINISTRADORES - 2022.pdf</w:t>
        </w:r>
      </w:hyperlink>
      <w:r>
        <w:rPr>
          <w:rFonts w:ascii="Palatino Linotype" w:eastAsia="Palatino Linotype" w:hAnsi="Palatino Linotype" w:cs="Palatino Linotype"/>
        </w:rPr>
        <w:t xml:space="preserve">”, el cual contiene 10 oficios por medio del cual la Secretaría de Desarrollo Social, designó al Director de Administración de Personal de la Coordinación de Administración y Finanzas,  Directora General de Programas Sociales Estratégicos, Subdirectora de Recursos Materiales de la de la Coordinación de Administración y Finanzas y Director General de Bienestar Social y Fortalecimiento Familiar, para administrar la base de datos personales de los “expedientes de los servidores públicos de la Secretaría de Desarrollo Social”, “programa de desarrollo social familias fuertes salario rosa”, “sistema de registro a proveedores SIREPRO”, “programa de desarrollo social por </w:t>
      </w:r>
      <w:r>
        <w:rPr>
          <w:rFonts w:ascii="Palatino Linotype" w:eastAsia="Palatino Linotype" w:hAnsi="Palatino Linotype" w:cs="Palatino Linotype"/>
        </w:rPr>
        <w:lastRenderedPageBreak/>
        <w:t>una infancia en grande”, “programa de desarrollo social familias fuertes canasta EDOMEX”, “programa de desarrollo social seguridad alimentaria del Estado de México”, “programa de desarrollo social por mi comunidad”, “programa de desarrollo social salud visual en el Estado de México”, programa de desarrollo social De la mano con papá”, “programa de desarrollo social familias fuertes apoyo a personas adultas mayores”, respectivamente.</w:t>
      </w:r>
    </w:p>
    <w:p w14:paraId="0150DA06"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37">
        <w:r>
          <w:rPr>
            <w:rFonts w:ascii="Palatino Linotype" w:eastAsia="Palatino Linotype" w:hAnsi="Palatino Linotype" w:cs="Palatino Linotype"/>
          </w:rPr>
          <w:t>RESOLUTIVO.pdf</w:t>
        </w:r>
      </w:hyperlink>
      <w:r>
        <w:rPr>
          <w:rFonts w:ascii="Palatino Linotype" w:eastAsia="Palatino Linotype" w:hAnsi="Palatino Linotype" w:cs="Palatino Linotype"/>
        </w:rPr>
        <w:t>”; el cual contiene el acuerdo del Comité de Transparencia de la Secretaría de Desarrollo Social, número CTSDS-EXT-019-2022, por medio del cual se aprueba la propuesta de clasificación en su totalidad en los documentos denominados “Plan de Trabajo del Sistema de Gestión de Protección de Datos Personales” de los ejercicios 2019, 2020, 2021 y 2022, “Gestión de Seguridad” y “Seguridad”, con corte al 30 de junio del 2022 de la Secretaría de Desarrollo Social.</w:t>
      </w:r>
    </w:p>
    <w:p w14:paraId="15C8CA4F"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38">
        <w:r>
          <w:rPr>
            <w:rFonts w:ascii="Palatino Linotype" w:eastAsia="Palatino Linotype" w:hAnsi="Palatino Linotype" w:cs="Palatino Linotype"/>
          </w:rPr>
          <w:t>ANEXO 3 - BITACORA DE INCIDENCIAS DOCUMENTALES.pdf</w:t>
        </w:r>
      </w:hyperlink>
      <w:r>
        <w:rPr>
          <w:rFonts w:ascii="Palatino Linotype" w:eastAsia="Palatino Linotype" w:hAnsi="Palatino Linotype" w:cs="Palatino Linotype"/>
        </w:rPr>
        <w:t>”, el cual contiene el formato de la bitácora de incidencias de la Base de datos personales documentales del ejercicio 2022, respecto de los “expedientes de los servidores públicos de la Secretaría de Desarrollo Social”, “programa de desarrollo social familias fuertes salario rosa” y “programa de desarrollo social familias fuertes apoyo a personas adultas mayores”</w:t>
      </w:r>
    </w:p>
    <w:p w14:paraId="53060008"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w:t>
      </w:r>
      <w:hyperlink r:id="rId39">
        <w:r>
          <w:rPr>
            <w:rFonts w:ascii="Palatino Linotype" w:eastAsia="Palatino Linotype" w:hAnsi="Palatino Linotype" w:cs="Palatino Linotype"/>
          </w:rPr>
          <w:t>ANEXO 2 - AVISOS DE PRIVACIDAD INTEGRAL.pdf</w:t>
        </w:r>
      </w:hyperlink>
      <w:r>
        <w:rPr>
          <w:rFonts w:ascii="Palatino Linotype" w:eastAsia="Palatino Linotype" w:hAnsi="Palatino Linotype" w:cs="Palatino Linotype"/>
        </w:rPr>
        <w:t xml:space="preserve">”, el cual contiene los avisos de privacidad integral para el resguardo de los expedientes del personal de la Secretaría de Desarrollo Social, del sistema de registro a proveedores SIREPRO de la Secretaría de Desarrollo Social, del programa de desarrollo social familias fuertes </w:t>
      </w:r>
      <w:r>
        <w:rPr>
          <w:rFonts w:ascii="Palatino Linotype" w:eastAsia="Palatino Linotype" w:hAnsi="Palatino Linotype" w:cs="Palatino Linotype"/>
        </w:rPr>
        <w:lastRenderedPageBreak/>
        <w:t xml:space="preserve">canasta EDOMEX, del programa de desarrollo social familias fuertes apoyo a personas adultas mayores, del programa de desarrollo social familias fuertes salario rosa; constante de 83 fojas. </w:t>
      </w:r>
    </w:p>
    <w:p w14:paraId="283C1540"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40">
        <w:r>
          <w:rPr>
            <w:rFonts w:ascii="Palatino Linotype" w:eastAsia="Palatino Linotype" w:hAnsi="Palatino Linotype" w:cs="Palatino Linotype"/>
          </w:rPr>
          <w:t>097 - C. Ciudadano - Unidad de Transparencia - 097.pdf</w:t>
        </w:r>
      </w:hyperlink>
      <w:r>
        <w:rPr>
          <w:rFonts w:ascii="Palatino Linotype" w:eastAsia="Palatino Linotype" w:hAnsi="Palatino Linotype" w:cs="Palatino Linotype"/>
        </w:rPr>
        <w:t xml:space="preserve">”, el cual contiene la respuesta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por medio del cual informó al solicitante lo siguiente:</w:t>
      </w:r>
    </w:p>
    <w:p w14:paraId="24080E6B"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Respecto del requerimiento de la Designación de los Administradores de Bases de Datos, adjuntó copia simple de los oficios de designación por parte del responsable del </w:t>
      </w:r>
      <w:r>
        <w:rPr>
          <w:rFonts w:ascii="Palatino Linotype" w:eastAsia="Palatino Linotype" w:hAnsi="Palatino Linotype" w:cs="Palatino Linotype"/>
          <w:b/>
        </w:rPr>
        <w:t>SUJETO OBLIGADO</w:t>
      </w:r>
      <w:r>
        <w:rPr>
          <w:rFonts w:ascii="Palatino Linotype" w:eastAsia="Palatino Linotype" w:hAnsi="Palatino Linotype" w:cs="Palatino Linotype"/>
        </w:rPr>
        <w:t>, como a continuación se describe:</w:t>
      </w:r>
    </w:p>
    <w:p w14:paraId="641DF45D"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drawing>
          <wp:inline distT="0" distB="0" distL="0" distR="0" wp14:anchorId="3714ADBF" wp14:editId="2F5A445E">
            <wp:extent cx="5485294" cy="1046508"/>
            <wp:effectExtent l="0" t="0" r="0" b="0"/>
            <wp:docPr id="9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l="36731" t="34379" r="16201" b="45412"/>
                    <a:stretch>
                      <a:fillRect/>
                    </a:stretch>
                  </pic:blipFill>
                  <pic:spPr>
                    <a:xfrm>
                      <a:off x="0" y="0"/>
                      <a:ext cx="5485294" cy="1046508"/>
                    </a:xfrm>
                    <a:prstGeom prst="rect">
                      <a:avLst/>
                    </a:prstGeom>
                    <a:ln/>
                  </pic:spPr>
                </pic:pic>
              </a:graphicData>
            </a:graphic>
          </wp:inline>
        </w:drawing>
      </w:r>
    </w:p>
    <w:p w14:paraId="6C34774A"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drawing>
          <wp:inline distT="0" distB="0" distL="0" distR="0" wp14:anchorId="34FD84AB" wp14:editId="7CD768A3">
            <wp:extent cx="5419800" cy="857619"/>
            <wp:effectExtent l="0" t="0" r="0" b="0"/>
            <wp:docPr id="9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l="37334" t="42821" r="16337" b="41817"/>
                    <a:stretch>
                      <a:fillRect/>
                    </a:stretch>
                  </pic:blipFill>
                  <pic:spPr>
                    <a:xfrm>
                      <a:off x="0" y="0"/>
                      <a:ext cx="5419800" cy="857619"/>
                    </a:xfrm>
                    <a:prstGeom prst="rect">
                      <a:avLst/>
                    </a:prstGeom>
                    <a:ln/>
                  </pic:spPr>
                </pic:pic>
              </a:graphicData>
            </a:graphic>
          </wp:inline>
        </w:drawing>
      </w:r>
    </w:p>
    <w:p w14:paraId="33D1341D"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cuanto al requerimiento de Actualización de Avisos de Privacidad, anexó en formato </w:t>
      </w:r>
      <w:proofErr w:type="spellStart"/>
      <w:r>
        <w:rPr>
          <w:rFonts w:ascii="Palatino Linotype" w:eastAsia="Palatino Linotype" w:hAnsi="Palatino Linotype" w:cs="Palatino Linotype"/>
        </w:rPr>
        <w:t>pdf</w:t>
      </w:r>
      <w:proofErr w:type="spellEnd"/>
      <w:r>
        <w:rPr>
          <w:rFonts w:ascii="Palatino Linotype" w:eastAsia="Palatino Linotype" w:hAnsi="Palatino Linotype" w:cs="Palatino Linotype"/>
        </w:rPr>
        <w:t xml:space="preserve"> los avisos de privacidad simplificado e integral, como se enlista a continuación:</w:t>
      </w:r>
    </w:p>
    <w:p w14:paraId="7BC91B77"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lastRenderedPageBreak/>
        <w:drawing>
          <wp:inline distT="0" distB="0" distL="0" distR="0" wp14:anchorId="6ED63138" wp14:editId="2A2B22DD">
            <wp:extent cx="5384103" cy="1413036"/>
            <wp:effectExtent l="0" t="0" r="0" b="0"/>
            <wp:docPr id="9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l="44277" t="46713" r="21671" b="36190"/>
                    <a:stretch>
                      <a:fillRect/>
                    </a:stretch>
                  </pic:blipFill>
                  <pic:spPr>
                    <a:xfrm>
                      <a:off x="0" y="0"/>
                      <a:ext cx="5384103" cy="1413036"/>
                    </a:xfrm>
                    <a:prstGeom prst="rect">
                      <a:avLst/>
                    </a:prstGeom>
                    <a:ln/>
                  </pic:spPr>
                </pic:pic>
              </a:graphicData>
            </a:graphic>
          </wp:inline>
        </w:drawing>
      </w:r>
      <w:r>
        <w:rPr>
          <w:rFonts w:ascii="Palatino Linotype" w:eastAsia="Palatino Linotype" w:hAnsi="Palatino Linotype" w:cs="Palatino Linotype"/>
        </w:rPr>
        <w:t xml:space="preserve"> </w:t>
      </w:r>
    </w:p>
    <w:p w14:paraId="6D2FA9C0"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También, señaló que dichos avisos de privacidad simplificado e integral, se encuentran disponibles para su consulta pública en la página institucional </w:t>
      </w:r>
      <w:hyperlink r:id="rId41">
        <w:r>
          <w:rPr>
            <w:rFonts w:ascii="Palatino Linotype" w:eastAsia="Palatino Linotype" w:hAnsi="Palatino Linotype" w:cs="Palatino Linotype"/>
            <w:color w:val="0000FF"/>
            <w:u w:val="single"/>
          </w:rPr>
          <w:t>https://sedesem.edomex.gob.mx/avisos-privacidad</w:t>
        </w:r>
      </w:hyperlink>
      <w:r>
        <w:rPr>
          <w:rFonts w:ascii="Palatino Linotype" w:eastAsia="Palatino Linotype" w:hAnsi="Palatino Linotype" w:cs="Palatino Linotype"/>
        </w:rPr>
        <w:t xml:space="preserve">. </w:t>
      </w:r>
    </w:p>
    <w:p w14:paraId="58901EF6"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Referente al requerimiento establecer bitácora de violaciones a la seguridad de las bases de datos documentales o electrónicas, hizo llegar en formato </w:t>
      </w:r>
      <w:proofErr w:type="spellStart"/>
      <w:r>
        <w:rPr>
          <w:rFonts w:ascii="Palatino Linotype" w:eastAsia="Palatino Linotype" w:hAnsi="Palatino Linotype" w:cs="Palatino Linotype"/>
        </w:rPr>
        <w:t>pdf</w:t>
      </w:r>
      <w:proofErr w:type="spellEnd"/>
      <w:r>
        <w:rPr>
          <w:rFonts w:ascii="Palatino Linotype" w:eastAsia="Palatino Linotype" w:hAnsi="Palatino Linotype" w:cs="Palatino Linotype"/>
        </w:rPr>
        <w:t xml:space="preserve">  la bitácora de incidente (violaciones a la seguridad de base de datos) de manera física y electrónica en formato </w:t>
      </w:r>
      <w:proofErr w:type="spellStart"/>
      <w:r>
        <w:rPr>
          <w:rFonts w:ascii="Palatino Linotype" w:eastAsia="Palatino Linotype" w:hAnsi="Palatino Linotype" w:cs="Palatino Linotype"/>
        </w:rPr>
        <w:t>pdf</w:t>
      </w:r>
      <w:proofErr w:type="spellEnd"/>
      <w:r>
        <w:rPr>
          <w:rFonts w:ascii="Palatino Linotype" w:eastAsia="Palatino Linotype" w:hAnsi="Palatino Linotype" w:cs="Palatino Linotype"/>
        </w:rPr>
        <w:t xml:space="preserve">, que se han implementado por parte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precisando que la fecha no se ha presentado alguna violación a la base de datos personales que se encuentran registrados en la INTRANET de la plataforma INFOEM.</w:t>
      </w:r>
    </w:p>
    <w:p w14:paraId="2C00B915"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respecta a la Actualización de bases de datos e inventario de base de datos, informó que:</w:t>
      </w:r>
    </w:p>
    <w:p w14:paraId="32C91BD1" w14:textId="77777777" w:rsidR="00BF7F97" w:rsidRDefault="00243AE8">
      <w:pPr>
        <w:spacing w:before="240" w:after="240" w:line="360" w:lineRule="auto"/>
        <w:jc w:val="both"/>
      </w:pPr>
      <w:r>
        <w:rPr>
          <w:noProof/>
          <w:lang w:eastAsia="es-MX"/>
        </w:rPr>
        <w:drawing>
          <wp:inline distT="0" distB="0" distL="0" distR="0" wp14:anchorId="53E532F4" wp14:editId="1AE09D19">
            <wp:extent cx="5569191" cy="931700"/>
            <wp:effectExtent l="0" t="0" r="0" b="0"/>
            <wp:docPr id="10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l="36607" t="34387" r="16093" b="55877"/>
                    <a:stretch>
                      <a:fillRect/>
                    </a:stretch>
                  </pic:blipFill>
                  <pic:spPr>
                    <a:xfrm>
                      <a:off x="0" y="0"/>
                      <a:ext cx="5569191" cy="931700"/>
                    </a:xfrm>
                    <a:prstGeom prst="rect">
                      <a:avLst/>
                    </a:prstGeom>
                    <a:ln/>
                  </pic:spPr>
                </pic:pic>
              </a:graphicData>
            </a:graphic>
          </wp:inline>
        </w:drawing>
      </w:r>
    </w:p>
    <w:p w14:paraId="683CFBD0"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lastRenderedPageBreak/>
        <w:drawing>
          <wp:inline distT="0" distB="0" distL="0" distR="0" wp14:anchorId="35F7957C" wp14:editId="762E81DF">
            <wp:extent cx="5593613" cy="1602215"/>
            <wp:effectExtent l="0" t="0" r="0" b="0"/>
            <wp:docPr id="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l="37709" t="37414" r="15216" b="29488"/>
                    <a:stretch>
                      <a:fillRect/>
                    </a:stretch>
                  </pic:blipFill>
                  <pic:spPr>
                    <a:xfrm>
                      <a:off x="0" y="0"/>
                      <a:ext cx="5593613" cy="1602215"/>
                    </a:xfrm>
                    <a:prstGeom prst="rect">
                      <a:avLst/>
                    </a:prstGeom>
                    <a:ln/>
                  </pic:spPr>
                </pic:pic>
              </a:graphicData>
            </a:graphic>
          </wp:inline>
        </w:drawing>
      </w:r>
      <w:r>
        <w:rPr>
          <w:rFonts w:ascii="Palatino Linotype" w:eastAsia="Palatino Linotype" w:hAnsi="Palatino Linotype" w:cs="Palatino Linotype"/>
        </w:rPr>
        <w:t xml:space="preserve"> </w:t>
      </w:r>
    </w:p>
    <w:p w14:paraId="06954111"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respecta al requerimiento sobre la Supervisión a las bases de datos documentales o electrónicas para establecer medidas de seguridad, informó:</w:t>
      </w:r>
    </w:p>
    <w:p w14:paraId="26EDEF3C" w14:textId="77777777" w:rsidR="00BF7F97" w:rsidRDefault="00243AE8">
      <w:pPr>
        <w:spacing w:before="240" w:after="240" w:line="360" w:lineRule="auto"/>
        <w:jc w:val="both"/>
        <w:rPr>
          <w:rFonts w:ascii="Palatino Linotype" w:eastAsia="Palatino Linotype" w:hAnsi="Palatino Linotype" w:cs="Palatino Linotype"/>
        </w:rPr>
      </w:pPr>
      <w:r>
        <w:rPr>
          <w:noProof/>
          <w:lang w:eastAsia="es-MX"/>
        </w:rPr>
        <w:drawing>
          <wp:inline distT="0" distB="0" distL="0" distR="0" wp14:anchorId="71394151" wp14:editId="3C8BC3A0">
            <wp:extent cx="5563336" cy="1368706"/>
            <wp:effectExtent l="0" t="0" r="0" b="0"/>
            <wp:docPr id="9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l="37340" t="44767" r="15598" b="28401"/>
                    <a:stretch>
                      <a:fillRect/>
                    </a:stretch>
                  </pic:blipFill>
                  <pic:spPr>
                    <a:xfrm>
                      <a:off x="0" y="0"/>
                      <a:ext cx="5563336" cy="1368706"/>
                    </a:xfrm>
                    <a:prstGeom prst="rect">
                      <a:avLst/>
                    </a:prstGeom>
                    <a:ln/>
                  </pic:spPr>
                </pic:pic>
              </a:graphicData>
            </a:graphic>
          </wp:inline>
        </w:drawing>
      </w:r>
    </w:p>
    <w:p w14:paraId="10FFA445"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otro lado, en cuanto a los requerimientos relacionados con el Plan de Trabajo del Sistema de Gestión de Protección de Datos Personales, de los ejercicios 2019, 2020, 2021 y 2022, Gestión de Seguridad y Documento de Seguridad,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al corte al 30 de junio del 2022; informó que solicitó apoyo al Comité de Transparencia para que se someta a su consideración la propuesta de clasificar como confidencial  en su totalidad dichos documentos y en su caso emita el acuerdo correspondiente. </w:t>
      </w:r>
    </w:p>
    <w:p w14:paraId="3A4DABE1"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Finalmente hizo del conocimiento al particular que el Comité de Transparencia emitió el acuerdo número CTSDS-EXT-019-2022, mediante el cual se clasifico como </w:t>
      </w:r>
      <w:r>
        <w:rPr>
          <w:rFonts w:ascii="Palatino Linotype" w:eastAsia="Palatino Linotype" w:hAnsi="Palatino Linotype" w:cs="Palatino Linotype"/>
        </w:rPr>
        <w:lastRenderedPageBreak/>
        <w:t>confidencial en su totalidad en los documentos denominados “Plan de Trabajo del Sistema de Gestión de Protección de Datos Personales” de los ejercicios 2019, 2020, 2021 y 2022, “Gestión de Seguridad” y “Seguridad”, con corte al 30 de junio del 2022 de la Secretaría de Desarrollo Social</w:t>
      </w:r>
    </w:p>
    <w:p w14:paraId="50C7B526"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42">
        <w:r>
          <w:rPr>
            <w:rFonts w:ascii="Palatino Linotype" w:eastAsia="Palatino Linotype" w:hAnsi="Palatino Linotype" w:cs="Palatino Linotype"/>
          </w:rPr>
          <w:t>ANEXO 2 - AVISOS DE PRIVACIDAD SIMPLIFICADO.pdf</w:t>
        </w:r>
      </w:hyperlink>
      <w:r>
        <w:rPr>
          <w:rFonts w:ascii="Palatino Linotype" w:eastAsia="Palatino Linotype" w:hAnsi="Palatino Linotype" w:cs="Palatino Linotype"/>
        </w:rPr>
        <w:t xml:space="preserve">”, el cual contiene los avisos de privacidad simplificados para el resguardo de los expedientes del personal de la Secretaría de Desarrollo Social, del sistema de registro a proveedores SIREPRO de la Secretaría de Desarrollo Social, del programa de desarrollo social familias fuertes canasta EDOMEX, del programa de desarrollo social familias fuertes apoyo a personas adultas mayores, del programa de desarrollo social familias fuertes salario rosa; constante de 14 fojas. </w:t>
      </w:r>
    </w:p>
    <w:p w14:paraId="187D478D"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43">
        <w:r>
          <w:rPr>
            <w:rFonts w:ascii="Palatino Linotype" w:eastAsia="Palatino Linotype" w:hAnsi="Palatino Linotype" w:cs="Palatino Linotype"/>
          </w:rPr>
          <w:t>ANEXO 3 - BITACORA DE INCIDENCIAS ELECTRONICAS.pdf</w:t>
        </w:r>
      </w:hyperlink>
      <w:r>
        <w:rPr>
          <w:rFonts w:ascii="Palatino Linotype" w:eastAsia="Palatino Linotype" w:hAnsi="Palatino Linotype" w:cs="Palatino Linotype"/>
        </w:rPr>
        <w:t>”, el cual contiene el formato de la bitácora de incidencias de la Base de datos personales electrónicas del ejercicio 2022, respecto de los “expedientes de los servidores públicos de la Secretaría de Desarrollo Social”, “programa de desarrollo social familias fuertes salario rosa” y “programa de desarrollo social familias fuertes apoyo a personas adultas mayores”</w:t>
      </w:r>
    </w:p>
    <w:p w14:paraId="192EB069"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Inconforme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con las respuestas, interpuso los Recursos de Revisión, mediante los cuales se inconformó por:</w:t>
      </w:r>
    </w:p>
    <w:p w14:paraId="2F326ADC" w14:textId="77777777" w:rsidR="00BF7F97" w:rsidRDefault="00243AE8">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sz w:val="22"/>
          <w:szCs w:val="22"/>
          <w:u w:val="single"/>
        </w:rPr>
      </w:pPr>
      <w:r>
        <w:rPr>
          <w:rFonts w:ascii="Palatino Linotype" w:eastAsia="Palatino Linotype" w:hAnsi="Palatino Linotype" w:cs="Palatino Linotype"/>
          <w:b/>
          <w:i/>
          <w:color w:val="000000"/>
          <w:sz w:val="22"/>
          <w:szCs w:val="22"/>
          <w:u w:val="single"/>
        </w:rPr>
        <w:t xml:space="preserve">“no se entrega </w:t>
      </w:r>
      <w:proofErr w:type="gramStart"/>
      <w:r>
        <w:rPr>
          <w:rFonts w:ascii="Palatino Linotype" w:eastAsia="Palatino Linotype" w:hAnsi="Palatino Linotype" w:cs="Palatino Linotype"/>
          <w:b/>
          <w:i/>
          <w:color w:val="000000"/>
          <w:sz w:val="22"/>
          <w:szCs w:val="22"/>
          <w:u w:val="single"/>
        </w:rPr>
        <w:t>la bases</w:t>
      </w:r>
      <w:proofErr w:type="gramEnd"/>
      <w:r>
        <w:rPr>
          <w:rFonts w:ascii="Palatino Linotype" w:eastAsia="Palatino Linotype" w:hAnsi="Palatino Linotype" w:cs="Palatino Linotype"/>
          <w:b/>
          <w:i/>
          <w:color w:val="000000"/>
          <w:sz w:val="22"/>
          <w:szCs w:val="22"/>
          <w:u w:val="single"/>
        </w:rPr>
        <w:t xml:space="preserve"> de datos y Plan de Trabajo del Sistema de Gestión de Protección de Datos Personales de esta Dependencia” (Sic)</w:t>
      </w:r>
    </w:p>
    <w:p w14:paraId="3C3A5509" w14:textId="77777777" w:rsidR="00BF7F97" w:rsidRDefault="00243AE8">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Una vez notificado los recursos de revisión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este rindió sus informes justificados a través de los cuales, en lo medular confirmó sus respuestas primigenias. </w:t>
      </w:r>
    </w:p>
    <w:p w14:paraId="24DD0F51" w14:textId="77777777" w:rsidR="00BF7F97" w:rsidRDefault="00BF7F97">
      <w:pPr>
        <w:widowControl w:val="0"/>
        <w:pBdr>
          <w:top w:val="nil"/>
          <w:left w:val="nil"/>
          <w:bottom w:val="nil"/>
          <w:right w:val="nil"/>
          <w:between w:val="nil"/>
        </w:pBdr>
        <w:tabs>
          <w:tab w:val="left" w:pos="709"/>
        </w:tabs>
        <w:spacing w:line="360" w:lineRule="auto"/>
        <w:jc w:val="both"/>
        <w:rPr>
          <w:rFonts w:ascii="Palatino Linotype" w:eastAsia="Palatino Linotype" w:hAnsi="Palatino Linotype" w:cs="Palatino Linotype"/>
        </w:rPr>
      </w:pPr>
    </w:p>
    <w:p w14:paraId="4FA1501F" w14:textId="77777777" w:rsidR="00BF7F97" w:rsidRDefault="00243AE8">
      <w:pPr>
        <w:spacing w:line="360" w:lineRule="auto"/>
        <w:jc w:val="both"/>
        <w:rPr>
          <w:rFonts w:ascii="Palatino Linotype" w:eastAsia="Palatino Linotype" w:hAnsi="Palatino Linotype" w:cs="Palatino Linotype"/>
        </w:rPr>
      </w:pPr>
      <w:bookmarkStart w:id="3" w:name="_heading=h.3znysh7" w:colFirst="0" w:colLast="0"/>
      <w:bookmarkEnd w:id="3"/>
      <w:r>
        <w:rPr>
          <w:rFonts w:ascii="Palatino Linotype" w:eastAsia="Palatino Linotype" w:hAnsi="Palatino Linotype" w:cs="Palatino Linotype"/>
        </w:rPr>
        <w:t xml:space="preserve">Antes del estudio de fondo, se debe resaltar de los motivos de inconformidad del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se advierte que está conforme con la información proporcionada en respuesta, correspondiente a: </w:t>
      </w:r>
    </w:p>
    <w:p w14:paraId="7A8B89DA" w14:textId="77777777" w:rsidR="00BF7F97" w:rsidRDefault="00BF7F97">
      <w:pPr>
        <w:spacing w:line="360" w:lineRule="auto"/>
        <w:jc w:val="both"/>
        <w:rPr>
          <w:rFonts w:ascii="Palatino Linotype" w:eastAsia="Palatino Linotype" w:hAnsi="Palatino Linotype" w:cs="Palatino Linotype"/>
        </w:rPr>
      </w:pPr>
    </w:p>
    <w:p w14:paraId="5634732B" w14:textId="77777777" w:rsidR="00BF7F97" w:rsidRDefault="00243AE8">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 </w:t>
      </w:r>
      <w:r>
        <w:rPr>
          <w:rFonts w:ascii="Palatino Linotype" w:eastAsia="Palatino Linotype" w:hAnsi="Palatino Linotype" w:cs="Palatino Linotype"/>
          <w:color w:val="000000"/>
        </w:rPr>
        <w:t>Los documentos y/</w:t>
      </w:r>
      <w:proofErr w:type="spellStart"/>
      <w:r>
        <w:rPr>
          <w:rFonts w:ascii="Palatino Linotype" w:eastAsia="Palatino Linotype" w:hAnsi="Palatino Linotype" w:cs="Palatino Linotype"/>
          <w:color w:val="000000"/>
        </w:rPr>
        <w:t>o</w:t>
      </w:r>
      <w:proofErr w:type="spellEnd"/>
      <w:r>
        <w:rPr>
          <w:rFonts w:ascii="Palatino Linotype" w:eastAsia="Palatino Linotype" w:hAnsi="Palatino Linotype" w:cs="Palatino Linotype"/>
          <w:color w:val="000000"/>
        </w:rPr>
        <w:t xml:space="preserve"> oficios generados y recibidos por la Unidad de Transparencia conforme al siguiente orden</w:t>
      </w:r>
    </w:p>
    <w:p w14:paraId="353325F1" w14:textId="77777777" w:rsidR="00BF7F97" w:rsidRDefault="00243AE8">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Designación de los Administradores de Bases de Datos.</w:t>
      </w:r>
    </w:p>
    <w:p w14:paraId="064368EB" w14:textId="77777777" w:rsidR="00BF7F97" w:rsidRDefault="00243AE8">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Actualización de Avisos de Privacidad.</w:t>
      </w:r>
    </w:p>
    <w:p w14:paraId="631CB518" w14:textId="77777777" w:rsidR="00BF7F97" w:rsidRDefault="00243AE8">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Supervisión a las bases de datos documentales o electrónicas para establecer medidas de seguridad.</w:t>
      </w:r>
    </w:p>
    <w:p w14:paraId="5F5C3C9F" w14:textId="77777777" w:rsidR="00BF7F97" w:rsidRDefault="00243AE8">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Establecer bitácora de violaciones a la seguridad de las bases de datos documentales o electrónicas.</w:t>
      </w:r>
    </w:p>
    <w:p w14:paraId="708E96F8" w14:textId="77777777" w:rsidR="00BF7F97" w:rsidRDefault="00243AE8">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Establecer el Plan de contingencia con las Unidades Administrativas y Actualización de bases de datos.</w:t>
      </w:r>
    </w:p>
    <w:p w14:paraId="2942A7EC" w14:textId="77777777" w:rsidR="00BF7F97" w:rsidRDefault="00243AE8">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Actualización de bases de datos</w:t>
      </w:r>
    </w:p>
    <w:p w14:paraId="7D30DE13" w14:textId="77777777" w:rsidR="00BF7F97" w:rsidRDefault="00243AE8">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Inventario de las bases de datos</w:t>
      </w:r>
    </w:p>
    <w:p w14:paraId="56C47AD5" w14:textId="77777777" w:rsidR="00BF7F97" w:rsidRDefault="00243AE8">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Documentos de Gestión de seguridad.</w:t>
      </w:r>
    </w:p>
    <w:p w14:paraId="4AA92800" w14:textId="77777777" w:rsidR="00BF7F97" w:rsidRDefault="00243AE8">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Documentos de seguridad de la dependencia.</w:t>
      </w:r>
    </w:p>
    <w:p w14:paraId="5670740C"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consiguiente, cuando el solicitante no expresa razón o motivo de inconformidad en contra de todos los rubros de la respuesta que pudieran ser un agravio a su derecho, los mismos deben estimarse atendidos. Sirve de apoyo a lo anterior, por analogía, la Tesis Jurisprudencial Número 3ª./J.7/91, publicada en el Semanario Judicial de la Federación y su Gaceta bajo el número de registro 174,177, que establece lo siguiente:</w:t>
      </w:r>
    </w:p>
    <w:p w14:paraId="3320C75A" w14:textId="77777777" w:rsidR="00BF7F97" w:rsidRDefault="00243AE8">
      <w:pPr>
        <w:spacing w:before="240" w:after="240" w:line="276" w:lineRule="auto"/>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sz w:val="22"/>
          <w:szCs w:val="22"/>
        </w:rPr>
        <w:t>“</w:t>
      </w:r>
      <w:r>
        <w:rPr>
          <w:rFonts w:ascii="Palatino Linotype" w:eastAsia="Palatino Linotype" w:hAnsi="Palatino Linotype" w:cs="Palatino Linotype"/>
          <w:b/>
          <w:i/>
          <w:sz w:val="22"/>
          <w:szCs w:val="22"/>
        </w:rPr>
        <w:t>REVISIÓN EN AMPARO. LOS RESOLUTIVOS NO COMBATIDOS DEBEN DECLARARSE FIRMES</w:t>
      </w:r>
      <w:r>
        <w:rPr>
          <w:rFonts w:ascii="Palatino Linotype" w:eastAsia="Palatino Linotype" w:hAnsi="Palatino Linotype" w:cs="Palatino Linotype"/>
          <w:i/>
          <w:sz w:val="22"/>
          <w:szCs w:val="22"/>
        </w:rPr>
        <w:t>. 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roofErr w:type="gramStart"/>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Sic)</w:t>
      </w:r>
    </w:p>
    <w:p w14:paraId="0B8C9D1E"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Esto es, la parte de la solicitud sobre la que no se expresó inconformidad, debe declararse consentida por el hoy Recurrente, ya que no pueden producirse efectos jurídicos tendentes a revocar, confirmar o modificar la parte de la respuesta con relación a la parte de la solicitud que no fue motivo de inconformidad ya que se infiere un consentimiento de la recurrente ante la falta de impugnación eficaz.</w:t>
      </w:r>
    </w:p>
    <w:p w14:paraId="2C743E13"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Sirve de sustento a lo anterior, por analogía, la tesis jurisprudencial número VI.3o.C. J/60, publicada en el Semanario Judicial de la Federación y su Gaceta bajo el número de registro 176,608 que a la letra dice:</w:t>
      </w:r>
    </w:p>
    <w:p w14:paraId="027E1EE5" w14:textId="77777777" w:rsidR="00BF7F97" w:rsidRDefault="00243AE8">
      <w:pPr>
        <w:spacing w:before="240" w:after="240" w:line="276" w:lineRule="auto"/>
        <w:ind w:left="567" w:righ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ACTOS CONSENTIDOS. SON LOS QUE NO SE IMPUGNAN MEDIANTE EL RECURSO IDÓNEO</w:t>
      </w:r>
      <w:r>
        <w:rPr>
          <w:rFonts w:ascii="Palatino Linotype" w:eastAsia="Palatino Linotype" w:hAnsi="Palatino Linotype" w:cs="Palatino Linotype"/>
          <w:i/>
          <w:sz w:val="22"/>
          <w:szCs w:val="22"/>
        </w:rPr>
        <w:t>.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 (Sic)</w:t>
      </w:r>
    </w:p>
    <w:p w14:paraId="3B73EF50" w14:textId="77777777" w:rsidR="00BF7F97" w:rsidRDefault="00243AE8">
      <w:pPr>
        <w:spacing w:before="240" w:after="36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se refiere al motivo de inconformidad relativo a “</w:t>
      </w:r>
      <w:r>
        <w:rPr>
          <w:rFonts w:ascii="Palatino Linotype" w:eastAsia="Palatino Linotype" w:hAnsi="Palatino Linotype" w:cs="Palatino Linotype"/>
          <w:b/>
          <w:i/>
          <w:u w:val="single"/>
        </w:rPr>
        <w:t xml:space="preserve">no se entrega la bases de datos” </w:t>
      </w:r>
      <w:r>
        <w:rPr>
          <w:rFonts w:ascii="Palatino Linotype" w:eastAsia="Palatino Linotype" w:hAnsi="Palatino Linotype" w:cs="Palatino Linotype"/>
        </w:rPr>
        <w:t xml:space="preserve">debe ser considerado una plus </w:t>
      </w:r>
      <w:proofErr w:type="spellStart"/>
      <w:r>
        <w:rPr>
          <w:rFonts w:ascii="Palatino Linotype" w:eastAsia="Palatino Linotype" w:hAnsi="Palatino Linotype" w:cs="Palatino Linotype"/>
        </w:rPr>
        <w:t>petitio</w:t>
      </w:r>
      <w:proofErr w:type="spellEnd"/>
      <w:r>
        <w:rPr>
          <w:rFonts w:ascii="Palatino Linotype" w:eastAsia="Palatino Linotype" w:hAnsi="Palatino Linotype" w:cs="Palatino Linotype"/>
        </w:rPr>
        <w:t xml:space="preserve"> por que no pidió las bases de datos sino únicamente los oficios respecto a la actualización e inventario de esas bases de datos; de ahí que, se determina que constituyen nuevos requerimientos de información, configurándose así lo que se conoce como </w:t>
      </w:r>
      <w:r>
        <w:rPr>
          <w:rFonts w:ascii="Palatino Linotype" w:eastAsia="Palatino Linotype" w:hAnsi="Palatino Linotype" w:cs="Palatino Linotype"/>
          <w:i/>
        </w:rPr>
        <w:t xml:space="preserve">plus </w:t>
      </w:r>
      <w:proofErr w:type="spellStart"/>
      <w:r>
        <w:rPr>
          <w:rFonts w:ascii="Palatino Linotype" w:eastAsia="Palatino Linotype" w:hAnsi="Palatino Linotype" w:cs="Palatino Linotype"/>
          <w:i/>
        </w:rPr>
        <w:t>petitio</w:t>
      </w:r>
      <w:proofErr w:type="spellEnd"/>
      <w:r>
        <w:rPr>
          <w:rFonts w:ascii="Palatino Linotype" w:eastAsia="Palatino Linotype" w:hAnsi="Palatino Linotype" w:cs="Palatino Linotype"/>
          <w:b/>
          <w:i/>
        </w:rPr>
        <w:t xml:space="preserve">, </w:t>
      </w:r>
      <w:r>
        <w:rPr>
          <w:rFonts w:ascii="Palatino Linotype" w:eastAsia="Palatino Linotype" w:hAnsi="Palatino Linotype" w:cs="Palatino Linotype"/>
        </w:rPr>
        <w:t xml:space="preserve">que consiste en una ampliación a su requerimiento informativo, argumentos que no son susceptibles de ser valorados en términos de la fracción VII del Artículo 191 de la Ley de Transparencia y Acceso a la Información Pública del Estado de México y Municipios, el cual señala la improcedencia cuando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amplíe su solicitud en el Recurso de Revisión, </w:t>
      </w:r>
      <w:r>
        <w:rPr>
          <w:rFonts w:ascii="Palatino Linotype" w:eastAsia="Palatino Linotype" w:hAnsi="Palatino Linotype" w:cs="Palatino Linotype"/>
          <w:b/>
          <w:u w:val="single"/>
        </w:rPr>
        <w:t xml:space="preserve">únicamente respecto de los nuevos contenidos; </w:t>
      </w:r>
      <w:r>
        <w:rPr>
          <w:rFonts w:ascii="Palatino Linotype" w:eastAsia="Palatino Linotype" w:hAnsi="Palatino Linotype" w:cs="Palatino Linotype"/>
        </w:rPr>
        <w:t xml:space="preserve">cuestión que tuvo lugar en el presente caso, pues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formuló nuevos cuestionamientos, en los que solicitó información que no formó parte de su solicitud inicial y por lo tanto son inatendibles a través del recurso de revisión.</w:t>
      </w:r>
    </w:p>
    <w:p w14:paraId="69B0ABC6"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En este tenor, es posible determinar que para el caso que nos ocupa, los argumentos formulados como motivos o razones de inconformidad referidos, son una ampliación a la solicitud inicial y corresponden a nuevos requerimientos de información, que no se encuentran relacionados con lo solicitado en un primer momento; por lo que se actualiza el supuesto de improcedencia previsto en el artículo 191 fracción VII de la Ley de Transparencia y Acceso a la Información Pública del Estado de México y Municipios; que prevé que son improcedentes los Recursos de Revisión en los que se plantean ampliaciones a las solicitudes iniciales.</w:t>
      </w:r>
    </w:p>
    <w:p w14:paraId="39BAC85C"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este orden de ideas, una vez formulada su solicitud inicial,</w:t>
      </w:r>
      <w:r>
        <w:rPr>
          <w:rFonts w:ascii="Palatino Linotype" w:eastAsia="Palatino Linotype" w:hAnsi="Palatino Linotype" w:cs="Palatino Linotype"/>
          <w:i/>
        </w:rPr>
        <w:t xml:space="preserve"> </w:t>
      </w:r>
      <w:r>
        <w:rPr>
          <w:rFonts w:ascii="Palatino Linotype" w:eastAsia="Palatino Linotype" w:hAnsi="Palatino Linotype" w:cs="Palatino Linotype"/>
        </w:rPr>
        <w:t>los particulares no pueden modificarla o ampliarla a través de posteriores promociones o en el momento de ingresar su recurso de revisión; por tanto, la materia de las solicitudes de información se circunscribe a que se permita el acceso a los documentos inicialmente solicitados y en su caso a los aclarados o corregidos.</w:t>
      </w:r>
    </w:p>
    <w:p w14:paraId="4DA54DCF" w14:textId="77777777" w:rsidR="00BF7F97" w:rsidRDefault="00243AE8">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Robustece lo anterior lo plasmado en el criterio orientador número 01/17 emitido por el Instituto Nacional de Transparencia, Acceso a la Información y Protección de Datos Personales, INAI, que lleva por rubro y texto lo que a continuación se transcribe:</w:t>
      </w:r>
    </w:p>
    <w:p w14:paraId="59A6D69D" w14:textId="77777777" w:rsidR="00BF7F97" w:rsidRDefault="00243AE8">
      <w:pPr>
        <w:spacing w:before="240" w:after="240"/>
        <w:ind w:left="851" w:right="900"/>
        <w:jc w:val="both"/>
        <w:rPr>
          <w:rFonts w:ascii="Palatino Linotype" w:eastAsia="Palatino Linotype" w:hAnsi="Palatino Linotype" w:cs="Palatino Linotype"/>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Es improcedente ampliar las solicitudes de acceso a información, a través de la interposición del recurso de revisión. </w:t>
      </w:r>
      <w:r>
        <w:rPr>
          <w:rFonts w:ascii="Palatino Linotype" w:eastAsia="Palatino Linotype" w:hAnsi="Palatino Linotype" w:cs="Palatino Linotype"/>
          <w:i/>
          <w:sz w:val="22"/>
          <w:szCs w:val="22"/>
        </w:rPr>
        <w:t xml:space="preserve">En términos de los artículos 155, fracción VII de la Ley General de Transparencia y Acceso a la Información Pública, y 161, fracción VII de la Ley Federal de Transparencia y Acceso a la Información Pública, en aquellos casos en que los recurrentes, mediante su recurso de revisión, amplíen los alcances de la solicitud de información inicial, los nuevos contenidos no podrán constituir materia del </w:t>
      </w:r>
      <w:r>
        <w:rPr>
          <w:rFonts w:ascii="Palatino Linotype" w:eastAsia="Palatino Linotype" w:hAnsi="Palatino Linotype" w:cs="Palatino Linotype"/>
          <w:i/>
          <w:sz w:val="22"/>
          <w:szCs w:val="22"/>
        </w:rPr>
        <w:lastRenderedPageBreak/>
        <w:t>procedimiento a sustanciarse por el Instituto Nacional de Transparencia, Acceso a la Información y Protección de Datos Personales; actualizándose la hipótesis de improcedencia respectiva</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w:t>
      </w:r>
    </w:p>
    <w:p w14:paraId="70842BC2" w14:textId="77777777" w:rsidR="00BF7F97" w:rsidRDefault="00243AE8">
      <w:pPr>
        <w:spacing w:before="280" w:after="280" w:line="360" w:lineRule="auto"/>
        <w:jc w:val="both"/>
        <w:rPr>
          <w:rFonts w:ascii="Palatino Linotype" w:eastAsia="Palatino Linotype" w:hAnsi="Palatino Linotype" w:cs="Palatino Linotype"/>
          <w:b/>
          <w:u w:val="single"/>
        </w:rPr>
      </w:pPr>
      <w:r>
        <w:rPr>
          <w:rFonts w:ascii="Palatino Linotype" w:eastAsia="Palatino Linotype" w:hAnsi="Palatino Linotype" w:cs="Palatino Linotype"/>
          <w:b/>
          <w:u w:val="single"/>
        </w:rPr>
        <w:t>Ahora bien, sobre el motivo de inconformidad del RECURRENTE, sobre el Plan de Trabajo del Sistema de Gestión de Protección de Datos Personales de la Secretaría de Desarrollo Social, correspondiente al ejercicio 2019 a 2022.</w:t>
      </w:r>
    </w:p>
    <w:p w14:paraId="198FB2CE" w14:textId="77777777" w:rsidR="00BF7F97" w:rsidRDefault="00243AE8">
      <w:pPr>
        <w:spacing w:before="240" w:after="360" w:line="360" w:lineRule="auto"/>
        <w:jc w:val="both"/>
        <w:rPr>
          <w:rFonts w:ascii="Palatino Linotype" w:eastAsia="Palatino Linotype" w:hAnsi="Palatino Linotype" w:cs="Palatino Linotype"/>
        </w:rPr>
      </w:pPr>
      <w:r>
        <w:rPr>
          <w:rFonts w:ascii="Palatino Linotype" w:eastAsia="Palatino Linotype" w:hAnsi="Palatino Linotype" w:cs="Palatino Linotype"/>
        </w:rPr>
        <w:t>Sobre la naturaleza de la información solicitada, es importante comenzar señalando que el diverso 14, fracción IV, de la Ley de Protección de Datos Personales en Posesión de Sujetos Obligados del Estado de México y Municipios, establece lo siguiente:</w:t>
      </w:r>
    </w:p>
    <w:p w14:paraId="38CB5018" w14:textId="77777777" w:rsidR="00BF7F97" w:rsidRDefault="00243AE8">
      <w:pPr>
        <w:spacing w:before="120" w:after="120"/>
        <w:ind w:left="709"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“Del programa Estatal</w:t>
      </w:r>
    </w:p>
    <w:p w14:paraId="6ACC7897" w14:textId="77777777" w:rsidR="00BF7F97" w:rsidRDefault="00243AE8">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14.</w:t>
      </w:r>
      <w:r>
        <w:rPr>
          <w:rFonts w:ascii="Palatino Linotype" w:eastAsia="Palatino Linotype" w:hAnsi="Palatino Linotype" w:cs="Palatino Linotype"/>
          <w:i/>
          <w:sz w:val="22"/>
          <w:szCs w:val="22"/>
        </w:rPr>
        <w:t xml:space="preserve"> El Instituto será responsable de diseñar, ejecutar y evaluar un Programa Estatal de Protección de Datos Personales que defina la política pública y establezca, como mínimo, objetivos, estrategias, acciones y metas; conforme a las bases siguientes:</w:t>
      </w:r>
    </w:p>
    <w:p w14:paraId="413B2AD2" w14:textId="77777777" w:rsidR="00BF7F97" w:rsidRDefault="00243AE8">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5E69EC5" w14:textId="77777777" w:rsidR="00BF7F97" w:rsidRDefault="00243AE8">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u w:val="single"/>
        </w:rPr>
        <w:t>Impulsar la implementación y mantenimiento de un sistema de gestión de seguridad a que se hace referencia en la presente Ley</w:t>
      </w:r>
      <w:r>
        <w:rPr>
          <w:rFonts w:ascii="Palatino Linotype" w:eastAsia="Palatino Linotype" w:hAnsi="Palatino Linotype" w:cs="Palatino Linotype"/>
          <w:i/>
          <w:sz w:val="22"/>
          <w:szCs w:val="22"/>
        </w:rPr>
        <w:t>, así como promover la adopción de estándares nacionales e internacionales y buenas prácticas en la materia, y …” (Sic)</w:t>
      </w:r>
    </w:p>
    <w:p w14:paraId="4B65B54C" w14:textId="77777777" w:rsidR="00BF7F97" w:rsidRDefault="00243AE8">
      <w:pPr>
        <w:spacing w:before="240" w:after="36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Del precepto citado se desprende </w:t>
      </w:r>
      <w:proofErr w:type="gramStart"/>
      <w:r>
        <w:rPr>
          <w:rFonts w:ascii="Palatino Linotype" w:eastAsia="Palatino Linotype" w:hAnsi="Palatino Linotype" w:cs="Palatino Linotype"/>
        </w:rPr>
        <w:t>que</w:t>
      </w:r>
      <w:proofErr w:type="gramEnd"/>
      <w:r>
        <w:rPr>
          <w:rFonts w:ascii="Palatino Linotype" w:eastAsia="Palatino Linotype" w:hAnsi="Palatino Linotype" w:cs="Palatino Linotype"/>
        </w:rPr>
        <w:t xml:space="preserve"> a este Instituto, como parte de sus atribuciones, le corresponde implementar y dar mantenimiento a un sistema de gestión de seguridad.</w:t>
      </w:r>
    </w:p>
    <w:p w14:paraId="17E8F443" w14:textId="77777777" w:rsidR="00BF7F97" w:rsidRDefault="00243AE8">
      <w:pPr>
        <w:spacing w:before="240" w:after="36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Mientras que el artículo 47 de la Ley de Protección de Datos Personales en Posesión de Sujetos Obligados del Estado de México y Municipios, establece que las acciones relacionadas con las medidas de seguridad para el tratamiento de los datos personales serán documentadas y contenidas en un sistema de gestión: </w:t>
      </w:r>
    </w:p>
    <w:p w14:paraId="5EEF6509" w14:textId="77777777" w:rsidR="00BF7F97" w:rsidRDefault="00243AE8">
      <w:pPr>
        <w:tabs>
          <w:tab w:val="left" w:pos="284"/>
          <w:tab w:val="left" w:pos="709"/>
        </w:tabs>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Artículo 47.</w:t>
      </w:r>
      <w:r>
        <w:rPr>
          <w:rFonts w:ascii="Palatino Linotype" w:eastAsia="Palatino Linotype" w:hAnsi="Palatino Linotype" w:cs="Palatino Linotype"/>
          <w:i/>
          <w:sz w:val="22"/>
          <w:szCs w:val="22"/>
        </w:rPr>
        <w:t xml:space="preserve"> Las acciones relacionadas con las medidas de seguridad para el tratamiento de los datos personales serán documentadas y contenidas en un sistema de gestión. </w:t>
      </w:r>
    </w:p>
    <w:p w14:paraId="2103FB0A" w14:textId="77777777" w:rsidR="00BF7F97" w:rsidRDefault="00243AE8">
      <w:pPr>
        <w:tabs>
          <w:tab w:val="left" w:pos="284"/>
          <w:tab w:val="left" w:pos="709"/>
        </w:tabs>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Se entenderá por sistema de gestión al conjunto de elementos y actividades interrelacionadas para establecer, implementar, operar, monitorear, revisar, mantener y mejorar el tratamiento y seguridad de los datos personales</w:t>
      </w:r>
      <w:r>
        <w:rPr>
          <w:rFonts w:ascii="Palatino Linotype" w:eastAsia="Palatino Linotype" w:hAnsi="Palatino Linotype" w:cs="Palatino Linotype"/>
          <w:i/>
          <w:sz w:val="22"/>
          <w:szCs w:val="22"/>
        </w:rPr>
        <w:t>, de conformidad con lo previsto en la presente Ley y las demás disposiciones legales aplicables.”</w:t>
      </w:r>
    </w:p>
    <w:p w14:paraId="30C27045" w14:textId="77777777" w:rsidR="00BF7F97" w:rsidRDefault="00243AE8">
      <w:pPr>
        <w:pBdr>
          <w:top w:val="nil"/>
          <w:left w:val="nil"/>
          <w:bottom w:val="nil"/>
          <w:right w:val="nil"/>
          <w:between w:val="nil"/>
        </w:pBdr>
        <w:ind w:left="851" w:right="900"/>
        <w:jc w:val="both"/>
        <w:rPr>
          <w:color w:val="000000"/>
        </w:rPr>
      </w:pPr>
      <w:r>
        <w:rPr>
          <w:rFonts w:ascii="Palatino Linotype" w:eastAsia="Palatino Linotype" w:hAnsi="Palatino Linotype" w:cs="Palatino Linotype"/>
          <w:b/>
          <w:i/>
          <w:color w:val="000000"/>
          <w:sz w:val="22"/>
          <w:szCs w:val="22"/>
        </w:rPr>
        <w:t>Revisión y actualización del documento de seguridad</w:t>
      </w:r>
    </w:p>
    <w:p w14:paraId="2E59E567" w14:textId="77777777" w:rsidR="00BF7F97" w:rsidRDefault="00243AE8">
      <w:pPr>
        <w:pBdr>
          <w:top w:val="nil"/>
          <w:left w:val="nil"/>
          <w:bottom w:val="nil"/>
          <w:right w:val="nil"/>
          <w:between w:val="nil"/>
        </w:pBdr>
        <w:ind w:left="851" w:right="900"/>
        <w:jc w:val="both"/>
        <w:rPr>
          <w:color w:val="000000"/>
        </w:rPr>
      </w:pPr>
      <w:r>
        <w:rPr>
          <w:rFonts w:ascii="Palatino Linotype" w:eastAsia="Palatino Linotype" w:hAnsi="Palatino Linotype" w:cs="Palatino Linotype"/>
          <w:b/>
          <w:i/>
          <w:color w:val="000000"/>
          <w:sz w:val="22"/>
          <w:szCs w:val="22"/>
        </w:rPr>
        <w:t>Artículo 50</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rPr>
        <w:t>El responsable revisará</w:t>
      </w:r>
      <w:r>
        <w:rPr>
          <w:rFonts w:ascii="Palatino Linotype" w:eastAsia="Palatino Linotype" w:hAnsi="Palatino Linotype" w:cs="Palatino Linotype"/>
          <w:i/>
          <w:color w:val="000000"/>
          <w:sz w:val="22"/>
          <w:szCs w:val="22"/>
        </w:rPr>
        <w:t xml:space="preserve"> el documento de seguridad de manera periódica y actualizarlo cuando ocurran los eventos siguientes:</w:t>
      </w:r>
    </w:p>
    <w:p w14:paraId="49C26E31" w14:textId="77777777" w:rsidR="00BF7F97" w:rsidRDefault="00243AE8">
      <w:pPr>
        <w:pBdr>
          <w:top w:val="nil"/>
          <w:left w:val="nil"/>
          <w:bottom w:val="nil"/>
          <w:right w:val="nil"/>
          <w:between w:val="nil"/>
        </w:pBdr>
        <w:ind w:left="1134" w:right="900"/>
        <w:jc w:val="both"/>
        <w:rPr>
          <w:color w:val="000000"/>
        </w:rPr>
      </w:pPr>
      <w:r>
        <w:rPr>
          <w:rFonts w:ascii="Palatino Linotype" w:eastAsia="Palatino Linotype" w:hAnsi="Palatino Linotype" w:cs="Palatino Linotype"/>
          <w:i/>
          <w:color w:val="000000"/>
          <w:sz w:val="22"/>
          <w:szCs w:val="22"/>
        </w:rPr>
        <w:t>I. Se produzcan modificaciones sustanciales al tratamiento de datos personales que deriven en un cambio en el nivel de riesgo.</w:t>
      </w:r>
    </w:p>
    <w:p w14:paraId="430A3C78" w14:textId="77777777" w:rsidR="00BF7F97" w:rsidRDefault="00243AE8">
      <w:pPr>
        <w:pBdr>
          <w:top w:val="nil"/>
          <w:left w:val="nil"/>
          <w:bottom w:val="nil"/>
          <w:right w:val="nil"/>
          <w:between w:val="nil"/>
        </w:pBdr>
        <w:ind w:left="1134" w:right="900"/>
        <w:jc w:val="both"/>
        <w:rPr>
          <w:color w:val="000000"/>
        </w:rPr>
      </w:pPr>
      <w:r>
        <w:rPr>
          <w:rFonts w:ascii="Palatino Linotype" w:eastAsia="Palatino Linotype" w:hAnsi="Palatino Linotype" w:cs="Palatino Linotype"/>
          <w:i/>
          <w:color w:val="000000"/>
          <w:sz w:val="22"/>
          <w:szCs w:val="22"/>
        </w:rPr>
        <w:t>II</w:t>
      </w:r>
      <w:r>
        <w:rPr>
          <w:rFonts w:ascii="Palatino Linotype" w:eastAsia="Palatino Linotype" w:hAnsi="Palatino Linotype" w:cs="Palatino Linotype"/>
          <w:b/>
          <w:i/>
          <w:color w:val="000000"/>
          <w:sz w:val="22"/>
          <w:szCs w:val="22"/>
          <w:u w:val="single"/>
        </w:rPr>
        <w:t>. Como resultado de un proceso de mejora continua, derivado del monitoreo y revisión del sistema de gestión.</w:t>
      </w:r>
    </w:p>
    <w:p w14:paraId="7ABEAC4B" w14:textId="77777777" w:rsidR="00BF7F97" w:rsidRDefault="00243AE8">
      <w:pPr>
        <w:pBdr>
          <w:top w:val="nil"/>
          <w:left w:val="nil"/>
          <w:bottom w:val="nil"/>
          <w:right w:val="nil"/>
          <w:between w:val="nil"/>
        </w:pBdr>
        <w:ind w:left="1134" w:right="900"/>
        <w:jc w:val="both"/>
        <w:rPr>
          <w:color w:val="000000"/>
        </w:rPr>
      </w:pPr>
      <w:r>
        <w:rPr>
          <w:rFonts w:ascii="Palatino Linotype" w:eastAsia="Palatino Linotype" w:hAnsi="Palatino Linotype" w:cs="Palatino Linotype"/>
          <w:i/>
          <w:color w:val="000000"/>
          <w:sz w:val="22"/>
          <w:szCs w:val="22"/>
        </w:rPr>
        <w:t>III. Como resultado de un proceso de mejora para mitigar el impacto de una vulneración a la seguridad ocurrida.</w:t>
      </w:r>
    </w:p>
    <w:p w14:paraId="7FE4BE3E" w14:textId="77777777" w:rsidR="00BF7F97" w:rsidRDefault="00243AE8">
      <w:pPr>
        <w:pBdr>
          <w:top w:val="nil"/>
          <w:left w:val="nil"/>
          <w:bottom w:val="nil"/>
          <w:right w:val="nil"/>
          <w:between w:val="nil"/>
        </w:pBdr>
        <w:ind w:left="1134" w:right="900"/>
        <w:jc w:val="both"/>
        <w:rPr>
          <w:color w:val="000000"/>
        </w:rPr>
      </w:pPr>
      <w:r>
        <w:rPr>
          <w:rFonts w:ascii="Palatino Linotype" w:eastAsia="Palatino Linotype" w:hAnsi="Palatino Linotype" w:cs="Palatino Linotype"/>
          <w:i/>
          <w:color w:val="000000"/>
          <w:sz w:val="22"/>
          <w:szCs w:val="22"/>
        </w:rPr>
        <w:t>IV. Implementación de acciones correctivas y preventivas ante una violación de la seguridad de los datos personales.” (Sic)</w:t>
      </w:r>
    </w:p>
    <w:p w14:paraId="05633A40" w14:textId="77777777" w:rsidR="00BF7F97" w:rsidRDefault="00243AE8">
      <w:pPr>
        <w:tabs>
          <w:tab w:val="left" w:pos="284"/>
          <w:tab w:val="left" w:pos="426"/>
        </w:tabs>
        <w:spacing w:before="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esa razón, de conformidad con lo que señala el artículo 33 de la Ley General de Protección de Datos Personales en Posesión de Sujetos Obligados, para establecer y mantener las medidas de seguridad para la protección de los datos personales, el responsable debe implementar un sistema de gestión contemplando los siguientes aspectos: </w:t>
      </w:r>
    </w:p>
    <w:p w14:paraId="4ABE681D" w14:textId="77777777" w:rsidR="00BF7F97" w:rsidRDefault="00BF7F97">
      <w:pPr>
        <w:spacing w:line="360" w:lineRule="auto"/>
        <w:ind w:right="-93"/>
        <w:jc w:val="both"/>
        <w:rPr>
          <w:rFonts w:ascii="Palatino Linotype" w:eastAsia="Palatino Linotype" w:hAnsi="Palatino Linotype" w:cs="Palatino Linotype"/>
        </w:rPr>
      </w:pPr>
    </w:p>
    <w:p w14:paraId="05AD0997" w14:textId="77777777" w:rsidR="00BF7F97" w:rsidRDefault="00243AE8">
      <w:pPr>
        <w:tabs>
          <w:tab w:val="left" w:pos="284"/>
          <w:tab w:val="left" w:pos="426"/>
        </w:tabs>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“Artículo 33.</w:t>
      </w:r>
      <w:r>
        <w:rPr>
          <w:rFonts w:ascii="Palatino Linotype" w:eastAsia="Palatino Linotype" w:hAnsi="Palatino Linotype" w:cs="Palatino Linotype"/>
          <w:i/>
          <w:sz w:val="22"/>
          <w:szCs w:val="22"/>
        </w:rPr>
        <w:t xml:space="preserve"> Para establecer y mantener las medidas de seguridad para la protección de los datos personales, el responsable deberá realizar, al menos, las siguientes actividades interrelacionadas: </w:t>
      </w:r>
    </w:p>
    <w:p w14:paraId="5A558C4B" w14:textId="77777777" w:rsidR="00BF7F97" w:rsidRDefault="00BF7F97">
      <w:pPr>
        <w:tabs>
          <w:tab w:val="left" w:pos="284"/>
          <w:tab w:val="left" w:pos="426"/>
        </w:tabs>
        <w:ind w:left="567" w:right="616"/>
        <w:jc w:val="both"/>
        <w:rPr>
          <w:rFonts w:ascii="Palatino Linotype" w:eastAsia="Palatino Linotype" w:hAnsi="Palatino Linotype" w:cs="Palatino Linotype"/>
          <w:i/>
          <w:sz w:val="22"/>
          <w:szCs w:val="22"/>
        </w:rPr>
      </w:pPr>
    </w:p>
    <w:p w14:paraId="1EF3FA0E" w14:textId="77777777" w:rsidR="00BF7F97" w:rsidRDefault="00243AE8">
      <w:pPr>
        <w:tabs>
          <w:tab w:val="left" w:pos="284"/>
          <w:tab w:val="left" w:pos="426"/>
        </w:tabs>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 Crear políticas internas para la gestión y tratamiento de los datos personales, que tomen en cuenta el contexto en el que ocurren los tratamientos y el ciclo de vida de los datos personales, es decir, su obtención, uso y posterior supresión; </w:t>
      </w:r>
    </w:p>
    <w:p w14:paraId="10CCB8A4" w14:textId="77777777" w:rsidR="00BF7F97" w:rsidRDefault="00BF7F97">
      <w:pPr>
        <w:tabs>
          <w:tab w:val="left" w:pos="284"/>
          <w:tab w:val="left" w:pos="426"/>
        </w:tabs>
        <w:ind w:left="567" w:right="616"/>
        <w:jc w:val="both"/>
        <w:rPr>
          <w:rFonts w:ascii="Palatino Linotype" w:eastAsia="Palatino Linotype" w:hAnsi="Palatino Linotype" w:cs="Palatino Linotype"/>
          <w:i/>
          <w:sz w:val="22"/>
          <w:szCs w:val="22"/>
        </w:rPr>
      </w:pPr>
    </w:p>
    <w:p w14:paraId="18D41EFB" w14:textId="77777777" w:rsidR="00BF7F97" w:rsidRDefault="00243AE8">
      <w:pPr>
        <w:tabs>
          <w:tab w:val="left" w:pos="284"/>
          <w:tab w:val="left" w:pos="426"/>
        </w:tabs>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Definir las funciones y obligaciones del personal involucrado en el tratamiento de datos personales;</w:t>
      </w:r>
    </w:p>
    <w:p w14:paraId="1CB54DE4" w14:textId="77777777" w:rsidR="00BF7F97" w:rsidRDefault="00243AE8">
      <w:pPr>
        <w:tabs>
          <w:tab w:val="left" w:pos="284"/>
          <w:tab w:val="left" w:pos="426"/>
        </w:tabs>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III. Elaborar un inventario de datos personales y de los sistemas de tratamiento; </w:t>
      </w:r>
    </w:p>
    <w:p w14:paraId="7279DAF9" w14:textId="77777777" w:rsidR="00BF7F97" w:rsidRDefault="00BF7F97">
      <w:pPr>
        <w:tabs>
          <w:tab w:val="left" w:pos="284"/>
          <w:tab w:val="left" w:pos="426"/>
        </w:tabs>
        <w:ind w:left="567" w:right="616"/>
        <w:jc w:val="both"/>
        <w:rPr>
          <w:rFonts w:ascii="Palatino Linotype" w:eastAsia="Palatino Linotype" w:hAnsi="Palatino Linotype" w:cs="Palatino Linotype"/>
          <w:i/>
          <w:sz w:val="22"/>
          <w:szCs w:val="22"/>
        </w:rPr>
      </w:pPr>
    </w:p>
    <w:p w14:paraId="47D276AC" w14:textId="77777777" w:rsidR="00BF7F97" w:rsidRDefault="00243AE8">
      <w:pPr>
        <w:tabs>
          <w:tab w:val="left" w:pos="284"/>
          <w:tab w:val="left" w:pos="426"/>
        </w:tabs>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IV. Realizar un análisis de riesgo de los datos personales, considerando las amenazas y vulnerabilidades existentes para los datos personales y los recursos involucrados en su tratamiento, como pueden ser, de manera enunciativa más no limitativa, hardware, software, personal del responsable, entre otros; </w:t>
      </w:r>
    </w:p>
    <w:p w14:paraId="701F73D5" w14:textId="77777777" w:rsidR="00BF7F97" w:rsidRDefault="00BF7F97">
      <w:pPr>
        <w:tabs>
          <w:tab w:val="left" w:pos="284"/>
          <w:tab w:val="left" w:pos="426"/>
        </w:tabs>
        <w:ind w:left="567" w:right="616"/>
        <w:jc w:val="both"/>
        <w:rPr>
          <w:rFonts w:ascii="Palatino Linotype" w:eastAsia="Palatino Linotype" w:hAnsi="Palatino Linotype" w:cs="Palatino Linotype"/>
          <w:i/>
          <w:sz w:val="22"/>
          <w:szCs w:val="22"/>
        </w:rPr>
      </w:pPr>
    </w:p>
    <w:p w14:paraId="01AB99EF" w14:textId="77777777" w:rsidR="00BF7F97" w:rsidRDefault="00243AE8">
      <w:pPr>
        <w:tabs>
          <w:tab w:val="left" w:pos="284"/>
          <w:tab w:val="left" w:pos="426"/>
        </w:tabs>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 Realizar un análisis de brecha, comparando las medidas de seguridad existentes contra las faltantes en la organización del responsable; </w:t>
      </w:r>
    </w:p>
    <w:p w14:paraId="2F3D1A80" w14:textId="77777777" w:rsidR="00BF7F97" w:rsidRDefault="00BF7F97">
      <w:pPr>
        <w:tabs>
          <w:tab w:val="left" w:pos="284"/>
          <w:tab w:val="left" w:pos="426"/>
        </w:tabs>
        <w:ind w:left="567" w:right="616"/>
        <w:jc w:val="both"/>
        <w:rPr>
          <w:rFonts w:ascii="Palatino Linotype" w:eastAsia="Palatino Linotype" w:hAnsi="Palatino Linotype" w:cs="Palatino Linotype"/>
          <w:i/>
          <w:sz w:val="22"/>
          <w:szCs w:val="22"/>
        </w:rPr>
      </w:pPr>
    </w:p>
    <w:p w14:paraId="562E6E94" w14:textId="77777777" w:rsidR="00BF7F97" w:rsidRDefault="00243AE8">
      <w:pPr>
        <w:tabs>
          <w:tab w:val="left" w:pos="284"/>
          <w:tab w:val="left" w:pos="426"/>
        </w:tabs>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 </w:t>
      </w:r>
      <w:r>
        <w:rPr>
          <w:rFonts w:ascii="Palatino Linotype" w:eastAsia="Palatino Linotype" w:hAnsi="Palatino Linotype" w:cs="Palatino Linotype"/>
          <w:b/>
          <w:i/>
          <w:sz w:val="22"/>
          <w:szCs w:val="22"/>
          <w:u w:val="single"/>
        </w:rPr>
        <w:t>Elaborar un plan de trabajo para la implementación de las medidas de seguridad faltantes</w:t>
      </w:r>
      <w:r>
        <w:rPr>
          <w:rFonts w:ascii="Palatino Linotype" w:eastAsia="Palatino Linotype" w:hAnsi="Palatino Linotype" w:cs="Palatino Linotype"/>
          <w:i/>
          <w:sz w:val="22"/>
          <w:szCs w:val="22"/>
        </w:rPr>
        <w:t xml:space="preserve">, así como las medidas para el cumplimiento cotidiano de las políticas de gestión y tratamiento de los datos personales; </w:t>
      </w:r>
    </w:p>
    <w:p w14:paraId="4E54F895" w14:textId="77777777" w:rsidR="00BF7F97" w:rsidRDefault="00BF7F97">
      <w:pPr>
        <w:tabs>
          <w:tab w:val="left" w:pos="284"/>
          <w:tab w:val="left" w:pos="426"/>
        </w:tabs>
        <w:ind w:left="567" w:right="616"/>
        <w:jc w:val="both"/>
        <w:rPr>
          <w:rFonts w:ascii="Palatino Linotype" w:eastAsia="Palatino Linotype" w:hAnsi="Palatino Linotype" w:cs="Palatino Linotype"/>
          <w:i/>
          <w:sz w:val="22"/>
          <w:szCs w:val="22"/>
        </w:rPr>
      </w:pPr>
    </w:p>
    <w:p w14:paraId="2CD15DA6" w14:textId="77777777" w:rsidR="00BF7F97" w:rsidRDefault="00243AE8">
      <w:pPr>
        <w:tabs>
          <w:tab w:val="left" w:pos="284"/>
          <w:tab w:val="left" w:pos="426"/>
        </w:tabs>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VII. Monitorear y revisar de manera periódica las medidas de seguridad implementadas, así como las amenazas y vulneraciones a las que están sujetos los datos personales, y </w:t>
      </w:r>
    </w:p>
    <w:p w14:paraId="770263E5" w14:textId="77777777" w:rsidR="00BF7F97" w:rsidRDefault="00BF7F97">
      <w:pPr>
        <w:tabs>
          <w:tab w:val="left" w:pos="284"/>
          <w:tab w:val="left" w:pos="426"/>
        </w:tabs>
        <w:ind w:left="567" w:right="616"/>
        <w:jc w:val="both"/>
        <w:rPr>
          <w:rFonts w:ascii="Palatino Linotype" w:eastAsia="Palatino Linotype" w:hAnsi="Palatino Linotype" w:cs="Palatino Linotype"/>
          <w:i/>
          <w:sz w:val="22"/>
          <w:szCs w:val="22"/>
        </w:rPr>
      </w:pPr>
    </w:p>
    <w:p w14:paraId="31BF4A0B" w14:textId="77777777" w:rsidR="00BF7F97" w:rsidRDefault="00243AE8">
      <w:pPr>
        <w:tabs>
          <w:tab w:val="left" w:pos="284"/>
          <w:tab w:val="left" w:pos="426"/>
        </w:tabs>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VIII. Diseñar y aplicar diferentes niveles de capacitación del personal bajo su mando, dependiendo de sus roles y responsabilidades respecto del tratamiento de los datos personales.” (Sic)</w:t>
      </w:r>
    </w:p>
    <w:p w14:paraId="12885999" w14:textId="77777777" w:rsidR="00BF7F97" w:rsidRDefault="00243AE8">
      <w:pPr>
        <w:tabs>
          <w:tab w:val="left" w:pos="284"/>
          <w:tab w:val="left" w:pos="426"/>
        </w:tabs>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Hasta este punto, podemos establecer que lo señalado anteriormente corresponde con lo solicitado por el particular, para adoptar un Sistema de Gestión de Seguridad de Datos Personales el </w:t>
      </w:r>
      <w:proofErr w:type="gramStart"/>
      <w:r>
        <w:rPr>
          <w:rFonts w:ascii="Palatino Linotype" w:eastAsia="Palatino Linotype" w:hAnsi="Palatino Linotype" w:cs="Palatino Linotype"/>
        </w:rPr>
        <w:t>Responsable</w:t>
      </w:r>
      <w:proofErr w:type="gramEnd"/>
      <w:r>
        <w:rPr>
          <w:rFonts w:ascii="Palatino Linotype" w:eastAsia="Palatino Linotype" w:hAnsi="Palatino Linotype" w:cs="Palatino Linotype"/>
        </w:rPr>
        <w:t xml:space="preserve"> se deben contemplar, entre otros aspectos, con </w:t>
      </w:r>
      <w:r>
        <w:rPr>
          <w:rFonts w:ascii="Palatino Linotype" w:eastAsia="Palatino Linotype" w:hAnsi="Palatino Linotype" w:cs="Palatino Linotype"/>
        </w:rPr>
        <w:lastRenderedPageBreak/>
        <w:t>la elaboración de un plan de trabajo para la implementación de las medidas de seguridad.</w:t>
      </w:r>
    </w:p>
    <w:p w14:paraId="13E1EEA5"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a través del Documento de Seguridad que se establecen las medidas de seguridad técnicas, físicas y administrativas adoptadas para garantizar la confidencialidad, integridad y disponibilidad de la información contenida en los sistemas y bases de datos personales, para mayor referencia se inserta el artículo 4, fracción XVIII de la Ley de Protección de Datos Personales en Posesión de los Sujetos Obligados del Estado de México y Municipios:</w:t>
      </w:r>
    </w:p>
    <w:p w14:paraId="5D8CDBEC" w14:textId="77777777" w:rsidR="00BF7F97" w:rsidRDefault="00243AE8">
      <w:pPr>
        <w:spacing w:before="240" w:after="360"/>
        <w:ind w:left="708"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4. Para los efectos de esta Ley se entenderá por: … </w:t>
      </w:r>
    </w:p>
    <w:p w14:paraId="7FDDDE79" w14:textId="77777777" w:rsidR="00BF7F97" w:rsidRDefault="00243AE8">
      <w:pPr>
        <w:spacing w:before="240" w:after="360" w:line="276" w:lineRule="auto"/>
        <w:ind w:left="708"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XVIII. </w:t>
      </w:r>
      <w:r>
        <w:rPr>
          <w:rFonts w:ascii="Palatino Linotype" w:eastAsia="Palatino Linotype" w:hAnsi="Palatino Linotype" w:cs="Palatino Linotype"/>
          <w:b/>
          <w:i/>
          <w:sz w:val="22"/>
          <w:szCs w:val="22"/>
        </w:rPr>
        <w:t xml:space="preserve">Documento de seguridad: </w:t>
      </w:r>
      <w:r>
        <w:rPr>
          <w:rFonts w:ascii="Palatino Linotype" w:eastAsia="Palatino Linotype" w:hAnsi="Palatino Linotype" w:cs="Palatino Linotype"/>
          <w:i/>
          <w:sz w:val="22"/>
          <w:szCs w:val="22"/>
        </w:rPr>
        <w:t xml:space="preserve">al </w:t>
      </w:r>
      <w:r>
        <w:rPr>
          <w:rFonts w:ascii="Palatino Linotype" w:eastAsia="Palatino Linotype" w:hAnsi="Palatino Linotype" w:cs="Palatino Linotype"/>
          <w:b/>
          <w:i/>
          <w:sz w:val="22"/>
          <w:szCs w:val="22"/>
          <w:u w:val="single"/>
        </w:rPr>
        <w:t>instrumento que describe y da cuenta de manera general sobre las medidas de seguridad técnicas, físicas y administrativas</w:t>
      </w:r>
      <w:r>
        <w:rPr>
          <w:rFonts w:ascii="Palatino Linotype" w:eastAsia="Palatino Linotype" w:hAnsi="Palatino Linotype" w:cs="Palatino Linotype"/>
          <w:i/>
          <w:sz w:val="22"/>
          <w:szCs w:val="22"/>
        </w:rPr>
        <w:t xml:space="preserve"> adoptadas por el responsable para garantizar la confidencialidad, integridad y disponibilidad de la información contenida en los sistemas y bases de datos personales.</w:t>
      </w:r>
    </w:p>
    <w:p w14:paraId="7DACBDD1" w14:textId="77777777" w:rsidR="00BF7F97" w:rsidRDefault="00243AE8">
      <w:pPr>
        <w:tabs>
          <w:tab w:val="left" w:pos="284"/>
          <w:tab w:val="left" w:pos="426"/>
        </w:tabs>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En razón de lo anterior, resulta imprescindible señalar que el Instituto Nacional de Transparencia, Acceso a la Información, y Protección de Datos Personales emitió una Guía para cumplir con los principios y deberes de la Ley General de Protección de Datos Personales en Posesión de Sujetos Obligados</w:t>
      </w:r>
      <w:r>
        <w:rPr>
          <w:rFonts w:ascii="Palatino Linotype" w:eastAsia="Palatino Linotype" w:hAnsi="Palatino Linotype" w:cs="Palatino Linotype"/>
          <w:vertAlign w:val="superscript"/>
        </w:rPr>
        <w:footnoteReference w:id="3"/>
      </w:r>
      <w:r>
        <w:rPr>
          <w:rFonts w:ascii="Palatino Linotype" w:eastAsia="Palatino Linotype" w:hAnsi="Palatino Linotype" w:cs="Palatino Linotype"/>
        </w:rPr>
        <w:t>, para el sector Público, dirigida a los Sujetos Obligados que traten datos personales, dicha Guía establece que por Sistema de Gestión de Seguridad de los Datos Personales se entenderá “…</w:t>
      </w:r>
      <w:r>
        <w:rPr>
          <w:rFonts w:ascii="Palatino Linotype" w:eastAsia="Palatino Linotype" w:hAnsi="Palatino Linotype" w:cs="Palatino Linotype"/>
          <w:i/>
        </w:rPr>
        <w:t xml:space="preserve">al conjunto de elementos y actividades relacionadas entre sí, que le permitirán al responsable </w:t>
      </w:r>
      <w:r>
        <w:rPr>
          <w:rFonts w:ascii="Palatino Linotype" w:eastAsia="Palatino Linotype" w:hAnsi="Palatino Linotype" w:cs="Palatino Linotype"/>
          <w:i/>
        </w:rPr>
        <w:lastRenderedPageBreak/>
        <w:t>planificar, implementar, monitorear y mejorar las medidas de seguridad de carácter administrativo, físico y técnico, tomando en consideración la normatividad aplicable, así como los estándares a nivel nacional e internacional, en materia de protección de datos personales y seguridad</w:t>
      </w:r>
      <w:r>
        <w:rPr>
          <w:rFonts w:ascii="Palatino Linotype" w:eastAsia="Palatino Linotype" w:hAnsi="Palatino Linotype" w:cs="Palatino Linotype"/>
        </w:rPr>
        <w:t>…”</w:t>
      </w:r>
    </w:p>
    <w:p w14:paraId="66FAF07C" w14:textId="77777777" w:rsidR="00BF7F97" w:rsidRDefault="00243AE8">
      <w:pPr>
        <w:tabs>
          <w:tab w:val="left" w:pos="284"/>
          <w:tab w:val="left" w:pos="426"/>
        </w:tabs>
        <w:spacing w:before="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Situación que se robustece con la siguiente captura de pantalla de la guía </w:t>
      </w:r>
      <w:proofErr w:type="gramStart"/>
      <w:r>
        <w:rPr>
          <w:rFonts w:ascii="Palatino Linotype" w:eastAsia="Palatino Linotype" w:hAnsi="Palatino Linotype" w:cs="Palatino Linotype"/>
        </w:rPr>
        <w:t>antes  mencionada</w:t>
      </w:r>
      <w:proofErr w:type="gramEnd"/>
      <w:r>
        <w:rPr>
          <w:rFonts w:ascii="Palatino Linotype" w:eastAsia="Palatino Linotype" w:hAnsi="Palatino Linotype" w:cs="Palatino Linotype"/>
        </w:rPr>
        <w:t xml:space="preserve"> que establece: </w:t>
      </w:r>
    </w:p>
    <w:p w14:paraId="43E8C519" w14:textId="77777777" w:rsidR="00BF7F97" w:rsidRDefault="00243AE8">
      <w:pPr>
        <w:spacing w:after="240" w:line="360" w:lineRule="auto"/>
        <w:jc w:val="center"/>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58DCAD10" wp14:editId="24E813C8">
            <wp:extent cx="4500000" cy="945652"/>
            <wp:effectExtent l="0" t="0" r="0" b="0"/>
            <wp:docPr id="10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
                    <a:srcRect l="59231" t="16596" r="9807" b="71837"/>
                    <a:stretch>
                      <a:fillRect/>
                    </a:stretch>
                  </pic:blipFill>
                  <pic:spPr>
                    <a:xfrm>
                      <a:off x="0" y="0"/>
                      <a:ext cx="4500000" cy="945652"/>
                    </a:xfrm>
                    <a:prstGeom prst="rect">
                      <a:avLst/>
                    </a:prstGeom>
                    <a:ln/>
                  </pic:spPr>
                </pic:pic>
              </a:graphicData>
            </a:graphic>
          </wp:inline>
        </w:drawing>
      </w:r>
      <w:r>
        <w:rPr>
          <w:rFonts w:ascii="Palatino Linotype" w:eastAsia="Palatino Linotype" w:hAnsi="Palatino Linotype" w:cs="Palatino Linotype"/>
          <w:noProof/>
          <w:lang w:eastAsia="es-MX"/>
        </w:rPr>
        <w:drawing>
          <wp:inline distT="0" distB="0" distL="0" distR="0" wp14:anchorId="764BB8BE" wp14:editId="51FB501A">
            <wp:extent cx="4717876" cy="2141312"/>
            <wp:effectExtent l="0" t="0" r="0" b="0"/>
            <wp:docPr id="10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
                    <a:srcRect l="58555" t="50090" r="9708" b="9174"/>
                    <a:stretch>
                      <a:fillRect/>
                    </a:stretch>
                  </pic:blipFill>
                  <pic:spPr>
                    <a:xfrm>
                      <a:off x="0" y="0"/>
                      <a:ext cx="4717876" cy="2141312"/>
                    </a:xfrm>
                    <a:prstGeom prst="rect">
                      <a:avLst/>
                    </a:prstGeom>
                    <a:ln/>
                  </pic:spPr>
                </pic:pic>
              </a:graphicData>
            </a:graphic>
          </wp:inline>
        </w:drawing>
      </w:r>
      <w:r>
        <w:rPr>
          <w:noProof/>
          <w:lang w:eastAsia="es-MX"/>
        </w:rPr>
        <mc:AlternateContent>
          <mc:Choice Requires="wpg">
            <w:drawing>
              <wp:anchor distT="0" distB="0" distL="114300" distR="114300" simplePos="0" relativeHeight="251658240" behindDoc="0" locked="0" layoutInCell="1" hidden="0" allowOverlap="1" wp14:anchorId="313CD1AF" wp14:editId="0544F10F">
                <wp:simplePos x="0" y="0"/>
                <wp:positionH relativeFrom="column">
                  <wp:posOffset>355600</wp:posOffset>
                </wp:positionH>
                <wp:positionV relativeFrom="paragraph">
                  <wp:posOffset>1231900</wp:posOffset>
                </wp:positionV>
                <wp:extent cx="4881730" cy="273050"/>
                <wp:effectExtent l="0" t="0" r="0" b="0"/>
                <wp:wrapNone/>
                <wp:docPr id="81" name="Rectángulo 81"/>
                <wp:cNvGraphicFramePr/>
                <a:graphic xmlns:a="http://schemas.openxmlformats.org/drawingml/2006/main">
                  <a:graphicData uri="http://schemas.microsoft.com/office/word/2010/wordprocessingShape">
                    <wps:wsp>
                      <wps:cNvSpPr/>
                      <wps:spPr>
                        <a:xfrm>
                          <a:off x="2933710" y="3672050"/>
                          <a:ext cx="4824580" cy="215900"/>
                        </a:xfrm>
                        <a:prstGeom prst="rect">
                          <a:avLst/>
                        </a:prstGeom>
                        <a:noFill/>
                        <a:ln w="57150" cap="flat" cmpd="sng">
                          <a:solidFill>
                            <a:srgbClr val="C00000"/>
                          </a:solidFill>
                          <a:prstDash val="solid"/>
                          <a:miter lim="800000"/>
                          <a:headEnd type="none" w="sm" len="sm"/>
                          <a:tailEnd type="none" w="sm" len="sm"/>
                        </a:ln>
                      </wps:spPr>
                      <wps:txbx>
                        <w:txbxContent>
                          <w:p w14:paraId="5E89D89D" w14:textId="77777777" w:rsidR="00BF7F97" w:rsidRDefault="00BF7F97">
                            <w:pPr>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355600</wp:posOffset>
                </wp:positionH>
                <wp:positionV relativeFrom="paragraph">
                  <wp:posOffset>1231900</wp:posOffset>
                </wp:positionV>
                <wp:extent cx="4881730" cy="273050"/>
                <wp:effectExtent b="0" l="0" r="0" t="0"/>
                <wp:wrapNone/>
                <wp:docPr id="81" name="image19.png"/>
                <a:graphic>
                  <a:graphicData uri="http://schemas.openxmlformats.org/drawingml/2006/picture">
                    <pic:pic>
                      <pic:nvPicPr>
                        <pic:cNvPr id="0" name="image19.png"/>
                        <pic:cNvPicPr preferRelativeResize="0"/>
                      </pic:nvPicPr>
                      <pic:blipFill>
                        <a:blip r:embed="rId45"/>
                        <a:srcRect/>
                        <a:stretch>
                          <a:fillRect/>
                        </a:stretch>
                      </pic:blipFill>
                      <pic:spPr>
                        <a:xfrm>
                          <a:off x="0" y="0"/>
                          <a:ext cx="4881730" cy="273050"/>
                        </a:xfrm>
                        <a:prstGeom prst="rect"/>
                        <a:ln/>
                      </pic:spPr>
                    </pic:pic>
                  </a:graphicData>
                </a:graphic>
              </wp:anchor>
            </w:drawing>
          </mc:Fallback>
        </mc:AlternateContent>
      </w:r>
    </w:p>
    <w:p w14:paraId="53DE3A2E" w14:textId="77777777" w:rsidR="00BF7F97" w:rsidRDefault="00243AE8">
      <w:pPr>
        <w:tabs>
          <w:tab w:val="left" w:pos="284"/>
          <w:tab w:val="left" w:pos="426"/>
        </w:tabs>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Dentro de la guía en cuestión, se </w:t>
      </w:r>
      <w:proofErr w:type="gramStart"/>
      <w:r>
        <w:rPr>
          <w:rFonts w:ascii="Palatino Linotype" w:eastAsia="Palatino Linotype" w:hAnsi="Palatino Linotype" w:cs="Palatino Linotype"/>
        </w:rPr>
        <w:t>precisa  que</w:t>
      </w:r>
      <w:proofErr w:type="gramEnd"/>
      <w:r>
        <w:rPr>
          <w:rFonts w:ascii="Palatino Linotype" w:eastAsia="Palatino Linotype" w:hAnsi="Palatino Linotype" w:cs="Palatino Linotype"/>
        </w:rPr>
        <w:t>, en cuanto al  “</w:t>
      </w:r>
      <w:r>
        <w:rPr>
          <w:rFonts w:ascii="Palatino Linotype" w:eastAsia="Palatino Linotype" w:hAnsi="Palatino Linotype" w:cs="Palatino Linotype"/>
          <w:b/>
          <w:i/>
        </w:rPr>
        <w:t xml:space="preserve">El plan de trabajo” </w:t>
      </w:r>
      <w:r>
        <w:rPr>
          <w:rFonts w:ascii="Palatino Linotype" w:eastAsia="Palatino Linotype" w:hAnsi="Palatino Linotype" w:cs="Palatino Linotype"/>
          <w:i/>
        </w:rPr>
        <w:t xml:space="preserve">Una vez realizados los análisis correspondientes entre los que se encuentran los de riesgos y de brecha, </w:t>
      </w:r>
      <w:r>
        <w:rPr>
          <w:rFonts w:ascii="Palatino Linotype" w:eastAsia="Palatino Linotype" w:hAnsi="Palatino Linotype" w:cs="Palatino Linotype"/>
          <w:b/>
          <w:i/>
          <w:u w:val="single"/>
        </w:rPr>
        <w:t>se debe elaborar un plan de trabajo con la finalidad de implementar las medidas de seguridad faltantes</w:t>
      </w:r>
      <w:r>
        <w:rPr>
          <w:rFonts w:ascii="Palatino Linotype" w:eastAsia="Palatino Linotype" w:hAnsi="Palatino Linotype" w:cs="Palatino Linotype"/>
          <w:i/>
        </w:rPr>
        <w:t xml:space="preserve">, así como para el cumplimiento cotidiano de las políticas de tratamiento de los datos personales. </w:t>
      </w:r>
    </w:p>
    <w:p w14:paraId="0F6AD859" w14:textId="77777777" w:rsidR="00BF7F97" w:rsidRDefault="00243AE8">
      <w:pPr>
        <w:tabs>
          <w:tab w:val="left" w:pos="284"/>
          <w:tab w:val="left" w:pos="426"/>
        </w:tabs>
        <w:spacing w:before="240" w:after="240" w:line="360" w:lineRule="auto"/>
        <w:ind w:right="51"/>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Para ello, se deben priorizar las medidas de seguridad más relevantes e inmediatas a establecer, habrá de considerarse los recursos económicos y humanos con los que cuenta el responsable para el cumplimiento, </w:t>
      </w:r>
      <w:r>
        <w:rPr>
          <w:rFonts w:ascii="Palatino Linotype" w:eastAsia="Palatino Linotype" w:hAnsi="Palatino Linotype" w:cs="Palatino Linotype"/>
          <w:b/>
          <w:i/>
          <w:u w:val="single"/>
        </w:rPr>
        <w:t>como todo plan de trabajo es indispensable que se fijen fechas compromiso, personas a cargo de su cumplimiento y para su implementación</w:t>
      </w:r>
      <w:r>
        <w:rPr>
          <w:rFonts w:ascii="Palatino Linotype" w:eastAsia="Palatino Linotype" w:hAnsi="Palatino Linotype" w:cs="Palatino Linotype"/>
          <w:i/>
        </w:rPr>
        <w:t>.</w:t>
      </w:r>
    </w:p>
    <w:p w14:paraId="10FA7573" w14:textId="77777777" w:rsidR="00BF7F97" w:rsidRDefault="00243AE8">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La situación anterior, se robustece con el contenido del artículo 35 de la Ley General en la materia en el cual se establece que el responsable del tratamiento de datos deberá elaborar un documento de seguridad en el que se contenga, al menos, lo siguiente:</w:t>
      </w:r>
    </w:p>
    <w:p w14:paraId="73786935" w14:textId="77777777" w:rsidR="00BF7F97" w:rsidRDefault="00243AE8">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35</w:t>
      </w:r>
      <w:r>
        <w:rPr>
          <w:rFonts w:ascii="Palatino Linotype" w:eastAsia="Palatino Linotype" w:hAnsi="Palatino Linotype" w:cs="Palatino Linotype"/>
          <w:i/>
          <w:sz w:val="22"/>
          <w:szCs w:val="22"/>
        </w:rPr>
        <w:t>. De manera particular, el responsable deberá elaborar un documento de seguridad que contenga, al menos, lo siguiente:</w:t>
      </w:r>
    </w:p>
    <w:p w14:paraId="6D690B70" w14:textId="77777777" w:rsidR="00BF7F97" w:rsidRDefault="00243AE8">
      <w:pPr>
        <w:tabs>
          <w:tab w:val="left" w:pos="8080"/>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El inventario de datos personales y de los sistemas de tratamiento;</w:t>
      </w:r>
    </w:p>
    <w:p w14:paraId="71E8CB2F" w14:textId="77777777" w:rsidR="00BF7F97" w:rsidRDefault="00243AE8">
      <w:pPr>
        <w:tabs>
          <w:tab w:val="left" w:pos="8080"/>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Las funciones y obligaciones de las personas que traten datos personales;</w:t>
      </w:r>
    </w:p>
    <w:p w14:paraId="0AC7C1E3" w14:textId="77777777" w:rsidR="00BF7F97" w:rsidRDefault="00243AE8">
      <w:pPr>
        <w:tabs>
          <w:tab w:val="left" w:pos="8080"/>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El análisis de riesgos;</w:t>
      </w:r>
    </w:p>
    <w:p w14:paraId="2C65E607" w14:textId="77777777" w:rsidR="00BF7F97" w:rsidRDefault="00243AE8">
      <w:pPr>
        <w:tabs>
          <w:tab w:val="left" w:pos="8080"/>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El análisis de brecha;</w:t>
      </w:r>
    </w:p>
    <w:p w14:paraId="5C3655BC" w14:textId="77777777" w:rsidR="00BF7F97" w:rsidRDefault="00243AE8">
      <w:pPr>
        <w:tabs>
          <w:tab w:val="left" w:pos="8080"/>
        </w:tabs>
        <w:spacing w:before="120" w:after="120"/>
        <w:ind w:left="1134" w:right="902"/>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V. El plan de trabajo;</w:t>
      </w:r>
    </w:p>
    <w:p w14:paraId="2B83FA2B" w14:textId="77777777" w:rsidR="00BF7F97" w:rsidRDefault="00243AE8">
      <w:pPr>
        <w:tabs>
          <w:tab w:val="left" w:pos="8080"/>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w:t>
      </w:r>
      <w:r>
        <w:rPr>
          <w:rFonts w:ascii="Palatino Linotype" w:eastAsia="Palatino Linotype" w:hAnsi="Palatino Linotype" w:cs="Palatino Linotype"/>
          <w:i/>
          <w:sz w:val="22"/>
          <w:szCs w:val="22"/>
        </w:rPr>
        <w:t>. Los mecanismos de monitoreo y revisión de las medidas de seguridad, y</w:t>
      </w:r>
    </w:p>
    <w:p w14:paraId="01211A8B" w14:textId="77777777" w:rsidR="00BF7F97" w:rsidRDefault="00243AE8">
      <w:pPr>
        <w:tabs>
          <w:tab w:val="left" w:pos="8080"/>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w:t>
      </w:r>
      <w:r>
        <w:rPr>
          <w:rFonts w:ascii="Palatino Linotype" w:eastAsia="Palatino Linotype" w:hAnsi="Palatino Linotype" w:cs="Palatino Linotype"/>
          <w:i/>
          <w:sz w:val="22"/>
          <w:szCs w:val="22"/>
        </w:rPr>
        <w:t>. El programa general de capacitación.”</w:t>
      </w:r>
    </w:p>
    <w:p w14:paraId="6E03EE95" w14:textId="77777777" w:rsidR="00BF7F97" w:rsidRDefault="00243AE8">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Por su parte, el Artículo 49 de la Ley de Protección de Datos Personales en Posesión de Sujetos Obligados del Estado de México y Municipios, que habla del contenido del documento de seguridad, estipula lo siguiente:</w:t>
      </w:r>
    </w:p>
    <w:p w14:paraId="27E4AACA" w14:textId="77777777" w:rsidR="00BF7F97" w:rsidRDefault="00243AE8">
      <w:pPr>
        <w:spacing w:before="120" w:after="120"/>
        <w:ind w:left="851" w:right="902"/>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49. </w:t>
      </w:r>
      <w:r>
        <w:rPr>
          <w:rFonts w:ascii="Palatino Linotype" w:eastAsia="Palatino Linotype" w:hAnsi="Palatino Linotype" w:cs="Palatino Linotype"/>
          <w:i/>
          <w:sz w:val="22"/>
          <w:szCs w:val="22"/>
        </w:rPr>
        <w:t xml:space="preserve">El </w:t>
      </w:r>
      <w:r>
        <w:rPr>
          <w:rFonts w:ascii="Palatino Linotype" w:eastAsia="Palatino Linotype" w:hAnsi="Palatino Linotype" w:cs="Palatino Linotype"/>
          <w:b/>
          <w:i/>
          <w:sz w:val="22"/>
          <w:szCs w:val="22"/>
        </w:rPr>
        <w:t xml:space="preserve">documento de seguridad </w:t>
      </w:r>
      <w:r>
        <w:rPr>
          <w:rFonts w:ascii="Palatino Linotype" w:eastAsia="Palatino Linotype" w:hAnsi="Palatino Linotype" w:cs="Palatino Linotype"/>
          <w:i/>
          <w:sz w:val="22"/>
          <w:szCs w:val="22"/>
        </w:rPr>
        <w:t>deberá contener como mínimo lo siguiente:</w:t>
      </w:r>
    </w:p>
    <w:p w14:paraId="0A78D28A" w14:textId="77777777" w:rsidR="00BF7F97" w:rsidRDefault="00243AE8">
      <w:pPr>
        <w:spacing w:before="120" w:after="120"/>
        <w:ind w:left="1134" w:right="902"/>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831B2BA" w14:textId="77777777" w:rsidR="00BF7F97" w:rsidRDefault="00243AE8">
      <w:pPr>
        <w:spacing w:before="120" w:after="120"/>
        <w:ind w:left="1134" w:right="902"/>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II.</w:t>
      </w:r>
      <w:r>
        <w:rPr>
          <w:rFonts w:ascii="Palatino Linotype" w:eastAsia="Palatino Linotype" w:hAnsi="Palatino Linotype" w:cs="Palatino Linotype"/>
          <w:i/>
          <w:sz w:val="22"/>
          <w:szCs w:val="22"/>
        </w:rPr>
        <w:t xml:space="preserve"> Respecto de las </w:t>
      </w:r>
      <w:r>
        <w:rPr>
          <w:rFonts w:ascii="Palatino Linotype" w:eastAsia="Palatino Linotype" w:hAnsi="Palatino Linotype" w:cs="Palatino Linotype"/>
          <w:b/>
          <w:i/>
          <w:sz w:val="22"/>
          <w:szCs w:val="22"/>
        </w:rPr>
        <w:t>medidas de seguridad</w:t>
      </w:r>
      <w:r>
        <w:rPr>
          <w:rFonts w:ascii="Palatino Linotype" w:eastAsia="Palatino Linotype" w:hAnsi="Palatino Linotype" w:cs="Palatino Linotype"/>
          <w:i/>
          <w:sz w:val="22"/>
          <w:szCs w:val="22"/>
        </w:rPr>
        <w:t xml:space="preserve"> implementadas deberá incluir lo siguiente:</w:t>
      </w:r>
    </w:p>
    <w:p w14:paraId="05A26510" w14:textId="77777777" w:rsidR="00BF7F97" w:rsidRDefault="00243AE8">
      <w:pPr>
        <w:spacing w:before="120" w:after="120"/>
        <w:ind w:left="1418" w:right="902"/>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20BC1F9" w14:textId="77777777" w:rsidR="00BF7F97" w:rsidRDefault="00243AE8">
      <w:pPr>
        <w:spacing w:before="120" w:after="120"/>
        <w:ind w:left="1418" w:right="902"/>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m)</w:t>
      </w:r>
      <w:r>
        <w:rPr>
          <w:rFonts w:ascii="Palatino Linotype" w:eastAsia="Palatino Linotype" w:hAnsi="Palatino Linotype" w:cs="Palatino Linotype"/>
          <w:i/>
          <w:sz w:val="22"/>
          <w:szCs w:val="22"/>
        </w:rPr>
        <w:t xml:space="preserve"> El plan de trabajo.”</w:t>
      </w:r>
    </w:p>
    <w:p w14:paraId="581D38E9"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Derivado de esta normatividad, queda especificado que </w:t>
      </w:r>
      <w:r>
        <w:rPr>
          <w:rFonts w:ascii="Palatino Linotype" w:eastAsia="Palatino Linotype" w:hAnsi="Palatino Linotype" w:cs="Palatino Linotype"/>
          <w:b/>
          <w:i/>
        </w:rPr>
        <w:t>el Plan de Trabajo</w:t>
      </w:r>
      <w:r>
        <w:rPr>
          <w:rFonts w:ascii="Palatino Linotype" w:eastAsia="Palatino Linotype" w:hAnsi="Palatino Linotype" w:cs="Palatino Linotype"/>
          <w:i/>
        </w:rPr>
        <w:t xml:space="preserve"> </w:t>
      </w:r>
      <w:r>
        <w:rPr>
          <w:rFonts w:ascii="Palatino Linotype" w:eastAsia="Palatino Linotype" w:hAnsi="Palatino Linotype" w:cs="Palatino Linotype"/>
        </w:rPr>
        <w:t xml:space="preserve">es un documento que, a su vez, forma parte del documento de seguridad, entendido como el </w:t>
      </w:r>
      <w:r>
        <w:rPr>
          <w:rFonts w:ascii="Palatino Linotype" w:eastAsia="Palatino Linotype" w:hAnsi="Palatino Linotype" w:cs="Palatino Linotype"/>
          <w:b/>
        </w:rPr>
        <w:t xml:space="preserve">instrumento que </w:t>
      </w:r>
      <w:r>
        <w:rPr>
          <w:rFonts w:ascii="Palatino Linotype" w:eastAsia="Palatino Linotype" w:hAnsi="Palatino Linotype" w:cs="Palatino Linotype"/>
          <w:b/>
          <w:u w:val="single"/>
        </w:rPr>
        <w:t>establece las medidas de seguridad</w:t>
      </w:r>
      <w:r>
        <w:rPr>
          <w:rFonts w:ascii="Palatino Linotype" w:eastAsia="Palatino Linotype" w:hAnsi="Palatino Linotype" w:cs="Palatino Linotype"/>
          <w:b/>
        </w:rPr>
        <w:t xml:space="preserve"> técnicas, físicas y administrativas adoptadas para garantizar la confidencialidad, integridad y disponibilidad de la información contenida en los sistemas y bases de datos personales</w:t>
      </w:r>
      <w:r>
        <w:rPr>
          <w:rFonts w:ascii="Palatino Linotype" w:eastAsia="Palatino Linotype" w:hAnsi="Palatino Linotype" w:cs="Palatino Linotype"/>
        </w:rPr>
        <w:t xml:space="preserve">. </w:t>
      </w:r>
    </w:p>
    <w:p w14:paraId="741D191C"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Para mayor referencia se inserta el artículo 4, fracción XVIII de la Ley de Protección de Datos Personales en Posesión de los Sujetos Obligados del Estado de México y Municipios:</w:t>
      </w:r>
    </w:p>
    <w:p w14:paraId="1B59388A" w14:textId="77777777" w:rsidR="00BF7F97" w:rsidRDefault="00243AE8">
      <w:pPr>
        <w:spacing w:before="120" w:after="120"/>
        <w:ind w:left="851"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Para los efectos de esta Ley se entenderá por: … </w:t>
      </w:r>
    </w:p>
    <w:p w14:paraId="48DAD93A" w14:textId="77777777" w:rsidR="00BF7F97" w:rsidRDefault="00243AE8">
      <w:pPr>
        <w:spacing w:before="120" w:after="120"/>
        <w:ind w:left="1134" w:right="1043"/>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0ECC70C6" w14:textId="77777777" w:rsidR="00BF7F97" w:rsidRDefault="00243AE8">
      <w:pPr>
        <w:spacing w:before="120" w:after="120"/>
        <w:ind w:left="1134"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XVIII. Documento de seguridad</w:t>
      </w:r>
      <w:r>
        <w:rPr>
          <w:rFonts w:ascii="Palatino Linotype" w:eastAsia="Palatino Linotype" w:hAnsi="Palatino Linotype" w:cs="Palatino Linotype"/>
          <w:i/>
          <w:sz w:val="22"/>
          <w:szCs w:val="22"/>
        </w:rPr>
        <w:t xml:space="preserve">: al instrumento que </w:t>
      </w:r>
      <w:r>
        <w:rPr>
          <w:rFonts w:ascii="Palatino Linotype" w:eastAsia="Palatino Linotype" w:hAnsi="Palatino Linotype" w:cs="Palatino Linotype"/>
          <w:b/>
          <w:i/>
          <w:sz w:val="22"/>
          <w:szCs w:val="22"/>
        </w:rPr>
        <w:t xml:space="preserve">describe y da cuenta de manera general sobre las </w:t>
      </w:r>
      <w:r>
        <w:rPr>
          <w:rFonts w:ascii="Palatino Linotype" w:eastAsia="Palatino Linotype" w:hAnsi="Palatino Linotype" w:cs="Palatino Linotype"/>
          <w:b/>
          <w:i/>
          <w:sz w:val="22"/>
          <w:szCs w:val="22"/>
          <w:u w:val="single"/>
        </w:rPr>
        <w:t>medidas de seguridad</w:t>
      </w:r>
      <w:r>
        <w:rPr>
          <w:rFonts w:ascii="Palatino Linotype" w:eastAsia="Palatino Linotype" w:hAnsi="Palatino Linotype" w:cs="Palatino Linotype"/>
          <w:b/>
          <w:i/>
          <w:sz w:val="22"/>
          <w:szCs w:val="22"/>
        </w:rPr>
        <w:t xml:space="preserve"> técnicas, físicas y administrativas adoptadas</w:t>
      </w:r>
      <w:r>
        <w:rPr>
          <w:rFonts w:ascii="Palatino Linotype" w:eastAsia="Palatino Linotype" w:hAnsi="Palatino Linotype" w:cs="Palatino Linotype"/>
          <w:i/>
          <w:sz w:val="22"/>
          <w:szCs w:val="22"/>
        </w:rPr>
        <w:t xml:space="preserve"> por el responsable para garantizar la confidencialidad, integridad y disponibilidad de la información contenida en los sistemas y bases de datos personales.”</w:t>
      </w:r>
    </w:p>
    <w:p w14:paraId="540F0238"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ese orden de ideas, en lo que respecta al </w:t>
      </w:r>
      <w:r>
        <w:rPr>
          <w:rFonts w:ascii="Palatino Linotype" w:eastAsia="Palatino Linotype" w:hAnsi="Palatino Linotype" w:cs="Palatino Linotype"/>
          <w:b/>
        </w:rPr>
        <w:t>Plan de Trabajo del Sistema de Gestión de Protección de Datos Personales</w:t>
      </w:r>
      <w:r>
        <w:rPr>
          <w:rFonts w:ascii="Palatino Linotype" w:eastAsia="Palatino Linotype" w:hAnsi="Palatino Linotype" w:cs="Palatino Linotype"/>
        </w:rPr>
        <w:t xml:space="preserve">, es un documento forma parte de las obligaciones conferidas a los Sujetos Obligados para establecer y mantener las medidas de seguridad; sin embargo, pudiera contener dentro de los elementos que </w:t>
      </w:r>
      <w:r>
        <w:rPr>
          <w:rFonts w:ascii="Palatino Linotype" w:eastAsia="Palatino Linotype" w:hAnsi="Palatino Linotype" w:cs="Palatino Linotype"/>
        </w:rPr>
        <w:lastRenderedPageBreak/>
        <w:t>lo conforman, parte de las medidas de seguridad referidas en párrafos que preceden y por lo tanto,</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rPr>
        <w:t>deben considerarse como información de carácter confidencial, de conformidad con el artículo 46 de la Ley de Protección de Datos Personales en Posesión de Sujetos Obligados del Estado de México y Municipios, que a la letra señalan lo siguiente:</w:t>
      </w:r>
    </w:p>
    <w:p w14:paraId="5ED4F136" w14:textId="77777777" w:rsidR="00BF7F97" w:rsidRDefault="00243AE8">
      <w:pPr>
        <w:pBdr>
          <w:top w:val="nil"/>
          <w:left w:val="nil"/>
          <w:bottom w:val="nil"/>
          <w:right w:val="nil"/>
          <w:between w:val="nil"/>
        </w:pBdr>
        <w:spacing w:before="120" w:after="120"/>
        <w:ind w:left="851" w:right="851"/>
        <w:jc w:val="both"/>
        <w:rPr>
          <w:color w:val="000000"/>
        </w:rPr>
      </w:pPr>
      <w:r>
        <w:rPr>
          <w:rFonts w:ascii="Palatino Linotype" w:eastAsia="Palatino Linotype" w:hAnsi="Palatino Linotype" w:cs="Palatino Linotype"/>
          <w:b/>
          <w:i/>
          <w:color w:val="000000"/>
          <w:sz w:val="22"/>
          <w:szCs w:val="22"/>
        </w:rPr>
        <w:t>“Actividades interrelacionadas para establecer y mantener las medidas de seguridad</w:t>
      </w:r>
    </w:p>
    <w:p w14:paraId="2A36A0C6" w14:textId="77777777" w:rsidR="00BF7F97" w:rsidRDefault="00243AE8">
      <w:pPr>
        <w:pBdr>
          <w:top w:val="nil"/>
          <w:left w:val="nil"/>
          <w:bottom w:val="nil"/>
          <w:right w:val="nil"/>
          <w:between w:val="nil"/>
        </w:pBdr>
        <w:spacing w:before="120" w:after="120"/>
        <w:ind w:left="851" w:right="851"/>
        <w:jc w:val="both"/>
        <w:rPr>
          <w:color w:val="000000"/>
        </w:rPr>
      </w:pPr>
      <w:r>
        <w:rPr>
          <w:rFonts w:ascii="Palatino Linotype" w:eastAsia="Palatino Linotype" w:hAnsi="Palatino Linotype" w:cs="Palatino Linotype"/>
          <w:b/>
          <w:i/>
          <w:color w:val="000000"/>
          <w:sz w:val="22"/>
          <w:szCs w:val="22"/>
        </w:rPr>
        <w:t>Artículo 46</w:t>
      </w:r>
      <w:r>
        <w:rPr>
          <w:rFonts w:ascii="Palatino Linotype" w:eastAsia="Palatino Linotype" w:hAnsi="Palatino Linotype" w:cs="Palatino Linotype"/>
          <w:i/>
          <w:color w:val="000000"/>
          <w:sz w:val="22"/>
          <w:szCs w:val="22"/>
        </w:rPr>
        <w:t>. Para establecer y mantener las medidas de seguridad para la protección de los datos personales, el responsable realizará, al menos, las actividades interrelacionadas siguientes: </w:t>
      </w:r>
    </w:p>
    <w:p w14:paraId="0CC2A4F3" w14:textId="77777777" w:rsidR="00BF7F97" w:rsidRDefault="00243AE8">
      <w:pPr>
        <w:pBdr>
          <w:top w:val="nil"/>
          <w:left w:val="nil"/>
          <w:bottom w:val="nil"/>
          <w:right w:val="nil"/>
          <w:between w:val="nil"/>
        </w:pBdr>
        <w:spacing w:before="120" w:after="120"/>
        <w:ind w:left="1134" w:right="851"/>
        <w:jc w:val="both"/>
        <w:rPr>
          <w:color w:val="000000"/>
        </w:rPr>
      </w:pPr>
      <w:r>
        <w:rPr>
          <w:rFonts w:ascii="Palatino Linotype" w:eastAsia="Palatino Linotype" w:hAnsi="Palatino Linotype" w:cs="Palatino Linotype"/>
          <w:b/>
          <w:i/>
          <w:color w:val="000000"/>
          <w:sz w:val="22"/>
          <w:szCs w:val="22"/>
        </w:rPr>
        <w:t>I.</w:t>
      </w:r>
      <w:r>
        <w:rPr>
          <w:rFonts w:ascii="Palatino Linotype" w:eastAsia="Palatino Linotype" w:hAnsi="Palatino Linotype" w:cs="Palatino Linotype"/>
          <w:i/>
          <w:color w:val="000000"/>
          <w:sz w:val="22"/>
          <w:szCs w:val="22"/>
        </w:rPr>
        <w:t xml:space="preserve"> Crear políticas internas para la gestión y tratamiento de los datos personales, que tomen en cuenta el contexto en el que ocurren los tratamientos y el ciclo de vida de los datos personales, es decir, su obtención, uso y posterior supresión. </w:t>
      </w:r>
    </w:p>
    <w:p w14:paraId="223EA9AA" w14:textId="77777777" w:rsidR="00BF7F97" w:rsidRDefault="00243AE8">
      <w:pPr>
        <w:pBdr>
          <w:top w:val="nil"/>
          <w:left w:val="nil"/>
          <w:bottom w:val="nil"/>
          <w:right w:val="nil"/>
          <w:between w:val="nil"/>
        </w:pBdr>
        <w:spacing w:before="120" w:after="120"/>
        <w:ind w:left="1134" w:right="851"/>
        <w:jc w:val="both"/>
        <w:rPr>
          <w:color w:val="000000"/>
        </w:rPr>
      </w:pPr>
      <w:r>
        <w:rPr>
          <w:rFonts w:ascii="Palatino Linotype" w:eastAsia="Palatino Linotype" w:hAnsi="Palatino Linotype" w:cs="Palatino Linotype"/>
          <w:b/>
          <w:i/>
          <w:color w:val="000000"/>
          <w:sz w:val="22"/>
          <w:szCs w:val="22"/>
        </w:rPr>
        <w:t>II.</w:t>
      </w:r>
      <w:r>
        <w:rPr>
          <w:rFonts w:ascii="Palatino Linotype" w:eastAsia="Palatino Linotype" w:hAnsi="Palatino Linotype" w:cs="Palatino Linotype"/>
          <w:i/>
          <w:color w:val="000000"/>
          <w:sz w:val="22"/>
          <w:szCs w:val="22"/>
        </w:rPr>
        <w:t xml:space="preserve"> Definir las funciones y obligaciones del personal involucrado en el tratamiento de datos personales. </w:t>
      </w:r>
    </w:p>
    <w:p w14:paraId="58FF98C0" w14:textId="77777777" w:rsidR="00BF7F97" w:rsidRDefault="00243AE8">
      <w:pPr>
        <w:pBdr>
          <w:top w:val="nil"/>
          <w:left w:val="nil"/>
          <w:bottom w:val="nil"/>
          <w:right w:val="nil"/>
          <w:between w:val="nil"/>
        </w:pBdr>
        <w:spacing w:before="120" w:after="120"/>
        <w:ind w:left="1134" w:right="851"/>
        <w:jc w:val="both"/>
        <w:rPr>
          <w:color w:val="000000"/>
        </w:rPr>
      </w:pPr>
      <w:r>
        <w:rPr>
          <w:rFonts w:ascii="Palatino Linotype" w:eastAsia="Palatino Linotype" w:hAnsi="Palatino Linotype" w:cs="Palatino Linotype"/>
          <w:b/>
          <w:i/>
          <w:color w:val="000000"/>
          <w:sz w:val="22"/>
          <w:szCs w:val="22"/>
        </w:rPr>
        <w:t>III.</w:t>
      </w:r>
      <w:r>
        <w:rPr>
          <w:rFonts w:ascii="Palatino Linotype" w:eastAsia="Palatino Linotype" w:hAnsi="Palatino Linotype" w:cs="Palatino Linotype"/>
          <w:i/>
          <w:color w:val="000000"/>
          <w:sz w:val="22"/>
          <w:szCs w:val="22"/>
        </w:rPr>
        <w:t xml:space="preserve"> Elaborar un inventario de datos personales y de las bases y o sistemas de tratamiento. </w:t>
      </w:r>
    </w:p>
    <w:p w14:paraId="6093EE37" w14:textId="77777777" w:rsidR="00BF7F97" w:rsidRDefault="00243AE8">
      <w:pPr>
        <w:pBdr>
          <w:top w:val="nil"/>
          <w:left w:val="nil"/>
          <w:bottom w:val="nil"/>
          <w:right w:val="nil"/>
          <w:between w:val="nil"/>
        </w:pBdr>
        <w:spacing w:before="120" w:after="120"/>
        <w:ind w:left="1134" w:right="851"/>
        <w:jc w:val="both"/>
        <w:rPr>
          <w:color w:val="000000"/>
        </w:rPr>
      </w:pPr>
      <w:r>
        <w:rPr>
          <w:rFonts w:ascii="Palatino Linotype" w:eastAsia="Palatino Linotype" w:hAnsi="Palatino Linotype" w:cs="Palatino Linotype"/>
          <w:b/>
          <w:i/>
          <w:color w:val="000000"/>
          <w:sz w:val="22"/>
          <w:szCs w:val="22"/>
        </w:rPr>
        <w:t>IV.</w:t>
      </w:r>
      <w:r>
        <w:rPr>
          <w:rFonts w:ascii="Palatino Linotype" w:eastAsia="Palatino Linotype" w:hAnsi="Palatino Linotype" w:cs="Palatino Linotype"/>
          <w:i/>
          <w:color w:val="000000"/>
          <w:sz w:val="22"/>
          <w:szCs w:val="22"/>
        </w:rPr>
        <w:t xml:space="preserve"> Realizar un análisis de riesgo de los datos personales, considerando las amenazas y vulnerabilidades existentes para los datos personales y los recursos involucrados en su tratamiento, como pueden ser, de manera enunciativa más no limitativa, hardware, software, personal del responsable, entre otros. </w:t>
      </w:r>
    </w:p>
    <w:p w14:paraId="2626A679" w14:textId="77777777" w:rsidR="00BF7F97" w:rsidRDefault="00243AE8">
      <w:pPr>
        <w:pBdr>
          <w:top w:val="nil"/>
          <w:left w:val="nil"/>
          <w:bottom w:val="nil"/>
          <w:right w:val="nil"/>
          <w:between w:val="nil"/>
        </w:pBdr>
        <w:spacing w:before="120" w:after="120"/>
        <w:ind w:left="1134" w:right="851"/>
        <w:jc w:val="both"/>
        <w:rPr>
          <w:color w:val="000000"/>
        </w:rPr>
      </w:pPr>
      <w:r>
        <w:rPr>
          <w:rFonts w:ascii="Palatino Linotype" w:eastAsia="Palatino Linotype" w:hAnsi="Palatino Linotype" w:cs="Palatino Linotype"/>
          <w:b/>
          <w:i/>
          <w:color w:val="000000"/>
          <w:sz w:val="22"/>
          <w:szCs w:val="22"/>
        </w:rPr>
        <w:t>V.</w:t>
      </w:r>
      <w:r>
        <w:rPr>
          <w:rFonts w:ascii="Palatino Linotype" w:eastAsia="Palatino Linotype" w:hAnsi="Palatino Linotype" w:cs="Palatino Linotype"/>
          <w:i/>
          <w:color w:val="000000"/>
          <w:sz w:val="22"/>
          <w:szCs w:val="22"/>
        </w:rPr>
        <w:t xml:space="preserve"> Realizar un análisis de brecha, comparando las medidas de seguridad existentes contra las faltantes en la organización del responsable.</w:t>
      </w:r>
    </w:p>
    <w:p w14:paraId="33CD386A" w14:textId="77777777" w:rsidR="00BF7F97" w:rsidRDefault="00243AE8">
      <w:pPr>
        <w:pBdr>
          <w:top w:val="nil"/>
          <w:left w:val="nil"/>
          <w:bottom w:val="nil"/>
          <w:right w:val="nil"/>
          <w:between w:val="nil"/>
        </w:pBdr>
        <w:spacing w:before="120" w:after="120"/>
        <w:ind w:left="1134" w:right="851"/>
        <w:jc w:val="both"/>
        <w:rPr>
          <w:color w:val="000000"/>
        </w:rPr>
      </w:pPr>
      <w:r>
        <w:rPr>
          <w:rFonts w:ascii="Palatino Linotype" w:eastAsia="Palatino Linotype" w:hAnsi="Palatino Linotype" w:cs="Palatino Linotype"/>
          <w:b/>
          <w:i/>
          <w:color w:val="000000"/>
          <w:sz w:val="22"/>
          <w:szCs w:val="22"/>
        </w:rPr>
        <w:t>VI.</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rPr>
        <w:t>Elaborar un plan de trabajo para la implementación de las medidas de seguridad</w:t>
      </w:r>
      <w:r>
        <w:rPr>
          <w:rFonts w:ascii="Palatino Linotype" w:eastAsia="Palatino Linotype" w:hAnsi="Palatino Linotype" w:cs="Palatino Linotype"/>
          <w:i/>
          <w:color w:val="000000"/>
          <w:sz w:val="22"/>
          <w:szCs w:val="22"/>
        </w:rPr>
        <w:t xml:space="preserve"> faltantes, </w:t>
      </w:r>
      <w:r>
        <w:rPr>
          <w:rFonts w:ascii="Palatino Linotype" w:eastAsia="Palatino Linotype" w:hAnsi="Palatino Linotype" w:cs="Palatino Linotype"/>
          <w:b/>
          <w:i/>
          <w:color w:val="000000"/>
          <w:sz w:val="22"/>
          <w:szCs w:val="22"/>
          <w:u w:val="single"/>
        </w:rPr>
        <w:t>así como las medidas para el cumplimiento cotidiano de las políticas de gestión y tratamiento de los datos personales</w:t>
      </w:r>
      <w:r>
        <w:rPr>
          <w:rFonts w:ascii="Palatino Linotype" w:eastAsia="Palatino Linotype" w:hAnsi="Palatino Linotype" w:cs="Palatino Linotype"/>
          <w:i/>
          <w:color w:val="000000"/>
          <w:sz w:val="22"/>
          <w:szCs w:val="22"/>
        </w:rPr>
        <w:t>.</w:t>
      </w:r>
    </w:p>
    <w:p w14:paraId="62FA06C8" w14:textId="77777777" w:rsidR="00BF7F97" w:rsidRDefault="00243AE8">
      <w:pPr>
        <w:pBdr>
          <w:top w:val="nil"/>
          <w:left w:val="nil"/>
          <w:bottom w:val="nil"/>
          <w:right w:val="nil"/>
          <w:between w:val="nil"/>
        </w:pBdr>
        <w:spacing w:before="120" w:after="120"/>
        <w:ind w:left="1134" w:right="851"/>
        <w:jc w:val="both"/>
        <w:rPr>
          <w:color w:val="000000"/>
        </w:rPr>
      </w:pPr>
      <w:r>
        <w:rPr>
          <w:rFonts w:ascii="Palatino Linotype" w:eastAsia="Palatino Linotype" w:hAnsi="Palatino Linotype" w:cs="Palatino Linotype"/>
          <w:b/>
          <w:i/>
          <w:color w:val="000000"/>
          <w:sz w:val="22"/>
          <w:szCs w:val="22"/>
        </w:rPr>
        <w:lastRenderedPageBreak/>
        <w:t>VII.</w:t>
      </w:r>
      <w:r>
        <w:rPr>
          <w:rFonts w:ascii="Palatino Linotype" w:eastAsia="Palatino Linotype" w:hAnsi="Palatino Linotype" w:cs="Palatino Linotype"/>
          <w:i/>
          <w:color w:val="000000"/>
          <w:sz w:val="22"/>
          <w:szCs w:val="22"/>
        </w:rPr>
        <w:t xml:space="preserve"> Monitorear y revisar de manera periódica las medidas de seguridad implementadas, así como las amenazas y vulnerabilidades a las que están sujetos los datos personales. </w:t>
      </w:r>
    </w:p>
    <w:p w14:paraId="2CE3236A" w14:textId="77777777" w:rsidR="00BF7F97" w:rsidRDefault="00243AE8">
      <w:pPr>
        <w:pBdr>
          <w:top w:val="nil"/>
          <w:left w:val="nil"/>
          <w:bottom w:val="nil"/>
          <w:right w:val="nil"/>
          <w:between w:val="nil"/>
        </w:pBdr>
        <w:spacing w:before="120" w:after="120"/>
        <w:ind w:left="1134" w:right="851"/>
        <w:jc w:val="both"/>
        <w:rPr>
          <w:color w:val="000000"/>
        </w:rPr>
      </w:pPr>
      <w:r>
        <w:rPr>
          <w:rFonts w:ascii="Palatino Linotype" w:eastAsia="Palatino Linotype" w:hAnsi="Palatino Linotype" w:cs="Palatino Linotype"/>
          <w:b/>
          <w:i/>
          <w:color w:val="000000"/>
          <w:sz w:val="22"/>
          <w:szCs w:val="22"/>
        </w:rPr>
        <w:t>VIII.</w:t>
      </w:r>
      <w:r>
        <w:rPr>
          <w:rFonts w:ascii="Palatino Linotype" w:eastAsia="Palatino Linotype" w:hAnsi="Palatino Linotype" w:cs="Palatino Linotype"/>
          <w:i/>
          <w:color w:val="000000"/>
          <w:sz w:val="22"/>
          <w:szCs w:val="22"/>
        </w:rPr>
        <w:t xml:space="preserve"> Diseñar y aplicar diferentes niveles de capacitación del personal bajo su mando, dependiendo de sus roles y responsabilidades respecto del tratamiento de los datos personales.”</w:t>
      </w:r>
    </w:p>
    <w:p w14:paraId="20D25D8C" w14:textId="77777777" w:rsidR="00BF7F97" w:rsidRDefault="00243AE8">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Del artículo en cita podemos advertir que, con el propósito establecer y mantener las medidas de seguridad para la protección de los datos personales, el responsable realizará diversas actividades, entre ellas, crear políticas internas para la gestión y tratamiento de los datos personales, definir las funciones y obligaciones del personal involucrado en el tratamiento de datos personales, </w:t>
      </w:r>
      <w:r>
        <w:rPr>
          <w:rFonts w:ascii="Palatino Linotype" w:eastAsia="Palatino Linotype" w:hAnsi="Palatino Linotype" w:cs="Palatino Linotype"/>
          <w:b/>
          <w:color w:val="000000"/>
          <w:u w:val="single"/>
        </w:rPr>
        <w:t xml:space="preserve">así como elaborar un inventario de datos personales y de las bases </w:t>
      </w:r>
      <w:r>
        <w:rPr>
          <w:rFonts w:ascii="Palatino Linotype" w:eastAsia="Palatino Linotype" w:hAnsi="Palatino Linotype" w:cs="Palatino Linotype"/>
          <w:color w:val="000000"/>
        </w:rPr>
        <w:t>y</w:t>
      </w:r>
      <w:r>
        <w:rPr>
          <w:rFonts w:ascii="Palatino Linotype" w:eastAsia="Palatino Linotype" w:hAnsi="Palatino Linotype" w:cs="Palatino Linotype"/>
        </w:rPr>
        <w:t>/</w:t>
      </w:r>
      <w:r>
        <w:rPr>
          <w:rFonts w:ascii="Palatino Linotype" w:eastAsia="Palatino Linotype" w:hAnsi="Palatino Linotype" w:cs="Palatino Linotype"/>
          <w:color w:val="000000"/>
        </w:rPr>
        <w:t xml:space="preserve">o sistemas de tratamiento, mismos que al no formar parte de las medidas de seguridad adoptadas por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son susceptibles de entrega.</w:t>
      </w:r>
    </w:p>
    <w:p w14:paraId="415B74A3" w14:textId="77777777" w:rsidR="00BF7F97" w:rsidRDefault="00243AE8">
      <w:pPr>
        <w:pBdr>
          <w:top w:val="nil"/>
          <w:left w:val="nil"/>
          <w:bottom w:val="nil"/>
          <w:right w:val="nil"/>
          <w:between w:val="nil"/>
        </w:pBdr>
        <w:tabs>
          <w:tab w:val="left" w:pos="3105"/>
        </w:tabs>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Derivado de lo expuesto ha quedado demostrado que la normatividad aplicable contempla la elaboración de </w:t>
      </w:r>
      <w:proofErr w:type="gramStart"/>
      <w:r>
        <w:rPr>
          <w:rFonts w:ascii="Palatino Linotype" w:eastAsia="Palatino Linotype" w:hAnsi="Palatino Linotype" w:cs="Palatino Linotype"/>
          <w:color w:val="000000"/>
        </w:rPr>
        <w:t>un  plan</w:t>
      </w:r>
      <w:proofErr w:type="gramEnd"/>
      <w:r>
        <w:rPr>
          <w:rFonts w:ascii="Palatino Linotype" w:eastAsia="Palatino Linotype" w:hAnsi="Palatino Linotype" w:cs="Palatino Linotype"/>
          <w:color w:val="000000"/>
        </w:rPr>
        <w:t xml:space="preserve"> de trabajo, mismo que forma parte de las medidas de seguridad, del documento de seguridad.</w:t>
      </w:r>
    </w:p>
    <w:p w14:paraId="6C967491"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No obstante, es de precisar que dicha información, es decir, </w:t>
      </w:r>
      <w:r>
        <w:rPr>
          <w:rFonts w:ascii="Palatino Linotype" w:eastAsia="Palatino Linotype" w:hAnsi="Palatino Linotype" w:cs="Palatino Linotype"/>
          <w:b/>
        </w:rPr>
        <w:t>las medidas de seguridad del referido documento de seguridad,</w:t>
      </w:r>
      <w:r>
        <w:rPr>
          <w:rFonts w:ascii="Palatino Linotype" w:eastAsia="Palatino Linotype" w:hAnsi="Palatino Linotype" w:cs="Palatino Linotype"/>
        </w:rPr>
        <w:t xml:space="preserve"> cuenta con carácter de confidencial, de conformidad con lo estipulado en el artículo 43, segundo párrafo, de la Ley de Protección de Datos Personales en Posesión de Sujetos Obligados del Estado de México y Municipios, a saber: </w:t>
      </w:r>
    </w:p>
    <w:p w14:paraId="6302D955" w14:textId="77777777" w:rsidR="00BF7F97" w:rsidRDefault="00243AE8">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43.</w:t>
      </w:r>
      <w:r>
        <w:rPr>
          <w:rFonts w:ascii="Palatino Linotype" w:eastAsia="Palatino Linotype" w:hAnsi="Palatino Linotype" w:cs="Palatino Linotype"/>
          <w:i/>
          <w:sz w:val="22"/>
          <w:szCs w:val="22"/>
        </w:rPr>
        <w:t>..</w:t>
      </w:r>
    </w:p>
    <w:p w14:paraId="7F58790D" w14:textId="77777777" w:rsidR="00BF7F97" w:rsidRDefault="00243AE8">
      <w:pPr>
        <w:spacing w:before="120" w:after="120"/>
        <w:ind w:left="851" w:right="902"/>
        <w:jc w:val="both"/>
        <w:rPr>
          <w:rFonts w:ascii="Palatino Linotype" w:eastAsia="Palatino Linotype" w:hAnsi="Palatino Linotype" w:cs="Palatino Linotype"/>
          <w:i/>
        </w:rPr>
      </w:pPr>
      <w:r>
        <w:rPr>
          <w:rFonts w:ascii="Palatino Linotype" w:eastAsia="Palatino Linotype" w:hAnsi="Palatino Linotype" w:cs="Palatino Linotype"/>
          <w:b/>
          <w:i/>
          <w:sz w:val="22"/>
          <w:szCs w:val="22"/>
        </w:rPr>
        <w:lastRenderedPageBreak/>
        <w:t xml:space="preserve">Por la naturaleza de la información, </w:t>
      </w:r>
      <w:r>
        <w:rPr>
          <w:rFonts w:ascii="Palatino Linotype" w:eastAsia="Palatino Linotype" w:hAnsi="Palatino Linotype" w:cs="Palatino Linotype"/>
          <w:b/>
          <w:i/>
          <w:sz w:val="22"/>
          <w:szCs w:val="22"/>
          <w:u w:val="single"/>
        </w:rPr>
        <w:t>las medidas de seguridad</w:t>
      </w:r>
      <w:r>
        <w:rPr>
          <w:rFonts w:ascii="Palatino Linotype" w:eastAsia="Palatino Linotype" w:hAnsi="Palatino Linotype" w:cs="Palatino Linotype"/>
          <w:b/>
          <w:i/>
          <w:sz w:val="22"/>
          <w:szCs w:val="22"/>
        </w:rPr>
        <w:t xml:space="preserve"> que se adopten </w:t>
      </w:r>
      <w:r>
        <w:rPr>
          <w:rFonts w:ascii="Palatino Linotype" w:eastAsia="Palatino Linotype" w:hAnsi="Palatino Linotype" w:cs="Palatino Linotype"/>
          <w:b/>
          <w:i/>
          <w:sz w:val="22"/>
          <w:szCs w:val="22"/>
          <w:u w:val="single"/>
        </w:rPr>
        <w:t>serán consideradas confidenciales</w:t>
      </w:r>
      <w:r>
        <w:rPr>
          <w:rFonts w:ascii="Palatino Linotype" w:eastAsia="Palatino Linotype" w:hAnsi="Palatino Linotype" w:cs="Palatino Linotype"/>
          <w:i/>
          <w:sz w:val="22"/>
          <w:szCs w:val="22"/>
        </w:rPr>
        <w:t xml:space="preserve"> y únicamente se comunicará al Instituto, para su registro, el nivel de seguridad aplicable.”</w:t>
      </w:r>
    </w:p>
    <w:p w14:paraId="0028EC80"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este orden de ideas, la Ley de Transparencia y Acceso a la Información Pública del Estado de México y Municipios indica lo siguiente respecto a la clasificación de la información:</w:t>
      </w:r>
    </w:p>
    <w:p w14:paraId="3D0598E2" w14:textId="77777777" w:rsidR="00BF7F97" w:rsidRDefault="00243AE8">
      <w:pPr>
        <w:spacing w:before="120" w:after="120"/>
        <w:ind w:left="851" w:right="902"/>
        <w:jc w:val="both"/>
        <w:rPr>
          <w:rFonts w:ascii="Palatino Linotype" w:eastAsia="Palatino Linotype" w:hAnsi="Palatino Linotype" w:cs="Palatino Linotype"/>
          <w:b/>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91</w:t>
      </w:r>
      <w:r>
        <w:rPr>
          <w:rFonts w:ascii="Palatino Linotype" w:eastAsia="Palatino Linotype" w:hAnsi="Palatino Linotype" w:cs="Palatino Linotype"/>
          <w:i/>
          <w:sz w:val="22"/>
          <w:szCs w:val="22"/>
        </w:rPr>
        <w:t>. El acceso a la información pública será restringido excepcionalmente, cuando ésta sea clasificada como reservada o confidencial” (Sic)</w:t>
      </w:r>
    </w:p>
    <w:p w14:paraId="1AC6DA4A"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Al advertir que existe una disposición legal por la cual subsiste la clasificación de la información, el artículo 43, segundo párrafo de la Ley de Protección de Datos Personales en Posesión de Sujetos Obligados del Estado de México y Municipios, establece que </w:t>
      </w:r>
      <w:r>
        <w:rPr>
          <w:rFonts w:ascii="Palatino Linotype" w:eastAsia="Palatino Linotype" w:hAnsi="Palatino Linotype" w:cs="Palatino Linotype"/>
          <w:b/>
        </w:rPr>
        <w:t>las medidas de seguridad adoptadas serán consideradas confidenciales</w:t>
      </w:r>
      <w:r>
        <w:rPr>
          <w:rFonts w:ascii="Palatino Linotype" w:eastAsia="Palatino Linotype" w:hAnsi="Palatino Linotype" w:cs="Palatino Linotype"/>
        </w:rPr>
        <w:t xml:space="preserve">, razón por la cual no pueden ser proporcionadas a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tampoco a través de una versión pública, pues de hacerlo se pudiese causar un daño, alteración, pérdida, destrucción, uso, transferencia, acceso y/o cualquier tratamiento ilícito, no autorizado de la información que obre en las bases y sistemas de datos personales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w:t>
      </w:r>
    </w:p>
    <w:p w14:paraId="59B115FC" w14:textId="77777777" w:rsidR="00BF7F97"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consecuencia, las partes que conforman las medidas de seguridad del documento de seguridad, incluido el </w:t>
      </w:r>
      <w:r>
        <w:rPr>
          <w:rFonts w:ascii="Palatino Linotype" w:eastAsia="Palatino Linotype" w:hAnsi="Palatino Linotype" w:cs="Palatino Linotype"/>
          <w:i/>
        </w:rPr>
        <w:t>Plan de Trabajo</w:t>
      </w:r>
      <w:r>
        <w:rPr>
          <w:rFonts w:ascii="Palatino Linotype" w:eastAsia="Palatino Linotype" w:hAnsi="Palatino Linotype" w:cs="Palatino Linotype"/>
        </w:rPr>
        <w:t xml:space="preserve"> y los documentos que integran dicho plan al que en su conjunto dan cuenta y contienen las medidas de seguridad adoptadas por los responsables, constituyen información confidencial, cuya clasificación no </w:t>
      </w:r>
      <w:r>
        <w:rPr>
          <w:rFonts w:ascii="Palatino Linotype" w:eastAsia="Palatino Linotype" w:hAnsi="Palatino Linotype" w:cs="Palatino Linotype"/>
        </w:rPr>
        <w:lastRenderedPageBreak/>
        <w:t>estará sujeta a una temporalidad como se desprende del diverso 143, segundo párrafo de la Ley de Transparencia Local, a saber:</w:t>
      </w:r>
    </w:p>
    <w:p w14:paraId="79A53ADC" w14:textId="77777777" w:rsidR="00BF7F97" w:rsidRDefault="00243AE8">
      <w:pPr>
        <w:spacing w:before="120" w:after="120"/>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sz w:val="22"/>
          <w:szCs w:val="22"/>
        </w:rPr>
        <w:t>“</w:t>
      </w:r>
      <w:r>
        <w:rPr>
          <w:rFonts w:ascii="Palatino Linotype" w:eastAsia="Palatino Linotype" w:hAnsi="Palatino Linotype" w:cs="Palatino Linotype"/>
          <w:b/>
          <w:i/>
          <w:sz w:val="22"/>
          <w:szCs w:val="22"/>
        </w:rPr>
        <w:t>Artículo 143. (…)</w:t>
      </w:r>
    </w:p>
    <w:p w14:paraId="52D013B7" w14:textId="77777777" w:rsidR="00BF7F97" w:rsidRDefault="00243AE8">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13912ED2" w14:textId="77777777" w:rsidR="00BF7F97" w:rsidRDefault="00243AE8">
      <w:pPr>
        <w:spacing w:before="240" w:after="240" w:line="360" w:lineRule="auto"/>
        <w:ind w:right="51"/>
        <w:jc w:val="both"/>
        <w:rPr>
          <w:rFonts w:ascii="Palatino Linotype" w:eastAsia="Palatino Linotype" w:hAnsi="Palatino Linotype" w:cs="Palatino Linotype"/>
          <w:i/>
          <w:sz w:val="22"/>
          <w:szCs w:val="22"/>
        </w:rPr>
      </w:pPr>
      <w:r>
        <w:rPr>
          <w:rFonts w:ascii="Palatino Linotype" w:eastAsia="Palatino Linotype" w:hAnsi="Palatino Linotype" w:cs="Palatino Linotype"/>
        </w:rPr>
        <w:t>En concordancia con lo anterior, el numeral Trigésimo octavo, segundo párrafo de los Lineamientos Generales en materia de Clasificación y Desclasificación de la información, así como para la elaboración de Versiones Públicas, publicado en el Diario Oficial de la Federación el quince de abril de dos mil dieciséis, señala lo siguiente</w:t>
      </w:r>
      <w:r>
        <w:rPr>
          <w:rFonts w:ascii="Palatino Linotype" w:eastAsia="Palatino Linotype" w:hAnsi="Palatino Linotype" w:cs="Palatino Linotype"/>
          <w:i/>
          <w:sz w:val="22"/>
          <w:szCs w:val="22"/>
        </w:rPr>
        <w:t>:</w:t>
      </w:r>
    </w:p>
    <w:p w14:paraId="43BDF1E0" w14:textId="77777777" w:rsidR="00BF7F97" w:rsidRDefault="00243AE8">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Trigésimo octavo</w:t>
      </w:r>
      <w:r>
        <w:rPr>
          <w:rFonts w:ascii="Palatino Linotype" w:eastAsia="Palatino Linotype" w:hAnsi="Palatino Linotype" w:cs="Palatino Linotype"/>
          <w:i/>
          <w:sz w:val="22"/>
          <w:szCs w:val="22"/>
        </w:rPr>
        <w:t xml:space="preserve">. (…) </w:t>
      </w:r>
    </w:p>
    <w:p w14:paraId="68F4F211" w14:textId="77777777" w:rsidR="00BF7F97" w:rsidRDefault="00243AE8">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roofErr w:type="gramStart"/>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Sic)</w:t>
      </w:r>
    </w:p>
    <w:p w14:paraId="17F77243" w14:textId="77777777" w:rsidR="00BF7F97" w:rsidRDefault="00243AE8">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tal sentido, el </w:t>
      </w:r>
      <w:r>
        <w:rPr>
          <w:rFonts w:ascii="Palatino Linotype" w:eastAsia="Palatino Linotype" w:hAnsi="Palatino Linotype" w:cs="Palatino Linotype"/>
          <w:i/>
        </w:rPr>
        <w:t>plan de trabajo</w:t>
      </w:r>
      <w:r>
        <w:rPr>
          <w:rFonts w:ascii="Palatino Linotype" w:eastAsia="Palatino Linotype" w:hAnsi="Palatino Linotype" w:cs="Palatino Linotype"/>
        </w:rPr>
        <w:t xml:space="preserve"> forma parte del documento de seguridad y justamente considera las acciones tendentes a la protección de los sistemas de datos personales de manera preventiva y correctiva, incluso contempla las vulneraciones que han existido; en este sentido, como se trata de medidas de seguridad implementadas y los detalles de las áreas de oportunidad en la protección de los sistemas que van detectando los expertos en protección de sistemas de datos, tanto físicos como electrónicos, constituye información que en manos expertas puede ser utilizada para vulnerar los sistemas de datos personales, por lo que aplica lo dispuesto en el artículo 43 de la Ley de Protección de Datos Personales en Posesión </w:t>
      </w:r>
      <w:r>
        <w:rPr>
          <w:rFonts w:ascii="Palatino Linotype" w:eastAsia="Palatino Linotype" w:hAnsi="Palatino Linotype" w:cs="Palatino Linotype"/>
        </w:rPr>
        <w:lastRenderedPageBreak/>
        <w:t xml:space="preserve">de Sujetos Obligados del Estado de México y Municipios, ya que si bien, no son formalmente las medidas de seguridad implementadas, se trata del análisis de estas y su eficacia; sus áreas de oportunidad sobre lo que se debe hacer o mejorar, </w:t>
      </w:r>
      <w:r>
        <w:rPr>
          <w:rFonts w:ascii="Palatino Linotype" w:eastAsia="Palatino Linotype" w:hAnsi="Palatino Linotype" w:cs="Palatino Linotype"/>
          <w:b/>
        </w:rPr>
        <w:t>por lo que procede su clasificación como información confidencial, a través del acuerdo mediante el cual se funde y motive dicha clasificación</w:t>
      </w:r>
      <w:r>
        <w:rPr>
          <w:rFonts w:ascii="Palatino Linotype" w:eastAsia="Palatino Linotype" w:hAnsi="Palatino Linotype" w:cs="Palatino Linotype"/>
        </w:rPr>
        <w:t xml:space="preserve">, mismo que habrá de ponerse a disposición del particular. </w:t>
      </w:r>
    </w:p>
    <w:p w14:paraId="0AE72007" w14:textId="77777777" w:rsidR="00BF7F97" w:rsidRDefault="00243AE8">
      <w:pPr>
        <w:spacing w:before="240" w:after="240" w:line="360" w:lineRule="auto"/>
        <w:jc w:val="both"/>
        <w:rPr>
          <w:rFonts w:ascii="Palatino Linotype" w:eastAsia="Palatino Linotype" w:hAnsi="Palatino Linotype" w:cs="Palatino Linotype"/>
        </w:rPr>
      </w:pPr>
      <w:bookmarkStart w:id="4" w:name="_heading=h.1t3h5sf" w:colFirst="0" w:colLast="0"/>
      <w:bookmarkEnd w:id="4"/>
      <w:r>
        <w:rPr>
          <w:rFonts w:ascii="Palatino Linotype" w:eastAsia="Palatino Linotype" w:hAnsi="Palatino Linotype" w:cs="Palatino Linotype"/>
        </w:rPr>
        <w:t xml:space="preserve">Precisando lo anterior, regresando a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no escapa de la óptica de este Organismo Garante que la Secretaría de Desarrollo Social, remitió el acuerdo número CTSDS-EXT-019-2022 emitido por Comité de Transparencia de la Secretaría de Desarrollo Social, a través del cual se aprobó la propuesta de clasificación en su totalidad en los documentos denominados “Plan de Trabajo del Sistema de Gestión de Protección de Datos Personales” de los ejercicios 2019, 2020, 2021 y 2022, “Gestión de Seguridad” y “Seguridad”, con corte al 30 de junio del 2022 de la Secretaría de Desarrollo Social, para dar respuesta a las solicitudes 00098/SEDESEM/IP/2022, 00097/SEDESEM/IP/2022 y 00096/SEDESEM/IP/2022.</w:t>
      </w:r>
    </w:p>
    <w:p w14:paraId="5FC45C0C" w14:textId="77777777" w:rsidR="00BF7F97" w:rsidRDefault="00243AE8">
      <w:pPr>
        <w:spacing w:before="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No </w:t>
      </w:r>
      <w:proofErr w:type="gramStart"/>
      <w:r>
        <w:rPr>
          <w:rFonts w:ascii="Palatino Linotype" w:eastAsia="Palatino Linotype" w:hAnsi="Palatino Linotype" w:cs="Palatino Linotype"/>
        </w:rPr>
        <w:t>obstante</w:t>
      </w:r>
      <w:proofErr w:type="gramEnd"/>
      <w:r>
        <w:rPr>
          <w:rFonts w:ascii="Palatino Linotype" w:eastAsia="Palatino Linotype" w:hAnsi="Palatino Linotype" w:cs="Palatino Linotype"/>
        </w:rPr>
        <w:t xml:space="preserve"> lo anterior, es importante analizar el acuerdo que clasifica como confidencial en su totalidad, los documentos denominados “Plan de Trabajo del Sistema de Gestión de Protección de Datos Personales” de los ejercicios 2019, 2020, 2021 y 2022, “Gestión de Seguridad” y “Seguridad”, remitido en respuesta, ello para determinar si se realizó conforme a derecho, para ello se inserta el siguiente cuadro de análisis:</w:t>
      </w:r>
    </w:p>
    <w:tbl>
      <w:tblPr>
        <w:tblStyle w:val="af4"/>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8"/>
        <w:gridCol w:w="7"/>
        <w:gridCol w:w="6013"/>
        <w:gridCol w:w="1499"/>
      </w:tblGrid>
      <w:tr w:rsidR="00BF7F97" w14:paraId="6E1C1F38" w14:textId="77777777">
        <w:trPr>
          <w:trHeight w:val="569"/>
        </w:trPr>
        <w:tc>
          <w:tcPr>
            <w:tcW w:w="1548" w:type="dxa"/>
            <w:shd w:val="clear" w:color="auto" w:fill="92D050"/>
          </w:tcPr>
          <w:p w14:paraId="0B0C1859" w14:textId="77777777" w:rsidR="00BF7F97" w:rsidRDefault="00243AE8">
            <w:pPr>
              <w:spacing w:before="100" w:after="200" w:line="276" w:lineRule="auto"/>
              <w:jc w:val="center"/>
              <w:rPr>
                <w:rFonts w:ascii="Palatino Linotype" w:eastAsia="Palatino Linotype" w:hAnsi="Palatino Linotype" w:cs="Palatino Linotype"/>
                <w:b/>
                <w:color w:val="000000"/>
                <w:sz w:val="18"/>
                <w:szCs w:val="18"/>
              </w:rPr>
            </w:pPr>
            <w:r>
              <w:rPr>
                <w:rFonts w:ascii="Palatino Linotype" w:eastAsia="Palatino Linotype" w:hAnsi="Palatino Linotype" w:cs="Palatino Linotype"/>
                <w:b/>
                <w:color w:val="000000"/>
                <w:sz w:val="18"/>
                <w:szCs w:val="18"/>
              </w:rPr>
              <w:lastRenderedPageBreak/>
              <w:t>Elementos del acuerdo de clasificación</w:t>
            </w:r>
          </w:p>
        </w:tc>
        <w:tc>
          <w:tcPr>
            <w:tcW w:w="6020" w:type="dxa"/>
            <w:gridSpan w:val="2"/>
            <w:shd w:val="clear" w:color="auto" w:fill="92D050"/>
          </w:tcPr>
          <w:p w14:paraId="6A0EB598" w14:textId="77777777" w:rsidR="00BF7F97" w:rsidRDefault="00243AE8">
            <w:pPr>
              <w:spacing w:before="100" w:after="200" w:line="276" w:lineRule="auto"/>
              <w:jc w:val="center"/>
              <w:rPr>
                <w:rFonts w:ascii="Palatino Linotype" w:eastAsia="Palatino Linotype" w:hAnsi="Palatino Linotype" w:cs="Palatino Linotype"/>
                <w:b/>
                <w:color w:val="000000"/>
                <w:sz w:val="18"/>
                <w:szCs w:val="18"/>
              </w:rPr>
            </w:pPr>
            <w:r>
              <w:rPr>
                <w:rFonts w:ascii="Palatino Linotype" w:eastAsia="Palatino Linotype" w:hAnsi="Palatino Linotype" w:cs="Palatino Linotype"/>
                <w:b/>
                <w:color w:val="000000"/>
                <w:sz w:val="18"/>
                <w:szCs w:val="18"/>
              </w:rPr>
              <w:t>Contenido</w:t>
            </w:r>
          </w:p>
        </w:tc>
        <w:tc>
          <w:tcPr>
            <w:tcW w:w="1499" w:type="dxa"/>
            <w:shd w:val="clear" w:color="auto" w:fill="92D050"/>
          </w:tcPr>
          <w:p w14:paraId="515968F3" w14:textId="77777777" w:rsidR="00BF7F97" w:rsidRDefault="00243AE8">
            <w:pPr>
              <w:spacing w:before="100" w:after="200" w:line="276" w:lineRule="auto"/>
              <w:jc w:val="center"/>
              <w:rPr>
                <w:rFonts w:ascii="Palatino Linotype" w:eastAsia="Palatino Linotype" w:hAnsi="Palatino Linotype" w:cs="Palatino Linotype"/>
                <w:b/>
                <w:color w:val="000000"/>
                <w:sz w:val="18"/>
                <w:szCs w:val="18"/>
              </w:rPr>
            </w:pPr>
            <w:r>
              <w:rPr>
                <w:rFonts w:ascii="Palatino Linotype" w:eastAsia="Palatino Linotype" w:hAnsi="Palatino Linotype" w:cs="Palatino Linotype"/>
                <w:b/>
                <w:color w:val="000000"/>
                <w:sz w:val="18"/>
                <w:szCs w:val="18"/>
              </w:rPr>
              <w:t>¿Cumple?</w:t>
            </w:r>
          </w:p>
        </w:tc>
      </w:tr>
      <w:tr w:rsidR="00BF7F97" w14:paraId="3957362D" w14:textId="77777777">
        <w:tc>
          <w:tcPr>
            <w:tcW w:w="1548" w:type="dxa"/>
          </w:tcPr>
          <w:p w14:paraId="47E6AB98" w14:textId="77777777" w:rsidR="00BF7F97" w:rsidRDefault="00243AE8">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Número de folio de las solicitudes</w:t>
            </w:r>
          </w:p>
        </w:tc>
        <w:tc>
          <w:tcPr>
            <w:tcW w:w="6020" w:type="dxa"/>
            <w:gridSpan w:val="2"/>
          </w:tcPr>
          <w:p w14:paraId="7751B09F" w14:textId="77777777" w:rsidR="00BF7F97" w:rsidRDefault="00243AE8">
            <w:pPr>
              <w:spacing w:before="100" w:after="200" w:line="276" w:lineRule="auto"/>
              <w:rPr>
                <w:sz w:val="20"/>
                <w:szCs w:val="20"/>
              </w:rPr>
            </w:pPr>
            <w:r>
              <w:rPr>
                <w:noProof/>
                <w:lang w:eastAsia="es-MX"/>
              </w:rPr>
              <w:drawing>
                <wp:inline distT="0" distB="0" distL="0" distR="0" wp14:anchorId="40E06EB1" wp14:editId="7D035683">
                  <wp:extent cx="3618942" cy="1286477"/>
                  <wp:effectExtent l="0" t="0" r="0" b="0"/>
                  <wp:docPr id="10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l="32418" t="34417" r="16092" b="24257"/>
                          <a:stretch>
                            <a:fillRect/>
                          </a:stretch>
                        </pic:blipFill>
                        <pic:spPr>
                          <a:xfrm>
                            <a:off x="0" y="0"/>
                            <a:ext cx="3618942" cy="1286477"/>
                          </a:xfrm>
                          <a:prstGeom prst="rect">
                            <a:avLst/>
                          </a:prstGeom>
                          <a:ln/>
                        </pic:spPr>
                      </pic:pic>
                    </a:graphicData>
                  </a:graphic>
                </wp:inline>
              </w:drawing>
            </w:r>
          </w:p>
        </w:tc>
        <w:tc>
          <w:tcPr>
            <w:tcW w:w="1499" w:type="dxa"/>
          </w:tcPr>
          <w:p w14:paraId="13F1ABC4" w14:textId="77777777" w:rsidR="00BF7F97" w:rsidRDefault="00243AE8">
            <w:pPr>
              <w:spacing w:before="100" w:after="200" w:line="276" w:lineRule="auto"/>
              <w:jc w:val="cente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Sí</w:t>
            </w:r>
          </w:p>
        </w:tc>
      </w:tr>
      <w:tr w:rsidR="00BF7F97" w14:paraId="6FF359E4" w14:textId="77777777">
        <w:tc>
          <w:tcPr>
            <w:tcW w:w="1548" w:type="dxa"/>
          </w:tcPr>
          <w:p w14:paraId="61C62A1F" w14:textId="77777777" w:rsidR="00BF7F97" w:rsidRDefault="00243AE8">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Referencia de la información solicitada</w:t>
            </w:r>
          </w:p>
        </w:tc>
        <w:tc>
          <w:tcPr>
            <w:tcW w:w="6020" w:type="dxa"/>
            <w:gridSpan w:val="2"/>
          </w:tcPr>
          <w:p w14:paraId="0A4AD5EF" w14:textId="77777777" w:rsidR="00BF7F97" w:rsidRDefault="00243AE8">
            <w:pPr>
              <w:spacing w:before="100" w:after="200" w:line="276" w:lineRule="auto"/>
              <w:jc w:val="center"/>
              <w:rPr>
                <w:rFonts w:ascii="Palatino Linotype" w:eastAsia="Palatino Linotype" w:hAnsi="Palatino Linotype" w:cs="Palatino Linotype"/>
              </w:rPr>
            </w:pPr>
            <w:r>
              <w:rPr>
                <w:noProof/>
                <w:lang w:eastAsia="es-MX"/>
              </w:rPr>
              <w:drawing>
                <wp:inline distT="0" distB="0" distL="0" distR="0" wp14:anchorId="041AD41B" wp14:editId="1447D4AC">
                  <wp:extent cx="3641282" cy="1265103"/>
                  <wp:effectExtent l="0" t="0" r="0" b="0"/>
                  <wp:docPr id="10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l="32418" t="44751" r="16092" b="34789"/>
                          <a:stretch>
                            <a:fillRect/>
                          </a:stretch>
                        </pic:blipFill>
                        <pic:spPr>
                          <a:xfrm>
                            <a:off x="0" y="0"/>
                            <a:ext cx="3641282" cy="1265103"/>
                          </a:xfrm>
                          <a:prstGeom prst="rect">
                            <a:avLst/>
                          </a:prstGeom>
                          <a:ln/>
                        </pic:spPr>
                      </pic:pic>
                    </a:graphicData>
                  </a:graphic>
                </wp:inline>
              </w:drawing>
            </w:r>
          </w:p>
        </w:tc>
        <w:tc>
          <w:tcPr>
            <w:tcW w:w="1499" w:type="dxa"/>
          </w:tcPr>
          <w:p w14:paraId="73FDF029" w14:textId="77777777" w:rsidR="00BF7F97" w:rsidRDefault="00243AE8">
            <w:pPr>
              <w:spacing w:before="100" w:after="200" w:line="276" w:lineRule="auto"/>
              <w:jc w:val="cente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Sí</w:t>
            </w:r>
          </w:p>
        </w:tc>
      </w:tr>
      <w:tr w:rsidR="00BF7F97" w14:paraId="0EA268F8" w14:textId="77777777">
        <w:tc>
          <w:tcPr>
            <w:tcW w:w="1548" w:type="dxa"/>
          </w:tcPr>
          <w:p w14:paraId="65CC698D" w14:textId="77777777" w:rsidR="00BF7F97" w:rsidRDefault="00243AE8">
            <w:pPr>
              <w:spacing w:before="100" w:after="200" w:line="276" w:lineRule="auto"/>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Artículo, fracción, inciso, párrafo o numeral de la ley que le otorga el carácter de confidencial.</w:t>
            </w:r>
          </w:p>
        </w:tc>
        <w:tc>
          <w:tcPr>
            <w:tcW w:w="6020" w:type="dxa"/>
            <w:gridSpan w:val="2"/>
          </w:tcPr>
          <w:p w14:paraId="6DFA2B73" w14:textId="77777777" w:rsidR="00BF7F97" w:rsidRDefault="00243AE8">
            <w:pPr>
              <w:spacing w:before="100" w:after="200" w:line="276" w:lineRule="auto"/>
              <w:rPr>
                <w:sz w:val="20"/>
                <w:szCs w:val="20"/>
              </w:rPr>
            </w:pPr>
            <w:r>
              <w:rPr>
                <w:noProof/>
                <w:lang w:eastAsia="es-MX"/>
              </w:rPr>
              <w:drawing>
                <wp:inline distT="0" distB="0" distL="0" distR="0" wp14:anchorId="22B67B31" wp14:editId="4DA0BCD3">
                  <wp:extent cx="3627820" cy="3064057"/>
                  <wp:effectExtent l="0" t="0" r="0" b="0"/>
                  <wp:docPr id="10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7"/>
                          <a:srcRect l="30276" t="24474" r="15497" b="14548"/>
                          <a:stretch>
                            <a:fillRect/>
                          </a:stretch>
                        </pic:blipFill>
                        <pic:spPr>
                          <a:xfrm>
                            <a:off x="0" y="0"/>
                            <a:ext cx="3627820" cy="3064057"/>
                          </a:xfrm>
                          <a:prstGeom prst="rect">
                            <a:avLst/>
                          </a:prstGeom>
                          <a:ln/>
                        </pic:spPr>
                      </pic:pic>
                    </a:graphicData>
                  </a:graphic>
                </wp:inline>
              </w:drawing>
            </w:r>
          </w:p>
        </w:tc>
        <w:tc>
          <w:tcPr>
            <w:tcW w:w="1499" w:type="dxa"/>
          </w:tcPr>
          <w:p w14:paraId="3161C3D4" w14:textId="77777777" w:rsidR="00BF7F97" w:rsidRDefault="00243AE8">
            <w:pPr>
              <w:spacing w:before="100" w:after="200"/>
              <w:jc w:val="cente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Sí</w:t>
            </w:r>
          </w:p>
        </w:tc>
      </w:tr>
      <w:tr w:rsidR="00BF7F97" w14:paraId="696786D6" w14:textId="77777777">
        <w:tc>
          <w:tcPr>
            <w:tcW w:w="1548" w:type="dxa"/>
          </w:tcPr>
          <w:p w14:paraId="07A1BA7A" w14:textId="77777777" w:rsidR="00BF7F97" w:rsidRDefault="00243AE8">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lastRenderedPageBreak/>
              <w:t>Motivación Legal</w:t>
            </w:r>
          </w:p>
        </w:tc>
        <w:tc>
          <w:tcPr>
            <w:tcW w:w="6020" w:type="dxa"/>
            <w:gridSpan w:val="2"/>
          </w:tcPr>
          <w:p w14:paraId="627B9FA1" w14:textId="77777777" w:rsidR="00BF7F97" w:rsidRDefault="00243AE8">
            <w:pPr>
              <w:spacing w:before="100" w:after="200" w:line="276" w:lineRule="auto"/>
              <w:rPr>
                <w:sz w:val="20"/>
                <w:szCs w:val="20"/>
              </w:rPr>
            </w:pPr>
            <w:r>
              <w:rPr>
                <w:noProof/>
                <w:lang w:eastAsia="es-MX"/>
              </w:rPr>
              <w:drawing>
                <wp:inline distT="0" distB="0" distL="0" distR="0" wp14:anchorId="2A78C312" wp14:editId="75E049E6">
                  <wp:extent cx="3539734" cy="2935666"/>
                  <wp:effectExtent l="0" t="0" r="0" b="0"/>
                  <wp:docPr id="10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8"/>
                          <a:srcRect l="37157" t="13512" r="22819" b="14804"/>
                          <a:stretch>
                            <a:fillRect/>
                          </a:stretch>
                        </pic:blipFill>
                        <pic:spPr>
                          <a:xfrm>
                            <a:off x="0" y="0"/>
                            <a:ext cx="3539734" cy="2935666"/>
                          </a:xfrm>
                          <a:prstGeom prst="rect">
                            <a:avLst/>
                          </a:prstGeom>
                          <a:ln/>
                        </pic:spPr>
                      </pic:pic>
                    </a:graphicData>
                  </a:graphic>
                </wp:inline>
              </w:drawing>
            </w:r>
          </w:p>
          <w:p w14:paraId="3BA7BE01" w14:textId="77777777" w:rsidR="00BF7F97" w:rsidRDefault="00243AE8">
            <w:pPr>
              <w:spacing w:before="100" w:after="200" w:line="276" w:lineRule="auto"/>
              <w:rPr>
                <w:sz w:val="20"/>
                <w:szCs w:val="20"/>
              </w:rPr>
            </w:pPr>
            <w:r>
              <w:rPr>
                <w:noProof/>
                <w:lang w:eastAsia="es-MX"/>
              </w:rPr>
              <w:drawing>
                <wp:inline distT="0" distB="0" distL="0" distR="0" wp14:anchorId="387FFDE2" wp14:editId="213B8E5C">
                  <wp:extent cx="3430380" cy="3830147"/>
                  <wp:effectExtent l="0" t="0" r="0" b="0"/>
                  <wp:docPr id="1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9"/>
                          <a:srcRect l="37299" t="17081" r="22978" b="14805"/>
                          <a:stretch>
                            <a:fillRect/>
                          </a:stretch>
                        </pic:blipFill>
                        <pic:spPr>
                          <a:xfrm>
                            <a:off x="0" y="0"/>
                            <a:ext cx="3430380" cy="3830147"/>
                          </a:xfrm>
                          <a:prstGeom prst="rect">
                            <a:avLst/>
                          </a:prstGeom>
                          <a:ln/>
                        </pic:spPr>
                      </pic:pic>
                    </a:graphicData>
                  </a:graphic>
                </wp:inline>
              </w:drawing>
            </w:r>
          </w:p>
          <w:p w14:paraId="2D30F006" w14:textId="77777777" w:rsidR="00BF7F97" w:rsidRDefault="00243AE8">
            <w:pPr>
              <w:spacing w:before="100" w:after="200" w:line="276" w:lineRule="auto"/>
              <w:rPr>
                <w:sz w:val="20"/>
                <w:szCs w:val="20"/>
              </w:rPr>
            </w:pPr>
            <w:r>
              <w:rPr>
                <w:noProof/>
                <w:lang w:eastAsia="es-MX"/>
              </w:rPr>
              <w:lastRenderedPageBreak/>
              <w:drawing>
                <wp:inline distT="0" distB="0" distL="0" distR="0" wp14:anchorId="04D12F4D" wp14:editId="68104236">
                  <wp:extent cx="3579308" cy="3132887"/>
                  <wp:effectExtent l="0" t="0" r="0" b="0"/>
                  <wp:docPr id="10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0"/>
                          <a:srcRect l="37593" t="19630" r="22399" b="11025"/>
                          <a:stretch>
                            <a:fillRect/>
                          </a:stretch>
                        </pic:blipFill>
                        <pic:spPr>
                          <a:xfrm>
                            <a:off x="0" y="0"/>
                            <a:ext cx="3579308" cy="3132887"/>
                          </a:xfrm>
                          <a:prstGeom prst="rect">
                            <a:avLst/>
                          </a:prstGeom>
                          <a:ln/>
                        </pic:spPr>
                      </pic:pic>
                    </a:graphicData>
                  </a:graphic>
                </wp:inline>
              </w:drawing>
            </w:r>
          </w:p>
          <w:p w14:paraId="4974F0D8" w14:textId="77777777" w:rsidR="00BF7F97" w:rsidRDefault="00243AE8">
            <w:pPr>
              <w:spacing w:before="100" w:after="200" w:line="276" w:lineRule="auto"/>
              <w:rPr>
                <w:sz w:val="20"/>
                <w:szCs w:val="20"/>
              </w:rPr>
            </w:pPr>
            <w:r>
              <w:rPr>
                <w:noProof/>
                <w:lang w:eastAsia="es-MX"/>
              </w:rPr>
              <w:lastRenderedPageBreak/>
              <w:drawing>
                <wp:inline distT="0" distB="0" distL="0" distR="0" wp14:anchorId="52C8F605" wp14:editId="029306F2">
                  <wp:extent cx="3634403" cy="3757543"/>
                  <wp:effectExtent l="0" t="0" r="0" b="0"/>
                  <wp:docPr id="8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1"/>
                          <a:srcRect l="37447" t="15806" r="21814" b="14037"/>
                          <a:stretch>
                            <a:fillRect/>
                          </a:stretch>
                        </pic:blipFill>
                        <pic:spPr>
                          <a:xfrm>
                            <a:off x="0" y="0"/>
                            <a:ext cx="3634403" cy="3757543"/>
                          </a:xfrm>
                          <a:prstGeom prst="rect">
                            <a:avLst/>
                          </a:prstGeom>
                          <a:ln/>
                        </pic:spPr>
                      </pic:pic>
                    </a:graphicData>
                  </a:graphic>
                </wp:inline>
              </w:drawing>
            </w:r>
          </w:p>
          <w:p w14:paraId="26486011" w14:textId="77777777" w:rsidR="00BF7F97" w:rsidRDefault="00243AE8">
            <w:pPr>
              <w:spacing w:before="100" w:after="200" w:line="276" w:lineRule="auto"/>
              <w:rPr>
                <w:sz w:val="20"/>
                <w:szCs w:val="20"/>
              </w:rPr>
            </w:pPr>
            <w:r>
              <w:rPr>
                <w:noProof/>
                <w:lang w:eastAsia="es-MX"/>
              </w:rPr>
              <w:lastRenderedPageBreak/>
              <w:drawing>
                <wp:inline distT="0" distB="0" distL="0" distR="0" wp14:anchorId="5D7E1F52" wp14:editId="4A84697A">
                  <wp:extent cx="3590306" cy="3325235"/>
                  <wp:effectExtent l="0" t="0" r="0" b="0"/>
                  <wp:docPr id="8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l="37444" t="18355" r="22249" b="8175"/>
                          <a:stretch>
                            <a:fillRect/>
                          </a:stretch>
                        </pic:blipFill>
                        <pic:spPr>
                          <a:xfrm>
                            <a:off x="0" y="0"/>
                            <a:ext cx="3590306" cy="3325235"/>
                          </a:xfrm>
                          <a:prstGeom prst="rect">
                            <a:avLst/>
                          </a:prstGeom>
                          <a:ln/>
                        </pic:spPr>
                      </pic:pic>
                    </a:graphicData>
                  </a:graphic>
                </wp:inline>
              </w:drawing>
            </w:r>
          </w:p>
          <w:p w14:paraId="419A3E99" w14:textId="77777777" w:rsidR="00BF7F97" w:rsidRDefault="00243AE8">
            <w:pPr>
              <w:spacing w:before="100" w:after="200" w:line="276" w:lineRule="auto"/>
              <w:rPr>
                <w:sz w:val="20"/>
                <w:szCs w:val="20"/>
              </w:rPr>
            </w:pPr>
            <w:r>
              <w:rPr>
                <w:noProof/>
                <w:lang w:eastAsia="es-MX"/>
              </w:rPr>
              <w:drawing>
                <wp:inline distT="0" distB="0" distL="0" distR="0" wp14:anchorId="54CF523F" wp14:editId="30932E6D">
                  <wp:extent cx="3507251" cy="3162209"/>
                  <wp:effectExtent l="0" t="0" r="0" b="0"/>
                  <wp:docPr id="8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l="37448" t="12747" r="22104" b="16308"/>
                          <a:stretch>
                            <a:fillRect/>
                          </a:stretch>
                        </pic:blipFill>
                        <pic:spPr>
                          <a:xfrm>
                            <a:off x="0" y="0"/>
                            <a:ext cx="3507251" cy="3162209"/>
                          </a:xfrm>
                          <a:prstGeom prst="rect">
                            <a:avLst/>
                          </a:prstGeom>
                          <a:ln/>
                        </pic:spPr>
                      </pic:pic>
                    </a:graphicData>
                  </a:graphic>
                </wp:inline>
              </w:drawing>
            </w:r>
          </w:p>
        </w:tc>
        <w:tc>
          <w:tcPr>
            <w:tcW w:w="1499" w:type="dxa"/>
          </w:tcPr>
          <w:p w14:paraId="556045ED" w14:textId="77777777" w:rsidR="00BF7F97" w:rsidRDefault="00243AE8">
            <w:pPr>
              <w:spacing w:before="100" w:after="20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Sí</w:t>
            </w:r>
          </w:p>
        </w:tc>
      </w:tr>
      <w:tr w:rsidR="00BF7F97" w14:paraId="7623487E" w14:textId="77777777">
        <w:tc>
          <w:tcPr>
            <w:tcW w:w="1555" w:type="dxa"/>
            <w:gridSpan w:val="2"/>
            <w:shd w:val="clear" w:color="auto" w:fill="auto"/>
          </w:tcPr>
          <w:p w14:paraId="43ACB59B" w14:textId="77777777" w:rsidR="00BF7F97" w:rsidRDefault="00243AE8">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8"/>
                <w:szCs w:val="18"/>
              </w:rPr>
              <w:lastRenderedPageBreak/>
              <w:t>Autoridades competentes.</w:t>
            </w:r>
          </w:p>
        </w:tc>
        <w:tc>
          <w:tcPr>
            <w:tcW w:w="6013" w:type="dxa"/>
            <w:shd w:val="clear" w:color="auto" w:fill="auto"/>
          </w:tcPr>
          <w:p w14:paraId="53BFCA6F" w14:textId="77777777" w:rsidR="00BF7F97" w:rsidRDefault="00243AE8">
            <w:pPr>
              <w:spacing w:before="100" w:after="200" w:line="276" w:lineRule="auto"/>
              <w:jc w:val="center"/>
            </w:pPr>
            <w:r>
              <w:rPr>
                <w:noProof/>
                <w:lang w:eastAsia="es-MX"/>
              </w:rPr>
              <w:drawing>
                <wp:inline distT="0" distB="0" distL="0" distR="0" wp14:anchorId="1968E8E3" wp14:editId="68BB0568">
                  <wp:extent cx="3434375" cy="1255912"/>
                  <wp:effectExtent l="0" t="0" r="0" b="0"/>
                  <wp:docPr id="8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
                          <a:srcRect l="37922" t="23228" r="22447" b="38205"/>
                          <a:stretch>
                            <a:fillRect/>
                          </a:stretch>
                        </pic:blipFill>
                        <pic:spPr>
                          <a:xfrm>
                            <a:off x="0" y="0"/>
                            <a:ext cx="3434375" cy="1255912"/>
                          </a:xfrm>
                          <a:prstGeom prst="rect">
                            <a:avLst/>
                          </a:prstGeom>
                          <a:ln/>
                        </pic:spPr>
                      </pic:pic>
                    </a:graphicData>
                  </a:graphic>
                </wp:inline>
              </w:drawing>
            </w:r>
          </w:p>
          <w:p w14:paraId="7FC5D6F7" w14:textId="77777777" w:rsidR="00BF7F97" w:rsidRDefault="00243AE8">
            <w:pPr>
              <w:spacing w:before="100" w:after="200" w:line="276" w:lineRule="auto"/>
              <w:jc w:val="center"/>
            </w:pPr>
            <w:r>
              <w:rPr>
                <w:noProof/>
                <w:lang w:eastAsia="es-MX"/>
              </w:rPr>
              <w:drawing>
                <wp:inline distT="0" distB="0" distL="0" distR="0" wp14:anchorId="69CB68C8" wp14:editId="3B7FA01E">
                  <wp:extent cx="3599501" cy="1401254"/>
                  <wp:effectExtent l="0" t="0" r="0" b="0"/>
                  <wp:docPr id="8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5"/>
                          <a:srcRect l="38916" t="15570" r="21882" b="32078"/>
                          <a:stretch>
                            <a:fillRect/>
                          </a:stretch>
                        </pic:blipFill>
                        <pic:spPr>
                          <a:xfrm>
                            <a:off x="0" y="0"/>
                            <a:ext cx="3599501" cy="1401254"/>
                          </a:xfrm>
                          <a:prstGeom prst="rect">
                            <a:avLst/>
                          </a:prstGeom>
                          <a:ln/>
                        </pic:spPr>
                      </pic:pic>
                    </a:graphicData>
                  </a:graphic>
                </wp:inline>
              </w:drawing>
            </w:r>
          </w:p>
        </w:tc>
        <w:tc>
          <w:tcPr>
            <w:tcW w:w="1499" w:type="dxa"/>
            <w:shd w:val="clear" w:color="auto" w:fill="auto"/>
          </w:tcPr>
          <w:p w14:paraId="63D4CF58" w14:textId="77777777" w:rsidR="00BF7F97" w:rsidRDefault="00243AE8">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000000"/>
                <w:sz w:val="18"/>
                <w:szCs w:val="18"/>
              </w:rPr>
              <w:t>S</w:t>
            </w:r>
            <w:r>
              <w:rPr>
                <w:rFonts w:ascii="Palatino Linotype" w:eastAsia="Palatino Linotype" w:hAnsi="Palatino Linotype" w:cs="Palatino Linotype"/>
                <w:b/>
                <w:sz w:val="18"/>
                <w:szCs w:val="18"/>
              </w:rPr>
              <w:t>í</w:t>
            </w:r>
          </w:p>
        </w:tc>
      </w:tr>
    </w:tbl>
    <w:p w14:paraId="42A10EB2" w14:textId="77777777" w:rsidR="00BF7F97" w:rsidRDefault="00243AE8">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Por consiguiente, este Organismo determina que el mismo cumple con los requisitos que la normativa aplicable prevé para efectos de la clasificación, tales como: lugar y fecha de la resolución, numero de solicitud de la información, referencia a la información solicitada, el razonamiento lógico que demuestre que la información se encuentra contemplada dentro de las excepciones al derecho de acceso a la información a través de su clasificación como confidencial, el número del acuerdo emitido, y los nombre y firmas de los integrantes del Comité de Transparencia, colmando con ello el derecho de acceso a la información pública del particular ya que el mismo fue puesto a su disposición a través de las respuestas. </w:t>
      </w:r>
    </w:p>
    <w:p w14:paraId="37BDA57F" w14:textId="77777777" w:rsidR="00BF7F97" w:rsidRDefault="00243AE8">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rPr>
        <w:t xml:space="preserve">De conformidad con todo lo anterior, y una vez analizadas las constancias que integran los expedientes en que se actúan, los motivos inconformidad vertidos en </w:t>
      </w:r>
      <w:r>
        <w:rPr>
          <w:rFonts w:ascii="Palatino Linotype" w:eastAsia="Palatino Linotype" w:hAnsi="Palatino Linotype" w:cs="Palatino Linotype"/>
        </w:rPr>
        <w:lastRenderedPageBreak/>
        <w:t xml:space="preserve">relación a las respuestas, devienen infundados, por lo que lo </w:t>
      </w:r>
      <w:r>
        <w:rPr>
          <w:rFonts w:ascii="Palatino Linotype" w:eastAsia="Palatino Linotype" w:hAnsi="Palatino Linotype" w:cs="Palatino Linotype"/>
          <w:b/>
        </w:rPr>
        <w:t>PROCEDENTE</w:t>
      </w:r>
      <w:r>
        <w:rPr>
          <w:rFonts w:ascii="Palatino Linotype" w:eastAsia="Palatino Linotype" w:hAnsi="Palatino Linotype" w:cs="Palatino Linotype"/>
        </w:rPr>
        <w:t xml:space="preserve"> es </w:t>
      </w:r>
      <w:r>
        <w:rPr>
          <w:rFonts w:ascii="Palatino Linotype" w:eastAsia="Palatino Linotype" w:hAnsi="Palatino Linotype" w:cs="Palatino Linotype"/>
          <w:b/>
        </w:rPr>
        <w:t>CONFIRMAR</w:t>
      </w:r>
      <w:r>
        <w:rPr>
          <w:rFonts w:ascii="Palatino Linotype" w:eastAsia="Palatino Linotype" w:hAnsi="Palatino Linotype" w:cs="Palatino Linotype"/>
        </w:rPr>
        <w:t xml:space="preserve"> las respuestas del </w:t>
      </w:r>
      <w:r>
        <w:rPr>
          <w:rFonts w:ascii="Palatino Linotype" w:eastAsia="Palatino Linotype" w:hAnsi="Palatino Linotype" w:cs="Palatino Linotype"/>
          <w:b/>
        </w:rPr>
        <w:t>SUJETO OBLIGADO.</w:t>
      </w:r>
    </w:p>
    <w:p w14:paraId="0182C305" w14:textId="77777777" w:rsidR="00BF7F97" w:rsidRDefault="00243AE8">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14:paraId="10804E0B" w14:textId="77777777" w:rsidR="00BF7F97" w:rsidRDefault="00243AE8">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III. R E S U E L V E:</w:t>
      </w:r>
    </w:p>
    <w:p w14:paraId="253EAA74" w14:textId="77777777" w:rsidR="00BF7F97" w:rsidRDefault="00243AE8">
      <w:pPr>
        <w:pBdr>
          <w:top w:val="nil"/>
          <w:left w:val="nil"/>
          <w:bottom w:val="nil"/>
          <w:right w:val="nil"/>
          <w:between w:val="nil"/>
        </w:pBdr>
        <w:spacing w:after="120" w:line="405" w:lineRule="auto"/>
        <w:jc w:val="both"/>
        <w:rPr>
          <w:rFonts w:ascii="Palatino Linotype" w:eastAsia="Palatino Linotype" w:hAnsi="Palatino Linotype" w:cs="Palatino Linotype"/>
          <w:color w:val="000000"/>
        </w:rPr>
      </w:pPr>
      <w:bookmarkStart w:id="5" w:name="_heading=h.3dy6vkm" w:colFirst="0" w:colLast="0"/>
      <w:bookmarkEnd w:id="5"/>
      <w:r>
        <w:rPr>
          <w:rFonts w:ascii="Palatino Linotype" w:eastAsia="Palatino Linotype" w:hAnsi="Palatino Linotype" w:cs="Palatino Linotype"/>
          <w:b/>
          <w:color w:val="000000"/>
        </w:rPr>
        <w:t>Primero.</w:t>
      </w:r>
      <w:r>
        <w:rPr>
          <w:rFonts w:ascii="Palatino Linotype" w:eastAsia="Palatino Linotype" w:hAnsi="Palatino Linotype" w:cs="Palatino Linotype"/>
          <w:color w:val="000000"/>
        </w:rPr>
        <w:t xml:space="preserve"> Resultan infundados los motivos de inconformidad aducidos por la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en los recursos de revisión </w:t>
      </w:r>
      <w:r>
        <w:rPr>
          <w:rFonts w:ascii="Palatino Linotype" w:eastAsia="Palatino Linotype" w:hAnsi="Palatino Linotype" w:cs="Palatino Linotype"/>
          <w:b/>
        </w:rPr>
        <w:t>13034/INFOEM/IP/RR/2022, 13035/INFOEM/IP/RR/2022 y 13036/INFOEM/IP/RR/2022</w:t>
      </w:r>
      <w:r>
        <w:rPr>
          <w:rFonts w:ascii="Palatino Linotype" w:eastAsia="Palatino Linotype" w:hAnsi="Palatino Linotype" w:cs="Palatino Linotype"/>
          <w:color w:val="000000"/>
        </w:rPr>
        <w:t xml:space="preserve">; por lo que, en términos de los argumentos señalados en el Considerando Cuarto se </w:t>
      </w:r>
      <w:r>
        <w:rPr>
          <w:rFonts w:ascii="Palatino Linotype" w:eastAsia="Palatino Linotype" w:hAnsi="Palatino Linotype" w:cs="Palatino Linotype"/>
          <w:b/>
          <w:color w:val="000000"/>
        </w:rPr>
        <w:t>CONFIRMA</w:t>
      </w:r>
      <w:r w:rsidR="007F17B6">
        <w:rPr>
          <w:rFonts w:ascii="Palatino Linotype" w:eastAsia="Palatino Linotype" w:hAnsi="Palatino Linotype" w:cs="Palatino Linotype"/>
          <w:b/>
          <w:color w:val="000000"/>
        </w:rPr>
        <w:t>N</w:t>
      </w:r>
      <w:r>
        <w:rPr>
          <w:rFonts w:ascii="Palatino Linotype" w:eastAsia="Palatino Linotype" w:hAnsi="Palatino Linotype" w:cs="Palatino Linotype"/>
          <w:color w:val="000000"/>
        </w:rPr>
        <w:t xml:space="preserve"> la</w:t>
      </w:r>
      <w:r w:rsidR="007F17B6">
        <w:rPr>
          <w:rFonts w:ascii="Palatino Linotype" w:eastAsia="Palatino Linotype" w:hAnsi="Palatino Linotype" w:cs="Palatino Linotype"/>
          <w:color w:val="000000"/>
        </w:rPr>
        <w:t>s</w:t>
      </w:r>
      <w:r>
        <w:rPr>
          <w:rFonts w:ascii="Palatino Linotype" w:eastAsia="Palatino Linotype" w:hAnsi="Palatino Linotype" w:cs="Palatino Linotype"/>
          <w:color w:val="000000"/>
        </w:rPr>
        <w:t xml:space="preserve"> respuesta</w:t>
      </w:r>
      <w:r w:rsidR="007F17B6">
        <w:rPr>
          <w:rFonts w:ascii="Palatino Linotype" w:eastAsia="Palatino Linotype" w:hAnsi="Palatino Linotype" w:cs="Palatino Linotype"/>
          <w:color w:val="000000"/>
        </w:rPr>
        <w:t>s</w:t>
      </w:r>
      <w:r>
        <w:rPr>
          <w:rFonts w:ascii="Palatino Linotype" w:eastAsia="Palatino Linotype" w:hAnsi="Palatino Linotype" w:cs="Palatino Linotype"/>
          <w:color w:val="000000"/>
        </w:rPr>
        <w:t xml:space="preserve"> emitida</w:t>
      </w:r>
      <w:r w:rsidR="007F17B6">
        <w:rPr>
          <w:rFonts w:ascii="Palatino Linotype" w:eastAsia="Palatino Linotype" w:hAnsi="Palatino Linotype" w:cs="Palatino Linotype"/>
          <w:color w:val="000000"/>
        </w:rPr>
        <w:t>s</w:t>
      </w:r>
      <w:r>
        <w:rPr>
          <w:rFonts w:ascii="Palatino Linotype" w:eastAsia="Palatino Linotype" w:hAnsi="Palatino Linotype" w:cs="Palatino Linotype"/>
          <w:color w:val="000000"/>
        </w:rPr>
        <w:t xml:space="preserve"> por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w:t>
      </w:r>
    </w:p>
    <w:p w14:paraId="701DFACB" w14:textId="77777777" w:rsidR="00BF7F97" w:rsidRPr="00E42441" w:rsidRDefault="00243AE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 Notifíquese</w:t>
      </w:r>
      <w:r>
        <w:rPr>
          <w:rFonts w:ascii="Palatino Linotype" w:eastAsia="Palatino Linotype" w:hAnsi="Palatino Linotype" w:cs="Palatino Linotype"/>
        </w:rPr>
        <w:t xml:space="preserve"> vía </w:t>
      </w:r>
      <w:r>
        <w:rPr>
          <w:rFonts w:ascii="Palatino Linotype" w:eastAsia="Palatino Linotype" w:hAnsi="Palatino Linotype" w:cs="Palatino Linotype"/>
          <w:b/>
        </w:rPr>
        <w:t xml:space="preserve">SAIMEX </w:t>
      </w:r>
      <w:r>
        <w:rPr>
          <w:rFonts w:ascii="Palatino Linotype" w:eastAsia="Palatino Linotype" w:hAnsi="Palatino Linotype" w:cs="Palatino Linotype"/>
        </w:rPr>
        <w:t xml:space="preserve">la presente resolución a la Titular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para su conocimiento, lo anterior en términos del artículo 189 de la Ley de Transparencia y Acceso a la Información </w:t>
      </w:r>
      <w:r w:rsidRPr="00E42441">
        <w:rPr>
          <w:rFonts w:ascii="Palatino Linotype" w:eastAsia="Palatino Linotype" w:hAnsi="Palatino Linotype" w:cs="Palatino Linotype"/>
        </w:rPr>
        <w:t>Pública del Estado de México y Municipios.</w:t>
      </w:r>
    </w:p>
    <w:p w14:paraId="492B2D5A" w14:textId="77777777" w:rsidR="007F17B6" w:rsidRDefault="00243AE8" w:rsidP="007F17B6">
      <w:pPr>
        <w:spacing w:before="240" w:after="240" w:line="360" w:lineRule="auto"/>
        <w:jc w:val="both"/>
        <w:rPr>
          <w:rFonts w:ascii="Palatino Linotype" w:hAnsi="Palatino Linotype" w:cs="Arial"/>
          <w:sz w:val="25"/>
          <w:szCs w:val="25"/>
        </w:rPr>
      </w:pPr>
      <w:r w:rsidRPr="00E42441">
        <w:rPr>
          <w:rFonts w:ascii="Palatino Linotype" w:eastAsia="Palatino Linotype" w:hAnsi="Palatino Linotype" w:cs="Palatino Linotype"/>
          <w:b/>
        </w:rPr>
        <w:t xml:space="preserve">Tercero. Notifíquese, vía SAIMEX </w:t>
      </w:r>
      <w:r w:rsidRPr="00E42441">
        <w:rPr>
          <w:rFonts w:ascii="Palatino Linotype" w:eastAsia="Palatino Linotype" w:hAnsi="Palatino Linotype" w:cs="Palatino Linotype"/>
        </w:rPr>
        <w:t>a</w:t>
      </w:r>
      <w:r w:rsidRPr="00E42441">
        <w:rPr>
          <w:rFonts w:ascii="Palatino Linotype" w:eastAsia="Palatino Linotype" w:hAnsi="Palatino Linotype" w:cs="Palatino Linotype"/>
          <w:b/>
        </w:rPr>
        <w:t xml:space="preserve"> </w:t>
      </w:r>
      <w:r w:rsidRPr="00E42441">
        <w:rPr>
          <w:rFonts w:ascii="Palatino Linotype" w:eastAsia="Palatino Linotype" w:hAnsi="Palatino Linotype" w:cs="Palatino Linotype"/>
        </w:rPr>
        <w:t>la parte</w:t>
      </w:r>
      <w:r w:rsidRPr="00E42441">
        <w:rPr>
          <w:rFonts w:ascii="Palatino Linotype" w:eastAsia="Palatino Linotype" w:hAnsi="Palatino Linotype" w:cs="Palatino Linotype"/>
          <w:b/>
        </w:rPr>
        <w:t xml:space="preserve"> RECURRENTE</w:t>
      </w:r>
      <w:r w:rsidR="007F17B6" w:rsidRPr="00E42441">
        <w:rPr>
          <w:rFonts w:ascii="Palatino Linotype" w:hAnsi="Palatino Linotype" w:cs="Arial"/>
        </w:rPr>
        <w:t xml:space="preserve">, la presente resolución, así como, que de conformidad con lo establecido en el artículo 196 de la Ley de Transparencia y Acceso a la Información Pública del Estado de México y </w:t>
      </w:r>
      <w:r w:rsidR="007F17B6" w:rsidRPr="00E42441">
        <w:rPr>
          <w:rFonts w:ascii="Palatino Linotype" w:hAnsi="Palatino Linotype" w:cs="Arial"/>
        </w:rPr>
        <w:lastRenderedPageBreak/>
        <w:t>Municipios, y con lo establecido en los artículos 159 y 160 de la Ley General de Transparencia y Acceso a la Información Pública, podrá impugnarla vía recurso de inconformidad ante el Instituto Nacional de Transparencia, Acceso a la Información y Protección de Datos Personales, o bien, vía Juicio de Amparo en los términos de las leyes aplicables.</w:t>
      </w:r>
    </w:p>
    <w:p w14:paraId="1877B1A3" w14:textId="77777777" w:rsidR="00BF7F97" w:rsidRDefault="00243AE8">
      <w:pPr>
        <w:spacing w:before="240" w:after="240" w:line="360" w:lineRule="auto"/>
        <w:jc w:val="both"/>
        <w:rPr>
          <w:rFonts w:ascii="Palatino Linotype" w:eastAsia="Palatino Linotype" w:hAnsi="Palatino Linotype" w:cs="Palatino Linotype"/>
        </w:rPr>
        <w:sectPr w:rsidR="00BF7F97">
          <w:headerReference w:type="default" r:id="rId56"/>
          <w:footerReference w:type="default" r:id="rId57"/>
          <w:headerReference w:type="first" r:id="rId58"/>
          <w:footerReference w:type="first" r:id="rId59"/>
          <w:pgSz w:w="12240" w:h="15840"/>
          <w:pgMar w:top="2041" w:right="1701" w:bottom="1701" w:left="1701" w:header="709" w:footer="709" w:gutter="0"/>
          <w:pgNumType w:start="1"/>
          <w:cols w:space="720"/>
          <w:titlePg/>
        </w:sectPr>
      </w:pPr>
      <w:r>
        <w:rPr>
          <w:rFonts w:ascii="Palatino Linotype" w:eastAsia="Palatino Linotype" w:hAnsi="Palatino Linotype" w:cs="Palatino Linotype"/>
          <w:color w:val="222222"/>
          <w:highlight w:val="whit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DÉCIMA OCTAVA SESIÓN ORDINARIA CELEBRADA EL </w:t>
      </w:r>
      <w:r>
        <w:rPr>
          <w:rFonts w:ascii="Palatino Linotype" w:eastAsia="Palatino Linotype" w:hAnsi="Palatino Linotype" w:cs="Palatino Linotype"/>
          <w:color w:val="222222"/>
        </w:rPr>
        <w:t>DIECISIETE DE MAYO</w:t>
      </w:r>
      <w:r>
        <w:rPr>
          <w:rFonts w:ascii="Palatino Linotype" w:eastAsia="Palatino Linotype" w:hAnsi="Palatino Linotype" w:cs="Palatino Linotype"/>
        </w:rPr>
        <w:t xml:space="preserve"> DEL DOS MIL VEINTITRÉS, ANTE EL SECRETARIO TÉCNICO DEL PLENO ALEXIS TAPIA RAMÍREZ.                             </w:t>
      </w:r>
    </w:p>
    <w:p w14:paraId="42E668D2" w14:textId="77777777" w:rsidR="00BF7F97" w:rsidRDefault="00BF7F97">
      <w:pPr>
        <w:spacing w:before="240" w:after="240" w:line="360" w:lineRule="auto"/>
        <w:ind w:right="51"/>
        <w:jc w:val="both"/>
        <w:rPr>
          <w:rFonts w:ascii="Palatino Linotype" w:eastAsia="Palatino Linotype" w:hAnsi="Palatino Linotype" w:cs="Palatino Linotype"/>
          <w:color w:val="FF0000"/>
          <w:highlight w:val="yellow"/>
        </w:rPr>
      </w:pPr>
    </w:p>
    <w:p w14:paraId="1C501962" w14:textId="77777777" w:rsidR="00BF7F97" w:rsidRDefault="00BF7F97">
      <w:pPr>
        <w:spacing w:before="240" w:after="240" w:line="360" w:lineRule="auto"/>
        <w:ind w:right="51"/>
        <w:jc w:val="both"/>
        <w:rPr>
          <w:rFonts w:ascii="Palatino Linotype" w:eastAsia="Palatino Linotype" w:hAnsi="Palatino Linotype" w:cs="Palatino Linotype"/>
          <w:color w:val="FF0000"/>
          <w:highlight w:val="yellow"/>
        </w:rPr>
      </w:pPr>
    </w:p>
    <w:p w14:paraId="47EA76F4" w14:textId="77777777" w:rsidR="00BF7F97" w:rsidRDefault="00BF7F97">
      <w:pPr>
        <w:tabs>
          <w:tab w:val="left" w:pos="709"/>
        </w:tabs>
        <w:spacing w:before="240" w:after="240" w:line="360" w:lineRule="auto"/>
        <w:jc w:val="both"/>
        <w:rPr>
          <w:rFonts w:ascii="Palatino Linotype" w:eastAsia="Palatino Linotype" w:hAnsi="Palatino Linotype" w:cs="Palatino Linotype"/>
        </w:rPr>
      </w:pPr>
      <w:bookmarkStart w:id="6" w:name="_heading=h.tyjcwt" w:colFirst="0" w:colLast="0"/>
      <w:bookmarkEnd w:id="6"/>
    </w:p>
    <w:p w14:paraId="08E24AE2" w14:textId="77777777" w:rsidR="00BF7F97" w:rsidRDefault="00BF7F97"/>
    <w:p w14:paraId="6C5F6437" w14:textId="77777777" w:rsidR="00BF7F97" w:rsidRDefault="00BF7F97"/>
    <w:sectPr w:rsidR="00BF7F97">
      <w:headerReference w:type="first" r:id="rId60"/>
      <w:pgSz w:w="12240" w:h="15840"/>
      <w:pgMar w:top="1985" w:right="1701" w:bottom="1701"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3ADAB7" w14:textId="77777777" w:rsidR="005A088A" w:rsidRDefault="005A088A">
      <w:r>
        <w:separator/>
      </w:r>
    </w:p>
  </w:endnote>
  <w:endnote w:type="continuationSeparator" w:id="0">
    <w:p w14:paraId="0CBC67B6" w14:textId="77777777" w:rsidR="005A088A" w:rsidRDefault="005A08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B2511" w14:textId="77777777" w:rsidR="00BF7F97" w:rsidRDefault="00243AE8">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0247B9">
      <w:rPr>
        <w:rFonts w:ascii="Arial" w:eastAsia="Arial" w:hAnsi="Arial" w:cs="Arial"/>
        <w:b/>
        <w:noProof/>
        <w:color w:val="000000"/>
        <w:sz w:val="20"/>
        <w:szCs w:val="20"/>
      </w:rPr>
      <w:t>53</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0247B9">
      <w:rPr>
        <w:rFonts w:ascii="Arial" w:eastAsia="Arial" w:hAnsi="Arial" w:cs="Arial"/>
        <w:b/>
        <w:noProof/>
        <w:color w:val="000000"/>
        <w:sz w:val="20"/>
        <w:szCs w:val="20"/>
      </w:rPr>
      <w:t>54</w:t>
    </w:r>
    <w:r>
      <w:rPr>
        <w:rFonts w:ascii="Arial" w:eastAsia="Arial" w:hAnsi="Arial" w:cs="Arial"/>
        <w:b/>
        <w:color w:val="000000"/>
        <w:sz w:val="20"/>
        <w:szCs w:val="20"/>
      </w:rPr>
      <w:fldChar w:fldCharType="end"/>
    </w:r>
  </w:p>
  <w:p w14:paraId="6CD9D4D7" w14:textId="77777777" w:rsidR="00BF7F97" w:rsidRDefault="00BF7F97">
    <w:pPr>
      <w:pBdr>
        <w:top w:val="nil"/>
        <w:left w:val="nil"/>
        <w:bottom w:val="nil"/>
        <w:right w:val="nil"/>
        <w:between w:val="nil"/>
      </w:pBdr>
      <w:tabs>
        <w:tab w:val="center" w:pos="4252"/>
        <w:tab w:val="right" w:pos="8504"/>
      </w:tabs>
      <w:rPr>
        <w:color w:val="000000"/>
      </w:rPr>
    </w:pPr>
  </w:p>
  <w:p w14:paraId="7BC729DF" w14:textId="77777777" w:rsidR="00BF7F97" w:rsidRDefault="00BF7F97">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69886" w14:textId="77777777" w:rsidR="00BF7F97" w:rsidRDefault="00243AE8">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0247B9">
      <w:rPr>
        <w:rFonts w:ascii="Arial" w:eastAsia="Arial" w:hAnsi="Arial" w:cs="Arial"/>
        <w:b/>
        <w:noProof/>
        <w:color w:val="000000"/>
        <w:sz w:val="20"/>
        <w:szCs w:val="20"/>
      </w:rPr>
      <w:t>54</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0247B9">
      <w:rPr>
        <w:rFonts w:ascii="Arial" w:eastAsia="Arial" w:hAnsi="Arial" w:cs="Arial"/>
        <w:b/>
        <w:noProof/>
        <w:color w:val="000000"/>
        <w:sz w:val="20"/>
        <w:szCs w:val="20"/>
      </w:rPr>
      <w:t>54</w:t>
    </w:r>
    <w:r>
      <w:rPr>
        <w:rFonts w:ascii="Arial" w:eastAsia="Arial" w:hAnsi="Arial" w:cs="Arial"/>
        <w:b/>
        <w:color w:val="000000"/>
        <w:sz w:val="20"/>
        <w:szCs w:val="20"/>
      </w:rPr>
      <w:fldChar w:fldCharType="end"/>
    </w:r>
  </w:p>
  <w:p w14:paraId="45B634D4" w14:textId="77777777" w:rsidR="00BF7F97" w:rsidRDefault="00BF7F97">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E621C" w14:textId="77777777" w:rsidR="005A088A" w:rsidRDefault="005A088A">
      <w:r>
        <w:separator/>
      </w:r>
    </w:p>
  </w:footnote>
  <w:footnote w:type="continuationSeparator" w:id="0">
    <w:p w14:paraId="7266F749" w14:textId="77777777" w:rsidR="005A088A" w:rsidRDefault="005A088A">
      <w:r>
        <w:continuationSeparator/>
      </w:r>
    </w:p>
  </w:footnote>
  <w:footnote w:id="1">
    <w:p w14:paraId="1CFD4460" w14:textId="77777777" w:rsidR="00BF7F97" w:rsidRDefault="00243AE8">
      <w:pPr>
        <w:pBdr>
          <w:top w:val="nil"/>
          <w:left w:val="nil"/>
          <w:bottom w:val="nil"/>
          <w:right w:val="nil"/>
          <w:between w:val="nil"/>
        </w:pBdr>
        <w:rPr>
          <w:rFonts w:ascii="Cambria" w:eastAsia="Cambria" w:hAnsi="Cambria" w:cs="Cambria"/>
          <w:color w:val="000000"/>
          <w:sz w:val="20"/>
          <w:szCs w:val="20"/>
        </w:rPr>
      </w:pPr>
      <w:r>
        <w:rPr>
          <w:vertAlign w:val="superscript"/>
        </w:rPr>
        <w:footnoteRef/>
      </w:r>
      <w:r>
        <w:rPr>
          <w:rFonts w:ascii="Cambria" w:eastAsia="Cambria" w:hAnsi="Cambria" w:cs="Cambria"/>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rFonts w:ascii="Cambria" w:eastAsia="Cambria" w:hAnsi="Cambria" w:cs="Cambria"/>
          <w:color w:val="000000"/>
          <w:sz w:val="20"/>
          <w:szCs w:val="20"/>
        </w:rPr>
        <w:t xml:space="preserve"> (…)</w:t>
      </w:r>
    </w:p>
  </w:footnote>
  <w:footnote w:id="2">
    <w:p w14:paraId="3B34DF7B" w14:textId="77777777" w:rsidR="00BF7F97" w:rsidRDefault="00243AE8">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 w:id="3">
    <w:p w14:paraId="766E4BE5" w14:textId="77777777" w:rsidR="00BF7F97" w:rsidRDefault="00243AE8">
      <w:pPr>
        <w:pBdr>
          <w:top w:val="nil"/>
          <w:left w:val="nil"/>
          <w:bottom w:val="nil"/>
          <w:right w:val="nil"/>
          <w:between w:val="nil"/>
        </w:pBdr>
        <w:ind w:right="49"/>
        <w:jc w:val="both"/>
        <w:rPr>
          <w:rFonts w:ascii="Calibri" w:eastAsia="Calibri" w:hAnsi="Calibri" w:cs="Calibri"/>
          <w:color w:val="000000"/>
          <w:sz w:val="20"/>
          <w:szCs w:val="20"/>
        </w:rPr>
      </w:pPr>
      <w:r>
        <w:rPr>
          <w:vertAlign w:val="superscript"/>
        </w:rPr>
        <w:footnoteRef/>
      </w:r>
      <w:hyperlink r:id="rId1">
        <w:r>
          <w:rPr>
            <w:rFonts w:ascii="Calibri" w:eastAsia="Calibri" w:hAnsi="Calibri" w:cs="Calibri"/>
            <w:color w:val="0000FF"/>
            <w:sz w:val="20"/>
            <w:szCs w:val="20"/>
            <w:u w:val="single"/>
          </w:rPr>
          <w:t>https://home.inai.org.mx/wp-content/documentos/DocumentosSectorPublico/_GuiaPrincipiosDeberes.pdf</w:t>
        </w:r>
      </w:hyperlink>
      <w:r>
        <w:rPr>
          <w:rFonts w:ascii="Calibri" w:eastAsia="Calibri" w:hAnsi="Calibri" w:cs="Calibri"/>
          <w:color w:val="000000"/>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01348" w14:textId="77777777" w:rsidR="00BF7F97" w:rsidRDefault="00BF7F97">
    <w:pPr>
      <w:widowControl w:val="0"/>
      <w:pBdr>
        <w:top w:val="nil"/>
        <w:left w:val="nil"/>
        <w:bottom w:val="nil"/>
        <w:right w:val="nil"/>
        <w:between w:val="nil"/>
      </w:pBdr>
      <w:spacing w:line="276" w:lineRule="auto"/>
      <w:rPr>
        <w:rFonts w:ascii="Calibri" w:eastAsia="Calibri" w:hAnsi="Calibri" w:cs="Calibri"/>
        <w:color w:val="000000"/>
      </w:rPr>
    </w:pPr>
  </w:p>
  <w:tbl>
    <w:tblPr>
      <w:tblStyle w:val="af6"/>
      <w:tblW w:w="5528" w:type="dxa"/>
      <w:tblInd w:w="3261" w:type="dxa"/>
      <w:tblLayout w:type="fixed"/>
      <w:tblLook w:val="0400" w:firstRow="0" w:lastRow="0" w:firstColumn="0" w:lastColumn="0" w:noHBand="0" w:noVBand="1"/>
    </w:tblPr>
    <w:tblGrid>
      <w:gridCol w:w="2551"/>
      <w:gridCol w:w="2977"/>
    </w:tblGrid>
    <w:tr w:rsidR="00BF7F97" w14:paraId="68D92A00" w14:textId="77777777">
      <w:tc>
        <w:tcPr>
          <w:tcW w:w="2551" w:type="dxa"/>
          <w:vAlign w:val="center"/>
        </w:tcPr>
        <w:p w14:paraId="7B80A691" w14:textId="77777777" w:rsidR="00BF7F97" w:rsidRDefault="00243AE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77" w:type="dxa"/>
          <w:vAlign w:val="center"/>
        </w:tcPr>
        <w:p w14:paraId="1182FAB8" w14:textId="77777777" w:rsidR="00BF7F97" w:rsidRDefault="00243AE8">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13034/INFOEM/IP/RR/2022 y acumulados.</w:t>
          </w:r>
        </w:p>
      </w:tc>
    </w:tr>
    <w:tr w:rsidR="00BF7F97" w14:paraId="6B5AB521" w14:textId="77777777">
      <w:trPr>
        <w:trHeight w:val="228"/>
      </w:trPr>
      <w:tc>
        <w:tcPr>
          <w:tcW w:w="2551" w:type="dxa"/>
          <w:vAlign w:val="center"/>
        </w:tcPr>
        <w:p w14:paraId="6E2D34F0" w14:textId="77777777" w:rsidR="00BF7F97" w:rsidRDefault="00243AE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2977" w:type="dxa"/>
          <w:vAlign w:val="center"/>
        </w:tcPr>
        <w:p w14:paraId="5754CD74" w14:textId="77777777" w:rsidR="00BF7F97" w:rsidRDefault="00243AE8">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Secretaría de Desarrollo Social. </w:t>
          </w:r>
        </w:p>
      </w:tc>
    </w:tr>
    <w:tr w:rsidR="00BF7F97" w14:paraId="41D07CE9" w14:textId="77777777">
      <w:tc>
        <w:tcPr>
          <w:tcW w:w="2551" w:type="dxa"/>
          <w:vAlign w:val="center"/>
        </w:tcPr>
        <w:p w14:paraId="11E3929A" w14:textId="77777777" w:rsidR="00BF7F97" w:rsidRDefault="00243AE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2977" w:type="dxa"/>
          <w:vAlign w:val="center"/>
        </w:tcPr>
        <w:p w14:paraId="627BC8BA" w14:textId="77777777" w:rsidR="00BF7F97" w:rsidRDefault="00243AE8">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7654BB5A" w14:textId="77777777" w:rsidR="00BF7F97" w:rsidRDefault="00243AE8">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lang w:eastAsia="es-MX"/>
      </w:rPr>
      <w:drawing>
        <wp:anchor distT="0" distB="0" distL="0" distR="0" simplePos="0" relativeHeight="251658240" behindDoc="1" locked="0" layoutInCell="1" hidden="0" allowOverlap="1" wp14:anchorId="4D82F87A" wp14:editId="34833969">
          <wp:simplePos x="0" y="0"/>
          <wp:positionH relativeFrom="column">
            <wp:posOffset>-695766</wp:posOffset>
          </wp:positionH>
          <wp:positionV relativeFrom="paragraph">
            <wp:posOffset>-1200941</wp:posOffset>
          </wp:positionV>
          <wp:extent cx="7809876" cy="10165823"/>
          <wp:effectExtent l="0" t="0" r="0" b="0"/>
          <wp:wrapNone/>
          <wp:docPr id="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358BF" w14:textId="77777777" w:rsidR="00BF7F97" w:rsidRDefault="00243AE8">
    <w:pPr>
      <w:pBdr>
        <w:top w:val="nil"/>
        <w:left w:val="nil"/>
        <w:bottom w:val="nil"/>
        <w:right w:val="nil"/>
        <w:between w:val="nil"/>
      </w:pBdr>
      <w:tabs>
        <w:tab w:val="center" w:pos="4252"/>
        <w:tab w:val="right" w:pos="8504"/>
      </w:tabs>
      <w:jc w:val="both"/>
      <w:rPr>
        <w:rFonts w:ascii="Calibri" w:eastAsia="Calibri" w:hAnsi="Calibri" w:cs="Calibri"/>
        <w:color w:val="000000"/>
      </w:rPr>
    </w:pPr>
    <w:r>
      <w:rPr>
        <w:noProof/>
        <w:lang w:eastAsia="es-MX"/>
      </w:rPr>
      <w:drawing>
        <wp:anchor distT="0" distB="0" distL="0" distR="0" simplePos="0" relativeHeight="251659264" behindDoc="1" locked="0" layoutInCell="1" hidden="0" allowOverlap="1" wp14:anchorId="293E49DD" wp14:editId="55A45928">
          <wp:simplePos x="0" y="0"/>
          <wp:positionH relativeFrom="column">
            <wp:posOffset>-846156</wp:posOffset>
          </wp:positionH>
          <wp:positionV relativeFrom="paragraph">
            <wp:posOffset>-171227</wp:posOffset>
          </wp:positionV>
          <wp:extent cx="7809876" cy="10165823"/>
          <wp:effectExtent l="0" t="0" r="0" b="0"/>
          <wp:wrapNone/>
          <wp:docPr id="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f5"/>
      <w:tblW w:w="5670" w:type="dxa"/>
      <w:tblInd w:w="3119" w:type="dxa"/>
      <w:tblLayout w:type="fixed"/>
      <w:tblLook w:val="0400" w:firstRow="0" w:lastRow="0" w:firstColumn="0" w:lastColumn="0" w:noHBand="0" w:noVBand="1"/>
    </w:tblPr>
    <w:tblGrid>
      <w:gridCol w:w="2551"/>
      <w:gridCol w:w="3119"/>
    </w:tblGrid>
    <w:tr w:rsidR="00BF7F97" w14:paraId="4973AABA" w14:textId="77777777">
      <w:tc>
        <w:tcPr>
          <w:tcW w:w="2551" w:type="dxa"/>
          <w:vAlign w:val="center"/>
        </w:tcPr>
        <w:p w14:paraId="14405907" w14:textId="77777777" w:rsidR="00BF7F97" w:rsidRDefault="00243AE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14:paraId="03A41985" w14:textId="77777777" w:rsidR="00BF7F97" w:rsidRDefault="00243AE8">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13034/INFOEM/IP/RR/2022 y acumulados. </w:t>
          </w:r>
        </w:p>
      </w:tc>
    </w:tr>
    <w:tr w:rsidR="00BF7F97" w14:paraId="4690F4EB" w14:textId="77777777">
      <w:tc>
        <w:tcPr>
          <w:tcW w:w="2551" w:type="dxa"/>
          <w:vAlign w:val="center"/>
        </w:tcPr>
        <w:p w14:paraId="7569903D" w14:textId="77777777" w:rsidR="00BF7F97" w:rsidRDefault="00243AE8">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14:paraId="6DCF58DC" w14:textId="77777777" w:rsidR="00BF7F97" w:rsidRDefault="00BF7F97">
          <w:pPr>
            <w:ind w:right="27"/>
            <w:jc w:val="both"/>
            <w:rPr>
              <w:rFonts w:ascii="Palatino Linotype" w:eastAsia="Palatino Linotype" w:hAnsi="Palatino Linotype" w:cs="Palatino Linotype"/>
              <w:b/>
              <w:sz w:val="22"/>
              <w:szCs w:val="22"/>
            </w:rPr>
          </w:pPr>
        </w:p>
      </w:tc>
    </w:tr>
    <w:tr w:rsidR="00BF7F97" w14:paraId="1E556318" w14:textId="77777777">
      <w:trPr>
        <w:trHeight w:val="228"/>
      </w:trPr>
      <w:tc>
        <w:tcPr>
          <w:tcW w:w="2551" w:type="dxa"/>
          <w:vAlign w:val="center"/>
        </w:tcPr>
        <w:p w14:paraId="4210C518" w14:textId="77777777" w:rsidR="00BF7F97" w:rsidRDefault="00243AE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14:paraId="18660EE0" w14:textId="77777777" w:rsidR="00BF7F97" w:rsidRDefault="00243AE8">
          <w:pPr>
            <w:ind w:right="27"/>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Secretaría de Desarrollo Social.</w:t>
          </w:r>
        </w:p>
      </w:tc>
    </w:tr>
    <w:tr w:rsidR="00BF7F97" w14:paraId="214AC82A" w14:textId="77777777">
      <w:tc>
        <w:tcPr>
          <w:tcW w:w="2551" w:type="dxa"/>
          <w:vAlign w:val="center"/>
        </w:tcPr>
        <w:p w14:paraId="4CC760A4" w14:textId="77777777" w:rsidR="00BF7F97" w:rsidRDefault="00243AE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14:paraId="17D35403" w14:textId="77777777" w:rsidR="00BF7F97" w:rsidRDefault="00243AE8">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4CEDBB43" w14:textId="77777777" w:rsidR="00BF7F97" w:rsidRDefault="00BF7F97">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CFD6B" w14:textId="77777777" w:rsidR="00BF7F97" w:rsidRDefault="00243AE8">
    <w:pPr>
      <w:pBdr>
        <w:top w:val="nil"/>
        <w:left w:val="nil"/>
        <w:bottom w:val="nil"/>
        <w:right w:val="nil"/>
        <w:between w:val="nil"/>
      </w:pBdr>
      <w:tabs>
        <w:tab w:val="center" w:pos="4252"/>
        <w:tab w:val="right" w:pos="8504"/>
      </w:tabs>
      <w:jc w:val="both"/>
      <w:rPr>
        <w:rFonts w:ascii="Calibri" w:eastAsia="Calibri" w:hAnsi="Calibri" w:cs="Calibri"/>
        <w:color w:val="000000"/>
      </w:rPr>
    </w:pPr>
    <w:r>
      <w:rPr>
        <w:rFonts w:ascii="Calibri" w:eastAsia="Calibri" w:hAnsi="Calibri" w:cs="Calibri"/>
        <w:color w:val="000000"/>
      </w:rPr>
      <w:t xml:space="preserve">                                  </w:t>
    </w:r>
  </w:p>
  <w:p w14:paraId="7262BAEC" w14:textId="77777777" w:rsidR="00BF7F97" w:rsidRDefault="00BF7F97">
    <w:pPr>
      <w:pBdr>
        <w:top w:val="nil"/>
        <w:left w:val="nil"/>
        <w:bottom w:val="nil"/>
        <w:right w:val="nil"/>
        <w:between w:val="nil"/>
      </w:pBdr>
      <w:tabs>
        <w:tab w:val="center" w:pos="4252"/>
        <w:tab w:val="right" w:pos="8504"/>
      </w:tabs>
      <w:rPr>
        <w:rFonts w:ascii="Calibri" w:eastAsia="Calibri" w:hAnsi="Calibri" w:cs="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665146"/>
    <w:multiLevelType w:val="multilevel"/>
    <w:tmpl w:val="745416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6D216DC"/>
    <w:multiLevelType w:val="multilevel"/>
    <w:tmpl w:val="3C10B5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B99634F"/>
    <w:multiLevelType w:val="multilevel"/>
    <w:tmpl w:val="2E783214"/>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 w15:restartNumberingAfterBreak="0">
    <w:nsid w:val="501B569B"/>
    <w:multiLevelType w:val="multilevel"/>
    <w:tmpl w:val="93EADD7A"/>
    <w:lvl w:ilvl="0">
      <w:start w:val="1"/>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7F97"/>
    <w:rsid w:val="000247B9"/>
    <w:rsid w:val="00243AE8"/>
    <w:rsid w:val="00310227"/>
    <w:rsid w:val="005A088A"/>
    <w:rsid w:val="006D0BE4"/>
    <w:rsid w:val="007B20BE"/>
    <w:rsid w:val="007F17B6"/>
    <w:rsid w:val="00BF7F97"/>
    <w:rsid w:val="00E424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6B4B7C"/>
  <w15:docId w15:val="{240CBCBD-CF9A-4310-89CF-E1481D7E60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42A3"/>
    <w:rPr>
      <w:lang w:eastAsia="es-ES"/>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591A48"/>
    <w:rPr>
      <w:rFonts w:eastAsiaTheme="minorEastAsia"/>
      <w:sz w:val="24"/>
      <w:szCs w:val="24"/>
      <w:lang w:val="es-ES_tradnl" w:eastAsia="es-ES"/>
    </w:rPr>
  </w:style>
  <w:style w:type="paragraph" w:styleId="Piedepgina">
    <w:name w:val="footer"/>
    <w:basedOn w:val="Normal"/>
    <w:link w:val="Piedepgina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591A48"/>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1"/>
    <w:qFormat/>
    <w:locked/>
    <w:rsid w:val="00591A48"/>
    <w:rPr>
      <w:rFonts w:ascii="Times New Roman" w:eastAsia="Times New Roman" w:hAnsi="Times New Roman" w:cs="Times New Roman"/>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1"/>
    <w:qFormat/>
    <w:rsid w:val="00591A48"/>
    <w:pPr>
      <w:ind w:left="708"/>
    </w:pPr>
    <w:rPr>
      <w:sz w:val="22"/>
      <w:szCs w:val="22"/>
      <w:lang w:eastAsia="en-US"/>
    </w:rPr>
  </w:style>
  <w:style w:type="table" w:styleId="Tablaconcuadrcula">
    <w:name w:val="Table Grid"/>
    <w:basedOn w:val="Tablanormal"/>
    <w:uiPriority w:val="39"/>
    <w:rsid w:val="00591A48"/>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591A48"/>
  </w:style>
  <w:style w:type="character" w:customStyle="1" w:styleId="apple-converted-space">
    <w:name w:val="apple-converted-space"/>
    <w:basedOn w:val="Fuentedeprrafopredeter"/>
    <w:rsid w:val="00591A48"/>
  </w:style>
  <w:style w:type="character" w:styleId="Hipervnculo">
    <w:name w:val="Hyperlink"/>
    <w:basedOn w:val="Fuentedeprrafopredeter"/>
    <w:uiPriority w:val="99"/>
    <w:unhideWhenUsed/>
    <w:rsid w:val="00591A48"/>
    <w:rPr>
      <w:color w:val="0000FF"/>
      <w:u w:val="single"/>
    </w:rPr>
  </w:style>
  <w:style w:type="paragraph" w:styleId="NormalWeb">
    <w:name w:val="Normal (Web)"/>
    <w:basedOn w:val="Normal"/>
    <w:uiPriority w:val="99"/>
    <w:unhideWhenUsed/>
    <w:rsid w:val="00591A48"/>
    <w:pPr>
      <w:spacing w:before="100" w:beforeAutospacing="1" w:after="100" w:afterAutospacing="1"/>
    </w:pPr>
    <w:rPr>
      <w:lang w:eastAsia="es-MX"/>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591A4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591A48"/>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591A48"/>
    <w:rPr>
      <w:vertAlign w:val="superscript"/>
    </w:rPr>
  </w:style>
  <w:style w:type="character" w:styleId="Refdecomentario">
    <w:name w:val="annotation reference"/>
    <w:basedOn w:val="Fuentedeprrafopredeter"/>
    <w:uiPriority w:val="99"/>
    <w:semiHidden/>
    <w:unhideWhenUsed/>
    <w:rsid w:val="00D33422"/>
    <w:rPr>
      <w:sz w:val="16"/>
      <w:szCs w:val="16"/>
    </w:rPr>
  </w:style>
  <w:style w:type="paragraph" w:styleId="Textocomentario">
    <w:name w:val="annotation text"/>
    <w:basedOn w:val="Normal"/>
    <w:link w:val="TextocomentarioCar"/>
    <w:uiPriority w:val="99"/>
    <w:semiHidden/>
    <w:unhideWhenUsed/>
    <w:rsid w:val="00D33422"/>
    <w:rPr>
      <w:sz w:val="20"/>
      <w:szCs w:val="20"/>
    </w:rPr>
  </w:style>
  <w:style w:type="character" w:customStyle="1" w:styleId="TextocomentarioCar">
    <w:name w:val="Texto comentario Car"/>
    <w:basedOn w:val="Fuentedeprrafopredeter"/>
    <w:link w:val="Textocomentario"/>
    <w:uiPriority w:val="99"/>
    <w:semiHidden/>
    <w:rsid w:val="00D33422"/>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33422"/>
    <w:rPr>
      <w:b/>
      <w:bCs/>
    </w:rPr>
  </w:style>
  <w:style w:type="character" w:customStyle="1" w:styleId="AsuntodelcomentarioCar">
    <w:name w:val="Asunto del comentario Car"/>
    <w:basedOn w:val="TextocomentarioCar"/>
    <w:link w:val="Asuntodelcomentario"/>
    <w:uiPriority w:val="99"/>
    <w:semiHidden/>
    <w:rsid w:val="00D33422"/>
    <w:rPr>
      <w:rFonts w:ascii="Times New Roman" w:eastAsia="Times New Roman" w:hAnsi="Times New Roman" w:cs="Times New Roman"/>
      <w:b/>
      <w:bCs/>
      <w:sz w:val="20"/>
      <w:szCs w:val="20"/>
      <w:lang w:val="es-ES" w:eastAsia="es-ES"/>
    </w:rPr>
  </w:style>
  <w:style w:type="paragraph" w:styleId="Textodeglobo">
    <w:name w:val="Balloon Text"/>
    <w:basedOn w:val="Normal"/>
    <w:link w:val="TextodegloboCar"/>
    <w:uiPriority w:val="99"/>
    <w:semiHidden/>
    <w:unhideWhenUsed/>
    <w:rsid w:val="00D3342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33422"/>
    <w:rPr>
      <w:rFonts w:ascii="Segoe UI" w:eastAsia="Times New Roman" w:hAnsi="Segoe UI" w:cs="Segoe UI"/>
      <w:sz w:val="18"/>
      <w:szCs w:val="18"/>
      <w:lang w:val="es-ES" w:eastAsia="es-ES"/>
    </w:rPr>
  </w:style>
  <w:style w:type="paragraph" w:customStyle="1" w:styleId="paragraph">
    <w:name w:val="paragraph"/>
    <w:basedOn w:val="Normal"/>
    <w:rsid w:val="00225930"/>
    <w:pPr>
      <w:spacing w:before="100" w:beforeAutospacing="1" w:after="100" w:afterAutospacing="1"/>
    </w:pPr>
    <w:rPr>
      <w:lang w:eastAsia="es-MX"/>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4"/>
    <w:tblPr>
      <w:tblStyleRowBandSize w:val="1"/>
      <w:tblStyleColBandSize w:val="1"/>
      <w:tblCellMar>
        <w:left w:w="115" w:type="dxa"/>
        <w:right w:w="115" w:type="dxa"/>
      </w:tblCellMar>
    </w:tblPr>
  </w:style>
  <w:style w:type="table" w:customStyle="1" w:styleId="a0">
    <w:basedOn w:val="TableNormal4"/>
    <w:tblPr>
      <w:tblStyleRowBandSize w:val="1"/>
      <w:tblStyleColBandSize w:val="1"/>
      <w:tblCellMar>
        <w:left w:w="115" w:type="dxa"/>
        <w:right w:w="115" w:type="dxa"/>
      </w:tblCellMar>
    </w:tblPr>
  </w:style>
  <w:style w:type="paragraph" w:styleId="Sinespaciado">
    <w:name w:val="No Spacing"/>
    <w:aliases w:val="Francesa"/>
    <w:link w:val="SinespaciadoCar"/>
    <w:uiPriority w:val="1"/>
    <w:qFormat/>
    <w:rsid w:val="000039DE"/>
    <w:rPr>
      <w:lang w:eastAsia="es-ES"/>
    </w:rPr>
  </w:style>
  <w:style w:type="character" w:customStyle="1" w:styleId="SinespaciadoCar">
    <w:name w:val="Sin espaciado Car"/>
    <w:aliases w:val="Francesa Car"/>
    <w:link w:val="Sinespaciado"/>
    <w:uiPriority w:val="1"/>
    <w:locked/>
    <w:rsid w:val="000039DE"/>
    <w:rPr>
      <w:lang w:val="es-MX" w:eastAsia="es-ES"/>
    </w:rPr>
  </w:style>
  <w:style w:type="table" w:customStyle="1" w:styleId="a1">
    <w:basedOn w:val="TableNormal4"/>
    <w:tblPr>
      <w:tblStyleRowBandSize w:val="1"/>
      <w:tblStyleColBandSize w:val="1"/>
      <w:tblCellMar>
        <w:left w:w="108" w:type="dxa"/>
        <w:right w:w="108" w:type="dxa"/>
      </w:tblCellMar>
    </w:tblPr>
  </w:style>
  <w:style w:type="table" w:customStyle="1" w:styleId="a2">
    <w:basedOn w:val="TableNormal4"/>
    <w:tblPr>
      <w:tblStyleRowBandSize w:val="1"/>
      <w:tblStyleColBandSize w:val="1"/>
      <w:tblCellMar>
        <w:left w:w="108" w:type="dxa"/>
        <w:right w:w="108" w:type="dxa"/>
      </w:tblCellMar>
    </w:tblPr>
  </w:style>
  <w:style w:type="table" w:customStyle="1" w:styleId="a3">
    <w:basedOn w:val="TableNormal4"/>
    <w:tblPr>
      <w:tblStyleRowBandSize w:val="1"/>
      <w:tblStyleColBandSize w:val="1"/>
      <w:tblCellMar>
        <w:left w:w="115" w:type="dxa"/>
        <w:right w:w="115" w:type="dxa"/>
      </w:tblCellMar>
    </w:tblPr>
  </w:style>
  <w:style w:type="table" w:customStyle="1" w:styleId="a4">
    <w:basedOn w:val="TableNormal4"/>
    <w:tblPr>
      <w:tblStyleRowBandSize w:val="1"/>
      <w:tblStyleColBandSize w:val="1"/>
      <w:tblCellMar>
        <w:left w:w="115" w:type="dxa"/>
        <w:right w:w="115" w:type="dxa"/>
      </w:tblCellMar>
    </w:tblPr>
  </w:style>
  <w:style w:type="table" w:customStyle="1" w:styleId="a5">
    <w:basedOn w:val="TableNormal3"/>
    <w:tblPr>
      <w:tblStyleRowBandSize w:val="1"/>
      <w:tblStyleColBandSize w:val="1"/>
      <w:tblCellMar>
        <w:left w:w="115" w:type="dxa"/>
        <w:right w:w="115" w:type="dxa"/>
      </w:tblCellMar>
    </w:tblPr>
  </w:style>
  <w:style w:type="table" w:customStyle="1" w:styleId="a6">
    <w:basedOn w:val="TableNormal3"/>
    <w:tblPr>
      <w:tblStyleRowBandSize w:val="1"/>
      <w:tblStyleColBandSize w:val="1"/>
      <w:tblCellMar>
        <w:left w:w="115" w:type="dxa"/>
        <w:right w:w="115" w:type="dxa"/>
      </w:tblCellMar>
    </w:tblPr>
  </w:style>
  <w:style w:type="table" w:customStyle="1" w:styleId="a7">
    <w:basedOn w:val="TableNormal3"/>
    <w:tblPr>
      <w:tblStyleRowBandSize w:val="1"/>
      <w:tblStyleColBandSize w:val="1"/>
      <w:tblCellMar>
        <w:left w:w="115" w:type="dxa"/>
        <w:right w:w="115" w:type="dxa"/>
      </w:tblCellMar>
    </w:tblPr>
  </w:style>
  <w:style w:type="table" w:customStyle="1" w:styleId="a8">
    <w:basedOn w:val="TableNormal3"/>
    <w:tblPr>
      <w:tblStyleRowBandSize w:val="1"/>
      <w:tblStyleColBandSize w:val="1"/>
      <w:tblCellMar>
        <w:left w:w="115" w:type="dxa"/>
        <w:right w:w="115" w:type="dxa"/>
      </w:tblCellMar>
    </w:tblPr>
  </w:style>
  <w:style w:type="table" w:customStyle="1" w:styleId="a9">
    <w:basedOn w:val="TableNormal3"/>
    <w:tblPr>
      <w:tblStyleRowBandSize w:val="1"/>
      <w:tblStyleColBandSize w:val="1"/>
      <w:tblCellMar>
        <w:left w:w="115" w:type="dxa"/>
        <w:right w:w="115" w:type="dxa"/>
      </w:tblCellMar>
    </w:tblPr>
  </w:style>
  <w:style w:type="table" w:customStyle="1" w:styleId="aa">
    <w:basedOn w:val="TableNormal2"/>
    <w:tblPr>
      <w:tblStyleRowBandSize w:val="1"/>
      <w:tblStyleColBandSize w:val="1"/>
      <w:tblCellMar>
        <w:left w:w="115" w:type="dxa"/>
        <w:right w:w="115" w:type="dxa"/>
      </w:tblCellMar>
    </w:tblPr>
  </w:style>
  <w:style w:type="table" w:customStyle="1" w:styleId="ab">
    <w:basedOn w:val="TableNormal2"/>
    <w:tblPr>
      <w:tblStyleRowBandSize w:val="1"/>
      <w:tblStyleColBandSize w:val="1"/>
      <w:tblCellMar>
        <w:left w:w="115" w:type="dxa"/>
        <w:right w:w="115" w:type="dxa"/>
      </w:tblCellMar>
    </w:tblPr>
  </w:style>
  <w:style w:type="table" w:customStyle="1" w:styleId="ac">
    <w:basedOn w:val="TableNormal2"/>
    <w:tblPr>
      <w:tblStyleRowBandSize w:val="1"/>
      <w:tblStyleColBandSize w:val="1"/>
      <w:tblCellMar>
        <w:left w:w="115" w:type="dxa"/>
        <w:right w:w="115" w:type="dxa"/>
      </w:tblCellMar>
    </w:tblPr>
  </w:style>
  <w:style w:type="table" w:customStyle="1" w:styleId="Tabladelista1clara-nfasis11">
    <w:name w:val="Tabla de lista 1 clara - Énfasis 11"/>
    <w:basedOn w:val="Tablanormal"/>
    <w:uiPriority w:val="46"/>
    <w:rsid w:val="006D213A"/>
    <w:rPr>
      <w:rFonts w:asciiTheme="minorHAnsi" w:eastAsia="MS Mincho" w:hAnsiTheme="minorHAnsi" w:cstheme="minorBidi"/>
      <w:lang w:val="es-ES_tradnl" w:eastAsia="es-E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ad">
    <w:basedOn w:val="TableNormal1"/>
    <w:tblPr>
      <w:tblStyleRowBandSize w:val="1"/>
      <w:tblStyleColBandSize w:val="1"/>
      <w:tblCellMar>
        <w:left w:w="115" w:type="dxa"/>
        <w:right w:w="115" w:type="dxa"/>
      </w:tblCellMar>
    </w:tblPr>
  </w:style>
  <w:style w:type="table" w:customStyle="1" w:styleId="ae">
    <w:basedOn w:val="TableNormal1"/>
    <w:rPr>
      <w:rFonts w:ascii="Calibri" w:eastAsia="Calibri" w:hAnsi="Calibri" w:cs="Calibri"/>
    </w:rPr>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
    <w:basedOn w:val="TableNormal1"/>
    <w:tblPr>
      <w:tblStyleRowBandSize w:val="1"/>
      <w:tblStyleColBandSize w:val="1"/>
      <w:tblCellMar>
        <w:left w:w="115" w:type="dxa"/>
        <w:right w:w="115" w:type="dxa"/>
      </w:tblCellMar>
    </w:tblPr>
  </w:style>
  <w:style w:type="table" w:customStyle="1" w:styleId="af0">
    <w:basedOn w:val="TableNormal1"/>
    <w:tblPr>
      <w:tblStyleRowBandSize w:val="1"/>
      <w:tblStyleColBandSize w:val="1"/>
      <w:tblCellMar>
        <w:left w:w="115" w:type="dxa"/>
        <w:right w:w="115" w:type="dxa"/>
      </w:tblCellMar>
    </w:tblPr>
  </w:style>
  <w:style w:type="character" w:customStyle="1" w:styleId="Mencinsinresolver1">
    <w:name w:val="Mención sin resolver1"/>
    <w:basedOn w:val="Fuentedeprrafopredeter"/>
    <w:uiPriority w:val="99"/>
    <w:semiHidden/>
    <w:unhideWhenUsed/>
    <w:rsid w:val="00E44466"/>
    <w:rPr>
      <w:color w:val="605E5C"/>
      <w:shd w:val="clear" w:color="auto" w:fill="E1DFDD"/>
    </w:rPr>
  </w:style>
  <w:style w:type="character" w:styleId="Hipervnculovisitado">
    <w:name w:val="FollowedHyperlink"/>
    <w:basedOn w:val="Fuentedeprrafopredeter"/>
    <w:uiPriority w:val="99"/>
    <w:semiHidden/>
    <w:unhideWhenUsed/>
    <w:rsid w:val="00E44466"/>
    <w:rPr>
      <w:color w:val="954F72" w:themeColor="followedHyperlink"/>
      <w:u w:val="single"/>
    </w:rPr>
  </w:style>
  <w:style w:type="table" w:customStyle="1" w:styleId="Tablaconcuadrcula1">
    <w:name w:val="Tabla con cuadrícula1"/>
    <w:basedOn w:val="Tablanormal"/>
    <w:next w:val="Tablaconcuadrcula"/>
    <w:uiPriority w:val="59"/>
    <w:rsid w:val="00D61CF5"/>
    <w:rPr>
      <w:rFonts w:asciiTheme="minorHAnsi" w:eastAsiaTheme="minorEastAsia" w:hAnsiTheme="minorHAnsi" w:cstheme="minorBidi"/>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1">
    <w:basedOn w:val="TableNormal0"/>
    <w:tblPr>
      <w:tblStyleRowBandSize w:val="1"/>
      <w:tblStyleColBandSize w:val="1"/>
      <w:tblCellMar>
        <w:left w:w="115" w:type="dxa"/>
        <w:right w:w="115" w:type="dxa"/>
      </w:tblCellMar>
    </w:tblPr>
  </w:style>
  <w:style w:type="table" w:customStyle="1" w:styleId="af2">
    <w:basedOn w:val="TableNormal0"/>
    <w:tblPr>
      <w:tblStyleRowBandSize w:val="1"/>
      <w:tblStyleColBandSize w:val="1"/>
      <w:tblCellMar>
        <w:left w:w="115" w:type="dxa"/>
        <w:right w:w="115" w:type="dxa"/>
      </w:tblCellMar>
    </w:tblPr>
  </w:style>
  <w:style w:type="table" w:customStyle="1" w:styleId="af3">
    <w:basedOn w:val="TableNormal0"/>
    <w:tblPr>
      <w:tblStyleRowBandSize w:val="1"/>
      <w:tblStyleColBandSize w:val="1"/>
      <w:tblCellMar>
        <w:left w:w="115" w:type="dxa"/>
        <w:right w:w="115" w:type="dxa"/>
      </w:tblCellMar>
    </w:tblPr>
  </w:style>
  <w:style w:type="table" w:customStyle="1" w:styleId="af4">
    <w:basedOn w:val="TableNormal0"/>
    <w:rPr>
      <w:rFonts w:ascii="Calibri" w:eastAsia="Calibri" w:hAnsi="Calibri" w:cs="Calibri"/>
    </w:rPr>
    <w:tblPr>
      <w:tblStyleRowBandSize w:val="1"/>
      <w:tblStyleColBandSize w:val="1"/>
      <w:tblCellMar>
        <w:left w:w="108" w:type="dxa"/>
        <w:right w:w="108" w:type="dxa"/>
      </w:tblCellMar>
    </w:tblPr>
  </w:style>
  <w:style w:type="table" w:customStyle="1" w:styleId="af5">
    <w:basedOn w:val="TableNormal0"/>
    <w:tblPr>
      <w:tblStyleRowBandSize w:val="1"/>
      <w:tblStyleColBandSize w:val="1"/>
      <w:tblCellMar>
        <w:left w:w="115" w:type="dxa"/>
        <w:right w:w="115" w:type="dxa"/>
      </w:tblCellMar>
    </w:tblPr>
  </w:style>
  <w:style w:type="table" w:customStyle="1" w:styleId="af6">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yperlink" Target="https://saimex.org.mx/saimex/solicitud/downloadAttach/1512308.page" TargetMode="External"/><Relationship Id="rId39" Type="http://schemas.openxmlformats.org/officeDocument/2006/relationships/hyperlink" Target="https://saimex.org.mx/saimex/solicitud/downloadAttach/1512300.page" TargetMode="External"/><Relationship Id="rId21" Type="http://schemas.openxmlformats.org/officeDocument/2006/relationships/hyperlink" Target="https://saimex.org.mx/saimex/solicitud/downloadAttach/1512303.page" TargetMode="External"/><Relationship Id="rId34" Type="http://schemas.openxmlformats.org/officeDocument/2006/relationships/hyperlink" Target="https://saimex.org.mx/saimex/solicitud/downloadAttach/1512293.page" TargetMode="External"/><Relationship Id="rId42" Type="http://schemas.openxmlformats.org/officeDocument/2006/relationships/hyperlink" Target="https://saimex.org.mx/saimex/solicitud/downloadAttach/1512302.page" TargetMode="External"/><Relationship Id="rId47" Type="http://schemas.openxmlformats.org/officeDocument/2006/relationships/image" Target="media/image9.png"/><Relationship Id="rId50" Type="http://schemas.openxmlformats.org/officeDocument/2006/relationships/image" Target="media/image12.png"/><Relationship Id="rId55" Type="http://schemas.openxmlformats.org/officeDocument/2006/relationships/image" Target="media/image1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edesem.edomex.gob.mx/avisos-privacidad" TargetMode="External"/><Relationship Id="rId29" Type="http://schemas.openxmlformats.org/officeDocument/2006/relationships/hyperlink" Target="https://saimex.org.mx/saimex/solicitud/downloadAttach/1512288.page" TargetMode="External"/><Relationship Id="rId11" Type="http://schemas.openxmlformats.org/officeDocument/2006/relationships/hyperlink" Target="https://saimex.org.mx/saimex/solicitud/downloadAttach/1512300.page" TargetMode="External"/><Relationship Id="rId24" Type="http://schemas.openxmlformats.org/officeDocument/2006/relationships/hyperlink" Target="https://saimex.org.mx/saimex/solicitud/downloadAttach/1512306.page" TargetMode="External"/><Relationship Id="rId32" Type="http://schemas.openxmlformats.org/officeDocument/2006/relationships/hyperlink" Target="https://saimex.org.mx/saimex/solicitud/downloadAttach/1512291.page" TargetMode="External"/><Relationship Id="rId37" Type="http://schemas.openxmlformats.org/officeDocument/2006/relationships/hyperlink" Target="https://saimex.org.mx/saimex/solicitud/downloadAttach/1512298.page" TargetMode="External"/><Relationship Id="rId40" Type="http://schemas.openxmlformats.org/officeDocument/2006/relationships/hyperlink" Target="https://saimex.org.mx/saimex/solicitud/downloadAttach/1512301.page" TargetMode="External"/><Relationship Id="rId45" Type="http://schemas.openxmlformats.org/officeDocument/2006/relationships/image" Target="media/image19.png"/><Relationship Id="rId53" Type="http://schemas.openxmlformats.org/officeDocument/2006/relationships/image" Target="media/image15.pn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hyperlink" Target="https://saimex.org.mx/saimex/solicitud/downloadAttach/1512304.page" TargetMode="External"/><Relationship Id="rId27" Type="http://schemas.openxmlformats.org/officeDocument/2006/relationships/hyperlink" Target="https://saimex.org.mx/saimex/solicitud/downloadAttach/1512309.page" TargetMode="External"/><Relationship Id="rId30" Type="http://schemas.openxmlformats.org/officeDocument/2006/relationships/hyperlink" Target="https://saimex.org.mx/saimex/solicitud/downloadAttach/1512289.page" TargetMode="External"/><Relationship Id="rId35" Type="http://schemas.openxmlformats.org/officeDocument/2006/relationships/hyperlink" Target="https://saimex.org.mx/saimex/solicitud/downloadAttach/1512324.page" TargetMode="External"/><Relationship Id="rId43" Type="http://schemas.openxmlformats.org/officeDocument/2006/relationships/hyperlink" Target="https://saimex.org.mx/saimex/solicitud/downloadAttach/1512303.page" TargetMode="External"/><Relationship Id="rId48" Type="http://schemas.openxmlformats.org/officeDocument/2006/relationships/image" Target="media/image10.png"/><Relationship Id="rId56" Type="http://schemas.openxmlformats.org/officeDocument/2006/relationships/header" Target="header1.xml"/><Relationship Id="rId8" Type="http://schemas.openxmlformats.org/officeDocument/2006/relationships/hyperlink" Target="https://saimex.org.mx/saimex/solicitud/downloadAttach/1512297.page" TargetMode="External"/><Relationship Id="rId51" Type="http://schemas.openxmlformats.org/officeDocument/2006/relationships/image" Target="media/image13.png"/><Relationship Id="rId3" Type="http://schemas.openxmlformats.org/officeDocument/2006/relationships/styles" Target="styles.xml"/><Relationship Id="rId12" Type="http://schemas.openxmlformats.org/officeDocument/2006/relationships/hyperlink" Target="https://saimex.org.mx/saimex/solicitud/downloadAttach/1512301.page" TargetMode="External"/><Relationship Id="rId17" Type="http://schemas.openxmlformats.org/officeDocument/2006/relationships/image" Target="media/image4.png"/><Relationship Id="rId25" Type="http://schemas.openxmlformats.org/officeDocument/2006/relationships/hyperlink" Target="https://saimex.org.mx/saimex/solicitud/downloadAttach/1512307.page" TargetMode="External"/><Relationship Id="rId33" Type="http://schemas.openxmlformats.org/officeDocument/2006/relationships/hyperlink" Target="https://saimex.org.mx/saimex/solicitud/downloadAttach/1512292.page" TargetMode="External"/><Relationship Id="rId38" Type="http://schemas.openxmlformats.org/officeDocument/2006/relationships/hyperlink" Target="https://saimex.org.mx/saimex/solicitud/downloadAttach/1512299.page" TargetMode="External"/><Relationship Id="rId46" Type="http://schemas.openxmlformats.org/officeDocument/2006/relationships/image" Target="media/image8.png"/><Relationship Id="rId59" Type="http://schemas.openxmlformats.org/officeDocument/2006/relationships/footer" Target="footer2.xml"/><Relationship Id="rId20" Type="http://schemas.openxmlformats.org/officeDocument/2006/relationships/hyperlink" Target="https://saimex.org.mx/saimex/solicitud/downloadAttach/1512302.page" TargetMode="External"/><Relationship Id="rId41" Type="http://schemas.openxmlformats.org/officeDocument/2006/relationships/hyperlink" Target="https://sedesem.edomex.gob.mx/avisos-privacidad" TargetMode="External"/><Relationship Id="rId54" Type="http://schemas.openxmlformats.org/officeDocument/2006/relationships/image" Target="media/image1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saimex.org.mx/saimex/solicitud/downloadAttach/1512305.page" TargetMode="External"/><Relationship Id="rId28" Type="http://schemas.openxmlformats.org/officeDocument/2006/relationships/hyperlink" Target="https://saimex.org.mx/saimex/solicitud/downloadAttach/1512310.page" TargetMode="External"/><Relationship Id="rId36" Type="http://schemas.openxmlformats.org/officeDocument/2006/relationships/hyperlink" Target="https://saimex.org.mx/saimex/solicitud/downloadAttach/1512297.page" TargetMode="External"/><Relationship Id="rId49" Type="http://schemas.openxmlformats.org/officeDocument/2006/relationships/image" Target="media/image11.png"/><Relationship Id="rId57" Type="http://schemas.openxmlformats.org/officeDocument/2006/relationships/footer" Target="footer1.xml"/><Relationship Id="rId10" Type="http://schemas.openxmlformats.org/officeDocument/2006/relationships/hyperlink" Target="https://saimex.org.mx/saimex/solicitud/downloadAttach/1512299.page" TargetMode="External"/><Relationship Id="rId31" Type="http://schemas.openxmlformats.org/officeDocument/2006/relationships/hyperlink" Target="https://saimex.org.mx/saimex/solicitud/downloadAttach/1512290.page" TargetMode="External"/><Relationship Id="rId44" Type="http://schemas.openxmlformats.org/officeDocument/2006/relationships/image" Target="media/image7.png"/><Relationship Id="rId52" Type="http://schemas.openxmlformats.org/officeDocument/2006/relationships/image" Target="media/image14.png"/><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saimex.org.mx/saimex/solicitud/downloadAttach/1512298.page"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home.inai.org.mx/wp-content/documentos/DocumentosSectorPublico/_GuiaPrincipiosDeberes.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I3nD3cP97W003qZu787IHSMpB4g==">AMUW2mVI5yhfxukOklHrzhjgrWPgGAP/b5eoBdcPJvYnPk70fhXoYO+62mIWVfG2Pmt9iMDhpyn3wc+fc4SxwdZRTQzOPWEbZOa9hw0MtmIu/KcReJ7f5QI35/djzn0a+CK700AsHCfEcq1V4lH77IiiBa/ZmUr9e5OXHxUaWbsaHHZJIII5XtKYQPwJnbAwv6T8SLru++tyNrWfFFQN0VfaolJB6/o/Jw==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54</Pages>
  <Words>11020</Words>
  <Characters>60616</Characters>
  <Application>Microsoft Office Word</Application>
  <DocSecurity>0</DocSecurity>
  <Lines>505</Lines>
  <Paragraphs>142</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71494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MARICELA VILLAGOMEZ</cp:lastModifiedBy>
  <cp:revision>2</cp:revision>
  <cp:lastPrinted>2023-05-19T17:14:00Z</cp:lastPrinted>
  <dcterms:created xsi:type="dcterms:W3CDTF">2023-05-25T16:29:00Z</dcterms:created>
  <dcterms:modified xsi:type="dcterms:W3CDTF">2023-05-25T16:29:00Z</dcterms:modified>
</cp:coreProperties>
</file>