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25DA58" w14:textId="77777777" w:rsidR="00267BE2" w:rsidRPr="00F867F2" w:rsidRDefault="00675343">
      <w:pPr>
        <w:spacing w:line="360" w:lineRule="auto"/>
        <w:jc w:val="both"/>
        <w:rPr>
          <w:rFonts w:ascii="Palatino Linotype" w:eastAsia="Palatino Linotype" w:hAnsi="Palatino Linotype" w:cs="Palatino Linotype"/>
        </w:rPr>
      </w:pPr>
      <w:r w:rsidRPr="00F867F2">
        <w:rPr>
          <w:rFonts w:ascii="Palatino Linotype" w:eastAsia="Palatino Linotype" w:hAnsi="Palatino Linotype" w:cs="Palatino Linotype"/>
        </w:rPr>
        <w:t>Resolución del Pleno del Instituto de Transparencia, Acceso a la Información Pública y Protección de Datos Personales del Estado de México y Municipios</w:t>
      </w:r>
      <w:r w:rsidRPr="00F867F2">
        <w:rPr>
          <w:rFonts w:ascii="Palatino Linotype" w:eastAsia="Palatino Linotype" w:hAnsi="Palatino Linotype" w:cs="Palatino Linotype"/>
          <w:vertAlign w:val="superscript"/>
        </w:rPr>
        <w:footnoteReference w:id="1"/>
      </w:r>
      <w:r w:rsidRPr="00F867F2">
        <w:rPr>
          <w:rFonts w:ascii="Palatino Linotype" w:eastAsia="Palatino Linotype" w:hAnsi="Palatino Linotype" w:cs="Palatino Linotype"/>
        </w:rPr>
        <w:t xml:space="preserve">, con domicilio en Metepec, Estado de México, a veintinueve de marzo de dos mil veintitrés. </w:t>
      </w:r>
    </w:p>
    <w:p w14:paraId="0A3625B5" w14:textId="77777777" w:rsidR="00267BE2" w:rsidRPr="00F867F2" w:rsidRDefault="00267BE2">
      <w:pPr>
        <w:spacing w:line="360" w:lineRule="auto"/>
        <w:jc w:val="both"/>
        <w:rPr>
          <w:rFonts w:ascii="Palatino Linotype" w:eastAsia="Palatino Linotype" w:hAnsi="Palatino Linotype" w:cs="Palatino Linotype"/>
        </w:rPr>
      </w:pPr>
    </w:p>
    <w:p w14:paraId="5A514C05" w14:textId="4D621609" w:rsidR="00267BE2" w:rsidRPr="00F867F2" w:rsidRDefault="00675343">
      <w:pPr>
        <w:spacing w:line="360" w:lineRule="auto"/>
        <w:jc w:val="both"/>
        <w:rPr>
          <w:rFonts w:ascii="Palatino Linotype" w:eastAsia="Palatino Linotype" w:hAnsi="Palatino Linotype" w:cs="Palatino Linotype"/>
        </w:rPr>
      </w:pPr>
      <w:r w:rsidRPr="00F867F2">
        <w:rPr>
          <w:rFonts w:ascii="Palatino Linotype" w:eastAsia="Palatino Linotype" w:hAnsi="Palatino Linotype" w:cs="Palatino Linotype"/>
          <w:b/>
        </w:rPr>
        <w:t>VISTO</w:t>
      </w:r>
      <w:r w:rsidRPr="00F867F2">
        <w:rPr>
          <w:rFonts w:ascii="Palatino Linotype" w:eastAsia="Palatino Linotype" w:hAnsi="Palatino Linotype" w:cs="Palatino Linotype"/>
        </w:rPr>
        <w:t xml:space="preserve"> el expediente formado con motivo del recurso de revisión </w:t>
      </w:r>
      <w:r w:rsidRPr="00F867F2">
        <w:rPr>
          <w:rFonts w:ascii="Palatino Linotype" w:eastAsia="Palatino Linotype" w:hAnsi="Palatino Linotype" w:cs="Palatino Linotype"/>
          <w:b/>
        </w:rPr>
        <w:t>14399/INFOEM/IP/RR/2022</w:t>
      </w:r>
      <w:r w:rsidRPr="00F867F2">
        <w:rPr>
          <w:rFonts w:ascii="Palatino Linotype" w:eastAsia="Palatino Linotype" w:hAnsi="Palatino Linotype" w:cs="Palatino Linotype"/>
        </w:rPr>
        <w:t>, interpuesto por quien dijo ser</w:t>
      </w:r>
      <w:r w:rsidRPr="00F867F2">
        <w:rPr>
          <w:rFonts w:ascii="Palatino Linotype" w:eastAsia="Palatino Linotype" w:hAnsi="Palatino Linotype" w:cs="Palatino Linotype"/>
          <w:b/>
        </w:rPr>
        <w:t xml:space="preserve"> </w:t>
      </w:r>
      <w:r w:rsidR="005450C2">
        <w:rPr>
          <w:rFonts w:ascii="Palatino Linotype" w:eastAsia="Palatino Linotype" w:hAnsi="Palatino Linotype" w:cs="Palatino Linotype"/>
          <w:b/>
        </w:rPr>
        <w:t>XXXXXXXXX XXXXXXXX</w:t>
      </w:r>
      <w:r w:rsidRPr="00F867F2">
        <w:rPr>
          <w:rFonts w:ascii="Palatino Linotype" w:eastAsia="Palatino Linotype" w:hAnsi="Palatino Linotype" w:cs="Palatino Linotype"/>
          <w:b/>
        </w:rPr>
        <w:t xml:space="preserve">, </w:t>
      </w:r>
      <w:r w:rsidRPr="00F867F2">
        <w:rPr>
          <w:rFonts w:ascii="Palatino Linotype" w:eastAsia="Palatino Linotype" w:hAnsi="Palatino Linotype" w:cs="Palatino Linotype"/>
        </w:rPr>
        <w:t>en lo sucesivo</w:t>
      </w:r>
      <w:r w:rsidRPr="00F867F2">
        <w:rPr>
          <w:rFonts w:ascii="Palatino Linotype" w:eastAsia="Palatino Linotype" w:hAnsi="Palatino Linotype" w:cs="Palatino Linotype"/>
          <w:b/>
        </w:rPr>
        <w:t xml:space="preserve"> LA PARTE RECURRENTE,</w:t>
      </w:r>
      <w:r w:rsidRPr="00F867F2">
        <w:rPr>
          <w:rFonts w:ascii="Palatino Linotype" w:eastAsia="Palatino Linotype" w:hAnsi="Palatino Linotype" w:cs="Palatino Linotype"/>
        </w:rPr>
        <w:t xml:space="preserve"> en contra de la respuesta a la solicitud </w:t>
      </w:r>
      <w:r w:rsidRPr="00F867F2">
        <w:rPr>
          <w:rFonts w:ascii="Palatino Linotype" w:eastAsia="Palatino Linotype" w:hAnsi="Palatino Linotype" w:cs="Palatino Linotype"/>
          <w:b/>
        </w:rPr>
        <w:t>00093/ATLAUTLA/IP/2022</w:t>
      </w:r>
      <w:r w:rsidRPr="00F867F2">
        <w:rPr>
          <w:rFonts w:ascii="Arial" w:eastAsia="Arial" w:hAnsi="Arial" w:cs="Arial"/>
          <w:b/>
          <w:sz w:val="15"/>
          <w:szCs w:val="15"/>
        </w:rPr>
        <w:t xml:space="preserve"> </w:t>
      </w:r>
      <w:r w:rsidRPr="00F867F2">
        <w:rPr>
          <w:rFonts w:ascii="Palatino Linotype" w:eastAsia="Palatino Linotype" w:hAnsi="Palatino Linotype" w:cs="Palatino Linotype"/>
        </w:rPr>
        <w:t>por parte del</w:t>
      </w:r>
      <w:r w:rsidRPr="00F867F2">
        <w:rPr>
          <w:rFonts w:ascii="Palatino Linotype" w:eastAsia="Palatino Linotype" w:hAnsi="Palatino Linotype" w:cs="Palatino Linotype"/>
          <w:b/>
        </w:rPr>
        <w:t xml:space="preserve"> Ayuntamiento de Atlautla, </w:t>
      </w:r>
      <w:r w:rsidRPr="00F867F2">
        <w:rPr>
          <w:rFonts w:ascii="Palatino Linotype" w:eastAsia="Palatino Linotype" w:hAnsi="Palatino Linotype" w:cs="Palatino Linotype"/>
        </w:rPr>
        <w:t xml:space="preserve">en lo sucesivo </w:t>
      </w:r>
      <w:r w:rsidRPr="00F867F2">
        <w:rPr>
          <w:rFonts w:ascii="Palatino Linotype" w:eastAsia="Palatino Linotype" w:hAnsi="Palatino Linotype" w:cs="Palatino Linotype"/>
          <w:b/>
        </w:rPr>
        <w:t xml:space="preserve">EL SUJETO OBLIGADO, </w:t>
      </w:r>
      <w:r w:rsidRPr="00F867F2">
        <w:rPr>
          <w:rFonts w:ascii="Palatino Linotype" w:eastAsia="Palatino Linotype" w:hAnsi="Palatino Linotype" w:cs="Palatino Linotype"/>
        </w:rPr>
        <w:t xml:space="preserve">se procede a dictar la presente resolución con base en los siguientes: </w:t>
      </w:r>
    </w:p>
    <w:p w14:paraId="7BDE4FA7" w14:textId="77777777" w:rsidR="00267BE2" w:rsidRPr="00F867F2" w:rsidRDefault="00267BE2">
      <w:pPr>
        <w:spacing w:line="360" w:lineRule="auto"/>
        <w:jc w:val="both"/>
        <w:rPr>
          <w:rFonts w:ascii="Palatino Linotype" w:eastAsia="Palatino Linotype" w:hAnsi="Palatino Linotype" w:cs="Palatino Linotype"/>
        </w:rPr>
      </w:pPr>
    </w:p>
    <w:p w14:paraId="1AA2B2D4" w14:textId="77777777" w:rsidR="00267BE2" w:rsidRPr="00F867F2" w:rsidRDefault="00675343">
      <w:pPr>
        <w:numPr>
          <w:ilvl w:val="0"/>
          <w:numId w:val="1"/>
        </w:numPr>
        <w:pBdr>
          <w:top w:val="nil"/>
          <w:left w:val="nil"/>
          <w:bottom w:val="nil"/>
          <w:right w:val="nil"/>
          <w:between w:val="nil"/>
        </w:pBdr>
        <w:spacing w:line="360" w:lineRule="auto"/>
        <w:jc w:val="center"/>
        <w:rPr>
          <w:rFonts w:ascii="Palatino Linotype" w:eastAsia="Palatino Linotype" w:hAnsi="Palatino Linotype" w:cs="Palatino Linotype"/>
          <w:b/>
          <w:color w:val="000000"/>
        </w:rPr>
      </w:pPr>
      <w:r w:rsidRPr="00F867F2">
        <w:rPr>
          <w:rFonts w:ascii="Palatino Linotype" w:eastAsia="Palatino Linotype" w:hAnsi="Palatino Linotype" w:cs="Palatino Linotype"/>
          <w:b/>
          <w:color w:val="000000"/>
        </w:rPr>
        <w:t>A N T E C E D E N T E S</w:t>
      </w:r>
    </w:p>
    <w:p w14:paraId="6EB33DEA" w14:textId="77777777" w:rsidR="00267BE2" w:rsidRPr="00F867F2" w:rsidRDefault="00267BE2">
      <w:pPr>
        <w:pBdr>
          <w:top w:val="nil"/>
          <w:left w:val="nil"/>
          <w:bottom w:val="nil"/>
          <w:right w:val="nil"/>
          <w:between w:val="nil"/>
        </w:pBdr>
        <w:spacing w:line="360" w:lineRule="auto"/>
        <w:ind w:left="1080"/>
        <w:rPr>
          <w:rFonts w:ascii="Palatino Linotype" w:eastAsia="Palatino Linotype" w:hAnsi="Palatino Linotype" w:cs="Palatino Linotype"/>
          <w:b/>
          <w:color w:val="000000"/>
        </w:rPr>
      </w:pPr>
    </w:p>
    <w:p w14:paraId="6D5B1E1C" w14:textId="77777777" w:rsidR="00267BE2" w:rsidRPr="00F867F2" w:rsidRDefault="00675343">
      <w:pPr>
        <w:spacing w:line="360" w:lineRule="auto"/>
        <w:jc w:val="both"/>
        <w:rPr>
          <w:rFonts w:ascii="Palatino Linotype" w:eastAsia="Palatino Linotype" w:hAnsi="Palatino Linotype" w:cs="Palatino Linotype"/>
        </w:rPr>
      </w:pPr>
      <w:bookmarkStart w:id="0" w:name="_heading=h.gjdgxs" w:colFirst="0" w:colLast="0"/>
      <w:bookmarkEnd w:id="0"/>
      <w:r w:rsidRPr="00F867F2">
        <w:rPr>
          <w:rFonts w:ascii="Palatino Linotype" w:eastAsia="Palatino Linotype" w:hAnsi="Palatino Linotype" w:cs="Palatino Linotype"/>
          <w:b/>
        </w:rPr>
        <w:t>1. Solicitud de acceso a la información.</w:t>
      </w:r>
      <w:r w:rsidRPr="00F867F2">
        <w:rPr>
          <w:rFonts w:ascii="Palatino Linotype" w:eastAsia="Palatino Linotype" w:hAnsi="Palatino Linotype" w:cs="Palatino Linotype"/>
        </w:rPr>
        <w:t xml:space="preserve"> El </w:t>
      </w:r>
      <w:r w:rsidRPr="00F867F2">
        <w:rPr>
          <w:rFonts w:ascii="Palatino Linotype" w:eastAsia="Palatino Linotype" w:hAnsi="Palatino Linotype" w:cs="Palatino Linotype"/>
          <w:b/>
        </w:rPr>
        <w:t>quince de agosto de dos mil veintidós,</w:t>
      </w:r>
      <w:r w:rsidRPr="00F867F2">
        <w:rPr>
          <w:rFonts w:ascii="Palatino Linotype" w:eastAsia="Palatino Linotype" w:hAnsi="Palatino Linotype" w:cs="Palatino Linotype"/>
        </w:rPr>
        <w:t xml:space="preserve"> </w:t>
      </w:r>
      <w:r w:rsidRPr="00F867F2">
        <w:rPr>
          <w:rFonts w:ascii="Palatino Linotype" w:eastAsia="Palatino Linotype" w:hAnsi="Palatino Linotype" w:cs="Palatino Linotype"/>
          <w:b/>
        </w:rPr>
        <w:t>LA PARTE</w:t>
      </w:r>
      <w:r w:rsidRPr="00F867F2">
        <w:rPr>
          <w:rFonts w:ascii="Palatino Linotype" w:eastAsia="Palatino Linotype" w:hAnsi="Palatino Linotype" w:cs="Palatino Linotype"/>
        </w:rPr>
        <w:t xml:space="preserve"> </w:t>
      </w:r>
      <w:r w:rsidRPr="00F867F2">
        <w:rPr>
          <w:rFonts w:ascii="Palatino Linotype" w:eastAsia="Palatino Linotype" w:hAnsi="Palatino Linotype" w:cs="Palatino Linotype"/>
          <w:b/>
        </w:rPr>
        <w:t xml:space="preserve">RECURRENTE </w:t>
      </w:r>
      <w:r w:rsidRPr="00F867F2">
        <w:rPr>
          <w:rFonts w:ascii="Palatino Linotype" w:eastAsia="Palatino Linotype" w:hAnsi="Palatino Linotype" w:cs="Palatino Linotype"/>
        </w:rPr>
        <w:t>presentó, través del Sistema de Acceso a la Información Mexiquense</w:t>
      </w:r>
      <w:r w:rsidRPr="00F867F2">
        <w:rPr>
          <w:rFonts w:ascii="Palatino Linotype" w:eastAsia="Palatino Linotype" w:hAnsi="Palatino Linotype" w:cs="Palatino Linotype"/>
          <w:vertAlign w:val="superscript"/>
        </w:rPr>
        <w:footnoteReference w:id="2"/>
      </w:r>
      <w:r w:rsidRPr="00F867F2">
        <w:rPr>
          <w:rFonts w:ascii="Palatino Linotype" w:eastAsia="Palatino Linotype" w:hAnsi="Palatino Linotype" w:cs="Palatino Linotype"/>
          <w:b/>
        </w:rPr>
        <w:t>,</w:t>
      </w:r>
      <w:r w:rsidRPr="00F867F2">
        <w:rPr>
          <w:rFonts w:ascii="Palatino Linotype" w:eastAsia="Palatino Linotype" w:hAnsi="Palatino Linotype" w:cs="Palatino Linotype"/>
        </w:rPr>
        <w:t xml:space="preserve"> ante </w:t>
      </w:r>
      <w:r w:rsidRPr="00F867F2">
        <w:rPr>
          <w:rFonts w:ascii="Palatino Linotype" w:eastAsia="Palatino Linotype" w:hAnsi="Palatino Linotype" w:cs="Palatino Linotype"/>
          <w:b/>
        </w:rPr>
        <w:t>EL SUJETO OBLIGADO,</w:t>
      </w:r>
      <w:r w:rsidRPr="00F867F2">
        <w:rPr>
          <w:rFonts w:ascii="Palatino Linotype" w:eastAsia="Palatino Linotype" w:hAnsi="Palatino Linotype" w:cs="Palatino Linotype"/>
        </w:rPr>
        <w:t xml:space="preserve"> la solicitud de acceso a la información pública</w:t>
      </w:r>
      <w:r w:rsidRPr="00F867F2">
        <w:rPr>
          <w:rFonts w:ascii="Palatino Linotype" w:eastAsia="Palatino Linotype" w:hAnsi="Palatino Linotype" w:cs="Palatino Linotype"/>
          <w:b/>
        </w:rPr>
        <w:t xml:space="preserve"> 00093/ATLAUTLA/IP/2022, </w:t>
      </w:r>
      <w:r w:rsidRPr="00F867F2">
        <w:rPr>
          <w:rFonts w:ascii="Palatino Linotype" w:eastAsia="Palatino Linotype" w:hAnsi="Palatino Linotype" w:cs="Palatino Linotype"/>
        </w:rPr>
        <w:t xml:space="preserve">mediante la cual requirió la información siguiente: </w:t>
      </w:r>
    </w:p>
    <w:p w14:paraId="5B9F0BC9" w14:textId="77777777" w:rsidR="00267BE2" w:rsidRPr="00F867F2" w:rsidRDefault="00267BE2">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14:paraId="7F940258"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F867F2">
        <w:rPr>
          <w:rFonts w:ascii="Palatino Linotype" w:eastAsia="Palatino Linotype" w:hAnsi="Palatino Linotype" w:cs="Palatino Linotype"/>
          <w:i/>
          <w:color w:val="404040"/>
          <w:sz w:val="22"/>
          <w:szCs w:val="22"/>
        </w:rPr>
        <w:t>“</w:t>
      </w:r>
      <w:r w:rsidRPr="00F867F2">
        <w:rPr>
          <w:rFonts w:ascii="Palatino Linotype" w:eastAsia="Palatino Linotype" w:hAnsi="Palatino Linotype" w:cs="Palatino Linotype"/>
          <w:i/>
          <w:color w:val="000000"/>
          <w:sz w:val="22"/>
          <w:szCs w:val="22"/>
        </w:rPr>
        <w:t xml:space="preserve">Solicito comprobantes fiscales digitales por concepto de </w:t>
      </w:r>
      <w:proofErr w:type="spellStart"/>
      <w:r w:rsidRPr="00F867F2">
        <w:rPr>
          <w:rFonts w:ascii="Palatino Linotype" w:eastAsia="Palatino Linotype" w:hAnsi="Palatino Linotype" w:cs="Palatino Linotype"/>
          <w:i/>
          <w:color w:val="000000"/>
          <w:sz w:val="22"/>
          <w:szCs w:val="22"/>
        </w:rPr>
        <w:t>nomina</w:t>
      </w:r>
      <w:proofErr w:type="spellEnd"/>
      <w:r w:rsidRPr="00F867F2">
        <w:rPr>
          <w:rFonts w:ascii="Palatino Linotype" w:eastAsia="Palatino Linotype" w:hAnsi="Palatino Linotype" w:cs="Palatino Linotype"/>
          <w:i/>
          <w:color w:val="000000"/>
          <w:sz w:val="22"/>
          <w:szCs w:val="22"/>
        </w:rPr>
        <w:t xml:space="preserve"> de la 2da quincena de mayo de 2022, de igual forma solicito la o las pólizas de egresos o cheque donde se </w:t>
      </w:r>
      <w:proofErr w:type="spellStart"/>
      <w:r w:rsidRPr="00F867F2">
        <w:rPr>
          <w:rFonts w:ascii="Palatino Linotype" w:eastAsia="Palatino Linotype" w:hAnsi="Palatino Linotype" w:cs="Palatino Linotype"/>
          <w:i/>
          <w:color w:val="000000"/>
          <w:sz w:val="22"/>
          <w:szCs w:val="22"/>
        </w:rPr>
        <w:t>realizo</w:t>
      </w:r>
      <w:proofErr w:type="spellEnd"/>
      <w:r w:rsidRPr="00F867F2">
        <w:rPr>
          <w:rFonts w:ascii="Palatino Linotype" w:eastAsia="Palatino Linotype" w:hAnsi="Palatino Linotype" w:cs="Palatino Linotype"/>
          <w:i/>
          <w:color w:val="000000"/>
          <w:sz w:val="22"/>
          <w:szCs w:val="22"/>
        </w:rPr>
        <w:t xml:space="preserve"> el pago de dicha nomina debidamente soportada, además de anexar reporte de </w:t>
      </w:r>
      <w:proofErr w:type="spellStart"/>
      <w:r w:rsidRPr="00F867F2">
        <w:rPr>
          <w:rFonts w:ascii="Palatino Linotype" w:eastAsia="Palatino Linotype" w:hAnsi="Palatino Linotype" w:cs="Palatino Linotype"/>
          <w:i/>
          <w:color w:val="000000"/>
          <w:sz w:val="22"/>
          <w:szCs w:val="22"/>
        </w:rPr>
        <w:t>nomina</w:t>
      </w:r>
      <w:proofErr w:type="spellEnd"/>
      <w:r w:rsidRPr="00F867F2">
        <w:rPr>
          <w:rFonts w:ascii="Palatino Linotype" w:eastAsia="Palatino Linotype" w:hAnsi="Palatino Linotype" w:cs="Palatino Linotype"/>
          <w:i/>
          <w:color w:val="000000"/>
          <w:sz w:val="22"/>
          <w:szCs w:val="22"/>
        </w:rPr>
        <w:t xml:space="preserve"> detallada igualmente de la 2da quincena de mayo de 2022, omitiendo la información personal que considere necesario para proteger los </w:t>
      </w:r>
      <w:r w:rsidRPr="00F867F2">
        <w:rPr>
          <w:rFonts w:ascii="Palatino Linotype" w:eastAsia="Palatino Linotype" w:hAnsi="Palatino Linotype" w:cs="Palatino Linotype"/>
          <w:i/>
          <w:color w:val="000000"/>
          <w:sz w:val="22"/>
          <w:szCs w:val="22"/>
        </w:rPr>
        <w:lastRenderedPageBreak/>
        <w:t xml:space="preserve">datos a que se refiere el </w:t>
      </w:r>
      <w:proofErr w:type="spellStart"/>
      <w:r w:rsidRPr="00F867F2">
        <w:rPr>
          <w:rFonts w:ascii="Palatino Linotype" w:eastAsia="Palatino Linotype" w:hAnsi="Palatino Linotype" w:cs="Palatino Linotype"/>
          <w:i/>
          <w:color w:val="000000"/>
          <w:sz w:val="22"/>
          <w:szCs w:val="22"/>
        </w:rPr>
        <w:t>articulo</w:t>
      </w:r>
      <w:proofErr w:type="spellEnd"/>
      <w:r w:rsidRPr="00F867F2">
        <w:rPr>
          <w:rFonts w:ascii="Palatino Linotype" w:eastAsia="Palatino Linotype" w:hAnsi="Palatino Linotype" w:cs="Palatino Linotype"/>
          <w:i/>
          <w:color w:val="000000"/>
          <w:sz w:val="22"/>
          <w:szCs w:val="22"/>
        </w:rPr>
        <w:t xml:space="preserve"> 24 </w:t>
      </w:r>
      <w:proofErr w:type="spellStart"/>
      <w:r w:rsidRPr="00F867F2">
        <w:rPr>
          <w:rFonts w:ascii="Palatino Linotype" w:eastAsia="Palatino Linotype" w:hAnsi="Palatino Linotype" w:cs="Palatino Linotype"/>
          <w:i/>
          <w:color w:val="000000"/>
          <w:sz w:val="22"/>
          <w:szCs w:val="22"/>
        </w:rPr>
        <w:t>fracc</w:t>
      </w:r>
      <w:proofErr w:type="spellEnd"/>
      <w:r w:rsidRPr="00F867F2">
        <w:rPr>
          <w:rFonts w:ascii="Palatino Linotype" w:eastAsia="Palatino Linotype" w:hAnsi="Palatino Linotype" w:cs="Palatino Linotype"/>
          <w:i/>
          <w:color w:val="000000"/>
          <w:sz w:val="22"/>
          <w:szCs w:val="22"/>
        </w:rPr>
        <w:t xml:space="preserve"> XIV de la Ley de Transparencia y Acceso a la Información </w:t>
      </w:r>
      <w:proofErr w:type="spellStart"/>
      <w:r w:rsidRPr="00F867F2">
        <w:rPr>
          <w:rFonts w:ascii="Palatino Linotype" w:eastAsia="Palatino Linotype" w:hAnsi="Palatino Linotype" w:cs="Palatino Linotype"/>
          <w:i/>
          <w:color w:val="000000"/>
          <w:sz w:val="22"/>
          <w:szCs w:val="22"/>
        </w:rPr>
        <w:t>Publica</w:t>
      </w:r>
      <w:proofErr w:type="spellEnd"/>
      <w:r w:rsidRPr="00F867F2">
        <w:rPr>
          <w:rFonts w:ascii="Palatino Linotype" w:eastAsia="Palatino Linotype" w:hAnsi="Palatino Linotype" w:cs="Palatino Linotype"/>
          <w:i/>
          <w:color w:val="000000"/>
          <w:sz w:val="22"/>
          <w:szCs w:val="22"/>
        </w:rPr>
        <w:t xml:space="preserve"> del Estado de México y Municipios.</w:t>
      </w:r>
      <w:r w:rsidRPr="00F867F2">
        <w:rPr>
          <w:rFonts w:ascii="Palatino Linotype" w:eastAsia="Palatino Linotype" w:hAnsi="Palatino Linotype" w:cs="Palatino Linotype"/>
          <w:i/>
          <w:color w:val="404040"/>
          <w:sz w:val="22"/>
          <w:szCs w:val="22"/>
        </w:rPr>
        <w:t>” (Sic)</w:t>
      </w:r>
    </w:p>
    <w:p w14:paraId="6C2AF27C" w14:textId="77777777" w:rsidR="00267BE2" w:rsidRPr="00F867F2" w:rsidRDefault="00267BE2">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14:paraId="46A57D73" w14:textId="77777777" w:rsidR="00267BE2" w:rsidRPr="00F867F2" w:rsidRDefault="00675343">
      <w:pPr>
        <w:spacing w:line="360" w:lineRule="auto"/>
        <w:jc w:val="both"/>
        <w:rPr>
          <w:rFonts w:ascii="Palatino Linotype" w:eastAsia="Palatino Linotype" w:hAnsi="Palatino Linotype" w:cs="Palatino Linotype"/>
        </w:rPr>
      </w:pPr>
      <w:r w:rsidRPr="00F867F2">
        <w:rPr>
          <w:rFonts w:ascii="Palatino Linotype" w:eastAsia="Palatino Linotype" w:hAnsi="Palatino Linotype" w:cs="Palatino Linotype"/>
          <w:b/>
        </w:rPr>
        <w:t>Modalidad de Entrega:</w:t>
      </w:r>
      <w:r w:rsidRPr="00F867F2">
        <w:rPr>
          <w:rFonts w:ascii="Palatino Linotype" w:eastAsia="Palatino Linotype" w:hAnsi="Palatino Linotype" w:cs="Palatino Linotype"/>
        </w:rPr>
        <w:t xml:space="preserve"> A través de SAIMEX.</w:t>
      </w:r>
    </w:p>
    <w:p w14:paraId="55CA8F19" w14:textId="77777777" w:rsidR="00267BE2" w:rsidRPr="00F867F2" w:rsidRDefault="00267BE2">
      <w:pPr>
        <w:spacing w:line="360" w:lineRule="auto"/>
        <w:jc w:val="both"/>
        <w:rPr>
          <w:rFonts w:ascii="Palatino Linotype" w:eastAsia="Palatino Linotype" w:hAnsi="Palatino Linotype" w:cs="Palatino Linotype"/>
          <w:b/>
        </w:rPr>
      </w:pPr>
    </w:p>
    <w:p w14:paraId="56E0A89E" w14:textId="77777777" w:rsidR="00267BE2" w:rsidRPr="00F867F2" w:rsidRDefault="00675343">
      <w:pPr>
        <w:spacing w:line="360" w:lineRule="auto"/>
        <w:jc w:val="both"/>
        <w:rPr>
          <w:rFonts w:ascii="Palatino Linotype" w:eastAsia="Palatino Linotype" w:hAnsi="Palatino Linotype" w:cs="Palatino Linotype"/>
        </w:rPr>
      </w:pPr>
      <w:r w:rsidRPr="00F867F2">
        <w:rPr>
          <w:rFonts w:ascii="Palatino Linotype" w:eastAsia="Palatino Linotype" w:hAnsi="Palatino Linotype" w:cs="Palatino Linotype"/>
          <w:b/>
        </w:rPr>
        <w:t xml:space="preserve">2. Respuesta. </w:t>
      </w:r>
      <w:r w:rsidRPr="00F867F2">
        <w:rPr>
          <w:rFonts w:ascii="Palatino Linotype" w:eastAsia="Palatino Linotype" w:hAnsi="Palatino Linotype" w:cs="Palatino Linotype"/>
        </w:rPr>
        <w:t xml:space="preserve">El </w:t>
      </w:r>
      <w:r w:rsidRPr="00F867F2">
        <w:rPr>
          <w:rFonts w:ascii="Palatino Linotype" w:eastAsia="Palatino Linotype" w:hAnsi="Palatino Linotype" w:cs="Palatino Linotype"/>
          <w:b/>
        </w:rPr>
        <w:t xml:space="preserve">cinco de septiembre de dos mil veintidós, EL SUJETO OBLIGADO </w:t>
      </w:r>
      <w:r w:rsidRPr="00F867F2">
        <w:rPr>
          <w:rFonts w:ascii="Palatino Linotype" w:eastAsia="Palatino Linotype" w:hAnsi="Palatino Linotype" w:cs="Palatino Linotype"/>
        </w:rPr>
        <w:t xml:space="preserve">informa a </w:t>
      </w:r>
      <w:r w:rsidRPr="00F867F2">
        <w:rPr>
          <w:rFonts w:ascii="Palatino Linotype" w:eastAsia="Palatino Linotype" w:hAnsi="Palatino Linotype" w:cs="Palatino Linotype"/>
          <w:b/>
        </w:rPr>
        <w:t>LA PARTE RECURRENTE</w:t>
      </w:r>
      <w:r w:rsidRPr="00F867F2">
        <w:rPr>
          <w:rFonts w:ascii="Palatino Linotype" w:eastAsia="Palatino Linotype" w:hAnsi="Palatino Linotype" w:cs="Palatino Linotype"/>
        </w:rPr>
        <w:t xml:space="preserve"> lo siguiente: </w:t>
      </w:r>
    </w:p>
    <w:p w14:paraId="03B19CE1" w14:textId="77777777" w:rsidR="00267BE2" w:rsidRPr="00F867F2" w:rsidRDefault="00267BE2">
      <w:pPr>
        <w:pBdr>
          <w:top w:val="nil"/>
          <w:left w:val="nil"/>
          <w:bottom w:val="nil"/>
          <w:right w:val="nil"/>
          <w:between w:val="nil"/>
        </w:pBdr>
        <w:ind w:left="864" w:right="864"/>
        <w:jc w:val="both"/>
        <w:rPr>
          <w:rFonts w:ascii="Palatino Linotype" w:eastAsia="Palatino Linotype" w:hAnsi="Palatino Linotype" w:cs="Palatino Linotype"/>
          <w:i/>
          <w:color w:val="404040"/>
        </w:rPr>
      </w:pPr>
    </w:p>
    <w:p w14:paraId="4FDC114B"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F867F2">
        <w:rPr>
          <w:rFonts w:ascii="Palatino Linotype" w:eastAsia="Palatino Linotype" w:hAnsi="Palatino Linotype" w:cs="Palatino Linotype"/>
          <w:i/>
          <w:color w:val="404040"/>
          <w:sz w:val="22"/>
          <w:szCs w:val="22"/>
        </w:rPr>
        <w:t xml:space="preserve">“Atlautla, México a 05 de </w:t>
      </w:r>
      <w:proofErr w:type="gramStart"/>
      <w:r w:rsidRPr="00F867F2">
        <w:rPr>
          <w:rFonts w:ascii="Palatino Linotype" w:eastAsia="Palatino Linotype" w:hAnsi="Palatino Linotype" w:cs="Palatino Linotype"/>
          <w:i/>
          <w:color w:val="404040"/>
          <w:sz w:val="22"/>
          <w:szCs w:val="22"/>
        </w:rPr>
        <w:t>Septiembre</w:t>
      </w:r>
      <w:proofErr w:type="gramEnd"/>
      <w:r w:rsidRPr="00F867F2">
        <w:rPr>
          <w:rFonts w:ascii="Palatino Linotype" w:eastAsia="Palatino Linotype" w:hAnsi="Palatino Linotype" w:cs="Palatino Linotype"/>
          <w:i/>
          <w:color w:val="404040"/>
          <w:sz w:val="22"/>
          <w:szCs w:val="22"/>
        </w:rPr>
        <w:t xml:space="preserve"> de 2022</w:t>
      </w:r>
    </w:p>
    <w:p w14:paraId="489054DE"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F867F2">
        <w:rPr>
          <w:rFonts w:ascii="Palatino Linotype" w:eastAsia="Palatino Linotype" w:hAnsi="Palatino Linotype" w:cs="Palatino Linotype"/>
          <w:i/>
          <w:color w:val="404040"/>
          <w:sz w:val="22"/>
          <w:szCs w:val="22"/>
        </w:rPr>
        <w:t>Nombre del solicitante: C. Solicitante</w:t>
      </w:r>
    </w:p>
    <w:p w14:paraId="6414B4B1"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F867F2">
        <w:rPr>
          <w:rFonts w:ascii="Palatino Linotype" w:eastAsia="Palatino Linotype" w:hAnsi="Palatino Linotype" w:cs="Palatino Linotype"/>
          <w:i/>
          <w:color w:val="404040"/>
          <w:sz w:val="22"/>
          <w:szCs w:val="22"/>
        </w:rPr>
        <w:t>Folio de la solicitud: 00093/ATLAUTLA/IP/2022</w:t>
      </w:r>
    </w:p>
    <w:p w14:paraId="0964E7A9"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F867F2">
        <w:rPr>
          <w:rFonts w:ascii="Palatino Linotype" w:eastAsia="Palatino Linotype" w:hAnsi="Palatino Linotype" w:cs="Palatino Linotype"/>
          <w:i/>
          <w:color w:val="40404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F17ED72"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F867F2">
        <w:rPr>
          <w:rFonts w:ascii="Palatino Linotype" w:eastAsia="Palatino Linotype" w:hAnsi="Palatino Linotype" w:cs="Palatino Linotype"/>
          <w:i/>
          <w:color w:val="404040"/>
          <w:sz w:val="22"/>
          <w:szCs w:val="22"/>
        </w:rPr>
        <w:t>Estimado (o) solicitante reciba con el presente un cordial saludo, con fundamento en lo dispuesto en el artículo 50, 51, 53 59 y 160 de la Ley de Transparencia y Accesos a la Información Pública del Estado de México y Municipios; anexo el oficio enviado por el Servidor Público Habilitado. sin más por el momento quedo de usted.</w:t>
      </w:r>
    </w:p>
    <w:p w14:paraId="53FD3150"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F867F2">
        <w:rPr>
          <w:rFonts w:ascii="Palatino Linotype" w:eastAsia="Palatino Linotype" w:hAnsi="Palatino Linotype" w:cs="Palatino Linotype"/>
          <w:i/>
          <w:color w:val="404040"/>
          <w:sz w:val="22"/>
          <w:szCs w:val="22"/>
        </w:rPr>
        <w:t>ATENTAMENTE</w:t>
      </w:r>
    </w:p>
    <w:p w14:paraId="3359B07E"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F867F2">
        <w:rPr>
          <w:rFonts w:ascii="Palatino Linotype" w:eastAsia="Palatino Linotype" w:hAnsi="Palatino Linotype" w:cs="Palatino Linotype"/>
          <w:i/>
          <w:color w:val="404040"/>
          <w:sz w:val="22"/>
          <w:szCs w:val="22"/>
        </w:rPr>
        <w:t xml:space="preserve">L. A. VERÓNICA CASTRO CARBALLAR” (Sic) </w:t>
      </w:r>
    </w:p>
    <w:p w14:paraId="12D490DE" w14:textId="77777777" w:rsidR="00267BE2" w:rsidRPr="00F867F2" w:rsidRDefault="00267BE2"/>
    <w:p w14:paraId="7FC645DF" w14:textId="77777777" w:rsidR="00267BE2" w:rsidRPr="00F867F2" w:rsidRDefault="00675343">
      <w:pPr>
        <w:spacing w:line="360" w:lineRule="auto"/>
        <w:jc w:val="both"/>
        <w:rPr>
          <w:rFonts w:ascii="Palatino Linotype" w:eastAsia="Palatino Linotype" w:hAnsi="Palatino Linotype" w:cs="Palatino Linotype"/>
        </w:rPr>
      </w:pPr>
      <w:proofErr w:type="gramStart"/>
      <w:r w:rsidRPr="00F867F2">
        <w:rPr>
          <w:rFonts w:ascii="Palatino Linotype" w:eastAsia="Palatino Linotype" w:hAnsi="Palatino Linotype" w:cs="Palatino Linotype"/>
        </w:rPr>
        <w:t>Además</w:t>
      </w:r>
      <w:proofErr w:type="gramEnd"/>
      <w:r w:rsidRPr="00F867F2">
        <w:rPr>
          <w:rFonts w:ascii="Palatino Linotype" w:eastAsia="Palatino Linotype" w:hAnsi="Palatino Linotype" w:cs="Palatino Linotype"/>
        </w:rPr>
        <w:t xml:space="preserve"> adjuntó el archivo </w:t>
      </w:r>
      <w:hyperlink r:id="rId8">
        <w:r w:rsidRPr="00F867F2">
          <w:rPr>
            <w:rFonts w:ascii="Palatino Linotype" w:eastAsia="Palatino Linotype" w:hAnsi="Palatino Linotype" w:cs="Palatino Linotype"/>
            <w:i/>
            <w:color w:val="000000"/>
          </w:rPr>
          <w:t>oficio respuesta.pdf</w:t>
        </w:r>
      </w:hyperlink>
      <w:r w:rsidRPr="00F867F2">
        <w:rPr>
          <w:rFonts w:ascii="Palatino Linotype" w:eastAsia="Palatino Linotype" w:hAnsi="Palatino Linotype" w:cs="Palatino Linotype"/>
          <w:i/>
        </w:rPr>
        <w:t xml:space="preserve">, </w:t>
      </w:r>
      <w:r w:rsidRPr="00F867F2">
        <w:rPr>
          <w:rFonts w:ascii="Palatino Linotype" w:eastAsia="Palatino Linotype" w:hAnsi="Palatino Linotype" w:cs="Palatino Linotype"/>
        </w:rPr>
        <w:t xml:space="preserve">que contiene el oficio </w:t>
      </w:r>
      <w:r w:rsidRPr="00F867F2">
        <w:rPr>
          <w:rFonts w:ascii="Palatino Linotype" w:eastAsia="Palatino Linotype" w:hAnsi="Palatino Linotype" w:cs="Palatino Linotype"/>
          <w:i/>
        </w:rPr>
        <w:t>ATL/TM/00074/2022</w:t>
      </w:r>
      <w:r w:rsidRPr="00F867F2">
        <w:rPr>
          <w:rFonts w:ascii="Palatino Linotype" w:eastAsia="Palatino Linotype" w:hAnsi="Palatino Linotype" w:cs="Palatino Linotype"/>
        </w:rPr>
        <w:t xml:space="preserve"> y que fue emitido por la Tesorería Municipal de Atlautla, en las formas siguientes: </w:t>
      </w:r>
    </w:p>
    <w:p w14:paraId="7473892C" w14:textId="77777777" w:rsidR="00267BE2" w:rsidRPr="00F867F2" w:rsidRDefault="00675343">
      <w:pPr>
        <w:spacing w:line="360" w:lineRule="auto"/>
        <w:jc w:val="center"/>
        <w:rPr>
          <w:rFonts w:ascii="Palatino Linotype" w:eastAsia="Palatino Linotype" w:hAnsi="Palatino Linotype" w:cs="Palatino Linotype"/>
        </w:rPr>
      </w:pPr>
      <w:r w:rsidRPr="00F867F2">
        <w:rPr>
          <w:noProof/>
        </w:rPr>
        <w:lastRenderedPageBreak/>
        <w:drawing>
          <wp:inline distT="0" distB="0" distL="0" distR="0" wp14:anchorId="1FDE67D7" wp14:editId="32426232">
            <wp:extent cx="5732927" cy="5661485"/>
            <wp:effectExtent l="0" t="0" r="0" b="0"/>
            <wp:docPr id="2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l="26424" t="16066" r="29620" b="6761"/>
                    <a:stretch>
                      <a:fillRect/>
                    </a:stretch>
                  </pic:blipFill>
                  <pic:spPr>
                    <a:xfrm>
                      <a:off x="0" y="0"/>
                      <a:ext cx="5732927" cy="5661485"/>
                    </a:xfrm>
                    <a:prstGeom prst="rect">
                      <a:avLst/>
                    </a:prstGeom>
                    <a:ln/>
                  </pic:spPr>
                </pic:pic>
              </a:graphicData>
            </a:graphic>
          </wp:inline>
        </w:drawing>
      </w:r>
    </w:p>
    <w:p w14:paraId="0F626548" w14:textId="77777777" w:rsidR="00267BE2" w:rsidRPr="00F867F2" w:rsidRDefault="00267BE2">
      <w:pPr>
        <w:spacing w:line="360" w:lineRule="auto"/>
        <w:jc w:val="center"/>
        <w:rPr>
          <w:rFonts w:ascii="Palatino Linotype" w:eastAsia="Palatino Linotype" w:hAnsi="Palatino Linotype" w:cs="Palatino Linotype"/>
        </w:rPr>
      </w:pPr>
    </w:p>
    <w:p w14:paraId="4CD43E37" w14:textId="77777777" w:rsidR="00267BE2" w:rsidRPr="00F867F2" w:rsidRDefault="00675343">
      <w:pPr>
        <w:spacing w:line="360" w:lineRule="auto"/>
        <w:jc w:val="both"/>
        <w:rPr>
          <w:rFonts w:ascii="Palatino Linotype" w:eastAsia="Palatino Linotype" w:hAnsi="Palatino Linotype" w:cs="Palatino Linotype"/>
        </w:rPr>
      </w:pPr>
      <w:bookmarkStart w:id="1" w:name="_heading=h.2et92p0" w:colFirst="0" w:colLast="0"/>
      <w:bookmarkEnd w:id="1"/>
      <w:r w:rsidRPr="00F867F2">
        <w:rPr>
          <w:rFonts w:ascii="Palatino Linotype" w:eastAsia="Palatino Linotype" w:hAnsi="Palatino Linotype" w:cs="Palatino Linotype"/>
          <w:b/>
          <w:sz w:val="22"/>
          <w:szCs w:val="22"/>
        </w:rPr>
        <w:t>3.</w:t>
      </w:r>
      <w:r w:rsidRPr="00F867F2">
        <w:rPr>
          <w:rFonts w:ascii="Palatino Linotype" w:eastAsia="Palatino Linotype" w:hAnsi="Palatino Linotype" w:cs="Palatino Linotype"/>
          <w:b/>
        </w:rPr>
        <w:t xml:space="preserve"> Interposición del recurso de revisión. </w:t>
      </w:r>
      <w:r w:rsidRPr="00F867F2">
        <w:rPr>
          <w:rFonts w:ascii="Palatino Linotype" w:eastAsia="Palatino Linotype" w:hAnsi="Palatino Linotype" w:cs="Palatino Linotype"/>
        </w:rPr>
        <w:t xml:space="preserve">Inconforme </w:t>
      </w:r>
      <w:r w:rsidRPr="00F867F2">
        <w:rPr>
          <w:rFonts w:ascii="Palatino Linotype" w:eastAsia="Palatino Linotype" w:hAnsi="Palatino Linotype" w:cs="Palatino Linotype"/>
          <w:b/>
        </w:rPr>
        <w:t>LA PARTE RECURRENTE</w:t>
      </w:r>
      <w:r w:rsidRPr="00F867F2">
        <w:rPr>
          <w:rFonts w:ascii="Palatino Linotype" w:eastAsia="Palatino Linotype" w:hAnsi="Palatino Linotype" w:cs="Palatino Linotype"/>
        </w:rPr>
        <w:t xml:space="preserve"> con la respuesta del </w:t>
      </w:r>
      <w:r w:rsidRPr="00F867F2">
        <w:rPr>
          <w:rFonts w:ascii="Palatino Linotype" w:eastAsia="Palatino Linotype" w:hAnsi="Palatino Linotype" w:cs="Palatino Linotype"/>
          <w:b/>
        </w:rPr>
        <w:t>SUJETO OBLIGADO</w:t>
      </w:r>
      <w:r w:rsidRPr="00F867F2">
        <w:rPr>
          <w:rFonts w:ascii="Palatino Linotype" w:eastAsia="Palatino Linotype" w:hAnsi="Palatino Linotype" w:cs="Palatino Linotype"/>
        </w:rPr>
        <w:t>, el día</w:t>
      </w:r>
      <w:r w:rsidRPr="00F867F2">
        <w:rPr>
          <w:rFonts w:ascii="Palatino Linotype" w:eastAsia="Palatino Linotype" w:hAnsi="Palatino Linotype" w:cs="Palatino Linotype"/>
          <w:b/>
        </w:rPr>
        <w:t xml:space="preserve"> seis de septiembre de dos mil veintidós,</w:t>
      </w:r>
      <w:r w:rsidRPr="00F867F2">
        <w:rPr>
          <w:rFonts w:ascii="Palatino Linotype" w:eastAsia="Palatino Linotype" w:hAnsi="Palatino Linotype" w:cs="Palatino Linotype"/>
        </w:rPr>
        <w:t xml:space="preserve"> interpuso el recurso de revisión a través de SAIMEX,</w:t>
      </w:r>
      <w:r w:rsidRPr="00F867F2">
        <w:rPr>
          <w:rFonts w:ascii="Palatino Linotype" w:eastAsia="Palatino Linotype" w:hAnsi="Palatino Linotype" w:cs="Palatino Linotype"/>
          <w:b/>
        </w:rPr>
        <w:t xml:space="preserve"> </w:t>
      </w:r>
      <w:r w:rsidRPr="00F867F2">
        <w:rPr>
          <w:rFonts w:ascii="Palatino Linotype" w:eastAsia="Palatino Linotype" w:hAnsi="Palatino Linotype" w:cs="Palatino Linotype"/>
        </w:rPr>
        <w:t>en donde se manifestó de la siguiente manera:</w:t>
      </w:r>
    </w:p>
    <w:p w14:paraId="0563B3A1" w14:textId="77777777" w:rsidR="00267BE2" w:rsidRPr="00F867F2" w:rsidRDefault="00267BE2">
      <w:pPr>
        <w:spacing w:line="360" w:lineRule="auto"/>
        <w:jc w:val="both"/>
        <w:rPr>
          <w:rFonts w:ascii="Palatino Linotype" w:eastAsia="Palatino Linotype" w:hAnsi="Palatino Linotype" w:cs="Palatino Linotype"/>
        </w:rPr>
      </w:pPr>
    </w:p>
    <w:p w14:paraId="5CEECD53" w14:textId="77777777" w:rsidR="00267BE2" w:rsidRPr="00F867F2" w:rsidRDefault="00675343">
      <w:pPr>
        <w:tabs>
          <w:tab w:val="left" w:pos="2745"/>
        </w:tabs>
        <w:spacing w:line="360" w:lineRule="auto"/>
        <w:jc w:val="both"/>
        <w:rPr>
          <w:rFonts w:ascii="Palatino Linotype" w:eastAsia="Palatino Linotype" w:hAnsi="Palatino Linotype" w:cs="Palatino Linotype"/>
          <w:b/>
        </w:rPr>
      </w:pPr>
      <w:r w:rsidRPr="00F867F2">
        <w:rPr>
          <w:rFonts w:ascii="Palatino Linotype" w:eastAsia="Palatino Linotype" w:hAnsi="Palatino Linotype" w:cs="Palatino Linotype"/>
          <w:b/>
        </w:rPr>
        <w:lastRenderedPageBreak/>
        <w:t xml:space="preserve">Acto impugnado: </w:t>
      </w:r>
    </w:p>
    <w:p w14:paraId="5047DEF0" w14:textId="77777777" w:rsidR="00267BE2" w:rsidRPr="00F867F2" w:rsidRDefault="00267BE2">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14:paraId="70408BB4"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F867F2">
        <w:rPr>
          <w:rFonts w:ascii="Palatino Linotype" w:eastAsia="Palatino Linotype" w:hAnsi="Palatino Linotype" w:cs="Palatino Linotype"/>
          <w:i/>
          <w:color w:val="000000"/>
          <w:sz w:val="22"/>
          <w:szCs w:val="22"/>
        </w:rPr>
        <w:t xml:space="preserve">“No se entrega nada de la </w:t>
      </w:r>
      <w:proofErr w:type="spellStart"/>
      <w:r w:rsidRPr="00F867F2">
        <w:rPr>
          <w:rFonts w:ascii="Palatino Linotype" w:eastAsia="Palatino Linotype" w:hAnsi="Palatino Linotype" w:cs="Palatino Linotype"/>
          <w:i/>
          <w:color w:val="000000"/>
          <w:sz w:val="22"/>
          <w:szCs w:val="22"/>
        </w:rPr>
        <w:t>informacion</w:t>
      </w:r>
      <w:proofErr w:type="spellEnd"/>
      <w:r w:rsidRPr="00F867F2">
        <w:rPr>
          <w:rFonts w:ascii="Palatino Linotype" w:eastAsia="Palatino Linotype" w:hAnsi="Palatino Linotype" w:cs="Palatino Linotype"/>
          <w:i/>
          <w:color w:val="000000"/>
          <w:sz w:val="22"/>
          <w:szCs w:val="22"/>
        </w:rPr>
        <w:t xml:space="preserve"> solicitada el </w:t>
      </w:r>
      <w:proofErr w:type="spellStart"/>
      <w:r w:rsidRPr="00F867F2">
        <w:rPr>
          <w:rFonts w:ascii="Palatino Linotype" w:eastAsia="Palatino Linotype" w:hAnsi="Palatino Linotype" w:cs="Palatino Linotype"/>
          <w:i/>
          <w:color w:val="000000"/>
          <w:sz w:val="22"/>
          <w:szCs w:val="22"/>
        </w:rPr>
        <w:t>dia</w:t>
      </w:r>
      <w:proofErr w:type="spellEnd"/>
      <w:r w:rsidRPr="00F867F2">
        <w:rPr>
          <w:rFonts w:ascii="Palatino Linotype" w:eastAsia="Palatino Linotype" w:hAnsi="Palatino Linotype" w:cs="Palatino Linotype"/>
          <w:i/>
          <w:color w:val="000000"/>
          <w:sz w:val="22"/>
          <w:szCs w:val="22"/>
        </w:rPr>
        <w:t xml:space="preserve"> 15 de agosto de 2022 mediante </w:t>
      </w:r>
      <w:proofErr w:type="spellStart"/>
      <w:r w:rsidRPr="00F867F2">
        <w:rPr>
          <w:rFonts w:ascii="Palatino Linotype" w:eastAsia="Palatino Linotype" w:hAnsi="Palatino Linotype" w:cs="Palatino Linotype"/>
          <w:i/>
          <w:color w:val="000000"/>
          <w:sz w:val="22"/>
          <w:szCs w:val="22"/>
        </w:rPr>
        <w:t>numero</w:t>
      </w:r>
      <w:proofErr w:type="spellEnd"/>
      <w:r w:rsidRPr="00F867F2">
        <w:rPr>
          <w:rFonts w:ascii="Palatino Linotype" w:eastAsia="Palatino Linotype" w:hAnsi="Palatino Linotype" w:cs="Palatino Linotype"/>
          <w:i/>
          <w:color w:val="000000"/>
          <w:sz w:val="22"/>
          <w:szCs w:val="22"/>
        </w:rPr>
        <w:t xml:space="preserve"> de folio de la </w:t>
      </w:r>
      <w:proofErr w:type="spellStart"/>
      <w:r w:rsidRPr="00F867F2">
        <w:rPr>
          <w:rFonts w:ascii="Palatino Linotype" w:eastAsia="Palatino Linotype" w:hAnsi="Palatino Linotype" w:cs="Palatino Linotype"/>
          <w:i/>
          <w:color w:val="000000"/>
          <w:sz w:val="22"/>
          <w:szCs w:val="22"/>
        </w:rPr>
        <w:t>solictud</w:t>
      </w:r>
      <w:proofErr w:type="spellEnd"/>
      <w:r w:rsidRPr="00F867F2">
        <w:rPr>
          <w:rFonts w:ascii="Palatino Linotype" w:eastAsia="Palatino Linotype" w:hAnsi="Palatino Linotype" w:cs="Palatino Linotype"/>
          <w:i/>
          <w:color w:val="000000"/>
          <w:sz w:val="22"/>
          <w:szCs w:val="22"/>
        </w:rPr>
        <w:t xml:space="preserve"> 00093//ATLAUTLA/IP/2022, </w:t>
      </w:r>
      <w:proofErr w:type="spellStart"/>
      <w:r w:rsidRPr="00F867F2">
        <w:rPr>
          <w:rFonts w:ascii="Palatino Linotype" w:eastAsia="Palatino Linotype" w:hAnsi="Palatino Linotype" w:cs="Palatino Linotype"/>
          <w:i/>
          <w:color w:val="000000"/>
          <w:sz w:val="22"/>
          <w:szCs w:val="22"/>
        </w:rPr>
        <w:t>unicamente</w:t>
      </w:r>
      <w:proofErr w:type="spellEnd"/>
      <w:r w:rsidRPr="00F867F2">
        <w:rPr>
          <w:rFonts w:ascii="Palatino Linotype" w:eastAsia="Palatino Linotype" w:hAnsi="Palatino Linotype" w:cs="Palatino Linotype"/>
          <w:i/>
          <w:color w:val="000000"/>
          <w:sz w:val="22"/>
          <w:szCs w:val="22"/>
        </w:rPr>
        <w:t xml:space="preserve"> se entrega un oficio redactado y supuestamente firmado por la Tesorera Municipal en donde no se aprecia bien la firma debido a que viene cubierta por lo que </w:t>
      </w:r>
      <w:proofErr w:type="spellStart"/>
      <w:r w:rsidRPr="00F867F2">
        <w:rPr>
          <w:rFonts w:ascii="Palatino Linotype" w:eastAsia="Palatino Linotype" w:hAnsi="Palatino Linotype" w:cs="Palatino Linotype"/>
          <w:i/>
          <w:color w:val="000000"/>
          <w:sz w:val="22"/>
          <w:szCs w:val="22"/>
        </w:rPr>
        <w:t>aperenta</w:t>
      </w:r>
      <w:proofErr w:type="spellEnd"/>
      <w:r w:rsidRPr="00F867F2">
        <w:rPr>
          <w:rFonts w:ascii="Palatino Linotype" w:eastAsia="Palatino Linotype" w:hAnsi="Palatino Linotype" w:cs="Palatino Linotype"/>
          <w:i/>
          <w:color w:val="000000"/>
          <w:sz w:val="22"/>
          <w:szCs w:val="22"/>
        </w:rPr>
        <w:t xml:space="preserve"> ser un POST-IT.” (Sic)</w:t>
      </w:r>
    </w:p>
    <w:p w14:paraId="773C7585" w14:textId="77777777" w:rsidR="00267BE2" w:rsidRPr="00F867F2" w:rsidRDefault="00267BE2">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14:paraId="65755657" w14:textId="77777777" w:rsidR="00267BE2" w:rsidRPr="00F867F2" w:rsidRDefault="00675343">
      <w:pPr>
        <w:spacing w:line="360" w:lineRule="auto"/>
        <w:jc w:val="both"/>
        <w:rPr>
          <w:rFonts w:ascii="Palatino Linotype" w:eastAsia="Palatino Linotype" w:hAnsi="Palatino Linotype" w:cs="Palatino Linotype"/>
        </w:rPr>
      </w:pPr>
      <w:bookmarkStart w:id="2" w:name="_heading=h.30j0zll" w:colFirst="0" w:colLast="0"/>
      <w:bookmarkEnd w:id="2"/>
      <w:r w:rsidRPr="00F867F2">
        <w:rPr>
          <w:rFonts w:ascii="Palatino Linotype" w:eastAsia="Palatino Linotype" w:hAnsi="Palatino Linotype" w:cs="Palatino Linotype"/>
          <w:b/>
        </w:rPr>
        <w:t>Razones o motivos de inconformidad</w:t>
      </w:r>
      <w:r w:rsidRPr="00F867F2">
        <w:rPr>
          <w:rFonts w:ascii="Palatino Linotype" w:eastAsia="Palatino Linotype" w:hAnsi="Palatino Linotype" w:cs="Palatino Linotype"/>
        </w:rPr>
        <w:t>:</w:t>
      </w:r>
    </w:p>
    <w:p w14:paraId="617E3E84" w14:textId="77777777" w:rsidR="00267BE2" w:rsidRPr="00F867F2" w:rsidRDefault="00267BE2">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14:paraId="433131E8"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F867F2">
        <w:rPr>
          <w:rFonts w:ascii="Palatino Linotype" w:eastAsia="Palatino Linotype" w:hAnsi="Palatino Linotype" w:cs="Palatino Linotype"/>
          <w:i/>
          <w:color w:val="000000"/>
          <w:sz w:val="22"/>
          <w:szCs w:val="22"/>
        </w:rPr>
        <w:t xml:space="preserve">“Tras la respuesta a la solicitud enviada por parte del Municipio de Atlautla, declaro por este medio que los motivos que me informa por medio del oficio ATL/TM/00074/2022, en donde manifiestan que debido a que el municipio tuvo un gobierno provisional que opero del 01 de enero al 30 de junio de 2022 y que por ese motivo exponen que no tienen acceso a la </w:t>
      </w:r>
      <w:proofErr w:type="spellStart"/>
      <w:r w:rsidRPr="00F867F2">
        <w:rPr>
          <w:rFonts w:ascii="Palatino Linotype" w:eastAsia="Palatino Linotype" w:hAnsi="Palatino Linotype" w:cs="Palatino Linotype"/>
          <w:i/>
          <w:color w:val="000000"/>
          <w:sz w:val="22"/>
          <w:szCs w:val="22"/>
        </w:rPr>
        <w:t>informacion</w:t>
      </w:r>
      <w:proofErr w:type="spellEnd"/>
      <w:r w:rsidRPr="00F867F2">
        <w:rPr>
          <w:rFonts w:ascii="Palatino Linotype" w:eastAsia="Palatino Linotype" w:hAnsi="Palatino Linotype" w:cs="Palatino Linotype"/>
          <w:i/>
          <w:color w:val="000000"/>
          <w:sz w:val="22"/>
          <w:szCs w:val="22"/>
        </w:rPr>
        <w:t xml:space="preserve"> que hemos solicitado, estoy inconforme a dicha </w:t>
      </w:r>
      <w:proofErr w:type="spellStart"/>
      <w:r w:rsidRPr="00F867F2">
        <w:rPr>
          <w:rFonts w:ascii="Palatino Linotype" w:eastAsia="Palatino Linotype" w:hAnsi="Palatino Linotype" w:cs="Palatino Linotype"/>
          <w:i/>
          <w:color w:val="000000"/>
          <w:sz w:val="22"/>
          <w:szCs w:val="22"/>
        </w:rPr>
        <w:t>rerspuesta</w:t>
      </w:r>
      <w:proofErr w:type="spellEnd"/>
      <w:r w:rsidRPr="00F867F2">
        <w:rPr>
          <w:rFonts w:ascii="Palatino Linotype" w:eastAsia="Palatino Linotype" w:hAnsi="Palatino Linotype" w:cs="Palatino Linotype"/>
          <w:i/>
          <w:color w:val="000000"/>
          <w:sz w:val="22"/>
          <w:szCs w:val="22"/>
        </w:rPr>
        <w:t xml:space="preserve"> debido a que el </w:t>
      </w:r>
      <w:proofErr w:type="spellStart"/>
      <w:r w:rsidRPr="00F867F2">
        <w:rPr>
          <w:rFonts w:ascii="Palatino Linotype" w:eastAsia="Palatino Linotype" w:hAnsi="Palatino Linotype" w:cs="Palatino Linotype"/>
          <w:i/>
          <w:color w:val="000000"/>
          <w:sz w:val="22"/>
          <w:szCs w:val="22"/>
        </w:rPr>
        <w:t>Municipiop</w:t>
      </w:r>
      <w:proofErr w:type="spellEnd"/>
      <w:r w:rsidRPr="00F867F2">
        <w:rPr>
          <w:rFonts w:ascii="Palatino Linotype" w:eastAsia="Palatino Linotype" w:hAnsi="Palatino Linotype" w:cs="Palatino Linotype"/>
          <w:i/>
          <w:color w:val="000000"/>
          <w:sz w:val="22"/>
          <w:szCs w:val="22"/>
        </w:rPr>
        <w:t xml:space="preserve"> de Atlautla entrego su segundo informe trimestral del ejercicio 2022 a </w:t>
      </w:r>
      <w:proofErr w:type="spellStart"/>
      <w:r w:rsidRPr="00F867F2">
        <w:rPr>
          <w:rFonts w:ascii="Palatino Linotype" w:eastAsia="Palatino Linotype" w:hAnsi="Palatino Linotype" w:cs="Palatino Linotype"/>
          <w:i/>
          <w:color w:val="000000"/>
          <w:sz w:val="22"/>
          <w:szCs w:val="22"/>
        </w:rPr>
        <w:t>mas</w:t>
      </w:r>
      <w:proofErr w:type="spellEnd"/>
      <w:r w:rsidRPr="00F867F2">
        <w:rPr>
          <w:rFonts w:ascii="Palatino Linotype" w:eastAsia="Palatino Linotype" w:hAnsi="Palatino Linotype" w:cs="Palatino Linotype"/>
          <w:i/>
          <w:color w:val="000000"/>
          <w:sz w:val="22"/>
          <w:szCs w:val="22"/>
        </w:rPr>
        <w:t xml:space="preserve"> </w:t>
      </w:r>
      <w:proofErr w:type="spellStart"/>
      <w:r w:rsidRPr="00F867F2">
        <w:rPr>
          <w:rFonts w:ascii="Palatino Linotype" w:eastAsia="Palatino Linotype" w:hAnsi="Palatino Linotype" w:cs="Palatino Linotype"/>
          <w:i/>
          <w:color w:val="000000"/>
          <w:sz w:val="22"/>
          <w:szCs w:val="22"/>
        </w:rPr>
        <w:t>tradar</w:t>
      </w:r>
      <w:proofErr w:type="spellEnd"/>
      <w:r w:rsidRPr="00F867F2">
        <w:rPr>
          <w:rFonts w:ascii="Palatino Linotype" w:eastAsia="Palatino Linotype" w:hAnsi="Palatino Linotype" w:cs="Palatino Linotype"/>
          <w:i/>
          <w:color w:val="000000"/>
          <w:sz w:val="22"/>
          <w:szCs w:val="22"/>
        </w:rPr>
        <w:t xml:space="preserve"> el </w:t>
      </w:r>
      <w:proofErr w:type="spellStart"/>
      <w:r w:rsidRPr="00F867F2">
        <w:rPr>
          <w:rFonts w:ascii="Palatino Linotype" w:eastAsia="Palatino Linotype" w:hAnsi="Palatino Linotype" w:cs="Palatino Linotype"/>
          <w:i/>
          <w:color w:val="000000"/>
          <w:sz w:val="22"/>
          <w:szCs w:val="22"/>
        </w:rPr>
        <w:t>dia</w:t>
      </w:r>
      <w:proofErr w:type="spellEnd"/>
      <w:r w:rsidRPr="00F867F2">
        <w:rPr>
          <w:rFonts w:ascii="Palatino Linotype" w:eastAsia="Palatino Linotype" w:hAnsi="Palatino Linotype" w:cs="Palatino Linotype"/>
          <w:i/>
          <w:color w:val="000000"/>
          <w:sz w:val="22"/>
          <w:szCs w:val="22"/>
        </w:rPr>
        <w:t xml:space="preserve"> 11 de agosto de 2022 </w:t>
      </w:r>
      <w:proofErr w:type="spellStart"/>
      <w:r w:rsidRPr="00F867F2">
        <w:rPr>
          <w:rFonts w:ascii="Palatino Linotype" w:eastAsia="Palatino Linotype" w:hAnsi="Palatino Linotype" w:cs="Palatino Linotype"/>
          <w:i/>
          <w:color w:val="000000"/>
          <w:sz w:val="22"/>
          <w:szCs w:val="22"/>
        </w:rPr>
        <w:t>segun</w:t>
      </w:r>
      <w:proofErr w:type="spellEnd"/>
      <w:r w:rsidRPr="00F867F2">
        <w:rPr>
          <w:rFonts w:ascii="Palatino Linotype" w:eastAsia="Palatino Linotype" w:hAnsi="Palatino Linotype" w:cs="Palatino Linotype"/>
          <w:i/>
          <w:color w:val="000000"/>
          <w:sz w:val="22"/>
          <w:szCs w:val="22"/>
        </w:rPr>
        <w:t xml:space="preserve"> gaceta del </w:t>
      </w:r>
      <w:proofErr w:type="spellStart"/>
      <w:r w:rsidRPr="00F867F2">
        <w:rPr>
          <w:rFonts w:ascii="Palatino Linotype" w:eastAsia="Palatino Linotype" w:hAnsi="Palatino Linotype" w:cs="Palatino Linotype"/>
          <w:i/>
          <w:color w:val="000000"/>
          <w:sz w:val="22"/>
          <w:szCs w:val="22"/>
        </w:rPr>
        <w:t>dia</w:t>
      </w:r>
      <w:proofErr w:type="spellEnd"/>
      <w:r w:rsidRPr="00F867F2">
        <w:rPr>
          <w:rFonts w:ascii="Palatino Linotype" w:eastAsia="Palatino Linotype" w:hAnsi="Palatino Linotype" w:cs="Palatino Linotype"/>
          <w:i/>
          <w:color w:val="000000"/>
          <w:sz w:val="22"/>
          <w:szCs w:val="22"/>
        </w:rPr>
        <w:t xml:space="preserve"> viernes 15 de julio informe en el cual se encuentra la </w:t>
      </w:r>
      <w:proofErr w:type="spellStart"/>
      <w:r w:rsidRPr="00F867F2">
        <w:rPr>
          <w:rFonts w:ascii="Palatino Linotype" w:eastAsia="Palatino Linotype" w:hAnsi="Palatino Linotype" w:cs="Palatino Linotype"/>
          <w:i/>
          <w:color w:val="000000"/>
          <w:sz w:val="22"/>
          <w:szCs w:val="22"/>
        </w:rPr>
        <w:t>informacion</w:t>
      </w:r>
      <w:proofErr w:type="spellEnd"/>
      <w:r w:rsidRPr="00F867F2">
        <w:rPr>
          <w:rFonts w:ascii="Palatino Linotype" w:eastAsia="Palatino Linotype" w:hAnsi="Palatino Linotype" w:cs="Palatino Linotype"/>
          <w:i/>
          <w:color w:val="000000"/>
          <w:sz w:val="22"/>
          <w:szCs w:val="22"/>
        </w:rPr>
        <w:t xml:space="preserve"> que solicito el cual </w:t>
      </w:r>
      <w:proofErr w:type="spellStart"/>
      <w:r w:rsidRPr="00F867F2">
        <w:rPr>
          <w:rFonts w:ascii="Palatino Linotype" w:eastAsia="Palatino Linotype" w:hAnsi="Palatino Linotype" w:cs="Palatino Linotype"/>
          <w:i/>
          <w:color w:val="000000"/>
          <w:sz w:val="22"/>
          <w:szCs w:val="22"/>
        </w:rPr>
        <w:t>esta</w:t>
      </w:r>
      <w:proofErr w:type="spellEnd"/>
      <w:r w:rsidRPr="00F867F2">
        <w:rPr>
          <w:rFonts w:ascii="Palatino Linotype" w:eastAsia="Palatino Linotype" w:hAnsi="Palatino Linotype" w:cs="Palatino Linotype"/>
          <w:i/>
          <w:color w:val="000000"/>
          <w:sz w:val="22"/>
          <w:szCs w:val="22"/>
        </w:rPr>
        <w:t xml:space="preserve"> dentro del </w:t>
      </w:r>
      <w:proofErr w:type="spellStart"/>
      <w:r w:rsidRPr="00F867F2">
        <w:rPr>
          <w:rFonts w:ascii="Palatino Linotype" w:eastAsia="Palatino Linotype" w:hAnsi="Palatino Linotype" w:cs="Palatino Linotype"/>
          <w:i/>
          <w:color w:val="000000"/>
          <w:sz w:val="22"/>
          <w:szCs w:val="22"/>
        </w:rPr>
        <w:t>modulo</w:t>
      </w:r>
      <w:proofErr w:type="spellEnd"/>
      <w:r w:rsidRPr="00F867F2">
        <w:rPr>
          <w:rFonts w:ascii="Palatino Linotype" w:eastAsia="Palatino Linotype" w:hAnsi="Palatino Linotype" w:cs="Palatino Linotype"/>
          <w:i/>
          <w:color w:val="000000"/>
          <w:sz w:val="22"/>
          <w:szCs w:val="22"/>
        </w:rPr>
        <w:t xml:space="preserve"> 4 y que por esa </w:t>
      </w:r>
      <w:proofErr w:type="spellStart"/>
      <w:r w:rsidRPr="00F867F2">
        <w:rPr>
          <w:rFonts w:ascii="Palatino Linotype" w:eastAsia="Palatino Linotype" w:hAnsi="Palatino Linotype" w:cs="Palatino Linotype"/>
          <w:i/>
          <w:color w:val="000000"/>
          <w:sz w:val="22"/>
          <w:szCs w:val="22"/>
        </w:rPr>
        <w:t>razon</w:t>
      </w:r>
      <w:proofErr w:type="spellEnd"/>
      <w:r w:rsidRPr="00F867F2">
        <w:rPr>
          <w:rFonts w:ascii="Palatino Linotype" w:eastAsia="Palatino Linotype" w:hAnsi="Palatino Linotype" w:cs="Palatino Linotype"/>
          <w:i/>
          <w:color w:val="000000"/>
          <w:sz w:val="22"/>
          <w:szCs w:val="22"/>
        </w:rPr>
        <w:t xml:space="preserve"> dicho motivo si </w:t>
      </w:r>
      <w:proofErr w:type="spellStart"/>
      <w:r w:rsidRPr="00F867F2">
        <w:rPr>
          <w:rFonts w:ascii="Palatino Linotype" w:eastAsia="Palatino Linotype" w:hAnsi="Palatino Linotype" w:cs="Palatino Linotype"/>
          <w:i/>
          <w:color w:val="000000"/>
          <w:sz w:val="22"/>
          <w:szCs w:val="22"/>
        </w:rPr>
        <w:t>deberian</w:t>
      </w:r>
      <w:proofErr w:type="spellEnd"/>
      <w:r w:rsidRPr="00F867F2">
        <w:rPr>
          <w:rFonts w:ascii="Palatino Linotype" w:eastAsia="Palatino Linotype" w:hAnsi="Palatino Linotype" w:cs="Palatino Linotype"/>
          <w:i/>
          <w:color w:val="000000"/>
          <w:sz w:val="22"/>
          <w:szCs w:val="22"/>
        </w:rPr>
        <w:t xml:space="preserve"> de tener dicha </w:t>
      </w:r>
      <w:proofErr w:type="spellStart"/>
      <w:r w:rsidRPr="00F867F2">
        <w:rPr>
          <w:rFonts w:ascii="Palatino Linotype" w:eastAsia="Palatino Linotype" w:hAnsi="Palatino Linotype" w:cs="Palatino Linotype"/>
          <w:i/>
          <w:color w:val="000000"/>
          <w:sz w:val="22"/>
          <w:szCs w:val="22"/>
        </w:rPr>
        <w:t>informacion</w:t>
      </w:r>
      <w:proofErr w:type="spellEnd"/>
      <w:r w:rsidRPr="00F867F2">
        <w:rPr>
          <w:rFonts w:ascii="Palatino Linotype" w:eastAsia="Palatino Linotype" w:hAnsi="Palatino Linotype" w:cs="Palatino Linotype"/>
          <w:i/>
          <w:color w:val="000000"/>
          <w:sz w:val="22"/>
          <w:szCs w:val="22"/>
        </w:rPr>
        <w:t>, cabe destacar que mi solicitud fue posterior a la fecha de entrega del informe ya mencionado.” (Sic)</w:t>
      </w:r>
    </w:p>
    <w:p w14:paraId="515476F5" w14:textId="77777777" w:rsidR="00267BE2" w:rsidRPr="00F867F2" w:rsidRDefault="00267BE2">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14:paraId="30648180" w14:textId="77777777" w:rsidR="00267BE2" w:rsidRPr="00F867F2" w:rsidRDefault="00675343">
      <w:pPr>
        <w:spacing w:line="360" w:lineRule="auto"/>
        <w:ind w:right="51"/>
        <w:jc w:val="both"/>
        <w:rPr>
          <w:rFonts w:ascii="Palatino Linotype" w:eastAsia="Palatino Linotype" w:hAnsi="Palatino Linotype" w:cs="Palatino Linotype"/>
        </w:rPr>
      </w:pPr>
      <w:r w:rsidRPr="00F867F2">
        <w:rPr>
          <w:rFonts w:ascii="Palatino Linotype" w:eastAsia="Palatino Linotype" w:hAnsi="Palatino Linotype" w:cs="Palatino Linotype"/>
          <w:b/>
        </w:rPr>
        <w:t xml:space="preserve">4. Turno. </w:t>
      </w:r>
      <w:r w:rsidRPr="00F867F2">
        <w:rPr>
          <w:rFonts w:ascii="Palatino Linotype" w:eastAsia="Palatino Linotype" w:hAnsi="Palatino Linotype" w:cs="Palatino Linotype"/>
        </w:rPr>
        <w:t xml:space="preserve">De conformidad con el artículo 185 fracción I de la Ley de Transparencia, el presente recurso de revisión se turnó por el sistema electrónico del </w:t>
      </w:r>
      <w:proofErr w:type="spellStart"/>
      <w:r w:rsidRPr="00F867F2">
        <w:rPr>
          <w:rFonts w:ascii="Palatino Linotype" w:eastAsia="Palatino Linotype" w:hAnsi="Palatino Linotype" w:cs="Palatino Linotype"/>
        </w:rPr>
        <w:t>Infoem</w:t>
      </w:r>
      <w:proofErr w:type="spellEnd"/>
      <w:r w:rsidRPr="00F867F2">
        <w:rPr>
          <w:rFonts w:ascii="Palatino Linotype" w:eastAsia="Palatino Linotype" w:hAnsi="Palatino Linotype" w:cs="Palatino Linotype"/>
        </w:rPr>
        <w:t xml:space="preserve">, a la </w:t>
      </w:r>
      <w:r w:rsidRPr="00F867F2">
        <w:rPr>
          <w:rFonts w:ascii="Palatino Linotype" w:eastAsia="Palatino Linotype" w:hAnsi="Palatino Linotype" w:cs="Palatino Linotype"/>
          <w:b/>
        </w:rPr>
        <w:t xml:space="preserve">Comisionada Guadalupe Ramírez Peña, </w:t>
      </w:r>
      <w:r w:rsidRPr="00F867F2">
        <w:rPr>
          <w:rFonts w:ascii="Palatino Linotype" w:eastAsia="Palatino Linotype" w:hAnsi="Palatino Linotype" w:cs="Palatino Linotype"/>
        </w:rPr>
        <w:t xml:space="preserve">a efecto de que analizara sobre su admisión o su </w:t>
      </w:r>
      <w:proofErr w:type="spellStart"/>
      <w:r w:rsidRPr="00F867F2">
        <w:rPr>
          <w:rFonts w:ascii="Palatino Linotype" w:eastAsia="Palatino Linotype" w:hAnsi="Palatino Linotype" w:cs="Palatino Linotype"/>
        </w:rPr>
        <w:t>desechamiento</w:t>
      </w:r>
      <w:proofErr w:type="spellEnd"/>
      <w:r w:rsidRPr="00F867F2">
        <w:rPr>
          <w:rFonts w:ascii="Palatino Linotype" w:eastAsia="Palatino Linotype" w:hAnsi="Palatino Linotype" w:cs="Palatino Linotype"/>
        </w:rPr>
        <w:t>.</w:t>
      </w:r>
    </w:p>
    <w:p w14:paraId="1AC8E5F1" w14:textId="77777777" w:rsidR="00267BE2" w:rsidRPr="00F867F2" w:rsidRDefault="00267BE2">
      <w:pPr>
        <w:spacing w:line="360" w:lineRule="auto"/>
        <w:ind w:right="51"/>
        <w:jc w:val="both"/>
        <w:rPr>
          <w:rFonts w:ascii="Palatino Linotype" w:eastAsia="Palatino Linotype" w:hAnsi="Palatino Linotype" w:cs="Palatino Linotype"/>
        </w:rPr>
      </w:pPr>
    </w:p>
    <w:p w14:paraId="282A0B3F" w14:textId="77777777" w:rsidR="00267BE2" w:rsidRPr="00F867F2" w:rsidRDefault="00675343">
      <w:pPr>
        <w:spacing w:line="360" w:lineRule="auto"/>
        <w:jc w:val="both"/>
        <w:rPr>
          <w:rFonts w:ascii="Palatino Linotype" w:eastAsia="Palatino Linotype" w:hAnsi="Palatino Linotype" w:cs="Palatino Linotype"/>
        </w:rPr>
      </w:pPr>
      <w:r w:rsidRPr="00F867F2">
        <w:rPr>
          <w:rFonts w:ascii="Palatino Linotype" w:eastAsia="Palatino Linotype" w:hAnsi="Palatino Linotype" w:cs="Palatino Linotype"/>
          <w:b/>
        </w:rPr>
        <w:t>5. Admisión del Recurso de revisión.</w:t>
      </w:r>
      <w:r w:rsidRPr="00F867F2">
        <w:rPr>
          <w:rFonts w:ascii="Palatino Linotype" w:eastAsia="Palatino Linotype" w:hAnsi="Palatino Linotype" w:cs="Palatino Linotype"/>
        </w:rPr>
        <w:t xml:space="preserve"> El</w:t>
      </w:r>
      <w:r w:rsidRPr="00F867F2">
        <w:rPr>
          <w:rFonts w:ascii="Palatino Linotype" w:eastAsia="Palatino Linotype" w:hAnsi="Palatino Linotype" w:cs="Palatino Linotype"/>
          <w:b/>
        </w:rPr>
        <w:t xml:space="preserve"> nueve de septiembre de dos mil veintidós, </w:t>
      </w:r>
      <w:r w:rsidRPr="00F867F2">
        <w:rPr>
          <w:rFonts w:ascii="Palatino Linotype" w:eastAsia="Palatino Linotype" w:hAnsi="Palatino Linotype" w:cs="Palatino Linotype"/>
        </w:rPr>
        <w:t xml:space="preserve">este Instituto de Transparencia, admitió a trámite el recurso de revisión que ahora se resuelve, dando un plazo máximo de siete días hábiles para que las partes manifestaran lo que a su derecho resultara conveniente, ofrecieran pruebas, formularan alegatos y </w:t>
      </w:r>
      <w:r w:rsidRPr="00F867F2">
        <w:rPr>
          <w:rFonts w:ascii="Palatino Linotype" w:eastAsia="Palatino Linotype" w:hAnsi="Palatino Linotype" w:cs="Palatino Linotype"/>
          <w:b/>
        </w:rPr>
        <w:t xml:space="preserve">EL SUJETO OBLIGADO </w:t>
      </w:r>
      <w:r w:rsidRPr="00F867F2">
        <w:rPr>
          <w:rFonts w:ascii="Palatino Linotype" w:eastAsia="Palatino Linotype" w:hAnsi="Palatino Linotype" w:cs="Palatino Linotype"/>
        </w:rPr>
        <w:t>presentara su Informe Justificado.</w:t>
      </w:r>
    </w:p>
    <w:p w14:paraId="6FFE284E" w14:textId="77777777" w:rsidR="00267BE2" w:rsidRPr="00F867F2" w:rsidRDefault="00267BE2">
      <w:pPr>
        <w:spacing w:line="360" w:lineRule="auto"/>
        <w:jc w:val="both"/>
        <w:rPr>
          <w:rFonts w:ascii="Palatino Linotype" w:eastAsia="Palatino Linotype" w:hAnsi="Palatino Linotype" w:cs="Palatino Linotype"/>
          <w:b/>
        </w:rPr>
      </w:pPr>
    </w:p>
    <w:p w14:paraId="045D2FED" w14:textId="77777777" w:rsidR="00267BE2" w:rsidRPr="00F867F2" w:rsidRDefault="00675343">
      <w:pPr>
        <w:spacing w:line="360" w:lineRule="auto"/>
        <w:ind w:right="49"/>
        <w:jc w:val="both"/>
        <w:rPr>
          <w:rFonts w:ascii="Palatino Linotype" w:eastAsia="Palatino Linotype" w:hAnsi="Palatino Linotype" w:cs="Palatino Linotype"/>
        </w:rPr>
      </w:pPr>
      <w:bookmarkStart w:id="3" w:name="_heading=h.2s8eyo1" w:colFirst="0" w:colLast="0"/>
      <w:bookmarkEnd w:id="3"/>
      <w:r w:rsidRPr="00F867F2">
        <w:rPr>
          <w:rFonts w:ascii="Palatino Linotype" w:eastAsia="Palatino Linotype" w:hAnsi="Palatino Linotype" w:cs="Palatino Linotype"/>
          <w:b/>
        </w:rPr>
        <w:t>6. Manifestaciones</w:t>
      </w:r>
      <w:r w:rsidRPr="00F867F2">
        <w:rPr>
          <w:rFonts w:ascii="Palatino Linotype" w:eastAsia="Palatino Linotype" w:hAnsi="Palatino Linotype" w:cs="Palatino Linotype"/>
        </w:rPr>
        <w:t xml:space="preserve">. De las constancias que integran el expediente electrónico en que se actúa se advierte que tanto </w:t>
      </w:r>
      <w:r w:rsidRPr="00F867F2">
        <w:rPr>
          <w:rFonts w:ascii="Palatino Linotype" w:eastAsia="Palatino Linotype" w:hAnsi="Palatino Linotype" w:cs="Palatino Linotype"/>
          <w:b/>
        </w:rPr>
        <w:t>LA PARTE RECURRENTE,</w:t>
      </w:r>
      <w:r w:rsidRPr="00F867F2">
        <w:rPr>
          <w:rFonts w:ascii="Palatino Linotype" w:eastAsia="Palatino Linotype" w:hAnsi="Palatino Linotype" w:cs="Palatino Linotype"/>
        </w:rPr>
        <w:t xml:space="preserve"> como </w:t>
      </w:r>
      <w:r w:rsidRPr="00F867F2">
        <w:rPr>
          <w:rFonts w:ascii="Palatino Linotype" w:eastAsia="Palatino Linotype" w:hAnsi="Palatino Linotype" w:cs="Palatino Linotype"/>
          <w:b/>
        </w:rPr>
        <w:t xml:space="preserve">EL SUJETO OBLIGADO </w:t>
      </w:r>
      <w:r w:rsidRPr="00F867F2">
        <w:rPr>
          <w:rFonts w:ascii="Palatino Linotype" w:eastAsia="Palatino Linotype" w:hAnsi="Palatino Linotype" w:cs="Palatino Linotype"/>
        </w:rPr>
        <w:t xml:space="preserve">dejaron de manifestar lo que a su derecho conviniera en esta etapa procesal, tal y como consta en la imagen que se adjunta: </w:t>
      </w:r>
    </w:p>
    <w:p w14:paraId="060446AE" w14:textId="77777777" w:rsidR="00267BE2" w:rsidRPr="00F867F2" w:rsidRDefault="00675343">
      <w:pPr>
        <w:spacing w:line="360" w:lineRule="auto"/>
        <w:ind w:right="49"/>
        <w:jc w:val="center"/>
        <w:rPr>
          <w:rFonts w:ascii="Palatino Linotype" w:eastAsia="Palatino Linotype" w:hAnsi="Palatino Linotype" w:cs="Palatino Linotype"/>
        </w:rPr>
      </w:pPr>
      <w:r w:rsidRPr="00F867F2">
        <w:rPr>
          <w:noProof/>
        </w:rPr>
        <w:drawing>
          <wp:inline distT="0" distB="0" distL="0" distR="0" wp14:anchorId="37BDEFC2" wp14:editId="0CA3A5EB">
            <wp:extent cx="5639283" cy="1383976"/>
            <wp:effectExtent l="0" t="0" r="0" b="0"/>
            <wp:docPr id="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l="8493" t="43162" r="10427" b="21461"/>
                    <a:stretch>
                      <a:fillRect/>
                    </a:stretch>
                  </pic:blipFill>
                  <pic:spPr>
                    <a:xfrm>
                      <a:off x="0" y="0"/>
                      <a:ext cx="5639283" cy="1383976"/>
                    </a:xfrm>
                    <a:prstGeom prst="rect">
                      <a:avLst/>
                    </a:prstGeom>
                    <a:ln/>
                  </pic:spPr>
                </pic:pic>
              </a:graphicData>
            </a:graphic>
          </wp:inline>
        </w:drawing>
      </w:r>
    </w:p>
    <w:p w14:paraId="6D1841CC" w14:textId="77777777" w:rsidR="00267BE2" w:rsidRPr="00F867F2" w:rsidRDefault="00267BE2">
      <w:pPr>
        <w:spacing w:line="360" w:lineRule="auto"/>
        <w:ind w:right="49"/>
        <w:jc w:val="both"/>
        <w:rPr>
          <w:rFonts w:ascii="Palatino Linotype" w:eastAsia="Palatino Linotype" w:hAnsi="Palatino Linotype" w:cs="Palatino Linotype"/>
        </w:rPr>
      </w:pPr>
    </w:p>
    <w:p w14:paraId="56A11EFA" w14:textId="77777777" w:rsidR="00267BE2" w:rsidRPr="00F867F2" w:rsidRDefault="00675343">
      <w:pPr>
        <w:widowControl w:val="0"/>
        <w:spacing w:line="360" w:lineRule="auto"/>
        <w:jc w:val="both"/>
        <w:rPr>
          <w:rFonts w:ascii="Palatino Linotype" w:eastAsia="Palatino Linotype" w:hAnsi="Palatino Linotype" w:cs="Palatino Linotype"/>
        </w:rPr>
      </w:pPr>
      <w:r w:rsidRPr="00F867F2">
        <w:rPr>
          <w:rFonts w:ascii="Palatino Linotype" w:eastAsia="Palatino Linotype" w:hAnsi="Palatino Linotype" w:cs="Palatino Linotype"/>
          <w:b/>
        </w:rPr>
        <w:t>7. Ampliación del plazo para emitir resolución.</w:t>
      </w:r>
      <w:r w:rsidRPr="00F867F2">
        <w:rPr>
          <w:rFonts w:ascii="Palatino Linotype" w:eastAsia="Palatino Linotype" w:hAnsi="Palatino Linotype" w:cs="Palatino Linotype"/>
        </w:rPr>
        <w:t xml:space="preserve"> El pasado </w:t>
      </w:r>
      <w:r w:rsidRPr="00F867F2">
        <w:rPr>
          <w:rFonts w:ascii="Palatino Linotype" w:eastAsia="Palatino Linotype" w:hAnsi="Palatino Linotype" w:cs="Palatino Linotype"/>
          <w:b/>
        </w:rPr>
        <w:t>tres de marzo de dos mil veintitrés,</w:t>
      </w:r>
      <w:r w:rsidRPr="00F867F2">
        <w:rPr>
          <w:rFonts w:ascii="Palatino Linotype" w:eastAsia="Palatino Linotype" w:hAnsi="Palatino Linotype" w:cs="Palatino Linotype"/>
        </w:rPr>
        <w:t xml:space="preserve"> este Instituto con fundamento en el artículo 181, párrafo tercero, de la LTAIPEMM, determinó ampliar el plazo para emitir la presente resolución. </w:t>
      </w:r>
    </w:p>
    <w:p w14:paraId="7E2E3E00" w14:textId="77777777" w:rsidR="00267BE2" w:rsidRPr="00F867F2" w:rsidRDefault="00267BE2">
      <w:pPr>
        <w:widowControl w:val="0"/>
        <w:spacing w:line="360" w:lineRule="auto"/>
        <w:jc w:val="both"/>
        <w:rPr>
          <w:rFonts w:ascii="Palatino Linotype" w:eastAsia="Palatino Linotype" w:hAnsi="Palatino Linotype" w:cs="Palatino Linotype"/>
        </w:rPr>
      </w:pPr>
    </w:p>
    <w:p w14:paraId="4F0D7664" w14:textId="77777777" w:rsidR="00267BE2" w:rsidRPr="00F867F2" w:rsidRDefault="00675343">
      <w:pPr>
        <w:spacing w:line="360" w:lineRule="auto"/>
        <w:jc w:val="both"/>
        <w:rPr>
          <w:rFonts w:ascii="Palatino Linotype" w:eastAsia="Palatino Linotype" w:hAnsi="Palatino Linotype" w:cs="Palatino Linotype"/>
        </w:rPr>
      </w:pPr>
      <w:r w:rsidRPr="00F867F2">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veintiuno, que, en comparación con los recibidos el año dos mil veintidós dentro del mismo periodo, se ha incrementado aproximadamente un 400%, circunstancia atípica que ha rebasado las capacidades técnicas y humanas del personal encargado de la proyección de las resoluciones a dichos medios de impugnación.</w:t>
      </w:r>
    </w:p>
    <w:p w14:paraId="5283C5D9" w14:textId="77777777" w:rsidR="00267BE2" w:rsidRPr="00F867F2" w:rsidRDefault="00267BE2">
      <w:pPr>
        <w:spacing w:line="360" w:lineRule="auto"/>
        <w:jc w:val="both"/>
        <w:rPr>
          <w:rFonts w:ascii="Palatino Linotype" w:eastAsia="Palatino Linotype" w:hAnsi="Palatino Linotype" w:cs="Palatino Linotype"/>
        </w:rPr>
      </w:pPr>
    </w:p>
    <w:p w14:paraId="244A08C6" w14:textId="77777777" w:rsidR="00267BE2" w:rsidRPr="00F867F2" w:rsidRDefault="00675343">
      <w:pPr>
        <w:spacing w:line="360" w:lineRule="auto"/>
        <w:jc w:val="both"/>
        <w:rPr>
          <w:rFonts w:ascii="Palatino Linotype" w:eastAsia="Palatino Linotype" w:hAnsi="Palatino Linotype" w:cs="Palatino Linotype"/>
        </w:rPr>
      </w:pPr>
      <w:r w:rsidRPr="00F867F2">
        <w:rPr>
          <w:rFonts w:ascii="Palatino Linotype" w:eastAsia="Palatino Linotype" w:hAnsi="Palatino Linotype" w:cs="Palatino Linotype"/>
        </w:rPr>
        <w:t xml:space="preserve">Por ello, es menester precisar que, si bien se ha excedido el plazo para resolver el presente medio de impugnación, de conformidad con la ley de la materia, el plazo </w:t>
      </w:r>
      <w:r w:rsidRPr="00F867F2">
        <w:rPr>
          <w:rFonts w:ascii="Palatino Linotype" w:eastAsia="Palatino Linotype" w:hAnsi="Palatino Linotype" w:cs="Palatino Linotype"/>
        </w:rPr>
        <w:lastRenderedPageBreak/>
        <w:t>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473F5FD5" w14:textId="77777777" w:rsidR="00267BE2" w:rsidRPr="00F867F2" w:rsidRDefault="00267BE2">
      <w:pPr>
        <w:spacing w:line="360" w:lineRule="auto"/>
        <w:jc w:val="both"/>
        <w:rPr>
          <w:rFonts w:ascii="Palatino Linotype" w:eastAsia="Palatino Linotype" w:hAnsi="Palatino Linotype" w:cs="Palatino Linotype"/>
        </w:rPr>
      </w:pPr>
    </w:p>
    <w:p w14:paraId="654C484A" w14:textId="77777777" w:rsidR="00267BE2" w:rsidRPr="00F867F2" w:rsidRDefault="00675343">
      <w:pPr>
        <w:spacing w:line="360" w:lineRule="auto"/>
        <w:jc w:val="both"/>
        <w:rPr>
          <w:rFonts w:ascii="Palatino Linotype" w:eastAsia="Palatino Linotype" w:hAnsi="Palatino Linotype" w:cs="Palatino Linotype"/>
        </w:rPr>
      </w:pPr>
      <w:r w:rsidRPr="00F867F2">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A7E3DE3" w14:textId="77777777" w:rsidR="00267BE2" w:rsidRPr="00F867F2" w:rsidRDefault="00267BE2">
      <w:pPr>
        <w:spacing w:line="360" w:lineRule="auto"/>
        <w:jc w:val="both"/>
        <w:rPr>
          <w:rFonts w:ascii="Palatino Linotype" w:eastAsia="Palatino Linotype" w:hAnsi="Palatino Linotype" w:cs="Palatino Linotype"/>
        </w:rPr>
      </w:pPr>
    </w:p>
    <w:p w14:paraId="181902BC" w14:textId="77777777" w:rsidR="00267BE2" w:rsidRPr="00F867F2" w:rsidRDefault="00675343">
      <w:pPr>
        <w:spacing w:line="360" w:lineRule="auto"/>
        <w:jc w:val="both"/>
        <w:rPr>
          <w:rFonts w:ascii="Palatino Linotype" w:eastAsia="Palatino Linotype" w:hAnsi="Palatino Linotype" w:cs="Palatino Linotype"/>
        </w:rPr>
      </w:pPr>
      <w:r w:rsidRPr="00F867F2">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28AB4E6" w14:textId="77777777" w:rsidR="00267BE2" w:rsidRPr="00F867F2" w:rsidRDefault="00267BE2">
      <w:pPr>
        <w:spacing w:line="360" w:lineRule="auto"/>
        <w:jc w:val="both"/>
        <w:rPr>
          <w:rFonts w:ascii="Palatino Linotype" w:eastAsia="Palatino Linotype" w:hAnsi="Palatino Linotype" w:cs="Palatino Linotype"/>
        </w:rPr>
      </w:pPr>
    </w:p>
    <w:p w14:paraId="6E4AA3C8" w14:textId="77777777" w:rsidR="00267BE2" w:rsidRPr="00F867F2" w:rsidRDefault="00675343">
      <w:pPr>
        <w:spacing w:line="360" w:lineRule="auto"/>
        <w:jc w:val="both"/>
        <w:rPr>
          <w:rFonts w:ascii="Palatino Linotype" w:eastAsia="Palatino Linotype" w:hAnsi="Palatino Linotype" w:cs="Palatino Linotype"/>
        </w:rPr>
      </w:pPr>
      <w:r w:rsidRPr="00F867F2">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407A33C1" w14:textId="77777777" w:rsidR="00267BE2" w:rsidRPr="00F867F2" w:rsidRDefault="00267BE2">
      <w:pPr>
        <w:spacing w:line="360" w:lineRule="auto"/>
        <w:jc w:val="both"/>
        <w:rPr>
          <w:rFonts w:ascii="Palatino Linotype" w:eastAsia="Palatino Linotype" w:hAnsi="Palatino Linotype" w:cs="Palatino Linotype"/>
          <w:strike/>
          <w:color w:val="FF0000"/>
        </w:rPr>
      </w:pPr>
    </w:p>
    <w:p w14:paraId="2B2055F2" w14:textId="77777777" w:rsidR="00267BE2" w:rsidRPr="00F867F2" w:rsidRDefault="00675343">
      <w:pPr>
        <w:numPr>
          <w:ilvl w:val="0"/>
          <w:numId w:val="2"/>
        </w:numPr>
        <w:spacing w:line="360" w:lineRule="auto"/>
        <w:jc w:val="both"/>
        <w:rPr>
          <w:rFonts w:ascii="Palatino Linotype" w:eastAsia="Palatino Linotype" w:hAnsi="Palatino Linotype" w:cs="Palatino Linotype"/>
        </w:rPr>
      </w:pPr>
      <w:r w:rsidRPr="00F867F2">
        <w:rPr>
          <w:rFonts w:ascii="Palatino Linotype" w:eastAsia="Palatino Linotype" w:hAnsi="Palatino Linotype" w:cs="Palatino Linotype"/>
          <w:b/>
        </w:rPr>
        <w:t xml:space="preserve">Complejidad del Asunto: </w:t>
      </w:r>
      <w:r w:rsidRPr="00F867F2">
        <w:rPr>
          <w:rFonts w:ascii="Palatino Linotype" w:eastAsia="Palatino Linotype" w:hAnsi="Palatino Linotype" w:cs="Palatino Linotype"/>
        </w:rPr>
        <w:t xml:space="preserve">La complejidad de la prueba, la pluralidad de sujetos procesales, el tiempo transcurrido, las características y contexto del recurso. </w:t>
      </w:r>
    </w:p>
    <w:p w14:paraId="128DEECC" w14:textId="77777777" w:rsidR="00267BE2" w:rsidRPr="00F867F2" w:rsidRDefault="00675343">
      <w:pPr>
        <w:numPr>
          <w:ilvl w:val="0"/>
          <w:numId w:val="2"/>
        </w:numPr>
        <w:spacing w:line="360" w:lineRule="auto"/>
        <w:jc w:val="both"/>
        <w:rPr>
          <w:rFonts w:ascii="Palatino Linotype" w:eastAsia="Palatino Linotype" w:hAnsi="Palatino Linotype" w:cs="Palatino Linotype"/>
        </w:rPr>
      </w:pPr>
      <w:r w:rsidRPr="00F867F2">
        <w:rPr>
          <w:rFonts w:ascii="Palatino Linotype" w:eastAsia="Palatino Linotype" w:hAnsi="Palatino Linotype" w:cs="Palatino Linotype"/>
          <w:b/>
        </w:rPr>
        <w:t>Actividad Procesal del interesado:</w:t>
      </w:r>
      <w:r w:rsidRPr="00F867F2">
        <w:rPr>
          <w:rFonts w:ascii="Palatino Linotype" w:eastAsia="Palatino Linotype" w:hAnsi="Palatino Linotype" w:cs="Palatino Linotype"/>
        </w:rPr>
        <w:t xml:space="preserve"> Acciones u omisiones del interesado.</w:t>
      </w:r>
    </w:p>
    <w:p w14:paraId="6A0EBF54" w14:textId="77777777" w:rsidR="00267BE2" w:rsidRPr="00F867F2" w:rsidRDefault="00675343">
      <w:pPr>
        <w:numPr>
          <w:ilvl w:val="0"/>
          <w:numId w:val="2"/>
        </w:numPr>
        <w:spacing w:line="360" w:lineRule="auto"/>
        <w:jc w:val="both"/>
        <w:rPr>
          <w:rFonts w:ascii="Palatino Linotype" w:eastAsia="Palatino Linotype" w:hAnsi="Palatino Linotype" w:cs="Palatino Linotype"/>
        </w:rPr>
      </w:pPr>
      <w:r w:rsidRPr="00F867F2">
        <w:rPr>
          <w:rFonts w:ascii="Palatino Linotype" w:eastAsia="Palatino Linotype" w:hAnsi="Palatino Linotype" w:cs="Palatino Linotype"/>
          <w:b/>
        </w:rPr>
        <w:lastRenderedPageBreak/>
        <w:t>Conducta de la Autoridad:</w:t>
      </w:r>
      <w:r w:rsidRPr="00F867F2">
        <w:rPr>
          <w:rFonts w:ascii="Palatino Linotype" w:eastAsia="Palatino Linotype" w:hAnsi="Palatino Linotype" w:cs="Palatino Linotype"/>
        </w:rPr>
        <w:t xml:space="preserve"> Las Acciones u omisiones realizadas en el procedimiento. Así como si la autoridad actuó con la debida diligencia.</w:t>
      </w:r>
    </w:p>
    <w:p w14:paraId="52CEF4B2" w14:textId="77777777" w:rsidR="00267BE2" w:rsidRPr="00F867F2" w:rsidRDefault="00675343">
      <w:pPr>
        <w:spacing w:line="360" w:lineRule="auto"/>
        <w:ind w:left="567"/>
        <w:jc w:val="both"/>
        <w:rPr>
          <w:rFonts w:ascii="Palatino Linotype" w:eastAsia="Palatino Linotype" w:hAnsi="Palatino Linotype" w:cs="Palatino Linotype"/>
        </w:rPr>
      </w:pPr>
      <w:r w:rsidRPr="00F867F2">
        <w:rPr>
          <w:rFonts w:ascii="Palatino Linotype" w:eastAsia="Palatino Linotype" w:hAnsi="Palatino Linotype" w:cs="Palatino Linotype"/>
          <w:b/>
        </w:rPr>
        <w:t>d) La afectación generada en la situación jurídica de la persona involucrada en el proceso:</w:t>
      </w:r>
      <w:r w:rsidRPr="00F867F2">
        <w:rPr>
          <w:rFonts w:ascii="Palatino Linotype" w:eastAsia="Palatino Linotype" w:hAnsi="Palatino Linotype" w:cs="Palatino Linotype"/>
        </w:rPr>
        <w:t xml:space="preserve"> Violación a sus derechos humanos.</w:t>
      </w:r>
    </w:p>
    <w:p w14:paraId="688E422E" w14:textId="77777777" w:rsidR="00267BE2" w:rsidRPr="00F867F2" w:rsidRDefault="00267BE2">
      <w:pPr>
        <w:spacing w:line="360" w:lineRule="auto"/>
        <w:ind w:left="567"/>
        <w:jc w:val="both"/>
        <w:rPr>
          <w:rFonts w:ascii="Palatino Linotype" w:eastAsia="Palatino Linotype" w:hAnsi="Palatino Linotype" w:cs="Palatino Linotype"/>
        </w:rPr>
      </w:pPr>
    </w:p>
    <w:p w14:paraId="348DBFAB" w14:textId="77777777" w:rsidR="00267BE2" w:rsidRPr="00F867F2" w:rsidRDefault="00675343">
      <w:pPr>
        <w:spacing w:line="360" w:lineRule="auto"/>
        <w:jc w:val="both"/>
        <w:rPr>
          <w:rFonts w:ascii="Palatino Linotype" w:eastAsia="Palatino Linotype" w:hAnsi="Palatino Linotype" w:cs="Palatino Linotype"/>
        </w:rPr>
      </w:pPr>
      <w:r w:rsidRPr="00F867F2">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CFEDE9C" w14:textId="77777777" w:rsidR="00267BE2" w:rsidRPr="00F867F2" w:rsidRDefault="00267BE2">
      <w:pPr>
        <w:spacing w:line="360" w:lineRule="auto"/>
        <w:jc w:val="both"/>
        <w:rPr>
          <w:rFonts w:ascii="Palatino Linotype" w:eastAsia="Palatino Linotype" w:hAnsi="Palatino Linotype" w:cs="Palatino Linotype"/>
        </w:rPr>
      </w:pPr>
    </w:p>
    <w:p w14:paraId="18AED832" w14:textId="77777777" w:rsidR="00267BE2" w:rsidRPr="00F867F2" w:rsidRDefault="00675343">
      <w:pPr>
        <w:spacing w:line="360" w:lineRule="auto"/>
        <w:jc w:val="both"/>
        <w:rPr>
          <w:rFonts w:ascii="Palatino Linotype" w:eastAsia="Palatino Linotype" w:hAnsi="Palatino Linotype" w:cs="Palatino Linotype"/>
        </w:rPr>
      </w:pPr>
      <w:r w:rsidRPr="00F867F2">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F867F2">
        <w:rPr>
          <w:rFonts w:ascii="Palatino Linotype" w:eastAsia="Palatino Linotype" w:hAnsi="Palatino Linotype" w:cs="Palatino Linotype"/>
          <w:b/>
          <w:i/>
        </w:rPr>
        <w:t>“TÉRMINOS PROCESALES. PARA DETERMINAR SI UN FUNCIONARIO JUDICIAL ACTUÓ INDEBIDAMENTE POR NO RESPETARLOS SE DEBE ATENDER AL PRESUPUESTO QUE CONSIDERÓ EL LEGISLADOR AL FIJARLOS Y LAS CARACTERÍSTICAS DEL CASO.”</w:t>
      </w:r>
      <w:r w:rsidRPr="00F867F2">
        <w:rPr>
          <w:rFonts w:ascii="Palatino Linotype" w:eastAsia="Palatino Linotype" w:hAnsi="Palatino Linotype" w:cs="Palatino Linotype"/>
          <w:b/>
        </w:rPr>
        <w:t>,</w:t>
      </w:r>
      <w:r w:rsidRPr="00F867F2">
        <w:rPr>
          <w:rFonts w:ascii="Palatino Linotype" w:eastAsia="Palatino Linotype" w:hAnsi="Palatino Linotype" w:cs="Palatino Linotype"/>
        </w:rPr>
        <w:t xml:space="preserve"> visible en la Gaceta del Seminario Judicial de la Federación con el registro digital 205635.</w:t>
      </w:r>
    </w:p>
    <w:p w14:paraId="06A8C19F" w14:textId="77777777" w:rsidR="00267BE2" w:rsidRPr="00F867F2" w:rsidRDefault="00267BE2">
      <w:pPr>
        <w:spacing w:line="360" w:lineRule="auto"/>
        <w:jc w:val="both"/>
        <w:rPr>
          <w:rFonts w:ascii="Palatino Linotype" w:eastAsia="Palatino Linotype" w:hAnsi="Palatino Linotype" w:cs="Palatino Linotype"/>
          <w:b/>
        </w:rPr>
      </w:pPr>
    </w:p>
    <w:p w14:paraId="1318A0DE" w14:textId="77777777" w:rsidR="00267BE2" w:rsidRPr="00F867F2" w:rsidRDefault="00675343">
      <w:pPr>
        <w:spacing w:line="360" w:lineRule="auto"/>
        <w:jc w:val="both"/>
        <w:rPr>
          <w:rFonts w:ascii="Palatino Linotype" w:eastAsia="Palatino Linotype" w:hAnsi="Palatino Linotype" w:cs="Palatino Linotype"/>
        </w:rPr>
      </w:pPr>
      <w:r w:rsidRPr="00F867F2">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w:t>
      </w:r>
      <w:r w:rsidRPr="00F867F2">
        <w:rPr>
          <w:rFonts w:ascii="Palatino Linotype" w:eastAsia="Palatino Linotype" w:hAnsi="Palatino Linotype" w:cs="Palatino Linotype"/>
        </w:rPr>
        <w:lastRenderedPageBreak/>
        <w:t>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2E02FA7" w14:textId="77777777" w:rsidR="00267BE2" w:rsidRPr="00F867F2" w:rsidRDefault="00267BE2">
      <w:pPr>
        <w:spacing w:line="360" w:lineRule="auto"/>
        <w:jc w:val="both"/>
        <w:rPr>
          <w:rFonts w:ascii="Palatino Linotype" w:eastAsia="Palatino Linotype" w:hAnsi="Palatino Linotype" w:cs="Palatino Linotype"/>
        </w:rPr>
      </w:pPr>
    </w:p>
    <w:p w14:paraId="5D90ECB0" w14:textId="77777777" w:rsidR="00267BE2" w:rsidRPr="00F867F2" w:rsidRDefault="00675343">
      <w:pPr>
        <w:spacing w:line="360" w:lineRule="auto"/>
        <w:jc w:val="both"/>
        <w:rPr>
          <w:rFonts w:ascii="Palatino Linotype" w:eastAsia="Palatino Linotype" w:hAnsi="Palatino Linotype" w:cs="Palatino Linotype"/>
        </w:rPr>
      </w:pPr>
      <w:r w:rsidRPr="00F867F2">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1BD4FFAB" w14:textId="77777777" w:rsidR="00267BE2" w:rsidRPr="00F867F2" w:rsidRDefault="00267BE2">
      <w:pPr>
        <w:spacing w:line="360" w:lineRule="auto"/>
        <w:jc w:val="both"/>
        <w:rPr>
          <w:rFonts w:ascii="Palatino Linotype" w:eastAsia="Palatino Linotype" w:hAnsi="Palatino Linotype" w:cs="Palatino Linotype"/>
        </w:rPr>
      </w:pPr>
    </w:p>
    <w:p w14:paraId="556113E5" w14:textId="77777777" w:rsidR="00267BE2" w:rsidRPr="00F867F2" w:rsidRDefault="00675343">
      <w:pPr>
        <w:spacing w:line="360" w:lineRule="auto"/>
        <w:jc w:val="both"/>
        <w:rPr>
          <w:rFonts w:ascii="Palatino Linotype" w:eastAsia="Palatino Linotype" w:hAnsi="Palatino Linotype" w:cs="Palatino Linotype"/>
        </w:rPr>
      </w:pPr>
      <w:r w:rsidRPr="00F867F2">
        <w:rPr>
          <w:rFonts w:ascii="Palatino Linotype" w:eastAsia="Palatino Linotype" w:hAnsi="Palatino Linotype" w:cs="Palatino Linotype"/>
          <w:b/>
          <w:i/>
        </w:rPr>
        <w:t>“PLAZO RAZONABLE PARA RESOLVER. DIMENSIÓN Y EFECTOS DE ESTE CONCEPTO CUANDO SE ADUCE EXCESIVA CARGA DE TRABAJO.”</w:t>
      </w:r>
      <w:r w:rsidRPr="00F867F2">
        <w:rPr>
          <w:rFonts w:ascii="Palatino Linotype" w:eastAsia="Palatino Linotype" w:hAnsi="Palatino Linotype" w:cs="Palatino Linotype"/>
        </w:rPr>
        <w:t xml:space="preserve"> consultable en el Seminario Judicial de la Federación y su gaceta, con el registro digital 2002351.</w:t>
      </w:r>
    </w:p>
    <w:p w14:paraId="08450AB1" w14:textId="77777777" w:rsidR="00267BE2" w:rsidRPr="00F867F2" w:rsidRDefault="00267BE2">
      <w:pPr>
        <w:spacing w:line="360" w:lineRule="auto"/>
        <w:jc w:val="both"/>
        <w:rPr>
          <w:rFonts w:ascii="Palatino Linotype" w:eastAsia="Palatino Linotype" w:hAnsi="Palatino Linotype" w:cs="Palatino Linotype"/>
        </w:rPr>
      </w:pPr>
    </w:p>
    <w:p w14:paraId="5BB7DB40" w14:textId="77777777" w:rsidR="00267BE2" w:rsidRPr="00F867F2" w:rsidRDefault="00675343">
      <w:pPr>
        <w:spacing w:line="360" w:lineRule="auto"/>
        <w:jc w:val="both"/>
        <w:rPr>
          <w:rFonts w:ascii="Palatino Linotype" w:eastAsia="Palatino Linotype" w:hAnsi="Palatino Linotype" w:cs="Palatino Linotype"/>
        </w:rPr>
      </w:pPr>
      <w:r w:rsidRPr="00F867F2">
        <w:rPr>
          <w:rFonts w:ascii="Palatino Linotype" w:eastAsia="Palatino Linotype" w:hAnsi="Palatino Linotype" w:cs="Palatino Linotype"/>
          <w:b/>
          <w:i/>
        </w:rPr>
        <w:t>“PLAZO RAZONABLE PARA RESOLVER. CONCEPTO Y ELEMENTOS QUE LO INTEGRAN A LA LUZ DEL DERECHO INTERNACIONAL DE LOS DERECHOS HUMANOS.”</w:t>
      </w:r>
      <w:r w:rsidRPr="00F867F2">
        <w:rPr>
          <w:rFonts w:ascii="Palatino Linotype" w:eastAsia="Palatino Linotype" w:hAnsi="Palatino Linotype" w:cs="Palatino Linotype"/>
          <w:b/>
        </w:rPr>
        <w:t>,</w:t>
      </w:r>
      <w:r w:rsidRPr="00F867F2">
        <w:rPr>
          <w:rFonts w:ascii="Palatino Linotype" w:eastAsia="Palatino Linotype" w:hAnsi="Palatino Linotype" w:cs="Palatino Linotype"/>
        </w:rPr>
        <w:t xml:space="preserve"> visible en el Seminario Judicial de la Federación y su gaceta, con el registro digital 2002350.</w:t>
      </w:r>
    </w:p>
    <w:p w14:paraId="376313DF" w14:textId="77777777" w:rsidR="00267BE2" w:rsidRPr="00F867F2" w:rsidRDefault="00267BE2">
      <w:pPr>
        <w:spacing w:line="360" w:lineRule="auto"/>
        <w:jc w:val="both"/>
        <w:rPr>
          <w:rFonts w:ascii="Palatino Linotype" w:eastAsia="Palatino Linotype" w:hAnsi="Palatino Linotype" w:cs="Palatino Linotype"/>
        </w:rPr>
      </w:pPr>
    </w:p>
    <w:p w14:paraId="6EFE21E2" w14:textId="77777777" w:rsidR="00267BE2" w:rsidRPr="00F867F2" w:rsidRDefault="00675343">
      <w:pPr>
        <w:spacing w:line="360" w:lineRule="auto"/>
        <w:jc w:val="both"/>
        <w:rPr>
          <w:rFonts w:ascii="Palatino Linotype" w:eastAsia="Palatino Linotype" w:hAnsi="Palatino Linotype" w:cs="Palatino Linotype"/>
        </w:rPr>
      </w:pPr>
      <w:r w:rsidRPr="00F867F2">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2666CD12" w14:textId="77777777" w:rsidR="00267BE2" w:rsidRPr="00F867F2" w:rsidRDefault="00267BE2">
      <w:pPr>
        <w:widowControl w:val="0"/>
        <w:spacing w:line="360" w:lineRule="auto"/>
        <w:jc w:val="both"/>
        <w:rPr>
          <w:rFonts w:ascii="Palatino Linotype" w:eastAsia="Palatino Linotype" w:hAnsi="Palatino Linotype" w:cs="Palatino Linotype"/>
        </w:rPr>
      </w:pPr>
    </w:p>
    <w:p w14:paraId="50D5E9A7" w14:textId="77777777" w:rsidR="00267BE2" w:rsidRPr="00F867F2" w:rsidRDefault="00675343">
      <w:pPr>
        <w:spacing w:line="360" w:lineRule="auto"/>
        <w:jc w:val="both"/>
        <w:rPr>
          <w:rFonts w:ascii="Palatino Linotype" w:eastAsia="Palatino Linotype" w:hAnsi="Palatino Linotype" w:cs="Palatino Linotype"/>
        </w:rPr>
      </w:pPr>
      <w:r w:rsidRPr="00F867F2">
        <w:rPr>
          <w:rFonts w:ascii="Palatino Linotype" w:eastAsia="Palatino Linotype" w:hAnsi="Palatino Linotype" w:cs="Palatino Linotype"/>
          <w:b/>
        </w:rPr>
        <w:t xml:space="preserve">8. Cierre de instrucción. </w:t>
      </w:r>
      <w:r w:rsidRPr="00F867F2">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F867F2">
        <w:rPr>
          <w:rFonts w:ascii="Palatino Linotype" w:eastAsia="Palatino Linotype" w:hAnsi="Palatino Linotype" w:cs="Palatino Linotype"/>
          <w:b/>
        </w:rPr>
        <w:t>tres de marzo de dos mil veintitrés</w:t>
      </w:r>
      <w:r w:rsidRPr="00F867F2">
        <w:rPr>
          <w:rFonts w:ascii="Palatino Linotype" w:eastAsia="Palatino Linotype" w:hAnsi="Palatino Linotype" w:cs="Palatino Linotype"/>
        </w:rPr>
        <w:t xml:space="preserve">, la </w:t>
      </w:r>
      <w:r w:rsidRPr="00F867F2">
        <w:rPr>
          <w:rFonts w:ascii="Palatino Linotype" w:eastAsia="Palatino Linotype" w:hAnsi="Palatino Linotype" w:cs="Palatino Linotype"/>
          <w:b/>
        </w:rPr>
        <w:t>Comisionada Ponente</w:t>
      </w:r>
      <w:r w:rsidRPr="00F867F2">
        <w:rPr>
          <w:rFonts w:ascii="Palatino Linotype" w:eastAsia="Palatino Linotype" w:hAnsi="Palatino Linotype" w:cs="Palatino Linotype"/>
        </w:rPr>
        <w:t xml:space="preserve"> determinó el cierre de instrucción en términos de la fracción VI del artículo 185 de la Ley de Transparencia y Acceso a la Información Pública del Estado de México y Municipios.</w:t>
      </w:r>
    </w:p>
    <w:p w14:paraId="39719BC3" w14:textId="77777777" w:rsidR="00267BE2" w:rsidRPr="00F867F2" w:rsidRDefault="00267BE2">
      <w:pPr>
        <w:spacing w:line="360" w:lineRule="auto"/>
        <w:jc w:val="both"/>
        <w:rPr>
          <w:rFonts w:ascii="Palatino Linotype" w:eastAsia="Palatino Linotype" w:hAnsi="Palatino Linotype" w:cs="Palatino Linotype"/>
          <w:b/>
        </w:rPr>
      </w:pPr>
    </w:p>
    <w:p w14:paraId="5671577D" w14:textId="77777777" w:rsidR="00267BE2" w:rsidRPr="00F867F2" w:rsidRDefault="00675343">
      <w:pPr>
        <w:spacing w:line="360" w:lineRule="auto"/>
        <w:jc w:val="both"/>
        <w:rPr>
          <w:rFonts w:ascii="Palatino Linotype" w:eastAsia="Palatino Linotype" w:hAnsi="Palatino Linotype" w:cs="Palatino Linotype"/>
        </w:rPr>
      </w:pPr>
      <w:r w:rsidRPr="00F867F2">
        <w:rPr>
          <w:rFonts w:ascii="Palatino Linotype" w:eastAsia="Palatino Linotype" w:hAnsi="Palatino Linotype" w:cs="Palatino Linotype"/>
        </w:rPr>
        <w:t>En razón de que fue debidamente sustanciado el expediente electrónico y no existe diligencia pendiente de desahogo, se emite la Resolución que conforme a Derecho proceda, y</w:t>
      </w:r>
    </w:p>
    <w:p w14:paraId="55363378" w14:textId="77777777" w:rsidR="00267BE2" w:rsidRPr="00F867F2" w:rsidRDefault="00267BE2">
      <w:pPr>
        <w:spacing w:line="360" w:lineRule="auto"/>
        <w:jc w:val="both"/>
        <w:rPr>
          <w:rFonts w:ascii="Palatino Linotype" w:eastAsia="Palatino Linotype" w:hAnsi="Palatino Linotype" w:cs="Palatino Linotype"/>
          <w:sz w:val="22"/>
          <w:szCs w:val="22"/>
        </w:rPr>
      </w:pPr>
    </w:p>
    <w:p w14:paraId="1B61735D" w14:textId="77777777" w:rsidR="00267BE2" w:rsidRPr="00F867F2" w:rsidRDefault="00675343">
      <w:pPr>
        <w:widowControl w:val="0"/>
        <w:numPr>
          <w:ilvl w:val="0"/>
          <w:numId w:val="1"/>
        </w:numPr>
        <w:pBdr>
          <w:top w:val="nil"/>
          <w:left w:val="nil"/>
          <w:bottom w:val="nil"/>
          <w:right w:val="nil"/>
          <w:between w:val="nil"/>
        </w:pBdr>
        <w:spacing w:line="360" w:lineRule="auto"/>
        <w:jc w:val="center"/>
        <w:rPr>
          <w:rFonts w:ascii="Palatino Linotype" w:eastAsia="Palatino Linotype" w:hAnsi="Palatino Linotype" w:cs="Palatino Linotype"/>
          <w:b/>
          <w:color w:val="000000"/>
        </w:rPr>
      </w:pPr>
      <w:r w:rsidRPr="00F867F2">
        <w:rPr>
          <w:rFonts w:ascii="Palatino Linotype" w:eastAsia="Palatino Linotype" w:hAnsi="Palatino Linotype" w:cs="Palatino Linotype"/>
          <w:b/>
          <w:color w:val="000000"/>
        </w:rPr>
        <w:t xml:space="preserve">C O N S I D E R A N D O </w:t>
      </w:r>
    </w:p>
    <w:p w14:paraId="0493786D" w14:textId="77777777" w:rsidR="00267BE2" w:rsidRPr="00F867F2" w:rsidRDefault="00267BE2">
      <w:pPr>
        <w:widowControl w:val="0"/>
        <w:pBdr>
          <w:top w:val="nil"/>
          <w:left w:val="nil"/>
          <w:bottom w:val="nil"/>
          <w:right w:val="nil"/>
          <w:between w:val="nil"/>
        </w:pBdr>
        <w:spacing w:line="360" w:lineRule="auto"/>
        <w:ind w:left="1080"/>
        <w:rPr>
          <w:rFonts w:ascii="Palatino Linotype" w:eastAsia="Palatino Linotype" w:hAnsi="Palatino Linotype" w:cs="Palatino Linotype"/>
          <w:b/>
          <w:color w:val="000000"/>
        </w:rPr>
      </w:pPr>
    </w:p>
    <w:p w14:paraId="287FA592" w14:textId="77777777" w:rsidR="00267BE2" w:rsidRPr="00F867F2" w:rsidRDefault="00675343">
      <w:pPr>
        <w:spacing w:line="360" w:lineRule="auto"/>
        <w:jc w:val="both"/>
        <w:rPr>
          <w:rFonts w:ascii="Palatino Linotype" w:eastAsia="Palatino Linotype" w:hAnsi="Palatino Linotype" w:cs="Palatino Linotype"/>
        </w:rPr>
      </w:pPr>
      <w:r w:rsidRPr="00F867F2">
        <w:rPr>
          <w:rFonts w:ascii="Palatino Linotype" w:eastAsia="Palatino Linotype" w:hAnsi="Palatino Linotype" w:cs="Palatino Linotype"/>
          <w:b/>
        </w:rPr>
        <w:t>PRIMERO. COMPETENCIA.</w:t>
      </w:r>
      <w:r w:rsidRPr="00F867F2">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w:t>
      </w:r>
      <w:r w:rsidRPr="00F867F2">
        <w:rPr>
          <w:rFonts w:ascii="Palatino Linotype" w:eastAsia="Palatino Linotype" w:hAnsi="Palatino Linotype" w:cs="Palatino Linotype"/>
          <w:b/>
        </w:rPr>
        <w:t>LA PARTE RECURRENTE</w:t>
      </w:r>
      <w:r w:rsidRPr="00F867F2">
        <w:rPr>
          <w:rFonts w:ascii="Palatino Linotype" w:eastAsia="Palatino Linotype" w:hAnsi="Palatino Linotype" w:cs="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43FF9FD1" w14:textId="77777777" w:rsidR="00267BE2" w:rsidRPr="00F867F2" w:rsidRDefault="00267BE2">
      <w:pPr>
        <w:spacing w:line="360" w:lineRule="auto"/>
        <w:jc w:val="both"/>
        <w:rPr>
          <w:rFonts w:ascii="Palatino Linotype" w:eastAsia="Palatino Linotype" w:hAnsi="Palatino Linotype" w:cs="Palatino Linotype"/>
        </w:rPr>
      </w:pPr>
    </w:p>
    <w:p w14:paraId="40A2DD3B" w14:textId="77777777" w:rsidR="00267BE2" w:rsidRPr="00F867F2" w:rsidRDefault="00675343">
      <w:pPr>
        <w:spacing w:line="360" w:lineRule="auto"/>
        <w:jc w:val="both"/>
        <w:rPr>
          <w:rFonts w:ascii="Palatino Linotype" w:eastAsia="Palatino Linotype" w:hAnsi="Palatino Linotype" w:cs="Palatino Linotype"/>
        </w:rPr>
      </w:pPr>
      <w:r w:rsidRPr="00F867F2">
        <w:rPr>
          <w:rFonts w:ascii="Palatino Linotype" w:eastAsia="Palatino Linotype" w:hAnsi="Palatino Linotype" w:cs="Palatino Linotype"/>
          <w:b/>
        </w:rPr>
        <w:t>SEGUNDO. OPORTUNIDAD Y PROCEDIBILIDAD DEL RECURSO DE REVISIÓN</w:t>
      </w:r>
      <w:r w:rsidRPr="00F867F2">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430E0523" w14:textId="77777777" w:rsidR="00267BE2" w:rsidRPr="00F867F2" w:rsidRDefault="00267BE2">
      <w:pPr>
        <w:spacing w:line="360" w:lineRule="auto"/>
        <w:jc w:val="both"/>
        <w:rPr>
          <w:rFonts w:ascii="Palatino Linotype" w:eastAsia="Palatino Linotype" w:hAnsi="Palatino Linotype" w:cs="Palatino Linotype"/>
        </w:rPr>
      </w:pPr>
    </w:p>
    <w:p w14:paraId="0BE7EE5A" w14:textId="77777777" w:rsidR="00267BE2" w:rsidRPr="00F867F2" w:rsidRDefault="00675343">
      <w:pPr>
        <w:spacing w:line="360" w:lineRule="auto"/>
        <w:jc w:val="both"/>
        <w:rPr>
          <w:rFonts w:ascii="Palatino Linotype" w:eastAsia="Palatino Linotype" w:hAnsi="Palatino Linotype" w:cs="Palatino Linotype"/>
        </w:rPr>
      </w:pPr>
      <w:r w:rsidRPr="00F867F2">
        <w:rPr>
          <w:rFonts w:ascii="Palatino Linotype" w:eastAsia="Palatino Linotype" w:hAnsi="Palatino Linotype" w:cs="Palatino Linotype"/>
        </w:rPr>
        <w:t xml:space="preserve">El recurso de revisión fue interpuesto dentro del plazo de quince días hábiles, previsto en el artículo 178 de la Ley de Transparencia, toda vez que </w:t>
      </w:r>
      <w:r w:rsidRPr="00F867F2">
        <w:rPr>
          <w:rFonts w:ascii="Palatino Linotype" w:eastAsia="Palatino Linotype" w:hAnsi="Palatino Linotype" w:cs="Palatino Linotype"/>
          <w:b/>
        </w:rPr>
        <w:t>EL SUJETO OBLIGADO</w:t>
      </w:r>
      <w:r w:rsidRPr="00F867F2">
        <w:rPr>
          <w:rFonts w:ascii="Palatino Linotype" w:eastAsia="Palatino Linotype" w:hAnsi="Palatino Linotype" w:cs="Palatino Linotype"/>
        </w:rPr>
        <w:t xml:space="preserve"> respondió a la solicitud de información el </w:t>
      </w:r>
      <w:r w:rsidRPr="00F867F2">
        <w:rPr>
          <w:rFonts w:ascii="Palatino Linotype" w:eastAsia="Palatino Linotype" w:hAnsi="Palatino Linotype" w:cs="Palatino Linotype"/>
          <w:b/>
        </w:rPr>
        <w:t xml:space="preserve">cinco de septiembre de dos mil veintidós, </w:t>
      </w:r>
      <w:r w:rsidRPr="00F867F2">
        <w:rPr>
          <w:rFonts w:ascii="Palatino Linotype" w:eastAsia="Palatino Linotype" w:hAnsi="Palatino Linotype" w:cs="Palatino Linotype"/>
        </w:rPr>
        <w:t xml:space="preserve">mientras que el recurso de revisión se interpuso el </w:t>
      </w:r>
      <w:r w:rsidRPr="00F867F2">
        <w:rPr>
          <w:rFonts w:ascii="Palatino Linotype" w:eastAsia="Palatino Linotype" w:hAnsi="Palatino Linotype" w:cs="Palatino Linotype"/>
          <w:b/>
        </w:rPr>
        <w:t>seis de septiembre de dos mil veintidós</w:t>
      </w:r>
      <w:r w:rsidRPr="00F867F2">
        <w:rPr>
          <w:rFonts w:ascii="Palatino Linotype" w:eastAsia="Palatino Linotype" w:hAnsi="Palatino Linotype" w:cs="Palatino Linotype"/>
        </w:rPr>
        <w:t xml:space="preserve">, esto es, al </w:t>
      </w:r>
      <w:r w:rsidRPr="00F867F2">
        <w:rPr>
          <w:rFonts w:ascii="Palatino Linotype" w:eastAsia="Palatino Linotype" w:hAnsi="Palatino Linotype" w:cs="Palatino Linotype"/>
          <w:b/>
        </w:rPr>
        <w:t>primer día hábil</w:t>
      </w:r>
      <w:r w:rsidRPr="00F867F2">
        <w:rPr>
          <w:rFonts w:ascii="Palatino Linotype" w:eastAsia="Palatino Linotype" w:hAnsi="Palatino Linotype" w:cs="Palatino Linotype"/>
        </w:rPr>
        <w:t xml:space="preserve"> posterior en que tuvo conocimiento de la respuesta. </w:t>
      </w:r>
    </w:p>
    <w:p w14:paraId="5BAFB5FB" w14:textId="77777777" w:rsidR="00267BE2" w:rsidRPr="00F867F2" w:rsidRDefault="00267BE2">
      <w:pPr>
        <w:spacing w:line="360" w:lineRule="auto"/>
        <w:jc w:val="both"/>
        <w:rPr>
          <w:rFonts w:ascii="Palatino Linotype" w:eastAsia="Palatino Linotype" w:hAnsi="Palatino Linotype" w:cs="Palatino Linotype"/>
        </w:rPr>
      </w:pPr>
    </w:p>
    <w:p w14:paraId="7EE53C5D" w14:textId="77777777" w:rsidR="00267BE2" w:rsidRPr="00F867F2" w:rsidRDefault="00675343">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F867F2">
        <w:rPr>
          <w:rFonts w:ascii="Palatino Linotype" w:eastAsia="Palatino Linotype" w:hAnsi="Palatino Linotype" w:cs="Palatino Linotype"/>
          <w:color w:val="000000"/>
        </w:rPr>
        <w:t xml:space="preserve">Asimismo, por cuanto hace a la procedibilidad del recurso de revisión, es de suma importancia señalar que </w:t>
      </w:r>
      <w:r w:rsidRPr="00F867F2">
        <w:rPr>
          <w:rFonts w:ascii="Palatino Linotype" w:eastAsia="Palatino Linotype" w:hAnsi="Palatino Linotype" w:cs="Palatino Linotype"/>
          <w:b/>
          <w:color w:val="000000"/>
        </w:rPr>
        <w:t>LA PARTE RECURRENTE</w:t>
      </w:r>
      <w:r w:rsidRPr="00F867F2">
        <w:rPr>
          <w:rFonts w:ascii="Palatino Linotype" w:eastAsia="Palatino Linotype" w:hAnsi="Palatino Linotype" w:cs="Palatino Linotype"/>
          <w:color w:val="000000"/>
        </w:rPr>
        <w:t>, no proporcionó nombre completo con el cual desea ser identificada,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3B49C85A" w14:textId="77777777" w:rsidR="00267BE2" w:rsidRPr="00F867F2" w:rsidRDefault="00267BE2">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14:paraId="1897F53F"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F867F2">
        <w:rPr>
          <w:rFonts w:ascii="Palatino Linotype" w:eastAsia="Palatino Linotype" w:hAnsi="Palatino Linotype" w:cs="Palatino Linotype"/>
          <w:i/>
          <w:color w:val="404040"/>
          <w:sz w:val="22"/>
          <w:szCs w:val="22"/>
        </w:rPr>
        <w:t xml:space="preserve">Las solicitudes anónimas, con nombre incompleto o seudónimo serán procedentes para su trámite por parte del sujeto obligado ante quien se presente. No podrá </w:t>
      </w:r>
      <w:r w:rsidRPr="00F867F2">
        <w:rPr>
          <w:rFonts w:ascii="Palatino Linotype" w:eastAsia="Palatino Linotype" w:hAnsi="Palatino Linotype" w:cs="Palatino Linotype"/>
          <w:i/>
          <w:color w:val="404040"/>
          <w:sz w:val="22"/>
          <w:szCs w:val="22"/>
        </w:rPr>
        <w:lastRenderedPageBreak/>
        <w:t>requerirse información adicional con motivo del nombre proporcionado por el solicitante.</w:t>
      </w:r>
    </w:p>
    <w:p w14:paraId="18A82F7B" w14:textId="77777777" w:rsidR="00267BE2" w:rsidRPr="00F867F2" w:rsidRDefault="00267BE2">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14:paraId="07324100" w14:textId="77777777" w:rsidR="00267BE2" w:rsidRPr="00F867F2" w:rsidRDefault="00675343">
      <w:pPr>
        <w:spacing w:line="360" w:lineRule="auto"/>
        <w:jc w:val="both"/>
        <w:rPr>
          <w:rFonts w:ascii="Palatino Linotype" w:eastAsia="Palatino Linotype" w:hAnsi="Palatino Linotype" w:cs="Palatino Linotype"/>
        </w:rPr>
      </w:pPr>
      <w:r w:rsidRPr="00F867F2">
        <w:rPr>
          <w:rFonts w:ascii="Palatino Linotype" w:eastAsia="Palatino Linotype" w:hAnsi="Palatino Linotype" w:cs="Palatino Linotype"/>
        </w:rPr>
        <w:t>Por ello,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2DF46322" w14:textId="77777777" w:rsidR="00267BE2" w:rsidRPr="00F867F2" w:rsidRDefault="00267BE2">
      <w:pPr>
        <w:spacing w:line="360" w:lineRule="auto"/>
        <w:jc w:val="both"/>
        <w:rPr>
          <w:rFonts w:ascii="Palatino Linotype" w:eastAsia="Palatino Linotype" w:hAnsi="Palatino Linotype" w:cs="Palatino Linotype"/>
        </w:rPr>
      </w:pPr>
    </w:p>
    <w:p w14:paraId="138BE9CB" w14:textId="77777777" w:rsidR="00267BE2" w:rsidRPr="00F867F2" w:rsidRDefault="00675343">
      <w:pPr>
        <w:spacing w:line="360" w:lineRule="auto"/>
        <w:jc w:val="both"/>
        <w:rPr>
          <w:rFonts w:ascii="Palatino Linotype" w:eastAsia="Palatino Linotype" w:hAnsi="Palatino Linotype" w:cs="Palatino Linotype"/>
        </w:rPr>
      </w:pPr>
      <w:r w:rsidRPr="00F867F2">
        <w:rPr>
          <w:rFonts w:ascii="Palatino Linotype" w:eastAsia="Palatino Linotype" w:hAnsi="Palatino Linotype" w:cs="Palatino Linotype"/>
        </w:rPr>
        <w:t xml:space="preserve">Finalmente, se advierte que resulta procedente la interposición del recurso, según lo manifestado por </w:t>
      </w:r>
      <w:r w:rsidRPr="00F867F2">
        <w:rPr>
          <w:rFonts w:ascii="Palatino Linotype" w:eastAsia="Palatino Linotype" w:hAnsi="Palatino Linotype" w:cs="Palatino Linotype"/>
          <w:b/>
        </w:rPr>
        <w:t xml:space="preserve">LA PARTE RECURRENTE </w:t>
      </w:r>
      <w:r w:rsidRPr="00F867F2">
        <w:rPr>
          <w:rFonts w:ascii="Palatino Linotype" w:eastAsia="Palatino Linotype" w:hAnsi="Palatino Linotype" w:cs="Palatino Linotype"/>
        </w:rPr>
        <w:t>en sus motivos de inconformidad, de acuerdo al artículo 179, fracciones I, IX y XIII del ordenamiento legal citado, que a la letra dice: </w:t>
      </w:r>
    </w:p>
    <w:p w14:paraId="7994CD6F" w14:textId="77777777" w:rsidR="00267BE2" w:rsidRPr="00F867F2" w:rsidRDefault="00267BE2">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14:paraId="5C9A2078"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F867F2">
        <w:rPr>
          <w:rFonts w:ascii="Palatino Linotype" w:eastAsia="Palatino Linotype" w:hAnsi="Palatino Linotype" w:cs="Palatino Linotype"/>
          <w:b/>
          <w:i/>
          <w:color w:val="404040"/>
          <w:sz w:val="22"/>
          <w:szCs w:val="22"/>
        </w:rPr>
        <w:t>Artículo 179.</w:t>
      </w:r>
      <w:r w:rsidRPr="00F867F2">
        <w:rPr>
          <w:rFonts w:ascii="Palatino Linotype" w:eastAsia="Palatino Linotype" w:hAnsi="Palatino Linotype" w:cs="Palatino Linotype"/>
          <w:i/>
          <w:color w:val="404040"/>
          <w:sz w:val="22"/>
          <w:szCs w:val="22"/>
        </w:rPr>
        <w:t xml:space="preserve"> El recurso de revisión es un medio de protección que la Ley otorga a los particulares, para hacer valer su derecho de acceso a la información pública, y procederá en contra de las siguientes causas:</w:t>
      </w:r>
    </w:p>
    <w:p w14:paraId="1FDC9342"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b/>
          <w:i/>
          <w:color w:val="404040"/>
          <w:sz w:val="22"/>
          <w:szCs w:val="22"/>
        </w:rPr>
      </w:pPr>
      <w:r w:rsidRPr="00F867F2">
        <w:rPr>
          <w:rFonts w:ascii="Palatino Linotype" w:eastAsia="Palatino Linotype" w:hAnsi="Palatino Linotype" w:cs="Palatino Linotype"/>
          <w:b/>
          <w:i/>
          <w:color w:val="404040"/>
          <w:sz w:val="22"/>
          <w:szCs w:val="22"/>
        </w:rPr>
        <w:t>I. La negativa a la información solicitada;</w:t>
      </w:r>
    </w:p>
    <w:p w14:paraId="6C0A0186"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b/>
          <w:i/>
          <w:color w:val="404040"/>
          <w:sz w:val="22"/>
          <w:szCs w:val="22"/>
        </w:rPr>
      </w:pPr>
      <w:r w:rsidRPr="00F867F2">
        <w:rPr>
          <w:rFonts w:ascii="Palatino Linotype" w:eastAsia="Palatino Linotype" w:hAnsi="Palatino Linotype" w:cs="Palatino Linotype"/>
          <w:b/>
          <w:i/>
          <w:color w:val="404040"/>
          <w:sz w:val="22"/>
          <w:szCs w:val="22"/>
        </w:rPr>
        <w:t>(…)</w:t>
      </w:r>
    </w:p>
    <w:p w14:paraId="56E95482"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b/>
          <w:i/>
          <w:color w:val="404040"/>
          <w:sz w:val="22"/>
          <w:szCs w:val="22"/>
        </w:rPr>
      </w:pPr>
      <w:r w:rsidRPr="00F867F2">
        <w:rPr>
          <w:rFonts w:ascii="Palatino Linotype" w:eastAsia="Palatino Linotype" w:hAnsi="Palatino Linotype" w:cs="Palatino Linotype"/>
          <w:b/>
          <w:i/>
          <w:color w:val="404040"/>
          <w:sz w:val="22"/>
          <w:szCs w:val="22"/>
        </w:rPr>
        <w:t>IX. La entrega o puesta a disposición de información en un formato incomprensible y/o no accesible para el solicitante;</w:t>
      </w:r>
    </w:p>
    <w:p w14:paraId="505BEF8B"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F867F2">
        <w:rPr>
          <w:rFonts w:ascii="Palatino Linotype" w:eastAsia="Palatino Linotype" w:hAnsi="Palatino Linotype" w:cs="Palatino Linotype"/>
          <w:i/>
          <w:color w:val="404040"/>
          <w:sz w:val="22"/>
          <w:szCs w:val="22"/>
        </w:rPr>
        <w:t>(…)</w:t>
      </w:r>
    </w:p>
    <w:p w14:paraId="72018C0C"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F867F2">
        <w:rPr>
          <w:rFonts w:ascii="Palatino Linotype" w:eastAsia="Palatino Linotype" w:hAnsi="Palatino Linotype" w:cs="Palatino Linotype"/>
          <w:b/>
          <w:i/>
          <w:color w:val="404040"/>
          <w:sz w:val="22"/>
          <w:szCs w:val="22"/>
        </w:rPr>
        <w:t xml:space="preserve">XIII. La falta, deficiencia o insuficiencia de la fundamentación y/o motivación en la respuesta; </w:t>
      </w:r>
      <w:r w:rsidRPr="00F867F2">
        <w:rPr>
          <w:rFonts w:ascii="Palatino Linotype" w:eastAsia="Palatino Linotype" w:hAnsi="Palatino Linotype" w:cs="Palatino Linotype"/>
          <w:i/>
          <w:color w:val="404040"/>
          <w:sz w:val="22"/>
          <w:szCs w:val="22"/>
        </w:rPr>
        <w:t>y</w:t>
      </w:r>
    </w:p>
    <w:p w14:paraId="40669F6C"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F867F2">
        <w:rPr>
          <w:rFonts w:ascii="Palatino Linotype" w:eastAsia="Palatino Linotype" w:hAnsi="Palatino Linotype" w:cs="Palatino Linotype"/>
          <w:i/>
          <w:color w:val="404040"/>
          <w:sz w:val="22"/>
          <w:szCs w:val="22"/>
        </w:rPr>
        <w:t>(…)</w:t>
      </w:r>
    </w:p>
    <w:p w14:paraId="3BFEBDD6" w14:textId="77777777" w:rsidR="00267BE2" w:rsidRPr="00F867F2" w:rsidRDefault="00267BE2">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14:paraId="36C59F26" w14:textId="77777777" w:rsidR="00267BE2" w:rsidRPr="00F867F2" w:rsidRDefault="00267BE2">
      <w:pPr>
        <w:rPr>
          <w:color w:val="FF0000"/>
        </w:rPr>
      </w:pPr>
    </w:p>
    <w:p w14:paraId="56773791" w14:textId="77777777" w:rsidR="00267BE2" w:rsidRPr="00F867F2" w:rsidRDefault="00675343">
      <w:pPr>
        <w:spacing w:line="360" w:lineRule="auto"/>
        <w:jc w:val="both"/>
        <w:rPr>
          <w:rFonts w:ascii="Palatino Linotype" w:eastAsia="Palatino Linotype" w:hAnsi="Palatino Linotype" w:cs="Palatino Linotype"/>
        </w:rPr>
      </w:pPr>
      <w:r w:rsidRPr="00F867F2">
        <w:rPr>
          <w:rFonts w:ascii="Palatino Linotype" w:eastAsia="Palatino Linotype" w:hAnsi="Palatino Linotype" w:cs="Palatino Linotype"/>
          <w:b/>
        </w:rPr>
        <w:t xml:space="preserve">TERCERO. MATERIA DE LA REVISIÓN. </w:t>
      </w:r>
      <w:r w:rsidRPr="00F867F2">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se pronunciará será: </w:t>
      </w:r>
      <w:r w:rsidRPr="00F867F2">
        <w:rPr>
          <w:rFonts w:ascii="Palatino Linotype" w:eastAsia="Palatino Linotype" w:hAnsi="Palatino Linotype" w:cs="Palatino Linotype"/>
          <w:b/>
        </w:rPr>
        <w:t xml:space="preserve">verificar si la respuesta otorgada por EL SUJETO OBLIGADO es adecuada y suficiente para satisfacer el Derecho </w:t>
      </w:r>
      <w:r w:rsidRPr="00F867F2">
        <w:rPr>
          <w:rFonts w:ascii="Palatino Linotype" w:eastAsia="Palatino Linotype" w:hAnsi="Palatino Linotype" w:cs="Palatino Linotype"/>
          <w:b/>
        </w:rPr>
        <w:lastRenderedPageBreak/>
        <w:t xml:space="preserve">de Acceso a la Información Pública </w:t>
      </w:r>
      <w:r w:rsidRPr="00F867F2">
        <w:rPr>
          <w:rFonts w:ascii="Palatino Linotype" w:eastAsia="Palatino Linotype" w:hAnsi="Palatino Linotype" w:cs="Palatino Linotype"/>
        </w:rPr>
        <w:t xml:space="preserve">de </w:t>
      </w:r>
      <w:r w:rsidRPr="00F867F2">
        <w:rPr>
          <w:rFonts w:ascii="Palatino Linotype" w:eastAsia="Palatino Linotype" w:hAnsi="Palatino Linotype" w:cs="Palatino Linotype"/>
          <w:b/>
        </w:rPr>
        <w:t>LA PARTE RECURRENTE,</w:t>
      </w:r>
      <w:r w:rsidRPr="00F867F2">
        <w:rPr>
          <w:rFonts w:ascii="Palatino Linotype" w:eastAsia="Palatino Linotype" w:hAnsi="Palatino Linotype" w:cs="Palatino Linotype"/>
        </w:rPr>
        <w:t xml:space="preserve"> o en su defecto, en caso de ser procedente, ordenar la entrega de información oportuna.</w:t>
      </w:r>
    </w:p>
    <w:p w14:paraId="369B8972" w14:textId="77777777" w:rsidR="00267BE2" w:rsidRPr="00F867F2" w:rsidRDefault="00267BE2">
      <w:pPr>
        <w:spacing w:line="360" w:lineRule="auto"/>
        <w:jc w:val="both"/>
        <w:rPr>
          <w:rFonts w:ascii="Palatino Linotype" w:eastAsia="Palatino Linotype" w:hAnsi="Palatino Linotype" w:cs="Palatino Linotype"/>
        </w:rPr>
      </w:pPr>
    </w:p>
    <w:p w14:paraId="07F4B71B" w14:textId="77777777" w:rsidR="00267BE2" w:rsidRPr="00F867F2" w:rsidRDefault="00675343">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F867F2">
        <w:rPr>
          <w:rFonts w:ascii="Palatino Linotype" w:eastAsia="Palatino Linotype" w:hAnsi="Palatino Linotype" w:cs="Palatino Linotype"/>
          <w:b/>
          <w:color w:val="000000"/>
        </w:rPr>
        <w:t xml:space="preserve">CUARTO. ESTUDIO DEL ASUNTO. </w:t>
      </w:r>
      <w:r w:rsidRPr="00F867F2">
        <w:rPr>
          <w:rFonts w:ascii="Palatino Linotype" w:eastAsia="Palatino Linotype" w:hAnsi="Palatino Linotype" w:cs="Palatino Linotype"/>
          <w:color w:val="000000"/>
        </w:rPr>
        <w:t xml:space="preserve">Antes de entrar al análisis de los pronunciamientos del </w:t>
      </w:r>
      <w:r w:rsidRPr="00F867F2">
        <w:rPr>
          <w:rFonts w:ascii="Palatino Linotype" w:eastAsia="Palatino Linotype" w:hAnsi="Palatino Linotype" w:cs="Palatino Linotype"/>
          <w:b/>
          <w:color w:val="000000"/>
        </w:rPr>
        <w:t>SUJETO OBLIGADO</w:t>
      </w:r>
      <w:r w:rsidRPr="00F867F2">
        <w:rPr>
          <w:rFonts w:ascii="Palatino Linotype" w:eastAsia="Palatino Linotype" w:hAnsi="Palatino Linotype" w:cs="Palatino Linotype"/>
          <w:color w:val="000000"/>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52212E5F" w14:textId="77777777" w:rsidR="00267BE2" w:rsidRPr="00F867F2" w:rsidRDefault="00267BE2">
      <w:pPr>
        <w:pBdr>
          <w:top w:val="nil"/>
          <w:left w:val="nil"/>
          <w:bottom w:val="nil"/>
          <w:right w:val="nil"/>
          <w:between w:val="nil"/>
        </w:pBdr>
        <w:ind w:left="864" w:right="864"/>
        <w:jc w:val="both"/>
        <w:rPr>
          <w:rFonts w:ascii="Palatino Linotype" w:eastAsia="Palatino Linotype" w:hAnsi="Palatino Linotype" w:cs="Palatino Linotype"/>
          <w:i/>
          <w:color w:val="404040"/>
        </w:rPr>
      </w:pPr>
    </w:p>
    <w:p w14:paraId="5DFCC8C1"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F867F2">
        <w:rPr>
          <w:rFonts w:ascii="Palatino Linotype" w:eastAsia="Palatino Linotype" w:hAnsi="Palatino Linotype" w:cs="Palatino Linotype"/>
          <w:b/>
          <w:i/>
          <w:color w:val="404040"/>
          <w:sz w:val="22"/>
          <w:szCs w:val="22"/>
          <w:u w:val="single"/>
        </w:rPr>
        <w:t>Artículo 1o. En los Estados Unidos Mexicanos todas las personas gozarán de los derechos humanos reconocidos en esta Constitución y en los tratados internacionales de los que el Estado Mexicano sea parte</w:t>
      </w:r>
      <w:r w:rsidRPr="00F867F2">
        <w:rPr>
          <w:rFonts w:ascii="Palatino Linotype" w:eastAsia="Palatino Linotype" w:hAnsi="Palatino Linotype" w:cs="Palatino Linotype"/>
          <w:i/>
          <w:color w:val="404040"/>
          <w:sz w:val="22"/>
          <w:szCs w:val="22"/>
        </w:rPr>
        <w:t>, así como de las garantías para su protección, cuyo ejercicio no podrá restringirse ni suspenderse, salvo en los casos y bajo las condiciones que esta Constitución establece.</w:t>
      </w:r>
    </w:p>
    <w:p w14:paraId="45AE7093" w14:textId="77777777" w:rsidR="00267BE2" w:rsidRPr="00F867F2" w:rsidRDefault="00267BE2"/>
    <w:p w14:paraId="502196C9"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b/>
          <w:i/>
          <w:color w:val="404040"/>
          <w:sz w:val="22"/>
          <w:szCs w:val="22"/>
        </w:rPr>
      </w:pPr>
      <w:r w:rsidRPr="00F867F2">
        <w:rPr>
          <w:rFonts w:ascii="Palatino Linotype" w:eastAsia="Palatino Linotype" w:hAnsi="Palatino Linotype" w:cs="Palatino Linotype"/>
          <w:b/>
          <w:i/>
          <w:color w:val="404040"/>
          <w:sz w:val="22"/>
          <w:szCs w:val="22"/>
        </w:rPr>
        <w:t>Las normas relativas a los derechos humanos se interpretarán de conformidad con esta Constitución y con los tratados internacionales de la materia favoreciendo en todo tiempo a las personas la protección más amplia.</w:t>
      </w:r>
    </w:p>
    <w:p w14:paraId="33A27FA0" w14:textId="77777777" w:rsidR="00267BE2" w:rsidRPr="00F867F2" w:rsidRDefault="00267BE2"/>
    <w:p w14:paraId="7C06F876"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rPr>
      </w:pPr>
      <w:r w:rsidRPr="00F867F2">
        <w:rPr>
          <w:rFonts w:ascii="Palatino Linotype" w:eastAsia="Palatino Linotype" w:hAnsi="Palatino Linotype" w:cs="Palatino Linotype"/>
          <w:b/>
          <w:i/>
          <w:color w:val="404040"/>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F867F2">
        <w:rPr>
          <w:rFonts w:ascii="Palatino Linotype" w:eastAsia="Palatino Linotype" w:hAnsi="Palatino Linotype" w:cs="Palatino Linotype"/>
          <w:i/>
          <w:color w:val="404040"/>
          <w:sz w:val="22"/>
          <w:szCs w:val="22"/>
        </w:rPr>
        <w:t xml:space="preserve"> En consecuencia, el Estado deberá prevenir, investigar, sancionar y reparar las violaciones a los derechos humanos, en los términos que establezca la ley.</w:t>
      </w:r>
    </w:p>
    <w:p w14:paraId="3276B0D1"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F867F2">
        <w:rPr>
          <w:rFonts w:ascii="Palatino Linotype" w:eastAsia="Palatino Linotype" w:hAnsi="Palatino Linotype" w:cs="Palatino Linotype"/>
          <w:i/>
          <w:color w:val="404040"/>
          <w:sz w:val="22"/>
          <w:szCs w:val="22"/>
        </w:rPr>
        <w:t>[…]</w:t>
      </w:r>
    </w:p>
    <w:p w14:paraId="0E6A15C6" w14:textId="77777777" w:rsidR="00267BE2" w:rsidRPr="00F867F2" w:rsidRDefault="00267BE2"/>
    <w:p w14:paraId="16D20A39"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rPr>
      </w:pPr>
      <w:r w:rsidRPr="00F867F2">
        <w:rPr>
          <w:rFonts w:ascii="Palatino Linotype" w:eastAsia="Palatino Linotype" w:hAnsi="Palatino Linotype" w:cs="Palatino Linotype"/>
          <w:b/>
          <w:i/>
          <w:color w:val="404040"/>
          <w:sz w:val="22"/>
          <w:szCs w:val="22"/>
        </w:rPr>
        <w:t>Artículo 6o.</w:t>
      </w:r>
    </w:p>
    <w:p w14:paraId="12DEF684"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rPr>
      </w:pPr>
      <w:r w:rsidRPr="00F867F2">
        <w:rPr>
          <w:rFonts w:ascii="Palatino Linotype" w:eastAsia="Palatino Linotype" w:hAnsi="Palatino Linotype" w:cs="Palatino Linotype"/>
          <w:i/>
          <w:color w:val="404040"/>
          <w:sz w:val="22"/>
          <w:szCs w:val="22"/>
        </w:rPr>
        <w:lastRenderedPageBreak/>
        <w:t>[...]</w:t>
      </w:r>
    </w:p>
    <w:p w14:paraId="0EA3D636"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F867F2">
        <w:rPr>
          <w:rFonts w:ascii="Palatino Linotype" w:eastAsia="Palatino Linotype" w:hAnsi="Palatino Linotype" w:cs="Palatino Linotype"/>
          <w:b/>
          <w:i/>
          <w:color w:val="404040"/>
          <w:sz w:val="22"/>
          <w:szCs w:val="22"/>
        </w:rPr>
        <w:t xml:space="preserve">A. Para el ejercicio del derecho de acceso a la información, la Federación y </w:t>
      </w:r>
      <w:r w:rsidRPr="00F867F2">
        <w:rPr>
          <w:rFonts w:ascii="Palatino Linotype" w:eastAsia="Palatino Linotype" w:hAnsi="Palatino Linotype" w:cs="Palatino Linotype"/>
          <w:b/>
          <w:i/>
          <w:color w:val="404040"/>
          <w:sz w:val="22"/>
          <w:szCs w:val="22"/>
          <w:u w:val="single"/>
        </w:rPr>
        <w:t>las entidades federativas</w:t>
      </w:r>
      <w:r w:rsidRPr="00F867F2">
        <w:rPr>
          <w:rFonts w:ascii="Palatino Linotype" w:eastAsia="Palatino Linotype" w:hAnsi="Palatino Linotype" w:cs="Palatino Linotype"/>
          <w:b/>
          <w:i/>
          <w:color w:val="404040"/>
          <w:sz w:val="22"/>
          <w:szCs w:val="22"/>
        </w:rPr>
        <w:t>,</w:t>
      </w:r>
      <w:r w:rsidRPr="00F867F2">
        <w:rPr>
          <w:rFonts w:ascii="Palatino Linotype" w:eastAsia="Palatino Linotype" w:hAnsi="Palatino Linotype" w:cs="Palatino Linotype"/>
          <w:i/>
          <w:color w:val="404040"/>
          <w:sz w:val="22"/>
          <w:szCs w:val="22"/>
        </w:rPr>
        <w:t xml:space="preserve"> en el ámbito de sus respectivas competencias, se regirán por los siguientes principios y bases:</w:t>
      </w:r>
    </w:p>
    <w:p w14:paraId="3E5D8832"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F867F2">
        <w:rPr>
          <w:rFonts w:ascii="Palatino Linotype" w:eastAsia="Palatino Linotype" w:hAnsi="Palatino Linotype" w:cs="Palatino Linotype"/>
          <w:i/>
          <w:color w:val="404040"/>
          <w:sz w:val="22"/>
          <w:szCs w:val="22"/>
        </w:rPr>
        <w:t> </w:t>
      </w:r>
      <w:r w:rsidRPr="00F867F2">
        <w:rPr>
          <w:rFonts w:ascii="Palatino Linotype" w:eastAsia="Palatino Linotype" w:hAnsi="Palatino Linotype" w:cs="Palatino Linotype"/>
          <w:b/>
          <w:i/>
          <w:color w:val="404040"/>
          <w:sz w:val="22"/>
          <w:szCs w:val="22"/>
        </w:rPr>
        <w:t xml:space="preserve">I. </w:t>
      </w:r>
      <w:r w:rsidRPr="00F867F2">
        <w:rPr>
          <w:rFonts w:ascii="Palatino Linotype" w:eastAsia="Palatino Linotype" w:hAnsi="Palatino Linotype" w:cs="Palatino Linotype"/>
          <w:b/>
          <w:i/>
          <w:color w:val="404040"/>
          <w:sz w:val="22"/>
          <w:szCs w:val="22"/>
          <w:u w:val="single"/>
        </w:rPr>
        <w:t>Toda la información en posesión de cualquier autoridad, entidad, órgano y organismo de los Poderes</w:t>
      </w:r>
      <w:r w:rsidRPr="00F867F2">
        <w:rPr>
          <w:rFonts w:ascii="Palatino Linotype" w:eastAsia="Palatino Linotype" w:hAnsi="Palatino Linotype" w:cs="Palatino Linotype"/>
          <w:i/>
          <w:color w:val="404040"/>
          <w:sz w:val="22"/>
          <w:szCs w:val="22"/>
        </w:rPr>
        <w:t xml:space="preserve"> Ejecutivo, Legislativo </w:t>
      </w:r>
      <w:r w:rsidRPr="00F867F2">
        <w:rPr>
          <w:rFonts w:ascii="Palatino Linotype" w:eastAsia="Palatino Linotype" w:hAnsi="Palatino Linotype" w:cs="Palatino Linotype"/>
          <w:b/>
          <w:i/>
          <w:color w:val="404040"/>
          <w:sz w:val="22"/>
          <w:szCs w:val="22"/>
          <w:u w:val="single"/>
        </w:rPr>
        <w:t>y Judicial</w:t>
      </w:r>
      <w:r w:rsidRPr="00F867F2">
        <w:rPr>
          <w:rFonts w:ascii="Palatino Linotype" w:eastAsia="Palatino Linotype" w:hAnsi="Palatino Linotype" w:cs="Palatino Linotype"/>
          <w:i/>
          <w:color w:val="404040"/>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F867F2">
        <w:rPr>
          <w:rFonts w:ascii="Palatino Linotype" w:eastAsia="Palatino Linotype" w:hAnsi="Palatino Linotype" w:cs="Palatino Linotype"/>
          <w:b/>
          <w:i/>
          <w:color w:val="404040"/>
          <w:sz w:val="22"/>
          <w:szCs w:val="22"/>
        </w:rPr>
        <w:t>es pública y sólo podrá ser reservada temporalmente por razones de interés público y seguridad nacional,</w:t>
      </w:r>
      <w:r w:rsidRPr="00F867F2">
        <w:rPr>
          <w:rFonts w:ascii="Palatino Linotype" w:eastAsia="Palatino Linotype" w:hAnsi="Palatino Linotype" w:cs="Palatino Linotype"/>
          <w:i/>
          <w:color w:val="404040"/>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53EB0F2" w14:textId="77777777" w:rsidR="00267BE2" w:rsidRPr="00F867F2" w:rsidRDefault="00267BE2"/>
    <w:p w14:paraId="7116F207"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b/>
          <w:i/>
          <w:color w:val="404040"/>
          <w:sz w:val="22"/>
          <w:szCs w:val="22"/>
        </w:rPr>
      </w:pPr>
      <w:r w:rsidRPr="00F867F2">
        <w:rPr>
          <w:rFonts w:ascii="Palatino Linotype" w:eastAsia="Palatino Linotype" w:hAnsi="Palatino Linotype" w:cs="Palatino Linotype"/>
          <w:i/>
          <w:color w:val="404040"/>
          <w:sz w:val="22"/>
          <w:szCs w:val="22"/>
        </w:rPr>
        <w:t> </w:t>
      </w:r>
      <w:r w:rsidRPr="00F867F2">
        <w:rPr>
          <w:rFonts w:ascii="Palatino Linotype" w:eastAsia="Palatino Linotype" w:hAnsi="Palatino Linotype" w:cs="Palatino Linotype"/>
          <w:b/>
          <w:i/>
          <w:color w:val="404040"/>
          <w:sz w:val="22"/>
          <w:szCs w:val="22"/>
        </w:rPr>
        <w:t>II. La información que se refiere a la vida privada y los datos personales será protegida en los términos y con las excepciones que fijen las leyes.</w:t>
      </w:r>
    </w:p>
    <w:p w14:paraId="184FE6A3" w14:textId="77777777" w:rsidR="00267BE2" w:rsidRPr="00F867F2" w:rsidRDefault="00267BE2"/>
    <w:p w14:paraId="4C4FCADD"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F867F2">
        <w:rPr>
          <w:rFonts w:ascii="Palatino Linotype" w:eastAsia="Palatino Linotype" w:hAnsi="Palatino Linotype" w:cs="Palatino Linotype"/>
          <w:i/>
          <w:color w:val="404040"/>
          <w:sz w:val="22"/>
          <w:szCs w:val="22"/>
        </w:rPr>
        <w:t> </w:t>
      </w:r>
      <w:r w:rsidRPr="00F867F2">
        <w:rPr>
          <w:rFonts w:ascii="Palatino Linotype" w:eastAsia="Palatino Linotype" w:hAnsi="Palatino Linotype" w:cs="Palatino Linotype"/>
          <w:b/>
          <w:i/>
          <w:color w:val="404040"/>
          <w:sz w:val="22"/>
          <w:szCs w:val="22"/>
        </w:rPr>
        <w:t xml:space="preserve">III. </w:t>
      </w:r>
      <w:r w:rsidRPr="00F867F2">
        <w:rPr>
          <w:rFonts w:ascii="Palatino Linotype" w:eastAsia="Palatino Linotype" w:hAnsi="Palatino Linotype" w:cs="Palatino Linotype"/>
          <w:b/>
          <w:i/>
          <w:color w:val="404040"/>
          <w:sz w:val="22"/>
          <w:szCs w:val="22"/>
          <w:u w:val="single"/>
        </w:rPr>
        <w:t>Toda persona, sin necesidad de acreditar interés alguno o justificar su utilización, tendrá acceso gratuito a la información pública,</w:t>
      </w:r>
      <w:r w:rsidRPr="00F867F2">
        <w:rPr>
          <w:rFonts w:ascii="Palatino Linotype" w:eastAsia="Palatino Linotype" w:hAnsi="Palatino Linotype" w:cs="Palatino Linotype"/>
          <w:i/>
          <w:color w:val="404040"/>
          <w:sz w:val="22"/>
          <w:szCs w:val="22"/>
        </w:rPr>
        <w:t xml:space="preserve"> a sus datos personales o a la rectificación de éstos.</w:t>
      </w:r>
    </w:p>
    <w:p w14:paraId="2C265D59" w14:textId="77777777" w:rsidR="00267BE2" w:rsidRPr="00F867F2" w:rsidRDefault="00267BE2"/>
    <w:p w14:paraId="56D7E9BC"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F867F2">
        <w:rPr>
          <w:rFonts w:ascii="Palatino Linotype" w:eastAsia="Palatino Linotype" w:hAnsi="Palatino Linotype" w:cs="Palatino Linotype"/>
          <w:i/>
          <w:color w:val="404040"/>
          <w:sz w:val="22"/>
          <w:szCs w:val="22"/>
        </w:rPr>
        <w:t> </w:t>
      </w:r>
      <w:r w:rsidRPr="00F867F2">
        <w:rPr>
          <w:rFonts w:ascii="Palatino Linotype" w:eastAsia="Palatino Linotype" w:hAnsi="Palatino Linotype" w:cs="Palatino Linotype"/>
          <w:b/>
          <w:i/>
          <w:color w:val="404040"/>
          <w:sz w:val="22"/>
          <w:szCs w:val="22"/>
        </w:rPr>
        <w:t xml:space="preserve">IV. </w:t>
      </w:r>
      <w:r w:rsidRPr="00F867F2">
        <w:rPr>
          <w:rFonts w:ascii="Palatino Linotype" w:eastAsia="Palatino Linotype" w:hAnsi="Palatino Linotype" w:cs="Palatino Linotype"/>
          <w:i/>
          <w:color w:val="404040"/>
          <w:sz w:val="22"/>
          <w:szCs w:val="22"/>
        </w:rPr>
        <w:t>Se establecerán mecanismos de acceso a la información y procedimientos de revisión expeditos que se sustanciarán ante los organismos autónomos especializados e imparciales que establece esta Constitución.</w:t>
      </w:r>
    </w:p>
    <w:p w14:paraId="342EB94C" w14:textId="77777777" w:rsidR="00267BE2" w:rsidRPr="00F867F2" w:rsidRDefault="00267BE2"/>
    <w:p w14:paraId="7F8776F1"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F867F2">
        <w:rPr>
          <w:rFonts w:ascii="Palatino Linotype" w:eastAsia="Palatino Linotype" w:hAnsi="Palatino Linotype" w:cs="Palatino Linotype"/>
          <w:b/>
          <w:i/>
          <w:color w:val="404040"/>
          <w:sz w:val="22"/>
          <w:szCs w:val="22"/>
        </w:rPr>
        <w:t xml:space="preserve">V. </w:t>
      </w:r>
      <w:r w:rsidRPr="00F867F2">
        <w:rPr>
          <w:rFonts w:ascii="Palatino Linotype" w:eastAsia="Palatino Linotype" w:hAnsi="Palatino Linotype" w:cs="Palatino Linotype"/>
          <w:i/>
          <w:color w:val="404040"/>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0AEAEFB1" w14:textId="77777777" w:rsidR="00267BE2" w:rsidRPr="00F867F2" w:rsidRDefault="00267BE2"/>
    <w:p w14:paraId="71FA21C1"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F867F2">
        <w:rPr>
          <w:rFonts w:ascii="Palatino Linotype" w:eastAsia="Palatino Linotype" w:hAnsi="Palatino Linotype" w:cs="Palatino Linotype"/>
          <w:i/>
          <w:color w:val="404040"/>
          <w:sz w:val="22"/>
          <w:szCs w:val="22"/>
        </w:rPr>
        <w:t> </w:t>
      </w:r>
      <w:r w:rsidRPr="00F867F2">
        <w:rPr>
          <w:rFonts w:ascii="Palatino Linotype" w:eastAsia="Palatino Linotype" w:hAnsi="Palatino Linotype" w:cs="Palatino Linotype"/>
          <w:b/>
          <w:i/>
          <w:color w:val="404040"/>
          <w:sz w:val="22"/>
          <w:szCs w:val="22"/>
        </w:rPr>
        <w:t xml:space="preserve">VI. </w:t>
      </w:r>
      <w:r w:rsidRPr="00F867F2">
        <w:rPr>
          <w:rFonts w:ascii="Palatino Linotype" w:eastAsia="Palatino Linotype" w:hAnsi="Palatino Linotype" w:cs="Palatino Linotype"/>
          <w:i/>
          <w:color w:val="404040"/>
          <w:sz w:val="22"/>
          <w:szCs w:val="22"/>
        </w:rPr>
        <w:t>Las leyes determinarán la manera en que los sujetos obligados deberán hacer pública la información relativa a los recursos públicos que entreguen a personas físicas o morales.</w:t>
      </w:r>
    </w:p>
    <w:p w14:paraId="23EDDBC1" w14:textId="77777777" w:rsidR="00267BE2" w:rsidRPr="00F867F2" w:rsidRDefault="00267BE2"/>
    <w:p w14:paraId="771451A7"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F867F2">
        <w:rPr>
          <w:rFonts w:ascii="Palatino Linotype" w:eastAsia="Palatino Linotype" w:hAnsi="Palatino Linotype" w:cs="Palatino Linotype"/>
          <w:i/>
          <w:color w:val="404040"/>
          <w:sz w:val="22"/>
          <w:szCs w:val="22"/>
        </w:rPr>
        <w:t> </w:t>
      </w:r>
      <w:r w:rsidRPr="00F867F2">
        <w:rPr>
          <w:rFonts w:ascii="Palatino Linotype" w:eastAsia="Palatino Linotype" w:hAnsi="Palatino Linotype" w:cs="Palatino Linotype"/>
          <w:b/>
          <w:i/>
          <w:color w:val="404040"/>
          <w:sz w:val="22"/>
          <w:szCs w:val="22"/>
        </w:rPr>
        <w:t xml:space="preserve">VII. </w:t>
      </w:r>
      <w:r w:rsidRPr="00F867F2">
        <w:rPr>
          <w:rFonts w:ascii="Palatino Linotype" w:eastAsia="Palatino Linotype" w:hAnsi="Palatino Linotype" w:cs="Palatino Linotype"/>
          <w:i/>
          <w:color w:val="404040"/>
          <w:sz w:val="22"/>
          <w:szCs w:val="22"/>
        </w:rPr>
        <w:t xml:space="preserve">La inobservancia a las disposiciones en materia de acceso a la información pública será sancionada en los términos que dispongan las leyes. </w:t>
      </w:r>
    </w:p>
    <w:p w14:paraId="618D6C00"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F867F2">
        <w:rPr>
          <w:rFonts w:ascii="Palatino Linotype" w:eastAsia="Palatino Linotype" w:hAnsi="Palatino Linotype" w:cs="Palatino Linotype"/>
          <w:i/>
          <w:color w:val="404040"/>
          <w:sz w:val="22"/>
          <w:szCs w:val="22"/>
        </w:rPr>
        <w:t>[...]</w:t>
      </w:r>
    </w:p>
    <w:p w14:paraId="0975316B" w14:textId="77777777" w:rsidR="00267BE2" w:rsidRPr="00F867F2" w:rsidRDefault="00267BE2"/>
    <w:p w14:paraId="6FF57B2F" w14:textId="77777777" w:rsidR="00267BE2" w:rsidRPr="00F867F2" w:rsidRDefault="00675343">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F867F2">
        <w:rPr>
          <w:rFonts w:ascii="Palatino Linotype" w:eastAsia="Palatino Linotype" w:hAnsi="Palatino Linotype" w:cs="Palatino Linotype"/>
          <w:color w:val="000000"/>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3783A573" w14:textId="77777777" w:rsidR="00267BE2" w:rsidRPr="00F867F2" w:rsidRDefault="00267BE2">
      <w:pPr>
        <w:pBdr>
          <w:top w:val="nil"/>
          <w:left w:val="nil"/>
          <w:bottom w:val="nil"/>
          <w:right w:val="nil"/>
          <w:between w:val="nil"/>
        </w:pBdr>
        <w:ind w:left="864" w:right="864"/>
        <w:jc w:val="both"/>
        <w:rPr>
          <w:rFonts w:ascii="Palatino Linotype" w:eastAsia="Palatino Linotype" w:hAnsi="Palatino Linotype" w:cs="Palatino Linotype"/>
          <w:b/>
          <w:i/>
          <w:color w:val="404040"/>
          <w:sz w:val="22"/>
          <w:szCs w:val="22"/>
        </w:rPr>
      </w:pPr>
    </w:p>
    <w:p w14:paraId="506EEB7E"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F867F2">
        <w:rPr>
          <w:rFonts w:ascii="Palatino Linotype" w:eastAsia="Palatino Linotype" w:hAnsi="Palatino Linotype" w:cs="Palatino Linotype"/>
          <w:b/>
          <w:i/>
          <w:color w:val="404040"/>
          <w:sz w:val="22"/>
          <w:szCs w:val="22"/>
        </w:rPr>
        <w:t>Artículo 4</w:t>
      </w:r>
      <w:r w:rsidRPr="00F867F2">
        <w:rPr>
          <w:rFonts w:ascii="Palatino Linotype" w:eastAsia="Palatino Linotype" w:hAnsi="Palatino Linotype" w:cs="Palatino Linotype"/>
          <w:i/>
          <w:color w:val="404040"/>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4A4D1BE3" w14:textId="77777777" w:rsidR="00267BE2" w:rsidRPr="00F867F2" w:rsidRDefault="00267BE2"/>
    <w:p w14:paraId="0B33A883"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b/>
          <w:i/>
          <w:color w:val="404040"/>
          <w:sz w:val="22"/>
          <w:szCs w:val="22"/>
        </w:rPr>
      </w:pPr>
      <w:r w:rsidRPr="00F867F2">
        <w:rPr>
          <w:rFonts w:ascii="Palatino Linotype" w:eastAsia="Palatino Linotype" w:hAnsi="Palatino Linotype" w:cs="Palatino Linotype"/>
          <w:b/>
          <w:i/>
          <w:color w:val="404040"/>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7D46349" w14:textId="77777777" w:rsidR="00267BE2" w:rsidRPr="00F867F2" w:rsidRDefault="00267BE2"/>
    <w:p w14:paraId="09F1BC1E"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000000"/>
          <w:sz w:val="22"/>
          <w:szCs w:val="22"/>
        </w:rPr>
      </w:pPr>
      <w:r w:rsidRPr="00F867F2">
        <w:rPr>
          <w:rFonts w:ascii="Palatino Linotype" w:eastAsia="Palatino Linotype" w:hAnsi="Palatino Linotype" w:cs="Palatino Linotype"/>
          <w:i/>
          <w:color w:val="000000"/>
          <w:sz w:val="22"/>
          <w:szCs w:val="22"/>
        </w:rPr>
        <w:t>Los sujetos obligados deben poner en práctica, políticas y programas de acceso a la información que se apeguen a criterios de publicidad, veracidad, oportunidad, precisión y suficiencia en beneficio de los solicitantes.</w:t>
      </w:r>
    </w:p>
    <w:p w14:paraId="19CA8126" w14:textId="77777777" w:rsidR="00267BE2" w:rsidRPr="00F867F2" w:rsidRDefault="00267BE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8C955C4" w14:textId="77777777" w:rsidR="00267BE2" w:rsidRPr="00F867F2" w:rsidRDefault="00675343">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F867F2">
        <w:rPr>
          <w:rFonts w:ascii="Palatino Linotype" w:eastAsia="Palatino Linotype" w:hAnsi="Palatino Linotype" w:cs="Palatino Linotype"/>
          <w:color w:val="000000"/>
        </w:rPr>
        <w:lastRenderedPageBreak/>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2EEBF434" w14:textId="77777777" w:rsidR="00267BE2" w:rsidRPr="00F867F2" w:rsidRDefault="00267BE2">
      <w:pPr>
        <w:pBdr>
          <w:top w:val="nil"/>
          <w:left w:val="nil"/>
          <w:bottom w:val="nil"/>
          <w:right w:val="nil"/>
          <w:between w:val="nil"/>
        </w:pBdr>
        <w:ind w:left="864" w:right="864"/>
        <w:jc w:val="both"/>
        <w:rPr>
          <w:i/>
          <w:color w:val="404040"/>
        </w:rPr>
      </w:pPr>
    </w:p>
    <w:p w14:paraId="2D044AFB"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F867F2">
        <w:rPr>
          <w:rFonts w:ascii="Palatino Linotype" w:eastAsia="Palatino Linotype" w:hAnsi="Palatino Linotype" w:cs="Palatino Linotype"/>
          <w:b/>
          <w:i/>
          <w:color w:val="404040"/>
          <w:sz w:val="22"/>
          <w:szCs w:val="22"/>
        </w:rPr>
        <w:t>Artículo 12</w:t>
      </w:r>
      <w:r w:rsidRPr="00F867F2">
        <w:rPr>
          <w:rFonts w:ascii="Palatino Linotype" w:eastAsia="Palatino Linotype" w:hAnsi="Palatino Linotype" w:cs="Palatino Linotype"/>
          <w:i/>
          <w:color w:val="404040"/>
          <w:sz w:val="22"/>
          <w:szCs w:val="22"/>
        </w:rPr>
        <w:t>. Quienes generen, recopilen, administren, manejen, procesen, archiven o conserven información pública serán responsables de la misma en los términos de las disposiciones jurídicas aplicables. </w:t>
      </w:r>
    </w:p>
    <w:p w14:paraId="18BD3BBA" w14:textId="77777777" w:rsidR="00267BE2" w:rsidRPr="00F867F2" w:rsidRDefault="00267BE2"/>
    <w:p w14:paraId="2EA91F6B"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F867F2">
        <w:rPr>
          <w:rFonts w:ascii="Palatino Linotype" w:eastAsia="Palatino Linotype" w:hAnsi="Palatino Linotype" w:cs="Palatino Linotype"/>
          <w:i/>
          <w:color w:val="404040"/>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29272556" w14:textId="77777777" w:rsidR="00267BE2" w:rsidRPr="00F867F2" w:rsidRDefault="00267BE2">
      <w:pPr>
        <w:pBdr>
          <w:top w:val="nil"/>
          <w:left w:val="nil"/>
          <w:bottom w:val="nil"/>
          <w:right w:val="nil"/>
          <w:between w:val="nil"/>
        </w:pBdr>
        <w:ind w:left="864" w:right="864"/>
        <w:jc w:val="both"/>
        <w:rPr>
          <w:i/>
          <w:color w:val="404040"/>
        </w:rPr>
      </w:pPr>
    </w:p>
    <w:p w14:paraId="5DD0296F" w14:textId="77777777" w:rsidR="00267BE2" w:rsidRPr="00F867F2" w:rsidRDefault="00675343">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F867F2">
        <w:rPr>
          <w:rFonts w:ascii="Palatino Linotype" w:eastAsia="Palatino Linotype" w:hAnsi="Palatino Linotype" w:cs="Palatino Linotype"/>
          <w:color w:val="000000"/>
        </w:rPr>
        <w:t>Es decir, que el Derecho de Acceso a la Información Pública se satisface en aquellos casos en que se entregue documento en que conste la información requerida, toda vez que, los Sujetos Obligados</w:t>
      </w:r>
      <w:r w:rsidRPr="00F867F2">
        <w:rPr>
          <w:rFonts w:ascii="Palatino Linotype" w:eastAsia="Palatino Linotype" w:hAnsi="Palatino Linotype" w:cs="Palatino Linotype"/>
          <w:b/>
          <w:color w:val="000000"/>
        </w:rPr>
        <w:t xml:space="preserve"> </w:t>
      </w:r>
      <w:r w:rsidRPr="00F867F2">
        <w:rPr>
          <w:rFonts w:ascii="Palatino Linotype" w:eastAsia="Palatino Linotype" w:hAnsi="Palatino Linotype" w:cs="Palatino Linotype"/>
          <w:color w:val="000000"/>
        </w:rPr>
        <w:t xml:space="preserve">no tienen el deber de generar, poseer o administrar la información pública con el grado de detalle solicitado; esto es, que no tienen el deber de generar un documento </w:t>
      </w:r>
      <w:r w:rsidRPr="00F867F2">
        <w:rPr>
          <w:rFonts w:ascii="Palatino Linotype" w:eastAsia="Palatino Linotype" w:hAnsi="Palatino Linotype" w:cs="Palatino Linotype"/>
          <w:i/>
          <w:color w:val="000000"/>
        </w:rPr>
        <w:t>ad hoc</w:t>
      </w:r>
      <w:r w:rsidRPr="00F867F2">
        <w:rPr>
          <w:rFonts w:ascii="Palatino Linotype" w:eastAsia="Palatino Linotype" w:hAnsi="Palatino Linotype" w:cs="Palatino Linotype"/>
          <w:color w:val="000000"/>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15D27552" w14:textId="77777777" w:rsidR="00267BE2" w:rsidRPr="00F867F2" w:rsidRDefault="00267BE2">
      <w:pPr>
        <w:pBdr>
          <w:top w:val="nil"/>
          <w:left w:val="nil"/>
          <w:bottom w:val="nil"/>
          <w:right w:val="nil"/>
          <w:between w:val="nil"/>
        </w:pBdr>
        <w:spacing w:line="360" w:lineRule="auto"/>
        <w:jc w:val="both"/>
        <w:rPr>
          <w:color w:val="000000"/>
        </w:rPr>
      </w:pPr>
    </w:p>
    <w:p w14:paraId="45EB9724"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F867F2">
        <w:rPr>
          <w:rFonts w:ascii="Palatino Linotype" w:eastAsia="Palatino Linotype" w:hAnsi="Palatino Linotype" w:cs="Palatino Linotype"/>
          <w:i/>
          <w:color w:val="404040"/>
          <w:sz w:val="22"/>
          <w:szCs w:val="22"/>
        </w:rPr>
        <w:t>03/17</w:t>
      </w:r>
    </w:p>
    <w:p w14:paraId="7A121D70"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F867F2">
        <w:rPr>
          <w:rFonts w:ascii="Palatino Linotype" w:eastAsia="Palatino Linotype" w:hAnsi="Palatino Linotype" w:cs="Palatino Linotype"/>
          <w:i/>
          <w:color w:val="404040"/>
          <w:sz w:val="22"/>
          <w:szCs w:val="22"/>
        </w:rPr>
        <w:t>NO EXISTE OBLIGACIÓN DE ELABORAR DOCUMENTOS AD HOC PARA ATENDER LAS SOLICITUDES DE ACCESO A LA INFORMACIÓN.</w:t>
      </w:r>
    </w:p>
    <w:p w14:paraId="240037F7"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F867F2">
        <w:rPr>
          <w:rFonts w:ascii="Palatino Linotype" w:eastAsia="Palatino Linotype" w:hAnsi="Palatino Linotype" w:cs="Palatino Linotype"/>
          <w:i/>
          <w:color w:val="404040"/>
          <w:sz w:val="22"/>
          <w:szCs w:val="22"/>
        </w:rPr>
        <w:t xml:space="preserve">Los artículos 129 de la Ley General de Transparencia y Acceso a la Información Pública y 130, párrafo cuarto, de la Ley Federal de Transparencia y Acceso a la </w:t>
      </w:r>
      <w:r w:rsidRPr="00F867F2">
        <w:rPr>
          <w:rFonts w:ascii="Palatino Linotype" w:eastAsia="Palatino Linotype" w:hAnsi="Palatino Linotype" w:cs="Palatino Linotype"/>
          <w:i/>
          <w:color w:val="404040"/>
          <w:sz w:val="22"/>
          <w:szCs w:val="22"/>
        </w:rPr>
        <w:lastRenderedPageBreak/>
        <w:t>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376FD653" w14:textId="77777777" w:rsidR="00267BE2" w:rsidRPr="00F867F2" w:rsidRDefault="00267BE2">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14:paraId="587DEE97" w14:textId="77777777" w:rsidR="00267BE2" w:rsidRPr="00F867F2" w:rsidRDefault="00675343">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F867F2">
        <w:rPr>
          <w:rFonts w:ascii="Palatino Linotype" w:eastAsia="Palatino Linotype" w:hAnsi="Palatino Linotype" w:cs="Palatino Linotype"/>
          <w:color w:val="000000"/>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7236F8C9" w14:textId="77777777" w:rsidR="00267BE2" w:rsidRPr="00F867F2" w:rsidRDefault="00267BE2">
      <w:pPr>
        <w:pBdr>
          <w:top w:val="nil"/>
          <w:left w:val="nil"/>
          <w:bottom w:val="nil"/>
          <w:right w:val="nil"/>
          <w:between w:val="nil"/>
        </w:pBdr>
        <w:spacing w:line="360" w:lineRule="auto"/>
        <w:jc w:val="both"/>
        <w:rPr>
          <w:color w:val="000000"/>
        </w:rPr>
      </w:pPr>
    </w:p>
    <w:p w14:paraId="41F3205E" w14:textId="77777777" w:rsidR="00267BE2" w:rsidRPr="00F867F2" w:rsidRDefault="00675343">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F867F2">
        <w:rPr>
          <w:rFonts w:ascii="Palatino Linotype" w:eastAsia="Palatino Linotype" w:hAnsi="Palatino Linotype" w:cs="Palatino Linotype"/>
          <w:color w:val="000000"/>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272D9EFA" w14:textId="77777777" w:rsidR="00267BE2" w:rsidRPr="00F867F2" w:rsidRDefault="00267BE2">
      <w:pPr>
        <w:pBdr>
          <w:top w:val="nil"/>
          <w:left w:val="nil"/>
          <w:bottom w:val="nil"/>
          <w:right w:val="nil"/>
          <w:between w:val="nil"/>
        </w:pBdr>
        <w:spacing w:line="360" w:lineRule="auto"/>
        <w:ind w:right="49"/>
        <w:jc w:val="both"/>
        <w:rPr>
          <w:color w:val="000000"/>
        </w:rPr>
      </w:pPr>
    </w:p>
    <w:p w14:paraId="1C3894B8" w14:textId="77777777" w:rsidR="00267BE2" w:rsidRPr="00F867F2" w:rsidRDefault="00675343">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F867F2">
        <w:rPr>
          <w:rFonts w:ascii="Palatino Linotype" w:eastAsia="Palatino Linotype" w:hAnsi="Palatino Linotype" w:cs="Palatino Linotype"/>
          <w:color w:val="00000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w:t>
      </w:r>
      <w:r w:rsidRPr="00F867F2">
        <w:rPr>
          <w:rFonts w:ascii="Palatino Linotype" w:eastAsia="Palatino Linotype" w:hAnsi="Palatino Linotype" w:cs="Palatino Linotype"/>
          <w:color w:val="000000"/>
        </w:rPr>
        <w:lastRenderedPageBreak/>
        <w:t>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41AE1DA7" w14:textId="77777777" w:rsidR="00267BE2" w:rsidRPr="00F867F2" w:rsidRDefault="00267BE2">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14:paraId="4FB45C18"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F867F2">
        <w:rPr>
          <w:rFonts w:ascii="Palatino Linotype" w:eastAsia="Palatino Linotype" w:hAnsi="Palatino Linotype" w:cs="Palatino Linotype"/>
          <w:b/>
          <w:i/>
          <w:color w:val="404040"/>
          <w:sz w:val="22"/>
          <w:szCs w:val="22"/>
        </w:rPr>
        <w:t xml:space="preserve">Artículo 3. </w:t>
      </w:r>
      <w:r w:rsidRPr="00F867F2">
        <w:rPr>
          <w:rFonts w:ascii="Palatino Linotype" w:eastAsia="Palatino Linotype" w:hAnsi="Palatino Linotype" w:cs="Palatino Linotype"/>
          <w:i/>
          <w:color w:val="404040"/>
          <w:sz w:val="22"/>
          <w:szCs w:val="22"/>
        </w:rPr>
        <w:t>Para los efectos de la presente Ley se entenderá por:</w:t>
      </w:r>
    </w:p>
    <w:p w14:paraId="553DE90C"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F867F2">
        <w:rPr>
          <w:rFonts w:ascii="Palatino Linotype" w:eastAsia="Palatino Linotype" w:hAnsi="Palatino Linotype" w:cs="Palatino Linotype"/>
          <w:i/>
          <w:color w:val="404040"/>
          <w:sz w:val="22"/>
          <w:szCs w:val="22"/>
        </w:rPr>
        <w:t>(…)</w:t>
      </w:r>
    </w:p>
    <w:p w14:paraId="43225384"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F867F2">
        <w:rPr>
          <w:rFonts w:ascii="Palatino Linotype" w:eastAsia="Palatino Linotype" w:hAnsi="Palatino Linotype" w:cs="Palatino Linotype"/>
          <w:b/>
          <w:i/>
          <w:color w:val="404040"/>
          <w:sz w:val="22"/>
          <w:szCs w:val="22"/>
        </w:rPr>
        <w:t>XI. Documento:</w:t>
      </w:r>
      <w:r w:rsidRPr="00F867F2">
        <w:rPr>
          <w:rFonts w:ascii="Palatino Linotype" w:eastAsia="Palatino Linotype" w:hAnsi="Palatino Linotype" w:cs="Palatino Linotype"/>
          <w:i/>
          <w:color w:val="40404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16EAC6D9"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F867F2">
        <w:rPr>
          <w:rFonts w:ascii="Palatino Linotype" w:eastAsia="Palatino Linotype" w:hAnsi="Palatino Linotype" w:cs="Palatino Linotype"/>
          <w:b/>
          <w:i/>
          <w:color w:val="404040"/>
          <w:sz w:val="22"/>
          <w:szCs w:val="22"/>
        </w:rPr>
        <w:t>(…</w:t>
      </w:r>
      <w:r w:rsidRPr="00F867F2">
        <w:rPr>
          <w:rFonts w:ascii="Palatino Linotype" w:eastAsia="Palatino Linotype" w:hAnsi="Palatino Linotype" w:cs="Palatino Linotype"/>
          <w:i/>
          <w:color w:val="404040"/>
          <w:sz w:val="22"/>
          <w:szCs w:val="22"/>
        </w:rPr>
        <w:t>)</w:t>
      </w:r>
    </w:p>
    <w:p w14:paraId="47DB28C8" w14:textId="77777777" w:rsidR="00267BE2" w:rsidRPr="00F867F2" w:rsidRDefault="00267BE2">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14:paraId="3DB8521B" w14:textId="77777777" w:rsidR="00267BE2" w:rsidRPr="00F867F2" w:rsidRDefault="00675343">
      <w:pPr>
        <w:pBdr>
          <w:top w:val="nil"/>
          <w:left w:val="nil"/>
          <w:bottom w:val="nil"/>
          <w:right w:val="nil"/>
          <w:between w:val="nil"/>
        </w:pBdr>
        <w:spacing w:line="360" w:lineRule="auto"/>
        <w:jc w:val="both"/>
        <w:rPr>
          <w:color w:val="000000"/>
        </w:rPr>
      </w:pPr>
      <w:r w:rsidRPr="00F867F2">
        <w:rPr>
          <w:rFonts w:ascii="Palatino Linotype" w:eastAsia="Palatino Linotype" w:hAnsi="Palatino Linotype" w:cs="Palatino Linotype"/>
          <w:color w:val="000000"/>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63329A4B" w14:textId="77777777" w:rsidR="00267BE2" w:rsidRPr="00F867F2" w:rsidRDefault="00267BE2">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14:paraId="275609D6"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F867F2">
        <w:rPr>
          <w:rFonts w:ascii="Palatino Linotype" w:eastAsia="Palatino Linotype" w:hAnsi="Palatino Linotype" w:cs="Palatino Linotype"/>
          <w:i/>
          <w:color w:val="404040"/>
          <w:sz w:val="22"/>
          <w:szCs w:val="22"/>
        </w:rPr>
        <w:t>CRITERIO 0002-11</w:t>
      </w:r>
    </w:p>
    <w:p w14:paraId="2AC4215F"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F867F2">
        <w:rPr>
          <w:rFonts w:ascii="Palatino Linotype" w:eastAsia="Palatino Linotype" w:hAnsi="Palatino Linotype" w:cs="Palatino Linotype"/>
          <w:i/>
          <w:color w:val="404040"/>
          <w:sz w:val="22"/>
          <w:szCs w:val="22"/>
        </w:rPr>
        <w:t>INFORMACIÓN PÚBLICA, CONCEPTO DE, EN MATERIA DE TRANSPARENCIA. INTERPRETACIÓN SISTEMÁTICA DE LOS ARTÍCULOS 2°, FRACCIÓN V, XV, Y XVI, 3°, 4°, 11 Y 41.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141100E"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F867F2">
        <w:rPr>
          <w:rFonts w:ascii="Palatino Linotype" w:eastAsia="Palatino Linotype" w:hAnsi="Palatino Linotype" w:cs="Palatino Linotype"/>
          <w:i/>
          <w:color w:val="404040"/>
          <w:sz w:val="22"/>
          <w:szCs w:val="22"/>
        </w:rPr>
        <w:lastRenderedPageBreak/>
        <w:t xml:space="preserve">En </w:t>
      </w:r>
      <w:proofErr w:type="gramStart"/>
      <w:r w:rsidRPr="00F867F2">
        <w:rPr>
          <w:rFonts w:ascii="Palatino Linotype" w:eastAsia="Palatino Linotype" w:hAnsi="Palatino Linotype" w:cs="Palatino Linotype"/>
          <w:i/>
          <w:color w:val="404040"/>
          <w:sz w:val="22"/>
          <w:szCs w:val="22"/>
        </w:rPr>
        <w:t>consecuencia</w:t>
      </w:r>
      <w:proofErr w:type="gramEnd"/>
      <w:r w:rsidRPr="00F867F2">
        <w:rPr>
          <w:rFonts w:ascii="Palatino Linotype" w:eastAsia="Palatino Linotype" w:hAnsi="Palatino Linotype" w:cs="Palatino Linotype"/>
          <w:i/>
          <w:color w:val="404040"/>
          <w:sz w:val="22"/>
          <w:szCs w:val="22"/>
        </w:rPr>
        <w:t xml:space="preserve"> el acceso a la información se refiere a que se cumplan cualquiera de los siguientes tres supuestos:</w:t>
      </w:r>
    </w:p>
    <w:p w14:paraId="7811BB0E"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F867F2">
        <w:rPr>
          <w:rFonts w:ascii="Palatino Linotype" w:eastAsia="Palatino Linotype" w:hAnsi="Palatino Linotype" w:cs="Palatino Linotype"/>
          <w:i/>
          <w:color w:val="404040"/>
          <w:sz w:val="22"/>
          <w:szCs w:val="22"/>
        </w:rPr>
        <w:t xml:space="preserve">1. Que se trate de información registrada en cualquier soporte documental, </w:t>
      </w:r>
      <w:proofErr w:type="gramStart"/>
      <w:r w:rsidRPr="00F867F2">
        <w:rPr>
          <w:rFonts w:ascii="Palatino Linotype" w:eastAsia="Palatino Linotype" w:hAnsi="Palatino Linotype" w:cs="Palatino Linotype"/>
          <w:i/>
          <w:color w:val="404040"/>
          <w:sz w:val="22"/>
          <w:szCs w:val="22"/>
        </w:rPr>
        <w:t>que</w:t>
      </w:r>
      <w:proofErr w:type="gramEnd"/>
      <w:r w:rsidRPr="00F867F2">
        <w:rPr>
          <w:rFonts w:ascii="Palatino Linotype" w:eastAsia="Palatino Linotype" w:hAnsi="Palatino Linotype" w:cs="Palatino Linotype"/>
          <w:i/>
          <w:color w:val="404040"/>
          <w:sz w:val="22"/>
          <w:szCs w:val="22"/>
        </w:rPr>
        <w:t xml:space="preserve"> en ejercicio de las atribuciones conferidas, sea generada por los Sujetos Obligados;</w:t>
      </w:r>
    </w:p>
    <w:p w14:paraId="5B41FD59"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F867F2">
        <w:rPr>
          <w:rFonts w:ascii="Palatino Linotype" w:eastAsia="Palatino Linotype" w:hAnsi="Palatino Linotype" w:cs="Palatino Linotype"/>
          <w:i/>
          <w:color w:val="404040"/>
          <w:sz w:val="22"/>
          <w:szCs w:val="22"/>
        </w:rPr>
        <w:t xml:space="preserve">2. Que se trate de información registrada en cualquier soporte documental, </w:t>
      </w:r>
      <w:proofErr w:type="gramStart"/>
      <w:r w:rsidRPr="00F867F2">
        <w:rPr>
          <w:rFonts w:ascii="Palatino Linotype" w:eastAsia="Palatino Linotype" w:hAnsi="Palatino Linotype" w:cs="Palatino Linotype"/>
          <w:i/>
          <w:color w:val="404040"/>
          <w:sz w:val="22"/>
          <w:szCs w:val="22"/>
        </w:rPr>
        <w:t>que</w:t>
      </w:r>
      <w:proofErr w:type="gramEnd"/>
      <w:r w:rsidRPr="00F867F2">
        <w:rPr>
          <w:rFonts w:ascii="Palatino Linotype" w:eastAsia="Palatino Linotype" w:hAnsi="Palatino Linotype" w:cs="Palatino Linotype"/>
          <w:i/>
          <w:color w:val="404040"/>
          <w:sz w:val="22"/>
          <w:szCs w:val="22"/>
        </w:rPr>
        <w:t xml:space="preserve"> en ejercicio de las atribuciones conferidas, sea administrada por los Sujetos Obligados, y</w:t>
      </w:r>
    </w:p>
    <w:p w14:paraId="0DA12384"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F867F2">
        <w:rPr>
          <w:rFonts w:ascii="Palatino Linotype" w:eastAsia="Palatino Linotype" w:hAnsi="Palatino Linotype" w:cs="Palatino Linotype"/>
          <w:i/>
          <w:color w:val="404040"/>
          <w:sz w:val="22"/>
          <w:szCs w:val="22"/>
        </w:rPr>
        <w:t xml:space="preserve">3. Que se trate de información registrada en cualquier soporte documental, </w:t>
      </w:r>
      <w:proofErr w:type="gramStart"/>
      <w:r w:rsidRPr="00F867F2">
        <w:rPr>
          <w:rFonts w:ascii="Palatino Linotype" w:eastAsia="Palatino Linotype" w:hAnsi="Palatino Linotype" w:cs="Palatino Linotype"/>
          <w:i/>
          <w:color w:val="404040"/>
          <w:sz w:val="22"/>
          <w:szCs w:val="22"/>
        </w:rPr>
        <w:t>que</w:t>
      </w:r>
      <w:proofErr w:type="gramEnd"/>
      <w:r w:rsidRPr="00F867F2">
        <w:rPr>
          <w:rFonts w:ascii="Palatino Linotype" w:eastAsia="Palatino Linotype" w:hAnsi="Palatino Linotype" w:cs="Palatino Linotype"/>
          <w:i/>
          <w:color w:val="404040"/>
          <w:sz w:val="22"/>
          <w:szCs w:val="22"/>
        </w:rPr>
        <w:t xml:space="preserve"> en ejercicio de las atribuciones conferidas, se encuentre en posesión de los Sujetos Obligados.</w:t>
      </w:r>
    </w:p>
    <w:p w14:paraId="79DC2CCE" w14:textId="77777777" w:rsidR="00267BE2" w:rsidRPr="00F867F2" w:rsidRDefault="00267BE2">
      <w:pPr>
        <w:pBdr>
          <w:top w:val="nil"/>
          <w:left w:val="nil"/>
          <w:bottom w:val="nil"/>
          <w:right w:val="nil"/>
          <w:between w:val="nil"/>
        </w:pBdr>
        <w:spacing w:line="360" w:lineRule="auto"/>
        <w:ind w:left="567" w:right="567" w:hanging="284"/>
        <w:jc w:val="both"/>
        <w:rPr>
          <w:color w:val="000000"/>
        </w:rPr>
      </w:pPr>
    </w:p>
    <w:p w14:paraId="0EAFE156" w14:textId="77777777" w:rsidR="00267BE2" w:rsidRPr="00F867F2" w:rsidRDefault="00675343">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F867F2">
        <w:rPr>
          <w:rFonts w:ascii="Palatino Linotype" w:eastAsia="Palatino Linotype" w:hAnsi="Palatino Linotype" w:cs="Palatino Linotype"/>
          <w:color w:val="000000"/>
        </w:rPr>
        <w:t xml:space="preserve">De ahí que </w:t>
      </w:r>
      <w:r w:rsidRPr="00F867F2">
        <w:rPr>
          <w:rFonts w:ascii="Palatino Linotype" w:eastAsia="Palatino Linotype" w:hAnsi="Palatino Linotype" w:cs="Palatino Linotype"/>
          <w:b/>
          <w:color w:val="000000"/>
        </w:rPr>
        <w:t>EL SUJETO OBLIGADO</w:t>
      </w:r>
      <w:r w:rsidRPr="00F867F2">
        <w:rPr>
          <w:rFonts w:ascii="Palatino Linotype" w:eastAsia="Palatino Linotype" w:hAnsi="Palatino Linotype" w:cs="Palatino Linotype"/>
          <w:color w:val="000000"/>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0C645585" w14:textId="77777777" w:rsidR="00267BE2" w:rsidRPr="00F867F2" w:rsidRDefault="00267BE2">
      <w:pPr>
        <w:pBdr>
          <w:top w:val="nil"/>
          <w:left w:val="nil"/>
          <w:bottom w:val="nil"/>
          <w:right w:val="nil"/>
          <w:between w:val="nil"/>
        </w:pBdr>
        <w:spacing w:line="360" w:lineRule="auto"/>
        <w:jc w:val="both"/>
        <w:rPr>
          <w:color w:val="000000"/>
        </w:rPr>
      </w:pPr>
    </w:p>
    <w:p w14:paraId="0031886A" w14:textId="77777777" w:rsidR="00267BE2" w:rsidRPr="00F867F2" w:rsidRDefault="00675343">
      <w:pPr>
        <w:pBdr>
          <w:top w:val="nil"/>
          <w:left w:val="nil"/>
          <w:bottom w:val="nil"/>
          <w:right w:val="nil"/>
          <w:between w:val="nil"/>
        </w:pBdr>
        <w:spacing w:line="360" w:lineRule="auto"/>
        <w:jc w:val="both"/>
        <w:rPr>
          <w:rFonts w:ascii="Palatino Linotype" w:eastAsia="Palatino Linotype" w:hAnsi="Palatino Linotype" w:cs="Palatino Linotype"/>
        </w:rPr>
      </w:pPr>
      <w:r w:rsidRPr="00F867F2">
        <w:rPr>
          <w:rFonts w:ascii="Palatino Linotype" w:eastAsia="Palatino Linotype" w:hAnsi="Palatino Linotype" w:cs="Palatino Linotype"/>
          <w:color w:val="000000"/>
        </w:rPr>
        <w:t xml:space="preserve">Ahora bien, antes de entrar al estudio del asunto y ordenar lo que en su caso sea procedente, es necesario referirnos al documento presentado por </w:t>
      </w:r>
      <w:r w:rsidRPr="00F867F2">
        <w:rPr>
          <w:rFonts w:ascii="Palatino Linotype" w:eastAsia="Palatino Linotype" w:hAnsi="Palatino Linotype" w:cs="Palatino Linotype"/>
          <w:b/>
          <w:color w:val="000000"/>
        </w:rPr>
        <w:t>EL SUJETO OBLIGADO</w:t>
      </w:r>
      <w:r w:rsidRPr="00F867F2">
        <w:rPr>
          <w:rFonts w:ascii="Palatino Linotype" w:eastAsia="Palatino Linotype" w:hAnsi="Palatino Linotype" w:cs="Palatino Linotype"/>
          <w:color w:val="000000"/>
        </w:rPr>
        <w:t xml:space="preserve"> dentro del archivo </w:t>
      </w:r>
      <w:hyperlink r:id="rId11">
        <w:r w:rsidRPr="00F867F2">
          <w:rPr>
            <w:rFonts w:ascii="Palatino Linotype" w:eastAsia="Palatino Linotype" w:hAnsi="Palatino Linotype" w:cs="Palatino Linotype"/>
            <w:i/>
            <w:color w:val="000000"/>
          </w:rPr>
          <w:t>oficio respuesta.pdf</w:t>
        </w:r>
      </w:hyperlink>
      <w:r w:rsidRPr="00F867F2">
        <w:rPr>
          <w:rFonts w:ascii="Palatino Linotype" w:eastAsia="Palatino Linotype" w:hAnsi="Palatino Linotype" w:cs="Palatino Linotype"/>
          <w:i/>
        </w:rPr>
        <w:t xml:space="preserve">, </w:t>
      </w:r>
      <w:r w:rsidRPr="00F867F2">
        <w:rPr>
          <w:rFonts w:ascii="Palatino Linotype" w:eastAsia="Palatino Linotype" w:hAnsi="Palatino Linotype" w:cs="Palatino Linotype"/>
        </w:rPr>
        <w:t xml:space="preserve">que como consta en el Antecedente número dos de esta resolución, aparece ilegible por un objeto diverso al momento de su digitalización, lo cual obstaculiza la visualización de la información ahí contenida, y genera incertidumbre en </w:t>
      </w:r>
      <w:r w:rsidRPr="00F867F2">
        <w:rPr>
          <w:rFonts w:ascii="Palatino Linotype" w:eastAsia="Palatino Linotype" w:hAnsi="Palatino Linotype" w:cs="Palatino Linotype"/>
          <w:b/>
        </w:rPr>
        <w:t>LA PARTE RECURRENTE,</w:t>
      </w:r>
      <w:r w:rsidRPr="00F867F2">
        <w:rPr>
          <w:rFonts w:ascii="Palatino Linotype" w:eastAsia="Palatino Linotype" w:hAnsi="Palatino Linotype" w:cs="Palatino Linotype"/>
        </w:rPr>
        <w:t xml:space="preserve"> pues recordemos que forma parte de los agravios que señaló: </w:t>
      </w:r>
    </w:p>
    <w:p w14:paraId="074B0DB9" w14:textId="77777777" w:rsidR="00267BE2" w:rsidRPr="00F867F2" w:rsidRDefault="00267BE2">
      <w:pPr>
        <w:pBdr>
          <w:top w:val="nil"/>
          <w:left w:val="nil"/>
          <w:bottom w:val="nil"/>
          <w:right w:val="nil"/>
          <w:between w:val="nil"/>
        </w:pBdr>
        <w:ind w:left="864" w:right="864"/>
        <w:jc w:val="both"/>
        <w:rPr>
          <w:rFonts w:ascii="Palatino Linotype" w:eastAsia="Palatino Linotype" w:hAnsi="Palatino Linotype" w:cs="Palatino Linotype"/>
          <w:i/>
          <w:color w:val="404040"/>
        </w:rPr>
      </w:pPr>
    </w:p>
    <w:p w14:paraId="655A230F"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rPr>
      </w:pPr>
      <w:r w:rsidRPr="00F867F2">
        <w:rPr>
          <w:rFonts w:ascii="Palatino Linotype" w:eastAsia="Palatino Linotype" w:hAnsi="Palatino Linotype" w:cs="Palatino Linotype"/>
          <w:i/>
          <w:color w:val="000000"/>
          <w:sz w:val="22"/>
          <w:szCs w:val="22"/>
        </w:rPr>
        <w:lastRenderedPageBreak/>
        <w:t xml:space="preserve">“… se entrega un oficio redactado y supuestamente firmado por la Tesorera Municipal en donde </w:t>
      </w:r>
      <w:r w:rsidRPr="00F867F2">
        <w:rPr>
          <w:rFonts w:ascii="Palatino Linotype" w:eastAsia="Palatino Linotype" w:hAnsi="Palatino Linotype" w:cs="Palatino Linotype"/>
          <w:b/>
          <w:i/>
          <w:color w:val="000000"/>
          <w:sz w:val="22"/>
          <w:szCs w:val="22"/>
          <w:u w:val="single"/>
        </w:rPr>
        <w:t xml:space="preserve">no se aprecia bien la firma debido a que viene cubierta por lo que </w:t>
      </w:r>
      <w:proofErr w:type="spellStart"/>
      <w:r w:rsidRPr="00F867F2">
        <w:rPr>
          <w:rFonts w:ascii="Palatino Linotype" w:eastAsia="Palatino Linotype" w:hAnsi="Palatino Linotype" w:cs="Palatino Linotype"/>
          <w:b/>
          <w:i/>
          <w:color w:val="000000"/>
          <w:sz w:val="22"/>
          <w:szCs w:val="22"/>
          <w:u w:val="single"/>
        </w:rPr>
        <w:t>aperenta</w:t>
      </w:r>
      <w:proofErr w:type="spellEnd"/>
      <w:r w:rsidRPr="00F867F2">
        <w:rPr>
          <w:rFonts w:ascii="Palatino Linotype" w:eastAsia="Palatino Linotype" w:hAnsi="Palatino Linotype" w:cs="Palatino Linotype"/>
          <w:b/>
          <w:i/>
          <w:color w:val="000000"/>
          <w:sz w:val="22"/>
          <w:szCs w:val="22"/>
          <w:u w:val="single"/>
        </w:rPr>
        <w:t xml:space="preserve"> ser un POST-IT.</w:t>
      </w:r>
      <w:r w:rsidRPr="00F867F2">
        <w:rPr>
          <w:rFonts w:ascii="Palatino Linotype" w:eastAsia="Palatino Linotype" w:hAnsi="Palatino Linotype" w:cs="Palatino Linotype"/>
          <w:i/>
          <w:color w:val="000000"/>
          <w:sz w:val="22"/>
          <w:szCs w:val="22"/>
        </w:rPr>
        <w:t xml:space="preserve">” (Sic) </w:t>
      </w:r>
      <w:r w:rsidRPr="00F867F2">
        <w:rPr>
          <w:rFonts w:ascii="Palatino Linotype" w:eastAsia="Palatino Linotype" w:hAnsi="Palatino Linotype" w:cs="Palatino Linotype"/>
          <w:b/>
          <w:i/>
          <w:color w:val="000000"/>
          <w:sz w:val="22"/>
          <w:szCs w:val="22"/>
          <w:u w:val="single"/>
        </w:rPr>
        <w:t>Énfasis añadido</w:t>
      </w:r>
      <w:r w:rsidRPr="00F867F2">
        <w:rPr>
          <w:rFonts w:ascii="Palatino Linotype" w:eastAsia="Palatino Linotype" w:hAnsi="Palatino Linotype" w:cs="Palatino Linotype"/>
          <w:i/>
          <w:color w:val="000000"/>
          <w:sz w:val="22"/>
          <w:szCs w:val="22"/>
        </w:rPr>
        <w:t xml:space="preserve"> </w:t>
      </w:r>
    </w:p>
    <w:p w14:paraId="4DFFEF26" w14:textId="77777777" w:rsidR="00267BE2" w:rsidRPr="00F867F2" w:rsidRDefault="00267BE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6E866742" w14:textId="77777777" w:rsidR="00267BE2" w:rsidRPr="00F867F2" w:rsidRDefault="00675343">
      <w:pPr>
        <w:pBdr>
          <w:top w:val="nil"/>
          <w:left w:val="nil"/>
          <w:bottom w:val="nil"/>
          <w:right w:val="nil"/>
          <w:between w:val="nil"/>
        </w:pBdr>
        <w:spacing w:line="360" w:lineRule="auto"/>
        <w:jc w:val="both"/>
        <w:rPr>
          <w:rFonts w:ascii="Palatino Linotype" w:eastAsia="Palatino Linotype" w:hAnsi="Palatino Linotype" w:cs="Palatino Linotype"/>
        </w:rPr>
      </w:pPr>
      <w:r w:rsidRPr="00F867F2">
        <w:rPr>
          <w:rFonts w:ascii="Palatino Linotype" w:eastAsia="Palatino Linotype" w:hAnsi="Palatino Linotype" w:cs="Palatino Linotype"/>
        </w:rPr>
        <w:t>Para abordar el asunto en específico es ilustrativo invocar el Criterio emitido por el Pleno del Instituto Nacional de Transparencia y Protección de Datos Personales, de rubro y texto siguientes:</w:t>
      </w:r>
    </w:p>
    <w:p w14:paraId="353442BE" w14:textId="77777777" w:rsidR="00267BE2" w:rsidRPr="00F867F2" w:rsidRDefault="00267BE2">
      <w:pPr>
        <w:pBdr>
          <w:top w:val="nil"/>
          <w:left w:val="nil"/>
          <w:bottom w:val="nil"/>
          <w:right w:val="nil"/>
          <w:between w:val="nil"/>
        </w:pBdr>
        <w:ind w:left="864" w:right="864"/>
        <w:jc w:val="both"/>
        <w:rPr>
          <w:rFonts w:ascii="Palatino Linotype" w:eastAsia="Palatino Linotype" w:hAnsi="Palatino Linotype" w:cs="Palatino Linotype"/>
          <w:i/>
          <w:color w:val="000000"/>
          <w:sz w:val="22"/>
          <w:szCs w:val="22"/>
        </w:rPr>
      </w:pPr>
    </w:p>
    <w:p w14:paraId="30F13EED"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b/>
          <w:i/>
          <w:color w:val="000000"/>
          <w:sz w:val="22"/>
          <w:szCs w:val="22"/>
        </w:rPr>
      </w:pPr>
      <w:r w:rsidRPr="00F867F2">
        <w:rPr>
          <w:rFonts w:ascii="Palatino Linotype" w:eastAsia="Palatino Linotype" w:hAnsi="Palatino Linotype" w:cs="Palatino Linotype"/>
          <w:b/>
          <w:i/>
          <w:color w:val="000000"/>
          <w:sz w:val="22"/>
          <w:szCs w:val="22"/>
        </w:rPr>
        <w:t xml:space="preserve">Clave de control: </w:t>
      </w:r>
      <w:r w:rsidRPr="00F867F2">
        <w:rPr>
          <w:rFonts w:ascii="Palatino Linotype" w:eastAsia="Palatino Linotype" w:hAnsi="Palatino Linotype" w:cs="Palatino Linotype"/>
          <w:i/>
          <w:color w:val="000000"/>
          <w:sz w:val="22"/>
          <w:szCs w:val="22"/>
        </w:rPr>
        <w:t>SO/002/2019</w:t>
      </w:r>
    </w:p>
    <w:p w14:paraId="3207E403"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000000"/>
          <w:sz w:val="22"/>
          <w:szCs w:val="22"/>
        </w:rPr>
      </w:pPr>
      <w:r w:rsidRPr="00F867F2">
        <w:rPr>
          <w:rFonts w:ascii="Palatino Linotype" w:eastAsia="Palatino Linotype" w:hAnsi="Palatino Linotype" w:cs="Palatino Linotype"/>
          <w:b/>
          <w:i/>
          <w:color w:val="000000"/>
          <w:sz w:val="22"/>
          <w:szCs w:val="22"/>
        </w:rPr>
        <w:t xml:space="preserve">Materia: </w:t>
      </w:r>
      <w:r w:rsidRPr="00F867F2">
        <w:rPr>
          <w:rFonts w:ascii="Palatino Linotype" w:eastAsia="Palatino Linotype" w:hAnsi="Palatino Linotype" w:cs="Palatino Linotype"/>
          <w:i/>
          <w:color w:val="000000"/>
          <w:sz w:val="22"/>
          <w:szCs w:val="22"/>
        </w:rPr>
        <w:t>Acceso a la Información Pública</w:t>
      </w:r>
    </w:p>
    <w:p w14:paraId="73C31FBA"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b/>
          <w:i/>
          <w:color w:val="000000"/>
          <w:sz w:val="22"/>
          <w:szCs w:val="22"/>
        </w:rPr>
      </w:pPr>
      <w:r w:rsidRPr="00F867F2">
        <w:rPr>
          <w:rFonts w:ascii="Palatino Linotype" w:eastAsia="Palatino Linotype" w:hAnsi="Palatino Linotype" w:cs="Palatino Linotype"/>
          <w:b/>
          <w:i/>
          <w:color w:val="000000"/>
          <w:sz w:val="22"/>
          <w:szCs w:val="22"/>
        </w:rPr>
        <w:t>Acuerdo ACT-PUB/11/09/2019.06</w:t>
      </w:r>
    </w:p>
    <w:p w14:paraId="1FA51E34"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b/>
          <w:i/>
          <w:color w:val="000000"/>
          <w:sz w:val="22"/>
          <w:szCs w:val="22"/>
          <w:u w:val="single"/>
        </w:rPr>
      </w:pPr>
      <w:r w:rsidRPr="00F867F2">
        <w:rPr>
          <w:rFonts w:ascii="Palatino Linotype" w:eastAsia="Palatino Linotype" w:hAnsi="Palatino Linotype" w:cs="Palatino Linotype"/>
          <w:b/>
          <w:i/>
          <w:color w:val="000000"/>
          <w:sz w:val="22"/>
          <w:szCs w:val="22"/>
        </w:rPr>
        <w:t>Firma y rúbrica de servidores públicos.</w:t>
      </w:r>
      <w:r w:rsidRPr="00F867F2">
        <w:rPr>
          <w:rFonts w:ascii="Palatino Linotype" w:eastAsia="Palatino Linotype" w:hAnsi="Palatino Linotype" w:cs="Palatino Linotype"/>
          <w:i/>
          <w:color w:val="000000"/>
          <w:sz w:val="22"/>
          <w:szCs w:val="22"/>
        </w:rPr>
        <w:t xml:space="preserve"> Si bien la firma y la rúbrica son datos personales confidenciales, cuando un servidor público emite un acto como autoridad, en ejercicio de las funciones que tiene conferidas</w:t>
      </w:r>
      <w:r w:rsidRPr="00F867F2">
        <w:rPr>
          <w:rFonts w:ascii="Palatino Linotype" w:eastAsia="Palatino Linotype" w:hAnsi="Palatino Linotype" w:cs="Palatino Linotype"/>
          <w:b/>
          <w:i/>
          <w:color w:val="000000"/>
          <w:sz w:val="22"/>
          <w:szCs w:val="22"/>
          <w:u w:val="single"/>
        </w:rPr>
        <w:t xml:space="preserve">, la firma o rúbrica mediante la cual se valida dicho acto es pública. </w:t>
      </w:r>
    </w:p>
    <w:p w14:paraId="1C847FA5" w14:textId="77777777" w:rsidR="00267BE2" w:rsidRPr="00F867F2" w:rsidRDefault="00267BE2">
      <w:pPr>
        <w:pBdr>
          <w:top w:val="nil"/>
          <w:left w:val="nil"/>
          <w:bottom w:val="nil"/>
          <w:right w:val="nil"/>
          <w:between w:val="nil"/>
        </w:pBdr>
        <w:spacing w:line="360" w:lineRule="auto"/>
        <w:jc w:val="both"/>
        <w:rPr>
          <w:rFonts w:ascii="Palatino Linotype" w:eastAsia="Palatino Linotype" w:hAnsi="Palatino Linotype" w:cs="Palatino Linotype"/>
          <w:i/>
          <w:sz w:val="22"/>
          <w:szCs w:val="22"/>
        </w:rPr>
      </w:pPr>
    </w:p>
    <w:p w14:paraId="22218CBF" w14:textId="77777777" w:rsidR="00267BE2" w:rsidRPr="00F867F2" w:rsidRDefault="00675343">
      <w:pPr>
        <w:pBdr>
          <w:top w:val="nil"/>
          <w:left w:val="nil"/>
          <w:bottom w:val="nil"/>
          <w:right w:val="nil"/>
          <w:between w:val="nil"/>
        </w:pBdr>
        <w:spacing w:line="360" w:lineRule="auto"/>
        <w:jc w:val="both"/>
        <w:rPr>
          <w:rFonts w:ascii="Palatino Linotype" w:eastAsia="Palatino Linotype" w:hAnsi="Palatino Linotype" w:cs="Palatino Linotype"/>
        </w:rPr>
      </w:pPr>
      <w:r w:rsidRPr="00F867F2">
        <w:rPr>
          <w:rFonts w:ascii="Palatino Linotype" w:eastAsia="Palatino Linotype" w:hAnsi="Palatino Linotype" w:cs="Palatino Linotype"/>
        </w:rPr>
        <w:t>Sirva de sustento a lo dicho, el artículo cuadragésimo séptimo de los Lineamientos Generales en Materia de Clasificación y Desclasificación de la Información, así como para la Elaboración de Versiones Públicas emitidos por el Sistema Nacional de Transparencia, Acceso a la Información Pública y Protección de Datos Personales:</w:t>
      </w:r>
    </w:p>
    <w:p w14:paraId="7C2150E0" w14:textId="77777777" w:rsidR="00267BE2" w:rsidRPr="00F867F2" w:rsidRDefault="00267BE2">
      <w:pPr>
        <w:pBdr>
          <w:top w:val="nil"/>
          <w:left w:val="nil"/>
          <w:bottom w:val="nil"/>
          <w:right w:val="nil"/>
          <w:between w:val="nil"/>
        </w:pBdr>
        <w:ind w:left="864" w:right="864"/>
        <w:jc w:val="both"/>
        <w:rPr>
          <w:rFonts w:ascii="Palatino Linotype" w:eastAsia="Palatino Linotype" w:hAnsi="Palatino Linotype" w:cs="Palatino Linotype"/>
          <w:i/>
          <w:color w:val="000000"/>
          <w:sz w:val="22"/>
          <w:szCs w:val="22"/>
        </w:rPr>
      </w:pPr>
    </w:p>
    <w:p w14:paraId="2528AB3F"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000000"/>
          <w:sz w:val="22"/>
          <w:szCs w:val="22"/>
        </w:rPr>
      </w:pPr>
      <w:r w:rsidRPr="00F867F2">
        <w:rPr>
          <w:rFonts w:ascii="Palatino Linotype" w:eastAsia="Palatino Linotype" w:hAnsi="Palatino Linotype" w:cs="Palatino Linotype"/>
          <w:i/>
          <w:color w:val="000000"/>
          <w:sz w:val="22"/>
          <w:szCs w:val="22"/>
        </w:rPr>
        <w:t xml:space="preserve">Quincuagésimo séptimo. </w:t>
      </w:r>
      <w:r w:rsidRPr="00F867F2">
        <w:rPr>
          <w:rFonts w:ascii="Palatino Linotype" w:eastAsia="Palatino Linotype" w:hAnsi="Palatino Linotype" w:cs="Palatino Linotype"/>
          <w:b/>
          <w:i/>
          <w:color w:val="000000"/>
          <w:sz w:val="22"/>
          <w:szCs w:val="22"/>
          <w:u w:val="single"/>
        </w:rPr>
        <w:t>Se considera, en principio, como información pública y no podrá omitirse</w:t>
      </w:r>
      <w:r w:rsidRPr="00F867F2">
        <w:rPr>
          <w:rFonts w:ascii="Palatino Linotype" w:eastAsia="Palatino Linotype" w:hAnsi="Palatino Linotype" w:cs="Palatino Linotype"/>
          <w:i/>
          <w:color w:val="000000"/>
          <w:sz w:val="22"/>
          <w:szCs w:val="22"/>
        </w:rPr>
        <w:t xml:space="preserve"> de las versiones públicas la siguiente: </w:t>
      </w:r>
    </w:p>
    <w:p w14:paraId="243E4BC2" w14:textId="77777777" w:rsidR="00267BE2" w:rsidRPr="00F867F2" w:rsidRDefault="00675343">
      <w:pPr>
        <w:numPr>
          <w:ilvl w:val="0"/>
          <w:numId w:val="3"/>
        </w:numPr>
        <w:pBdr>
          <w:top w:val="nil"/>
          <w:left w:val="nil"/>
          <w:bottom w:val="nil"/>
          <w:right w:val="nil"/>
          <w:between w:val="nil"/>
        </w:pBdr>
        <w:ind w:right="864"/>
        <w:jc w:val="both"/>
        <w:rPr>
          <w:rFonts w:ascii="Palatino Linotype" w:eastAsia="Palatino Linotype" w:hAnsi="Palatino Linotype" w:cs="Palatino Linotype"/>
          <w:i/>
          <w:color w:val="000000"/>
          <w:sz w:val="22"/>
          <w:szCs w:val="22"/>
        </w:rPr>
      </w:pPr>
      <w:r w:rsidRPr="00F867F2">
        <w:rPr>
          <w:rFonts w:ascii="Palatino Linotype" w:eastAsia="Palatino Linotype" w:hAnsi="Palatino Linotype" w:cs="Palatino Linotype"/>
          <w:i/>
          <w:color w:val="000000"/>
          <w:sz w:val="22"/>
          <w:szCs w:val="22"/>
        </w:rPr>
        <w:t xml:space="preserve">La relativa a las Obligaciones de Transparencia que contempla el Título V de la Ley General y las demás disposiciones legales aplicables; </w:t>
      </w:r>
    </w:p>
    <w:p w14:paraId="04ED09FA" w14:textId="77777777" w:rsidR="00267BE2" w:rsidRPr="00F867F2" w:rsidRDefault="00675343">
      <w:pPr>
        <w:numPr>
          <w:ilvl w:val="0"/>
          <w:numId w:val="3"/>
        </w:numPr>
        <w:pBdr>
          <w:top w:val="nil"/>
          <w:left w:val="nil"/>
          <w:bottom w:val="nil"/>
          <w:right w:val="nil"/>
          <w:between w:val="nil"/>
        </w:pBdr>
        <w:ind w:right="864"/>
        <w:jc w:val="both"/>
        <w:rPr>
          <w:rFonts w:ascii="Palatino Linotype" w:eastAsia="Palatino Linotype" w:hAnsi="Palatino Linotype" w:cs="Palatino Linotype"/>
          <w:i/>
          <w:color w:val="000000"/>
          <w:sz w:val="22"/>
          <w:szCs w:val="22"/>
        </w:rPr>
      </w:pPr>
      <w:r w:rsidRPr="00F867F2">
        <w:rPr>
          <w:rFonts w:ascii="Palatino Linotype" w:eastAsia="Palatino Linotype" w:hAnsi="Palatino Linotype" w:cs="Palatino Linotype"/>
          <w:b/>
          <w:i/>
          <w:color w:val="000000"/>
          <w:sz w:val="22"/>
          <w:szCs w:val="22"/>
          <w:u w:val="single"/>
        </w:rPr>
        <w:t>El nombre de los servidores públicos en los documentos, y sus firmas autógrafas, cuando sean utilizados en el ejercicio de las facultades conferidas para el desempeño del servicio público</w:t>
      </w:r>
      <w:r w:rsidRPr="00F867F2">
        <w:rPr>
          <w:rFonts w:ascii="Palatino Linotype" w:eastAsia="Palatino Linotype" w:hAnsi="Palatino Linotype" w:cs="Palatino Linotype"/>
          <w:b/>
          <w:i/>
          <w:color w:val="000000"/>
          <w:sz w:val="22"/>
          <w:szCs w:val="22"/>
        </w:rPr>
        <w:t>,</w:t>
      </w:r>
      <w:r w:rsidRPr="00F867F2">
        <w:rPr>
          <w:rFonts w:ascii="Palatino Linotype" w:eastAsia="Palatino Linotype" w:hAnsi="Palatino Linotype" w:cs="Palatino Linotype"/>
          <w:i/>
          <w:color w:val="000000"/>
          <w:sz w:val="22"/>
          <w:szCs w:val="22"/>
        </w:rPr>
        <w:t xml:space="preserve"> y </w:t>
      </w:r>
    </w:p>
    <w:p w14:paraId="14A46DA7" w14:textId="77777777" w:rsidR="00267BE2" w:rsidRPr="00F867F2" w:rsidRDefault="00675343">
      <w:pPr>
        <w:numPr>
          <w:ilvl w:val="0"/>
          <w:numId w:val="3"/>
        </w:numPr>
        <w:pBdr>
          <w:top w:val="nil"/>
          <w:left w:val="nil"/>
          <w:bottom w:val="nil"/>
          <w:right w:val="nil"/>
          <w:between w:val="nil"/>
        </w:pBdr>
        <w:ind w:right="864"/>
        <w:jc w:val="both"/>
        <w:rPr>
          <w:rFonts w:ascii="Palatino Linotype" w:eastAsia="Palatino Linotype" w:hAnsi="Palatino Linotype" w:cs="Palatino Linotype"/>
          <w:i/>
          <w:color w:val="000000"/>
          <w:sz w:val="22"/>
          <w:szCs w:val="22"/>
        </w:rPr>
      </w:pPr>
      <w:r w:rsidRPr="00F867F2">
        <w:rPr>
          <w:rFonts w:ascii="Palatino Linotype" w:eastAsia="Palatino Linotype" w:hAnsi="Palatino Linotype" w:cs="Palatino Linotype"/>
          <w:i/>
          <w:color w:val="000000"/>
          <w:sz w:val="22"/>
          <w:szCs w:val="22"/>
        </w:rPr>
        <w:t xml:space="preserve">La información que documente decisiones y los actos de autoridad concluidos de los sujetos obligados, así como el ejercicio de las facultades o actividades de los servidores públicos, de manera que se pueda valorar el desempeño de los mismos. </w:t>
      </w:r>
    </w:p>
    <w:p w14:paraId="030F4B21"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000000"/>
          <w:sz w:val="22"/>
          <w:szCs w:val="22"/>
        </w:rPr>
      </w:pPr>
      <w:r w:rsidRPr="00F867F2">
        <w:rPr>
          <w:rFonts w:ascii="Palatino Linotype" w:eastAsia="Palatino Linotype" w:hAnsi="Palatino Linotype" w:cs="Palatino Linotype"/>
          <w:i/>
          <w:color w:val="000000"/>
          <w:sz w:val="22"/>
          <w:szCs w:val="22"/>
        </w:rPr>
        <w:lastRenderedPageBreak/>
        <w:t xml:space="preserve">Lo anterior, siempre y cuando no se acredite alguna causal de clasificación, prevista en las leyes o en los tratados </w:t>
      </w:r>
      <w:proofErr w:type="gramStart"/>
      <w:r w:rsidRPr="00F867F2">
        <w:rPr>
          <w:rFonts w:ascii="Palatino Linotype" w:eastAsia="Palatino Linotype" w:hAnsi="Palatino Linotype" w:cs="Palatino Linotype"/>
          <w:i/>
          <w:color w:val="000000"/>
          <w:sz w:val="22"/>
          <w:szCs w:val="22"/>
        </w:rPr>
        <w:t>internaciones suscritos</w:t>
      </w:r>
      <w:proofErr w:type="gramEnd"/>
      <w:r w:rsidRPr="00F867F2">
        <w:rPr>
          <w:rFonts w:ascii="Palatino Linotype" w:eastAsia="Palatino Linotype" w:hAnsi="Palatino Linotype" w:cs="Palatino Linotype"/>
          <w:i/>
          <w:color w:val="000000"/>
          <w:sz w:val="22"/>
          <w:szCs w:val="22"/>
        </w:rPr>
        <w:t xml:space="preserve"> por el Estado mexicano.</w:t>
      </w:r>
    </w:p>
    <w:p w14:paraId="7CC1F1F3" w14:textId="77777777" w:rsidR="00267BE2" w:rsidRPr="00F867F2" w:rsidRDefault="00267BE2">
      <w:pPr>
        <w:pBdr>
          <w:top w:val="nil"/>
          <w:left w:val="nil"/>
          <w:bottom w:val="nil"/>
          <w:right w:val="nil"/>
          <w:between w:val="nil"/>
        </w:pBdr>
        <w:spacing w:line="360" w:lineRule="auto"/>
        <w:jc w:val="both"/>
        <w:rPr>
          <w:rFonts w:ascii="Palatino Linotype" w:eastAsia="Palatino Linotype" w:hAnsi="Palatino Linotype" w:cs="Palatino Linotype"/>
          <w:i/>
          <w:sz w:val="22"/>
          <w:szCs w:val="22"/>
        </w:rPr>
      </w:pPr>
    </w:p>
    <w:p w14:paraId="376BE3A0" w14:textId="77777777" w:rsidR="00267BE2" w:rsidRPr="00F867F2" w:rsidRDefault="00675343">
      <w:pPr>
        <w:pBdr>
          <w:top w:val="nil"/>
          <w:left w:val="nil"/>
          <w:bottom w:val="nil"/>
          <w:right w:val="nil"/>
          <w:between w:val="nil"/>
        </w:pBdr>
        <w:spacing w:line="360" w:lineRule="auto"/>
        <w:jc w:val="both"/>
        <w:rPr>
          <w:rFonts w:ascii="Palatino Linotype" w:eastAsia="Palatino Linotype" w:hAnsi="Palatino Linotype" w:cs="Palatino Linotype"/>
        </w:rPr>
      </w:pPr>
      <w:r w:rsidRPr="00F867F2">
        <w:rPr>
          <w:rFonts w:ascii="Palatino Linotype" w:eastAsia="Palatino Linotype" w:hAnsi="Palatino Linotype" w:cs="Palatino Linotype"/>
        </w:rPr>
        <w:t>Del mismo modo, es improcedente obstaculizar la visibilidad de los sellos institucionales, derivado de la naturaleza del mismo, a saber, según la Real Academia Española, considera que es instrumento con imágenes grabadas que, a través de la impresión de tinta sobre el papel, se utiliza para autorizar documentos.</w:t>
      </w:r>
    </w:p>
    <w:p w14:paraId="410854B4" w14:textId="77777777" w:rsidR="00267BE2" w:rsidRPr="00F867F2" w:rsidRDefault="00267BE2">
      <w:pPr>
        <w:pBdr>
          <w:top w:val="nil"/>
          <w:left w:val="nil"/>
          <w:bottom w:val="nil"/>
          <w:right w:val="nil"/>
          <w:between w:val="nil"/>
        </w:pBdr>
        <w:spacing w:line="360" w:lineRule="auto"/>
        <w:jc w:val="both"/>
        <w:rPr>
          <w:rFonts w:ascii="Palatino Linotype" w:eastAsia="Palatino Linotype" w:hAnsi="Palatino Linotype" w:cs="Palatino Linotype"/>
        </w:rPr>
      </w:pPr>
    </w:p>
    <w:p w14:paraId="77A66696" w14:textId="77777777" w:rsidR="00267BE2" w:rsidRPr="00F867F2" w:rsidRDefault="00675343">
      <w:pPr>
        <w:pBdr>
          <w:top w:val="nil"/>
          <w:left w:val="nil"/>
          <w:bottom w:val="nil"/>
          <w:right w:val="nil"/>
          <w:between w:val="nil"/>
        </w:pBdr>
        <w:spacing w:line="360" w:lineRule="auto"/>
        <w:jc w:val="both"/>
        <w:rPr>
          <w:rFonts w:ascii="Palatino Linotype" w:eastAsia="Palatino Linotype" w:hAnsi="Palatino Linotype" w:cs="Palatino Linotype"/>
        </w:rPr>
      </w:pPr>
      <w:r w:rsidRPr="00F867F2">
        <w:rPr>
          <w:rFonts w:ascii="Palatino Linotype" w:eastAsia="Palatino Linotype" w:hAnsi="Palatino Linotype" w:cs="Palatino Linotype"/>
        </w:rPr>
        <w:t xml:space="preserve">En ese sentido, el sello del </w:t>
      </w:r>
      <w:r w:rsidRPr="00F867F2">
        <w:rPr>
          <w:rFonts w:ascii="Palatino Linotype" w:eastAsia="Palatino Linotype" w:hAnsi="Palatino Linotype" w:cs="Palatino Linotype"/>
          <w:b/>
        </w:rPr>
        <w:t>SUJETO OBLIGADO</w:t>
      </w:r>
      <w:r w:rsidRPr="00F867F2">
        <w:rPr>
          <w:rFonts w:ascii="Palatino Linotype" w:eastAsia="Palatino Linotype" w:hAnsi="Palatino Linotype" w:cs="Palatino Linotype"/>
        </w:rPr>
        <w:t xml:space="preserve"> y la firma autógrafa de la Persona Titular de la Tesorería Municipal forman parte integral del documento en el cual se encuentran plasmados, y como se advierte en el presente estudio, es una documental pública; por lo tanto, el cargo de quien lo emite tiene la misma naturaleza. </w:t>
      </w:r>
    </w:p>
    <w:p w14:paraId="45BA8998" w14:textId="77777777" w:rsidR="00267BE2" w:rsidRPr="00F867F2" w:rsidRDefault="00267BE2">
      <w:pPr>
        <w:pBdr>
          <w:top w:val="nil"/>
          <w:left w:val="nil"/>
          <w:bottom w:val="nil"/>
          <w:right w:val="nil"/>
          <w:between w:val="nil"/>
        </w:pBdr>
        <w:spacing w:line="360" w:lineRule="auto"/>
        <w:jc w:val="both"/>
        <w:rPr>
          <w:rFonts w:ascii="Palatino Linotype" w:eastAsia="Palatino Linotype" w:hAnsi="Palatino Linotype" w:cs="Palatino Linotype"/>
        </w:rPr>
      </w:pPr>
    </w:p>
    <w:p w14:paraId="203D64DC" w14:textId="77777777" w:rsidR="00267BE2" w:rsidRPr="00F867F2" w:rsidRDefault="00675343">
      <w:pPr>
        <w:pBdr>
          <w:top w:val="nil"/>
          <w:left w:val="nil"/>
          <w:bottom w:val="nil"/>
          <w:right w:val="nil"/>
          <w:between w:val="nil"/>
        </w:pBdr>
        <w:spacing w:line="360" w:lineRule="auto"/>
        <w:jc w:val="both"/>
        <w:rPr>
          <w:rFonts w:ascii="Palatino Linotype" w:eastAsia="Palatino Linotype" w:hAnsi="Palatino Linotype" w:cs="Palatino Linotype"/>
        </w:rPr>
      </w:pPr>
      <w:r w:rsidRPr="00F867F2">
        <w:rPr>
          <w:rFonts w:ascii="Palatino Linotype" w:eastAsia="Palatino Linotype" w:hAnsi="Palatino Linotype" w:cs="Palatino Linotype"/>
        </w:rPr>
        <w:t xml:space="preserve">Así las cosas, este Instituto de Transparencia determina que la remisión del oficio  </w:t>
      </w:r>
      <w:r w:rsidRPr="00F867F2">
        <w:rPr>
          <w:rFonts w:ascii="Palatino Linotype" w:eastAsia="Palatino Linotype" w:hAnsi="Palatino Linotype" w:cs="Palatino Linotype"/>
          <w:i/>
        </w:rPr>
        <w:t>ATL/TM/00074/2022</w:t>
      </w:r>
      <w:r w:rsidRPr="00F867F2">
        <w:rPr>
          <w:rFonts w:ascii="Palatino Linotype" w:eastAsia="Palatino Linotype" w:hAnsi="Palatino Linotype" w:cs="Palatino Linotype"/>
        </w:rPr>
        <w:t xml:space="preserve">, en las formas propuestas por </w:t>
      </w:r>
      <w:r w:rsidRPr="00F867F2">
        <w:rPr>
          <w:rFonts w:ascii="Palatino Linotype" w:eastAsia="Palatino Linotype" w:hAnsi="Palatino Linotype" w:cs="Palatino Linotype"/>
          <w:b/>
        </w:rPr>
        <w:t>EL SUJETO OBLIGADO</w:t>
      </w:r>
      <w:r w:rsidRPr="00F867F2">
        <w:rPr>
          <w:rFonts w:ascii="Palatino Linotype" w:eastAsia="Palatino Linotype" w:hAnsi="Palatino Linotype" w:cs="Palatino Linotype"/>
        </w:rPr>
        <w:t xml:space="preserve"> es improcedente e ilegal, en esos términos, lo apegado a la Ley de Transparencia y Acceso a la Información Pública del Estado de México y Municipios es instar al Sujeto Pasivo del Derecho al Acceso a la Información a privilegiar la entrega de la información en formatos que permitan su adecuado aprovechamiento, a la luz de los principios rectores de esta materia como lo son la certeza, eficacia, máxima publicidad, profesionalismo y transparencia.</w:t>
      </w:r>
    </w:p>
    <w:p w14:paraId="6E532130" w14:textId="77777777" w:rsidR="00267BE2" w:rsidRPr="00F867F2" w:rsidRDefault="00267BE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62D2368" w14:textId="77777777" w:rsidR="00267BE2" w:rsidRPr="00F867F2" w:rsidRDefault="00675343">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F867F2">
        <w:rPr>
          <w:rFonts w:ascii="Palatino Linotype" w:eastAsia="Palatino Linotype" w:hAnsi="Palatino Linotype" w:cs="Palatino Linotype"/>
          <w:color w:val="000000"/>
        </w:rPr>
        <w:t xml:space="preserve">Apuntado lo anterior, este Órgano Garante centrará su atención en el estudio de fondo de los agravios hechos valer por </w:t>
      </w:r>
      <w:r w:rsidRPr="00F867F2">
        <w:rPr>
          <w:rFonts w:ascii="Palatino Linotype" w:eastAsia="Palatino Linotype" w:hAnsi="Palatino Linotype" w:cs="Palatino Linotype"/>
          <w:b/>
          <w:color w:val="000000"/>
        </w:rPr>
        <w:t xml:space="preserve">LA PARTE RECURRENTE, </w:t>
      </w:r>
      <w:r w:rsidRPr="00F867F2">
        <w:rPr>
          <w:rFonts w:ascii="Palatino Linotype" w:eastAsia="Palatino Linotype" w:hAnsi="Palatino Linotype" w:cs="Palatino Linotype"/>
          <w:color w:val="000000"/>
        </w:rPr>
        <w:t xml:space="preserve">pues en la </w:t>
      </w:r>
      <w:r w:rsidRPr="00F867F2">
        <w:rPr>
          <w:rFonts w:ascii="Palatino Linotype" w:eastAsia="Palatino Linotype" w:hAnsi="Palatino Linotype" w:cs="Palatino Linotype"/>
          <w:color w:val="000000"/>
        </w:rPr>
        <w:lastRenderedPageBreak/>
        <w:t xml:space="preserve">solicitud </w:t>
      </w:r>
      <w:r w:rsidRPr="00F867F2">
        <w:rPr>
          <w:rFonts w:ascii="Palatino Linotype" w:eastAsia="Palatino Linotype" w:hAnsi="Palatino Linotype" w:cs="Palatino Linotype"/>
          <w:b/>
          <w:color w:val="333333"/>
        </w:rPr>
        <w:t>00093/ATLAUTLA/IP/2022</w:t>
      </w:r>
      <w:r w:rsidRPr="00F867F2">
        <w:rPr>
          <w:rFonts w:ascii="Palatino Linotype" w:eastAsia="Palatino Linotype" w:hAnsi="Palatino Linotype" w:cs="Palatino Linotype"/>
          <w:color w:val="000000"/>
        </w:rPr>
        <w:t xml:space="preserve"> requirió información de la segunda quincena de mayo</w:t>
      </w:r>
      <w:r w:rsidRPr="00F867F2">
        <w:rPr>
          <w:rFonts w:ascii="Palatino Linotype" w:eastAsia="Palatino Linotype" w:hAnsi="Palatino Linotype" w:cs="Palatino Linotype"/>
          <w:color w:val="FF0000"/>
        </w:rPr>
        <w:t xml:space="preserve"> </w:t>
      </w:r>
      <w:r w:rsidRPr="00F867F2">
        <w:rPr>
          <w:rFonts w:ascii="Palatino Linotype" w:eastAsia="Palatino Linotype" w:hAnsi="Palatino Linotype" w:cs="Palatino Linotype"/>
          <w:color w:val="000000"/>
        </w:rPr>
        <w:t xml:space="preserve">de dos mil veintidós, relativa a: </w:t>
      </w:r>
    </w:p>
    <w:p w14:paraId="0CB3EEBA" w14:textId="77777777" w:rsidR="00267BE2" w:rsidRPr="00F867F2" w:rsidRDefault="00267BE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6DDA13E8" w14:textId="77777777" w:rsidR="00267BE2" w:rsidRPr="00F867F2" w:rsidRDefault="00675343">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F867F2">
        <w:rPr>
          <w:rFonts w:ascii="Palatino Linotype" w:eastAsia="Palatino Linotype" w:hAnsi="Palatino Linotype" w:cs="Palatino Linotype"/>
          <w:color w:val="000000"/>
        </w:rPr>
        <w:t xml:space="preserve">Los comprobantes fiscales digitales por concepto de nómina, </w:t>
      </w:r>
    </w:p>
    <w:p w14:paraId="623AB047" w14:textId="77777777" w:rsidR="00267BE2" w:rsidRPr="00F867F2" w:rsidRDefault="00675343">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F867F2">
        <w:rPr>
          <w:rFonts w:ascii="Palatino Linotype" w:eastAsia="Palatino Linotype" w:hAnsi="Palatino Linotype" w:cs="Palatino Linotype"/>
          <w:color w:val="000000"/>
        </w:rPr>
        <w:t xml:space="preserve">Pólizas de egresos o cheque del pago de </w:t>
      </w:r>
      <w:r w:rsidRPr="00F867F2">
        <w:rPr>
          <w:rFonts w:ascii="Palatino Linotype" w:eastAsia="Palatino Linotype" w:hAnsi="Palatino Linotype" w:cs="Palatino Linotype"/>
        </w:rPr>
        <w:t>n</w:t>
      </w:r>
      <w:r w:rsidRPr="00F867F2">
        <w:rPr>
          <w:rFonts w:ascii="Palatino Linotype" w:eastAsia="Palatino Linotype" w:hAnsi="Palatino Linotype" w:cs="Palatino Linotype"/>
          <w:color w:val="000000"/>
        </w:rPr>
        <w:t xml:space="preserve">ómina, y </w:t>
      </w:r>
    </w:p>
    <w:p w14:paraId="00897D85" w14:textId="77777777" w:rsidR="00267BE2" w:rsidRPr="00F867F2" w:rsidRDefault="00675343">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F867F2">
        <w:rPr>
          <w:rFonts w:ascii="Palatino Linotype" w:eastAsia="Palatino Linotype" w:hAnsi="Palatino Linotype" w:cs="Palatino Linotype"/>
          <w:color w:val="000000"/>
        </w:rPr>
        <w:t>La nómina detallada.</w:t>
      </w:r>
    </w:p>
    <w:p w14:paraId="35A1161B" w14:textId="77777777" w:rsidR="00267BE2" w:rsidRPr="00F867F2" w:rsidRDefault="00267BE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FD9EBE3" w14:textId="77777777" w:rsidR="00267BE2" w:rsidRPr="00F867F2" w:rsidRDefault="00675343">
      <w:pPr>
        <w:pBdr>
          <w:top w:val="nil"/>
          <w:left w:val="nil"/>
          <w:bottom w:val="nil"/>
          <w:right w:val="nil"/>
          <w:between w:val="nil"/>
        </w:pBdr>
        <w:spacing w:line="360" w:lineRule="auto"/>
        <w:jc w:val="both"/>
        <w:rPr>
          <w:rFonts w:ascii="Palatino Linotype" w:eastAsia="Palatino Linotype" w:hAnsi="Palatino Linotype" w:cs="Palatino Linotype"/>
          <w:i/>
        </w:rPr>
      </w:pPr>
      <w:r w:rsidRPr="00F867F2">
        <w:rPr>
          <w:rFonts w:ascii="Palatino Linotype" w:eastAsia="Palatino Linotype" w:hAnsi="Palatino Linotype" w:cs="Palatino Linotype"/>
          <w:color w:val="000000"/>
        </w:rPr>
        <w:t xml:space="preserve">Entonces, </w:t>
      </w:r>
      <w:r w:rsidRPr="00F867F2">
        <w:rPr>
          <w:rFonts w:ascii="Palatino Linotype" w:eastAsia="Palatino Linotype" w:hAnsi="Palatino Linotype" w:cs="Palatino Linotype"/>
          <w:b/>
          <w:color w:val="000000"/>
        </w:rPr>
        <w:t>EL SUJETO OBLIGADO,</w:t>
      </w:r>
      <w:r w:rsidRPr="00F867F2">
        <w:rPr>
          <w:rFonts w:ascii="Palatino Linotype" w:eastAsia="Palatino Linotype" w:hAnsi="Palatino Linotype" w:cs="Palatino Linotype"/>
          <w:color w:val="000000"/>
        </w:rPr>
        <w:t xml:space="preserve"> mediante la Servidora Pública Habilitada de la Tesorería Municipal, respondió con el oficio </w:t>
      </w:r>
      <w:r w:rsidRPr="00F867F2">
        <w:rPr>
          <w:rFonts w:ascii="Palatino Linotype" w:eastAsia="Palatino Linotype" w:hAnsi="Palatino Linotype" w:cs="Palatino Linotype"/>
          <w:i/>
        </w:rPr>
        <w:t xml:space="preserve">ATL/TM/00074/2022 </w:t>
      </w:r>
      <w:r w:rsidRPr="00F867F2">
        <w:rPr>
          <w:rFonts w:ascii="Palatino Linotype" w:eastAsia="Palatino Linotype" w:hAnsi="Palatino Linotype" w:cs="Palatino Linotype"/>
        </w:rPr>
        <w:t xml:space="preserve">de cita literal: </w:t>
      </w:r>
      <w:r w:rsidRPr="00F867F2">
        <w:rPr>
          <w:rFonts w:ascii="Palatino Linotype" w:eastAsia="Palatino Linotype" w:hAnsi="Palatino Linotype" w:cs="Palatino Linotype"/>
          <w:i/>
        </w:rPr>
        <w:t xml:space="preserve"> </w:t>
      </w:r>
    </w:p>
    <w:p w14:paraId="663B6636" w14:textId="77777777" w:rsidR="00267BE2" w:rsidRPr="00F867F2" w:rsidRDefault="00267BE2">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14:paraId="0FCD2479"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F867F2">
        <w:rPr>
          <w:rFonts w:ascii="Palatino Linotype" w:eastAsia="Palatino Linotype" w:hAnsi="Palatino Linotype" w:cs="Palatino Linotype"/>
          <w:i/>
          <w:color w:val="404040"/>
          <w:sz w:val="22"/>
          <w:szCs w:val="22"/>
        </w:rPr>
        <w:t>“Quien suscribe Lic. En C.P.Y.A.P. Lorena Edith Torres Sánchez Tesorera Municipal de Atlautla.</w:t>
      </w:r>
    </w:p>
    <w:p w14:paraId="4BFCFD4A"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F867F2">
        <w:rPr>
          <w:rFonts w:ascii="Palatino Linotype" w:eastAsia="Palatino Linotype" w:hAnsi="Palatino Linotype" w:cs="Palatino Linotype"/>
          <w:i/>
          <w:color w:val="404040"/>
          <w:sz w:val="22"/>
          <w:szCs w:val="22"/>
        </w:rPr>
        <w:t>Sirva este medio para enviarles un afectuoso saludo, al mismo tiempo aprovecho la ocasión para atender a la solicitud de información.</w:t>
      </w:r>
    </w:p>
    <w:p w14:paraId="438DD6BA"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F867F2">
        <w:rPr>
          <w:rFonts w:ascii="Palatino Linotype" w:eastAsia="Palatino Linotype" w:hAnsi="Palatino Linotype" w:cs="Palatino Linotype"/>
          <w:i/>
          <w:color w:val="404040"/>
          <w:sz w:val="22"/>
          <w:szCs w:val="22"/>
        </w:rPr>
        <w:t xml:space="preserve">Tras un proceso de Revocación de Mandato que sufrió el Municipio de Atlautla en el año 2021, se activó un gobierno provisional, que operaría del 01 de enero al 30 de junio del 2022. Se terminó el periodo del Gobierno Provisional y a partir del 1 de Julio del año en curso, la presente administración del C. Raúl Navarro Rivera </w:t>
      </w:r>
      <w:proofErr w:type="gramStart"/>
      <w:r w:rsidRPr="00F867F2">
        <w:rPr>
          <w:rFonts w:ascii="Palatino Linotype" w:eastAsia="Palatino Linotype" w:hAnsi="Palatino Linotype" w:cs="Palatino Linotype"/>
          <w:i/>
          <w:color w:val="404040"/>
          <w:sz w:val="22"/>
          <w:szCs w:val="22"/>
        </w:rPr>
        <w:t>Presidente</w:t>
      </w:r>
      <w:proofErr w:type="gramEnd"/>
      <w:r w:rsidRPr="00F867F2">
        <w:rPr>
          <w:rFonts w:ascii="Palatino Linotype" w:eastAsia="Palatino Linotype" w:hAnsi="Palatino Linotype" w:cs="Palatino Linotype"/>
          <w:i/>
          <w:color w:val="404040"/>
          <w:sz w:val="22"/>
          <w:szCs w:val="22"/>
        </w:rPr>
        <w:t xml:space="preserve"> Municipal está en operación.</w:t>
      </w:r>
    </w:p>
    <w:p w14:paraId="3373650E"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b/>
          <w:i/>
          <w:color w:val="404040"/>
          <w:sz w:val="22"/>
          <w:szCs w:val="22"/>
          <w:u w:val="single"/>
        </w:rPr>
      </w:pPr>
      <w:r w:rsidRPr="00F867F2">
        <w:rPr>
          <w:rFonts w:ascii="Palatino Linotype" w:eastAsia="Palatino Linotype" w:hAnsi="Palatino Linotype" w:cs="Palatino Linotype"/>
          <w:b/>
          <w:i/>
          <w:color w:val="404040"/>
          <w:sz w:val="22"/>
          <w:szCs w:val="22"/>
          <w:u w:val="single"/>
        </w:rPr>
        <w:t>De acuerdo a la información solicitada, y que en el entendido de que somos una administración nueva, no tengo acceso a la información de mayo del ejercicio fiscal 2022.</w:t>
      </w:r>
      <w:r w:rsidRPr="00F867F2">
        <w:rPr>
          <w:rFonts w:ascii="Palatino Linotype" w:eastAsia="Palatino Linotype" w:hAnsi="Palatino Linotype" w:cs="Palatino Linotype"/>
          <w:i/>
          <w:color w:val="404040"/>
          <w:sz w:val="22"/>
          <w:szCs w:val="22"/>
        </w:rPr>
        <w:t xml:space="preserve">” (Sic) </w:t>
      </w:r>
      <w:r w:rsidRPr="00F867F2">
        <w:rPr>
          <w:rFonts w:ascii="Palatino Linotype" w:eastAsia="Palatino Linotype" w:hAnsi="Palatino Linotype" w:cs="Palatino Linotype"/>
          <w:b/>
          <w:i/>
          <w:color w:val="404040"/>
          <w:sz w:val="22"/>
          <w:szCs w:val="22"/>
          <w:u w:val="single"/>
        </w:rPr>
        <w:t>Énfasis añadido</w:t>
      </w:r>
    </w:p>
    <w:p w14:paraId="6CF88880" w14:textId="77777777" w:rsidR="00267BE2" w:rsidRPr="00F867F2" w:rsidRDefault="00267BE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5997C1B" w14:textId="77777777" w:rsidR="00267BE2" w:rsidRPr="00F867F2" w:rsidRDefault="00675343">
      <w:pPr>
        <w:spacing w:line="360" w:lineRule="auto"/>
        <w:jc w:val="both"/>
        <w:rPr>
          <w:rFonts w:ascii="Palatino Linotype" w:eastAsia="Palatino Linotype" w:hAnsi="Palatino Linotype" w:cs="Palatino Linotype"/>
        </w:rPr>
      </w:pPr>
      <w:r w:rsidRPr="00F867F2">
        <w:rPr>
          <w:rFonts w:ascii="Palatino Linotype" w:eastAsia="Palatino Linotype" w:hAnsi="Palatino Linotype" w:cs="Palatino Linotype"/>
        </w:rPr>
        <w:t xml:space="preserve">Se debe resaltar </w:t>
      </w:r>
      <w:proofErr w:type="gramStart"/>
      <w:r w:rsidRPr="00F867F2">
        <w:rPr>
          <w:rFonts w:ascii="Palatino Linotype" w:eastAsia="Palatino Linotype" w:hAnsi="Palatino Linotype" w:cs="Palatino Linotype"/>
        </w:rPr>
        <w:t>que</w:t>
      </w:r>
      <w:proofErr w:type="gramEnd"/>
      <w:r w:rsidRPr="00F867F2">
        <w:rPr>
          <w:rFonts w:ascii="Palatino Linotype" w:eastAsia="Palatino Linotype" w:hAnsi="Palatino Linotype" w:cs="Palatino Linotype"/>
        </w:rPr>
        <w:t xml:space="preserve"> con la información remitida por </w:t>
      </w:r>
      <w:r w:rsidRPr="00F867F2">
        <w:rPr>
          <w:rFonts w:ascii="Palatino Linotype" w:eastAsia="Palatino Linotype" w:hAnsi="Palatino Linotype" w:cs="Palatino Linotype"/>
          <w:b/>
        </w:rPr>
        <w:t>EL SUJETO OBLIGADO,</w:t>
      </w:r>
      <w:r w:rsidRPr="00F867F2">
        <w:rPr>
          <w:rFonts w:ascii="Palatino Linotype" w:eastAsia="Palatino Linotype" w:hAnsi="Palatino Linotype" w:cs="Palatino Linotype"/>
        </w:rPr>
        <w:t xml:space="preserve"> este no niega contar ella</w:t>
      </w:r>
      <w:r w:rsidRPr="00F867F2">
        <w:rPr>
          <w:rFonts w:ascii="Palatino Linotype" w:eastAsia="Palatino Linotype" w:hAnsi="Palatino Linotype" w:cs="Palatino Linotype"/>
          <w:b/>
        </w:rPr>
        <w:t>,</w:t>
      </w:r>
      <w:r w:rsidRPr="00F867F2">
        <w:rPr>
          <w:rFonts w:ascii="Palatino Linotype" w:eastAsia="Palatino Linotype" w:hAnsi="Palatino Linotype" w:cs="Palatino Linotype"/>
        </w:rPr>
        <w:t xml:space="preserve"> sino por el contrario; señala </w:t>
      </w:r>
      <w:r w:rsidRPr="00F867F2">
        <w:rPr>
          <w:rFonts w:ascii="Palatino Linotype" w:eastAsia="Palatino Linotype" w:hAnsi="Palatino Linotype" w:cs="Palatino Linotype"/>
          <w:i/>
        </w:rPr>
        <w:t>“… no tengo acceso a la información de mayo del ejercicio fiscal 2022…” (Sic),</w:t>
      </w:r>
      <w:r w:rsidRPr="00F867F2">
        <w:rPr>
          <w:rFonts w:ascii="Palatino Linotype" w:eastAsia="Palatino Linotype" w:hAnsi="Palatino Linotype" w:cs="Palatino Linotype"/>
        </w:rPr>
        <w:t xml:space="preserve"> entonces, la competencia para generar, poseer y administrar la información solicitada, en el caso concreto, es obvia.</w:t>
      </w:r>
    </w:p>
    <w:p w14:paraId="3C3AD6F9" w14:textId="77777777" w:rsidR="00267BE2" w:rsidRPr="00F867F2" w:rsidRDefault="00267BE2">
      <w:pPr>
        <w:spacing w:line="360" w:lineRule="auto"/>
        <w:jc w:val="both"/>
        <w:rPr>
          <w:rFonts w:ascii="Palatino Linotype" w:eastAsia="Palatino Linotype" w:hAnsi="Palatino Linotype" w:cs="Palatino Linotype"/>
        </w:rPr>
      </w:pPr>
    </w:p>
    <w:p w14:paraId="3855ED04" w14:textId="77777777" w:rsidR="00267BE2" w:rsidRPr="00F867F2" w:rsidRDefault="00675343">
      <w:pPr>
        <w:spacing w:line="360" w:lineRule="auto"/>
        <w:ind w:right="49"/>
        <w:jc w:val="both"/>
        <w:rPr>
          <w:rFonts w:ascii="Palatino Linotype" w:eastAsia="Palatino Linotype" w:hAnsi="Palatino Linotype" w:cs="Palatino Linotype"/>
        </w:rPr>
      </w:pPr>
      <w:r w:rsidRPr="00F867F2">
        <w:rPr>
          <w:rFonts w:ascii="Palatino Linotype" w:eastAsia="Palatino Linotype" w:hAnsi="Palatino Linotype" w:cs="Palatino Linotype"/>
        </w:rPr>
        <w:lastRenderedPageBreak/>
        <w:t xml:space="preserve">No obstante, en aras de acentuar el principio de legalidad, se abona en el ámbito competencial del </w:t>
      </w:r>
      <w:r w:rsidRPr="00F867F2">
        <w:rPr>
          <w:rFonts w:ascii="Palatino Linotype" w:eastAsia="Palatino Linotype" w:hAnsi="Palatino Linotype" w:cs="Palatino Linotype"/>
          <w:b/>
        </w:rPr>
        <w:t>SUJETO OBLIGADO</w:t>
      </w:r>
      <w:r w:rsidRPr="00F867F2">
        <w:rPr>
          <w:rFonts w:ascii="Palatino Linotype" w:eastAsia="Palatino Linotype" w:hAnsi="Palatino Linotype" w:cs="Palatino Linotype"/>
        </w:rPr>
        <w:t xml:space="preserve">, y en este caso, la Tesorería Municipal cuenta con las atribuciones siguientes: </w:t>
      </w:r>
    </w:p>
    <w:p w14:paraId="53729522" w14:textId="77777777" w:rsidR="00267BE2" w:rsidRPr="00F867F2" w:rsidRDefault="00267BE2">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14:paraId="6DD01BA8"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b/>
          <w:i/>
          <w:color w:val="404040"/>
          <w:sz w:val="22"/>
          <w:szCs w:val="22"/>
        </w:rPr>
      </w:pPr>
      <w:r w:rsidRPr="00F867F2">
        <w:rPr>
          <w:rFonts w:ascii="Palatino Linotype" w:eastAsia="Palatino Linotype" w:hAnsi="Palatino Linotype" w:cs="Palatino Linotype"/>
          <w:b/>
          <w:i/>
          <w:color w:val="404040"/>
          <w:sz w:val="22"/>
          <w:szCs w:val="22"/>
        </w:rPr>
        <w:t xml:space="preserve">LEY ORGÁNICA MUNICIPAL DEL ESTADO DE MÉXICO </w:t>
      </w:r>
    </w:p>
    <w:p w14:paraId="63C1E1DB"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F867F2">
        <w:rPr>
          <w:rFonts w:ascii="Palatino Linotype" w:eastAsia="Palatino Linotype" w:hAnsi="Palatino Linotype" w:cs="Palatino Linotype"/>
          <w:i/>
          <w:color w:val="404040"/>
          <w:sz w:val="22"/>
          <w:szCs w:val="22"/>
        </w:rPr>
        <w:t xml:space="preserve">TITULO IV RÉGIMEN ADMINISTRATIVO </w:t>
      </w:r>
    </w:p>
    <w:p w14:paraId="20028912"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F867F2">
        <w:rPr>
          <w:rFonts w:ascii="Palatino Linotype" w:eastAsia="Palatino Linotype" w:hAnsi="Palatino Linotype" w:cs="Palatino Linotype"/>
          <w:i/>
          <w:color w:val="404040"/>
          <w:sz w:val="22"/>
          <w:szCs w:val="22"/>
        </w:rPr>
        <w:t>CAPITULO SEGUNDO DE LA TESORERÍA MUNICIPAL</w:t>
      </w:r>
    </w:p>
    <w:p w14:paraId="1C512A58"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F867F2">
        <w:rPr>
          <w:rFonts w:ascii="Palatino Linotype" w:eastAsia="Palatino Linotype" w:hAnsi="Palatino Linotype" w:cs="Palatino Linotype"/>
          <w:i/>
          <w:color w:val="404040"/>
          <w:sz w:val="22"/>
          <w:szCs w:val="22"/>
        </w:rPr>
        <w:t>Artículo 94.- El tesorero municipal, al tomar posesión de su cargo, recibirá la hacienda pública de acuerdo con las previsiones a que se refiere el artículo 19 de esta Ley y remitirá un ejemplar de dicha documentación al ayuntamiento, al Órgano Superior de Fiscalización del Estado de México y al archivo de la tesorería.</w:t>
      </w:r>
    </w:p>
    <w:p w14:paraId="70D22B49" w14:textId="77777777" w:rsidR="00267BE2" w:rsidRPr="00F867F2" w:rsidRDefault="00267BE2">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14:paraId="49D38E00"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F867F2">
        <w:rPr>
          <w:rFonts w:ascii="Palatino Linotype" w:eastAsia="Palatino Linotype" w:hAnsi="Palatino Linotype" w:cs="Palatino Linotype"/>
          <w:i/>
          <w:color w:val="404040"/>
          <w:sz w:val="22"/>
          <w:szCs w:val="22"/>
        </w:rPr>
        <w:t>Artículo 95.- Son atribuciones del tesorero municipal:</w:t>
      </w:r>
    </w:p>
    <w:p w14:paraId="53FB60DA"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F867F2">
        <w:rPr>
          <w:rFonts w:ascii="Palatino Linotype" w:eastAsia="Palatino Linotype" w:hAnsi="Palatino Linotype" w:cs="Palatino Linotype"/>
          <w:i/>
          <w:color w:val="404040"/>
          <w:sz w:val="22"/>
          <w:szCs w:val="22"/>
        </w:rPr>
        <w:t>I. Administrar la hacienda pública municipal, de conformidad con las disposiciones legales aplicables;</w:t>
      </w:r>
    </w:p>
    <w:p w14:paraId="6DBF76A4"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F867F2">
        <w:rPr>
          <w:rFonts w:ascii="Palatino Linotype" w:eastAsia="Palatino Linotype" w:hAnsi="Palatino Linotype" w:cs="Palatino Linotype"/>
          <w:i/>
          <w:color w:val="404040"/>
          <w:sz w:val="22"/>
          <w:szCs w:val="22"/>
        </w:rPr>
        <w:t>(…)</w:t>
      </w:r>
    </w:p>
    <w:p w14:paraId="65375D8C"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F867F2">
        <w:rPr>
          <w:rFonts w:ascii="Palatino Linotype" w:eastAsia="Palatino Linotype" w:hAnsi="Palatino Linotype" w:cs="Palatino Linotype"/>
          <w:i/>
          <w:color w:val="404040"/>
          <w:sz w:val="22"/>
          <w:szCs w:val="22"/>
        </w:rPr>
        <w:t>IV. Llevar los registros contables, financieros y administrativos de los ingresos, egresos, e inventarios;</w:t>
      </w:r>
    </w:p>
    <w:p w14:paraId="180CBA53"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F867F2">
        <w:rPr>
          <w:rFonts w:ascii="Palatino Linotype" w:eastAsia="Palatino Linotype" w:hAnsi="Palatino Linotype" w:cs="Palatino Linotype"/>
          <w:i/>
          <w:color w:val="404040"/>
          <w:sz w:val="22"/>
          <w:szCs w:val="22"/>
        </w:rPr>
        <w:t>(…)</w:t>
      </w:r>
    </w:p>
    <w:p w14:paraId="3B54BC4C" w14:textId="77777777" w:rsidR="00267BE2" w:rsidRPr="00F867F2" w:rsidRDefault="00267BE2">
      <w:pPr>
        <w:spacing w:line="360" w:lineRule="auto"/>
        <w:jc w:val="both"/>
        <w:rPr>
          <w:rFonts w:ascii="Palatino Linotype" w:eastAsia="Palatino Linotype" w:hAnsi="Palatino Linotype" w:cs="Palatino Linotype"/>
        </w:rPr>
      </w:pPr>
    </w:p>
    <w:p w14:paraId="3CC887A7" w14:textId="77777777" w:rsidR="00267BE2" w:rsidRPr="00F867F2" w:rsidRDefault="00675343">
      <w:pPr>
        <w:spacing w:line="360" w:lineRule="auto"/>
        <w:jc w:val="both"/>
        <w:rPr>
          <w:rFonts w:ascii="Palatino Linotype" w:eastAsia="Palatino Linotype" w:hAnsi="Palatino Linotype" w:cs="Palatino Linotype"/>
        </w:rPr>
      </w:pPr>
      <w:r w:rsidRPr="00F867F2">
        <w:rPr>
          <w:rFonts w:ascii="Palatino Linotype" w:eastAsia="Palatino Linotype" w:hAnsi="Palatino Linotype" w:cs="Palatino Linotype"/>
        </w:rPr>
        <w:t>El Bando Municipal de Policía y Buen Gobierno de Atlautla 2022 del Ayuntamiento Provisional de Atlautla 2022</w:t>
      </w:r>
      <w:r w:rsidRPr="00F867F2">
        <w:rPr>
          <w:rFonts w:ascii="Palatino Linotype" w:eastAsia="Palatino Linotype" w:hAnsi="Palatino Linotype" w:cs="Palatino Linotype"/>
          <w:vertAlign w:val="superscript"/>
        </w:rPr>
        <w:footnoteReference w:id="3"/>
      </w:r>
      <w:r w:rsidRPr="00F867F2">
        <w:rPr>
          <w:rFonts w:ascii="Palatino Linotype" w:eastAsia="Palatino Linotype" w:hAnsi="Palatino Linotype" w:cs="Palatino Linotype"/>
        </w:rPr>
        <w:t xml:space="preserve">, dice: </w:t>
      </w:r>
    </w:p>
    <w:p w14:paraId="7408D58D" w14:textId="77777777" w:rsidR="00267BE2" w:rsidRPr="00F867F2" w:rsidRDefault="00267BE2">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14:paraId="11F571CB"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F867F2">
        <w:rPr>
          <w:i/>
          <w:color w:val="404040"/>
        </w:rPr>
        <w:t>TÍTULO QUINTO DE LAS ATRIBUCIONES DE LAS DEPENDENCIAS PÚBLICAS CENTRALIZADAS Y DESCENTRALIZADAS</w:t>
      </w:r>
    </w:p>
    <w:p w14:paraId="101B3E0F"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F867F2">
        <w:rPr>
          <w:rFonts w:ascii="Palatino Linotype" w:eastAsia="Palatino Linotype" w:hAnsi="Palatino Linotype" w:cs="Palatino Linotype"/>
          <w:i/>
          <w:color w:val="404040"/>
          <w:sz w:val="22"/>
          <w:szCs w:val="22"/>
        </w:rPr>
        <w:t xml:space="preserve">CAPÍTULO III DE LA TESORERÍA MUNICIPAL </w:t>
      </w:r>
    </w:p>
    <w:p w14:paraId="0028799B"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F867F2">
        <w:rPr>
          <w:rFonts w:ascii="Palatino Linotype" w:eastAsia="Palatino Linotype" w:hAnsi="Palatino Linotype" w:cs="Palatino Linotype"/>
          <w:i/>
          <w:color w:val="404040"/>
          <w:sz w:val="22"/>
          <w:szCs w:val="22"/>
        </w:rPr>
        <w:t xml:space="preserve">Artículo 58. La Tesorería Municipal para cumplir con su función formal que le confiere la Ley Orgánica, a través de su titular, será el área encargada de la recaudación de los ingresos municipales y responsable de </w:t>
      </w:r>
      <w:r w:rsidRPr="00F867F2">
        <w:rPr>
          <w:rFonts w:ascii="Palatino Linotype" w:eastAsia="Palatino Linotype" w:hAnsi="Palatino Linotype" w:cs="Palatino Linotype"/>
          <w:b/>
          <w:i/>
          <w:color w:val="404040"/>
          <w:sz w:val="22"/>
          <w:szCs w:val="22"/>
        </w:rPr>
        <w:t>realizar las erogaciones</w:t>
      </w:r>
      <w:r w:rsidRPr="00F867F2">
        <w:rPr>
          <w:rFonts w:ascii="Palatino Linotype" w:eastAsia="Palatino Linotype" w:hAnsi="Palatino Linotype" w:cs="Palatino Linotype"/>
          <w:i/>
          <w:color w:val="404040"/>
          <w:sz w:val="22"/>
          <w:szCs w:val="22"/>
        </w:rPr>
        <w:t xml:space="preserve">, así como la administración de la Hacienda pública municipal. </w:t>
      </w:r>
    </w:p>
    <w:p w14:paraId="2BCDCC9B"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F867F2">
        <w:rPr>
          <w:rFonts w:ascii="Palatino Linotype" w:eastAsia="Palatino Linotype" w:hAnsi="Palatino Linotype" w:cs="Palatino Linotype"/>
          <w:i/>
          <w:color w:val="404040"/>
          <w:sz w:val="22"/>
          <w:szCs w:val="22"/>
        </w:rPr>
        <w:lastRenderedPageBreak/>
        <w:t>Deberá implementar las medidas y mecanismos previamente aprobados por el Ayuntamiento tendientes a difundir la cultura del pago, ampliar a la base de contribuyentes y estimular el pago oportuno de conformidad con lo establecido en el Código Financiero, la Ley de Ingresos Municipal y demás ordenamientos aplicables en la materia.</w:t>
      </w:r>
    </w:p>
    <w:p w14:paraId="112F30FA" w14:textId="77777777" w:rsidR="00267BE2" w:rsidRPr="00F867F2" w:rsidRDefault="00267BE2">
      <w:pPr>
        <w:spacing w:line="360" w:lineRule="auto"/>
        <w:jc w:val="both"/>
        <w:rPr>
          <w:rFonts w:ascii="Palatino Linotype" w:eastAsia="Palatino Linotype" w:hAnsi="Palatino Linotype" w:cs="Palatino Linotype"/>
        </w:rPr>
      </w:pPr>
    </w:p>
    <w:p w14:paraId="5A76A070" w14:textId="77777777" w:rsidR="00267BE2" w:rsidRPr="00F867F2" w:rsidRDefault="00675343">
      <w:pPr>
        <w:spacing w:line="360" w:lineRule="auto"/>
        <w:jc w:val="both"/>
        <w:rPr>
          <w:rFonts w:ascii="Palatino Linotype" w:eastAsia="Palatino Linotype" w:hAnsi="Palatino Linotype" w:cs="Palatino Linotype"/>
        </w:rPr>
      </w:pPr>
      <w:r w:rsidRPr="00F867F2">
        <w:rPr>
          <w:rFonts w:ascii="Palatino Linotype" w:eastAsia="Palatino Linotype" w:hAnsi="Palatino Linotype" w:cs="Palatino Linotype"/>
        </w:rPr>
        <w:t xml:space="preserve">Continuando con el estudio de mérito, este Instituto estima que la información entregada al particular, no satisface el Derecho de Acceso a la Información de </w:t>
      </w:r>
      <w:r w:rsidRPr="00F867F2">
        <w:rPr>
          <w:rFonts w:ascii="Palatino Linotype" w:eastAsia="Palatino Linotype" w:hAnsi="Palatino Linotype" w:cs="Palatino Linotype"/>
          <w:b/>
        </w:rPr>
        <w:t>LA PARTE RECURRENTE</w:t>
      </w:r>
      <w:r w:rsidRPr="00F867F2">
        <w:rPr>
          <w:rFonts w:ascii="Palatino Linotype" w:eastAsia="Palatino Linotype" w:hAnsi="Palatino Linotype" w:cs="Palatino Linotype"/>
        </w:rPr>
        <w:t xml:space="preserve"> en razón de lo establecido en la propia Ley de Transparencia y Acceso a la Información Pública del Estado de México y Municipios, pues toda la información generada, obtenida, adquirida, transformada, administrada o en posesión de los Sujetos Obligados debe considerarse como pública y accesible de manera permanente a cualquier persona que requiera el acceso a la misma. </w:t>
      </w:r>
    </w:p>
    <w:p w14:paraId="13F5DCAE" w14:textId="77777777" w:rsidR="00267BE2" w:rsidRPr="00F867F2" w:rsidRDefault="00267BE2">
      <w:pPr>
        <w:spacing w:line="360" w:lineRule="auto"/>
        <w:jc w:val="both"/>
        <w:rPr>
          <w:rFonts w:ascii="Palatino Linotype" w:eastAsia="Palatino Linotype" w:hAnsi="Palatino Linotype" w:cs="Palatino Linotype"/>
        </w:rPr>
      </w:pPr>
    </w:p>
    <w:p w14:paraId="5A1FB994" w14:textId="77777777" w:rsidR="00267BE2" w:rsidRPr="00F867F2" w:rsidRDefault="00675343">
      <w:pPr>
        <w:spacing w:line="360" w:lineRule="auto"/>
        <w:jc w:val="both"/>
        <w:rPr>
          <w:rFonts w:ascii="Palatino Linotype" w:eastAsia="Palatino Linotype" w:hAnsi="Palatino Linotype" w:cs="Palatino Linotype"/>
        </w:rPr>
      </w:pPr>
      <w:r w:rsidRPr="00F867F2">
        <w:rPr>
          <w:rFonts w:ascii="Palatino Linotype" w:eastAsia="Palatino Linotype" w:hAnsi="Palatino Linotype" w:cs="Palatino Linotype"/>
        </w:rPr>
        <w:t xml:space="preserve">Entonces, el hecho de que se haya instaurado un gobierno provisional para </w:t>
      </w:r>
      <w:r w:rsidRPr="00F867F2">
        <w:rPr>
          <w:rFonts w:ascii="Palatino Linotype" w:eastAsia="Palatino Linotype" w:hAnsi="Palatino Linotype" w:cs="Palatino Linotype"/>
          <w:b/>
        </w:rPr>
        <w:t>EL SUJETO OBLIGADO</w:t>
      </w:r>
      <w:r w:rsidRPr="00F867F2">
        <w:rPr>
          <w:rFonts w:ascii="Palatino Linotype" w:eastAsia="Palatino Linotype" w:hAnsi="Palatino Linotype" w:cs="Palatino Linotype"/>
        </w:rPr>
        <w:t xml:space="preserve"> y el nuevo Ayuntamiento haya asumido funciones a partir del primero de julio del dos mil veintidós; no era óbice para que la información se hubiera proporcionado, pues es dable entender que la misma ya se encontraba en los archivos del </w:t>
      </w:r>
      <w:r w:rsidRPr="00F867F2">
        <w:rPr>
          <w:rFonts w:ascii="Palatino Linotype" w:eastAsia="Palatino Linotype" w:hAnsi="Palatino Linotype" w:cs="Palatino Linotype"/>
          <w:b/>
        </w:rPr>
        <w:t>SUJETO OBLIGADO</w:t>
      </w:r>
      <w:r w:rsidRPr="00F867F2">
        <w:rPr>
          <w:rFonts w:ascii="Palatino Linotype" w:eastAsia="Palatino Linotype" w:hAnsi="Palatino Linotype" w:cs="Palatino Linotype"/>
        </w:rPr>
        <w:t xml:space="preserve">, y no significaba impedimento hacer para la entrega a </w:t>
      </w:r>
      <w:r w:rsidRPr="00F867F2">
        <w:rPr>
          <w:rFonts w:ascii="Palatino Linotype" w:eastAsia="Palatino Linotype" w:hAnsi="Palatino Linotype" w:cs="Palatino Linotype"/>
          <w:b/>
        </w:rPr>
        <w:t>LA PARTE RECURRENTE</w:t>
      </w:r>
      <w:r w:rsidRPr="00F867F2">
        <w:rPr>
          <w:rFonts w:ascii="Palatino Linotype" w:eastAsia="Palatino Linotype" w:hAnsi="Palatino Linotype" w:cs="Palatino Linotype"/>
        </w:rPr>
        <w:t xml:space="preserve"> en el momento procesal oportuno. </w:t>
      </w:r>
    </w:p>
    <w:p w14:paraId="0E1F4FB7" w14:textId="77777777" w:rsidR="00267BE2" w:rsidRPr="00F867F2" w:rsidRDefault="00267BE2">
      <w:pPr>
        <w:spacing w:line="360" w:lineRule="auto"/>
        <w:ind w:right="51"/>
        <w:jc w:val="both"/>
        <w:rPr>
          <w:rFonts w:ascii="Palatino Linotype" w:eastAsia="Palatino Linotype" w:hAnsi="Palatino Linotype" w:cs="Palatino Linotype"/>
        </w:rPr>
      </w:pPr>
    </w:p>
    <w:p w14:paraId="6241D700" w14:textId="77777777" w:rsidR="00267BE2" w:rsidRPr="00F867F2" w:rsidRDefault="00675343">
      <w:pPr>
        <w:spacing w:line="360" w:lineRule="auto"/>
        <w:ind w:right="51"/>
        <w:jc w:val="both"/>
        <w:rPr>
          <w:rFonts w:ascii="Palatino Linotype" w:eastAsia="Palatino Linotype" w:hAnsi="Palatino Linotype" w:cs="Palatino Linotype"/>
        </w:rPr>
      </w:pPr>
      <w:r w:rsidRPr="00F867F2">
        <w:rPr>
          <w:rFonts w:ascii="Palatino Linotype" w:eastAsia="Palatino Linotype" w:hAnsi="Palatino Linotype" w:cs="Palatino Linotype"/>
        </w:rPr>
        <w:t xml:space="preserve">En este contexto, es importante traer a contexto lo estipulado en la fracción XXXII del artículo 3 del Código Financiero del Estado de México y Municipios establece que la remuneración consiste en los pagos hechos por concepto de sueldo, compensaciones, gratificaciones, habitación, primas, comisiones, prestaciones, en </w:t>
      </w:r>
      <w:r w:rsidRPr="00F867F2">
        <w:rPr>
          <w:rFonts w:ascii="Palatino Linotype" w:eastAsia="Palatino Linotype" w:hAnsi="Palatino Linotype" w:cs="Palatino Linotype"/>
        </w:rPr>
        <w:lastRenderedPageBreak/>
        <w:t>especie y cualquier otra percepción o prestación que se entregue al servidor por su trabajo.</w:t>
      </w:r>
    </w:p>
    <w:p w14:paraId="12E20BB2" w14:textId="77777777" w:rsidR="00267BE2" w:rsidRPr="00F867F2" w:rsidRDefault="00267BE2">
      <w:pPr>
        <w:pBdr>
          <w:top w:val="nil"/>
          <w:left w:val="nil"/>
          <w:bottom w:val="nil"/>
          <w:right w:val="nil"/>
          <w:between w:val="nil"/>
        </w:pBdr>
        <w:ind w:left="864" w:right="864"/>
        <w:jc w:val="both"/>
        <w:rPr>
          <w:i/>
          <w:color w:val="404040"/>
          <w:sz w:val="22"/>
          <w:szCs w:val="22"/>
        </w:rPr>
      </w:pPr>
    </w:p>
    <w:p w14:paraId="04E76656" w14:textId="77777777" w:rsidR="00267BE2" w:rsidRPr="00F867F2" w:rsidRDefault="00675343">
      <w:pPr>
        <w:pBdr>
          <w:top w:val="nil"/>
          <w:left w:val="nil"/>
          <w:bottom w:val="nil"/>
          <w:right w:val="nil"/>
          <w:between w:val="nil"/>
        </w:pBdr>
        <w:ind w:left="864" w:right="864"/>
        <w:jc w:val="both"/>
        <w:rPr>
          <w:i/>
          <w:color w:val="404040"/>
          <w:sz w:val="22"/>
          <w:szCs w:val="22"/>
        </w:rPr>
      </w:pPr>
      <w:r w:rsidRPr="00F867F2">
        <w:rPr>
          <w:i/>
          <w:color w:val="404040"/>
          <w:sz w:val="22"/>
          <w:szCs w:val="22"/>
        </w:rPr>
        <w:t>Artículo 3.- Para efectos de este Código, Ley de Ingresos del Estado y del Presupuesto de Egresos se entenderá por:</w:t>
      </w:r>
    </w:p>
    <w:p w14:paraId="3C4DAD56" w14:textId="77777777" w:rsidR="00267BE2" w:rsidRPr="00F867F2" w:rsidRDefault="00675343">
      <w:pPr>
        <w:pBdr>
          <w:top w:val="nil"/>
          <w:left w:val="nil"/>
          <w:bottom w:val="nil"/>
          <w:right w:val="nil"/>
          <w:between w:val="nil"/>
        </w:pBdr>
        <w:ind w:left="864" w:right="864"/>
        <w:jc w:val="both"/>
        <w:rPr>
          <w:i/>
          <w:color w:val="404040"/>
          <w:sz w:val="22"/>
          <w:szCs w:val="22"/>
        </w:rPr>
      </w:pPr>
      <w:r w:rsidRPr="00F867F2">
        <w:rPr>
          <w:i/>
          <w:color w:val="404040"/>
          <w:sz w:val="22"/>
          <w:szCs w:val="22"/>
        </w:rPr>
        <w:t>(…)</w:t>
      </w:r>
    </w:p>
    <w:p w14:paraId="0AFF89A6" w14:textId="77777777" w:rsidR="00267BE2" w:rsidRPr="00F867F2" w:rsidRDefault="00675343">
      <w:pPr>
        <w:pBdr>
          <w:top w:val="nil"/>
          <w:left w:val="nil"/>
          <w:bottom w:val="nil"/>
          <w:right w:val="nil"/>
          <w:between w:val="nil"/>
        </w:pBdr>
        <w:ind w:left="864" w:right="864"/>
        <w:jc w:val="both"/>
        <w:rPr>
          <w:i/>
          <w:color w:val="404040"/>
          <w:sz w:val="22"/>
          <w:szCs w:val="22"/>
        </w:rPr>
      </w:pPr>
      <w:r w:rsidRPr="00F867F2">
        <w:rPr>
          <w:i/>
          <w:color w:val="404040"/>
          <w:sz w:val="22"/>
          <w:szCs w:val="22"/>
        </w:rPr>
        <w:t>XXXII. Remuneración: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08504AC6" w14:textId="77777777" w:rsidR="00267BE2" w:rsidRPr="00F867F2" w:rsidRDefault="00675343">
      <w:pPr>
        <w:pBdr>
          <w:top w:val="nil"/>
          <w:left w:val="nil"/>
          <w:bottom w:val="nil"/>
          <w:right w:val="nil"/>
          <w:between w:val="nil"/>
        </w:pBdr>
        <w:ind w:left="864" w:right="864"/>
        <w:jc w:val="both"/>
        <w:rPr>
          <w:i/>
          <w:color w:val="404040"/>
          <w:sz w:val="22"/>
          <w:szCs w:val="22"/>
        </w:rPr>
      </w:pPr>
      <w:r w:rsidRPr="00F867F2">
        <w:rPr>
          <w:i/>
          <w:color w:val="404040"/>
          <w:sz w:val="22"/>
          <w:szCs w:val="22"/>
        </w:rPr>
        <w:t>(…)</w:t>
      </w:r>
    </w:p>
    <w:p w14:paraId="0B513A84" w14:textId="77777777" w:rsidR="00267BE2" w:rsidRPr="00F867F2" w:rsidRDefault="00267BE2">
      <w:pPr>
        <w:pBdr>
          <w:top w:val="nil"/>
          <w:left w:val="nil"/>
          <w:bottom w:val="nil"/>
          <w:right w:val="nil"/>
          <w:between w:val="nil"/>
        </w:pBdr>
        <w:ind w:left="864" w:right="864"/>
        <w:jc w:val="both"/>
        <w:rPr>
          <w:i/>
          <w:color w:val="404040"/>
          <w:sz w:val="22"/>
          <w:szCs w:val="22"/>
        </w:rPr>
      </w:pPr>
    </w:p>
    <w:p w14:paraId="463E905A" w14:textId="77777777" w:rsidR="00267BE2" w:rsidRPr="00F867F2" w:rsidRDefault="00675343">
      <w:pPr>
        <w:spacing w:line="360" w:lineRule="auto"/>
        <w:jc w:val="both"/>
        <w:rPr>
          <w:rFonts w:ascii="Palatino Linotype" w:eastAsia="Palatino Linotype" w:hAnsi="Palatino Linotype" w:cs="Palatino Linotype"/>
        </w:rPr>
      </w:pPr>
      <w:r w:rsidRPr="00F867F2">
        <w:rPr>
          <w:rFonts w:ascii="Palatino Linotype" w:eastAsia="Palatino Linotype" w:hAnsi="Palatino Linotype" w:cs="Palatino Linotype"/>
        </w:rPr>
        <w:t xml:space="preserve">De igual forma, la Ley del Trabajo de los Servidores Públicos del Estado y Municipios, en su artículo 220 K, establece los documentos que tiene la obligación de conservar </w:t>
      </w:r>
      <w:r w:rsidRPr="00F867F2">
        <w:rPr>
          <w:rFonts w:ascii="Palatino Linotype" w:eastAsia="Palatino Linotype" w:hAnsi="Palatino Linotype" w:cs="Palatino Linotype"/>
          <w:b/>
        </w:rPr>
        <w:t>EL SUJETO OBLIGADO,</w:t>
      </w:r>
      <w:r w:rsidRPr="00F867F2">
        <w:rPr>
          <w:rFonts w:ascii="Palatino Linotype" w:eastAsia="Palatino Linotype" w:hAnsi="Palatino Linotype" w:cs="Palatino Linotype"/>
        </w:rPr>
        <w:t xml:space="preserve"> entre los que se encuentran los recibos de pagos, por lo tanto, se inserta lo siguiente: </w:t>
      </w:r>
    </w:p>
    <w:p w14:paraId="6934A196" w14:textId="77777777" w:rsidR="00267BE2" w:rsidRPr="00F867F2" w:rsidRDefault="00267BE2">
      <w:pPr>
        <w:pBdr>
          <w:top w:val="nil"/>
          <w:left w:val="nil"/>
          <w:bottom w:val="nil"/>
          <w:right w:val="nil"/>
          <w:between w:val="nil"/>
        </w:pBdr>
        <w:ind w:left="864" w:right="864"/>
        <w:jc w:val="both"/>
        <w:rPr>
          <w:rFonts w:ascii="Palatino Linotype" w:eastAsia="Palatino Linotype" w:hAnsi="Palatino Linotype" w:cs="Palatino Linotype"/>
          <w:i/>
          <w:color w:val="404040"/>
        </w:rPr>
      </w:pPr>
    </w:p>
    <w:p w14:paraId="2327EFFB"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F867F2">
        <w:rPr>
          <w:rFonts w:ascii="Palatino Linotype" w:eastAsia="Palatino Linotype" w:hAnsi="Palatino Linotype" w:cs="Palatino Linotype"/>
          <w:b/>
          <w:i/>
          <w:color w:val="404040"/>
          <w:sz w:val="22"/>
          <w:szCs w:val="22"/>
        </w:rPr>
        <w:t>ARTÍCULO 220 K.-</w:t>
      </w:r>
      <w:r w:rsidRPr="00F867F2">
        <w:rPr>
          <w:rFonts w:ascii="Palatino Linotype" w:eastAsia="Palatino Linotype" w:hAnsi="Palatino Linotype" w:cs="Palatino Linotype"/>
          <w:i/>
          <w:color w:val="404040"/>
          <w:sz w:val="22"/>
          <w:szCs w:val="22"/>
        </w:rPr>
        <w:t xml:space="preserve"> La institución o dependencia pública tiene la obligación de conservar y exhibir en el proceso los documentos que a continuación se precisan:</w:t>
      </w:r>
    </w:p>
    <w:p w14:paraId="4E2E26A8" w14:textId="77777777" w:rsidR="00267BE2" w:rsidRPr="00F867F2" w:rsidRDefault="00267BE2">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14:paraId="5B8DD6E4"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F867F2">
        <w:rPr>
          <w:rFonts w:ascii="Palatino Linotype" w:eastAsia="Palatino Linotype" w:hAnsi="Palatino Linotype" w:cs="Palatino Linotype"/>
          <w:i/>
          <w:color w:val="404040"/>
          <w:sz w:val="22"/>
          <w:szCs w:val="22"/>
        </w:rPr>
        <w:t>I. Contratos, Nombramientos o Formato Único de Movimientos de Personal, cuando no exista Convenio de condiciones generales de trabajo aplicable</w:t>
      </w:r>
      <w:r w:rsidRPr="00F867F2">
        <w:rPr>
          <w:rFonts w:ascii="Palatino Linotype" w:eastAsia="Palatino Linotype" w:hAnsi="Palatino Linotype" w:cs="Palatino Linotype"/>
          <w:b/>
          <w:i/>
          <w:color w:val="404040"/>
          <w:sz w:val="22"/>
          <w:szCs w:val="22"/>
        </w:rPr>
        <w:t>;</w:t>
      </w:r>
    </w:p>
    <w:p w14:paraId="6B79DD30"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b/>
          <w:i/>
          <w:color w:val="404040"/>
          <w:sz w:val="22"/>
          <w:szCs w:val="22"/>
          <w:u w:val="single"/>
        </w:rPr>
      </w:pPr>
      <w:r w:rsidRPr="00F867F2">
        <w:rPr>
          <w:rFonts w:ascii="Palatino Linotype" w:eastAsia="Palatino Linotype" w:hAnsi="Palatino Linotype" w:cs="Palatino Linotype"/>
          <w:b/>
          <w:i/>
          <w:color w:val="404040"/>
          <w:sz w:val="22"/>
          <w:szCs w:val="22"/>
          <w:u w:val="single"/>
        </w:rPr>
        <w:t xml:space="preserve">II. Recibos de pagos de salarios o las constancias documentales del pago de </w:t>
      </w:r>
      <w:proofErr w:type="gramStart"/>
      <w:r w:rsidRPr="00F867F2">
        <w:rPr>
          <w:rFonts w:ascii="Palatino Linotype" w:eastAsia="Palatino Linotype" w:hAnsi="Palatino Linotype" w:cs="Palatino Linotype"/>
          <w:b/>
          <w:i/>
          <w:color w:val="404040"/>
          <w:sz w:val="22"/>
          <w:szCs w:val="22"/>
          <w:u w:val="single"/>
        </w:rPr>
        <w:t>salario  cuando</w:t>
      </w:r>
      <w:proofErr w:type="gramEnd"/>
      <w:r w:rsidRPr="00F867F2">
        <w:rPr>
          <w:rFonts w:ascii="Palatino Linotype" w:eastAsia="Palatino Linotype" w:hAnsi="Palatino Linotype" w:cs="Palatino Linotype"/>
          <w:b/>
          <w:i/>
          <w:color w:val="404040"/>
          <w:sz w:val="22"/>
          <w:szCs w:val="22"/>
          <w:u w:val="single"/>
        </w:rPr>
        <w:t xml:space="preserve"> sea por depósito o mediante información electrónica;</w:t>
      </w:r>
    </w:p>
    <w:p w14:paraId="3D277E03"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F867F2">
        <w:rPr>
          <w:rFonts w:ascii="Palatino Linotype" w:eastAsia="Palatino Linotype" w:hAnsi="Palatino Linotype" w:cs="Palatino Linotype"/>
          <w:i/>
          <w:color w:val="404040"/>
          <w:sz w:val="22"/>
          <w:szCs w:val="22"/>
        </w:rPr>
        <w:t>III. Controles de asistencia o la información magnética o electrónica de asistencia de los servidores públicos;</w:t>
      </w:r>
    </w:p>
    <w:p w14:paraId="2F1A116F"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b/>
          <w:i/>
          <w:color w:val="404040"/>
          <w:sz w:val="22"/>
          <w:szCs w:val="22"/>
          <w:u w:val="single"/>
        </w:rPr>
      </w:pPr>
      <w:r w:rsidRPr="00F867F2">
        <w:rPr>
          <w:rFonts w:ascii="Palatino Linotype" w:eastAsia="Palatino Linotype" w:hAnsi="Palatino Linotype" w:cs="Palatino Linotype"/>
          <w:b/>
          <w:i/>
          <w:color w:val="404040"/>
          <w:sz w:val="22"/>
          <w:szCs w:val="22"/>
          <w:u w:val="single"/>
        </w:rPr>
        <w:t>IV. Recibos o las constancias de depósito o del medio de información magnética o electrónica que sean utilizadas para el pago de salarios, prima vacacional, aguinaldo y demás prestaciones establecidas en la presente ley; y</w:t>
      </w:r>
    </w:p>
    <w:p w14:paraId="161B88B9"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F867F2">
        <w:rPr>
          <w:rFonts w:ascii="Palatino Linotype" w:eastAsia="Palatino Linotype" w:hAnsi="Palatino Linotype" w:cs="Palatino Linotype"/>
          <w:i/>
          <w:color w:val="404040"/>
          <w:sz w:val="22"/>
          <w:szCs w:val="22"/>
        </w:rPr>
        <w:t>V. Los demás que señalen las leyes.</w:t>
      </w:r>
    </w:p>
    <w:p w14:paraId="3958D9EE"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F867F2">
        <w:rPr>
          <w:rFonts w:ascii="Palatino Linotype" w:eastAsia="Palatino Linotype" w:hAnsi="Palatino Linotype" w:cs="Palatino Linotype"/>
          <w:i/>
          <w:color w:val="404040"/>
          <w:sz w:val="22"/>
          <w:szCs w:val="22"/>
        </w:rPr>
        <w:t xml:space="preserve">Los documentos señalados en la fracción I de este artículo, deberán conservarse mientras dure la relación laboral y hasta un año después; </w:t>
      </w:r>
      <w:r w:rsidRPr="00F867F2">
        <w:rPr>
          <w:rFonts w:ascii="Palatino Linotype" w:eastAsia="Palatino Linotype" w:hAnsi="Palatino Linotype" w:cs="Palatino Linotype"/>
          <w:b/>
          <w:i/>
          <w:color w:val="404040"/>
          <w:sz w:val="22"/>
          <w:szCs w:val="22"/>
        </w:rPr>
        <w:t>los señalados por las fracciones II, III, IV durante el último año y un año después de que se extinga la relación laboral</w:t>
      </w:r>
      <w:r w:rsidRPr="00F867F2">
        <w:rPr>
          <w:rFonts w:ascii="Palatino Linotype" w:eastAsia="Palatino Linotype" w:hAnsi="Palatino Linotype" w:cs="Palatino Linotype"/>
          <w:i/>
          <w:color w:val="404040"/>
          <w:sz w:val="22"/>
          <w:szCs w:val="22"/>
        </w:rPr>
        <w:t xml:space="preserve">, y los mencionados en la fracción V, conforme lo señalen las leyes que los rijan. </w:t>
      </w:r>
    </w:p>
    <w:p w14:paraId="20AD4632"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b/>
          <w:i/>
          <w:color w:val="404040"/>
          <w:sz w:val="22"/>
          <w:szCs w:val="22"/>
        </w:rPr>
      </w:pPr>
      <w:r w:rsidRPr="00F867F2">
        <w:rPr>
          <w:rFonts w:ascii="Palatino Linotype" w:eastAsia="Palatino Linotype" w:hAnsi="Palatino Linotype" w:cs="Palatino Linotype"/>
          <w:i/>
          <w:color w:val="404040"/>
          <w:sz w:val="22"/>
          <w:szCs w:val="22"/>
        </w:rPr>
        <w:lastRenderedPageBreak/>
        <w:t xml:space="preserve">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w:t>
      </w:r>
    </w:p>
    <w:p w14:paraId="326AB1A0"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F867F2">
        <w:rPr>
          <w:rFonts w:ascii="Palatino Linotype" w:eastAsia="Palatino Linotype" w:hAnsi="Palatino Linotype" w:cs="Palatino Linotype"/>
          <w:i/>
          <w:color w:val="404040"/>
          <w:sz w:val="22"/>
          <w:szCs w:val="22"/>
        </w:rPr>
        <w:t>(…)</w:t>
      </w:r>
    </w:p>
    <w:p w14:paraId="422D0936" w14:textId="77777777" w:rsidR="00267BE2" w:rsidRPr="00F867F2" w:rsidRDefault="00267BE2">
      <w:pPr>
        <w:spacing w:after="160" w:line="259" w:lineRule="auto"/>
        <w:jc w:val="both"/>
        <w:rPr>
          <w:rFonts w:ascii="Palatino Linotype" w:eastAsia="Palatino Linotype" w:hAnsi="Palatino Linotype" w:cs="Palatino Linotype"/>
          <w:sz w:val="22"/>
          <w:szCs w:val="22"/>
        </w:rPr>
      </w:pPr>
    </w:p>
    <w:p w14:paraId="54C73E66" w14:textId="77777777" w:rsidR="00267BE2" w:rsidRPr="00F867F2" w:rsidRDefault="00675343">
      <w:pPr>
        <w:spacing w:line="360" w:lineRule="auto"/>
        <w:jc w:val="both"/>
        <w:rPr>
          <w:rFonts w:ascii="Palatino Linotype" w:eastAsia="Palatino Linotype" w:hAnsi="Palatino Linotype" w:cs="Palatino Linotype"/>
        </w:rPr>
      </w:pPr>
      <w:r w:rsidRPr="00F867F2">
        <w:rPr>
          <w:rFonts w:ascii="Palatino Linotype" w:eastAsia="Palatino Linotype" w:hAnsi="Palatino Linotype" w:cs="Palatino Linotype"/>
        </w:rPr>
        <w:t>Del anterior precepto legal, se advierte que toda institución o dependencia pública del Estado de México debe conservar las constancias documentales del pago de salario cuando sea por depósito o mediante información electrónica, durante el último año y un año después de que se extinga la relación laboral, a través de los sistemas de digitalización o de información magnética o electrónica.</w:t>
      </w:r>
    </w:p>
    <w:p w14:paraId="7AB1AA77" w14:textId="77777777" w:rsidR="00267BE2" w:rsidRPr="00F867F2" w:rsidRDefault="00267BE2">
      <w:pPr>
        <w:spacing w:line="360" w:lineRule="auto"/>
        <w:ind w:right="49"/>
        <w:jc w:val="both"/>
        <w:rPr>
          <w:rFonts w:ascii="Palatino Linotype" w:eastAsia="Palatino Linotype" w:hAnsi="Palatino Linotype" w:cs="Palatino Linotype"/>
        </w:rPr>
      </w:pPr>
    </w:p>
    <w:p w14:paraId="0CE58827" w14:textId="77777777" w:rsidR="00267BE2" w:rsidRPr="00F867F2" w:rsidRDefault="00675343">
      <w:pPr>
        <w:spacing w:line="360" w:lineRule="auto"/>
        <w:ind w:right="49"/>
        <w:jc w:val="both"/>
        <w:rPr>
          <w:rFonts w:ascii="Palatino Linotype" w:eastAsia="Palatino Linotype" w:hAnsi="Palatino Linotype" w:cs="Palatino Linotype"/>
        </w:rPr>
      </w:pPr>
      <w:r w:rsidRPr="00F867F2">
        <w:rPr>
          <w:rFonts w:ascii="Palatino Linotype" w:eastAsia="Palatino Linotype" w:hAnsi="Palatino Linotype" w:cs="Palatino Linotype"/>
        </w:rPr>
        <w:t xml:space="preserve">Asimismo, es importante mencionar que dicha información, se remite de manera digital al Órgano Superior de Fiscalización del Estado de México, ya que emite el Formato Informe Trimestral Municipal 2022, el cual tiene como objetivo establecer las especificaciones necesarias que las entidades fiscalizables deben cumplir para la elaboración y presentación de los informes trimestrales. </w:t>
      </w:r>
    </w:p>
    <w:p w14:paraId="5CA4E974" w14:textId="77777777" w:rsidR="00267BE2" w:rsidRPr="00F867F2" w:rsidRDefault="00675343">
      <w:pPr>
        <w:spacing w:line="360" w:lineRule="auto"/>
        <w:jc w:val="both"/>
        <w:rPr>
          <w:rFonts w:ascii="Palatino Linotype" w:eastAsia="Palatino Linotype" w:hAnsi="Palatino Linotype" w:cs="Palatino Linotype"/>
        </w:rPr>
      </w:pPr>
      <w:r w:rsidRPr="00F867F2">
        <w:rPr>
          <w:rFonts w:ascii="Palatino Linotype" w:eastAsia="Palatino Linotype" w:hAnsi="Palatino Linotype" w:cs="Palatino Linotype"/>
        </w:rPr>
        <w:t>Este formato es de observancia general para todos los servidores públicos de las entidades fiscalizables que desempeñen un empleo, cargo o comisión, de cualquier naturaleza en la administración pública municipal y que manejen recursos públicos; en atención a ello, el informe trimestral deberá ser presentado al Órgano Superior de Fiscalización tal y como lo señala la Ley de Fiscalización Superior del Estado de México.</w:t>
      </w:r>
    </w:p>
    <w:p w14:paraId="3D9CE434" w14:textId="77777777" w:rsidR="00267BE2" w:rsidRPr="00F867F2" w:rsidRDefault="00267BE2">
      <w:pPr>
        <w:spacing w:line="360" w:lineRule="auto"/>
        <w:jc w:val="both"/>
        <w:rPr>
          <w:rFonts w:ascii="Palatino Linotype" w:eastAsia="Palatino Linotype" w:hAnsi="Palatino Linotype" w:cs="Palatino Linotype"/>
        </w:rPr>
      </w:pPr>
    </w:p>
    <w:p w14:paraId="46EB694B" w14:textId="77777777" w:rsidR="00267BE2" w:rsidRPr="00F867F2" w:rsidRDefault="00675343">
      <w:pPr>
        <w:spacing w:line="360" w:lineRule="auto"/>
        <w:ind w:right="-28"/>
        <w:jc w:val="both"/>
        <w:rPr>
          <w:rFonts w:ascii="Palatino Linotype" w:eastAsia="Palatino Linotype" w:hAnsi="Palatino Linotype" w:cs="Palatino Linotype"/>
        </w:rPr>
      </w:pPr>
      <w:r w:rsidRPr="00F867F2">
        <w:rPr>
          <w:rFonts w:ascii="Palatino Linotype" w:eastAsia="Palatino Linotype" w:hAnsi="Palatino Linotype" w:cs="Palatino Linotype"/>
        </w:rPr>
        <w:lastRenderedPageBreak/>
        <w:t>Se advierte el análisis que nos ocupa, específicamente el Submódulo-Nómina y Comprobantes localiz</w:t>
      </w:r>
      <w:r w:rsidRPr="00F867F2">
        <w:t>able en</w:t>
      </w:r>
      <w:r w:rsidRPr="00F867F2">
        <w:rPr>
          <w:rFonts w:ascii="Palatino Linotype" w:eastAsia="Palatino Linotype" w:hAnsi="Palatino Linotype" w:cs="Palatino Linotype"/>
        </w:rPr>
        <w:t xml:space="preserve"> el Módulo 4</w:t>
      </w:r>
      <w:r w:rsidRPr="00F867F2">
        <w:rPr>
          <w:rFonts w:ascii="Palatino Linotype" w:eastAsia="Palatino Linotype" w:hAnsi="Palatino Linotype" w:cs="Palatino Linotype"/>
          <w:vertAlign w:val="superscript"/>
        </w:rPr>
        <w:footnoteReference w:id="4"/>
      </w:r>
      <w:r w:rsidRPr="00F867F2">
        <w:rPr>
          <w:rFonts w:ascii="Palatino Linotype" w:eastAsia="Palatino Linotype" w:hAnsi="Palatino Linotype" w:cs="Palatino Linotype"/>
        </w:rPr>
        <w:t>, relativo a la información de nómina, el cual describe cómo debe llevarse a cabo la presentación de la información tal y como se muestra en las siguientes imágenes:</w:t>
      </w:r>
    </w:p>
    <w:p w14:paraId="50334A3F" w14:textId="77777777" w:rsidR="00267BE2" w:rsidRPr="00F867F2" w:rsidRDefault="00675343">
      <w:pPr>
        <w:spacing w:line="360" w:lineRule="auto"/>
        <w:jc w:val="center"/>
        <w:rPr>
          <w:rFonts w:ascii="Palatino Linotype" w:eastAsia="Palatino Linotype" w:hAnsi="Palatino Linotype" w:cs="Palatino Linotype"/>
        </w:rPr>
      </w:pPr>
      <w:r w:rsidRPr="00F867F2">
        <w:rPr>
          <w:noProof/>
        </w:rPr>
        <w:drawing>
          <wp:inline distT="0" distB="0" distL="0" distR="0" wp14:anchorId="7D20E3F0" wp14:editId="71D55789">
            <wp:extent cx="5029200" cy="4464406"/>
            <wp:effectExtent l="0" t="0" r="0" b="0"/>
            <wp:docPr id="2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l="40733" t="12812" r="23233" b="6967"/>
                    <a:stretch>
                      <a:fillRect/>
                    </a:stretch>
                  </pic:blipFill>
                  <pic:spPr>
                    <a:xfrm>
                      <a:off x="0" y="0"/>
                      <a:ext cx="5029200" cy="4464406"/>
                    </a:xfrm>
                    <a:prstGeom prst="rect">
                      <a:avLst/>
                    </a:prstGeom>
                    <a:ln/>
                  </pic:spPr>
                </pic:pic>
              </a:graphicData>
            </a:graphic>
          </wp:inline>
        </w:drawing>
      </w:r>
    </w:p>
    <w:p w14:paraId="5AB43138" w14:textId="77777777" w:rsidR="00267BE2" w:rsidRPr="00F867F2" w:rsidRDefault="00675343">
      <w:pPr>
        <w:spacing w:line="360" w:lineRule="auto"/>
        <w:jc w:val="center"/>
        <w:rPr>
          <w:rFonts w:ascii="Palatino Linotype" w:eastAsia="Palatino Linotype" w:hAnsi="Palatino Linotype" w:cs="Palatino Linotype"/>
        </w:rPr>
      </w:pPr>
      <w:r w:rsidRPr="00F867F2">
        <w:rPr>
          <w:noProof/>
        </w:rPr>
        <w:lastRenderedPageBreak/>
        <w:drawing>
          <wp:inline distT="0" distB="0" distL="0" distR="0" wp14:anchorId="208C0B99" wp14:editId="37A5A48E">
            <wp:extent cx="5200650" cy="3533775"/>
            <wp:effectExtent l="0" t="0" r="0" b="0"/>
            <wp:docPr id="2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l="41047" t="13370" r="25893" b="6682"/>
                    <a:stretch>
                      <a:fillRect/>
                    </a:stretch>
                  </pic:blipFill>
                  <pic:spPr>
                    <a:xfrm>
                      <a:off x="0" y="0"/>
                      <a:ext cx="5200650" cy="3533775"/>
                    </a:xfrm>
                    <a:prstGeom prst="rect">
                      <a:avLst/>
                    </a:prstGeom>
                    <a:ln/>
                  </pic:spPr>
                </pic:pic>
              </a:graphicData>
            </a:graphic>
          </wp:inline>
        </w:drawing>
      </w:r>
    </w:p>
    <w:p w14:paraId="4DD1257B" w14:textId="77777777" w:rsidR="00267BE2" w:rsidRPr="00F867F2" w:rsidRDefault="00675343">
      <w:pPr>
        <w:spacing w:line="360" w:lineRule="auto"/>
        <w:ind w:right="142"/>
        <w:jc w:val="center"/>
      </w:pPr>
      <w:r w:rsidRPr="00F867F2">
        <w:rPr>
          <w:noProof/>
        </w:rPr>
        <w:drawing>
          <wp:inline distT="0" distB="0" distL="0" distR="0" wp14:anchorId="68A6A95C" wp14:editId="5CBC1D17">
            <wp:extent cx="4814107" cy="2481326"/>
            <wp:effectExtent l="0" t="0" r="0" b="0"/>
            <wp:docPr id="2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l="29162" t="20935" r="32861" b="44265"/>
                    <a:stretch>
                      <a:fillRect/>
                    </a:stretch>
                  </pic:blipFill>
                  <pic:spPr>
                    <a:xfrm>
                      <a:off x="0" y="0"/>
                      <a:ext cx="4814107" cy="2481326"/>
                    </a:xfrm>
                    <a:prstGeom prst="rect">
                      <a:avLst/>
                    </a:prstGeom>
                    <a:ln/>
                  </pic:spPr>
                </pic:pic>
              </a:graphicData>
            </a:graphic>
          </wp:inline>
        </w:drawing>
      </w:r>
    </w:p>
    <w:p w14:paraId="6B97CE5A" w14:textId="77777777" w:rsidR="00267BE2" w:rsidRPr="00F867F2" w:rsidRDefault="00267BE2">
      <w:pPr>
        <w:spacing w:line="360" w:lineRule="auto"/>
        <w:ind w:right="142"/>
        <w:jc w:val="center"/>
      </w:pPr>
    </w:p>
    <w:p w14:paraId="39D43766" w14:textId="77777777" w:rsidR="00267BE2" w:rsidRPr="00F867F2" w:rsidRDefault="00675343">
      <w:pPr>
        <w:spacing w:line="360" w:lineRule="auto"/>
        <w:jc w:val="center"/>
        <w:rPr>
          <w:rFonts w:ascii="Palatino Linotype" w:eastAsia="Palatino Linotype" w:hAnsi="Palatino Linotype" w:cs="Palatino Linotype"/>
        </w:rPr>
      </w:pPr>
      <w:r w:rsidRPr="00F867F2">
        <w:rPr>
          <w:noProof/>
        </w:rPr>
        <w:lastRenderedPageBreak/>
        <w:drawing>
          <wp:inline distT="0" distB="0" distL="0" distR="0" wp14:anchorId="37B4E00F" wp14:editId="31047E16">
            <wp:extent cx="3239859" cy="3698181"/>
            <wp:effectExtent l="0" t="0" r="0" b="0"/>
            <wp:docPr id="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l="43788" t="21432" r="21418" b="7928"/>
                    <a:stretch>
                      <a:fillRect/>
                    </a:stretch>
                  </pic:blipFill>
                  <pic:spPr>
                    <a:xfrm>
                      <a:off x="0" y="0"/>
                      <a:ext cx="3239859" cy="3698181"/>
                    </a:xfrm>
                    <a:prstGeom prst="rect">
                      <a:avLst/>
                    </a:prstGeom>
                    <a:ln/>
                  </pic:spPr>
                </pic:pic>
              </a:graphicData>
            </a:graphic>
          </wp:inline>
        </w:drawing>
      </w:r>
    </w:p>
    <w:p w14:paraId="1D5E22B1" w14:textId="77777777" w:rsidR="00267BE2" w:rsidRPr="00F867F2" w:rsidRDefault="00267BE2">
      <w:pPr>
        <w:spacing w:line="360" w:lineRule="auto"/>
        <w:jc w:val="center"/>
        <w:rPr>
          <w:rFonts w:ascii="Palatino Linotype" w:eastAsia="Palatino Linotype" w:hAnsi="Palatino Linotype" w:cs="Palatino Linotype"/>
        </w:rPr>
      </w:pPr>
    </w:p>
    <w:p w14:paraId="3F65A396" w14:textId="77777777" w:rsidR="00267BE2" w:rsidRPr="00F867F2" w:rsidRDefault="00675343">
      <w:pPr>
        <w:spacing w:line="360" w:lineRule="auto"/>
        <w:jc w:val="both"/>
        <w:rPr>
          <w:rFonts w:ascii="Palatino Linotype" w:eastAsia="Palatino Linotype" w:hAnsi="Palatino Linotype" w:cs="Palatino Linotype"/>
        </w:rPr>
      </w:pPr>
      <w:r w:rsidRPr="00F867F2">
        <w:rPr>
          <w:rFonts w:ascii="Palatino Linotype" w:eastAsia="Palatino Linotype" w:hAnsi="Palatino Linotype" w:cs="Palatino Linotype"/>
        </w:rPr>
        <w:t xml:space="preserve">Para sustentar lo dicho por este Instituto de Transparencia, el Código Financiero del Estado de México, establece en su artículo 344 lo siguiente: </w:t>
      </w:r>
    </w:p>
    <w:p w14:paraId="39418FAE"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F867F2">
        <w:rPr>
          <w:rFonts w:ascii="Palatino Linotype" w:eastAsia="Palatino Linotype" w:hAnsi="Palatino Linotype" w:cs="Palatino Linotype"/>
          <w:i/>
          <w:color w:val="404040"/>
          <w:sz w:val="22"/>
          <w:szCs w:val="22"/>
        </w:rPr>
        <w:t xml:space="preserve">Artículo 344.- Los Entes Públicos, a través de cualquiera de sus unidades administrativas, de acuerdo con su naturaleza jurídica y según corresponda, registrarán contablemente el efecto patrimonial y presupuestal de las operaciones financieras que realicen, en el momento en que ocurran, con base en el sistema y políticas de registro establecidas, en el caso de los Municipios, se hará por la Tesorería. </w:t>
      </w:r>
    </w:p>
    <w:p w14:paraId="2331C60D" w14:textId="77777777" w:rsidR="00267BE2" w:rsidRPr="00F867F2" w:rsidRDefault="00267BE2">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14:paraId="4787B145"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F867F2">
        <w:rPr>
          <w:rFonts w:ascii="Palatino Linotype" w:eastAsia="Palatino Linotype" w:hAnsi="Palatino Linotype" w:cs="Palatino Linotype"/>
          <w:i/>
          <w:color w:val="404040"/>
          <w:sz w:val="22"/>
          <w:szCs w:val="22"/>
        </w:rPr>
        <w:t xml:space="preserve">Todo registro contable y presupuestal deberá estar soportado con los documentos comprobatorios originales o en medios electrónicos, los que deberán permanecer en custodia y conservación de los Entes Públicos a través de las unidades administrativas que ejercieron el gasto y a disposición de los Órganos de Fiscalización locales y federales, según corresponda, así como de los órganos internos de control, por un término de cinco años, contados a partir del ejercicio presupuestal siguiente al que corresponda, en el caso de los Municipios, dicha obligación corresponderá a la Tesorería. </w:t>
      </w:r>
    </w:p>
    <w:p w14:paraId="3BA88805" w14:textId="77777777" w:rsidR="00267BE2" w:rsidRPr="00F867F2" w:rsidRDefault="00267BE2">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14:paraId="4B770D7E"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F867F2">
        <w:rPr>
          <w:rFonts w:ascii="Palatino Linotype" w:eastAsia="Palatino Linotype" w:hAnsi="Palatino Linotype" w:cs="Palatino Linotype"/>
          <w:i/>
          <w:color w:val="404040"/>
          <w:sz w:val="22"/>
          <w:szCs w:val="22"/>
        </w:rPr>
        <w:t>Tratándose de documentos de carácter histórico, se estará a lo dispuesto por la legislación de la materia.</w:t>
      </w:r>
    </w:p>
    <w:p w14:paraId="314D8745" w14:textId="77777777" w:rsidR="00267BE2" w:rsidRPr="00F867F2" w:rsidRDefault="00267BE2">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14:paraId="064B3C82" w14:textId="77777777" w:rsidR="00267BE2" w:rsidRPr="00F867F2" w:rsidRDefault="00675343">
      <w:pPr>
        <w:spacing w:line="360" w:lineRule="auto"/>
        <w:ind w:right="49"/>
        <w:jc w:val="both"/>
        <w:rPr>
          <w:rFonts w:ascii="Palatino Linotype" w:eastAsia="Palatino Linotype" w:hAnsi="Palatino Linotype" w:cs="Palatino Linotype"/>
        </w:rPr>
      </w:pPr>
      <w:r w:rsidRPr="00F867F2">
        <w:rPr>
          <w:rFonts w:ascii="Palatino Linotype" w:eastAsia="Palatino Linotype" w:hAnsi="Palatino Linotype" w:cs="Palatino Linotype"/>
        </w:rPr>
        <w:t xml:space="preserve">Es así que, los entes públicos deberán registrar contablemente las operaciones financieras que realicen, el cual deberá estar soportado con los documentos comprobatorios originales o en medios electrónicos, sin embargo, si bien es cierto, el Código Financiero del Estado de México y Municipios establece la obligación de llevar registros contables y presupuestales, también lo es que no define qué se debe entender por estos, por lo que, de conformidad con el </w:t>
      </w:r>
      <w:r w:rsidRPr="00F867F2">
        <w:rPr>
          <w:rFonts w:ascii="Palatino Linotype" w:eastAsia="Palatino Linotype" w:hAnsi="Palatino Linotype" w:cs="Palatino Linotype"/>
          <w:i/>
        </w:rPr>
        <w:t>Glosario de Términos Administrativos</w:t>
      </w:r>
      <w:r w:rsidRPr="00F867F2">
        <w:rPr>
          <w:rFonts w:ascii="Palatino Linotype" w:eastAsia="Palatino Linotype" w:hAnsi="Palatino Linotype" w:cs="Palatino Linotype"/>
        </w:rPr>
        <w:t xml:space="preserve"> y el </w:t>
      </w:r>
      <w:r w:rsidRPr="00F867F2">
        <w:rPr>
          <w:rFonts w:ascii="Palatino Linotype" w:eastAsia="Palatino Linotype" w:hAnsi="Palatino Linotype" w:cs="Palatino Linotype"/>
          <w:i/>
        </w:rPr>
        <w:t>Glosario de Términos para el Proceso de Planeación, Programación, Presupuestación y Evaluación en la Administración Pública</w:t>
      </w:r>
      <w:r w:rsidRPr="00F867F2">
        <w:rPr>
          <w:rFonts w:ascii="Palatino Linotype" w:eastAsia="Palatino Linotype" w:hAnsi="Palatino Linotype" w:cs="Palatino Linotype"/>
        </w:rPr>
        <w:t xml:space="preserve">, definen los registros como: </w:t>
      </w:r>
    </w:p>
    <w:p w14:paraId="0F5D03EC" w14:textId="77777777" w:rsidR="00267BE2" w:rsidRPr="00F867F2" w:rsidRDefault="00267BE2">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14:paraId="7E6C2D27"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F867F2">
        <w:rPr>
          <w:rFonts w:ascii="Palatino Linotype" w:eastAsia="Palatino Linotype" w:hAnsi="Palatino Linotype" w:cs="Palatino Linotype"/>
          <w:b/>
          <w:i/>
          <w:color w:val="404040"/>
          <w:sz w:val="22"/>
          <w:szCs w:val="22"/>
        </w:rPr>
        <w:t xml:space="preserve">Registro contable. </w:t>
      </w:r>
      <w:r w:rsidRPr="00F867F2">
        <w:rPr>
          <w:rFonts w:ascii="Palatino Linotype" w:eastAsia="Palatino Linotype" w:hAnsi="Palatino Linotype" w:cs="Palatino Linotype"/>
          <w:i/>
          <w:color w:val="404040"/>
          <w:sz w:val="22"/>
          <w:szCs w:val="22"/>
        </w:rPr>
        <w:t xml:space="preserve">Asiento que se realiza en los libros de contabilidad de las actividades relacionadas con el ingreso y egreso de un ente económico. </w:t>
      </w:r>
    </w:p>
    <w:p w14:paraId="170D28C2" w14:textId="77777777" w:rsidR="00267BE2" w:rsidRPr="00F867F2" w:rsidRDefault="00267BE2">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14:paraId="6EE14A0E"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F867F2">
        <w:rPr>
          <w:rFonts w:ascii="Palatino Linotype" w:eastAsia="Palatino Linotype" w:hAnsi="Palatino Linotype" w:cs="Palatino Linotype"/>
          <w:b/>
          <w:i/>
          <w:color w:val="404040"/>
          <w:sz w:val="22"/>
          <w:szCs w:val="22"/>
        </w:rPr>
        <w:t xml:space="preserve">Registro Presupuestario. </w:t>
      </w:r>
      <w:r w:rsidRPr="00F867F2">
        <w:rPr>
          <w:rFonts w:ascii="Palatino Linotype" w:eastAsia="Palatino Linotype" w:hAnsi="Palatino Linotype" w:cs="Palatino Linotype"/>
          <w:i/>
          <w:color w:val="404040"/>
          <w:sz w:val="22"/>
          <w:szCs w:val="22"/>
        </w:rPr>
        <w:t xml:space="preserve">Asiento contable de las erogaciones realizadas por las dependencias y entidades con relación a la asignación, modificación y ejercicio de los recursos presupuestarios que se les hayan autorizado. </w:t>
      </w:r>
    </w:p>
    <w:p w14:paraId="53E2E209" w14:textId="77777777" w:rsidR="00267BE2" w:rsidRPr="00F867F2" w:rsidRDefault="00267BE2">
      <w:pPr>
        <w:pBdr>
          <w:top w:val="nil"/>
          <w:left w:val="nil"/>
          <w:bottom w:val="nil"/>
          <w:right w:val="nil"/>
          <w:between w:val="nil"/>
        </w:pBdr>
        <w:ind w:right="864"/>
        <w:jc w:val="both"/>
        <w:rPr>
          <w:rFonts w:ascii="Palatino Linotype" w:eastAsia="Palatino Linotype" w:hAnsi="Palatino Linotype" w:cs="Palatino Linotype"/>
          <w:i/>
          <w:color w:val="404040"/>
          <w:sz w:val="22"/>
          <w:szCs w:val="22"/>
        </w:rPr>
      </w:pPr>
    </w:p>
    <w:p w14:paraId="4206634A" w14:textId="77777777" w:rsidR="00267BE2" w:rsidRPr="00F867F2" w:rsidRDefault="00675343">
      <w:pPr>
        <w:spacing w:line="360" w:lineRule="auto"/>
        <w:jc w:val="both"/>
        <w:rPr>
          <w:rFonts w:ascii="Palatino Linotype" w:eastAsia="Palatino Linotype" w:hAnsi="Palatino Linotype" w:cs="Palatino Linotype"/>
        </w:rPr>
      </w:pPr>
      <w:r w:rsidRPr="00F867F2">
        <w:rPr>
          <w:rFonts w:ascii="Palatino Linotype" w:eastAsia="Palatino Linotype" w:hAnsi="Palatino Linotype" w:cs="Palatino Linotype"/>
        </w:rPr>
        <w:t xml:space="preserve">Aunado a lo anterior, existen diversos tipos de pólizas contables de acuerdo a las operaciones realizadas, dentro de las cuales, encontramos las llamadas </w:t>
      </w:r>
      <w:r w:rsidRPr="00F867F2">
        <w:rPr>
          <w:rFonts w:ascii="Palatino Linotype" w:eastAsia="Palatino Linotype" w:hAnsi="Palatino Linotype" w:cs="Palatino Linotype"/>
          <w:i/>
        </w:rPr>
        <w:t>pólizas de egresos</w:t>
      </w:r>
      <w:r w:rsidRPr="00F867F2">
        <w:rPr>
          <w:rFonts w:ascii="Palatino Linotype" w:eastAsia="Palatino Linotype" w:hAnsi="Palatino Linotype" w:cs="Palatino Linotype"/>
        </w:rPr>
        <w:t xml:space="preserve">, son aquellas en las cuales se anotan diariamente las operaciones que representan gastos, es decir, salidas de dinero para </w:t>
      </w:r>
      <w:r w:rsidRPr="00F867F2">
        <w:rPr>
          <w:rFonts w:ascii="Palatino Linotype" w:eastAsia="Palatino Linotype" w:hAnsi="Palatino Linotype" w:cs="Palatino Linotype"/>
          <w:b/>
        </w:rPr>
        <w:t>EL SUJETO OBLIGADO,</w:t>
      </w:r>
      <w:r w:rsidRPr="00F867F2">
        <w:rPr>
          <w:rFonts w:ascii="Palatino Linotype" w:eastAsia="Palatino Linotype" w:hAnsi="Palatino Linotype" w:cs="Palatino Linotype"/>
        </w:rPr>
        <w:t xml:space="preserve"> las que, además, deben encontrarse acompañadas de las documentales que sirven de soporte de dicho movimiento. </w:t>
      </w:r>
    </w:p>
    <w:p w14:paraId="0A1BD691" w14:textId="77777777" w:rsidR="00267BE2" w:rsidRPr="00F867F2" w:rsidRDefault="00267BE2">
      <w:pPr>
        <w:spacing w:line="360" w:lineRule="auto"/>
        <w:jc w:val="both"/>
        <w:rPr>
          <w:rFonts w:ascii="Palatino Linotype" w:eastAsia="Palatino Linotype" w:hAnsi="Palatino Linotype" w:cs="Palatino Linotype"/>
        </w:rPr>
      </w:pPr>
    </w:p>
    <w:p w14:paraId="6903337E" w14:textId="77777777" w:rsidR="00267BE2" w:rsidRPr="00F867F2" w:rsidRDefault="00675343">
      <w:pPr>
        <w:spacing w:line="360" w:lineRule="auto"/>
        <w:ind w:right="50"/>
        <w:jc w:val="both"/>
        <w:rPr>
          <w:rFonts w:ascii="Palatino Linotype" w:eastAsia="Palatino Linotype" w:hAnsi="Palatino Linotype" w:cs="Palatino Linotype"/>
          <w:color w:val="000000"/>
        </w:rPr>
      </w:pPr>
      <w:r w:rsidRPr="00F867F2">
        <w:rPr>
          <w:rFonts w:ascii="Palatino Linotype" w:eastAsia="Palatino Linotype" w:hAnsi="Palatino Linotype" w:cs="Palatino Linotype"/>
          <w:color w:val="000000"/>
        </w:rPr>
        <w:t xml:space="preserve">De este modo, </w:t>
      </w:r>
      <w:r w:rsidRPr="00F867F2">
        <w:rPr>
          <w:rFonts w:ascii="Palatino Linotype" w:eastAsia="Palatino Linotype" w:hAnsi="Palatino Linotype" w:cs="Palatino Linotype"/>
          <w:b/>
          <w:color w:val="000000"/>
        </w:rPr>
        <w:t>EL SUJETO OBLIGADO</w:t>
      </w:r>
      <w:r w:rsidRPr="00F867F2">
        <w:rPr>
          <w:rFonts w:ascii="Palatino Linotype" w:eastAsia="Palatino Linotype" w:hAnsi="Palatino Linotype" w:cs="Palatino Linotype"/>
          <w:color w:val="000000"/>
        </w:rPr>
        <w:t xml:space="preserve"> debe tener registro de la expedición de las pólizas de egresos; que le son requeridos a través del ejercicio del derecho </w:t>
      </w:r>
      <w:r w:rsidRPr="00F867F2">
        <w:rPr>
          <w:rFonts w:ascii="Palatino Linotype" w:eastAsia="Palatino Linotype" w:hAnsi="Palatino Linotype" w:cs="Palatino Linotype"/>
          <w:color w:val="000000"/>
        </w:rPr>
        <w:lastRenderedPageBreak/>
        <w:t xml:space="preserve">fundamental de acceso a la información pública, ya que con tales documentales acredita y soporta el gasto realizado, es decir se hace del conocimiento de los particulares el uso y destino de los recursos públicos. </w:t>
      </w:r>
    </w:p>
    <w:p w14:paraId="3ADB592B" w14:textId="77777777" w:rsidR="00267BE2" w:rsidRPr="00F867F2" w:rsidRDefault="00267BE2">
      <w:pPr>
        <w:spacing w:line="360" w:lineRule="auto"/>
        <w:ind w:right="50"/>
        <w:jc w:val="both"/>
        <w:rPr>
          <w:rFonts w:ascii="Palatino Linotype" w:eastAsia="Palatino Linotype" w:hAnsi="Palatino Linotype" w:cs="Palatino Linotype"/>
          <w:color w:val="000000"/>
        </w:rPr>
      </w:pPr>
    </w:p>
    <w:p w14:paraId="0BF88BC9" w14:textId="77777777" w:rsidR="00267BE2" w:rsidRPr="00F867F2" w:rsidRDefault="00675343">
      <w:pPr>
        <w:widowControl w:val="0"/>
        <w:spacing w:line="360" w:lineRule="auto"/>
        <w:jc w:val="both"/>
        <w:rPr>
          <w:rFonts w:ascii="Palatino Linotype" w:eastAsia="Palatino Linotype" w:hAnsi="Palatino Linotype" w:cs="Palatino Linotype"/>
        </w:rPr>
      </w:pPr>
      <w:r w:rsidRPr="00F867F2">
        <w:rPr>
          <w:rFonts w:ascii="Palatino Linotype" w:eastAsia="Palatino Linotype" w:hAnsi="Palatino Linotype" w:cs="Palatino Linotype"/>
        </w:rPr>
        <w:t>Por otro lado, los Lineamientos de Control Financiero y Administrativo para las Entidades Fiscalizables Municipales del Estado de México</w:t>
      </w:r>
      <w:r w:rsidRPr="00F867F2">
        <w:rPr>
          <w:rFonts w:ascii="Palatino Linotype" w:eastAsia="Palatino Linotype" w:hAnsi="Palatino Linotype" w:cs="Palatino Linotype"/>
          <w:vertAlign w:val="superscript"/>
        </w:rPr>
        <w:footnoteReference w:id="5"/>
      </w:r>
      <w:r w:rsidRPr="00F867F2">
        <w:rPr>
          <w:rFonts w:ascii="Palatino Linotype" w:eastAsia="Palatino Linotype" w:hAnsi="Palatino Linotype" w:cs="Palatino Linotype"/>
        </w:rPr>
        <w:t>, en su numeral cuarto fracción primera y décimo primero fracciones cuarta y quinta, establecen en su literalidad:</w:t>
      </w:r>
    </w:p>
    <w:p w14:paraId="5917443B" w14:textId="77777777" w:rsidR="00267BE2" w:rsidRPr="00F867F2" w:rsidRDefault="00267BE2">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14:paraId="6CA17DB2"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F867F2">
        <w:rPr>
          <w:rFonts w:ascii="Palatino Linotype" w:eastAsia="Palatino Linotype" w:hAnsi="Palatino Linotype" w:cs="Palatino Linotype"/>
          <w:i/>
          <w:color w:val="404040"/>
          <w:sz w:val="22"/>
          <w:szCs w:val="22"/>
        </w:rPr>
        <w:t xml:space="preserve">CUARTO: Son sujetos de los presentes Lineamientos: </w:t>
      </w:r>
    </w:p>
    <w:p w14:paraId="0A6015F2"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F867F2">
        <w:rPr>
          <w:rFonts w:ascii="Palatino Linotype" w:eastAsia="Palatino Linotype" w:hAnsi="Palatino Linotype" w:cs="Palatino Linotype"/>
          <w:i/>
          <w:color w:val="404040"/>
          <w:sz w:val="22"/>
          <w:szCs w:val="22"/>
        </w:rPr>
        <w:t xml:space="preserve">I. En los Municipios: </w:t>
      </w:r>
    </w:p>
    <w:p w14:paraId="23369731"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F867F2">
        <w:rPr>
          <w:rFonts w:ascii="Palatino Linotype" w:eastAsia="Palatino Linotype" w:hAnsi="Palatino Linotype" w:cs="Palatino Linotype"/>
          <w:i/>
          <w:color w:val="404040"/>
          <w:sz w:val="22"/>
          <w:szCs w:val="22"/>
        </w:rPr>
        <w:t xml:space="preserve">a) </w:t>
      </w:r>
      <w:proofErr w:type="gramStart"/>
      <w:r w:rsidRPr="00F867F2">
        <w:rPr>
          <w:rFonts w:ascii="Palatino Linotype" w:eastAsia="Palatino Linotype" w:hAnsi="Palatino Linotype" w:cs="Palatino Linotype"/>
          <w:i/>
          <w:color w:val="404040"/>
          <w:sz w:val="22"/>
          <w:szCs w:val="22"/>
        </w:rPr>
        <w:t>Presidente</w:t>
      </w:r>
      <w:proofErr w:type="gramEnd"/>
      <w:r w:rsidRPr="00F867F2">
        <w:rPr>
          <w:rFonts w:ascii="Palatino Linotype" w:eastAsia="Palatino Linotype" w:hAnsi="Palatino Linotype" w:cs="Palatino Linotype"/>
          <w:i/>
          <w:color w:val="404040"/>
          <w:sz w:val="22"/>
          <w:szCs w:val="22"/>
        </w:rPr>
        <w:t xml:space="preserve">; </w:t>
      </w:r>
    </w:p>
    <w:p w14:paraId="00530813"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F867F2">
        <w:rPr>
          <w:rFonts w:ascii="Palatino Linotype" w:eastAsia="Palatino Linotype" w:hAnsi="Palatino Linotype" w:cs="Palatino Linotype"/>
          <w:i/>
          <w:color w:val="404040"/>
          <w:sz w:val="22"/>
          <w:szCs w:val="22"/>
        </w:rPr>
        <w:t xml:space="preserve">b) Síndico (s); </w:t>
      </w:r>
    </w:p>
    <w:p w14:paraId="0C696924"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F867F2">
        <w:rPr>
          <w:rFonts w:ascii="Palatino Linotype" w:eastAsia="Palatino Linotype" w:hAnsi="Palatino Linotype" w:cs="Palatino Linotype"/>
          <w:i/>
          <w:color w:val="404040"/>
          <w:sz w:val="22"/>
          <w:szCs w:val="22"/>
        </w:rPr>
        <w:t xml:space="preserve">c) Regidores; </w:t>
      </w:r>
    </w:p>
    <w:p w14:paraId="42F35250"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F867F2">
        <w:rPr>
          <w:rFonts w:ascii="Palatino Linotype" w:eastAsia="Palatino Linotype" w:hAnsi="Palatino Linotype" w:cs="Palatino Linotype"/>
          <w:i/>
          <w:color w:val="404040"/>
          <w:sz w:val="22"/>
          <w:szCs w:val="22"/>
        </w:rPr>
        <w:t xml:space="preserve">d) </w:t>
      </w:r>
      <w:proofErr w:type="gramStart"/>
      <w:r w:rsidRPr="00F867F2">
        <w:rPr>
          <w:rFonts w:ascii="Palatino Linotype" w:eastAsia="Palatino Linotype" w:hAnsi="Palatino Linotype" w:cs="Palatino Linotype"/>
          <w:i/>
          <w:color w:val="404040"/>
          <w:sz w:val="22"/>
          <w:szCs w:val="22"/>
        </w:rPr>
        <w:t>Secretario</w:t>
      </w:r>
      <w:proofErr w:type="gramEnd"/>
      <w:r w:rsidRPr="00F867F2">
        <w:rPr>
          <w:rFonts w:ascii="Palatino Linotype" w:eastAsia="Palatino Linotype" w:hAnsi="Palatino Linotype" w:cs="Palatino Linotype"/>
          <w:i/>
          <w:color w:val="404040"/>
          <w:sz w:val="22"/>
          <w:szCs w:val="22"/>
        </w:rPr>
        <w:t xml:space="preserve"> del ayuntamiento; </w:t>
      </w:r>
    </w:p>
    <w:p w14:paraId="0BA98CD1"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b/>
          <w:i/>
          <w:color w:val="404040"/>
          <w:sz w:val="22"/>
          <w:szCs w:val="22"/>
        </w:rPr>
      </w:pPr>
      <w:r w:rsidRPr="00F867F2">
        <w:rPr>
          <w:rFonts w:ascii="Palatino Linotype" w:eastAsia="Palatino Linotype" w:hAnsi="Palatino Linotype" w:cs="Palatino Linotype"/>
          <w:b/>
          <w:i/>
          <w:color w:val="404040"/>
          <w:sz w:val="22"/>
          <w:szCs w:val="22"/>
        </w:rPr>
        <w:t xml:space="preserve">e) Tesorero o equivalente; </w:t>
      </w:r>
    </w:p>
    <w:p w14:paraId="028BD63E"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F867F2">
        <w:rPr>
          <w:rFonts w:ascii="Palatino Linotype" w:eastAsia="Palatino Linotype" w:hAnsi="Palatino Linotype" w:cs="Palatino Linotype"/>
          <w:i/>
          <w:color w:val="404040"/>
          <w:sz w:val="22"/>
          <w:szCs w:val="22"/>
        </w:rPr>
        <w:t xml:space="preserve">f) </w:t>
      </w:r>
      <w:proofErr w:type="gramStart"/>
      <w:r w:rsidRPr="00F867F2">
        <w:rPr>
          <w:rFonts w:ascii="Palatino Linotype" w:eastAsia="Palatino Linotype" w:hAnsi="Palatino Linotype" w:cs="Palatino Linotype"/>
          <w:i/>
          <w:color w:val="404040"/>
          <w:sz w:val="22"/>
          <w:szCs w:val="22"/>
        </w:rPr>
        <w:t>Director</w:t>
      </w:r>
      <w:proofErr w:type="gramEnd"/>
      <w:r w:rsidRPr="00F867F2">
        <w:rPr>
          <w:rFonts w:ascii="Palatino Linotype" w:eastAsia="Palatino Linotype" w:hAnsi="Palatino Linotype" w:cs="Palatino Linotype"/>
          <w:i/>
          <w:color w:val="404040"/>
          <w:sz w:val="22"/>
          <w:szCs w:val="22"/>
        </w:rPr>
        <w:t xml:space="preserve"> de administración o su equivalente; </w:t>
      </w:r>
    </w:p>
    <w:p w14:paraId="49A6B15C"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F867F2">
        <w:rPr>
          <w:rFonts w:ascii="Palatino Linotype" w:eastAsia="Palatino Linotype" w:hAnsi="Palatino Linotype" w:cs="Palatino Linotype"/>
          <w:i/>
          <w:color w:val="404040"/>
          <w:sz w:val="22"/>
          <w:szCs w:val="22"/>
        </w:rPr>
        <w:t xml:space="preserve">g) </w:t>
      </w:r>
      <w:proofErr w:type="gramStart"/>
      <w:r w:rsidRPr="00F867F2">
        <w:rPr>
          <w:rFonts w:ascii="Palatino Linotype" w:eastAsia="Palatino Linotype" w:hAnsi="Palatino Linotype" w:cs="Palatino Linotype"/>
          <w:i/>
          <w:color w:val="404040"/>
          <w:sz w:val="22"/>
          <w:szCs w:val="22"/>
        </w:rPr>
        <w:t>Director</w:t>
      </w:r>
      <w:proofErr w:type="gramEnd"/>
      <w:r w:rsidRPr="00F867F2">
        <w:rPr>
          <w:rFonts w:ascii="Palatino Linotype" w:eastAsia="Palatino Linotype" w:hAnsi="Palatino Linotype" w:cs="Palatino Linotype"/>
          <w:i/>
          <w:color w:val="404040"/>
          <w:sz w:val="22"/>
          <w:szCs w:val="22"/>
        </w:rPr>
        <w:t xml:space="preserve"> de obras públicas; y </w:t>
      </w:r>
    </w:p>
    <w:p w14:paraId="1AEEF00B"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F867F2">
        <w:rPr>
          <w:rFonts w:ascii="Palatino Linotype" w:eastAsia="Palatino Linotype" w:hAnsi="Palatino Linotype" w:cs="Palatino Linotype"/>
          <w:i/>
          <w:color w:val="404040"/>
          <w:sz w:val="22"/>
          <w:szCs w:val="22"/>
        </w:rPr>
        <w:t>h) Titular del órgano de control interno.</w:t>
      </w:r>
    </w:p>
    <w:p w14:paraId="5B7B8367" w14:textId="77777777" w:rsidR="00267BE2" w:rsidRPr="00F867F2" w:rsidRDefault="00267BE2">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14:paraId="2C6CE31B"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F867F2">
        <w:rPr>
          <w:rFonts w:ascii="Palatino Linotype" w:eastAsia="Palatino Linotype" w:hAnsi="Palatino Linotype" w:cs="Palatino Linotype"/>
          <w:i/>
          <w:color w:val="404040"/>
          <w:sz w:val="22"/>
          <w:szCs w:val="22"/>
        </w:rPr>
        <w:t xml:space="preserve">CAPÍTULO V DE LAS OBLIGACIONES </w:t>
      </w:r>
    </w:p>
    <w:p w14:paraId="685150BB"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F867F2">
        <w:rPr>
          <w:rFonts w:ascii="Palatino Linotype" w:eastAsia="Palatino Linotype" w:hAnsi="Palatino Linotype" w:cs="Palatino Linotype"/>
          <w:i/>
          <w:color w:val="404040"/>
          <w:sz w:val="22"/>
          <w:szCs w:val="22"/>
        </w:rPr>
        <w:t>DÉCIMO PRIMERO: Los servidores públicos municipales, tendrán en el ámbito de su competencia, respecto de los presentes Lineamientos, las obligaciones siguientes:</w:t>
      </w:r>
    </w:p>
    <w:p w14:paraId="1293128B"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F867F2">
        <w:rPr>
          <w:rFonts w:ascii="Palatino Linotype" w:eastAsia="Palatino Linotype" w:hAnsi="Palatino Linotype" w:cs="Palatino Linotype"/>
          <w:i/>
          <w:color w:val="404040"/>
          <w:sz w:val="22"/>
          <w:szCs w:val="22"/>
        </w:rPr>
        <w:t>(…)</w:t>
      </w:r>
    </w:p>
    <w:p w14:paraId="2F3B1498"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F867F2">
        <w:rPr>
          <w:rFonts w:ascii="Palatino Linotype" w:eastAsia="Palatino Linotype" w:hAnsi="Palatino Linotype" w:cs="Palatino Linotype"/>
          <w:i/>
          <w:color w:val="404040"/>
          <w:sz w:val="22"/>
          <w:szCs w:val="22"/>
        </w:rPr>
        <w:t xml:space="preserve">IV. El tesorero deberá verificar que todas las pólizas de registro contable y presupuestal, se encuentren firmadas por quién las elaboró, revisó y autorizó, las cuales deberán estar soportadas con la documentación original, justificativa, comprobatoria, suficiente, competente, pertinente y relevante, las que deberán permanecer en custodia y conservación de la tesorería, por un término de cinco años contados a partir del ejercicio presupuestal siguiente al que corresponda; adicionalmente, todos los documentos deberán contar con la leyenda de </w:t>
      </w:r>
      <w:r w:rsidRPr="00F867F2">
        <w:rPr>
          <w:rFonts w:ascii="Palatino Linotype" w:eastAsia="Palatino Linotype" w:hAnsi="Palatino Linotype" w:cs="Palatino Linotype"/>
          <w:i/>
          <w:color w:val="404040"/>
          <w:sz w:val="22"/>
          <w:szCs w:val="22"/>
        </w:rPr>
        <w:lastRenderedPageBreak/>
        <w:t>"OPERADO" para las comprobaciones de los fondos de aportaciones federales y el sello de "PAGADO" para los demás recursos.</w:t>
      </w:r>
    </w:p>
    <w:p w14:paraId="0891EA9B"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F867F2">
        <w:rPr>
          <w:rFonts w:ascii="Palatino Linotype" w:eastAsia="Palatino Linotype" w:hAnsi="Palatino Linotype" w:cs="Palatino Linotype"/>
          <w:i/>
          <w:color w:val="404040"/>
          <w:sz w:val="22"/>
          <w:szCs w:val="22"/>
        </w:rPr>
        <w:t xml:space="preserve">V. </w:t>
      </w:r>
      <w:r w:rsidRPr="00F867F2">
        <w:rPr>
          <w:rFonts w:ascii="Palatino Linotype" w:eastAsia="Palatino Linotype" w:hAnsi="Palatino Linotype" w:cs="Palatino Linotype"/>
          <w:b/>
          <w:i/>
          <w:color w:val="404040"/>
          <w:sz w:val="22"/>
          <w:szCs w:val="22"/>
        </w:rPr>
        <w:t>El tesorero deberá integrar a la póliza de egresos, fotocopia del cheque original, para su debido cotejo.</w:t>
      </w:r>
    </w:p>
    <w:p w14:paraId="60E1F88D"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F867F2">
        <w:rPr>
          <w:rFonts w:ascii="Palatino Linotype" w:eastAsia="Palatino Linotype" w:hAnsi="Palatino Linotype" w:cs="Palatino Linotype"/>
          <w:i/>
          <w:color w:val="404040"/>
          <w:sz w:val="22"/>
          <w:szCs w:val="22"/>
        </w:rPr>
        <w:t>(…)</w:t>
      </w:r>
    </w:p>
    <w:p w14:paraId="5809148F" w14:textId="77777777" w:rsidR="00267BE2" w:rsidRPr="00F867F2" w:rsidRDefault="00267BE2"/>
    <w:p w14:paraId="6F669BE5" w14:textId="77777777" w:rsidR="00267BE2" w:rsidRPr="00F867F2" w:rsidRDefault="00675343">
      <w:pPr>
        <w:spacing w:line="360" w:lineRule="auto"/>
        <w:jc w:val="both"/>
        <w:rPr>
          <w:rFonts w:ascii="Palatino Linotype" w:eastAsia="Palatino Linotype" w:hAnsi="Palatino Linotype" w:cs="Palatino Linotype"/>
        </w:rPr>
      </w:pPr>
      <w:r w:rsidRPr="00F867F2">
        <w:rPr>
          <w:rFonts w:ascii="Palatino Linotype" w:eastAsia="Palatino Linotype" w:hAnsi="Palatino Linotype" w:cs="Palatino Linotype"/>
        </w:rPr>
        <w:t>De lo anterior se advierte que es responsabilidad del Tesorero del Ayuntamiento</w:t>
      </w:r>
      <w:r w:rsidRPr="00F867F2">
        <w:rPr>
          <w:rFonts w:ascii="Palatino Linotype" w:eastAsia="Palatino Linotype" w:hAnsi="Palatino Linotype" w:cs="Palatino Linotype"/>
          <w:color w:val="FF0000"/>
        </w:rPr>
        <w:t xml:space="preserve"> </w:t>
      </w:r>
      <w:r w:rsidRPr="00F867F2">
        <w:rPr>
          <w:rFonts w:ascii="Palatino Linotype" w:eastAsia="Palatino Linotype" w:hAnsi="Palatino Linotype" w:cs="Palatino Linotype"/>
        </w:rPr>
        <w:t xml:space="preserve">el verificar que todas las pólizas de registro contable y presupuestal, así como la integración del cheque para su debido cotejo. </w:t>
      </w:r>
    </w:p>
    <w:p w14:paraId="4E779A40" w14:textId="77777777" w:rsidR="00267BE2" w:rsidRPr="00F867F2" w:rsidRDefault="00267BE2">
      <w:pPr>
        <w:spacing w:line="360" w:lineRule="auto"/>
        <w:jc w:val="both"/>
        <w:rPr>
          <w:rFonts w:ascii="Palatino Linotype" w:eastAsia="Palatino Linotype" w:hAnsi="Palatino Linotype" w:cs="Palatino Linotype"/>
        </w:rPr>
      </w:pPr>
    </w:p>
    <w:p w14:paraId="5D655F0B" w14:textId="77777777" w:rsidR="00267BE2" w:rsidRPr="00F867F2" w:rsidRDefault="00675343">
      <w:pPr>
        <w:spacing w:line="360" w:lineRule="auto"/>
        <w:ind w:right="49"/>
        <w:jc w:val="both"/>
        <w:rPr>
          <w:rFonts w:ascii="Palatino Linotype" w:eastAsia="Palatino Linotype" w:hAnsi="Palatino Linotype" w:cs="Palatino Linotype"/>
          <w:color w:val="000000"/>
        </w:rPr>
      </w:pPr>
      <w:r w:rsidRPr="00F867F2">
        <w:rPr>
          <w:rFonts w:ascii="Palatino Linotype" w:eastAsia="Palatino Linotype" w:hAnsi="Palatino Linotype" w:cs="Palatino Linotype"/>
        </w:rPr>
        <w:t>Al respecto, cabe señalar que en el cumplimiento de los principios que rigen la función pública, la Constitución Política del Estado Libre y Soberano de México en su artículo 129 señala que l</w:t>
      </w:r>
      <w:r w:rsidRPr="00F867F2">
        <w:rPr>
          <w:rFonts w:ascii="Palatino Linotype" w:eastAsia="Palatino Linotype" w:hAnsi="Palatino Linotype" w:cs="Palatino Linotype"/>
          <w:color w:val="000000"/>
        </w:rPr>
        <w:t xml:space="preserve">os recursos económicos del Estado, de los Municipios, así como de los Organismos Autónomos, se administrarán con eficiencia, eficacia y honradez, para cumplir con los objetivos y programas a los que estén destinados. </w:t>
      </w:r>
    </w:p>
    <w:p w14:paraId="14FC0204" w14:textId="77777777" w:rsidR="00267BE2" w:rsidRPr="00F867F2" w:rsidRDefault="00267BE2">
      <w:pPr>
        <w:spacing w:line="360" w:lineRule="auto"/>
        <w:ind w:right="49"/>
        <w:jc w:val="both"/>
        <w:rPr>
          <w:rFonts w:ascii="Palatino Linotype" w:eastAsia="Palatino Linotype" w:hAnsi="Palatino Linotype" w:cs="Palatino Linotype"/>
          <w:color w:val="000000"/>
        </w:rPr>
      </w:pPr>
    </w:p>
    <w:p w14:paraId="22E5FED7" w14:textId="77777777" w:rsidR="00267BE2" w:rsidRPr="00F867F2" w:rsidRDefault="00675343">
      <w:pPr>
        <w:spacing w:line="360" w:lineRule="auto"/>
        <w:jc w:val="both"/>
        <w:rPr>
          <w:rFonts w:ascii="Palatino Linotype" w:eastAsia="Palatino Linotype" w:hAnsi="Palatino Linotype" w:cs="Palatino Linotype"/>
          <w:color w:val="000000"/>
        </w:rPr>
      </w:pPr>
      <w:r w:rsidRPr="00F867F2">
        <w:rPr>
          <w:rFonts w:ascii="Palatino Linotype" w:eastAsia="Palatino Linotype" w:hAnsi="Palatino Linotype" w:cs="Palatino Linotype"/>
          <w:color w:val="000000"/>
        </w:rPr>
        <w:t>Asimismo, dispone que todos los pagos se harán mediante orden escrita en la que se expresará la partida del presupuesto a cargo de la cual se realizan.</w:t>
      </w:r>
    </w:p>
    <w:p w14:paraId="6C6E3819" w14:textId="77777777" w:rsidR="00267BE2" w:rsidRPr="00F867F2" w:rsidRDefault="00267BE2">
      <w:pPr>
        <w:spacing w:line="360" w:lineRule="auto"/>
        <w:jc w:val="both"/>
        <w:rPr>
          <w:rFonts w:ascii="Palatino Linotype" w:eastAsia="Palatino Linotype" w:hAnsi="Palatino Linotype" w:cs="Palatino Linotype"/>
          <w:color w:val="000000"/>
        </w:rPr>
      </w:pPr>
    </w:p>
    <w:p w14:paraId="5B6B078C" w14:textId="77777777" w:rsidR="00267BE2" w:rsidRPr="00F867F2" w:rsidRDefault="00675343">
      <w:pPr>
        <w:spacing w:line="360" w:lineRule="auto"/>
        <w:jc w:val="both"/>
        <w:rPr>
          <w:rFonts w:ascii="Palatino Linotype" w:eastAsia="Palatino Linotype" w:hAnsi="Palatino Linotype" w:cs="Palatino Linotype"/>
          <w:color w:val="000000"/>
        </w:rPr>
      </w:pPr>
      <w:r w:rsidRPr="00F867F2">
        <w:rPr>
          <w:rFonts w:ascii="Palatino Linotype" w:eastAsia="Palatino Linotype" w:hAnsi="Palatino Linotype" w:cs="Palatino Linotype"/>
          <w:color w:val="000000"/>
        </w:rPr>
        <w:t>A este respecto, el artículo 31 fracciones XVIII y XIX de la</w:t>
      </w:r>
      <w:r w:rsidRPr="00F867F2">
        <w:rPr>
          <w:rFonts w:ascii="Palatino Linotype" w:eastAsia="Palatino Linotype" w:hAnsi="Palatino Linotype" w:cs="Palatino Linotype"/>
          <w:b/>
          <w:i/>
          <w:color w:val="000000"/>
        </w:rPr>
        <w:t xml:space="preserve"> </w:t>
      </w:r>
      <w:r w:rsidRPr="00F867F2">
        <w:rPr>
          <w:rFonts w:ascii="Palatino Linotype" w:eastAsia="Palatino Linotype" w:hAnsi="Palatino Linotype" w:cs="Palatino Linotype"/>
          <w:color w:val="000000"/>
        </w:rPr>
        <w:t>Ley Orgánica Municipal del Estado de México prevé de manera textual lo siguiente:</w:t>
      </w:r>
    </w:p>
    <w:p w14:paraId="340D786D" w14:textId="77777777" w:rsidR="00267BE2" w:rsidRPr="00F867F2" w:rsidRDefault="00267BE2">
      <w:pPr>
        <w:spacing w:line="360" w:lineRule="auto"/>
        <w:jc w:val="both"/>
        <w:rPr>
          <w:rFonts w:ascii="Palatino Linotype" w:eastAsia="Palatino Linotype" w:hAnsi="Palatino Linotype" w:cs="Palatino Linotype"/>
          <w:color w:val="000000"/>
        </w:rPr>
      </w:pPr>
    </w:p>
    <w:p w14:paraId="03D1BD07"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F867F2">
        <w:rPr>
          <w:rFonts w:ascii="Palatino Linotype" w:eastAsia="Palatino Linotype" w:hAnsi="Palatino Linotype" w:cs="Palatino Linotype"/>
          <w:b/>
          <w:i/>
          <w:color w:val="404040"/>
          <w:sz w:val="22"/>
          <w:szCs w:val="22"/>
        </w:rPr>
        <w:t>Artículo 31.-</w:t>
      </w:r>
      <w:r w:rsidRPr="00F867F2">
        <w:rPr>
          <w:rFonts w:ascii="Palatino Linotype" w:eastAsia="Palatino Linotype" w:hAnsi="Palatino Linotype" w:cs="Palatino Linotype"/>
          <w:i/>
          <w:color w:val="404040"/>
          <w:sz w:val="22"/>
          <w:szCs w:val="22"/>
        </w:rPr>
        <w:t xml:space="preserve"> Son </w:t>
      </w:r>
      <w:r w:rsidRPr="00F867F2">
        <w:rPr>
          <w:rFonts w:ascii="Palatino Linotype" w:eastAsia="Palatino Linotype" w:hAnsi="Palatino Linotype" w:cs="Palatino Linotype"/>
          <w:b/>
          <w:i/>
          <w:color w:val="404040"/>
          <w:sz w:val="22"/>
          <w:szCs w:val="22"/>
        </w:rPr>
        <w:t>atribuciones de los ayuntamientos</w:t>
      </w:r>
      <w:r w:rsidRPr="00F867F2">
        <w:rPr>
          <w:rFonts w:ascii="Palatino Linotype" w:eastAsia="Palatino Linotype" w:hAnsi="Palatino Linotype" w:cs="Palatino Linotype"/>
          <w:i/>
          <w:color w:val="404040"/>
          <w:sz w:val="22"/>
          <w:szCs w:val="22"/>
        </w:rPr>
        <w:t>:</w:t>
      </w:r>
    </w:p>
    <w:p w14:paraId="204D5757"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F867F2">
        <w:rPr>
          <w:rFonts w:ascii="Palatino Linotype" w:eastAsia="Palatino Linotype" w:hAnsi="Palatino Linotype" w:cs="Palatino Linotype"/>
          <w:i/>
          <w:color w:val="404040"/>
          <w:sz w:val="22"/>
          <w:szCs w:val="22"/>
        </w:rPr>
        <w:t>…</w:t>
      </w:r>
    </w:p>
    <w:p w14:paraId="521C5502"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F867F2">
        <w:rPr>
          <w:rFonts w:ascii="Palatino Linotype" w:eastAsia="Palatino Linotype" w:hAnsi="Palatino Linotype" w:cs="Palatino Linotype"/>
          <w:b/>
          <w:i/>
          <w:color w:val="404040"/>
          <w:sz w:val="22"/>
          <w:szCs w:val="22"/>
          <w:u w:val="single"/>
        </w:rPr>
        <w:t>XVIII. Administrar su hacienda en términos de ley</w:t>
      </w:r>
      <w:r w:rsidRPr="00F867F2">
        <w:rPr>
          <w:rFonts w:ascii="Palatino Linotype" w:eastAsia="Palatino Linotype" w:hAnsi="Palatino Linotype" w:cs="Palatino Linotype"/>
          <w:i/>
          <w:color w:val="404040"/>
          <w:sz w:val="22"/>
          <w:szCs w:val="22"/>
        </w:rPr>
        <w:t xml:space="preserve">, y controlar a través del presidente y síndico la aplicación del presupuesto de egresos del municipio;                                                                                                                                                                                                                                                                                                                                                                                                         </w:t>
      </w:r>
    </w:p>
    <w:p w14:paraId="23F6149B"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F867F2">
        <w:rPr>
          <w:rFonts w:ascii="Palatino Linotype" w:eastAsia="Palatino Linotype" w:hAnsi="Palatino Linotype" w:cs="Palatino Linotype"/>
          <w:b/>
          <w:i/>
          <w:color w:val="404040"/>
          <w:sz w:val="22"/>
          <w:szCs w:val="22"/>
          <w:u w:val="single"/>
        </w:rPr>
        <w:t>XIX. Aprobar anualmente a más tardar el 20 de diciembre, su Presupuesto de Egresos, en base a los ingresos presupuestados para el ejercicio que corresponda,</w:t>
      </w:r>
      <w:r w:rsidRPr="00F867F2">
        <w:rPr>
          <w:rFonts w:ascii="Palatino Linotype" w:eastAsia="Palatino Linotype" w:hAnsi="Palatino Linotype" w:cs="Palatino Linotype"/>
          <w:i/>
          <w:color w:val="404040"/>
          <w:sz w:val="22"/>
          <w:szCs w:val="22"/>
        </w:rPr>
        <w:t xml:space="preserve"> el cual podrá ser adecuado en función de las implicaciones que deriven de la aprobación de la Ley de Ingresos Municipal que haga la Legislatura, </w:t>
      </w:r>
      <w:r w:rsidRPr="00F867F2">
        <w:rPr>
          <w:rFonts w:ascii="Palatino Linotype" w:eastAsia="Palatino Linotype" w:hAnsi="Palatino Linotype" w:cs="Palatino Linotype"/>
          <w:i/>
          <w:color w:val="404040"/>
          <w:sz w:val="22"/>
          <w:szCs w:val="22"/>
        </w:rPr>
        <w:lastRenderedPageBreak/>
        <w:t>así como por la asignación de las participaciones y aportaciones federales y estatales.</w:t>
      </w:r>
    </w:p>
    <w:p w14:paraId="328140D9"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F867F2">
        <w:rPr>
          <w:rFonts w:ascii="Palatino Linotype" w:eastAsia="Palatino Linotype" w:hAnsi="Palatino Linotype" w:cs="Palatino Linotype"/>
          <w:i/>
          <w:color w:val="404040"/>
          <w:sz w:val="22"/>
          <w:szCs w:val="22"/>
        </w:rPr>
        <w:t xml:space="preserve">Si cumplido el plazo que corresponda no se hubiere aprobado el Presupuesto de Egresos referido, seguirá en vigor hasta el 28 o 29 de febrero del ejercicio fiscal inmediato siguiente, el expedido para el ejercicio inmediato anterior al de la iniciativa en discusión, únicamente respecto del gasto corriente. </w:t>
      </w:r>
    </w:p>
    <w:p w14:paraId="23A183B3"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F867F2">
        <w:rPr>
          <w:rFonts w:ascii="Palatino Linotype" w:eastAsia="Palatino Linotype" w:hAnsi="Palatino Linotype" w:cs="Palatino Linotype"/>
          <w:i/>
          <w:color w:val="404040"/>
          <w:sz w:val="22"/>
          <w:szCs w:val="22"/>
        </w:rPr>
        <w:t>Los Ayuntamientos al aprobar su presupuesto de egresos, deberán señalar la remuneración de todo tipo que corresponda a un empleo, cargo o comisión de cualquier naturaleza, determinada conforme a principios de racionalidad, austeridad, disciplina financiera, equidad, legalidad, igualdad y transparencia, sujetándose a lo dispuesto por el Código Financiero y demás disposiciones legales aplicables.</w:t>
      </w:r>
    </w:p>
    <w:p w14:paraId="06462CB8"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F867F2">
        <w:rPr>
          <w:rFonts w:ascii="Palatino Linotype" w:eastAsia="Palatino Linotype" w:hAnsi="Palatino Linotype" w:cs="Palatino Linotype"/>
          <w:i/>
          <w:color w:val="404040"/>
          <w:sz w:val="22"/>
          <w:szCs w:val="22"/>
        </w:rPr>
        <w:t>…</w:t>
      </w:r>
    </w:p>
    <w:p w14:paraId="4D2E3548"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F867F2">
        <w:rPr>
          <w:rFonts w:ascii="Palatino Linotype" w:eastAsia="Palatino Linotype" w:hAnsi="Palatino Linotype" w:cs="Palatino Linotype"/>
          <w:i/>
          <w:color w:val="404040"/>
          <w:sz w:val="22"/>
          <w:szCs w:val="22"/>
        </w:rPr>
        <w:t>Énfasis añadido.</w:t>
      </w:r>
    </w:p>
    <w:p w14:paraId="00BEEBF8" w14:textId="77777777" w:rsidR="00267BE2" w:rsidRPr="00F867F2" w:rsidRDefault="00267BE2">
      <w:pPr>
        <w:pBdr>
          <w:top w:val="nil"/>
          <w:left w:val="nil"/>
          <w:bottom w:val="nil"/>
          <w:right w:val="nil"/>
          <w:between w:val="nil"/>
        </w:pBdr>
        <w:ind w:left="864" w:right="864"/>
        <w:jc w:val="both"/>
        <w:rPr>
          <w:rFonts w:ascii="Palatino Linotype" w:eastAsia="Palatino Linotype" w:hAnsi="Palatino Linotype" w:cs="Palatino Linotype"/>
          <w:i/>
          <w:color w:val="404040"/>
        </w:rPr>
      </w:pPr>
    </w:p>
    <w:p w14:paraId="376F3048" w14:textId="77777777" w:rsidR="00267BE2" w:rsidRPr="00F867F2" w:rsidRDefault="00675343">
      <w:pPr>
        <w:spacing w:line="360" w:lineRule="auto"/>
        <w:ind w:right="50"/>
        <w:jc w:val="both"/>
        <w:rPr>
          <w:rFonts w:ascii="Palatino Linotype" w:eastAsia="Palatino Linotype" w:hAnsi="Palatino Linotype" w:cs="Palatino Linotype"/>
          <w:color w:val="000000"/>
        </w:rPr>
      </w:pPr>
      <w:r w:rsidRPr="00F867F2">
        <w:rPr>
          <w:rFonts w:ascii="Palatino Linotype" w:eastAsia="Palatino Linotype" w:hAnsi="Palatino Linotype" w:cs="Palatino Linotype"/>
          <w:color w:val="000000"/>
        </w:rPr>
        <w:t xml:space="preserve">De igual forma, es de suma importancia destacar que el penúltimo párrafo, del artículo 23 de la </w:t>
      </w:r>
      <w:r w:rsidRPr="00F867F2">
        <w:rPr>
          <w:rFonts w:ascii="Palatino Linotype" w:eastAsia="Palatino Linotype" w:hAnsi="Palatino Linotype" w:cs="Palatino Linotype"/>
        </w:rPr>
        <w:t>Ley de Transparencia y Acceso a la Información Pública del Estado de México y Municipios</w:t>
      </w:r>
      <w:r w:rsidRPr="00F867F2">
        <w:rPr>
          <w:rFonts w:ascii="Palatino Linotype" w:eastAsia="Palatino Linotype" w:hAnsi="Palatino Linotype" w:cs="Palatino Linotype"/>
          <w:color w:val="000000"/>
        </w:rPr>
        <w:t xml:space="preserve">, establece como </w:t>
      </w:r>
      <w:r w:rsidRPr="00F867F2">
        <w:rPr>
          <w:rFonts w:ascii="Palatino Linotype" w:eastAsia="Palatino Linotype" w:hAnsi="Palatino Linotype" w:cs="Palatino Linotype"/>
          <w:b/>
          <w:color w:val="000000"/>
          <w:u w:val="single"/>
        </w:rPr>
        <w:t>deber de los sujetos obligados de hacer pública toda la información relativa a los montos y personas a quienes se entreguen recursos públicos</w:t>
      </w:r>
      <w:r w:rsidRPr="00F867F2">
        <w:rPr>
          <w:rFonts w:ascii="Palatino Linotype" w:eastAsia="Palatino Linotype" w:hAnsi="Palatino Linotype" w:cs="Palatino Linotype"/>
          <w:color w:val="000000"/>
        </w:rPr>
        <w:t xml:space="preserve">, con la única finalidad de dar a conocer a la ciudadanía la forma, términos y montos en que se aplican los recursos públicos y con ello transparentar la forma, términos, causas y finalidad en la disposición de esos recursos; ya que este precepto legal que establece: </w:t>
      </w:r>
    </w:p>
    <w:p w14:paraId="3F9C13EC" w14:textId="77777777" w:rsidR="00267BE2" w:rsidRPr="00F867F2" w:rsidRDefault="00267BE2">
      <w:pPr>
        <w:pBdr>
          <w:top w:val="nil"/>
          <w:left w:val="nil"/>
          <w:bottom w:val="nil"/>
          <w:right w:val="nil"/>
          <w:between w:val="nil"/>
        </w:pBdr>
        <w:ind w:left="864" w:right="864"/>
        <w:jc w:val="both"/>
        <w:rPr>
          <w:rFonts w:ascii="Palatino Linotype" w:eastAsia="Palatino Linotype" w:hAnsi="Palatino Linotype" w:cs="Palatino Linotype"/>
          <w:i/>
          <w:color w:val="404040"/>
        </w:rPr>
      </w:pPr>
    </w:p>
    <w:p w14:paraId="61B51AE6"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b/>
          <w:i/>
          <w:color w:val="404040"/>
          <w:sz w:val="22"/>
          <w:szCs w:val="22"/>
        </w:rPr>
      </w:pPr>
      <w:r w:rsidRPr="00F867F2">
        <w:rPr>
          <w:rFonts w:ascii="Palatino Linotype" w:eastAsia="Palatino Linotype" w:hAnsi="Palatino Linotype" w:cs="Palatino Linotype"/>
          <w:b/>
          <w:i/>
          <w:color w:val="404040"/>
          <w:sz w:val="22"/>
          <w:szCs w:val="22"/>
        </w:rPr>
        <w:t>Artículo 23…</w:t>
      </w:r>
    </w:p>
    <w:p w14:paraId="7BD5E568"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F867F2">
        <w:rPr>
          <w:rFonts w:ascii="Palatino Linotype" w:eastAsia="Palatino Linotype" w:hAnsi="Palatino Linotype" w:cs="Palatino Linotype"/>
          <w:i/>
          <w:color w:val="404040"/>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57CED0A6"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F867F2">
        <w:rPr>
          <w:rFonts w:ascii="Palatino Linotype" w:eastAsia="Palatino Linotype" w:hAnsi="Palatino Linotype" w:cs="Palatino Linotype"/>
          <w:i/>
          <w:color w:val="404040"/>
          <w:sz w:val="22"/>
          <w:szCs w:val="22"/>
        </w:rPr>
        <w:t xml:space="preserve"> (…)</w:t>
      </w:r>
    </w:p>
    <w:p w14:paraId="34275289" w14:textId="77777777" w:rsidR="00267BE2" w:rsidRPr="00F867F2" w:rsidRDefault="00267BE2">
      <w:pPr>
        <w:pBdr>
          <w:top w:val="nil"/>
          <w:left w:val="nil"/>
          <w:bottom w:val="nil"/>
          <w:right w:val="nil"/>
          <w:between w:val="nil"/>
        </w:pBdr>
        <w:ind w:left="864" w:right="864"/>
        <w:jc w:val="both"/>
        <w:rPr>
          <w:rFonts w:ascii="Palatino Linotype" w:eastAsia="Palatino Linotype" w:hAnsi="Palatino Linotype" w:cs="Palatino Linotype"/>
          <w:i/>
          <w:color w:val="404040"/>
        </w:rPr>
      </w:pPr>
    </w:p>
    <w:p w14:paraId="639630A0" w14:textId="77777777" w:rsidR="00267BE2" w:rsidRPr="00F867F2" w:rsidRDefault="00675343">
      <w:pPr>
        <w:spacing w:line="360" w:lineRule="auto"/>
        <w:jc w:val="both"/>
        <w:rPr>
          <w:rFonts w:ascii="Palatino Linotype" w:eastAsia="Palatino Linotype" w:hAnsi="Palatino Linotype" w:cs="Palatino Linotype"/>
        </w:rPr>
      </w:pPr>
      <w:r w:rsidRPr="00F867F2">
        <w:rPr>
          <w:rFonts w:ascii="Palatino Linotype" w:eastAsia="Palatino Linotype" w:hAnsi="Palatino Linotype" w:cs="Palatino Linotype"/>
        </w:rPr>
        <w:t xml:space="preserve">De lo anterior se advierte que los ayuntamientos tienen la atribución de administrar libremente su hacienda y controlar la aplicación del presupuesto de egresos </w:t>
      </w:r>
      <w:r w:rsidRPr="00F867F2">
        <w:rPr>
          <w:rFonts w:ascii="Palatino Linotype" w:eastAsia="Palatino Linotype" w:hAnsi="Palatino Linotype" w:cs="Palatino Linotype"/>
        </w:rPr>
        <w:lastRenderedPageBreak/>
        <w:t>aprobado por dicho cuerpo colegiado, y en el caso específico de la Tesorería Municipal, se encarga entre otras cosas de registrar y controlar las operaciones financieras, presupuestales y contables que emanen de las dependencias de la administración pública municipal; registrar contable y presupuestalmente los egresos públicos y las operaciones financieras del municipio; recopilar, organizar y consolidar la información financiera, presupuestal y programática, así como la documentación generada por las dependencias para integrar y presentar los informes mensuales, financieros y la cuenta pública anual.</w:t>
      </w:r>
    </w:p>
    <w:p w14:paraId="13D468AF" w14:textId="77777777" w:rsidR="00267BE2" w:rsidRPr="00F867F2" w:rsidRDefault="00267BE2">
      <w:pPr>
        <w:spacing w:line="360" w:lineRule="auto"/>
        <w:jc w:val="both"/>
        <w:rPr>
          <w:rFonts w:ascii="Palatino Linotype" w:eastAsia="Palatino Linotype" w:hAnsi="Palatino Linotype" w:cs="Palatino Linotype"/>
          <w:color w:val="FF0000"/>
        </w:rPr>
      </w:pPr>
    </w:p>
    <w:p w14:paraId="56C0AD08" w14:textId="77777777" w:rsidR="00267BE2" w:rsidRPr="00F867F2" w:rsidRDefault="00675343">
      <w:pPr>
        <w:spacing w:line="360" w:lineRule="auto"/>
        <w:jc w:val="both"/>
        <w:rPr>
          <w:rFonts w:ascii="Palatino Linotype" w:eastAsia="Palatino Linotype" w:hAnsi="Palatino Linotype" w:cs="Palatino Linotype"/>
        </w:rPr>
      </w:pPr>
      <w:r w:rsidRPr="00F867F2">
        <w:rPr>
          <w:rFonts w:ascii="Palatino Linotype" w:eastAsia="Palatino Linotype" w:hAnsi="Palatino Linotype" w:cs="Palatino Linotype"/>
        </w:rPr>
        <w:t xml:space="preserve">Del análisis realizado se colige que </w:t>
      </w:r>
      <w:r w:rsidRPr="00F867F2">
        <w:rPr>
          <w:rFonts w:ascii="Palatino Linotype" w:eastAsia="Palatino Linotype" w:hAnsi="Palatino Linotype" w:cs="Palatino Linotype"/>
          <w:b/>
        </w:rPr>
        <w:t>EL SUJETO OBLIGADO</w:t>
      </w:r>
      <w:r w:rsidRPr="00F867F2">
        <w:rPr>
          <w:rFonts w:ascii="Palatino Linotype" w:eastAsia="Palatino Linotype" w:hAnsi="Palatino Linotype" w:cs="Palatino Linotype"/>
        </w:rPr>
        <w:t xml:space="preserve"> debe contar con una unidad administrativa que registra contablemente el efecto patrimonial y presupuestal de las operaciones financieras que realizan y por lo general, se encuentran en las denominadas </w:t>
      </w:r>
      <w:r w:rsidRPr="00F867F2">
        <w:rPr>
          <w:rFonts w:ascii="Palatino Linotype" w:eastAsia="Palatino Linotype" w:hAnsi="Palatino Linotype" w:cs="Palatino Linotype"/>
          <w:i/>
        </w:rPr>
        <w:t xml:space="preserve">pólizas contables </w:t>
      </w:r>
      <w:r w:rsidRPr="00F867F2">
        <w:rPr>
          <w:rFonts w:ascii="Palatino Linotype" w:eastAsia="Palatino Linotype" w:hAnsi="Palatino Linotype" w:cs="Palatino Linotype"/>
        </w:rPr>
        <w:t>las cuales son aquellos documentos en los que se asientan en forma individual todas y cada una de las operaciones desarrolladas por una institución, así como la información necesaria para la identificación de estas.</w:t>
      </w:r>
    </w:p>
    <w:p w14:paraId="38BAF33C" w14:textId="77777777" w:rsidR="00267BE2" w:rsidRPr="00F867F2" w:rsidRDefault="00267BE2">
      <w:pPr>
        <w:spacing w:line="360" w:lineRule="auto"/>
        <w:jc w:val="both"/>
        <w:rPr>
          <w:rFonts w:ascii="Palatino Linotype" w:eastAsia="Palatino Linotype" w:hAnsi="Palatino Linotype" w:cs="Palatino Linotype"/>
        </w:rPr>
      </w:pPr>
    </w:p>
    <w:p w14:paraId="77120AC7" w14:textId="77777777" w:rsidR="00267BE2" w:rsidRPr="00F867F2" w:rsidRDefault="00675343">
      <w:pPr>
        <w:spacing w:line="360" w:lineRule="auto"/>
        <w:jc w:val="both"/>
        <w:rPr>
          <w:rFonts w:ascii="Palatino Linotype" w:eastAsia="Palatino Linotype" w:hAnsi="Palatino Linotype" w:cs="Palatino Linotype"/>
        </w:rPr>
      </w:pPr>
      <w:r w:rsidRPr="00F867F2">
        <w:rPr>
          <w:rFonts w:ascii="Palatino Linotype" w:eastAsia="Palatino Linotype" w:hAnsi="Palatino Linotype" w:cs="Palatino Linotype"/>
        </w:rPr>
        <w:t xml:space="preserve">Así pues, es dable para el </w:t>
      </w:r>
      <w:proofErr w:type="spellStart"/>
      <w:r w:rsidRPr="00F867F2">
        <w:rPr>
          <w:rFonts w:ascii="Palatino Linotype" w:eastAsia="Palatino Linotype" w:hAnsi="Palatino Linotype" w:cs="Palatino Linotype"/>
        </w:rPr>
        <w:t>Infoem</w:t>
      </w:r>
      <w:proofErr w:type="spellEnd"/>
      <w:r w:rsidRPr="00F867F2">
        <w:rPr>
          <w:rFonts w:ascii="Palatino Linotype" w:eastAsia="Palatino Linotype" w:hAnsi="Palatino Linotype" w:cs="Palatino Linotype"/>
        </w:rPr>
        <w:t xml:space="preserve">, ordenar la entrega de la Conciliación de la Nómina, de las pólizas de egresos y de los Comprobantes Fiscales Digitales por Internet por Concepto de Nómina, den cuenta de la información requerida por </w:t>
      </w:r>
      <w:r w:rsidRPr="00F867F2">
        <w:rPr>
          <w:rFonts w:ascii="Palatino Linotype" w:eastAsia="Palatino Linotype" w:hAnsi="Palatino Linotype" w:cs="Palatino Linotype"/>
          <w:b/>
        </w:rPr>
        <w:t>LA PARTE RECURRENTE</w:t>
      </w:r>
      <w:r w:rsidRPr="00F867F2">
        <w:rPr>
          <w:rFonts w:ascii="Palatino Linotype" w:eastAsia="Palatino Linotype" w:hAnsi="Palatino Linotype" w:cs="Palatino Linotype"/>
        </w:rPr>
        <w:t xml:space="preserve"> relativa a la segunda quincena del mes de mayo de dos mil veintidós, pues como ha sido demostrado, </w:t>
      </w:r>
      <w:r w:rsidRPr="00F867F2">
        <w:rPr>
          <w:rFonts w:ascii="Palatino Linotype" w:eastAsia="Palatino Linotype" w:hAnsi="Palatino Linotype" w:cs="Palatino Linotype"/>
          <w:b/>
        </w:rPr>
        <w:t>EL SUJETO OBLIGADO</w:t>
      </w:r>
      <w:r w:rsidRPr="00F867F2">
        <w:rPr>
          <w:rFonts w:ascii="Palatino Linotype" w:eastAsia="Palatino Linotype" w:hAnsi="Palatino Linotype" w:cs="Palatino Linotype"/>
        </w:rPr>
        <w:t xml:space="preserve"> se encuentra facultado para satisfacer este derecho ciudadano, no obstante, deberá observar lo establecido en el siguiente Considerando. </w:t>
      </w:r>
    </w:p>
    <w:p w14:paraId="0A346729" w14:textId="77777777" w:rsidR="00267BE2" w:rsidRPr="00F867F2" w:rsidRDefault="00675343">
      <w:pPr>
        <w:spacing w:line="360" w:lineRule="auto"/>
        <w:ind w:right="51"/>
        <w:jc w:val="both"/>
        <w:rPr>
          <w:rFonts w:ascii="Palatino Linotype" w:eastAsia="Palatino Linotype" w:hAnsi="Palatino Linotype" w:cs="Palatino Linotype"/>
        </w:rPr>
      </w:pPr>
      <w:r w:rsidRPr="00F867F2">
        <w:rPr>
          <w:rFonts w:ascii="Palatino Linotype" w:eastAsia="Palatino Linotype" w:hAnsi="Palatino Linotype" w:cs="Palatino Linotype"/>
          <w:b/>
        </w:rPr>
        <w:lastRenderedPageBreak/>
        <w:t xml:space="preserve">QUINTO. Versión Pública. </w:t>
      </w:r>
      <w:r w:rsidRPr="00F867F2">
        <w:rPr>
          <w:rFonts w:ascii="Palatino Linotype" w:eastAsia="Palatino Linotype" w:hAnsi="Palatino Linotype" w:cs="Palatino Linotype"/>
        </w:rPr>
        <w:t xml:space="preserve">Como fue debidamente apuntado, </w:t>
      </w:r>
      <w:r w:rsidRPr="00F867F2">
        <w:rPr>
          <w:rFonts w:ascii="Palatino Linotype" w:eastAsia="Palatino Linotype" w:hAnsi="Palatino Linotype" w:cs="Palatino Linotype"/>
          <w:b/>
        </w:rPr>
        <w:t>EL SUJETO OBLIGADO</w:t>
      </w:r>
      <w:r w:rsidRPr="00F867F2">
        <w:rPr>
          <w:rFonts w:ascii="Palatino Linotype" w:eastAsia="Palatino Linotype" w:hAnsi="Palatino Linotype" w:cs="Palatino Linotype"/>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176654E8" w14:textId="77777777" w:rsidR="00267BE2" w:rsidRPr="00F867F2" w:rsidRDefault="00267BE2">
      <w:pPr>
        <w:spacing w:line="360" w:lineRule="auto"/>
        <w:ind w:right="51"/>
        <w:jc w:val="both"/>
        <w:rPr>
          <w:rFonts w:ascii="Palatino Linotype" w:eastAsia="Palatino Linotype" w:hAnsi="Palatino Linotype" w:cs="Palatino Linotype"/>
        </w:rPr>
      </w:pPr>
    </w:p>
    <w:p w14:paraId="4BD406EC" w14:textId="77777777" w:rsidR="00267BE2" w:rsidRPr="00F867F2" w:rsidRDefault="00675343">
      <w:pPr>
        <w:spacing w:line="360" w:lineRule="auto"/>
        <w:ind w:right="49"/>
        <w:jc w:val="both"/>
        <w:rPr>
          <w:rFonts w:ascii="Palatino Linotype" w:eastAsia="Palatino Linotype" w:hAnsi="Palatino Linotype" w:cs="Palatino Linotype"/>
        </w:rPr>
      </w:pPr>
      <w:r w:rsidRPr="00F867F2">
        <w:rPr>
          <w:rFonts w:ascii="Palatino Linotype" w:eastAsia="Palatino Linotype" w:hAnsi="Palatino Linotype" w:cs="Palatino Linotype"/>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201A5FE2" w14:textId="77777777" w:rsidR="00267BE2" w:rsidRPr="00F867F2" w:rsidRDefault="00267BE2">
      <w:pPr>
        <w:spacing w:line="360" w:lineRule="auto"/>
        <w:ind w:right="49"/>
        <w:jc w:val="both"/>
        <w:rPr>
          <w:rFonts w:ascii="Palatino Linotype" w:eastAsia="Palatino Linotype" w:hAnsi="Palatino Linotype" w:cs="Palatino Linotype"/>
        </w:rPr>
      </w:pPr>
    </w:p>
    <w:p w14:paraId="2EDD13E8" w14:textId="77777777" w:rsidR="00267BE2" w:rsidRPr="00F867F2" w:rsidRDefault="00675343">
      <w:pPr>
        <w:spacing w:line="360" w:lineRule="auto"/>
        <w:ind w:right="49"/>
        <w:jc w:val="both"/>
        <w:rPr>
          <w:rFonts w:ascii="Palatino Linotype" w:eastAsia="Palatino Linotype" w:hAnsi="Palatino Linotype" w:cs="Palatino Linotype"/>
        </w:rPr>
      </w:pPr>
      <w:r w:rsidRPr="00F867F2">
        <w:rPr>
          <w:rFonts w:ascii="Palatino Linotype" w:eastAsia="Palatino Linotype" w:hAnsi="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72516499" w14:textId="77777777" w:rsidR="00267BE2" w:rsidRPr="00F867F2" w:rsidRDefault="00267BE2">
      <w:pPr>
        <w:spacing w:line="360" w:lineRule="auto"/>
        <w:ind w:right="49"/>
        <w:jc w:val="both"/>
        <w:rPr>
          <w:rFonts w:ascii="Palatino Linotype" w:eastAsia="Palatino Linotype" w:hAnsi="Palatino Linotype" w:cs="Palatino Linotype"/>
        </w:rPr>
      </w:pPr>
    </w:p>
    <w:p w14:paraId="378D4010" w14:textId="77777777" w:rsidR="00267BE2" w:rsidRPr="00F867F2" w:rsidRDefault="00675343">
      <w:pPr>
        <w:spacing w:line="360" w:lineRule="auto"/>
        <w:ind w:right="49"/>
        <w:jc w:val="both"/>
        <w:rPr>
          <w:rFonts w:ascii="Palatino Linotype" w:eastAsia="Palatino Linotype" w:hAnsi="Palatino Linotype" w:cs="Palatino Linotype"/>
        </w:rPr>
      </w:pPr>
      <w:r w:rsidRPr="00F867F2">
        <w:rPr>
          <w:rFonts w:ascii="Palatino Linotype" w:eastAsia="Palatino Linotype" w:hAnsi="Palatino Linotype" w:cs="Palatino Linotype"/>
        </w:rPr>
        <w:t>Al respecto, los artículos 3, fracciones IX, XX, XXI, XXXII, XLV; 6, 91, 137, 143 fracción I, de la Ley de Transparencia y Acceso a la Información Pública del Estado de México y Municipios vigente establecen:</w:t>
      </w:r>
    </w:p>
    <w:p w14:paraId="40DF70AB" w14:textId="77777777" w:rsidR="00267BE2" w:rsidRPr="00F867F2" w:rsidRDefault="00267BE2">
      <w:pPr>
        <w:pBdr>
          <w:top w:val="nil"/>
          <w:left w:val="nil"/>
          <w:bottom w:val="nil"/>
          <w:right w:val="nil"/>
          <w:between w:val="nil"/>
        </w:pBdr>
        <w:ind w:left="864" w:right="864"/>
        <w:jc w:val="both"/>
        <w:rPr>
          <w:rFonts w:ascii="Palatino Linotype" w:eastAsia="Palatino Linotype" w:hAnsi="Palatino Linotype" w:cs="Palatino Linotype"/>
          <w:i/>
          <w:color w:val="404040"/>
        </w:rPr>
      </w:pPr>
    </w:p>
    <w:p w14:paraId="56F21534"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rPr>
      </w:pPr>
      <w:r w:rsidRPr="00F867F2">
        <w:rPr>
          <w:rFonts w:ascii="Palatino Linotype" w:eastAsia="Palatino Linotype" w:hAnsi="Palatino Linotype" w:cs="Palatino Linotype"/>
          <w:i/>
          <w:color w:val="404040"/>
        </w:rPr>
        <w:t> </w:t>
      </w:r>
      <w:r w:rsidRPr="00F867F2">
        <w:rPr>
          <w:rFonts w:ascii="Palatino Linotype" w:eastAsia="Palatino Linotype" w:hAnsi="Palatino Linotype" w:cs="Palatino Linotype"/>
          <w:b/>
          <w:i/>
          <w:color w:val="404040"/>
        </w:rPr>
        <w:t>Artículo 3.</w:t>
      </w:r>
      <w:r w:rsidRPr="00F867F2">
        <w:rPr>
          <w:rFonts w:ascii="Palatino Linotype" w:eastAsia="Palatino Linotype" w:hAnsi="Palatino Linotype" w:cs="Palatino Linotype"/>
          <w:i/>
          <w:color w:val="404040"/>
        </w:rPr>
        <w:t xml:space="preserve"> Para los efectos de la presente Ley se entenderá por:</w:t>
      </w:r>
    </w:p>
    <w:p w14:paraId="202457DD"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rPr>
      </w:pPr>
      <w:r w:rsidRPr="00F867F2">
        <w:rPr>
          <w:rFonts w:ascii="Palatino Linotype" w:eastAsia="Palatino Linotype" w:hAnsi="Palatino Linotype" w:cs="Palatino Linotype"/>
          <w:i/>
          <w:color w:val="404040"/>
        </w:rPr>
        <w:t>(…)</w:t>
      </w:r>
    </w:p>
    <w:p w14:paraId="2D4B894F"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rPr>
      </w:pPr>
      <w:r w:rsidRPr="00F867F2">
        <w:rPr>
          <w:rFonts w:ascii="Palatino Linotype" w:eastAsia="Palatino Linotype" w:hAnsi="Palatino Linotype" w:cs="Palatino Linotype"/>
          <w:b/>
          <w:i/>
          <w:color w:val="404040"/>
        </w:rPr>
        <w:lastRenderedPageBreak/>
        <w:t>IX. Datos personales</w:t>
      </w:r>
      <w:r w:rsidRPr="00F867F2">
        <w:rPr>
          <w:rFonts w:ascii="Palatino Linotype" w:eastAsia="Palatino Linotype" w:hAnsi="Palatino Linotype" w:cs="Palatino Linotype"/>
          <w:i/>
          <w:color w:val="404040"/>
        </w:rPr>
        <w:t>: La información concerniente a una persona, identificada o identificable según lo dispuesto por la Ley de Protección de Datos Personales del Estado de México;</w:t>
      </w:r>
    </w:p>
    <w:p w14:paraId="45DF753D"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rPr>
      </w:pPr>
      <w:r w:rsidRPr="00F867F2">
        <w:rPr>
          <w:rFonts w:ascii="Palatino Linotype" w:eastAsia="Palatino Linotype" w:hAnsi="Palatino Linotype" w:cs="Palatino Linotype"/>
          <w:i/>
          <w:color w:val="404040"/>
        </w:rPr>
        <w:t>(…)</w:t>
      </w:r>
    </w:p>
    <w:p w14:paraId="28A18153"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rPr>
      </w:pPr>
      <w:r w:rsidRPr="00F867F2">
        <w:rPr>
          <w:rFonts w:ascii="Palatino Linotype" w:eastAsia="Palatino Linotype" w:hAnsi="Palatino Linotype" w:cs="Palatino Linotype"/>
          <w:b/>
          <w:i/>
          <w:color w:val="404040"/>
        </w:rPr>
        <w:t>XX. Información clasificada</w:t>
      </w:r>
      <w:r w:rsidRPr="00F867F2">
        <w:rPr>
          <w:rFonts w:ascii="Palatino Linotype" w:eastAsia="Palatino Linotype" w:hAnsi="Palatino Linotype" w:cs="Palatino Linotype"/>
          <w:i/>
          <w:color w:val="404040"/>
        </w:rPr>
        <w:t>: Aquella considerada por la presente Ley como reservada o confidencial;</w:t>
      </w:r>
    </w:p>
    <w:p w14:paraId="56EB10A9"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rPr>
      </w:pPr>
      <w:r w:rsidRPr="00F867F2">
        <w:rPr>
          <w:rFonts w:ascii="Palatino Linotype" w:eastAsia="Palatino Linotype" w:hAnsi="Palatino Linotype" w:cs="Palatino Linotype"/>
          <w:b/>
          <w:i/>
          <w:color w:val="404040"/>
        </w:rPr>
        <w:t>XXI. Información confidencial</w:t>
      </w:r>
      <w:r w:rsidRPr="00F867F2">
        <w:rPr>
          <w:rFonts w:ascii="Palatino Linotype" w:eastAsia="Palatino Linotype" w:hAnsi="Palatino Linotype" w:cs="Palatino Linotype"/>
          <w:i/>
          <w:color w:val="404040"/>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2EB167D"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rPr>
      </w:pPr>
      <w:r w:rsidRPr="00F867F2">
        <w:rPr>
          <w:rFonts w:ascii="Palatino Linotype" w:eastAsia="Palatino Linotype" w:hAnsi="Palatino Linotype" w:cs="Palatino Linotype"/>
          <w:i/>
          <w:color w:val="404040"/>
        </w:rPr>
        <w:t>(…)</w:t>
      </w:r>
    </w:p>
    <w:p w14:paraId="5FCA6CE2"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rPr>
      </w:pPr>
      <w:r w:rsidRPr="00F867F2">
        <w:rPr>
          <w:rFonts w:ascii="Palatino Linotype" w:eastAsia="Palatino Linotype" w:hAnsi="Palatino Linotype" w:cs="Palatino Linotype"/>
          <w:b/>
          <w:i/>
          <w:color w:val="404040"/>
        </w:rPr>
        <w:t>XXXII. Protección de Datos Personales</w:t>
      </w:r>
      <w:r w:rsidRPr="00F867F2">
        <w:rPr>
          <w:rFonts w:ascii="Palatino Linotype" w:eastAsia="Palatino Linotype" w:hAnsi="Palatino Linotype" w:cs="Palatino Linotype"/>
          <w:i/>
          <w:color w:val="404040"/>
        </w:rPr>
        <w:t>: Derecho humano que tutela la privacidad de datos personales en poder de los sujetos obligados y sujetos particulares;</w:t>
      </w:r>
    </w:p>
    <w:p w14:paraId="73C01222"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rPr>
      </w:pPr>
      <w:r w:rsidRPr="00F867F2">
        <w:rPr>
          <w:rFonts w:ascii="Palatino Linotype" w:eastAsia="Palatino Linotype" w:hAnsi="Palatino Linotype" w:cs="Palatino Linotype"/>
          <w:i/>
          <w:color w:val="404040"/>
        </w:rPr>
        <w:t>(…)</w:t>
      </w:r>
    </w:p>
    <w:p w14:paraId="2A84A21B"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rPr>
      </w:pPr>
      <w:r w:rsidRPr="00F867F2">
        <w:rPr>
          <w:rFonts w:ascii="Palatino Linotype" w:eastAsia="Palatino Linotype" w:hAnsi="Palatino Linotype" w:cs="Palatino Linotype"/>
          <w:b/>
          <w:i/>
          <w:color w:val="404040"/>
        </w:rPr>
        <w:t>XLV. Versión pública</w:t>
      </w:r>
      <w:r w:rsidRPr="00F867F2">
        <w:rPr>
          <w:rFonts w:ascii="Palatino Linotype" w:eastAsia="Palatino Linotype" w:hAnsi="Palatino Linotype" w:cs="Palatino Linotype"/>
          <w:i/>
          <w:color w:val="404040"/>
        </w:rPr>
        <w:t>: Documento en el que se elimine, suprime o borra la información clasificada como reservada o confidencial para permitir su acceso.</w:t>
      </w:r>
    </w:p>
    <w:p w14:paraId="3D4BB41C"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rPr>
      </w:pPr>
      <w:r w:rsidRPr="00F867F2">
        <w:rPr>
          <w:rFonts w:ascii="Palatino Linotype" w:eastAsia="Palatino Linotype" w:hAnsi="Palatino Linotype" w:cs="Palatino Linotype"/>
          <w:b/>
          <w:i/>
          <w:color w:val="404040"/>
        </w:rPr>
        <w:t> Artículo 6</w:t>
      </w:r>
      <w:r w:rsidRPr="00F867F2">
        <w:rPr>
          <w:rFonts w:ascii="Palatino Linotype" w:eastAsia="Palatino Linotype" w:hAnsi="Palatino Linotype" w:cs="Palatino Linotype"/>
          <w:i/>
          <w:color w:val="404040"/>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1C4968E5"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rPr>
      </w:pPr>
      <w:r w:rsidRPr="00F867F2">
        <w:rPr>
          <w:rFonts w:ascii="Palatino Linotype" w:eastAsia="Palatino Linotype" w:hAnsi="Palatino Linotype" w:cs="Palatino Linotype"/>
          <w:i/>
          <w:color w:val="404040"/>
        </w:rPr>
        <w:t> (…)</w:t>
      </w:r>
    </w:p>
    <w:p w14:paraId="4749E10C"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rPr>
      </w:pPr>
      <w:r w:rsidRPr="00F867F2">
        <w:rPr>
          <w:rFonts w:ascii="Palatino Linotype" w:eastAsia="Palatino Linotype" w:hAnsi="Palatino Linotype" w:cs="Palatino Linotype"/>
          <w:b/>
          <w:i/>
          <w:color w:val="404040"/>
        </w:rPr>
        <w:t>Artículo 91.</w:t>
      </w:r>
      <w:r w:rsidRPr="00F867F2">
        <w:rPr>
          <w:rFonts w:ascii="Palatino Linotype" w:eastAsia="Palatino Linotype" w:hAnsi="Palatino Linotype" w:cs="Palatino Linotype"/>
          <w:i/>
          <w:color w:val="404040"/>
        </w:rPr>
        <w:t xml:space="preserve"> El acceso a la información pública será restringido excepcionalmente, cuando ésta sea clasificada como reservada o confidencial.</w:t>
      </w:r>
    </w:p>
    <w:p w14:paraId="784B6A9D"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rPr>
      </w:pPr>
      <w:r w:rsidRPr="00F867F2">
        <w:rPr>
          <w:rFonts w:ascii="Palatino Linotype" w:eastAsia="Palatino Linotype" w:hAnsi="Palatino Linotype" w:cs="Palatino Linotype"/>
          <w:i/>
          <w:color w:val="404040"/>
        </w:rPr>
        <w:t>(…)</w:t>
      </w:r>
    </w:p>
    <w:p w14:paraId="00460066"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rPr>
      </w:pPr>
      <w:r w:rsidRPr="00F867F2">
        <w:rPr>
          <w:rFonts w:ascii="Palatino Linotype" w:eastAsia="Palatino Linotype" w:hAnsi="Palatino Linotype" w:cs="Palatino Linotype"/>
          <w:b/>
          <w:i/>
          <w:color w:val="404040"/>
        </w:rPr>
        <w:t>Artículo 137.</w:t>
      </w:r>
      <w:r w:rsidRPr="00F867F2">
        <w:rPr>
          <w:rFonts w:ascii="Palatino Linotype" w:eastAsia="Palatino Linotype" w:hAnsi="Palatino Linotype" w:cs="Palatino Linotype"/>
          <w:i/>
          <w:color w:val="404040"/>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w:t>
      </w:r>
      <w:r w:rsidRPr="00F867F2">
        <w:rPr>
          <w:rFonts w:ascii="Palatino Linotype" w:eastAsia="Palatino Linotype" w:hAnsi="Palatino Linotype" w:cs="Palatino Linotype"/>
          <w:i/>
          <w:color w:val="404040"/>
        </w:rPr>
        <w:lastRenderedPageBreak/>
        <w:t>secciones clasificadas, indicando su contenido de manera genérica y fundando y motivando su clasificación.</w:t>
      </w:r>
    </w:p>
    <w:p w14:paraId="188A0A2C"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rPr>
      </w:pPr>
      <w:r w:rsidRPr="00F867F2">
        <w:rPr>
          <w:rFonts w:ascii="Palatino Linotype" w:eastAsia="Palatino Linotype" w:hAnsi="Palatino Linotype" w:cs="Palatino Linotype"/>
          <w:b/>
          <w:i/>
          <w:color w:val="404040"/>
        </w:rPr>
        <w:t> Artículo 143.</w:t>
      </w:r>
      <w:r w:rsidRPr="00F867F2">
        <w:rPr>
          <w:rFonts w:ascii="Palatino Linotype" w:eastAsia="Palatino Linotype" w:hAnsi="Palatino Linotype" w:cs="Palatino Linotype"/>
          <w:i/>
          <w:color w:val="404040"/>
        </w:rPr>
        <w:t xml:space="preserve"> Para los efectos de esta Ley se considera información confidencial, la clasificada como tal, de manera permanente, por su naturaleza, cuando:</w:t>
      </w:r>
    </w:p>
    <w:p w14:paraId="02B4E78C"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rPr>
      </w:pPr>
      <w:r w:rsidRPr="00F867F2">
        <w:rPr>
          <w:rFonts w:ascii="Palatino Linotype" w:eastAsia="Palatino Linotype" w:hAnsi="Palatino Linotype" w:cs="Palatino Linotype"/>
          <w:b/>
          <w:i/>
          <w:color w:val="404040"/>
        </w:rPr>
        <w:t>I.</w:t>
      </w:r>
      <w:r w:rsidRPr="00F867F2">
        <w:rPr>
          <w:rFonts w:ascii="Palatino Linotype" w:eastAsia="Palatino Linotype" w:hAnsi="Palatino Linotype" w:cs="Palatino Linotype"/>
          <w:i/>
          <w:color w:val="404040"/>
        </w:rPr>
        <w:t xml:space="preserve"> Se refiera a la información privada y los datos personales concernientes a una persona física o jurídico colectiva identificada o identificable</w:t>
      </w:r>
    </w:p>
    <w:p w14:paraId="7123921F"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rPr>
      </w:pPr>
      <w:r w:rsidRPr="00F867F2">
        <w:rPr>
          <w:rFonts w:ascii="Palatino Linotype" w:eastAsia="Palatino Linotype" w:hAnsi="Palatino Linotype" w:cs="Palatino Linotype"/>
          <w:i/>
          <w:color w:val="404040"/>
        </w:rPr>
        <w:t>(…)</w:t>
      </w:r>
    </w:p>
    <w:p w14:paraId="7CA99E5C" w14:textId="77777777" w:rsidR="00267BE2" w:rsidRPr="00F867F2" w:rsidRDefault="00267BE2">
      <w:pPr>
        <w:spacing w:line="360" w:lineRule="auto"/>
        <w:ind w:left="1134" w:right="902"/>
        <w:jc w:val="both"/>
        <w:rPr>
          <w:rFonts w:ascii="Palatino Linotype" w:eastAsia="Palatino Linotype" w:hAnsi="Palatino Linotype" w:cs="Palatino Linotype"/>
          <w:i/>
        </w:rPr>
      </w:pPr>
    </w:p>
    <w:p w14:paraId="122D3685" w14:textId="77777777" w:rsidR="00267BE2" w:rsidRPr="00F867F2" w:rsidRDefault="00675343">
      <w:pPr>
        <w:spacing w:line="360" w:lineRule="auto"/>
        <w:ind w:right="50"/>
        <w:jc w:val="both"/>
        <w:rPr>
          <w:rFonts w:ascii="Palatino Linotype" w:eastAsia="Palatino Linotype" w:hAnsi="Palatino Linotype" w:cs="Palatino Linotype"/>
        </w:rPr>
      </w:pPr>
      <w:r w:rsidRPr="00F867F2">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w:t>
      </w:r>
      <w:r w:rsidRPr="00F867F2">
        <w:rPr>
          <w:rFonts w:ascii="Palatino Linotype" w:eastAsia="Palatino Linotype" w:hAnsi="Palatino Linotype" w:cs="Palatino Linotype"/>
          <w:b/>
        </w:rPr>
        <w:t xml:space="preserve">EL SUJETO OBLIGADO </w:t>
      </w:r>
      <w:r w:rsidRPr="00F867F2">
        <w:rPr>
          <w:rFonts w:ascii="Palatino Linotype" w:eastAsia="Palatino Linotype" w:hAnsi="Palatino Linotype" w:cs="Palatino Linotype"/>
        </w:rPr>
        <w:t>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Sujetos Obligados del Estado de México.</w:t>
      </w:r>
    </w:p>
    <w:p w14:paraId="6B9152F9" w14:textId="77777777" w:rsidR="00267BE2" w:rsidRPr="00F867F2" w:rsidRDefault="00267BE2">
      <w:pPr>
        <w:spacing w:line="360" w:lineRule="auto"/>
        <w:ind w:right="50"/>
        <w:jc w:val="both"/>
        <w:rPr>
          <w:rFonts w:ascii="Palatino Linotype" w:eastAsia="Palatino Linotype" w:hAnsi="Palatino Linotype" w:cs="Palatino Linotype"/>
        </w:rPr>
      </w:pPr>
    </w:p>
    <w:p w14:paraId="4128FF50" w14:textId="77777777" w:rsidR="00267BE2" w:rsidRPr="00F867F2" w:rsidRDefault="00675343">
      <w:pPr>
        <w:spacing w:line="360" w:lineRule="auto"/>
        <w:ind w:right="50"/>
        <w:jc w:val="both"/>
        <w:rPr>
          <w:rFonts w:ascii="Palatino Linotype" w:eastAsia="Palatino Linotype" w:hAnsi="Palatino Linotype" w:cs="Palatino Linotype"/>
        </w:rPr>
      </w:pPr>
      <w:r w:rsidRPr="00F867F2">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5CD7666B" w14:textId="77777777" w:rsidR="00267BE2" w:rsidRPr="00F867F2" w:rsidRDefault="00675343">
      <w:pPr>
        <w:spacing w:line="360" w:lineRule="auto"/>
        <w:jc w:val="both"/>
        <w:rPr>
          <w:rFonts w:ascii="Palatino Linotype" w:eastAsia="Palatino Linotype" w:hAnsi="Palatino Linotype" w:cs="Palatino Linotype"/>
        </w:rPr>
      </w:pPr>
      <w:r w:rsidRPr="00F867F2">
        <w:rPr>
          <w:rFonts w:ascii="Palatino Linotype" w:eastAsia="Palatino Linotype" w:hAnsi="Palatino Linotype" w:cs="Palatino Linotype"/>
        </w:rPr>
        <w:lastRenderedPageBreak/>
        <w:t xml:space="preserve">En el caso específico, dada la naturaleza de la información que se ordena, si bien tiene el carácter información pública en razón de que se trata de documentos que se encuentran en posesión del </w:t>
      </w:r>
      <w:r w:rsidRPr="00F867F2">
        <w:rPr>
          <w:rFonts w:ascii="Palatino Linotype" w:eastAsia="Palatino Linotype" w:hAnsi="Palatino Linotype" w:cs="Palatino Linotype"/>
          <w:b/>
        </w:rPr>
        <w:t>SUJETO OBLIGADO</w:t>
      </w:r>
      <w:r w:rsidRPr="00F867F2">
        <w:rPr>
          <w:rFonts w:ascii="Palatino Linotype" w:eastAsia="Palatino Linotype" w:hAnsi="Palatino Linotype" w:cs="Palatino Linotype"/>
        </w:rPr>
        <w:t xml:space="preserve">, derivado del ejercicio de sus atribuciones, tal como quedo acotado en el cuerpo de la presente Resolución, también contienen los datos 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F867F2">
        <w:rPr>
          <w:rFonts w:ascii="Palatino Linotype" w:eastAsia="Palatino Linotype" w:hAnsi="Palatino Linotype" w:cs="Palatino Linotype"/>
          <w:b/>
        </w:rPr>
        <w:t>Registro Federal de Contribuyentes</w:t>
      </w:r>
      <w:r w:rsidRPr="00F867F2">
        <w:rPr>
          <w:rFonts w:ascii="Palatino Linotype" w:eastAsia="Palatino Linotype" w:hAnsi="Palatino Linotype" w:cs="Palatino Linotype"/>
        </w:rPr>
        <w:t xml:space="preserve"> (RFC), la </w:t>
      </w:r>
      <w:r w:rsidRPr="00F867F2">
        <w:rPr>
          <w:rFonts w:ascii="Palatino Linotype" w:eastAsia="Palatino Linotype" w:hAnsi="Palatino Linotype" w:cs="Palatino Linotype"/>
          <w:b/>
        </w:rPr>
        <w:t>Clave Única de Registro de Población</w:t>
      </w:r>
      <w:r w:rsidRPr="00F867F2">
        <w:rPr>
          <w:rFonts w:ascii="Palatino Linotype" w:eastAsia="Palatino Linotype" w:hAnsi="Palatino Linotype" w:cs="Palatino Linotype"/>
        </w:rPr>
        <w:t xml:space="preserve"> (CURP), la </w:t>
      </w:r>
      <w:r w:rsidRPr="00F867F2">
        <w:rPr>
          <w:rFonts w:ascii="Palatino Linotype" w:eastAsia="Palatino Linotype" w:hAnsi="Palatino Linotype" w:cs="Palatino Linotype"/>
          <w:b/>
        </w:rPr>
        <w:t>Clave de cualquier tipo de seguridad social</w:t>
      </w:r>
      <w:r w:rsidRPr="00F867F2">
        <w:rPr>
          <w:rFonts w:ascii="Palatino Linotype" w:eastAsia="Palatino Linotype" w:hAnsi="Palatino Linotype" w:cs="Palatino Linotype"/>
        </w:rPr>
        <w:t xml:space="preserve"> (ISSEMYM, u otros), los </w:t>
      </w:r>
      <w:r w:rsidRPr="00F867F2">
        <w:rPr>
          <w:rFonts w:ascii="Palatino Linotype" w:eastAsia="Palatino Linotype" w:hAnsi="Palatino Linotype" w:cs="Palatino Linotype"/>
          <w:b/>
        </w:rPr>
        <w:t>números de cuentas bancarias</w:t>
      </w:r>
      <w:r w:rsidRPr="00F867F2">
        <w:rPr>
          <w:rFonts w:ascii="Palatino Linotype" w:eastAsia="Palatino Linotype" w:hAnsi="Palatino Linotype" w:cs="Palatino Linotype"/>
        </w:rPr>
        <w:t xml:space="preserve">, claves estandarizadas – interbancarias - (CLABES) y de tarjetas, los </w:t>
      </w:r>
      <w:r w:rsidRPr="00F867F2">
        <w:rPr>
          <w:rFonts w:ascii="Palatino Linotype" w:eastAsia="Palatino Linotype" w:hAnsi="Palatino Linotype" w:cs="Palatino Linotype"/>
          <w:b/>
        </w:rPr>
        <w:t>préstamos o descuentos</w:t>
      </w:r>
      <w:r w:rsidRPr="00F867F2">
        <w:rPr>
          <w:rFonts w:ascii="Palatino Linotype" w:eastAsia="Palatino Linotype" w:hAnsi="Palatino Linotype" w:cs="Palatino Linotype"/>
        </w:rPr>
        <w:t xml:space="preserve"> que se le hagan a la persona y que no tengan relación con los impuestos o la cuota por seguridad social, el</w:t>
      </w:r>
      <w:r w:rsidRPr="00F867F2">
        <w:rPr>
          <w:rFonts w:ascii="Palatino Linotype" w:eastAsia="Palatino Linotype" w:hAnsi="Palatino Linotype" w:cs="Palatino Linotype"/>
          <w:b/>
        </w:rPr>
        <w:t xml:space="preserve"> número de empleado, </w:t>
      </w:r>
      <w:r w:rsidRPr="00F867F2">
        <w:rPr>
          <w:rFonts w:ascii="Palatino Linotype" w:eastAsia="Palatino Linotype" w:hAnsi="Palatino Linotype" w:cs="Palatino Linotype"/>
        </w:rPr>
        <w:t xml:space="preserve">así como de ser el caso, el </w:t>
      </w:r>
      <w:r w:rsidRPr="00F867F2">
        <w:rPr>
          <w:rFonts w:ascii="Palatino Linotype" w:eastAsia="Palatino Linotype" w:hAnsi="Palatino Linotype" w:cs="Palatino Linotype"/>
          <w:b/>
        </w:rPr>
        <w:t>folio fiscal</w:t>
      </w:r>
      <w:r w:rsidRPr="00F867F2">
        <w:rPr>
          <w:rFonts w:ascii="Palatino Linotype" w:eastAsia="Palatino Linotype" w:hAnsi="Palatino Linotype" w:cs="Palatino Linotype"/>
        </w:rPr>
        <w:t xml:space="preserve">, la  </w:t>
      </w:r>
      <w:r w:rsidRPr="00F867F2">
        <w:rPr>
          <w:rFonts w:ascii="Palatino Linotype" w:eastAsia="Palatino Linotype" w:hAnsi="Palatino Linotype" w:cs="Palatino Linotype"/>
          <w:b/>
        </w:rPr>
        <w:t xml:space="preserve">cadena original, </w:t>
      </w:r>
      <w:r w:rsidRPr="00F867F2">
        <w:rPr>
          <w:rFonts w:ascii="Palatino Linotype" w:eastAsia="Palatino Linotype" w:hAnsi="Palatino Linotype" w:cs="Palatino Linotype"/>
        </w:rPr>
        <w:t>los</w:t>
      </w:r>
      <w:r w:rsidRPr="00F867F2">
        <w:rPr>
          <w:rFonts w:ascii="Palatino Linotype" w:eastAsia="Palatino Linotype" w:hAnsi="Palatino Linotype" w:cs="Palatino Linotype"/>
          <w:b/>
        </w:rPr>
        <w:t xml:space="preserve"> códigos bidimensionales o códigos QR,</w:t>
      </w:r>
      <w:r w:rsidRPr="00F867F2">
        <w:rPr>
          <w:rFonts w:ascii="Palatino Linotype" w:eastAsia="Palatino Linotype" w:hAnsi="Palatino Linotype" w:cs="Palatino Linotype"/>
        </w:rPr>
        <w:t xml:space="preserve"> y cualquier información de carácter fiscal, bajo las siguientes consideraciones. </w:t>
      </w:r>
    </w:p>
    <w:p w14:paraId="4E810637" w14:textId="77777777" w:rsidR="00267BE2" w:rsidRPr="00F867F2" w:rsidRDefault="00267BE2">
      <w:pPr>
        <w:spacing w:line="360" w:lineRule="auto"/>
        <w:jc w:val="both"/>
        <w:rPr>
          <w:rFonts w:ascii="Palatino Linotype" w:eastAsia="Palatino Linotype" w:hAnsi="Palatino Linotype" w:cs="Palatino Linotype"/>
        </w:rPr>
      </w:pPr>
    </w:p>
    <w:p w14:paraId="46D842AC" w14:textId="77777777" w:rsidR="00267BE2" w:rsidRPr="00F867F2" w:rsidRDefault="00675343">
      <w:pPr>
        <w:spacing w:line="360" w:lineRule="auto"/>
        <w:ind w:right="50"/>
        <w:jc w:val="both"/>
        <w:rPr>
          <w:rFonts w:ascii="Palatino Linotype" w:eastAsia="Palatino Linotype" w:hAnsi="Palatino Linotype" w:cs="Palatino Linotype"/>
        </w:rPr>
      </w:pPr>
      <w:r w:rsidRPr="00F867F2">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7182A064" w14:textId="77777777" w:rsidR="00267BE2" w:rsidRPr="00F867F2" w:rsidRDefault="00267BE2">
      <w:pPr>
        <w:spacing w:line="360" w:lineRule="auto"/>
        <w:ind w:right="50"/>
        <w:jc w:val="both"/>
        <w:rPr>
          <w:rFonts w:ascii="Palatino Linotype" w:eastAsia="Palatino Linotype" w:hAnsi="Palatino Linotype" w:cs="Palatino Linotype"/>
        </w:rPr>
      </w:pPr>
    </w:p>
    <w:p w14:paraId="3B500959" w14:textId="77777777" w:rsidR="00267BE2" w:rsidRPr="00F867F2" w:rsidRDefault="00675343">
      <w:pPr>
        <w:spacing w:line="360" w:lineRule="auto"/>
        <w:jc w:val="both"/>
        <w:rPr>
          <w:rFonts w:ascii="Palatino Linotype" w:eastAsia="Palatino Linotype" w:hAnsi="Palatino Linotype" w:cs="Palatino Linotype"/>
        </w:rPr>
      </w:pPr>
      <w:r w:rsidRPr="00F867F2">
        <w:rPr>
          <w:rFonts w:ascii="Palatino Linotype" w:eastAsia="Palatino Linotype" w:hAnsi="Palatino Linotype" w:cs="Palatino Linotype"/>
        </w:rPr>
        <w:lastRenderedPageBreak/>
        <w:t xml:space="preserve">Por cuanto hace al Registro Federal de Contribuyentes de las personas físicas, constituye un dato personal, pues se genera con caracteres alfanuméricos a partir del nombre y la fecha de nacimiento de cada persona, y finalmente la </w:t>
      </w:r>
      <w:proofErr w:type="spellStart"/>
      <w:r w:rsidRPr="00F867F2">
        <w:rPr>
          <w:rFonts w:ascii="Palatino Linotype" w:eastAsia="Palatino Linotype" w:hAnsi="Palatino Linotype" w:cs="Palatino Linotype"/>
        </w:rPr>
        <w:t>homoclave</w:t>
      </w:r>
      <w:proofErr w:type="spellEnd"/>
      <w:r w:rsidRPr="00F867F2">
        <w:rPr>
          <w:rFonts w:ascii="Palatino Linotype" w:eastAsia="Palatino Linotype" w:hAnsi="Palatino Linotype" w:cs="Palatino Linotype"/>
        </w:rPr>
        <w:t>, por lo que para su obtención es necesario acreditar ante la autoridad fiscal previamente la identidad de la persona, su fecha de nacimiento, entre otros aspectos.</w:t>
      </w:r>
    </w:p>
    <w:p w14:paraId="08838044" w14:textId="77777777" w:rsidR="00267BE2" w:rsidRPr="00F867F2" w:rsidRDefault="00675343">
      <w:pPr>
        <w:spacing w:line="360" w:lineRule="auto"/>
        <w:jc w:val="both"/>
        <w:rPr>
          <w:rFonts w:ascii="Palatino Linotype" w:eastAsia="Palatino Linotype" w:hAnsi="Palatino Linotype" w:cs="Palatino Linotype"/>
        </w:rPr>
      </w:pPr>
      <w:r w:rsidRPr="00F867F2">
        <w:rPr>
          <w:rFonts w:ascii="Palatino Linotype" w:eastAsia="Palatino Linotype" w:hAnsi="Palatino Linotype" w:cs="Palatino Linotype"/>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37DC5784" w14:textId="77777777" w:rsidR="00267BE2" w:rsidRPr="00F867F2" w:rsidRDefault="00267BE2">
      <w:pPr>
        <w:spacing w:line="360" w:lineRule="auto"/>
        <w:jc w:val="both"/>
        <w:rPr>
          <w:rFonts w:ascii="Palatino Linotype" w:eastAsia="Palatino Linotype" w:hAnsi="Palatino Linotype" w:cs="Palatino Linotype"/>
        </w:rPr>
      </w:pPr>
    </w:p>
    <w:p w14:paraId="1B16403E" w14:textId="77777777" w:rsidR="00267BE2" w:rsidRPr="00F867F2" w:rsidRDefault="00675343">
      <w:pPr>
        <w:spacing w:line="360" w:lineRule="auto"/>
        <w:jc w:val="both"/>
        <w:rPr>
          <w:rFonts w:ascii="Palatino Linotype" w:eastAsia="Palatino Linotype" w:hAnsi="Palatino Linotype" w:cs="Palatino Linotype"/>
        </w:rPr>
      </w:pPr>
      <w:r w:rsidRPr="00F867F2">
        <w:rPr>
          <w:rFonts w:ascii="Palatino Linotype" w:eastAsia="Palatino Linotype" w:hAnsi="Palatino Linotype" w:cs="Palatino Linotype"/>
        </w:rPr>
        <w:t>Lo anterior es compartido por el Instituto Nacional de Transparencia, Acceso a la Información y Protección de Datos Personales, INAI, a través del Criterio 19/17, el cual es del tenor literal siguiente:</w:t>
      </w:r>
    </w:p>
    <w:p w14:paraId="3FAB4378" w14:textId="77777777" w:rsidR="00267BE2" w:rsidRPr="00F867F2" w:rsidRDefault="00267BE2">
      <w:pPr>
        <w:pBdr>
          <w:top w:val="nil"/>
          <w:left w:val="nil"/>
          <w:bottom w:val="nil"/>
          <w:right w:val="nil"/>
          <w:between w:val="nil"/>
        </w:pBdr>
        <w:ind w:left="864" w:right="864"/>
        <w:jc w:val="both"/>
        <w:rPr>
          <w:i/>
          <w:color w:val="404040"/>
        </w:rPr>
      </w:pPr>
    </w:p>
    <w:p w14:paraId="28482E3C"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rPr>
      </w:pPr>
      <w:r w:rsidRPr="00F867F2">
        <w:rPr>
          <w:rFonts w:ascii="Palatino Linotype" w:eastAsia="Palatino Linotype" w:hAnsi="Palatino Linotype" w:cs="Palatino Linotype"/>
          <w:b/>
          <w:i/>
          <w:color w:val="404040"/>
        </w:rPr>
        <w:t>Registro Federal de Contribuyentes (RFC) de personas físicas</w:t>
      </w:r>
      <w:r w:rsidRPr="00F867F2">
        <w:rPr>
          <w:rFonts w:ascii="Palatino Linotype" w:eastAsia="Palatino Linotype" w:hAnsi="Palatino Linotype" w:cs="Palatino Linotype"/>
          <w:i/>
          <w:color w:val="404040"/>
        </w:rPr>
        <w:t>. El RFC es una clave de carácter fiscal, única e irrepetible, que permite identificar al titular, su edad y fecha de nacimiento, por lo que es un dato personal de carácter confidencial.</w:t>
      </w:r>
    </w:p>
    <w:p w14:paraId="74226CE4" w14:textId="77777777" w:rsidR="00F13B57" w:rsidRPr="00F867F2" w:rsidRDefault="00F13B57">
      <w:pPr>
        <w:pBdr>
          <w:top w:val="nil"/>
          <w:left w:val="nil"/>
          <w:bottom w:val="nil"/>
          <w:right w:val="nil"/>
          <w:between w:val="nil"/>
        </w:pBdr>
        <w:spacing w:line="360" w:lineRule="auto"/>
        <w:jc w:val="both"/>
        <w:rPr>
          <w:rFonts w:ascii="Palatino Linotype" w:eastAsia="Palatino Linotype" w:hAnsi="Palatino Linotype" w:cs="Palatino Linotype"/>
        </w:rPr>
      </w:pPr>
    </w:p>
    <w:p w14:paraId="67B85066" w14:textId="77777777" w:rsidR="00267BE2" w:rsidRPr="00F867F2" w:rsidRDefault="00675343">
      <w:pPr>
        <w:pBdr>
          <w:top w:val="nil"/>
          <w:left w:val="nil"/>
          <w:bottom w:val="nil"/>
          <w:right w:val="nil"/>
          <w:between w:val="nil"/>
        </w:pBdr>
        <w:spacing w:line="360" w:lineRule="auto"/>
        <w:jc w:val="both"/>
        <w:rPr>
          <w:rFonts w:ascii="Palatino Linotype" w:eastAsia="Palatino Linotype" w:hAnsi="Palatino Linotype" w:cs="Palatino Linotype"/>
        </w:rPr>
      </w:pPr>
      <w:r w:rsidRPr="00F867F2">
        <w:rPr>
          <w:rFonts w:ascii="Palatino Linotype" w:eastAsia="Palatino Linotype" w:hAnsi="Palatino Linotype" w:cs="Palatino Linotype"/>
        </w:rPr>
        <w:t xml:space="preserve">Así, el Registro Federal de Contribuyentes, RFC, se vincula al nombre de su titular y permite identificar la edad de la persona, su fecha de nacimiento, así como su </w:t>
      </w:r>
      <w:proofErr w:type="spellStart"/>
      <w:r w:rsidRPr="00F867F2">
        <w:rPr>
          <w:rFonts w:ascii="Palatino Linotype" w:eastAsia="Palatino Linotype" w:hAnsi="Palatino Linotype" w:cs="Palatino Linotype"/>
        </w:rPr>
        <w:t>homoclave</w:t>
      </w:r>
      <w:proofErr w:type="spellEnd"/>
      <w:r w:rsidRPr="00F867F2">
        <w:rPr>
          <w:rFonts w:ascii="Palatino Linotype" w:eastAsia="Palatino Linotype" w:hAnsi="Palatino Linotype" w:cs="Palatino Linotype"/>
        </w:rPr>
        <w:t xml:space="preser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w:t>
      </w:r>
      <w:r w:rsidRPr="00F867F2">
        <w:rPr>
          <w:rFonts w:ascii="Palatino Linotype" w:eastAsia="Palatino Linotype" w:hAnsi="Palatino Linotype" w:cs="Palatino Linotype"/>
        </w:rPr>
        <w:lastRenderedPageBreak/>
        <w:t>de México y Municipios, y  4 fracciones XI y XII de la Ley de Protección de Datos Personales en Posesión de los Sujetos Obligados del Estado de México y Municipios.</w:t>
      </w:r>
    </w:p>
    <w:p w14:paraId="24F156B6" w14:textId="77777777" w:rsidR="00267BE2" w:rsidRPr="00F867F2" w:rsidRDefault="00675343">
      <w:pPr>
        <w:pBdr>
          <w:top w:val="nil"/>
          <w:left w:val="nil"/>
          <w:bottom w:val="nil"/>
          <w:right w:val="nil"/>
          <w:between w:val="nil"/>
        </w:pBdr>
        <w:spacing w:line="360" w:lineRule="auto"/>
        <w:jc w:val="both"/>
        <w:rPr>
          <w:rFonts w:ascii="Palatino Linotype" w:eastAsia="Palatino Linotype" w:hAnsi="Palatino Linotype" w:cs="Palatino Linotype"/>
        </w:rPr>
      </w:pPr>
      <w:r w:rsidRPr="00F867F2">
        <w:rPr>
          <w:rFonts w:ascii="Palatino Linotype" w:eastAsia="Palatino Linotype" w:hAnsi="Palatino Linotype" w:cs="Palatino Linotype"/>
        </w:rPr>
        <w:t>De igual manera la Clave Única de Registro de Población, CURP,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59984F0B" w14:textId="77777777" w:rsidR="00267BE2" w:rsidRPr="00F867F2" w:rsidRDefault="00267BE2">
      <w:pPr>
        <w:pBdr>
          <w:top w:val="nil"/>
          <w:left w:val="nil"/>
          <w:bottom w:val="nil"/>
          <w:right w:val="nil"/>
          <w:between w:val="nil"/>
        </w:pBdr>
        <w:spacing w:line="360" w:lineRule="auto"/>
        <w:jc w:val="both"/>
        <w:rPr>
          <w:rFonts w:ascii="Palatino Linotype" w:eastAsia="Palatino Linotype" w:hAnsi="Palatino Linotype" w:cs="Palatino Linotype"/>
        </w:rPr>
      </w:pPr>
    </w:p>
    <w:p w14:paraId="431D4B69" w14:textId="77777777" w:rsidR="00267BE2" w:rsidRPr="00F867F2" w:rsidRDefault="00675343">
      <w:pPr>
        <w:pBdr>
          <w:top w:val="nil"/>
          <w:left w:val="nil"/>
          <w:bottom w:val="nil"/>
          <w:right w:val="nil"/>
          <w:between w:val="nil"/>
        </w:pBdr>
        <w:spacing w:line="360" w:lineRule="auto"/>
        <w:jc w:val="both"/>
        <w:rPr>
          <w:rFonts w:ascii="Palatino Linotype" w:eastAsia="Palatino Linotype" w:hAnsi="Palatino Linotype" w:cs="Palatino Linotype"/>
        </w:rPr>
      </w:pPr>
      <w:r w:rsidRPr="00F867F2">
        <w:rPr>
          <w:rFonts w:ascii="Palatino Linotype" w:eastAsia="Palatino Linotype" w:hAnsi="Palatino Linotype" w:cs="Palatino Linotype"/>
        </w:rPr>
        <w:t>Argumento que es compartido por el Instituto Nacional de Transparencia, Acceso a la Información y Protección de Datos Personales, INAI, conforme al criterio 18/17, el cual refiere:</w:t>
      </w:r>
    </w:p>
    <w:p w14:paraId="55E2E2FE"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rPr>
      </w:pPr>
      <w:r w:rsidRPr="00F867F2">
        <w:rPr>
          <w:i/>
          <w:color w:val="404040"/>
        </w:rPr>
        <w:t xml:space="preserve"> </w:t>
      </w:r>
    </w:p>
    <w:p w14:paraId="7C2B2108"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rPr>
      </w:pPr>
      <w:r w:rsidRPr="00F867F2">
        <w:rPr>
          <w:rFonts w:ascii="Palatino Linotype" w:eastAsia="Palatino Linotype" w:hAnsi="Palatino Linotype" w:cs="Palatino Linotype"/>
          <w:i/>
          <w:color w:val="404040"/>
        </w:rPr>
        <w:t>Clave Única de Registro de Población (CURP).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1D9F2C4A" w14:textId="77777777" w:rsidR="00267BE2" w:rsidRPr="00F867F2" w:rsidRDefault="00267BE2">
      <w:pPr>
        <w:pBdr>
          <w:top w:val="nil"/>
          <w:left w:val="nil"/>
          <w:bottom w:val="nil"/>
          <w:right w:val="nil"/>
          <w:between w:val="nil"/>
        </w:pBdr>
        <w:ind w:left="864" w:right="864"/>
        <w:jc w:val="both"/>
        <w:rPr>
          <w:rFonts w:ascii="Palatino Linotype" w:eastAsia="Palatino Linotype" w:hAnsi="Palatino Linotype" w:cs="Palatino Linotype"/>
          <w:i/>
          <w:color w:val="404040"/>
        </w:rPr>
      </w:pPr>
    </w:p>
    <w:p w14:paraId="7E72DA70" w14:textId="77777777" w:rsidR="00267BE2" w:rsidRPr="00F867F2" w:rsidRDefault="00675343">
      <w:pPr>
        <w:spacing w:line="360" w:lineRule="auto"/>
        <w:jc w:val="both"/>
        <w:rPr>
          <w:rFonts w:ascii="Palatino Linotype" w:eastAsia="Palatino Linotype" w:hAnsi="Palatino Linotype" w:cs="Palatino Linotype"/>
        </w:rPr>
      </w:pPr>
      <w:r w:rsidRPr="00F867F2">
        <w:rPr>
          <w:rFonts w:ascii="Palatino Linotype" w:eastAsia="Palatino Linotype" w:hAnsi="Palatino Linotype" w:cs="Palatino Linotype"/>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1732E670" w14:textId="77777777" w:rsidR="00267BE2" w:rsidRPr="00F867F2" w:rsidRDefault="00675343">
      <w:pPr>
        <w:spacing w:line="360" w:lineRule="auto"/>
        <w:jc w:val="both"/>
        <w:rPr>
          <w:rFonts w:ascii="Palatino Linotype" w:eastAsia="Palatino Linotype" w:hAnsi="Palatino Linotype" w:cs="Palatino Linotype"/>
        </w:rPr>
      </w:pPr>
      <w:r w:rsidRPr="00F867F2">
        <w:rPr>
          <w:rFonts w:ascii="Palatino Linotype" w:eastAsia="Palatino Linotype" w:hAnsi="Palatino Linotype" w:cs="Palatino Linotype"/>
        </w:rPr>
        <w:lastRenderedPageBreak/>
        <w:t>Respecto de los números de cuentas bancarias, claves estandarizadas –interbancarias- (CLABES) y de tarjetas, el Pleno de este Instituto ha determinado que esa información debe clasificarse como confidencial, y elaborarse una versión pública en la que se teste la misma.</w:t>
      </w:r>
    </w:p>
    <w:p w14:paraId="16BF11F5" w14:textId="77777777" w:rsidR="00267BE2" w:rsidRPr="00F867F2" w:rsidRDefault="00267BE2">
      <w:pPr>
        <w:spacing w:line="360" w:lineRule="auto"/>
        <w:jc w:val="both"/>
        <w:rPr>
          <w:rFonts w:ascii="Palatino Linotype" w:eastAsia="Palatino Linotype" w:hAnsi="Palatino Linotype" w:cs="Palatino Linotype"/>
        </w:rPr>
      </w:pPr>
    </w:p>
    <w:p w14:paraId="3B20B17B" w14:textId="77777777" w:rsidR="00267BE2" w:rsidRPr="00F867F2" w:rsidRDefault="00675343">
      <w:pPr>
        <w:spacing w:line="360" w:lineRule="auto"/>
        <w:jc w:val="both"/>
        <w:rPr>
          <w:rFonts w:ascii="Palatino Linotype" w:eastAsia="Palatino Linotype" w:hAnsi="Palatino Linotype" w:cs="Palatino Linotype"/>
        </w:rPr>
      </w:pPr>
      <w:r w:rsidRPr="00F867F2">
        <w:rPr>
          <w:rFonts w:ascii="Palatino Linotype" w:eastAsia="Palatino Linotype" w:hAnsi="Palatino Linotype" w:cs="Palatino Linotype"/>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70458E7A" w14:textId="77777777" w:rsidR="00267BE2" w:rsidRPr="00F867F2" w:rsidRDefault="00267BE2">
      <w:pPr>
        <w:spacing w:line="360" w:lineRule="auto"/>
        <w:jc w:val="both"/>
        <w:rPr>
          <w:rFonts w:ascii="Palatino Linotype" w:eastAsia="Palatino Linotype" w:hAnsi="Palatino Linotype" w:cs="Palatino Linotype"/>
        </w:rPr>
      </w:pPr>
    </w:p>
    <w:p w14:paraId="3777D382" w14:textId="77777777" w:rsidR="00267BE2" w:rsidRPr="00F867F2" w:rsidRDefault="00675343">
      <w:pPr>
        <w:spacing w:line="360" w:lineRule="auto"/>
        <w:jc w:val="both"/>
        <w:rPr>
          <w:rFonts w:ascii="Palatino Linotype" w:eastAsia="Palatino Linotype" w:hAnsi="Palatino Linotype" w:cs="Palatino Linotype"/>
        </w:rPr>
      </w:pPr>
      <w:r w:rsidRPr="00F867F2">
        <w:rPr>
          <w:rFonts w:ascii="Palatino Linotype" w:eastAsia="Palatino Linotype" w:hAnsi="Palatino Linotype" w:cs="Palatino Linotype"/>
        </w:rPr>
        <w:t>Por lo anterior, el número de cuenta bancaria debe ser clasificado como confidencial con fundamento en las fracciones I y II del artículo 143 de la Ley de la Materia vigente en la Entidad; en razón de que con su difusión se estaría poniendo en riesgo la seguridad de su titular.</w:t>
      </w:r>
    </w:p>
    <w:p w14:paraId="0AF9FF5E" w14:textId="77777777" w:rsidR="00267BE2" w:rsidRPr="00F867F2" w:rsidRDefault="00267BE2">
      <w:pPr>
        <w:spacing w:line="360" w:lineRule="auto"/>
        <w:jc w:val="both"/>
        <w:rPr>
          <w:rFonts w:ascii="Palatino Linotype" w:eastAsia="Palatino Linotype" w:hAnsi="Palatino Linotype" w:cs="Palatino Linotype"/>
        </w:rPr>
      </w:pPr>
    </w:p>
    <w:p w14:paraId="33C66429" w14:textId="77777777" w:rsidR="00267BE2" w:rsidRPr="00F867F2" w:rsidRDefault="00675343">
      <w:pPr>
        <w:pBdr>
          <w:top w:val="nil"/>
          <w:left w:val="nil"/>
          <w:bottom w:val="nil"/>
          <w:right w:val="nil"/>
          <w:between w:val="nil"/>
        </w:pBdr>
        <w:spacing w:line="360" w:lineRule="auto"/>
        <w:jc w:val="both"/>
        <w:rPr>
          <w:rFonts w:ascii="Palatino Linotype" w:eastAsia="Palatino Linotype" w:hAnsi="Palatino Linotype" w:cs="Palatino Linotype"/>
        </w:rPr>
      </w:pPr>
      <w:r w:rsidRPr="00F867F2">
        <w:rPr>
          <w:rFonts w:ascii="Palatino Linotype" w:eastAsia="Palatino Linotype" w:hAnsi="Palatino Linotype" w:cs="Palatino Linotype"/>
        </w:rPr>
        <w:t xml:space="preserve">En esa virtud, este Pleno determina que dicha información no puede ser del dominio público, toda vez que se podría dar un uso inadecuado a la misma o cometer algún ilícito o fraude como ya ha sido expuesto. </w:t>
      </w:r>
    </w:p>
    <w:p w14:paraId="5CFD3669" w14:textId="77777777" w:rsidR="00267BE2" w:rsidRPr="00F867F2" w:rsidRDefault="00267BE2">
      <w:pPr>
        <w:pBdr>
          <w:top w:val="nil"/>
          <w:left w:val="nil"/>
          <w:bottom w:val="nil"/>
          <w:right w:val="nil"/>
          <w:between w:val="nil"/>
        </w:pBdr>
        <w:spacing w:line="360" w:lineRule="auto"/>
        <w:jc w:val="both"/>
        <w:rPr>
          <w:rFonts w:ascii="Palatino Linotype" w:eastAsia="Palatino Linotype" w:hAnsi="Palatino Linotype" w:cs="Palatino Linotype"/>
        </w:rPr>
      </w:pPr>
    </w:p>
    <w:p w14:paraId="791D38DA" w14:textId="77777777" w:rsidR="00267BE2" w:rsidRPr="00F867F2" w:rsidRDefault="00675343">
      <w:pPr>
        <w:spacing w:line="360" w:lineRule="auto"/>
        <w:jc w:val="both"/>
        <w:rPr>
          <w:rFonts w:ascii="Palatino Linotype" w:eastAsia="Palatino Linotype" w:hAnsi="Palatino Linotype" w:cs="Palatino Linotype"/>
        </w:rPr>
      </w:pPr>
      <w:r w:rsidRPr="00F867F2">
        <w:rPr>
          <w:rFonts w:ascii="Palatino Linotype" w:eastAsia="Palatino Linotype" w:hAnsi="Palatino Linotype" w:cs="Palatino Linotype"/>
        </w:rPr>
        <w:t>Lo anterior no es así tratándose de las cuentas bancarias o claves interbancarias de los Sujetos Obligados ya que su publicidad cede a la rendición de cuentas al transparentar la forma en que son administrados los recursos públicos.</w:t>
      </w:r>
    </w:p>
    <w:p w14:paraId="711AF3CF" w14:textId="77777777" w:rsidR="00267BE2" w:rsidRPr="00F867F2" w:rsidRDefault="00675343">
      <w:pPr>
        <w:spacing w:line="360" w:lineRule="auto"/>
        <w:jc w:val="both"/>
        <w:rPr>
          <w:rFonts w:ascii="Palatino Linotype" w:eastAsia="Palatino Linotype" w:hAnsi="Palatino Linotype" w:cs="Palatino Linotype"/>
        </w:rPr>
      </w:pPr>
      <w:r w:rsidRPr="00F867F2">
        <w:rPr>
          <w:rFonts w:ascii="Palatino Linotype" w:eastAsia="Palatino Linotype" w:hAnsi="Palatino Linotype" w:cs="Palatino Linotype"/>
        </w:rPr>
        <w:lastRenderedPageBreak/>
        <w:t>Lo argumentado encuentra sustento en los criterios 10/17 y 11/17 emitidos por el Instituto Nacional de Transparencia, Acceso a la Información y Protección de Datos Personales, INAI, que llevan por rubro y texto los siguientes:</w:t>
      </w:r>
    </w:p>
    <w:p w14:paraId="32084CB4" w14:textId="77777777" w:rsidR="00267BE2" w:rsidRPr="00F867F2" w:rsidRDefault="00267BE2">
      <w:pPr>
        <w:pBdr>
          <w:top w:val="nil"/>
          <w:left w:val="nil"/>
          <w:bottom w:val="nil"/>
          <w:right w:val="nil"/>
          <w:between w:val="nil"/>
        </w:pBdr>
        <w:ind w:left="864" w:right="864"/>
        <w:jc w:val="both"/>
        <w:rPr>
          <w:rFonts w:ascii="Palatino Linotype" w:eastAsia="Palatino Linotype" w:hAnsi="Palatino Linotype" w:cs="Palatino Linotype"/>
          <w:i/>
          <w:color w:val="404040"/>
        </w:rPr>
      </w:pPr>
    </w:p>
    <w:p w14:paraId="03735CA7"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rPr>
      </w:pPr>
      <w:r w:rsidRPr="00F867F2">
        <w:rPr>
          <w:rFonts w:ascii="Palatino Linotype" w:eastAsia="Palatino Linotype" w:hAnsi="Palatino Linotype" w:cs="Palatino Linotype"/>
          <w:b/>
          <w:i/>
          <w:color w:val="404040"/>
        </w:rPr>
        <w:t>Cuentas bancarias y/o CLABE interbancaria de personas físicas y morales privadas.</w:t>
      </w:r>
      <w:r w:rsidRPr="00F867F2">
        <w:rPr>
          <w:rFonts w:ascii="Palatino Linotype" w:eastAsia="Palatino Linotype" w:hAnsi="Palatino Linotype" w:cs="Palatino Linotype"/>
          <w:i/>
          <w:color w:val="404040"/>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7BB61C2D" w14:textId="77777777" w:rsidR="00267BE2" w:rsidRPr="00F867F2" w:rsidRDefault="00267BE2">
      <w:pPr>
        <w:pBdr>
          <w:top w:val="nil"/>
          <w:left w:val="nil"/>
          <w:bottom w:val="nil"/>
          <w:right w:val="nil"/>
          <w:between w:val="nil"/>
        </w:pBdr>
        <w:ind w:left="864" w:right="864"/>
        <w:jc w:val="both"/>
        <w:rPr>
          <w:rFonts w:ascii="Palatino Linotype" w:eastAsia="Palatino Linotype" w:hAnsi="Palatino Linotype" w:cs="Palatino Linotype"/>
          <w:i/>
          <w:color w:val="404040"/>
        </w:rPr>
      </w:pPr>
    </w:p>
    <w:p w14:paraId="1463DC51"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rPr>
      </w:pPr>
      <w:r w:rsidRPr="00F867F2">
        <w:rPr>
          <w:rFonts w:ascii="Palatino Linotype" w:eastAsia="Palatino Linotype" w:hAnsi="Palatino Linotype" w:cs="Palatino Linotype"/>
          <w:b/>
          <w:i/>
          <w:color w:val="404040"/>
        </w:rPr>
        <w:t>Cuentas bancarias y/o CLABE interbancaria de sujetos obligados que reciben y/o transfieren recursos públicos, son información pública.</w:t>
      </w:r>
      <w:r w:rsidRPr="00F867F2">
        <w:rPr>
          <w:rFonts w:ascii="Palatino Linotype" w:eastAsia="Palatino Linotype" w:hAnsi="Palatino Linotype" w:cs="Palatino Linotype"/>
          <w:i/>
          <w:color w:val="404040"/>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5607CD8A" w14:textId="77777777" w:rsidR="00267BE2" w:rsidRPr="00F867F2" w:rsidRDefault="00267BE2">
      <w:pPr>
        <w:pBdr>
          <w:top w:val="nil"/>
          <w:left w:val="nil"/>
          <w:bottom w:val="nil"/>
          <w:right w:val="nil"/>
          <w:between w:val="nil"/>
        </w:pBdr>
        <w:ind w:left="864" w:right="864"/>
        <w:jc w:val="both"/>
        <w:rPr>
          <w:rFonts w:ascii="Palatino Linotype" w:eastAsia="Palatino Linotype" w:hAnsi="Palatino Linotype" w:cs="Palatino Linotype"/>
          <w:i/>
          <w:color w:val="404040"/>
        </w:rPr>
      </w:pPr>
    </w:p>
    <w:p w14:paraId="0465173B" w14:textId="77777777" w:rsidR="00267BE2" w:rsidRPr="00F867F2" w:rsidRDefault="00675343">
      <w:pPr>
        <w:spacing w:line="360" w:lineRule="auto"/>
        <w:jc w:val="both"/>
        <w:rPr>
          <w:rFonts w:ascii="Palatino Linotype" w:eastAsia="Palatino Linotype" w:hAnsi="Palatino Linotype" w:cs="Palatino Linotype"/>
        </w:rPr>
      </w:pPr>
      <w:r w:rsidRPr="00F867F2">
        <w:rPr>
          <w:rFonts w:ascii="Palatino Linotype" w:eastAsia="Palatino Linotype" w:hAnsi="Palatino Linotype" w:cs="Palatino Linotype"/>
        </w:rPr>
        <w:t xml:space="preserve">Por cuanto hace a los </w:t>
      </w:r>
      <w:r w:rsidRPr="00F867F2">
        <w:rPr>
          <w:rFonts w:ascii="Palatino Linotype" w:eastAsia="Palatino Linotype" w:hAnsi="Palatino Linotype" w:cs="Palatino Linotype"/>
          <w:b/>
        </w:rPr>
        <w:t>préstamos o descuentos de carácter personal</w:t>
      </w:r>
      <w:r w:rsidRPr="00F867F2">
        <w:rPr>
          <w:rFonts w:ascii="Palatino Linotype" w:eastAsia="Palatino Linotype" w:hAnsi="Palatino Linotype" w:cs="Palatino Linotype"/>
        </w:rPr>
        <w:t>, en virtud de no tener relación con la prestación del servicio y al no involucrar instituciones públicas, se consideran datos confidenciales.</w:t>
      </w:r>
    </w:p>
    <w:p w14:paraId="3538DBB8" w14:textId="77777777" w:rsidR="00267BE2" w:rsidRPr="00F867F2" w:rsidRDefault="00267BE2">
      <w:pPr>
        <w:spacing w:line="360" w:lineRule="auto"/>
        <w:jc w:val="both"/>
        <w:rPr>
          <w:rFonts w:ascii="Palatino Linotype" w:eastAsia="Palatino Linotype" w:hAnsi="Palatino Linotype" w:cs="Palatino Linotype"/>
        </w:rPr>
      </w:pPr>
    </w:p>
    <w:p w14:paraId="6151FEE7" w14:textId="77777777" w:rsidR="00267BE2" w:rsidRPr="00F867F2" w:rsidRDefault="00675343">
      <w:pPr>
        <w:spacing w:line="360" w:lineRule="auto"/>
        <w:jc w:val="both"/>
        <w:rPr>
          <w:rFonts w:ascii="Palatino Linotype" w:eastAsia="Palatino Linotype" w:hAnsi="Palatino Linotype" w:cs="Palatino Linotype"/>
        </w:rPr>
      </w:pPr>
      <w:r w:rsidRPr="00F867F2">
        <w:rPr>
          <w:rFonts w:ascii="Palatino Linotype" w:eastAsia="Palatino Linotype" w:hAnsi="Palatino Linotype" w:cs="Palatino Linotype"/>
        </w:rPr>
        <w:t>Para entender los límites y alcances de esta restricción, es oportuno recurrir al artículo 84 de la Ley del Trabajo de los Servidores Públicos del Estado y Municipios:</w:t>
      </w:r>
    </w:p>
    <w:p w14:paraId="21ACD4B0" w14:textId="77777777" w:rsidR="00267BE2" w:rsidRPr="00F867F2" w:rsidRDefault="00267BE2">
      <w:pPr>
        <w:pBdr>
          <w:top w:val="nil"/>
          <w:left w:val="nil"/>
          <w:bottom w:val="nil"/>
          <w:right w:val="nil"/>
          <w:between w:val="nil"/>
        </w:pBdr>
        <w:ind w:left="864" w:right="864"/>
        <w:jc w:val="both"/>
        <w:rPr>
          <w:rFonts w:ascii="Palatino Linotype" w:eastAsia="Palatino Linotype" w:hAnsi="Palatino Linotype" w:cs="Palatino Linotype"/>
          <w:i/>
          <w:color w:val="404040"/>
        </w:rPr>
      </w:pPr>
    </w:p>
    <w:p w14:paraId="7E682592"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rPr>
      </w:pPr>
      <w:r w:rsidRPr="00F867F2">
        <w:rPr>
          <w:rFonts w:ascii="Palatino Linotype" w:eastAsia="Palatino Linotype" w:hAnsi="Palatino Linotype" w:cs="Palatino Linotype"/>
          <w:i/>
          <w:color w:val="404040"/>
        </w:rPr>
        <w:t>ARTÍCULO 84. Sólo podrán hacerse retenciones, descuentos o deducciones al sueldo de los servidores públicos por concepto de:</w:t>
      </w:r>
    </w:p>
    <w:p w14:paraId="7C7656BC"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rPr>
      </w:pPr>
      <w:r w:rsidRPr="00F867F2">
        <w:rPr>
          <w:rFonts w:ascii="Palatino Linotype" w:eastAsia="Palatino Linotype" w:hAnsi="Palatino Linotype" w:cs="Palatino Linotype"/>
          <w:i/>
          <w:color w:val="404040"/>
        </w:rPr>
        <w:t>I. Gravámenes fiscales relacionados con el sueldo;</w:t>
      </w:r>
    </w:p>
    <w:p w14:paraId="62EA5E82"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rPr>
      </w:pPr>
      <w:r w:rsidRPr="00F867F2">
        <w:rPr>
          <w:rFonts w:ascii="Palatino Linotype" w:eastAsia="Palatino Linotype" w:hAnsi="Palatino Linotype" w:cs="Palatino Linotype"/>
          <w:i/>
          <w:color w:val="404040"/>
        </w:rPr>
        <w:lastRenderedPageBreak/>
        <w:t>II. Deudas contraídas con las instituciones públicas o dependencias por concepto de anticipos de sueldo, pagos hechos con exceso, errores o pérdidas debidamente comprobados;</w:t>
      </w:r>
    </w:p>
    <w:p w14:paraId="543896F0"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rPr>
      </w:pPr>
      <w:r w:rsidRPr="00F867F2">
        <w:rPr>
          <w:rFonts w:ascii="Palatino Linotype" w:eastAsia="Palatino Linotype" w:hAnsi="Palatino Linotype" w:cs="Palatino Linotype"/>
          <w:i/>
          <w:color w:val="404040"/>
        </w:rPr>
        <w:t>III. Cuotas sindicales;</w:t>
      </w:r>
    </w:p>
    <w:p w14:paraId="1A035CBE"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rPr>
      </w:pPr>
      <w:r w:rsidRPr="00F867F2">
        <w:rPr>
          <w:rFonts w:ascii="Palatino Linotype" w:eastAsia="Palatino Linotype" w:hAnsi="Palatino Linotype" w:cs="Palatino Linotype"/>
          <w:i/>
          <w:color w:val="404040"/>
        </w:rPr>
        <w:t>IV. Cuotas de aportación a fondos para la constitución de cooperativas y de cajas de ahorro, siempre que el servidor público hubiese manifestado previamente, de manera expresa, su conformidad;</w:t>
      </w:r>
    </w:p>
    <w:p w14:paraId="0E09998D"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rPr>
      </w:pPr>
      <w:r w:rsidRPr="00F867F2">
        <w:rPr>
          <w:rFonts w:ascii="Palatino Linotype" w:eastAsia="Palatino Linotype" w:hAnsi="Palatino Linotype" w:cs="Palatino Linotype"/>
          <w:i/>
          <w:color w:val="404040"/>
        </w:rPr>
        <w:t>V. Descuentos ordenados por el Instituto de Seguridad Social del Estado de México y Municipios, con motivo de cuotas y obligaciones contraídas con éste por los servidores públicos;</w:t>
      </w:r>
    </w:p>
    <w:p w14:paraId="2154765D"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rPr>
      </w:pPr>
      <w:r w:rsidRPr="00F867F2">
        <w:rPr>
          <w:rFonts w:ascii="Palatino Linotype" w:eastAsia="Palatino Linotype" w:hAnsi="Palatino Linotype" w:cs="Palatino Linotype"/>
          <w:i/>
          <w:color w:val="404040"/>
        </w:rPr>
        <w:t>VI. Obligaciones a cargo del servidor público con las que haya consentido, derivadas de la adquisición o del uso de habitaciones consideradas como de interés social;</w:t>
      </w:r>
    </w:p>
    <w:p w14:paraId="404D93D8"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rPr>
      </w:pPr>
      <w:r w:rsidRPr="00F867F2">
        <w:rPr>
          <w:rFonts w:ascii="Palatino Linotype" w:eastAsia="Palatino Linotype" w:hAnsi="Palatino Linotype" w:cs="Palatino Linotype"/>
          <w:i/>
          <w:color w:val="404040"/>
        </w:rPr>
        <w:t>VII. Faltas de puntualidad o de asistencia injustificadas;</w:t>
      </w:r>
    </w:p>
    <w:p w14:paraId="7B2D98F0"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rPr>
      </w:pPr>
      <w:r w:rsidRPr="00F867F2">
        <w:rPr>
          <w:rFonts w:ascii="Palatino Linotype" w:eastAsia="Palatino Linotype" w:hAnsi="Palatino Linotype" w:cs="Palatino Linotype"/>
          <w:i/>
          <w:color w:val="404040"/>
        </w:rPr>
        <w:t>VIII. Pensiones alimenticias ordenadas por la autoridad judicial; o</w:t>
      </w:r>
    </w:p>
    <w:p w14:paraId="1F51165E"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rPr>
      </w:pPr>
      <w:r w:rsidRPr="00F867F2">
        <w:rPr>
          <w:rFonts w:ascii="Palatino Linotype" w:eastAsia="Palatino Linotype" w:hAnsi="Palatino Linotype" w:cs="Palatino Linotype"/>
          <w:i/>
          <w:color w:val="404040"/>
        </w:rPr>
        <w:t>IX. Cualquier otro convenido con instituciones de servicios y aceptado por el servidor público.</w:t>
      </w:r>
    </w:p>
    <w:p w14:paraId="04D3CC46"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rPr>
      </w:pPr>
      <w:r w:rsidRPr="00F867F2">
        <w:rPr>
          <w:rFonts w:ascii="Palatino Linotype" w:eastAsia="Palatino Linotype" w:hAnsi="Palatino Linotype" w:cs="Palatino Linotype"/>
          <w:i/>
          <w:color w:val="404040"/>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4C504EC7" w14:textId="77777777" w:rsidR="00267BE2" w:rsidRPr="00F867F2" w:rsidRDefault="00267BE2">
      <w:pPr>
        <w:pBdr>
          <w:top w:val="nil"/>
          <w:left w:val="nil"/>
          <w:bottom w:val="nil"/>
          <w:right w:val="nil"/>
          <w:between w:val="nil"/>
        </w:pBdr>
        <w:ind w:left="864" w:right="864"/>
        <w:jc w:val="both"/>
        <w:rPr>
          <w:rFonts w:ascii="Palatino Linotype" w:eastAsia="Palatino Linotype" w:hAnsi="Palatino Linotype" w:cs="Palatino Linotype"/>
          <w:i/>
          <w:color w:val="404040"/>
        </w:rPr>
      </w:pPr>
    </w:p>
    <w:p w14:paraId="3FEB0EB8" w14:textId="77777777" w:rsidR="00267BE2" w:rsidRPr="00F867F2" w:rsidRDefault="00675343">
      <w:pPr>
        <w:spacing w:line="360" w:lineRule="auto"/>
        <w:jc w:val="both"/>
        <w:rPr>
          <w:rFonts w:ascii="Palatino Linotype" w:eastAsia="Palatino Linotype" w:hAnsi="Palatino Linotype" w:cs="Palatino Linotype"/>
        </w:rPr>
      </w:pPr>
      <w:r w:rsidRPr="00F867F2">
        <w:rPr>
          <w:rFonts w:ascii="Palatino Linotype" w:eastAsia="Palatino Linotype" w:hAnsi="Palatino Linotype" w:cs="Palatino Linotype"/>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14:paraId="37A08E4C" w14:textId="77777777" w:rsidR="00267BE2" w:rsidRPr="00F867F2" w:rsidRDefault="00267BE2">
      <w:pPr>
        <w:spacing w:line="360" w:lineRule="auto"/>
        <w:jc w:val="both"/>
        <w:rPr>
          <w:rFonts w:ascii="Palatino Linotype" w:eastAsia="Palatino Linotype" w:hAnsi="Palatino Linotype" w:cs="Palatino Linotype"/>
        </w:rPr>
      </w:pPr>
    </w:p>
    <w:p w14:paraId="257FD134" w14:textId="77777777" w:rsidR="00267BE2" w:rsidRPr="00F867F2" w:rsidRDefault="00675343">
      <w:pPr>
        <w:spacing w:line="360" w:lineRule="auto"/>
        <w:jc w:val="both"/>
        <w:rPr>
          <w:rFonts w:ascii="Palatino Linotype" w:eastAsia="Palatino Linotype" w:hAnsi="Palatino Linotype" w:cs="Palatino Linotype"/>
        </w:rPr>
      </w:pPr>
      <w:r w:rsidRPr="00F867F2">
        <w:rPr>
          <w:rFonts w:ascii="Palatino Linotype" w:eastAsia="Palatino Linotype" w:hAnsi="Palatino Linotype" w:cs="Palatino Linotype"/>
        </w:rPr>
        <w:lastRenderedPageBreak/>
        <w:t xml:space="preserve">Con relación al </w:t>
      </w:r>
      <w:r w:rsidRPr="00F867F2">
        <w:rPr>
          <w:rFonts w:ascii="Palatino Linotype" w:eastAsia="Palatino Linotype" w:hAnsi="Palatino Linotype" w:cs="Palatino Linotype"/>
          <w:b/>
        </w:rPr>
        <w:t>número de empleado</w:t>
      </w:r>
      <w:r w:rsidRPr="00F867F2">
        <w:rPr>
          <w:rFonts w:ascii="Palatino Linotype" w:eastAsia="Palatino Linotype" w:hAnsi="Palatino Linotype" w:cs="Palatino Linotype"/>
        </w:rPr>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r w:rsidRPr="00F867F2">
        <w:rPr>
          <w:rFonts w:ascii="Palatino Linotype" w:eastAsia="Palatino Linotype" w:hAnsi="Palatino Linotype" w:cs="Palatino Linotype"/>
          <w:vertAlign w:val="superscript"/>
        </w:rPr>
        <w:footnoteReference w:id="6"/>
      </w:r>
      <w:r w:rsidRPr="00F867F2">
        <w:rPr>
          <w:rFonts w:ascii="Palatino Linotype" w:eastAsia="Palatino Linotype" w:hAnsi="Palatino Linotype" w:cs="Palatino Linotype"/>
        </w:rPr>
        <w:t>.</w:t>
      </w:r>
    </w:p>
    <w:p w14:paraId="33897854" w14:textId="77777777" w:rsidR="00267BE2" w:rsidRPr="00F867F2" w:rsidRDefault="00675343">
      <w:pPr>
        <w:spacing w:line="360" w:lineRule="auto"/>
        <w:jc w:val="both"/>
        <w:rPr>
          <w:rFonts w:ascii="Palatino Linotype" w:eastAsia="Palatino Linotype" w:hAnsi="Palatino Linotype" w:cs="Palatino Linotype"/>
        </w:rPr>
      </w:pPr>
      <w:r w:rsidRPr="00F867F2">
        <w:rPr>
          <w:rFonts w:ascii="Palatino Linotype" w:eastAsia="Palatino Linotype" w:hAnsi="Palatino Linotype" w:cs="Palatino Linotype"/>
        </w:rPr>
        <w:t xml:space="preserve">Bajo esos argumentos, se entendería que la información relativa al número de empleado constituye información confidencial al tratarse de un número de identificación personal a través del cual se puede consultar la situación laboral personal, empero el Pleno del el Instituto Nacional de Transparencia, Acceso a la Información, y Protección de Datos Personales, </w:t>
      </w:r>
      <w:proofErr w:type="gramStart"/>
      <w:r w:rsidRPr="00F867F2">
        <w:rPr>
          <w:rFonts w:ascii="Palatino Linotype" w:eastAsia="Palatino Linotype" w:hAnsi="Palatino Linotype" w:cs="Palatino Linotype"/>
        </w:rPr>
        <w:t>INAI  se</w:t>
      </w:r>
      <w:proofErr w:type="gramEnd"/>
      <w:r w:rsidRPr="00F867F2">
        <w:rPr>
          <w:rFonts w:ascii="Palatino Linotype" w:eastAsia="Palatino Linotype" w:hAnsi="Palatino Linotype" w:cs="Palatino Linotype"/>
        </w:rPr>
        <w:t xml:space="preserve"> ha pronunciado sobre su publicidad, a través del criterio 06/19, que indica lo siguiente:</w:t>
      </w:r>
    </w:p>
    <w:p w14:paraId="3BDA1073" w14:textId="77777777" w:rsidR="00267BE2" w:rsidRPr="00F867F2" w:rsidRDefault="00267BE2">
      <w:pPr>
        <w:pBdr>
          <w:top w:val="nil"/>
          <w:left w:val="nil"/>
          <w:bottom w:val="nil"/>
          <w:right w:val="nil"/>
          <w:between w:val="nil"/>
        </w:pBdr>
        <w:ind w:left="864" w:right="864"/>
        <w:jc w:val="both"/>
        <w:rPr>
          <w:rFonts w:ascii="Palatino Linotype" w:eastAsia="Palatino Linotype" w:hAnsi="Palatino Linotype" w:cs="Palatino Linotype"/>
          <w:i/>
          <w:color w:val="404040"/>
        </w:rPr>
      </w:pPr>
    </w:p>
    <w:p w14:paraId="37B5CEC4"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rPr>
      </w:pPr>
      <w:r w:rsidRPr="00F867F2">
        <w:rPr>
          <w:rFonts w:ascii="Palatino Linotype" w:eastAsia="Palatino Linotype" w:hAnsi="Palatino Linotype" w:cs="Palatino Linotype"/>
          <w:b/>
          <w:i/>
          <w:color w:val="404040"/>
        </w:rPr>
        <w:t xml:space="preserve">Número de empleado. </w:t>
      </w:r>
      <w:r w:rsidRPr="00F867F2">
        <w:rPr>
          <w:rFonts w:ascii="Palatino Linotype" w:eastAsia="Palatino Linotype" w:hAnsi="Palatino Linotype" w:cs="Palatino Linotype"/>
          <w:i/>
          <w:color w:val="404040"/>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14:paraId="54C9F784" w14:textId="77777777" w:rsidR="00267BE2" w:rsidRPr="00F867F2" w:rsidRDefault="00267BE2">
      <w:pPr>
        <w:pBdr>
          <w:top w:val="nil"/>
          <w:left w:val="nil"/>
          <w:bottom w:val="nil"/>
          <w:right w:val="nil"/>
          <w:between w:val="nil"/>
        </w:pBdr>
        <w:ind w:left="864" w:right="864"/>
        <w:jc w:val="both"/>
        <w:rPr>
          <w:rFonts w:ascii="Palatino Linotype" w:eastAsia="Palatino Linotype" w:hAnsi="Palatino Linotype" w:cs="Palatino Linotype"/>
          <w:i/>
          <w:color w:val="404040"/>
        </w:rPr>
      </w:pPr>
    </w:p>
    <w:p w14:paraId="63295346" w14:textId="77777777" w:rsidR="00267BE2" w:rsidRPr="00F867F2" w:rsidRDefault="00675343">
      <w:pPr>
        <w:spacing w:line="360" w:lineRule="auto"/>
        <w:jc w:val="both"/>
        <w:rPr>
          <w:rFonts w:ascii="Palatino Linotype" w:eastAsia="Palatino Linotype" w:hAnsi="Palatino Linotype" w:cs="Palatino Linotype"/>
        </w:rPr>
      </w:pPr>
      <w:r w:rsidRPr="00F867F2">
        <w:rPr>
          <w:rFonts w:ascii="Palatino Linotype" w:eastAsia="Palatino Linotype" w:hAnsi="Palatino Linotype" w:cs="Palatino Linotype"/>
        </w:rPr>
        <w:t xml:space="preserve">En atención al criterio de interpretación,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 por consiguiente, en el caso concreto, el </w:t>
      </w:r>
      <w:r w:rsidRPr="00F867F2">
        <w:rPr>
          <w:rFonts w:ascii="Palatino Linotype" w:eastAsia="Palatino Linotype" w:hAnsi="Palatino Linotype" w:cs="Palatino Linotype"/>
          <w:b/>
        </w:rPr>
        <w:lastRenderedPageBreak/>
        <w:t>SUJETO OBLIGADO</w:t>
      </w:r>
      <w:r w:rsidRPr="00F867F2">
        <w:rPr>
          <w:rFonts w:ascii="Palatino Linotype" w:eastAsia="Palatino Linotype" w:hAnsi="Palatino Linotype" w:cs="Palatino Linotype"/>
        </w:rPr>
        <w:t xml:space="preserve"> deberá acatar lo establecido y de ser procedente, entregará el número de empleado o equivalente de los servidores públicos materia de la solicitud, o en su caso, los clasificará como información confidencial, a través del Acuerdo emitido por su Comité de Transparencia conforme a la Ley de la Materia.</w:t>
      </w:r>
    </w:p>
    <w:p w14:paraId="436C99D8" w14:textId="77777777" w:rsidR="00267BE2" w:rsidRPr="00F867F2" w:rsidRDefault="00267BE2">
      <w:pPr>
        <w:spacing w:line="360" w:lineRule="auto"/>
        <w:jc w:val="both"/>
        <w:rPr>
          <w:rFonts w:ascii="Palatino Linotype" w:eastAsia="Palatino Linotype" w:hAnsi="Palatino Linotype" w:cs="Palatino Linotype"/>
          <w:b/>
        </w:rPr>
      </w:pPr>
    </w:p>
    <w:p w14:paraId="3856BF26" w14:textId="77777777" w:rsidR="00267BE2" w:rsidRPr="00F867F2" w:rsidRDefault="00675343">
      <w:pPr>
        <w:spacing w:line="360" w:lineRule="auto"/>
        <w:jc w:val="both"/>
        <w:rPr>
          <w:rFonts w:ascii="Palatino Linotype" w:eastAsia="Palatino Linotype" w:hAnsi="Palatino Linotype" w:cs="Palatino Linotype"/>
        </w:rPr>
      </w:pPr>
      <w:r w:rsidRPr="00F867F2">
        <w:rPr>
          <w:rFonts w:ascii="Palatino Linotype" w:eastAsia="Palatino Linotype" w:hAnsi="Palatino Linotype" w:cs="Palatino Linotype"/>
          <w:b/>
        </w:rPr>
        <w:t>De la información fiscal</w:t>
      </w:r>
      <w:r w:rsidRPr="00F867F2">
        <w:rPr>
          <w:rFonts w:ascii="Palatino Linotype" w:eastAsia="Palatino Linotype" w:hAnsi="Palatino Linotype" w:cs="Palatino Linotype"/>
        </w:rPr>
        <w:t xml:space="preserve">: </w:t>
      </w:r>
    </w:p>
    <w:p w14:paraId="72EFD9D0" w14:textId="77777777" w:rsidR="00267BE2" w:rsidRPr="00F867F2" w:rsidRDefault="00675343">
      <w:pPr>
        <w:spacing w:line="360" w:lineRule="auto"/>
        <w:jc w:val="both"/>
        <w:rPr>
          <w:rFonts w:ascii="Palatino Linotype" w:eastAsia="Palatino Linotype" w:hAnsi="Palatino Linotype" w:cs="Palatino Linotype"/>
        </w:rPr>
      </w:pPr>
      <w:r w:rsidRPr="00F867F2">
        <w:rPr>
          <w:rFonts w:ascii="Palatino Linotype" w:eastAsia="Palatino Linotype" w:hAnsi="Palatino Linotype" w:cs="Palatino Linotype"/>
        </w:rPr>
        <w:t xml:space="preserve">La </w:t>
      </w:r>
      <w:r w:rsidRPr="00F867F2">
        <w:rPr>
          <w:rFonts w:ascii="Palatino Linotype" w:eastAsia="Palatino Linotype" w:hAnsi="Palatino Linotype" w:cs="Palatino Linotype"/>
          <w:b/>
        </w:rPr>
        <w:t>Cadena Original</w:t>
      </w:r>
      <w:r w:rsidRPr="00F867F2">
        <w:rPr>
          <w:rFonts w:ascii="Palatino Linotype" w:eastAsia="Palatino Linotype" w:hAnsi="Palatino Linotype" w:cs="Palatino Linotype"/>
        </w:rPr>
        <w:t xml:space="preserve"> es la secuencia de datos formada con la información contenida dentro de los comprobantes fiscales, entre los que podría encontrarse de manera enunciativa, más no limitativa, el RFC del receptor, es decir del servidor público. En dicho supuesto, la cadena original constituiría información que únicamente atañe al contribuyente, siendo tarea del </w:t>
      </w:r>
      <w:r w:rsidRPr="00F867F2">
        <w:rPr>
          <w:rFonts w:ascii="Palatino Linotype" w:eastAsia="Palatino Linotype" w:hAnsi="Palatino Linotype" w:cs="Palatino Linotype"/>
          <w:b/>
        </w:rPr>
        <w:t>SUJETO OBLIGADO</w:t>
      </w:r>
      <w:r w:rsidRPr="00F867F2">
        <w:rPr>
          <w:rFonts w:ascii="Palatino Linotype" w:eastAsia="Palatino Linotype" w:hAnsi="Palatino Linotype" w:cs="Palatino Linotype"/>
        </w:rPr>
        <w:t xml:space="preserve"> analizar dicha circunstancia con la finalidad de proteger, de ser el caso, la información a través de su clasificación por actualizarse el supuesto de confidencialidad.</w:t>
      </w:r>
    </w:p>
    <w:p w14:paraId="7683E590" w14:textId="77777777" w:rsidR="00267BE2" w:rsidRPr="00F867F2" w:rsidRDefault="00267BE2">
      <w:pPr>
        <w:spacing w:line="360" w:lineRule="auto"/>
        <w:jc w:val="both"/>
        <w:rPr>
          <w:rFonts w:ascii="Palatino Linotype" w:eastAsia="Palatino Linotype" w:hAnsi="Palatino Linotype" w:cs="Palatino Linotype"/>
        </w:rPr>
      </w:pPr>
    </w:p>
    <w:p w14:paraId="3D0ABFD2" w14:textId="77777777" w:rsidR="00267BE2" w:rsidRPr="00F867F2" w:rsidRDefault="00675343">
      <w:pPr>
        <w:spacing w:line="360" w:lineRule="auto"/>
        <w:jc w:val="both"/>
        <w:rPr>
          <w:rFonts w:ascii="Palatino Linotype" w:eastAsia="Palatino Linotype" w:hAnsi="Palatino Linotype" w:cs="Palatino Linotype"/>
        </w:rPr>
      </w:pPr>
      <w:r w:rsidRPr="00F867F2">
        <w:rPr>
          <w:rFonts w:ascii="Palatino Linotype" w:eastAsia="Palatino Linotype" w:hAnsi="Palatino Linotype" w:cs="Palatino Linotype"/>
        </w:rPr>
        <w:t xml:space="preserve">Los </w:t>
      </w:r>
      <w:r w:rsidRPr="00F867F2">
        <w:rPr>
          <w:rFonts w:ascii="Palatino Linotype" w:eastAsia="Palatino Linotype" w:hAnsi="Palatino Linotype" w:cs="Palatino Linotype"/>
          <w:b/>
        </w:rPr>
        <w:t>códigos bidimensionales</w:t>
      </w:r>
      <w:r w:rsidRPr="00F867F2">
        <w:rPr>
          <w:rFonts w:ascii="Palatino Linotype" w:eastAsia="Palatino Linotype" w:hAnsi="Palatino Linotype" w:cs="Palatino Linotype"/>
        </w:rPr>
        <w:t xml:space="preserve"> o </w:t>
      </w:r>
      <w:r w:rsidRPr="00F867F2">
        <w:rPr>
          <w:rFonts w:ascii="Palatino Linotype" w:eastAsia="Palatino Linotype" w:hAnsi="Palatino Linotype" w:cs="Palatino Linotype"/>
          <w:b/>
        </w:rPr>
        <w:t xml:space="preserve">códigos QR, </w:t>
      </w:r>
      <w:r w:rsidRPr="00F867F2">
        <w:rPr>
          <w:rFonts w:ascii="Palatino Linotype" w:eastAsia="Palatino Linotype" w:hAnsi="Palatino Linotype" w:cs="Palatino Linotype"/>
        </w:rPr>
        <w:t xml:space="preserve">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 debiendo el </w:t>
      </w:r>
      <w:r w:rsidRPr="00F867F2">
        <w:rPr>
          <w:rFonts w:ascii="Palatino Linotype" w:eastAsia="Palatino Linotype" w:hAnsi="Palatino Linotype" w:cs="Palatino Linotype"/>
          <w:b/>
        </w:rPr>
        <w:t xml:space="preserve">SUJETO OBLIGADO </w:t>
      </w:r>
      <w:r w:rsidRPr="00F867F2">
        <w:rPr>
          <w:rFonts w:ascii="Palatino Linotype" w:eastAsia="Palatino Linotype" w:hAnsi="Palatino Linotype" w:cs="Palatino Linotype"/>
        </w:rPr>
        <w:t>analizar dicha circunstancia con la finalidad de determinar si se actualiza algún supuesto de confidencialidad.</w:t>
      </w:r>
    </w:p>
    <w:p w14:paraId="606DB487" w14:textId="77777777" w:rsidR="00267BE2" w:rsidRPr="00F867F2" w:rsidRDefault="00267BE2">
      <w:pPr>
        <w:spacing w:line="360" w:lineRule="auto"/>
        <w:jc w:val="both"/>
        <w:rPr>
          <w:rFonts w:ascii="Palatino Linotype" w:eastAsia="Palatino Linotype" w:hAnsi="Palatino Linotype" w:cs="Palatino Linotype"/>
        </w:rPr>
      </w:pPr>
    </w:p>
    <w:p w14:paraId="6BB385B1" w14:textId="77777777" w:rsidR="00267BE2" w:rsidRPr="00F867F2" w:rsidRDefault="00675343">
      <w:pPr>
        <w:spacing w:line="360" w:lineRule="auto"/>
        <w:jc w:val="both"/>
        <w:rPr>
          <w:rFonts w:ascii="Palatino Linotype" w:eastAsia="Palatino Linotype" w:hAnsi="Palatino Linotype" w:cs="Palatino Linotype"/>
        </w:rPr>
      </w:pPr>
      <w:r w:rsidRPr="00F867F2">
        <w:rPr>
          <w:rFonts w:ascii="Palatino Linotype" w:eastAsia="Palatino Linotype" w:hAnsi="Palatino Linotype" w:cs="Palatino Linotype"/>
        </w:rPr>
        <w:t xml:space="preserve">En tal sentido, si derivado del análisis efectuado por </w:t>
      </w:r>
      <w:r w:rsidRPr="00F867F2">
        <w:rPr>
          <w:rFonts w:ascii="Palatino Linotype" w:eastAsia="Palatino Linotype" w:hAnsi="Palatino Linotype" w:cs="Palatino Linotype"/>
          <w:b/>
        </w:rPr>
        <w:t xml:space="preserve">SUJETO OBLIGADO </w:t>
      </w:r>
      <w:r w:rsidRPr="00F867F2">
        <w:rPr>
          <w:rFonts w:ascii="Palatino Linotype" w:eastAsia="Palatino Linotype" w:hAnsi="Palatino Linotype" w:cs="Palatino Linotype"/>
        </w:rPr>
        <w:t xml:space="preserve">en el presente caso, se desprende que, de la información fiscal contenida en los </w:t>
      </w:r>
      <w:r w:rsidRPr="00F867F2">
        <w:rPr>
          <w:rFonts w:ascii="Palatino Linotype" w:eastAsia="Palatino Linotype" w:hAnsi="Palatino Linotype" w:cs="Palatino Linotype"/>
        </w:rPr>
        <w:lastRenderedPageBreak/>
        <w:t>comprobantes fiscales digitales por internet, tales como cadenas, sellos digitales y/o códigos bidimensionales, se pueden obtener datos personales como el Registro Federal de Contribuyentes, la Clave Única del Registro de Población, entre otros no susceptibles de conocimiento público que, de difundirse, pudieran hacer identificable a una persona, deberá clasificarla como confidencial, de manera fundada y motivada en términos del artículo 143, fracción I de la Ley de Transparencia y Acceso a la Información Pública del Estado de México y Municipios.</w:t>
      </w:r>
    </w:p>
    <w:p w14:paraId="611CD1A8" w14:textId="77777777" w:rsidR="00267BE2" w:rsidRPr="00F867F2" w:rsidRDefault="00267BE2">
      <w:pPr>
        <w:spacing w:line="360" w:lineRule="auto"/>
        <w:jc w:val="both"/>
        <w:rPr>
          <w:rFonts w:ascii="Palatino Linotype" w:eastAsia="Palatino Linotype" w:hAnsi="Palatino Linotype" w:cs="Palatino Linotype"/>
        </w:rPr>
      </w:pPr>
    </w:p>
    <w:p w14:paraId="29A40BB3" w14:textId="77777777" w:rsidR="00267BE2" w:rsidRPr="00F867F2" w:rsidRDefault="00675343">
      <w:pPr>
        <w:spacing w:line="360" w:lineRule="auto"/>
        <w:jc w:val="both"/>
        <w:rPr>
          <w:rFonts w:ascii="Palatino Linotype" w:eastAsia="Palatino Linotype" w:hAnsi="Palatino Linotype" w:cs="Palatino Linotype"/>
        </w:rPr>
      </w:pPr>
      <w:r w:rsidRPr="00F867F2">
        <w:rPr>
          <w:rFonts w:ascii="Palatino Linotype" w:eastAsia="Palatino Linotype" w:hAnsi="Palatino Linotype" w:cs="Palatino Linotype"/>
        </w:rPr>
        <w:t xml:space="preserve">Por otro lado, derivado de la información que se ordena entregar pudiera existir información de la </w:t>
      </w:r>
      <w:r w:rsidRPr="00F867F2">
        <w:rPr>
          <w:rFonts w:ascii="Palatino Linotype" w:eastAsia="Palatino Linotype" w:hAnsi="Palatino Linotype" w:cs="Palatino Linotype"/>
          <w:b/>
        </w:rPr>
        <w:t>Dirección de Seguridad Pública Municipal del Ayuntamiento de Atlautla,</w:t>
      </w:r>
      <w:r w:rsidRPr="00F867F2">
        <w:rPr>
          <w:rFonts w:ascii="Palatino Linotype" w:eastAsia="Palatino Linotype" w:hAnsi="Palatino Linotype" w:cs="Palatino Linotype"/>
        </w:rPr>
        <w:t xml:space="preserve"> la cual ponga en riesgo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a esta Ponencia proteger los datos de los servidores públicos que integran dicha Dirección sólo por cuanto hace al nombre dejando intocable el rubro de percepciones que por su naturaleza conciernen a la ciudadanía por referirse a recursos de carácter público; circunstancia que en nada afecta al derecho tutelado por este Organismo Garante sino por el contrario también reafirma su compromiso con la rendición de cuentas del Estado y la protección a grupos vulnerables de acuerdo al cargo de seguridad Municipal, por lo que deberá testarse de igual manera sólo el nombre de los servidores públicos de la Policía Municipal </w:t>
      </w:r>
      <w:r w:rsidRPr="00F867F2">
        <w:rPr>
          <w:rFonts w:ascii="Palatino Linotype" w:eastAsia="Palatino Linotype" w:hAnsi="Palatino Linotype" w:cs="Palatino Linotype"/>
          <w:b/>
        </w:rPr>
        <w:t>que desempeñen funciones operativas</w:t>
      </w:r>
      <w:r w:rsidRPr="00F867F2">
        <w:rPr>
          <w:rFonts w:ascii="Palatino Linotype" w:eastAsia="Palatino Linotype" w:hAnsi="Palatino Linotype" w:cs="Palatino Linotype"/>
        </w:rPr>
        <w:t>.</w:t>
      </w:r>
    </w:p>
    <w:p w14:paraId="15619A90" w14:textId="77777777" w:rsidR="00267BE2" w:rsidRPr="00F867F2" w:rsidRDefault="00267BE2">
      <w:pPr>
        <w:spacing w:line="360" w:lineRule="auto"/>
        <w:jc w:val="both"/>
        <w:rPr>
          <w:rFonts w:ascii="Palatino Linotype" w:eastAsia="Palatino Linotype" w:hAnsi="Palatino Linotype" w:cs="Palatino Linotype"/>
        </w:rPr>
      </w:pPr>
    </w:p>
    <w:p w14:paraId="5C733331" w14:textId="77777777" w:rsidR="00267BE2" w:rsidRPr="00F867F2" w:rsidRDefault="00675343">
      <w:pPr>
        <w:spacing w:line="360" w:lineRule="auto"/>
        <w:jc w:val="both"/>
        <w:rPr>
          <w:rFonts w:ascii="Palatino Linotype" w:eastAsia="Palatino Linotype" w:hAnsi="Palatino Linotype" w:cs="Palatino Linotype"/>
        </w:rPr>
      </w:pPr>
      <w:r w:rsidRPr="00F867F2">
        <w:rPr>
          <w:rFonts w:ascii="Palatino Linotype" w:eastAsia="Palatino Linotype" w:hAnsi="Palatino Linotype" w:cs="Palatino Linotype"/>
        </w:rPr>
        <w:lastRenderedPageBreak/>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 así como para la elaboración de versiones públicas, al aplicar la prueba de daño correspondiente.</w:t>
      </w:r>
    </w:p>
    <w:p w14:paraId="4A7FD76F" w14:textId="77777777" w:rsidR="00267BE2" w:rsidRPr="00F867F2" w:rsidRDefault="00267BE2">
      <w:pPr>
        <w:spacing w:line="360" w:lineRule="auto"/>
        <w:jc w:val="both"/>
        <w:rPr>
          <w:rFonts w:ascii="Palatino Linotype" w:eastAsia="Palatino Linotype" w:hAnsi="Palatino Linotype" w:cs="Palatino Linotype"/>
        </w:rPr>
      </w:pPr>
    </w:p>
    <w:p w14:paraId="2578A819" w14:textId="77777777" w:rsidR="00267BE2" w:rsidRPr="00F867F2" w:rsidRDefault="00675343">
      <w:pPr>
        <w:spacing w:line="360" w:lineRule="auto"/>
        <w:jc w:val="both"/>
        <w:rPr>
          <w:rFonts w:ascii="Palatino Linotype" w:eastAsia="Palatino Linotype" w:hAnsi="Palatino Linotype" w:cs="Palatino Linotype"/>
        </w:rPr>
      </w:pPr>
      <w:r w:rsidRPr="00F867F2">
        <w:rPr>
          <w:rFonts w:ascii="Palatino Linotype" w:eastAsia="Palatino Linotype" w:hAnsi="Palatino Linotype" w:cs="Palatino Linotype"/>
        </w:rPr>
        <w:t>Como se ha referido es procedente la clasificación de la información como reservada, con el fin de no poner en riesgo su vida, salud y seguridad, dado que los hace identificables, y para no comprometer el cumplimiento de los objetivos en materia de seguridad pública, o bien, la consecución de la investigación de probables hechos delictivos y/o faltas administrativas; así como evitar que células delictivas neutralizar las acciones en materia de seguridad pública para la preservación del orden y la paz pública, por lo que, no se trata de una medida desproporcional, ni excesiva.</w:t>
      </w:r>
    </w:p>
    <w:p w14:paraId="20D59AB4" w14:textId="77777777" w:rsidR="00267BE2" w:rsidRPr="00F867F2" w:rsidRDefault="00267BE2">
      <w:pPr>
        <w:spacing w:line="360" w:lineRule="auto"/>
        <w:jc w:val="both"/>
        <w:rPr>
          <w:rFonts w:ascii="Palatino Linotype" w:eastAsia="Palatino Linotype" w:hAnsi="Palatino Linotype" w:cs="Palatino Linotype"/>
        </w:rPr>
      </w:pPr>
    </w:p>
    <w:p w14:paraId="3D9CBA24" w14:textId="77777777" w:rsidR="00267BE2" w:rsidRPr="00F867F2" w:rsidRDefault="00675343">
      <w:pPr>
        <w:spacing w:line="360" w:lineRule="auto"/>
        <w:jc w:val="both"/>
        <w:rPr>
          <w:rFonts w:ascii="Palatino Linotype" w:eastAsia="Palatino Linotype" w:hAnsi="Palatino Linotype" w:cs="Palatino Linotype"/>
        </w:rPr>
      </w:pPr>
      <w:r w:rsidRPr="00F867F2">
        <w:rPr>
          <w:rFonts w:ascii="Palatino Linotype" w:eastAsia="Palatino Linotype" w:hAnsi="Palatino Linotype" w:cs="Palatino Linotype"/>
        </w:rPr>
        <w:t>En ese entendido, la leyenda de clasificación que se genere, deberá establecer ambos supuestos de clasificación: reserva y confidencialidad, en congruencia con los requisitos establecidos en los lineamientos citados.</w:t>
      </w:r>
    </w:p>
    <w:p w14:paraId="409DCD3F" w14:textId="77777777" w:rsidR="00267BE2" w:rsidRPr="00F867F2" w:rsidRDefault="00267BE2">
      <w:pPr>
        <w:spacing w:line="360" w:lineRule="auto"/>
        <w:jc w:val="both"/>
        <w:rPr>
          <w:rFonts w:ascii="Palatino Linotype" w:eastAsia="Palatino Linotype" w:hAnsi="Palatino Linotype" w:cs="Palatino Linotype"/>
        </w:rPr>
      </w:pPr>
    </w:p>
    <w:p w14:paraId="00D7BF62" w14:textId="77777777" w:rsidR="00267BE2" w:rsidRPr="00F867F2" w:rsidRDefault="00675343">
      <w:pPr>
        <w:spacing w:line="360" w:lineRule="auto"/>
        <w:jc w:val="both"/>
        <w:rPr>
          <w:rFonts w:ascii="Palatino Linotype" w:eastAsia="Palatino Linotype" w:hAnsi="Palatino Linotype" w:cs="Palatino Linotype"/>
        </w:rPr>
      </w:pPr>
      <w:r w:rsidRPr="00F867F2">
        <w:rPr>
          <w:rFonts w:ascii="Palatino Linotype" w:eastAsia="Palatino Linotype" w:hAnsi="Palatino Linotype" w:cs="Palatino Linotype"/>
        </w:rPr>
        <w:lastRenderedPageBreak/>
        <w:t>En este marco, cabe señalar que, si bien es cierto este Instituto de Transparencia, Acceso a la Información Pública y Protección de Datos Personales del Estado de México y Municipios tiene la misión de garantizar el derecho de acceso a la información pública de los particulares; también lo es que debe cuidar la protección de datos personales y sobre todo cuando traen implícito que se ponga en riesgo la vida o integridad de una persona, resulta necesario traer por analogía, el criterio de interpretación histórico 06/09, emitido por el entonces Instituto Federal de Acceso a la Información y Protección de Datos ahora Instituto Nacional de Transparencia, Acceso a la Información y Protección de Datos Personales, INAI, que establece lo siguiente:</w:t>
      </w:r>
    </w:p>
    <w:p w14:paraId="6FD5CFBE" w14:textId="77777777" w:rsidR="00267BE2" w:rsidRPr="00F867F2" w:rsidRDefault="00267BE2">
      <w:pPr>
        <w:spacing w:line="360" w:lineRule="auto"/>
        <w:jc w:val="both"/>
        <w:rPr>
          <w:rFonts w:ascii="Palatino Linotype" w:eastAsia="Palatino Linotype" w:hAnsi="Palatino Linotype" w:cs="Palatino Linotype"/>
        </w:rPr>
      </w:pPr>
    </w:p>
    <w:p w14:paraId="788F8E41"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rPr>
      </w:pPr>
      <w:r w:rsidRPr="00F867F2">
        <w:rPr>
          <w:rFonts w:ascii="Palatino Linotype" w:eastAsia="Palatino Linotype" w:hAnsi="Palatino Linotype" w:cs="Palatino Linotype"/>
          <w:i/>
          <w:color w:val="404040"/>
        </w:rPr>
        <w:t xml:space="preserve">Nombres de servidores públicos dedicados a actividades en materia de seguridad, por excepción pueden considerarse información reservada. De conformidad con el artículo 7, fracciones I y III de la Ley Federal de Transparencia y Acceso a la Información Pública Gubernamental el nombre de los servidores públicos es información de naturaleza pública. No </w:t>
      </w:r>
      <w:proofErr w:type="gramStart"/>
      <w:r w:rsidRPr="00F867F2">
        <w:rPr>
          <w:rFonts w:ascii="Palatino Linotype" w:eastAsia="Palatino Linotype" w:hAnsi="Palatino Linotype" w:cs="Palatino Linotype"/>
          <w:i/>
          <w:color w:val="404040"/>
        </w:rPr>
        <w:t>obstante</w:t>
      </w:r>
      <w:proofErr w:type="gramEnd"/>
      <w:r w:rsidRPr="00F867F2">
        <w:rPr>
          <w:rFonts w:ascii="Palatino Linotype" w:eastAsia="Palatino Linotype" w:hAnsi="Palatino Linotype" w:cs="Palatino Linotype"/>
          <w:i/>
          <w:color w:val="404040"/>
        </w:rPr>
        <w:t xml:space="preserv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w:t>
      </w:r>
      <w:r w:rsidRPr="00F867F2">
        <w:rPr>
          <w:rFonts w:ascii="Palatino Linotype" w:eastAsia="Palatino Linotype" w:hAnsi="Palatino Linotype" w:cs="Palatino Linotype"/>
          <w:i/>
          <w:color w:val="404040"/>
        </w:rPr>
        <w:lastRenderedPageBreak/>
        <w:t>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36513E16" w14:textId="77777777" w:rsidR="00267BE2" w:rsidRPr="00F867F2" w:rsidRDefault="00267BE2"/>
    <w:p w14:paraId="65C7B02D" w14:textId="77777777" w:rsidR="00267BE2" w:rsidRPr="00F867F2" w:rsidRDefault="00675343">
      <w:pPr>
        <w:spacing w:line="360" w:lineRule="auto"/>
        <w:jc w:val="both"/>
        <w:rPr>
          <w:rFonts w:ascii="Palatino Linotype" w:eastAsia="Palatino Linotype" w:hAnsi="Palatino Linotype" w:cs="Palatino Linotype"/>
          <w:b/>
        </w:rPr>
      </w:pPr>
      <w:r w:rsidRPr="00F867F2">
        <w:rPr>
          <w:rFonts w:ascii="Palatino Linotype" w:eastAsia="Palatino Linotype" w:hAnsi="Palatino Linotype" w:cs="Palatino Linotype"/>
        </w:rPr>
        <w:t xml:space="preserve">De dicho criterio, se desprende que existen funciones a cargo de servidores públicos, tendentes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w:t>
      </w:r>
      <w:r w:rsidRPr="00F867F2">
        <w:rPr>
          <w:rFonts w:ascii="Palatino Linotype" w:eastAsia="Palatino Linotype" w:hAnsi="Palatino Linotype" w:cs="Palatino Linotype"/>
          <w:b/>
        </w:rPr>
        <w:t>funciones de carácter operativo.</w:t>
      </w:r>
    </w:p>
    <w:p w14:paraId="38BE948D" w14:textId="77777777" w:rsidR="00267BE2" w:rsidRPr="00F867F2" w:rsidRDefault="00267BE2">
      <w:pPr>
        <w:spacing w:line="360" w:lineRule="auto"/>
        <w:jc w:val="both"/>
        <w:rPr>
          <w:rFonts w:ascii="Palatino Linotype" w:eastAsia="Palatino Linotype" w:hAnsi="Palatino Linotype" w:cs="Palatino Linotype"/>
        </w:rPr>
      </w:pPr>
    </w:p>
    <w:p w14:paraId="0255B5C6" w14:textId="77777777" w:rsidR="00267BE2" w:rsidRPr="00F867F2" w:rsidRDefault="00675343">
      <w:pPr>
        <w:spacing w:line="360" w:lineRule="auto"/>
        <w:jc w:val="both"/>
        <w:rPr>
          <w:rFonts w:ascii="Palatino Linotype" w:eastAsia="Palatino Linotype" w:hAnsi="Palatino Linotype" w:cs="Palatino Linotype"/>
        </w:rPr>
      </w:pPr>
      <w:r w:rsidRPr="00F867F2">
        <w:rPr>
          <w:rFonts w:ascii="Palatino Linotype" w:eastAsia="Palatino Linotype" w:hAnsi="Palatino Linotype" w:cs="Palatino Linotype"/>
        </w:rPr>
        <w:t>Sirven de sustento a lo anterior las tesis jurisprudenciales emitidas por la Suprema corte de Justicia de la Nación, que son del literal siguiente:</w:t>
      </w:r>
    </w:p>
    <w:p w14:paraId="2D2B2A86" w14:textId="77777777" w:rsidR="00267BE2" w:rsidRPr="00F867F2" w:rsidRDefault="00267BE2">
      <w:pPr>
        <w:pBdr>
          <w:top w:val="nil"/>
          <w:left w:val="nil"/>
          <w:bottom w:val="nil"/>
          <w:right w:val="nil"/>
          <w:between w:val="nil"/>
        </w:pBdr>
        <w:ind w:left="864" w:right="864"/>
        <w:jc w:val="both"/>
        <w:rPr>
          <w:rFonts w:ascii="Palatino Linotype" w:eastAsia="Palatino Linotype" w:hAnsi="Palatino Linotype" w:cs="Palatino Linotype"/>
          <w:i/>
          <w:color w:val="404040"/>
        </w:rPr>
      </w:pPr>
    </w:p>
    <w:p w14:paraId="6C0B15FE"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rPr>
      </w:pPr>
      <w:r w:rsidRPr="00F867F2">
        <w:rPr>
          <w:rFonts w:ascii="Palatino Linotype" w:eastAsia="Palatino Linotype" w:hAnsi="Palatino Linotype" w:cs="Palatino Linotype"/>
          <w:b/>
          <w:i/>
          <w:color w:val="404040"/>
        </w:rPr>
        <w:t xml:space="preserve">“DERECHO A LA INFORMACIÓN. SU EJERCICIO SE ENCUENTRA LIMITADO TANTO POR LOS INTERESES NACIONALES Y DE LA SOCIEDAD, COMO POR LOS DERECHOS DE TERCEROS. </w:t>
      </w:r>
      <w:r w:rsidRPr="00F867F2">
        <w:rPr>
          <w:rFonts w:ascii="Palatino Linotype" w:eastAsia="Palatino Linotype" w:hAnsi="Palatino Linotype" w:cs="Palatino Linotype"/>
          <w:i/>
          <w:color w:val="404040"/>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w:t>
      </w:r>
      <w:r w:rsidRPr="00F867F2">
        <w:rPr>
          <w:rFonts w:ascii="Palatino Linotype" w:eastAsia="Palatino Linotype" w:hAnsi="Palatino Linotype" w:cs="Palatino Linotype"/>
          <w:i/>
          <w:color w:val="404040"/>
        </w:rPr>
        <w:lastRenderedPageBreak/>
        <w:t xml:space="preserve">excepciones que lo regulan y a su vez lo garantizan, en atención a la materia a que se refiera; así, en cuanto a la seguridad nacional, se tienen normas que, por un lado, </w:t>
      </w:r>
      <w:r w:rsidRPr="00F867F2">
        <w:rPr>
          <w:rFonts w:ascii="Palatino Linotype" w:eastAsia="Palatino Linotype" w:hAnsi="Palatino Linotype" w:cs="Palatino Linotype"/>
          <w:b/>
          <w:i/>
          <w:color w:val="404040"/>
        </w:rPr>
        <w:t>restringen el acceso a la información en esta materia, en razón de que su conocimiento público puede generar daños a los intereses nacionales y, por el otro, sancionan la inobservancia de esa reserva;</w:t>
      </w:r>
      <w:r w:rsidRPr="00F867F2">
        <w:rPr>
          <w:rFonts w:ascii="Palatino Linotype" w:eastAsia="Palatino Linotype" w:hAnsi="Palatino Linotype" w:cs="Palatino Linotype"/>
          <w:i/>
          <w:color w:val="404040"/>
        </w:rPr>
        <w:t xml:space="preserve"> por lo que hace al interés social, se cuenta con normas que tienden a proteger la averiguación de los delitos, la salud y la moral públicas, </w:t>
      </w:r>
      <w:r w:rsidRPr="00F867F2">
        <w:rPr>
          <w:rFonts w:ascii="Palatino Linotype" w:eastAsia="Palatino Linotype" w:hAnsi="Palatino Linotype" w:cs="Palatino Linotype"/>
          <w:b/>
          <w:i/>
          <w:color w:val="404040"/>
        </w:rPr>
        <w:t>mientras que por lo que respecta a la protección de la persona existen normas que protegen el derecho a la vida o a la privacidad de los gobernados.</w:t>
      </w:r>
    </w:p>
    <w:p w14:paraId="0057B4C7" w14:textId="77777777" w:rsidR="00267BE2" w:rsidRPr="00F867F2" w:rsidRDefault="00267BE2">
      <w:pPr>
        <w:pBdr>
          <w:top w:val="nil"/>
          <w:left w:val="nil"/>
          <w:bottom w:val="nil"/>
          <w:right w:val="nil"/>
          <w:between w:val="nil"/>
        </w:pBdr>
        <w:ind w:left="864" w:right="864"/>
        <w:jc w:val="both"/>
        <w:rPr>
          <w:rFonts w:ascii="Palatino Linotype" w:eastAsia="Palatino Linotype" w:hAnsi="Palatino Linotype" w:cs="Palatino Linotype"/>
          <w:b/>
          <w:i/>
          <w:color w:val="404040"/>
        </w:rPr>
      </w:pPr>
    </w:p>
    <w:p w14:paraId="3FBEE161"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rPr>
      </w:pPr>
      <w:r w:rsidRPr="00F867F2">
        <w:rPr>
          <w:rFonts w:ascii="Palatino Linotype" w:eastAsia="Palatino Linotype" w:hAnsi="Palatino Linotype" w:cs="Palatino Linotype"/>
          <w:b/>
          <w:i/>
          <w:color w:val="404040"/>
        </w:rPr>
        <w:t>“TRANSPARENCIA Y ACCESO A LA INFORMACIÓN PÚBLICA GUBERNAMENTAL. EL ARTÍCULO 14, FRACCIÓN I, DE LA LEY FEDERAL RELATIVA, NO VIOLA LA GARANTÍA DE ACCESO A LA INFORMACIÓN.</w:t>
      </w:r>
      <w:r w:rsidRPr="00F867F2">
        <w:rPr>
          <w:rFonts w:ascii="Palatino Linotype" w:eastAsia="Palatino Linotype" w:hAnsi="Palatino Linotype" w:cs="Palatino Linotype"/>
          <w:i/>
          <w:color w:val="404040"/>
        </w:rPr>
        <w:t xml:space="preserve">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F867F2">
        <w:rPr>
          <w:rFonts w:ascii="Palatino Linotype" w:eastAsia="Palatino Linotype" w:hAnsi="Palatino Linotype" w:cs="Palatino Linotype"/>
          <w:b/>
          <w:i/>
          <w:color w:val="404040"/>
        </w:rPr>
        <w:t xml:space="preserve">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w:t>
      </w:r>
      <w:r w:rsidRPr="00F867F2">
        <w:rPr>
          <w:rFonts w:ascii="Palatino Linotype" w:eastAsia="Palatino Linotype" w:hAnsi="Palatino Linotype" w:cs="Palatino Linotype"/>
          <w:b/>
          <w:i/>
          <w:color w:val="404040"/>
        </w:rPr>
        <w:lastRenderedPageBreak/>
        <w:t>legislativa correspondiente</w:t>
      </w:r>
      <w:r w:rsidRPr="00F867F2">
        <w:rPr>
          <w:rFonts w:ascii="Palatino Linotype" w:eastAsia="Palatino Linotype" w:hAnsi="Palatino Linotype" w:cs="Palatino Linotype"/>
          <w:i/>
          <w:color w:val="404040"/>
        </w:rPr>
        <w:t>, la cual debe ser adecuada y necesaria para alcanzar el fin perseguido, de manera que las ventajas obtenidas con la reserva compensen el sacrificio que ésta implique para los titulares de la garantía individual mencionada o para la sociedad en general.</w:t>
      </w:r>
    </w:p>
    <w:p w14:paraId="18D90ABA" w14:textId="77777777" w:rsidR="00267BE2" w:rsidRPr="00F867F2" w:rsidRDefault="00267BE2">
      <w:pPr>
        <w:pBdr>
          <w:top w:val="nil"/>
          <w:left w:val="nil"/>
          <w:bottom w:val="nil"/>
          <w:right w:val="nil"/>
          <w:between w:val="nil"/>
        </w:pBdr>
        <w:ind w:left="864" w:right="864"/>
        <w:jc w:val="both"/>
        <w:rPr>
          <w:rFonts w:ascii="Palatino Linotype" w:eastAsia="Palatino Linotype" w:hAnsi="Palatino Linotype" w:cs="Palatino Linotype"/>
          <w:i/>
          <w:color w:val="404040"/>
        </w:rPr>
      </w:pPr>
    </w:p>
    <w:p w14:paraId="597D442E" w14:textId="77777777" w:rsidR="00267BE2" w:rsidRPr="00F867F2" w:rsidRDefault="00675343">
      <w:pPr>
        <w:widowControl w:val="0"/>
        <w:spacing w:line="360" w:lineRule="auto"/>
        <w:jc w:val="both"/>
        <w:rPr>
          <w:rFonts w:ascii="Palatino Linotype" w:eastAsia="Palatino Linotype" w:hAnsi="Palatino Linotype" w:cs="Palatino Linotype"/>
        </w:rPr>
      </w:pPr>
      <w:r w:rsidRPr="00F867F2">
        <w:rPr>
          <w:rFonts w:ascii="Palatino Linotype" w:eastAsia="Palatino Linotype" w:hAnsi="Palatino Linotype" w:cs="Palatino Linotype"/>
        </w:rPr>
        <w:t xml:space="preserve">El Acuerdo de Clasificación de Información, se emitirá en términos de lo dispuesto tanto como en los en los artículos 128 y 129 de la Ley de Transparencia y Acceso a la Información Pública del Estado de México y Municipios, como en los 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 motivando la referida clasificación al señalar las </w:t>
      </w:r>
      <w:r w:rsidRPr="00F867F2">
        <w:rPr>
          <w:rFonts w:ascii="Palatino Linotype" w:eastAsia="Palatino Linotype" w:hAnsi="Palatino Linotype" w:cs="Palatino Linotype"/>
          <w:b/>
          <w:u w:val="single"/>
        </w:rPr>
        <w:t>razones, motivos o circunstancias especiales</w:t>
      </w:r>
      <w:r w:rsidRPr="00F867F2">
        <w:rPr>
          <w:rFonts w:ascii="Palatino Linotype" w:eastAsia="Palatino Linotype" w:hAnsi="Palatino Linotype" w:cs="Palatino Linotype"/>
        </w:rPr>
        <w:t xml:space="preserve"> que lo llevaron a concluir que el caso concreto, se ajustó a los supuestos previstos en la normatividad legal invocada como fundamento, para dichos efectos, debe proceder a su vez a realizar una prueba de daño, en la que se justificaran las razones, motivos y circunstancias que avalen que la divulgación de la información representa un riesgo real, demostrable e identificable de perjuicio significativo al interés público o a la seguridad nacional; que el riesgo de perjuicio que supondría la divulgación supera el interés público general de que se difunda, y que la limitación sea adecuada al principio de proporcionalidad y representa el medio menos restrictivo disponible para evitar el perjuicio.</w:t>
      </w:r>
    </w:p>
    <w:p w14:paraId="35AD84E9" w14:textId="77777777" w:rsidR="00267BE2" w:rsidRPr="00F867F2" w:rsidRDefault="00267BE2">
      <w:pPr>
        <w:widowControl w:val="0"/>
        <w:spacing w:line="360" w:lineRule="auto"/>
        <w:jc w:val="both"/>
        <w:rPr>
          <w:rFonts w:ascii="Palatino Linotype" w:eastAsia="Palatino Linotype" w:hAnsi="Palatino Linotype" w:cs="Palatino Linotype"/>
        </w:rPr>
      </w:pPr>
    </w:p>
    <w:p w14:paraId="5CD09D35" w14:textId="77777777" w:rsidR="00267BE2" w:rsidRPr="00F867F2" w:rsidRDefault="00675343">
      <w:pPr>
        <w:spacing w:line="360" w:lineRule="auto"/>
        <w:ind w:right="50"/>
        <w:jc w:val="both"/>
        <w:rPr>
          <w:rFonts w:ascii="Palatino Linotype" w:eastAsia="Palatino Linotype" w:hAnsi="Palatino Linotype" w:cs="Palatino Linotype"/>
        </w:rPr>
      </w:pPr>
      <w:r w:rsidRPr="00F867F2">
        <w:rPr>
          <w:rFonts w:ascii="Palatino Linotype" w:eastAsia="Palatino Linotype" w:hAnsi="Palatino Linotype" w:cs="Palatino Linotype"/>
        </w:rPr>
        <w:t xml:space="preserve">En tal contexto, es de señalar que la clasificación de la información no opera con la simple supresión de datos que se haga en los documentos de que se trate o con la </w:t>
      </w:r>
      <w:r w:rsidRPr="00F867F2">
        <w:rPr>
          <w:rFonts w:ascii="Palatino Linotype" w:eastAsia="Palatino Linotype" w:hAnsi="Palatino Linotype" w:cs="Palatino Linotype"/>
        </w:rPr>
        <w:lastRenderedPageBreak/>
        <w:t xml:space="preserve">simple decisión que tome el Servidor Público Habilitado o el </w:t>
      </w:r>
      <w:proofErr w:type="gramStart"/>
      <w:r w:rsidRPr="00F867F2">
        <w:rPr>
          <w:rFonts w:ascii="Palatino Linotype" w:eastAsia="Palatino Linotype" w:hAnsi="Palatino Linotype" w:cs="Palatino Linotype"/>
        </w:rPr>
        <w:t>Responsable</w:t>
      </w:r>
      <w:proofErr w:type="gramEnd"/>
      <w:r w:rsidRPr="00F867F2">
        <w:rPr>
          <w:rFonts w:ascii="Palatino Linotype" w:eastAsia="Palatino Linotype" w:hAnsi="Palatino Linotype" w:cs="Palatino Linotype"/>
        </w:rPr>
        <w:t xml:space="preserve"> de la Unidad de Transparencia del </w:t>
      </w:r>
      <w:r w:rsidRPr="00F867F2">
        <w:rPr>
          <w:rFonts w:ascii="Palatino Linotype" w:eastAsia="Palatino Linotype" w:hAnsi="Palatino Linotype" w:cs="Palatino Linotype"/>
          <w:b/>
        </w:rPr>
        <w:t>SUJETO OBLIGADO,</w:t>
      </w:r>
      <w:r w:rsidRPr="00F867F2">
        <w:rPr>
          <w:rFonts w:ascii="Palatino Linotype" w:eastAsia="Palatino Linotype" w:hAnsi="Palatino Linotype" w:cs="Palatino Linotype"/>
        </w:rPr>
        <w:t xml:space="preserve"> sino que ello deberá realizarse en términos de lo que disponen los artículos 49 fracción VIII, 53, fracción X y 59, fracción V, de la Ley en consulta, cuyo sentido literal es el siguiente:</w:t>
      </w:r>
    </w:p>
    <w:p w14:paraId="4A2BEDCB" w14:textId="77777777" w:rsidR="00267BE2" w:rsidRPr="00F867F2" w:rsidRDefault="00267BE2">
      <w:pPr>
        <w:pBdr>
          <w:top w:val="nil"/>
          <w:left w:val="nil"/>
          <w:bottom w:val="nil"/>
          <w:right w:val="nil"/>
          <w:between w:val="nil"/>
        </w:pBdr>
        <w:ind w:left="864" w:right="864"/>
        <w:jc w:val="both"/>
        <w:rPr>
          <w:rFonts w:ascii="Palatino Linotype" w:eastAsia="Palatino Linotype" w:hAnsi="Palatino Linotype" w:cs="Palatino Linotype"/>
          <w:i/>
          <w:color w:val="404040"/>
        </w:rPr>
      </w:pPr>
    </w:p>
    <w:p w14:paraId="124E6209"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rPr>
      </w:pPr>
      <w:r w:rsidRPr="00F867F2">
        <w:rPr>
          <w:rFonts w:ascii="Palatino Linotype" w:eastAsia="Palatino Linotype" w:hAnsi="Palatino Linotype" w:cs="Palatino Linotype"/>
          <w:b/>
          <w:i/>
          <w:color w:val="404040"/>
        </w:rPr>
        <w:t>Artículo 49.</w:t>
      </w:r>
      <w:r w:rsidRPr="00F867F2">
        <w:rPr>
          <w:rFonts w:ascii="Palatino Linotype" w:eastAsia="Palatino Linotype" w:hAnsi="Palatino Linotype" w:cs="Palatino Linotype"/>
          <w:i/>
          <w:color w:val="404040"/>
        </w:rPr>
        <w:t xml:space="preserve"> </w:t>
      </w:r>
      <w:r w:rsidRPr="00F867F2">
        <w:rPr>
          <w:rFonts w:ascii="Palatino Linotype" w:eastAsia="Palatino Linotype" w:hAnsi="Palatino Linotype" w:cs="Palatino Linotype"/>
          <w:b/>
          <w:i/>
          <w:color w:val="404040"/>
        </w:rPr>
        <w:t>Los Comités de Transparencia</w:t>
      </w:r>
      <w:r w:rsidRPr="00F867F2">
        <w:rPr>
          <w:rFonts w:ascii="Palatino Linotype" w:eastAsia="Palatino Linotype" w:hAnsi="Palatino Linotype" w:cs="Palatino Linotype"/>
          <w:i/>
          <w:color w:val="404040"/>
        </w:rPr>
        <w:t xml:space="preserve"> tendrán las siguientes atribuciones:</w:t>
      </w:r>
    </w:p>
    <w:p w14:paraId="6413AC37"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rPr>
      </w:pPr>
      <w:r w:rsidRPr="00F867F2">
        <w:rPr>
          <w:rFonts w:ascii="Palatino Linotype" w:eastAsia="Palatino Linotype" w:hAnsi="Palatino Linotype" w:cs="Palatino Linotype"/>
          <w:b/>
          <w:i/>
          <w:color w:val="404040"/>
        </w:rPr>
        <w:t>VIII. Aprobar, modificar o revocar la clasificación de la información</w:t>
      </w:r>
      <w:r w:rsidRPr="00F867F2">
        <w:rPr>
          <w:rFonts w:ascii="Palatino Linotype" w:eastAsia="Palatino Linotype" w:hAnsi="Palatino Linotype" w:cs="Palatino Linotype"/>
          <w:i/>
          <w:color w:val="404040"/>
        </w:rPr>
        <w:t>…”</w:t>
      </w:r>
    </w:p>
    <w:p w14:paraId="61C2959E"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rPr>
      </w:pPr>
      <w:r w:rsidRPr="00F867F2">
        <w:rPr>
          <w:rFonts w:ascii="Palatino Linotype" w:eastAsia="Palatino Linotype" w:hAnsi="Palatino Linotype" w:cs="Palatino Linotype"/>
          <w:i/>
          <w:color w:val="404040"/>
        </w:rPr>
        <w:t>“</w:t>
      </w:r>
      <w:r w:rsidRPr="00F867F2">
        <w:rPr>
          <w:rFonts w:ascii="Palatino Linotype" w:eastAsia="Palatino Linotype" w:hAnsi="Palatino Linotype" w:cs="Palatino Linotype"/>
          <w:b/>
          <w:i/>
          <w:color w:val="404040"/>
        </w:rPr>
        <w:t>Artículo 53.</w:t>
      </w:r>
      <w:r w:rsidRPr="00F867F2">
        <w:rPr>
          <w:rFonts w:ascii="Palatino Linotype" w:eastAsia="Palatino Linotype" w:hAnsi="Palatino Linotype" w:cs="Palatino Linotype"/>
          <w:i/>
          <w:color w:val="404040"/>
        </w:rPr>
        <w:t xml:space="preserve"> Las </w:t>
      </w:r>
      <w:r w:rsidRPr="00F867F2">
        <w:rPr>
          <w:rFonts w:ascii="Palatino Linotype" w:eastAsia="Palatino Linotype" w:hAnsi="Palatino Linotype" w:cs="Palatino Linotype"/>
          <w:b/>
          <w:i/>
          <w:color w:val="404040"/>
        </w:rPr>
        <w:t>Unidades de Transparencia</w:t>
      </w:r>
      <w:r w:rsidRPr="00F867F2">
        <w:rPr>
          <w:rFonts w:ascii="Palatino Linotype" w:eastAsia="Palatino Linotype" w:hAnsi="Palatino Linotype" w:cs="Palatino Linotype"/>
          <w:i/>
          <w:color w:val="404040"/>
        </w:rPr>
        <w:t xml:space="preserve"> tendrán las siguientes </w:t>
      </w:r>
      <w:r w:rsidRPr="00F867F2">
        <w:rPr>
          <w:rFonts w:ascii="Palatino Linotype" w:eastAsia="Palatino Linotype" w:hAnsi="Palatino Linotype" w:cs="Palatino Linotype"/>
          <w:b/>
          <w:i/>
          <w:color w:val="404040"/>
        </w:rPr>
        <w:t>funciones</w:t>
      </w:r>
      <w:r w:rsidRPr="00F867F2">
        <w:rPr>
          <w:rFonts w:ascii="Palatino Linotype" w:eastAsia="Palatino Linotype" w:hAnsi="Palatino Linotype" w:cs="Palatino Linotype"/>
          <w:i/>
          <w:color w:val="404040"/>
        </w:rPr>
        <w:t>:</w:t>
      </w:r>
    </w:p>
    <w:p w14:paraId="00F2ADDC"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rPr>
      </w:pPr>
      <w:r w:rsidRPr="00F867F2">
        <w:rPr>
          <w:rFonts w:ascii="Palatino Linotype" w:eastAsia="Palatino Linotype" w:hAnsi="Palatino Linotype" w:cs="Palatino Linotype"/>
          <w:b/>
          <w:i/>
          <w:color w:val="404040"/>
        </w:rPr>
        <w:t>X. Presentar ante el Comité, el proyecto de clasificación de información</w:t>
      </w:r>
      <w:r w:rsidRPr="00F867F2">
        <w:rPr>
          <w:rFonts w:ascii="Palatino Linotype" w:eastAsia="Palatino Linotype" w:hAnsi="Palatino Linotype" w:cs="Palatino Linotype"/>
          <w:i/>
          <w:color w:val="404040"/>
        </w:rPr>
        <w:t xml:space="preserve">…” </w:t>
      </w:r>
    </w:p>
    <w:p w14:paraId="79049421"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rPr>
      </w:pPr>
      <w:r w:rsidRPr="00F867F2">
        <w:rPr>
          <w:rFonts w:ascii="Palatino Linotype" w:eastAsia="Palatino Linotype" w:hAnsi="Palatino Linotype" w:cs="Palatino Linotype"/>
          <w:b/>
          <w:i/>
          <w:color w:val="404040"/>
        </w:rPr>
        <w:t>“Artículo 59.</w:t>
      </w:r>
      <w:r w:rsidRPr="00F867F2">
        <w:rPr>
          <w:rFonts w:ascii="Palatino Linotype" w:eastAsia="Palatino Linotype" w:hAnsi="Palatino Linotype" w:cs="Palatino Linotype"/>
          <w:i/>
          <w:color w:val="404040"/>
        </w:rPr>
        <w:t xml:space="preserve"> Los </w:t>
      </w:r>
      <w:r w:rsidRPr="00F867F2">
        <w:rPr>
          <w:rFonts w:ascii="Palatino Linotype" w:eastAsia="Palatino Linotype" w:hAnsi="Palatino Linotype" w:cs="Palatino Linotype"/>
          <w:b/>
          <w:i/>
          <w:color w:val="404040"/>
        </w:rPr>
        <w:t>servidores públicos habilitados</w:t>
      </w:r>
      <w:r w:rsidRPr="00F867F2">
        <w:rPr>
          <w:rFonts w:ascii="Palatino Linotype" w:eastAsia="Palatino Linotype" w:hAnsi="Palatino Linotype" w:cs="Palatino Linotype"/>
          <w:i/>
          <w:color w:val="404040"/>
        </w:rPr>
        <w:t xml:space="preserve"> tendrán las </w:t>
      </w:r>
      <w:r w:rsidRPr="00F867F2">
        <w:rPr>
          <w:rFonts w:ascii="Palatino Linotype" w:eastAsia="Palatino Linotype" w:hAnsi="Palatino Linotype" w:cs="Palatino Linotype"/>
          <w:b/>
          <w:i/>
          <w:color w:val="404040"/>
        </w:rPr>
        <w:t>funciones</w:t>
      </w:r>
      <w:r w:rsidRPr="00F867F2">
        <w:rPr>
          <w:rFonts w:ascii="Palatino Linotype" w:eastAsia="Palatino Linotype" w:hAnsi="Palatino Linotype" w:cs="Palatino Linotype"/>
          <w:i/>
          <w:color w:val="404040"/>
        </w:rPr>
        <w:t xml:space="preserve"> siguientes:</w:t>
      </w:r>
    </w:p>
    <w:p w14:paraId="3FB3B392"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rPr>
      </w:pPr>
      <w:r w:rsidRPr="00F867F2">
        <w:rPr>
          <w:rFonts w:ascii="Palatino Linotype" w:eastAsia="Palatino Linotype" w:hAnsi="Palatino Linotype" w:cs="Palatino Linotype"/>
          <w:b/>
          <w:i/>
          <w:color w:val="404040"/>
        </w:rPr>
        <w:t>V. Integrar y presentar al responsable de la Unidad de Transparencia la propuesta de clasificación de información</w:t>
      </w:r>
      <w:r w:rsidRPr="00F867F2">
        <w:rPr>
          <w:rFonts w:ascii="Palatino Linotype" w:eastAsia="Palatino Linotype" w:hAnsi="Palatino Linotype" w:cs="Palatino Linotype"/>
          <w:i/>
          <w:color w:val="404040"/>
        </w:rPr>
        <w:t>, la cual tendrá los fundamentos y argumentos en que se basa dicha propuesta…</w:t>
      </w:r>
    </w:p>
    <w:p w14:paraId="6BFCB789" w14:textId="77777777" w:rsidR="00267BE2" w:rsidRPr="00F867F2" w:rsidRDefault="00267BE2">
      <w:pPr>
        <w:pBdr>
          <w:top w:val="nil"/>
          <w:left w:val="nil"/>
          <w:bottom w:val="nil"/>
          <w:right w:val="nil"/>
          <w:between w:val="nil"/>
        </w:pBdr>
        <w:ind w:left="864" w:right="864"/>
        <w:jc w:val="both"/>
        <w:rPr>
          <w:rFonts w:ascii="Palatino Linotype" w:eastAsia="Palatino Linotype" w:hAnsi="Palatino Linotype" w:cs="Palatino Linotype"/>
          <w:i/>
          <w:color w:val="404040"/>
        </w:rPr>
      </w:pPr>
    </w:p>
    <w:p w14:paraId="5919F842" w14:textId="77777777" w:rsidR="00267BE2" w:rsidRPr="00F867F2" w:rsidRDefault="00675343">
      <w:pPr>
        <w:spacing w:line="360" w:lineRule="auto"/>
        <w:jc w:val="both"/>
        <w:rPr>
          <w:rFonts w:ascii="Palatino Linotype" w:eastAsia="Palatino Linotype" w:hAnsi="Palatino Linotype" w:cs="Palatino Linotype"/>
        </w:rPr>
      </w:pPr>
      <w:r w:rsidRPr="00F867F2">
        <w:rPr>
          <w:rFonts w:ascii="Palatino Linotype" w:eastAsia="Palatino Linotype" w:hAnsi="Palatino Linotype" w:cs="Palatino Linotype"/>
        </w:rPr>
        <w:t xml:space="preserve">Denotándose de dichos elementos normativos que el determinar la clasificación de la información es un trabajo en conjunto tanto de los Servidores Públicos Habilitados, de las Unidades de Transparencia y del Comité de Transparencia del </w:t>
      </w:r>
      <w:r w:rsidRPr="00F867F2">
        <w:rPr>
          <w:rFonts w:ascii="Palatino Linotype" w:eastAsia="Palatino Linotype" w:hAnsi="Palatino Linotype" w:cs="Palatino Linotype"/>
          <w:b/>
        </w:rPr>
        <w:t xml:space="preserve">SUJETO OBLIGADO, </w:t>
      </w:r>
      <w:r w:rsidRPr="00F867F2">
        <w:rPr>
          <w:rFonts w:ascii="Palatino Linotype" w:eastAsia="Palatino Linotype" w:hAnsi="Palatino Linotype" w:cs="Palatino Linotype"/>
        </w:rPr>
        <w:t>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5455CE9F" w14:textId="77777777" w:rsidR="00267BE2" w:rsidRPr="00F867F2" w:rsidRDefault="00267BE2">
      <w:pPr>
        <w:spacing w:line="360" w:lineRule="auto"/>
        <w:jc w:val="both"/>
        <w:rPr>
          <w:rFonts w:ascii="Palatino Linotype" w:eastAsia="Palatino Linotype" w:hAnsi="Palatino Linotype" w:cs="Palatino Linotype"/>
        </w:rPr>
      </w:pPr>
    </w:p>
    <w:p w14:paraId="7AE49102" w14:textId="77777777" w:rsidR="00267BE2" w:rsidRPr="00F867F2" w:rsidRDefault="00675343">
      <w:pPr>
        <w:spacing w:line="360" w:lineRule="auto"/>
        <w:jc w:val="both"/>
        <w:rPr>
          <w:rFonts w:ascii="Palatino Linotype" w:eastAsia="Palatino Linotype" w:hAnsi="Palatino Linotype" w:cs="Palatino Linotype"/>
        </w:rPr>
      </w:pPr>
      <w:r w:rsidRPr="00F867F2">
        <w:rPr>
          <w:rFonts w:ascii="Palatino Linotype" w:eastAsia="Palatino Linotype" w:hAnsi="Palatino Linotype" w:cs="Palatino Linotype"/>
        </w:rPr>
        <w:lastRenderedPageBreak/>
        <w:t>Para lo cual, a su vez en el caso de información de carácter confidencial, se debe atender a lo que señala el artículo 149 de la Ley de Transparencia Local vigente, que se lee como sigue:</w:t>
      </w:r>
    </w:p>
    <w:p w14:paraId="2D9C0578" w14:textId="77777777" w:rsidR="00267BE2" w:rsidRPr="00F867F2" w:rsidRDefault="00267BE2">
      <w:pPr>
        <w:pBdr>
          <w:top w:val="nil"/>
          <w:left w:val="nil"/>
          <w:bottom w:val="nil"/>
          <w:right w:val="nil"/>
          <w:between w:val="nil"/>
        </w:pBdr>
        <w:ind w:left="864" w:right="864"/>
        <w:jc w:val="both"/>
        <w:rPr>
          <w:rFonts w:ascii="Palatino Linotype" w:eastAsia="Palatino Linotype" w:hAnsi="Palatino Linotype" w:cs="Palatino Linotype"/>
          <w:i/>
          <w:color w:val="404040"/>
        </w:rPr>
      </w:pPr>
    </w:p>
    <w:p w14:paraId="558A9D4A"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rPr>
      </w:pPr>
      <w:r w:rsidRPr="00F867F2">
        <w:rPr>
          <w:rFonts w:ascii="Palatino Linotype" w:eastAsia="Palatino Linotype" w:hAnsi="Palatino Linotype" w:cs="Palatino Linotype"/>
          <w:b/>
          <w:i/>
          <w:color w:val="404040"/>
        </w:rPr>
        <w:t>Artículo 149.</w:t>
      </w:r>
      <w:r w:rsidRPr="00F867F2">
        <w:rPr>
          <w:rFonts w:ascii="Palatino Linotype" w:eastAsia="Palatino Linotype" w:hAnsi="Palatino Linotype" w:cs="Palatino Linotype"/>
          <w:i/>
          <w:color w:val="404040"/>
        </w:rPr>
        <w:t xml:space="preserve"> El </w:t>
      </w:r>
      <w:r w:rsidRPr="00F867F2">
        <w:rPr>
          <w:rFonts w:ascii="Palatino Linotype" w:eastAsia="Palatino Linotype" w:hAnsi="Palatino Linotype" w:cs="Palatino Linotype"/>
          <w:b/>
          <w:i/>
          <w:color w:val="404040"/>
        </w:rPr>
        <w:t>acuerdo que clasifique la información como confidencial</w:t>
      </w:r>
      <w:r w:rsidRPr="00F867F2">
        <w:rPr>
          <w:rFonts w:ascii="Palatino Linotype" w:eastAsia="Palatino Linotype" w:hAnsi="Palatino Linotype" w:cs="Palatino Linotype"/>
          <w:i/>
          <w:color w:val="404040"/>
        </w:rPr>
        <w:t xml:space="preserve"> deberá contener un razonamiento lógico en el que demuestre que la información se encuentra en alguna o algunas de las hipótesis previstas en la presente Ley.</w:t>
      </w:r>
    </w:p>
    <w:p w14:paraId="41C111C6" w14:textId="77777777" w:rsidR="00267BE2" w:rsidRPr="00F867F2" w:rsidRDefault="00267BE2">
      <w:pPr>
        <w:pBdr>
          <w:top w:val="nil"/>
          <w:left w:val="nil"/>
          <w:bottom w:val="nil"/>
          <w:right w:val="nil"/>
          <w:between w:val="nil"/>
        </w:pBdr>
        <w:ind w:left="864" w:right="864"/>
        <w:jc w:val="both"/>
        <w:rPr>
          <w:rFonts w:ascii="Palatino Linotype" w:eastAsia="Palatino Linotype" w:hAnsi="Palatino Linotype" w:cs="Palatino Linotype"/>
          <w:i/>
          <w:color w:val="404040"/>
        </w:rPr>
      </w:pPr>
    </w:p>
    <w:p w14:paraId="26D3B65E" w14:textId="77777777" w:rsidR="00267BE2" w:rsidRPr="00F867F2" w:rsidRDefault="00675343">
      <w:pPr>
        <w:spacing w:line="360" w:lineRule="auto"/>
        <w:ind w:right="51"/>
        <w:jc w:val="both"/>
        <w:rPr>
          <w:rFonts w:ascii="Palatino Linotype" w:eastAsia="Palatino Linotype" w:hAnsi="Palatino Linotype" w:cs="Palatino Linotype"/>
        </w:rPr>
      </w:pPr>
      <w:r w:rsidRPr="00F867F2">
        <w:rPr>
          <w:rFonts w:ascii="Palatino Linotype" w:eastAsia="Palatino Linotype" w:hAnsi="Palatino Linotype" w:cs="Palatino Linotype"/>
        </w:rPr>
        <w:t xml:space="preserve">Es decir, el </w:t>
      </w:r>
      <w:r w:rsidRPr="00F867F2">
        <w:rPr>
          <w:rFonts w:ascii="Palatino Linotype" w:eastAsia="Palatino Linotype" w:hAnsi="Palatino Linotype" w:cs="Palatino Linotype"/>
          <w:b/>
        </w:rPr>
        <w:t>SUJETO OBLIGADO</w:t>
      </w:r>
      <w:r w:rsidRPr="00F867F2">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2307FB08" w14:textId="77777777" w:rsidR="00267BE2" w:rsidRPr="00F867F2" w:rsidRDefault="00267BE2">
      <w:pPr>
        <w:spacing w:line="360" w:lineRule="auto"/>
        <w:ind w:right="51"/>
        <w:jc w:val="both"/>
        <w:rPr>
          <w:rFonts w:ascii="Palatino Linotype" w:eastAsia="Palatino Linotype" w:hAnsi="Palatino Linotype" w:cs="Palatino Linotype"/>
        </w:rPr>
      </w:pPr>
    </w:p>
    <w:p w14:paraId="0436354E" w14:textId="77777777" w:rsidR="00267BE2" w:rsidRPr="00F867F2" w:rsidRDefault="00675343">
      <w:pPr>
        <w:spacing w:line="360" w:lineRule="auto"/>
        <w:ind w:right="49"/>
        <w:jc w:val="both"/>
        <w:rPr>
          <w:rFonts w:ascii="Palatino Linotype" w:eastAsia="Palatino Linotype" w:hAnsi="Palatino Linotype" w:cs="Palatino Linotype"/>
        </w:rPr>
      </w:pPr>
      <w:r w:rsidRPr="00F867F2">
        <w:rPr>
          <w:rFonts w:ascii="Palatino Linotype" w:eastAsia="Palatino Linotype" w:hAnsi="Palatino Linotype" w:cs="Palatino Linotype"/>
        </w:rPr>
        <w:t xml:space="preserve">Por último, respecto a la versión pública de los documentos que contenga la información solicitada, cabe señalar que el Comité de Transparencia del </w:t>
      </w:r>
      <w:r w:rsidRPr="00F867F2">
        <w:rPr>
          <w:rFonts w:ascii="Palatino Linotype" w:eastAsia="Palatino Linotype" w:hAnsi="Palatino Linotype" w:cs="Palatino Linotype"/>
          <w:b/>
        </w:rPr>
        <w:t>SUJETO OBLIGADO</w:t>
      </w:r>
      <w:r w:rsidRPr="00F867F2">
        <w:rPr>
          <w:rFonts w:ascii="Palatino Linotype" w:eastAsia="Palatino Linotype" w:hAnsi="Palatino Linotype" w:cs="Palatino Linotype"/>
        </w:rPr>
        <w:t xml:space="preserve">, deberá emitir el acuerdo de clasificación de información debidamente fundado y motivado, en términos del numeral 132, fracciones II y III de la Ley de Transparencia y Acceso a la Información Pública del Estado de México y Municipios, así como los Lineamientos Segundo, fracción XVIII, y del Cuarto al Décimo Primero de los “Lineamientos Generales en materia de Clasificación y </w:t>
      </w:r>
      <w:r w:rsidRPr="00F867F2">
        <w:rPr>
          <w:rFonts w:ascii="Palatino Linotype" w:eastAsia="Palatino Linotype" w:hAnsi="Palatino Linotype" w:cs="Palatino Linotype"/>
        </w:rPr>
        <w:lastRenderedPageBreak/>
        <w:t>Desclasificación de la Información, así como para la elaboración de Versiones Públicas”, que literalmente expresan:</w:t>
      </w:r>
    </w:p>
    <w:p w14:paraId="2EA7AB2F" w14:textId="77777777" w:rsidR="00267BE2" w:rsidRPr="00F867F2" w:rsidRDefault="00267BE2">
      <w:pPr>
        <w:pBdr>
          <w:top w:val="nil"/>
          <w:left w:val="nil"/>
          <w:bottom w:val="nil"/>
          <w:right w:val="nil"/>
          <w:between w:val="nil"/>
        </w:pBdr>
        <w:ind w:left="864" w:right="864"/>
        <w:jc w:val="both"/>
        <w:rPr>
          <w:rFonts w:ascii="Palatino Linotype" w:eastAsia="Palatino Linotype" w:hAnsi="Palatino Linotype" w:cs="Palatino Linotype"/>
          <w:i/>
          <w:color w:val="404040"/>
        </w:rPr>
      </w:pPr>
    </w:p>
    <w:p w14:paraId="715EE63D"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b/>
          <w:i/>
          <w:color w:val="404040"/>
        </w:rPr>
      </w:pPr>
      <w:r w:rsidRPr="00F867F2">
        <w:rPr>
          <w:rFonts w:ascii="Palatino Linotype" w:eastAsia="Palatino Linotype" w:hAnsi="Palatino Linotype" w:cs="Palatino Linotype"/>
          <w:b/>
          <w:i/>
          <w:color w:val="404040"/>
        </w:rPr>
        <w:t>Artículo 132.</w:t>
      </w:r>
      <w:r w:rsidRPr="00F867F2">
        <w:rPr>
          <w:rFonts w:ascii="Palatino Linotype" w:eastAsia="Palatino Linotype" w:hAnsi="Palatino Linotype" w:cs="Palatino Linotype"/>
          <w:i/>
          <w:color w:val="404040"/>
        </w:rPr>
        <w:t xml:space="preserve"> </w:t>
      </w:r>
      <w:r w:rsidRPr="00F867F2">
        <w:rPr>
          <w:rFonts w:ascii="Palatino Linotype" w:eastAsia="Palatino Linotype" w:hAnsi="Palatino Linotype" w:cs="Palatino Linotype"/>
          <w:b/>
          <w:i/>
          <w:color w:val="404040"/>
        </w:rPr>
        <w:t>La clasificación de la información se llevará a cabo en el momento en que:</w:t>
      </w:r>
    </w:p>
    <w:p w14:paraId="60B3ACE4"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rPr>
      </w:pPr>
      <w:r w:rsidRPr="00F867F2">
        <w:rPr>
          <w:rFonts w:ascii="Palatino Linotype" w:eastAsia="Palatino Linotype" w:hAnsi="Palatino Linotype" w:cs="Palatino Linotype"/>
          <w:i/>
          <w:color w:val="404040"/>
        </w:rPr>
        <w:t>…</w:t>
      </w:r>
    </w:p>
    <w:p w14:paraId="67FC950C"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rPr>
      </w:pPr>
      <w:r w:rsidRPr="00F867F2">
        <w:rPr>
          <w:rFonts w:ascii="Palatino Linotype" w:eastAsia="Palatino Linotype" w:hAnsi="Palatino Linotype" w:cs="Palatino Linotype"/>
          <w:b/>
          <w:i/>
          <w:color w:val="404040"/>
        </w:rPr>
        <w:t>II.</w:t>
      </w:r>
      <w:r w:rsidRPr="00F867F2">
        <w:rPr>
          <w:rFonts w:ascii="Palatino Linotype" w:eastAsia="Palatino Linotype" w:hAnsi="Palatino Linotype" w:cs="Palatino Linotype"/>
          <w:i/>
          <w:color w:val="404040"/>
        </w:rPr>
        <w:t xml:space="preserve"> Se determine mediante resolución de autoridad competente; o</w:t>
      </w:r>
    </w:p>
    <w:p w14:paraId="5FEECE9D"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rPr>
      </w:pPr>
      <w:r w:rsidRPr="00F867F2">
        <w:rPr>
          <w:rFonts w:ascii="Palatino Linotype" w:eastAsia="Palatino Linotype" w:hAnsi="Palatino Linotype" w:cs="Palatino Linotype"/>
          <w:b/>
          <w:i/>
          <w:color w:val="404040"/>
        </w:rPr>
        <w:t>III</w:t>
      </w:r>
      <w:r w:rsidRPr="00F867F2">
        <w:rPr>
          <w:rFonts w:ascii="Palatino Linotype" w:eastAsia="Palatino Linotype" w:hAnsi="Palatino Linotype" w:cs="Palatino Linotype"/>
          <w:i/>
          <w:color w:val="404040"/>
        </w:rPr>
        <w:t xml:space="preserve">. </w:t>
      </w:r>
      <w:r w:rsidRPr="00F867F2">
        <w:rPr>
          <w:rFonts w:ascii="Palatino Linotype" w:eastAsia="Palatino Linotype" w:hAnsi="Palatino Linotype" w:cs="Palatino Linotype"/>
          <w:b/>
          <w:i/>
          <w:color w:val="404040"/>
        </w:rPr>
        <w:t>Se generen versiones públicas para dar cumplimiento a las obligaciones de transparencia previstas en esta Ley</w:t>
      </w:r>
      <w:r w:rsidRPr="00F867F2">
        <w:rPr>
          <w:rFonts w:ascii="Palatino Linotype" w:eastAsia="Palatino Linotype" w:hAnsi="Palatino Linotype" w:cs="Palatino Linotype"/>
          <w:i/>
          <w:color w:val="404040"/>
        </w:rPr>
        <w:t>.”</w:t>
      </w:r>
    </w:p>
    <w:p w14:paraId="67795465"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rPr>
      </w:pPr>
      <w:r w:rsidRPr="00F867F2">
        <w:rPr>
          <w:rFonts w:ascii="Palatino Linotype" w:eastAsia="Palatino Linotype" w:hAnsi="Palatino Linotype" w:cs="Palatino Linotype"/>
          <w:i/>
          <w:color w:val="404040"/>
        </w:rPr>
        <w:t>“</w:t>
      </w:r>
      <w:proofErr w:type="gramStart"/>
      <w:r w:rsidRPr="00F867F2">
        <w:rPr>
          <w:rFonts w:ascii="Palatino Linotype" w:eastAsia="Palatino Linotype" w:hAnsi="Palatino Linotype" w:cs="Palatino Linotype"/>
          <w:b/>
          <w:i/>
          <w:color w:val="404040"/>
        </w:rPr>
        <w:t>Segundo.-</w:t>
      </w:r>
      <w:proofErr w:type="gramEnd"/>
      <w:r w:rsidRPr="00F867F2">
        <w:rPr>
          <w:rFonts w:ascii="Palatino Linotype" w:eastAsia="Palatino Linotype" w:hAnsi="Palatino Linotype" w:cs="Palatino Linotype"/>
          <w:i/>
          <w:color w:val="404040"/>
        </w:rPr>
        <w:t xml:space="preserve"> Para efectos de los presentes Lineamientos Generales, se entenderá por:</w:t>
      </w:r>
    </w:p>
    <w:p w14:paraId="34A78E18"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rPr>
      </w:pPr>
      <w:r w:rsidRPr="00F867F2">
        <w:rPr>
          <w:rFonts w:ascii="Palatino Linotype" w:eastAsia="Palatino Linotype" w:hAnsi="Palatino Linotype" w:cs="Palatino Linotype"/>
          <w:b/>
          <w:i/>
          <w:color w:val="404040"/>
        </w:rPr>
        <w:t>XVIII.</w:t>
      </w:r>
      <w:r w:rsidRPr="00F867F2">
        <w:rPr>
          <w:rFonts w:ascii="Palatino Linotype" w:eastAsia="Palatino Linotype" w:hAnsi="Palatino Linotype" w:cs="Palatino Linotype"/>
          <w:i/>
          <w:color w:val="404040"/>
        </w:rPr>
        <w:t xml:space="preserve"> </w:t>
      </w:r>
      <w:r w:rsidRPr="00F867F2">
        <w:rPr>
          <w:rFonts w:ascii="Palatino Linotype" w:eastAsia="Palatino Linotype" w:hAnsi="Palatino Linotype" w:cs="Palatino Linotype"/>
          <w:b/>
          <w:i/>
          <w:color w:val="404040"/>
        </w:rPr>
        <w:t>Versión pública:</w:t>
      </w:r>
      <w:r w:rsidRPr="00F867F2">
        <w:rPr>
          <w:rFonts w:ascii="Palatino Linotype" w:eastAsia="Palatino Linotype" w:hAnsi="Palatino Linotype" w:cs="Palatino Linotype"/>
          <w:i/>
          <w:color w:val="404040"/>
        </w:rPr>
        <w:t xml:space="preserve"> El documento a partir del que se otorga acceso a la información, en el que se testan partes o secciones clasificadas, indicando el contenido de éstas de manera genérica, </w:t>
      </w:r>
      <w:r w:rsidRPr="00F867F2">
        <w:rPr>
          <w:rFonts w:ascii="Palatino Linotype" w:eastAsia="Palatino Linotype" w:hAnsi="Palatino Linotype" w:cs="Palatino Linotype"/>
          <w:b/>
          <w:i/>
          <w:color w:val="404040"/>
        </w:rPr>
        <w:t>fundando y motivando la</w:t>
      </w:r>
      <w:r w:rsidRPr="00F867F2">
        <w:rPr>
          <w:rFonts w:ascii="Palatino Linotype" w:eastAsia="Palatino Linotype" w:hAnsi="Palatino Linotype" w:cs="Palatino Linotype"/>
          <w:i/>
          <w:color w:val="404040"/>
        </w:rPr>
        <w:t xml:space="preserve"> reserva o </w:t>
      </w:r>
      <w:r w:rsidRPr="00F867F2">
        <w:rPr>
          <w:rFonts w:ascii="Palatino Linotype" w:eastAsia="Palatino Linotype" w:hAnsi="Palatino Linotype" w:cs="Palatino Linotype"/>
          <w:b/>
          <w:i/>
          <w:color w:val="404040"/>
        </w:rPr>
        <w:t>confidencialidad</w:t>
      </w:r>
      <w:r w:rsidRPr="00F867F2">
        <w:rPr>
          <w:rFonts w:ascii="Palatino Linotype" w:eastAsia="Palatino Linotype" w:hAnsi="Palatino Linotype" w:cs="Palatino Linotype"/>
          <w:i/>
          <w:color w:val="404040"/>
        </w:rPr>
        <w:t>, a través de la resolución que para tal efecto emita el Comité de Transparencia.</w:t>
      </w:r>
    </w:p>
    <w:p w14:paraId="1B02FBAC"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rPr>
      </w:pPr>
      <w:r w:rsidRPr="00F867F2">
        <w:rPr>
          <w:rFonts w:ascii="Palatino Linotype" w:eastAsia="Palatino Linotype" w:hAnsi="Palatino Linotype" w:cs="Palatino Linotype"/>
          <w:b/>
          <w:i/>
          <w:color w:val="404040"/>
        </w:rPr>
        <w:t>Cuarto.</w:t>
      </w:r>
      <w:r w:rsidRPr="00F867F2">
        <w:rPr>
          <w:rFonts w:ascii="Palatino Linotype" w:eastAsia="Palatino Linotype" w:hAnsi="Palatino Linotype" w:cs="Palatino Linotype"/>
          <w:i/>
          <w:color w:val="404040"/>
        </w:rPr>
        <w:t xml:space="preserve"> </w:t>
      </w:r>
      <w:r w:rsidRPr="00F867F2">
        <w:rPr>
          <w:rFonts w:ascii="Palatino Linotype" w:eastAsia="Palatino Linotype" w:hAnsi="Palatino Linotype" w:cs="Palatino Linotype"/>
          <w:b/>
          <w:i/>
          <w:color w:val="404040"/>
        </w:rPr>
        <w:t>Para clasificar la información como</w:t>
      </w:r>
      <w:r w:rsidRPr="00F867F2">
        <w:rPr>
          <w:rFonts w:ascii="Palatino Linotype" w:eastAsia="Palatino Linotype" w:hAnsi="Palatino Linotype" w:cs="Palatino Linotype"/>
          <w:i/>
          <w:color w:val="404040"/>
        </w:rPr>
        <w:t xml:space="preserve"> reservada o </w:t>
      </w:r>
      <w:r w:rsidRPr="00F867F2">
        <w:rPr>
          <w:rFonts w:ascii="Palatino Linotype" w:eastAsia="Palatino Linotype" w:hAnsi="Palatino Linotype" w:cs="Palatino Linotype"/>
          <w:b/>
          <w:i/>
          <w:color w:val="404040"/>
        </w:rPr>
        <w:t>confidencial, de manera total o parcial, el titular del área del SUJETO OBLIGADO deberá atender lo dispuesto por el Título Sexto de la Ley General</w:t>
      </w:r>
      <w:r w:rsidRPr="00F867F2">
        <w:rPr>
          <w:rFonts w:ascii="Palatino Linotype" w:eastAsia="Palatino Linotype" w:hAnsi="Palatino Linotype" w:cs="Palatino Linotype"/>
          <w:i/>
          <w:color w:val="404040"/>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C7DBDDD"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rPr>
      </w:pPr>
      <w:r w:rsidRPr="00F867F2">
        <w:rPr>
          <w:rFonts w:ascii="Palatino Linotype" w:eastAsia="Palatino Linotype" w:hAnsi="Palatino Linotype" w:cs="Palatino Linotype"/>
          <w:i/>
          <w:color w:val="404040"/>
        </w:rPr>
        <w:t>Los sujetos obligados deberán aplicar, de manera estricta, las excepciones al derecho de acceso a la información y sólo podrán invocarlas cuando acrediten su procedencia.</w:t>
      </w:r>
    </w:p>
    <w:p w14:paraId="5EE9B2F5"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rPr>
      </w:pPr>
      <w:r w:rsidRPr="00F867F2">
        <w:rPr>
          <w:rFonts w:ascii="Palatino Linotype" w:eastAsia="Palatino Linotype" w:hAnsi="Palatino Linotype" w:cs="Palatino Linotype"/>
          <w:b/>
          <w:i/>
          <w:color w:val="404040"/>
        </w:rPr>
        <w:t>Quinto.</w:t>
      </w:r>
      <w:r w:rsidRPr="00F867F2">
        <w:rPr>
          <w:rFonts w:ascii="Palatino Linotype" w:eastAsia="Palatino Linotype" w:hAnsi="Palatino Linotype" w:cs="Palatino Linotype"/>
          <w:i/>
          <w:color w:val="404040"/>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6833B84"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rPr>
      </w:pPr>
      <w:r w:rsidRPr="00F867F2">
        <w:rPr>
          <w:rFonts w:ascii="Palatino Linotype" w:eastAsia="Palatino Linotype" w:hAnsi="Palatino Linotype" w:cs="Palatino Linotype"/>
          <w:b/>
          <w:i/>
          <w:color w:val="404040"/>
        </w:rPr>
        <w:lastRenderedPageBreak/>
        <w:t>Sexto.</w:t>
      </w:r>
      <w:r w:rsidRPr="00F867F2">
        <w:rPr>
          <w:rFonts w:ascii="Palatino Linotype" w:eastAsia="Palatino Linotype" w:hAnsi="Palatino Linotype" w:cs="Palatino Linotype"/>
          <w:i/>
          <w:color w:val="404040"/>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338F20FA"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rPr>
      </w:pPr>
      <w:r w:rsidRPr="00F867F2">
        <w:rPr>
          <w:rFonts w:ascii="Palatino Linotype" w:eastAsia="Palatino Linotype" w:hAnsi="Palatino Linotype" w:cs="Palatino Linotype"/>
          <w:i/>
          <w:color w:val="404040"/>
        </w:rPr>
        <w:t>La clasificación de información se realizará conforme a un análisis caso por caso, mediante la aplicación de la prueba de daño y de interés público.</w:t>
      </w:r>
    </w:p>
    <w:p w14:paraId="14F0F17D"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rPr>
      </w:pPr>
      <w:r w:rsidRPr="00F867F2">
        <w:rPr>
          <w:rFonts w:ascii="Palatino Linotype" w:eastAsia="Palatino Linotype" w:hAnsi="Palatino Linotype" w:cs="Palatino Linotype"/>
          <w:b/>
          <w:i/>
          <w:color w:val="404040"/>
        </w:rPr>
        <w:t>Séptimo.</w:t>
      </w:r>
      <w:r w:rsidRPr="00F867F2">
        <w:rPr>
          <w:rFonts w:ascii="Palatino Linotype" w:eastAsia="Palatino Linotype" w:hAnsi="Palatino Linotype" w:cs="Palatino Linotype"/>
          <w:i/>
          <w:color w:val="404040"/>
        </w:rPr>
        <w:t xml:space="preserve"> La clasificación de la información se llevará a cabo en el momento en que:</w:t>
      </w:r>
    </w:p>
    <w:p w14:paraId="7A6CF3A4"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rPr>
      </w:pPr>
      <w:r w:rsidRPr="00F867F2">
        <w:rPr>
          <w:rFonts w:ascii="Palatino Linotype" w:eastAsia="Palatino Linotype" w:hAnsi="Palatino Linotype" w:cs="Palatino Linotype"/>
          <w:b/>
          <w:i/>
          <w:color w:val="404040"/>
        </w:rPr>
        <w:t>I.</w:t>
      </w:r>
      <w:r w:rsidRPr="00F867F2">
        <w:rPr>
          <w:rFonts w:ascii="Palatino Linotype" w:eastAsia="Palatino Linotype" w:hAnsi="Palatino Linotype" w:cs="Palatino Linotype"/>
          <w:i/>
          <w:color w:val="404040"/>
        </w:rPr>
        <w:t xml:space="preserve"> Se reciba una solicitud de acceso a la información;</w:t>
      </w:r>
    </w:p>
    <w:p w14:paraId="40CBD35D"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rPr>
      </w:pPr>
      <w:r w:rsidRPr="00F867F2">
        <w:rPr>
          <w:rFonts w:ascii="Palatino Linotype" w:eastAsia="Palatino Linotype" w:hAnsi="Palatino Linotype" w:cs="Palatino Linotype"/>
          <w:b/>
          <w:i/>
          <w:color w:val="404040"/>
        </w:rPr>
        <w:t>II.</w:t>
      </w:r>
      <w:r w:rsidRPr="00F867F2">
        <w:rPr>
          <w:rFonts w:ascii="Palatino Linotype" w:eastAsia="Palatino Linotype" w:hAnsi="Palatino Linotype" w:cs="Palatino Linotype"/>
          <w:i/>
          <w:color w:val="404040"/>
        </w:rPr>
        <w:t xml:space="preserve"> Se determine mediante resolución de autoridad competente, o</w:t>
      </w:r>
    </w:p>
    <w:p w14:paraId="66786921"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rPr>
      </w:pPr>
      <w:r w:rsidRPr="00F867F2">
        <w:rPr>
          <w:rFonts w:ascii="Palatino Linotype" w:eastAsia="Palatino Linotype" w:hAnsi="Palatino Linotype" w:cs="Palatino Linotype"/>
          <w:b/>
          <w:i/>
          <w:color w:val="404040"/>
        </w:rPr>
        <w:t>III.</w:t>
      </w:r>
      <w:r w:rsidRPr="00F867F2">
        <w:rPr>
          <w:rFonts w:ascii="Palatino Linotype" w:eastAsia="Palatino Linotype" w:hAnsi="Palatino Linotype" w:cs="Palatino Linotype"/>
          <w:i/>
          <w:color w:val="404040"/>
        </w:rPr>
        <w:t xml:space="preserve"> Se generen versiones públicas para dar cumplimiento a las obligaciones de transparencia previstas en la Ley General, la Ley Federal y las correspondientes de las entidades federativas.</w:t>
      </w:r>
    </w:p>
    <w:p w14:paraId="346608BB"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rPr>
      </w:pPr>
      <w:r w:rsidRPr="00F867F2">
        <w:rPr>
          <w:rFonts w:ascii="Palatino Linotype" w:eastAsia="Palatino Linotype" w:hAnsi="Palatino Linotype" w:cs="Palatino Linotype"/>
          <w:i/>
          <w:color w:val="404040"/>
        </w:rPr>
        <w:t>Los titulares de las áreas deberán revisar la clasificación al momento de la recepción de una solicitud de acceso a la información, para verificar si encuadra en una causal de reserva o de confidencialidad.</w:t>
      </w:r>
    </w:p>
    <w:p w14:paraId="4969BD6F"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rPr>
      </w:pPr>
      <w:r w:rsidRPr="00F867F2">
        <w:rPr>
          <w:rFonts w:ascii="Palatino Linotype" w:eastAsia="Palatino Linotype" w:hAnsi="Palatino Linotype" w:cs="Palatino Linotype"/>
          <w:b/>
          <w:i/>
          <w:color w:val="404040"/>
        </w:rPr>
        <w:t>Octavo.</w:t>
      </w:r>
      <w:r w:rsidRPr="00F867F2">
        <w:rPr>
          <w:rFonts w:ascii="Palatino Linotype" w:eastAsia="Palatino Linotype" w:hAnsi="Palatino Linotype" w:cs="Palatino Linotype"/>
          <w:i/>
          <w:color w:val="404040"/>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78951A72"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rPr>
      </w:pPr>
      <w:r w:rsidRPr="00F867F2">
        <w:rPr>
          <w:rFonts w:ascii="Palatino Linotype" w:eastAsia="Palatino Linotype" w:hAnsi="Palatino Linotype" w:cs="Palatino Linotype"/>
          <w:i/>
          <w:color w:val="404040"/>
        </w:rPr>
        <w:t>Para motivar la clasificación se deberán señalar las razones o circunstancias especiales que lo llevaron a concluir que el caso particular se ajusta al supuesto previsto por la norma legal invocada como fundamento.</w:t>
      </w:r>
    </w:p>
    <w:p w14:paraId="0B24806D"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rPr>
      </w:pPr>
      <w:r w:rsidRPr="00F867F2">
        <w:rPr>
          <w:rFonts w:ascii="Palatino Linotype" w:eastAsia="Palatino Linotype" w:hAnsi="Palatino Linotype" w:cs="Palatino Linotype"/>
          <w:i/>
          <w:color w:val="404040"/>
        </w:rPr>
        <w:t>En caso de referirse a información reservada, la motivación de la clasificación también deberá comprender las circunstancias que justifican el establecimiento de determinado plazo de reserva.</w:t>
      </w:r>
    </w:p>
    <w:p w14:paraId="125F9690"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rPr>
      </w:pPr>
      <w:r w:rsidRPr="00F867F2">
        <w:rPr>
          <w:rFonts w:ascii="Palatino Linotype" w:eastAsia="Palatino Linotype" w:hAnsi="Palatino Linotype" w:cs="Palatino Linotype"/>
          <w:i/>
          <w:color w:val="404040"/>
        </w:rPr>
        <w:t>Tratándose de información clasificada como confidencial respecto de la cual se haya determinado su conservación permanente por tener valor histórico, ésta conservará tal carácter de conformidad con la normativa aplicable en materia de archivos.</w:t>
      </w:r>
    </w:p>
    <w:p w14:paraId="781FD84B"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rPr>
      </w:pPr>
      <w:r w:rsidRPr="00F867F2">
        <w:rPr>
          <w:rFonts w:ascii="Palatino Linotype" w:eastAsia="Palatino Linotype" w:hAnsi="Palatino Linotype" w:cs="Palatino Linotype"/>
          <w:i/>
          <w:color w:val="404040"/>
        </w:rPr>
        <w:t>Los documentos contenidos en los archivos históricos y los identificados como históricos confidenciales no serán susceptibles de clasificación como reservados.</w:t>
      </w:r>
    </w:p>
    <w:p w14:paraId="78B9A81C"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rPr>
      </w:pPr>
      <w:r w:rsidRPr="00F867F2">
        <w:rPr>
          <w:rFonts w:ascii="Palatino Linotype" w:eastAsia="Palatino Linotype" w:hAnsi="Palatino Linotype" w:cs="Palatino Linotype"/>
          <w:b/>
          <w:i/>
          <w:color w:val="404040"/>
        </w:rPr>
        <w:t>Noveno.</w:t>
      </w:r>
      <w:r w:rsidRPr="00F867F2">
        <w:rPr>
          <w:rFonts w:ascii="Palatino Linotype" w:eastAsia="Palatino Linotype" w:hAnsi="Palatino Linotype" w:cs="Palatino Linotype"/>
          <w:i/>
          <w:color w:val="404040"/>
        </w:rPr>
        <w:t xml:space="preserve"> En los casos en que se solicite un documento o expediente que contenga partes o secciones clasificadas, los titulares de las áreas deberán </w:t>
      </w:r>
      <w:r w:rsidRPr="00F867F2">
        <w:rPr>
          <w:rFonts w:ascii="Palatino Linotype" w:eastAsia="Palatino Linotype" w:hAnsi="Palatino Linotype" w:cs="Palatino Linotype"/>
          <w:i/>
          <w:color w:val="404040"/>
        </w:rPr>
        <w:lastRenderedPageBreak/>
        <w:t>elaborar una versión pública fundando y motivando la clasificación de las partes o secciones que se testen, siguiendo los procedimientos establecidos en el Capítulo IX de los presentes lineamientos.</w:t>
      </w:r>
    </w:p>
    <w:p w14:paraId="0573258C"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rPr>
      </w:pPr>
      <w:r w:rsidRPr="00F867F2">
        <w:rPr>
          <w:rFonts w:ascii="Palatino Linotype" w:eastAsia="Palatino Linotype" w:hAnsi="Palatino Linotype" w:cs="Palatino Linotype"/>
          <w:b/>
          <w:i/>
          <w:color w:val="404040"/>
        </w:rPr>
        <w:t>Décimo.</w:t>
      </w:r>
      <w:r w:rsidRPr="00F867F2">
        <w:rPr>
          <w:rFonts w:ascii="Palatino Linotype" w:eastAsia="Palatino Linotype" w:hAnsi="Palatino Linotype" w:cs="Palatino Linotype"/>
          <w:i/>
          <w:color w:val="404040"/>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2D742A93"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rPr>
      </w:pPr>
      <w:r w:rsidRPr="00F867F2">
        <w:rPr>
          <w:rFonts w:ascii="Palatino Linotype" w:eastAsia="Palatino Linotype" w:hAnsi="Palatino Linotype" w:cs="Palatino Linotype"/>
          <w:i/>
          <w:color w:val="404040"/>
        </w:rPr>
        <w:t>En ausencia de los titulares de las áreas, la información será clasificada o desclasificada por la persona que lo supla, en términos de la normativa que rija la actuación del SUJETO OBLIGADO.</w:t>
      </w:r>
    </w:p>
    <w:p w14:paraId="5C922484"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rPr>
      </w:pPr>
      <w:r w:rsidRPr="00F867F2">
        <w:rPr>
          <w:rFonts w:ascii="Palatino Linotype" w:eastAsia="Palatino Linotype" w:hAnsi="Palatino Linotype" w:cs="Palatino Linotype"/>
          <w:b/>
          <w:i/>
          <w:color w:val="404040"/>
        </w:rPr>
        <w:t>Décimo primero.</w:t>
      </w:r>
      <w:r w:rsidRPr="00F867F2">
        <w:rPr>
          <w:rFonts w:ascii="Palatino Linotype" w:eastAsia="Palatino Linotype" w:hAnsi="Palatino Linotype" w:cs="Palatino Linotype"/>
          <w:i/>
          <w:color w:val="404040"/>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6D8FB0FF" w14:textId="77777777" w:rsidR="00267BE2" w:rsidRPr="00F867F2" w:rsidRDefault="00267BE2">
      <w:pPr>
        <w:pBdr>
          <w:top w:val="nil"/>
          <w:left w:val="nil"/>
          <w:bottom w:val="nil"/>
          <w:right w:val="nil"/>
          <w:between w:val="nil"/>
        </w:pBdr>
        <w:ind w:left="864" w:right="864"/>
        <w:jc w:val="both"/>
        <w:rPr>
          <w:rFonts w:ascii="Palatino Linotype" w:eastAsia="Palatino Linotype" w:hAnsi="Palatino Linotype" w:cs="Palatino Linotype"/>
          <w:i/>
          <w:color w:val="404040"/>
        </w:rPr>
      </w:pPr>
    </w:p>
    <w:p w14:paraId="3C8606B2" w14:textId="77777777" w:rsidR="00267BE2" w:rsidRPr="00F867F2" w:rsidRDefault="00675343">
      <w:pPr>
        <w:spacing w:line="360" w:lineRule="auto"/>
        <w:jc w:val="both"/>
        <w:rPr>
          <w:rFonts w:ascii="Palatino Linotype" w:eastAsia="Palatino Linotype" w:hAnsi="Palatino Linotype" w:cs="Palatino Linotype"/>
        </w:rPr>
      </w:pPr>
      <w:r w:rsidRPr="00F867F2">
        <w:rPr>
          <w:rFonts w:ascii="Palatino Linotype" w:eastAsia="Palatino Linotype" w:hAnsi="Palatino Linotype" w:cs="Palatino Linotype"/>
        </w:rPr>
        <w:t xml:space="preserve">Asimismo, deberá observar los numerales Quincuagésimo tercero y Quincuagésimo quinto de los Lineamientos Generales en Materia de Clasificación y Desclasificación de la Información </w:t>
      </w:r>
      <w:proofErr w:type="spellStart"/>
      <w:r w:rsidRPr="00F867F2">
        <w:rPr>
          <w:rFonts w:ascii="Palatino Linotype" w:eastAsia="Palatino Linotype" w:hAnsi="Palatino Linotype" w:cs="Palatino Linotype"/>
        </w:rPr>
        <w:t>supraindicados</w:t>
      </w:r>
      <w:proofErr w:type="spellEnd"/>
      <w:r w:rsidRPr="00F867F2">
        <w:rPr>
          <w:rFonts w:ascii="Palatino Linotype" w:eastAsia="Palatino Linotype" w:hAnsi="Palatino Linotype" w:cs="Palatino Linotype"/>
        </w:rPr>
        <w:t>, que establecen los formatos para la clasificación parcial y total de los documentos, conforme a lo siguiente:</w:t>
      </w:r>
    </w:p>
    <w:p w14:paraId="7CBBAF68"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rPr>
      </w:pPr>
      <w:r w:rsidRPr="00F867F2">
        <w:rPr>
          <w:i/>
          <w:color w:val="404040"/>
        </w:rPr>
        <w:t xml:space="preserve"> </w:t>
      </w:r>
    </w:p>
    <w:p w14:paraId="47451354"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b/>
          <w:i/>
          <w:color w:val="404040"/>
        </w:rPr>
      </w:pPr>
      <w:r w:rsidRPr="00F867F2">
        <w:rPr>
          <w:rFonts w:ascii="Palatino Linotype" w:eastAsia="Palatino Linotype" w:hAnsi="Palatino Linotype" w:cs="Palatino Linotype"/>
          <w:b/>
          <w:i/>
          <w:color w:val="404040"/>
        </w:rPr>
        <w:t>CAPÍTULO VIII</w:t>
      </w:r>
    </w:p>
    <w:p w14:paraId="400362BE"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b/>
          <w:i/>
          <w:color w:val="404040"/>
        </w:rPr>
      </w:pPr>
      <w:r w:rsidRPr="00F867F2">
        <w:rPr>
          <w:rFonts w:ascii="Palatino Linotype" w:eastAsia="Palatino Linotype" w:hAnsi="Palatino Linotype" w:cs="Palatino Linotype"/>
          <w:b/>
          <w:i/>
          <w:color w:val="404040"/>
        </w:rPr>
        <w:t>DE LA LEYENDA DE CLASIFICACIÓN</w:t>
      </w:r>
    </w:p>
    <w:p w14:paraId="5CEFFC12"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rPr>
      </w:pPr>
      <w:r w:rsidRPr="00F867F2">
        <w:rPr>
          <w:rFonts w:ascii="Palatino Linotype" w:eastAsia="Palatino Linotype" w:hAnsi="Palatino Linotype" w:cs="Palatino Linotype"/>
          <w:i/>
          <w:color w:val="404040"/>
        </w:rPr>
        <w:t>…</w:t>
      </w:r>
    </w:p>
    <w:p w14:paraId="7DA631B3"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rPr>
      </w:pPr>
      <w:r w:rsidRPr="00F867F2">
        <w:rPr>
          <w:rFonts w:ascii="Palatino Linotype" w:eastAsia="Palatino Linotype" w:hAnsi="Palatino Linotype" w:cs="Palatino Linotype"/>
          <w:b/>
          <w:i/>
          <w:color w:val="404040"/>
        </w:rPr>
        <w:t xml:space="preserve">Quincuagésimo tercero. </w:t>
      </w:r>
      <w:r w:rsidRPr="00F867F2">
        <w:rPr>
          <w:rFonts w:ascii="Palatino Linotype" w:eastAsia="Palatino Linotype" w:hAnsi="Palatino Linotype" w:cs="Palatino Linotype"/>
          <w:b/>
          <w:i/>
          <w:color w:val="404040"/>
          <w:u w:val="single"/>
        </w:rPr>
        <w:t>El formato para señalar la clasificación parcial de un documento</w:t>
      </w:r>
      <w:r w:rsidRPr="00F867F2">
        <w:rPr>
          <w:rFonts w:ascii="Palatino Linotype" w:eastAsia="Palatino Linotype" w:hAnsi="Palatino Linotype" w:cs="Palatino Linotype"/>
          <w:i/>
          <w:color w:val="404040"/>
        </w:rPr>
        <w:t>, es el siguiente:</w:t>
      </w:r>
    </w:p>
    <w:p w14:paraId="6BCDA732"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b/>
          <w:i/>
          <w:color w:val="404040"/>
        </w:rPr>
      </w:pPr>
      <w:r w:rsidRPr="00F867F2">
        <w:rPr>
          <w:rFonts w:ascii="Palatino Linotype" w:eastAsia="Palatino Linotype" w:hAnsi="Palatino Linotype" w:cs="Palatino Linotype"/>
          <w:b/>
          <w:i/>
          <w:color w:val="404040"/>
        </w:rPr>
        <w:t>...</w:t>
      </w:r>
    </w:p>
    <w:p w14:paraId="4B941D14"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rPr>
      </w:pPr>
      <w:r w:rsidRPr="00F867F2">
        <w:rPr>
          <w:rFonts w:ascii="Palatino Linotype" w:eastAsia="Palatino Linotype" w:hAnsi="Palatino Linotype" w:cs="Palatino Linotype"/>
          <w:b/>
          <w:i/>
          <w:color w:val="404040"/>
        </w:rPr>
        <w:t>Quincuagésimo quinto</w:t>
      </w:r>
      <w:r w:rsidRPr="00F867F2">
        <w:rPr>
          <w:rFonts w:ascii="Palatino Linotype" w:eastAsia="Palatino Linotype" w:hAnsi="Palatino Linotype" w:cs="Palatino Linotype"/>
          <w:i/>
          <w:color w:val="404040"/>
        </w:rPr>
        <w:t>. Los documentos que integren un expediente reservado o confidencial en su totalidad no deberán marcarse en lo individual.</w:t>
      </w:r>
    </w:p>
    <w:p w14:paraId="0C2C621C"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rPr>
      </w:pPr>
      <w:r w:rsidRPr="00F867F2">
        <w:rPr>
          <w:rFonts w:ascii="Palatino Linotype" w:eastAsia="Palatino Linotype" w:hAnsi="Palatino Linotype" w:cs="Palatino Linotype"/>
          <w:i/>
          <w:color w:val="404040"/>
        </w:rPr>
        <w:lastRenderedPageBreak/>
        <w:t>Una vez desclasificados los expedientes, si existieren documentos que tuvieran el carácter de reservados o confidenciales, deberán ser marcados.</w:t>
      </w:r>
    </w:p>
    <w:p w14:paraId="1DBC777C" w14:textId="77777777" w:rsidR="00267BE2" w:rsidRPr="00F867F2" w:rsidRDefault="00675343">
      <w:pPr>
        <w:pBdr>
          <w:top w:val="nil"/>
          <w:left w:val="nil"/>
          <w:bottom w:val="nil"/>
          <w:right w:val="nil"/>
          <w:between w:val="nil"/>
        </w:pBdr>
        <w:ind w:left="864" w:right="864"/>
        <w:jc w:val="both"/>
        <w:rPr>
          <w:rFonts w:ascii="Palatino Linotype" w:eastAsia="Palatino Linotype" w:hAnsi="Palatino Linotype" w:cs="Palatino Linotype"/>
          <w:i/>
          <w:color w:val="404040"/>
        </w:rPr>
      </w:pPr>
      <w:r w:rsidRPr="00F867F2">
        <w:rPr>
          <w:rFonts w:ascii="Palatino Linotype" w:eastAsia="Palatino Linotype" w:hAnsi="Palatino Linotype" w:cs="Palatino Linotype"/>
          <w:i/>
          <w:color w:val="404040"/>
        </w:rPr>
        <w:t>El formato para señalar la clasificación de expedientes que por su naturaleza sean en su totalidad reservados o confidenciales, es el siguiente:</w:t>
      </w:r>
    </w:p>
    <w:p w14:paraId="62408312" w14:textId="77777777" w:rsidR="00267BE2" w:rsidRPr="00F867F2" w:rsidRDefault="00267BE2">
      <w:pPr>
        <w:pBdr>
          <w:top w:val="nil"/>
          <w:left w:val="nil"/>
          <w:bottom w:val="nil"/>
          <w:right w:val="nil"/>
          <w:between w:val="nil"/>
        </w:pBdr>
        <w:ind w:left="864" w:right="864"/>
        <w:jc w:val="both"/>
        <w:rPr>
          <w:rFonts w:ascii="Palatino Linotype" w:eastAsia="Palatino Linotype" w:hAnsi="Palatino Linotype" w:cs="Palatino Linotype"/>
          <w:i/>
          <w:color w:val="404040"/>
        </w:rPr>
      </w:pPr>
    </w:p>
    <w:tbl>
      <w:tblPr>
        <w:tblStyle w:val="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3421"/>
        <w:gridCol w:w="968"/>
        <w:gridCol w:w="3446"/>
      </w:tblGrid>
      <w:tr w:rsidR="00267BE2" w:rsidRPr="00F867F2" w14:paraId="43D89C00" w14:textId="77777777" w:rsidTr="00267B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gridSpan w:val="2"/>
          </w:tcPr>
          <w:p w14:paraId="5FF13E20" w14:textId="77777777" w:rsidR="00267BE2" w:rsidRPr="00F867F2" w:rsidRDefault="00675343">
            <w:pPr>
              <w:jc w:val="center"/>
              <w:rPr>
                <w:rFonts w:ascii="Palatino Linotype" w:eastAsia="Palatino Linotype" w:hAnsi="Palatino Linotype" w:cs="Palatino Linotype"/>
                <w:sz w:val="12"/>
                <w:szCs w:val="12"/>
              </w:rPr>
            </w:pPr>
            <w:r w:rsidRPr="00F867F2">
              <w:rPr>
                <w:rFonts w:ascii="Palatino Linotype" w:eastAsia="Palatino Linotype" w:hAnsi="Palatino Linotype" w:cs="Palatino Linotype"/>
                <w:sz w:val="12"/>
                <w:szCs w:val="12"/>
              </w:rPr>
              <w:t>Parcial</w:t>
            </w:r>
          </w:p>
        </w:tc>
        <w:tc>
          <w:tcPr>
            <w:tcW w:w="4414" w:type="dxa"/>
            <w:gridSpan w:val="2"/>
          </w:tcPr>
          <w:p w14:paraId="44E943BE" w14:textId="77777777" w:rsidR="00267BE2" w:rsidRPr="00F867F2" w:rsidRDefault="00675343">
            <w:pPr>
              <w:jc w:val="center"/>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F867F2">
              <w:rPr>
                <w:rFonts w:ascii="Palatino Linotype" w:eastAsia="Palatino Linotype" w:hAnsi="Palatino Linotype" w:cs="Palatino Linotype"/>
                <w:sz w:val="12"/>
                <w:szCs w:val="12"/>
              </w:rPr>
              <w:t>Total</w:t>
            </w:r>
          </w:p>
        </w:tc>
      </w:tr>
      <w:tr w:rsidR="00267BE2" w:rsidRPr="00F867F2" w14:paraId="090208C9" w14:textId="77777777" w:rsidTr="00267B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67E58CE1" w14:textId="77777777" w:rsidR="00267BE2" w:rsidRPr="00F867F2" w:rsidRDefault="00675343">
            <w:pPr>
              <w:jc w:val="center"/>
              <w:rPr>
                <w:rFonts w:ascii="Palatino Linotype" w:eastAsia="Palatino Linotype" w:hAnsi="Palatino Linotype" w:cs="Palatino Linotype"/>
                <w:sz w:val="12"/>
                <w:szCs w:val="12"/>
              </w:rPr>
            </w:pPr>
            <w:r w:rsidRPr="00F867F2">
              <w:rPr>
                <w:rFonts w:ascii="Palatino Linotype" w:eastAsia="Palatino Linotype" w:hAnsi="Palatino Linotype" w:cs="Palatino Linotype"/>
                <w:sz w:val="12"/>
                <w:szCs w:val="12"/>
              </w:rPr>
              <w:t>Concepto</w:t>
            </w:r>
          </w:p>
        </w:tc>
        <w:tc>
          <w:tcPr>
            <w:tcW w:w="3421" w:type="dxa"/>
          </w:tcPr>
          <w:p w14:paraId="6C5A8E9E" w14:textId="77777777" w:rsidR="00267BE2" w:rsidRPr="00F867F2" w:rsidRDefault="00675343">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F867F2">
              <w:rPr>
                <w:rFonts w:ascii="Palatino Linotype" w:eastAsia="Palatino Linotype" w:hAnsi="Palatino Linotype" w:cs="Palatino Linotype"/>
                <w:b/>
                <w:sz w:val="12"/>
                <w:szCs w:val="12"/>
              </w:rPr>
              <w:t>Dónde</w:t>
            </w:r>
          </w:p>
        </w:tc>
        <w:tc>
          <w:tcPr>
            <w:tcW w:w="968" w:type="dxa"/>
          </w:tcPr>
          <w:p w14:paraId="691E3F67" w14:textId="77777777" w:rsidR="00267BE2" w:rsidRPr="00F867F2" w:rsidRDefault="00675343">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F867F2">
              <w:rPr>
                <w:rFonts w:ascii="Palatino Linotype" w:eastAsia="Palatino Linotype" w:hAnsi="Palatino Linotype" w:cs="Palatino Linotype"/>
                <w:b/>
                <w:sz w:val="12"/>
                <w:szCs w:val="12"/>
              </w:rPr>
              <w:t>Concepto</w:t>
            </w:r>
          </w:p>
        </w:tc>
        <w:tc>
          <w:tcPr>
            <w:tcW w:w="3446" w:type="dxa"/>
          </w:tcPr>
          <w:p w14:paraId="487343EF" w14:textId="77777777" w:rsidR="00267BE2" w:rsidRPr="00F867F2" w:rsidRDefault="00675343">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F867F2">
              <w:rPr>
                <w:rFonts w:ascii="Palatino Linotype" w:eastAsia="Palatino Linotype" w:hAnsi="Palatino Linotype" w:cs="Palatino Linotype"/>
                <w:b/>
                <w:sz w:val="12"/>
                <w:szCs w:val="12"/>
              </w:rPr>
              <w:t>Dónde</w:t>
            </w:r>
          </w:p>
        </w:tc>
      </w:tr>
      <w:tr w:rsidR="00267BE2" w:rsidRPr="00F867F2" w14:paraId="5F99A8F6" w14:textId="77777777" w:rsidTr="00267BE2">
        <w:tc>
          <w:tcPr>
            <w:cnfStyle w:val="001000000000" w:firstRow="0" w:lastRow="0" w:firstColumn="1" w:lastColumn="0" w:oddVBand="0" w:evenVBand="0" w:oddHBand="0" w:evenHBand="0" w:firstRowFirstColumn="0" w:firstRowLastColumn="0" w:lastRowFirstColumn="0" w:lastRowLastColumn="0"/>
            <w:tcW w:w="8828" w:type="dxa"/>
            <w:gridSpan w:val="4"/>
          </w:tcPr>
          <w:p w14:paraId="2E17BC25" w14:textId="77777777" w:rsidR="00267BE2" w:rsidRPr="00F867F2" w:rsidRDefault="00675343">
            <w:pPr>
              <w:jc w:val="center"/>
              <w:rPr>
                <w:rFonts w:ascii="Palatino Linotype" w:eastAsia="Palatino Linotype" w:hAnsi="Palatino Linotype" w:cs="Palatino Linotype"/>
                <w:sz w:val="12"/>
                <w:szCs w:val="12"/>
              </w:rPr>
            </w:pPr>
            <w:r w:rsidRPr="00F867F2">
              <w:rPr>
                <w:rFonts w:ascii="Palatino Linotype" w:eastAsia="Palatino Linotype" w:hAnsi="Palatino Linotype" w:cs="Palatino Linotype"/>
                <w:sz w:val="12"/>
                <w:szCs w:val="12"/>
              </w:rPr>
              <w:t>Sello oficial o logotipo del SUJETO OBLIGADO</w:t>
            </w:r>
          </w:p>
        </w:tc>
      </w:tr>
      <w:tr w:rsidR="00267BE2" w:rsidRPr="00F867F2" w14:paraId="1F6EF20C" w14:textId="77777777" w:rsidTr="00267B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24F3D72F" w14:textId="77777777" w:rsidR="00267BE2" w:rsidRPr="00F867F2" w:rsidRDefault="00675343">
            <w:pPr>
              <w:jc w:val="both"/>
              <w:rPr>
                <w:rFonts w:ascii="Palatino Linotype" w:eastAsia="Palatino Linotype" w:hAnsi="Palatino Linotype" w:cs="Palatino Linotype"/>
                <w:sz w:val="12"/>
                <w:szCs w:val="12"/>
              </w:rPr>
            </w:pPr>
            <w:r w:rsidRPr="00F867F2">
              <w:rPr>
                <w:rFonts w:ascii="Palatino Linotype" w:eastAsia="Palatino Linotype" w:hAnsi="Palatino Linotype" w:cs="Palatino Linotype"/>
                <w:sz w:val="12"/>
                <w:szCs w:val="12"/>
              </w:rPr>
              <w:t>Fecha de clasificación</w:t>
            </w:r>
          </w:p>
        </w:tc>
        <w:tc>
          <w:tcPr>
            <w:tcW w:w="3421" w:type="dxa"/>
          </w:tcPr>
          <w:p w14:paraId="3992FC8B" w14:textId="77777777" w:rsidR="00267BE2" w:rsidRPr="00F867F2" w:rsidRDefault="00675343">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F867F2">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8" w:type="dxa"/>
          </w:tcPr>
          <w:p w14:paraId="56EF2B80" w14:textId="77777777" w:rsidR="00267BE2" w:rsidRPr="00F867F2" w:rsidRDefault="00675343">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F867F2">
              <w:rPr>
                <w:rFonts w:ascii="Palatino Linotype" w:eastAsia="Palatino Linotype" w:hAnsi="Palatino Linotype" w:cs="Palatino Linotype"/>
                <w:b/>
                <w:sz w:val="12"/>
                <w:szCs w:val="12"/>
              </w:rPr>
              <w:t>Fecha de clasificación</w:t>
            </w:r>
          </w:p>
        </w:tc>
        <w:tc>
          <w:tcPr>
            <w:tcW w:w="3446" w:type="dxa"/>
          </w:tcPr>
          <w:p w14:paraId="3064A086" w14:textId="77777777" w:rsidR="00267BE2" w:rsidRPr="00F867F2" w:rsidRDefault="00675343">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F867F2">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267BE2" w:rsidRPr="00F867F2" w14:paraId="1FB72B94" w14:textId="77777777" w:rsidTr="00267BE2">
        <w:tc>
          <w:tcPr>
            <w:cnfStyle w:val="001000000000" w:firstRow="0" w:lastRow="0" w:firstColumn="1" w:lastColumn="0" w:oddVBand="0" w:evenVBand="0" w:oddHBand="0" w:evenHBand="0" w:firstRowFirstColumn="0" w:firstRowLastColumn="0" w:lastRowFirstColumn="0" w:lastRowLastColumn="0"/>
            <w:tcW w:w="993" w:type="dxa"/>
          </w:tcPr>
          <w:p w14:paraId="7E488721" w14:textId="77777777" w:rsidR="00267BE2" w:rsidRPr="00F867F2" w:rsidRDefault="00675343">
            <w:pPr>
              <w:jc w:val="both"/>
              <w:rPr>
                <w:rFonts w:ascii="Palatino Linotype" w:eastAsia="Palatino Linotype" w:hAnsi="Palatino Linotype" w:cs="Palatino Linotype"/>
                <w:sz w:val="12"/>
                <w:szCs w:val="12"/>
              </w:rPr>
            </w:pPr>
            <w:r w:rsidRPr="00F867F2">
              <w:rPr>
                <w:rFonts w:ascii="Palatino Linotype" w:eastAsia="Palatino Linotype" w:hAnsi="Palatino Linotype" w:cs="Palatino Linotype"/>
                <w:sz w:val="12"/>
                <w:szCs w:val="12"/>
              </w:rPr>
              <w:t>Área</w:t>
            </w:r>
          </w:p>
        </w:tc>
        <w:tc>
          <w:tcPr>
            <w:tcW w:w="3421" w:type="dxa"/>
          </w:tcPr>
          <w:p w14:paraId="3F74F5D9" w14:textId="77777777" w:rsidR="00267BE2" w:rsidRPr="00F867F2" w:rsidRDefault="00675343">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F867F2">
              <w:rPr>
                <w:rFonts w:ascii="Palatino Linotype" w:eastAsia="Palatino Linotype" w:hAnsi="Palatino Linotype" w:cs="Palatino Linotype"/>
                <w:sz w:val="12"/>
                <w:szCs w:val="12"/>
              </w:rPr>
              <w:t>Se señalará el nombre del área del cual es titular quien clasifica.</w:t>
            </w:r>
          </w:p>
        </w:tc>
        <w:tc>
          <w:tcPr>
            <w:tcW w:w="968" w:type="dxa"/>
          </w:tcPr>
          <w:p w14:paraId="05085F3A" w14:textId="77777777" w:rsidR="00267BE2" w:rsidRPr="00F867F2" w:rsidRDefault="00675343">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F867F2">
              <w:rPr>
                <w:rFonts w:ascii="Palatino Linotype" w:eastAsia="Palatino Linotype" w:hAnsi="Palatino Linotype" w:cs="Palatino Linotype"/>
                <w:b/>
                <w:sz w:val="12"/>
                <w:szCs w:val="12"/>
              </w:rPr>
              <w:t>Área</w:t>
            </w:r>
          </w:p>
        </w:tc>
        <w:tc>
          <w:tcPr>
            <w:tcW w:w="3446" w:type="dxa"/>
          </w:tcPr>
          <w:p w14:paraId="2D39DBEF" w14:textId="77777777" w:rsidR="00267BE2" w:rsidRPr="00F867F2" w:rsidRDefault="00675343">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F867F2">
              <w:rPr>
                <w:rFonts w:ascii="Palatino Linotype" w:eastAsia="Palatino Linotype" w:hAnsi="Palatino Linotype" w:cs="Palatino Linotype"/>
                <w:sz w:val="12"/>
                <w:szCs w:val="12"/>
              </w:rPr>
              <w:t>Se señalará el nombre del área de la cual es el titular quien clasifica.</w:t>
            </w:r>
          </w:p>
        </w:tc>
      </w:tr>
      <w:tr w:rsidR="00267BE2" w:rsidRPr="00F867F2" w14:paraId="78C80CF9" w14:textId="77777777" w:rsidTr="00267B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510F98BE" w14:textId="77777777" w:rsidR="00267BE2" w:rsidRPr="00F867F2" w:rsidRDefault="00675343">
            <w:pPr>
              <w:jc w:val="both"/>
              <w:rPr>
                <w:rFonts w:ascii="Palatino Linotype" w:eastAsia="Palatino Linotype" w:hAnsi="Palatino Linotype" w:cs="Palatino Linotype"/>
                <w:sz w:val="12"/>
                <w:szCs w:val="12"/>
              </w:rPr>
            </w:pPr>
            <w:r w:rsidRPr="00F867F2">
              <w:rPr>
                <w:rFonts w:ascii="Palatino Linotype" w:eastAsia="Palatino Linotype" w:hAnsi="Palatino Linotype" w:cs="Palatino Linotype"/>
                <w:sz w:val="12"/>
                <w:szCs w:val="12"/>
              </w:rPr>
              <w:t>Información reservada</w:t>
            </w:r>
          </w:p>
        </w:tc>
        <w:tc>
          <w:tcPr>
            <w:tcW w:w="3421" w:type="dxa"/>
          </w:tcPr>
          <w:p w14:paraId="5E6391E7" w14:textId="77777777" w:rsidR="00267BE2" w:rsidRPr="00F867F2" w:rsidRDefault="00675343">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F867F2">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14:paraId="2CE145CD" w14:textId="77777777" w:rsidR="00267BE2" w:rsidRPr="00F867F2" w:rsidRDefault="00675343">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F867F2">
              <w:rPr>
                <w:rFonts w:ascii="Palatino Linotype" w:eastAsia="Palatino Linotype" w:hAnsi="Palatino Linotype" w:cs="Palatino Linotype"/>
                <w:b/>
                <w:sz w:val="12"/>
                <w:szCs w:val="12"/>
              </w:rPr>
              <w:t>Reservado</w:t>
            </w:r>
          </w:p>
        </w:tc>
        <w:tc>
          <w:tcPr>
            <w:tcW w:w="3446" w:type="dxa"/>
          </w:tcPr>
          <w:p w14:paraId="593F9F1D" w14:textId="77777777" w:rsidR="00267BE2" w:rsidRPr="00F867F2" w:rsidRDefault="00675343">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F867F2">
              <w:rPr>
                <w:rFonts w:ascii="Palatino Linotype" w:eastAsia="Palatino Linotype" w:hAnsi="Palatino Linotype" w:cs="Palatino Linotype"/>
                <w:sz w:val="12"/>
                <w:szCs w:val="12"/>
              </w:rPr>
              <w:t>Leyenda de información RESERVADA.</w:t>
            </w:r>
          </w:p>
        </w:tc>
      </w:tr>
      <w:tr w:rsidR="00267BE2" w:rsidRPr="00F867F2" w14:paraId="470D429C" w14:textId="77777777" w:rsidTr="00267BE2">
        <w:tc>
          <w:tcPr>
            <w:cnfStyle w:val="001000000000" w:firstRow="0" w:lastRow="0" w:firstColumn="1" w:lastColumn="0" w:oddVBand="0" w:evenVBand="0" w:oddHBand="0" w:evenHBand="0" w:firstRowFirstColumn="0" w:firstRowLastColumn="0" w:lastRowFirstColumn="0" w:lastRowLastColumn="0"/>
            <w:tcW w:w="993" w:type="dxa"/>
          </w:tcPr>
          <w:p w14:paraId="2DA6ACD0" w14:textId="77777777" w:rsidR="00267BE2" w:rsidRPr="00F867F2" w:rsidRDefault="00675343">
            <w:pPr>
              <w:jc w:val="both"/>
              <w:rPr>
                <w:rFonts w:ascii="Palatino Linotype" w:eastAsia="Palatino Linotype" w:hAnsi="Palatino Linotype" w:cs="Palatino Linotype"/>
                <w:sz w:val="12"/>
                <w:szCs w:val="12"/>
              </w:rPr>
            </w:pPr>
            <w:r w:rsidRPr="00F867F2">
              <w:rPr>
                <w:rFonts w:ascii="Palatino Linotype" w:eastAsia="Palatino Linotype" w:hAnsi="Palatino Linotype" w:cs="Palatino Linotype"/>
                <w:sz w:val="12"/>
                <w:szCs w:val="12"/>
              </w:rPr>
              <w:t>Fundamento legal</w:t>
            </w:r>
          </w:p>
        </w:tc>
        <w:tc>
          <w:tcPr>
            <w:tcW w:w="3421" w:type="dxa"/>
          </w:tcPr>
          <w:p w14:paraId="6E4060E1" w14:textId="77777777" w:rsidR="00267BE2" w:rsidRPr="00F867F2" w:rsidRDefault="00675343">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F867F2">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8" w:type="dxa"/>
          </w:tcPr>
          <w:p w14:paraId="36D19638" w14:textId="77777777" w:rsidR="00267BE2" w:rsidRPr="00F867F2" w:rsidRDefault="00675343">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F867F2">
              <w:rPr>
                <w:rFonts w:ascii="Palatino Linotype" w:eastAsia="Palatino Linotype" w:hAnsi="Palatino Linotype" w:cs="Palatino Linotype"/>
                <w:b/>
                <w:sz w:val="12"/>
                <w:szCs w:val="12"/>
              </w:rPr>
              <w:t>Periodo de reserva</w:t>
            </w:r>
          </w:p>
        </w:tc>
        <w:tc>
          <w:tcPr>
            <w:tcW w:w="3446" w:type="dxa"/>
          </w:tcPr>
          <w:p w14:paraId="217CAD33" w14:textId="77777777" w:rsidR="00267BE2" w:rsidRPr="00F867F2" w:rsidRDefault="00675343">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F867F2">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267BE2" w:rsidRPr="00F867F2" w14:paraId="5A1C7A18" w14:textId="77777777" w:rsidTr="00267B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62C146A4" w14:textId="77777777" w:rsidR="00267BE2" w:rsidRPr="00F867F2" w:rsidRDefault="00675343">
            <w:pPr>
              <w:jc w:val="both"/>
              <w:rPr>
                <w:rFonts w:ascii="Palatino Linotype" w:eastAsia="Palatino Linotype" w:hAnsi="Palatino Linotype" w:cs="Palatino Linotype"/>
                <w:sz w:val="12"/>
                <w:szCs w:val="12"/>
              </w:rPr>
            </w:pPr>
            <w:r w:rsidRPr="00F867F2">
              <w:rPr>
                <w:rFonts w:ascii="Palatino Linotype" w:eastAsia="Palatino Linotype" w:hAnsi="Palatino Linotype" w:cs="Palatino Linotype"/>
                <w:sz w:val="12"/>
                <w:szCs w:val="12"/>
              </w:rPr>
              <w:t>Ampliación del periodo de reserva</w:t>
            </w:r>
          </w:p>
        </w:tc>
        <w:tc>
          <w:tcPr>
            <w:tcW w:w="3421" w:type="dxa"/>
          </w:tcPr>
          <w:p w14:paraId="2BBFF7F7" w14:textId="77777777" w:rsidR="00267BE2" w:rsidRPr="00F867F2" w:rsidRDefault="00675343">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F867F2">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968" w:type="dxa"/>
          </w:tcPr>
          <w:p w14:paraId="7E989844" w14:textId="77777777" w:rsidR="00267BE2" w:rsidRPr="00F867F2" w:rsidRDefault="00675343">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F867F2">
              <w:rPr>
                <w:rFonts w:ascii="Palatino Linotype" w:eastAsia="Palatino Linotype" w:hAnsi="Palatino Linotype" w:cs="Palatino Linotype"/>
                <w:b/>
                <w:sz w:val="12"/>
                <w:szCs w:val="12"/>
              </w:rPr>
              <w:t>Fundamento legal</w:t>
            </w:r>
          </w:p>
        </w:tc>
        <w:tc>
          <w:tcPr>
            <w:tcW w:w="3446" w:type="dxa"/>
          </w:tcPr>
          <w:p w14:paraId="3F166B3B" w14:textId="77777777" w:rsidR="00267BE2" w:rsidRPr="00F867F2" w:rsidRDefault="00675343">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F867F2">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267BE2" w:rsidRPr="00F867F2" w14:paraId="63179180" w14:textId="77777777" w:rsidTr="00267BE2">
        <w:tc>
          <w:tcPr>
            <w:cnfStyle w:val="001000000000" w:firstRow="0" w:lastRow="0" w:firstColumn="1" w:lastColumn="0" w:oddVBand="0" w:evenVBand="0" w:oddHBand="0" w:evenHBand="0" w:firstRowFirstColumn="0" w:firstRowLastColumn="0" w:lastRowFirstColumn="0" w:lastRowLastColumn="0"/>
            <w:tcW w:w="993" w:type="dxa"/>
          </w:tcPr>
          <w:p w14:paraId="1184C563" w14:textId="77777777" w:rsidR="00267BE2" w:rsidRPr="00F867F2" w:rsidRDefault="00675343">
            <w:pPr>
              <w:jc w:val="both"/>
              <w:rPr>
                <w:rFonts w:ascii="Palatino Linotype" w:eastAsia="Palatino Linotype" w:hAnsi="Palatino Linotype" w:cs="Palatino Linotype"/>
                <w:sz w:val="12"/>
                <w:szCs w:val="12"/>
              </w:rPr>
            </w:pPr>
            <w:r w:rsidRPr="00F867F2">
              <w:rPr>
                <w:rFonts w:ascii="Palatino Linotype" w:eastAsia="Palatino Linotype" w:hAnsi="Palatino Linotype" w:cs="Palatino Linotype"/>
                <w:sz w:val="12"/>
                <w:szCs w:val="12"/>
              </w:rPr>
              <w:t>Confidencial</w:t>
            </w:r>
          </w:p>
        </w:tc>
        <w:tc>
          <w:tcPr>
            <w:tcW w:w="3421" w:type="dxa"/>
          </w:tcPr>
          <w:p w14:paraId="2D951233" w14:textId="77777777" w:rsidR="00267BE2" w:rsidRPr="00F867F2" w:rsidRDefault="00675343">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F867F2">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4AE800F3" w14:textId="77777777" w:rsidR="00267BE2" w:rsidRPr="00F867F2" w:rsidRDefault="00675343">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F867F2">
              <w:rPr>
                <w:rFonts w:ascii="Palatino Linotype" w:eastAsia="Palatino Linotype" w:hAnsi="Palatino Linotype" w:cs="Palatino Linotype"/>
                <w:b/>
                <w:sz w:val="12"/>
                <w:szCs w:val="12"/>
              </w:rPr>
              <w:t>Ampliación del periodo de reserva</w:t>
            </w:r>
          </w:p>
        </w:tc>
        <w:tc>
          <w:tcPr>
            <w:tcW w:w="3446" w:type="dxa"/>
          </w:tcPr>
          <w:p w14:paraId="41793CA0" w14:textId="77777777" w:rsidR="00267BE2" w:rsidRPr="00F867F2" w:rsidRDefault="00675343">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F867F2">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267BE2" w:rsidRPr="00F867F2" w14:paraId="4F7DFFBB" w14:textId="77777777" w:rsidTr="00267B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1A35D15D" w14:textId="77777777" w:rsidR="00267BE2" w:rsidRPr="00F867F2" w:rsidRDefault="00675343">
            <w:pPr>
              <w:jc w:val="both"/>
              <w:rPr>
                <w:rFonts w:ascii="Palatino Linotype" w:eastAsia="Palatino Linotype" w:hAnsi="Palatino Linotype" w:cs="Palatino Linotype"/>
                <w:sz w:val="12"/>
                <w:szCs w:val="12"/>
              </w:rPr>
            </w:pPr>
            <w:r w:rsidRPr="00F867F2">
              <w:rPr>
                <w:rFonts w:ascii="Palatino Linotype" w:eastAsia="Palatino Linotype" w:hAnsi="Palatino Linotype" w:cs="Palatino Linotype"/>
                <w:sz w:val="12"/>
                <w:szCs w:val="12"/>
              </w:rPr>
              <w:t>Fundamento legal</w:t>
            </w:r>
          </w:p>
        </w:tc>
        <w:tc>
          <w:tcPr>
            <w:tcW w:w="3421" w:type="dxa"/>
          </w:tcPr>
          <w:p w14:paraId="1DADABE9" w14:textId="77777777" w:rsidR="00267BE2" w:rsidRPr="00F867F2" w:rsidRDefault="00675343">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F867F2">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8" w:type="dxa"/>
          </w:tcPr>
          <w:p w14:paraId="2AA8DC4B" w14:textId="77777777" w:rsidR="00267BE2" w:rsidRPr="00F867F2" w:rsidRDefault="00675343">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F867F2">
              <w:rPr>
                <w:rFonts w:ascii="Palatino Linotype" w:eastAsia="Palatino Linotype" w:hAnsi="Palatino Linotype" w:cs="Palatino Linotype"/>
                <w:b/>
                <w:sz w:val="12"/>
                <w:szCs w:val="12"/>
              </w:rPr>
              <w:t>Confidencial</w:t>
            </w:r>
          </w:p>
        </w:tc>
        <w:tc>
          <w:tcPr>
            <w:tcW w:w="3446" w:type="dxa"/>
          </w:tcPr>
          <w:p w14:paraId="2B17EA23" w14:textId="77777777" w:rsidR="00267BE2" w:rsidRPr="00F867F2" w:rsidRDefault="00675343">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F867F2">
              <w:rPr>
                <w:rFonts w:ascii="Palatino Linotype" w:eastAsia="Palatino Linotype" w:hAnsi="Palatino Linotype" w:cs="Palatino Linotype"/>
                <w:sz w:val="12"/>
                <w:szCs w:val="12"/>
              </w:rPr>
              <w:t>Leyenda de información CONFIDENCIAL.</w:t>
            </w:r>
          </w:p>
        </w:tc>
      </w:tr>
      <w:tr w:rsidR="00267BE2" w:rsidRPr="00F867F2" w14:paraId="6C1D41F5" w14:textId="77777777" w:rsidTr="00267BE2">
        <w:tc>
          <w:tcPr>
            <w:cnfStyle w:val="001000000000" w:firstRow="0" w:lastRow="0" w:firstColumn="1" w:lastColumn="0" w:oddVBand="0" w:evenVBand="0" w:oddHBand="0" w:evenHBand="0" w:firstRowFirstColumn="0" w:firstRowLastColumn="0" w:lastRowFirstColumn="0" w:lastRowLastColumn="0"/>
            <w:tcW w:w="993" w:type="dxa"/>
          </w:tcPr>
          <w:p w14:paraId="2FC8798F" w14:textId="77777777" w:rsidR="00267BE2" w:rsidRPr="00F867F2" w:rsidRDefault="00675343">
            <w:pPr>
              <w:jc w:val="both"/>
              <w:rPr>
                <w:rFonts w:ascii="Palatino Linotype" w:eastAsia="Palatino Linotype" w:hAnsi="Palatino Linotype" w:cs="Palatino Linotype"/>
                <w:sz w:val="12"/>
                <w:szCs w:val="12"/>
              </w:rPr>
            </w:pPr>
            <w:r w:rsidRPr="00F867F2">
              <w:rPr>
                <w:rFonts w:ascii="Palatino Linotype" w:eastAsia="Palatino Linotype" w:hAnsi="Palatino Linotype" w:cs="Palatino Linotype"/>
                <w:sz w:val="12"/>
                <w:szCs w:val="12"/>
              </w:rPr>
              <w:t>Rúbrica del titular del área</w:t>
            </w:r>
          </w:p>
        </w:tc>
        <w:tc>
          <w:tcPr>
            <w:tcW w:w="3421" w:type="dxa"/>
          </w:tcPr>
          <w:p w14:paraId="38EC2782" w14:textId="77777777" w:rsidR="00267BE2" w:rsidRPr="00F867F2" w:rsidRDefault="00675343">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F867F2">
              <w:rPr>
                <w:rFonts w:ascii="Palatino Linotype" w:eastAsia="Palatino Linotype" w:hAnsi="Palatino Linotype" w:cs="Palatino Linotype"/>
                <w:sz w:val="12"/>
                <w:szCs w:val="12"/>
              </w:rPr>
              <w:t>Rúbrica autógrafa de quien clasifica.</w:t>
            </w:r>
          </w:p>
        </w:tc>
        <w:tc>
          <w:tcPr>
            <w:tcW w:w="968" w:type="dxa"/>
          </w:tcPr>
          <w:p w14:paraId="56B487C8" w14:textId="77777777" w:rsidR="00267BE2" w:rsidRPr="00F867F2" w:rsidRDefault="00675343">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F867F2">
              <w:rPr>
                <w:rFonts w:ascii="Palatino Linotype" w:eastAsia="Palatino Linotype" w:hAnsi="Palatino Linotype" w:cs="Palatino Linotype"/>
                <w:b/>
                <w:sz w:val="12"/>
                <w:szCs w:val="12"/>
              </w:rPr>
              <w:t>Fundamento legal</w:t>
            </w:r>
          </w:p>
        </w:tc>
        <w:tc>
          <w:tcPr>
            <w:tcW w:w="3446" w:type="dxa"/>
          </w:tcPr>
          <w:p w14:paraId="66C9F086" w14:textId="77777777" w:rsidR="00267BE2" w:rsidRPr="00F867F2" w:rsidRDefault="00675343">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F867F2">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267BE2" w:rsidRPr="00F867F2" w14:paraId="225ED116" w14:textId="77777777" w:rsidTr="00267B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397848D1" w14:textId="77777777" w:rsidR="00267BE2" w:rsidRPr="00F867F2" w:rsidRDefault="00675343">
            <w:pPr>
              <w:jc w:val="both"/>
              <w:rPr>
                <w:rFonts w:ascii="Palatino Linotype" w:eastAsia="Palatino Linotype" w:hAnsi="Palatino Linotype" w:cs="Palatino Linotype"/>
                <w:sz w:val="12"/>
                <w:szCs w:val="12"/>
              </w:rPr>
            </w:pPr>
            <w:r w:rsidRPr="00F867F2">
              <w:rPr>
                <w:rFonts w:ascii="Palatino Linotype" w:eastAsia="Palatino Linotype" w:hAnsi="Palatino Linotype" w:cs="Palatino Linotype"/>
                <w:sz w:val="12"/>
                <w:szCs w:val="12"/>
              </w:rPr>
              <w:t>Fecha de desclasificación</w:t>
            </w:r>
          </w:p>
        </w:tc>
        <w:tc>
          <w:tcPr>
            <w:tcW w:w="3421" w:type="dxa"/>
          </w:tcPr>
          <w:p w14:paraId="568E5AA8" w14:textId="77777777" w:rsidR="00267BE2" w:rsidRPr="00F867F2" w:rsidRDefault="00675343">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F867F2">
              <w:rPr>
                <w:rFonts w:ascii="Palatino Linotype" w:eastAsia="Palatino Linotype" w:hAnsi="Palatino Linotype" w:cs="Palatino Linotype"/>
                <w:sz w:val="12"/>
                <w:szCs w:val="12"/>
              </w:rPr>
              <w:t>Se anotará la fecha en que se desclasifica el documento.</w:t>
            </w:r>
          </w:p>
        </w:tc>
        <w:tc>
          <w:tcPr>
            <w:tcW w:w="968" w:type="dxa"/>
          </w:tcPr>
          <w:p w14:paraId="2E38CBFA" w14:textId="77777777" w:rsidR="00267BE2" w:rsidRPr="00F867F2" w:rsidRDefault="00675343">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F867F2">
              <w:rPr>
                <w:rFonts w:ascii="Palatino Linotype" w:eastAsia="Palatino Linotype" w:hAnsi="Palatino Linotype" w:cs="Palatino Linotype"/>
                <w:b/>
                <w:sz w:val="12"/>
                <w:szCs w:val="12"/>
              </w:rPr>
              <w:t>Rúbrica del titular del área</w:t>
            </w:r>
          </w:p>
        </w:tc>
        <w:tc>
          <w:tcPr>
            <w:tcW w:w="3446" w:type="dxa"/>
          </w:tcPr>
          <w:p w14:paraId="53F613B4" w14:textId="77777777" w:rsidR="00267BE2" w:rsidRPr="00F867F2" w:rsidRDefault="00675343">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F867F2">
              <w:rPr>
                <w:rFonts w:ascii="Palatino Linotype" w:eastAsia="Palatino Linotype" w:hAnsi="Palatino Linotype" w:cs="Palatino Linotype"/>
                <w:sz w:val="12"/>
                <w:szCs w:val="12"/>
              </w:rPr>
              <w:t>Rúbrica autógrafa de quien clasifica.</w:t>
            </w:r>
          </w:p>
        </w:tc>
      </w:tr>
      <w:tr w:rsidR="00267BE2" w:rsidRPr="00F867F2" w14:paraId="10C16818" w14:textId="77777777" w:rsidTr="00267BE2">
        <w:tc>
          <w:tcPr>
            <w:cnfStyle w:val="001000000000" w:firstRow="0" w:lastRow="0" w:firstColumn="1" w:lastColumn="0" w:oddVBand="0" w:evenVBand="0" w:oddHBand="0" w:evenHBand="0" w:firstRowFirstColumn="0" w:firstRowLastColumn="0" w:lastRowFirstColumn="0" w:lastRowLastColumn="0"/>
            <w:tcW w:w="993" w:type="dxa"/>
          </w:tcPr>
          <w:p w14:paraId="2A87F3AA" w14:textId="77777777" w:rsidR="00267BE2" w:rsidRPr="00F867F2" w:rsidRDefault="00675343">
            <w:pPr>
              <w:jc w:val="both"/>
              <w:rPr>
                <w:rFonts w:ascii="Palatino Linotype" w:eastAsia="Palatino Linotype" w:hAnsi="Palatino Linotype" w:cs="Palatino Linotype"/>
                <w:sz w:val="12"/>
                <w:szCs w:val="12"/>
              </w:rPr>
            </w:pPr>
            <w:r w:rsidRPr="00F867F2">
              <w:rPr>
                <w:rFonts w:ascii="Palatino Linotype" w:eastAsia="Palatino Linotype" w:hAnsi="Palatino Linotype" w:cs="Palatino Linotype"/>
                <w:sz w:val="12"/>
                <w:szCs w:val="12"/>
              </w:rPr>
              <w:t>Rúbrica y cargo del servidor público</w:t>
            </w:r>
          </w:p>
        </w:tc>
        <w:tc>
          <w:tcPr>
            <w:tcW w:w="3421" w:type="dxa"/>
          </w:tcPr>
          <w:p w14:paraId="3C9B7CDA" w14:textId="77777777" w:rsidR="00267BE2" w:rsidRPr="00F867F2" w:rsidRDefault="00675343">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F867F2">
              <w:rPr>
                <w:rFonts w:ascii="Palatino Linotype" w:eastAsia="Palatino Linotype" w:hAnsi="Palatino Linotype" w:cs="Palatino Linotype"/>
                <w:sz w:val="12"/>
                <w:szCs w:val="12"/>
              </w:rPr>
              <w:t>Rúbrica autógrafa de quien desclasifica.</w:t>
            </w:r>
          </w:p>
        </w:tc>
        <w:tc>
          <w:tcPr>
            <w:tcW w:w="968" w:type="dxa"/>
          </w:tcPr>
          <w:p w14:paraId="34118499" w14:textId="77777777" w:rsidR="00267BE2" w:rsidRPr="00F867F2" w:rsidRDefault="00675343">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F867F2">
              <w:rPr>
                <w:rFonts w:ascii="Palatino Linotype" w:eastAsia="Palatino Linotype" w:hAnsi="Palatino Linotype" w:cs="Palatino Linotype"/>
                <w:b/>
                <w:sz w:val="12"/>
                <w:szCs w:val="12"/>
              </w:rPr>
              <w:t>Fecha de desclasificación</w:t>
            </w:r>
          </w:p>
        </w:tc>
        <w:tc>
          <w:tcPr>
            <w:tcW w:w="3446" w:type="dxa"/>
          </w:tcPr>
          <w:p w14:paraId="1F18AD69" w14:textId="77777777" w:rsidR="00267BE2" w:rsidRPr="00F867F2" w:rsidRDefault="00675343">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F867F2">
              <w:rPr>
                <w:rFonts w:ascii="Palatino Linotype" w:eastAsia="Palatino Linotype" w:hAnsi="Palatino Linotype" w:cs="Palatino Linotype"/>
                <w:sz w:val="12"/>
                <w:szCs w:val="12"/>
              </w:rPr>
              <w:t>Se anotará la fecha en que se desclasifica.</w:t>
            </w:r>
          </w:p>
        </w:tc>
      </w:tr>
      <w:tr w:rsidR="00267BE2" w:rsidRPr="00F867F2" w14:paraId="5478B8E8" w14:textId="77777777" w:rsidTr="00267B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66C3171D" w14:textId="77777777" w:rsidR="00267BE2" w:rsidRPr="00F867F2" w:rsidRDefault="00267BE2">
            <w:pPr>
              <w:jc w:val="both"/>
              <w:rPr>
                <w:rFonts w:ascii="Palatino Linotype" w:eastAsia="Palatino Linotype" w:hAnsi="Palatino Linotype" w:cs="Palatino Linotype"/>
                <w:sz w:val="12"/>
                <w:szCs w:val="12"/>
              </w:rPr>
            </w:pPr>
          </w:p>
        </w:tc>
        <w:tc>
          <w:tcPr>
            <w:tcW w:w="3421" w:type="dxa"/>
          </w:tcPr>
          <w:p w14:paraId="655AAECA" w14:textId="77777777" w:rsidR="00267BE2" w:rsidRPr="00F867F2" w:rsidRDefault="00267BE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p>
        </w:tc>
        <w:tc>
          <w:tcPr>
            <w:tcW w:w="968" w:type="dxa"/>
          </w:tcPr>
          <w:p w14:paraId="62F073DE" w14:textId="77777777" w:rsidR="00267BE2" w:rsidRPr="00F867F2" w:rsidRDefault="00675343">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F867F2">
              <w:rPr>
                <w:rFonts w:ascii="Palatino Linotype" w:eastAsia="Palatino Linotype" w:hAnsi="Palatino Linotype" w:cs="Palatino Linotype"/>
                <w:b/>
                <w:sz w:val="12"/>
                <w:szCs w:val="12"/>
              </w:rPr>
              <w:t>Partes o secciones reservadas o confidenciales</w:t>
            </w:r>
          </w:p>
        </w:tc>
        <w:tc>
          <w:tcPr>
            <w:tcW w:w="3446" w:type="dxa"/>
          </w:tcPr>
          <w:p w14:paraId="3D99E87C" w14:textId="77777777" w:rsidR="00267BE2" w:rsidRPr="00F867F2" w:rsidRDefault="00675343">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F867F2">
              <w:rPr>
                <w:rFonts w:ascii="Palatino Linotype" w:eastAsia="Palatino Linotype" w:hAnsi="Palatino Linotype" w:cs="Palatino Linotype"/>
                <w:sz w:val="12"/>
                <w:szCs w:val="12"/>
              </w:rPr>
              <w:t xml:space="preserve">En caso que una vez desclasificado el expediente, </w:t>
            </w:r>
            <w:proofErr w:type="spellStart"/>
            <w:r w:rsidRPr="00F867F2">
              <w:rPr>
                <w:rFonts w:ascii="Palatino Linotype" w:eastAsia="Palatino Linotype" w:hAnsi="Palatino Linotype" w:cs="Palatino Linotype"/>
                <w:sz w:val="12"/>
                <w:szCs w:val="12"/>
              </w:rPr>
              <w:t>subsistanpartes</w:t>
            </w:r>
            <w:proofErr w:type="spellEnd"/>
            <w:r w:rsidRPr="00F867F2">
              <w:rPr>
                <w:rFonts w:ascii="Palatino Linotype" w:eastAsia="Palatino Linotype" w:hAnsi="Palatino Linotype" w:cs="Palatino Linotype"/>
                <w:sz w:val="12"/>
                <w:szCs w:val="12"/>
              </w:rPr>
              <w:t xml:space="preserve"> o secciones del mismo reservadas o confidenciales, se señalará este hecho.</w:t>
            </w:r>
          </w:p>
        </w:tc>
      </w:tr>
      <w:tr w:rsidR="00267BE2" w:rsidRPr="00F867F2" w14:paraId="4B7F07A1" w14:textId="77777777" w:rsidTr="00267BE2">
        <w:tc>
          <w:tcPr>
            <w:cnfStyle w:val="001000000000" w:firstRow="0" w:lastRow="0" w:firstColumn="1" w:lastColumn="0" w:oddVBand="0" w:evenVBand="0" w:oddHBand="0" w:evenHBand="0" w:firstRowFirstColumn="0" w:firstRowLastColumn="0" w:lastRowFirstColumn="0" w:lastRowLastColumn="0"/>
            <w:tcW w:w="993" w:type="dxa"/>
          </w:tcPr>
          <w:p w14:paraId="365A90A5" w14:textId="77777777" w:rsidR="00267BE2" w:rsidRPr="00F867F2" w:rsidRDefault="00267BE2">
            <w:pPr>
              <w:jc w:val="both"/>
              <w:rPr>
                <w:rFonts w:ascii="Palatino Linotype" w:eastAsia="Palatino Linotype" w:hAnsi="Palatino Linotype" w:cs="Palatino Linotype"/>
                <w:sz w:val="12"/>
                <w:szCs w:val="12"/>
              </w:rPr>
            </w:pPr>
          </w:p>
        </w:tc>
        <w:tc>
          <w:tcPr>
            <w:tcW w:w="3421" w:type="dxa"/>
          </w:tcPr>
          <w:p w14:paraId="4B6BE727" w14:textId="77777777" w:rsidR="00267BE2" w:rsidRPr="00F867F2" w:rsidRDefault="00267BE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p>
        </w:tc>
        <w:tc>
          <w:tcPr>
            <w:tcW w:w="968" w:type="dxa"/>
          </w:tcPr>
          <w:p w14:paraId="058F9B83" w14:textId="77777777" w:rsidR="00267BE2" w:rsidRPr="00F867F2" w:rsidRDefault="00675343">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F867F2">
              <w:rPr>
                <w:rFonts w:ascii="Palatino Linotype" w:eastAsia="Palatino Linotype" w:hAnsi="Palatino Linotype" w:cs="Palatino Linotype"/>
                <w:b/>
                <w:sz w:val="12"/>
                <w:szCs w:val="12"/>
              </w:rPr>
              <w:t>Rúbrica y cargo del servidor público</w:t>
            </w:r>
          </w:p>
        </w:tc>
        <w:tc>
          <w:tcPr>
            <w:tcW w:w="3446" w:type="dxa"/>
          </w:tcPr>
          <w:p w14:paraId="714DA9FB" w14:textId="77777777" w:rsidR="00267BE2" w:rsidRPr="00F867F2" w:rsidRDefault="00675343">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F867F2">
              <w:rPr>
                <w:rFonts w:ascii="Palatino Linotype" w:eastAsia="Palatino Linotype" w:hAnsi="Palatino Linotype" w:cs="Palatino Linotype"/>
                <w:sz w:val="12"/>
                <w:szCs w:val="12"/>
              </w:rPr>
              <w:t>Rúbrica autógrafa de quien desclasifica.</w:t>
            </w:r>
          </w:p>
        </w:tc>
      </w:tr>
    </w:tbl>
    <w:p w14:paraId="635498A8" w14:textId="77777777" w:rsidR="00267BE2" w:rsidRPr="00F867F2" w:rsidRDefault="00267BE2">
      <w:pPr>
        <w:spacing w:line="360" w:lineRule="auto"/>
        <w:jc w:val="both"/>
        <w:rPr>
          <w:rFonts w:ascii="Palatino Linotype" w:eastAsia="Palatino Linotype" w:hAnsi="Palatino Linotype" w:cs="Palatino Linotype"/>
        </w:rPr>
      </w:pPr>
    </w:p>
    <w:p w14:paraId="3F7157D2" w14:textId="77777777" w:rsidR="00267BE2" w:rsidRPr="00F867F2" w:rsidRDefault="00675343">
      <w:pPr>
        <w:spacing w:line="360" w:lineRule="auto"/>
        <w:jc w:val="both"/>
        <w:rPr>
          <w:rFonts w:ascii="Palatino Linotype" w:eastAsia="Palatino Linotype" w:hAnsi="Palatino Linotype" w:cs="Palatino Linotype"/>
        </w:rPr>
      </w:pPr>
      <w:r w:rsidRPr="00F867F2">
        <w:rPr>
          <w:rFonts w:ascii="Palatino Linotype" w:eastAsia="Palatino Linotype" w:hAnsi="Palatino Linotype" w:cs="Palatino Linotype"/>
        </w:rPr>
        <w:t xml:space="preserve">De lo hasta aquí expuesto, se concluye que los motivos de inconformidad de </w:t>
      </w:r>
      <w:r w:rsidRPr="00F867F2">
        <w:rPr>
          <w:rFonts w:ascii="Palatino Linotype" w:eastAsia="Palatino Linotype" w:hAnsi="Palatino Linotype" w:cs="Palatino Linotype"/>
          <w:b/>
        </w:rPr>
        <w:t xml:space="preserve">LA PARTE RECURRENTE </w:t>
      </w:r>
      <w:r w:rsidRPr="00F867F2">
        <w:rPr>
          <w:rFonts w:ascii="Palatino Linotype" w:eastAsia="Palatino Linotype" w:hAnsi="Palatino Linotype" w:cs="Palatino Linotype"/>
        </w:rPr>
        <w:t xml:space="preserve">devienen fundados, siendo procedente </w:t>
      </w:r>
      <w:r w:rsidRPr="00F867F2">
        <w:rPr>
          <w:rFonts w:ascii="Palatino Linotype" w:eastAsia="Palatino Linotype" w:hAnsi="Palatino Linotype" w:cs="Palatino Linotype"/>
          <w:b/>
        </w:rPr>
        <w:t>REVOCAR</w:t>
      </w:r>
      <w:r w:rsidRPr="00F867F2">
        <w:rPr>
          <w:rFonts w:ascii="Palatino Linotype" w:eastAsia="Palatino Linotype" w:hAnsi="Palatino Linotype" w:cs="Palatino Linotype"/>
        </w:rPr>
        <w:t xml:space="preserve"> la respuesta y ordenar al </w:t>
      </w:r>
      <w:r w:rsidRPr="00F867F2">
        <w:rPr>
          <w:rFonts w:ascii="Palatino Linotype" w:eastAsia="Palatino Linotype" w:hAnsi="Palatino Linotype" w:cs="Palatino Linotype"/>
          <w:b/>
        </w:rPr>
        <w:t xml:space="preserve">SUJETO OBLIGADO </w:t>
      </w:r>
      <w:r w:rsidRPr="00F867F2">
        <w:rPr>
          <w:rFonts w:ascii="Palatino Linotype" w:eastAsia="Palatino Linotype" w:hAnsi="Palatino Linotype" w:cs="Palatino Linotype"/>
        </w:rPr>
        <w:t>la entrega de la información</w:t>
      </w:r>
      <w:r w:rsidRPr="00F867F2">
        <w:rPr>
          <w:rFonts w:ascii="Palatino Linotype" w:eastAsia="Palatino Linotype" w:hAnsi="Palatino Linotype" w:cs="Palatino Linotype"/>
          <w:b/>
        </w:rPr>
        <w:t xml:space="preserve"> </w:t>
      </w:r>
      <w:r w:rsidRPr="00F867F2">
        <w:rPr>
          <w:rFonts w:ascii="Palatino Linotype" w:eastAsia="Palatino Linotype" w:hAnsi="Palatino Linotype" w:cs="Palatino Linotype"/>
        </w:rPr>
        <w:t xml:space="preserve">en </w:t>
      </w:r>
      <w:r w:rsidRPr="00F867F2">
        <w:rPr>
          <w:rFonts w:ascii="Palatino Linotype" w:eastAsia="Palatino Linotype" w:hAnsi="Palatino Linotype" w:cs="Palatino Linotype"/>
        </w:rPr>
        <w:lastRenderedPageBreak/>
        <w:t>términos del artículo 186 fracción III de la Ley de Transparencia y Acceso a la Información Pública del Estado de México y Municipios.</w:t>
      </w:r>
    </w:p>
    <w:p w14:paraId="7A42F79D" w14:textId="77777777" w:rsidR="00F13B57" w:rsidRPr="00F867F2" w:rsidRDefault="00F13B57">
      <w:pPr>
        <w:pBdr>
          <w:top w:val="nil"/>
          <w:left w:val="nil"/>
          <w:bottom w:val="nil"/>
          <w:right w:val="nil"/>
          <w:between w:val="nil"/>
        </w:pBdr>
        <w:spacing w:line="360" w:lineRule="auto"/>
        <w:jc w:val="both"/>
        <w:rPr>
          <w:rFonts w:ascii="Palatino Linotype" w:eastAsia="Palatino Linotype" w:hAnsi="Palatino Linotype" w:cs="Palatino Linotype"/>
        </w:rPr>
      </w:pPr>
    </w:p>
    <w:p w14:paraId="76224A8D" w14:textId="77777777" w:rsidR="00267BE2" w:rsidRPr="00F867F2" w:rsidRDefault="00675343">
      <w:pPr>
        <w:pBdr>
          <w:top w:val="nil"/>
          <w:left w:val="nil"/>
          <w:bottom w:val="nil"/>
          <w:right w:val="nil"/>
          <w:between w:val="nil"/>
        </w:pBdr>
        <w:spacing w:line="360" w:lineRule="auto"/>
        <w:jc w:val="both"/>
        <w:rPr>
          <w:rFonts w:ascii="Palatino Linotype" w:eastAsia="Palatino Linotype" w:hAnsi="Palatino Linotype" w:cs="Palatino Linotype"/>
        </w:rPr>
      </w:pPr>
      <w:r w:rsidRPr="00F867F2">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1C9301A1" w14:textId="77777777" w:rsidR="00267BE2" w:rsidRPr="00F867F2" w:rsidRDefault="00267BE2">
      <w:pPr>
        <w:pBdr>
          <w:top w:val="nil"/>
          <w:left w:val="nil"/>
          <w:bottom w:val="nil"/>
          <w:right w:val="nil"/>
          <w:between w:val="nil"/>
        </w:pBdr>
        <w:spacing w:line="360" w:lineRule="auto"/>
        <w:jc w:val="both"/>
        <w:rPr>
          <w:rFonts w:ascii="Palatino Linotype" w:eastAsia="Palatino Linotype" w:hAnsi="Palatino Linotype" w:cs="Palatino Linotype"/>
        </w:rPr>
      </w:pPr>
    </w:p>
    <w:p w14:paraId="4EB24173" w14:textId="77777777" w:rsidR="00267BE2" w:rsidRPr="00F867F2" w:rsidRDefault="00675343">
      <w:pPr>
        <w:numPr>
          <w:ilvl w:val="0"/>
          <w:numId w:val="1"/>
        </w:numPr>
        <w:pBdr>
          <w:top w:val="nil"/>
          <w:left w:val="nil"/>
          <w:bottom w:val="nil"/>
          <w:right w:val="nil"/>
          <w:between w:val="nil"/>
        </w:pBdr>
        <w:spacing w:line="360" w:lineRule="auto"/>
        <w:jc w:val="center"/>
        <w:rPr>
          <w:rFonts w:ascii="Palatino Linotype" w:eastAsia="Palatino Linotype" w:hAnsi="Palatino Linotype" w:cs="Palatino Linotype"/>
          <w:b/>
          <w:color w:val="000000"/>
        </w:rPr>
      </w:pPr>
      <w:r w:rsidRPr="00F867F2">
        <w:rPr>
          <w:rFonts w:ascii="Palatino Linotype" w:eastAsia="Palatino Linotype" w:hAnsi="Palatino Linotype" w:cs="Palatino Linotype"/>
          <w:b/>
          <w:color w:val="000000"/>
        </w:rPr>
        <w:t>R E S U E L V E</w:t>
      </w:r>
    </w:p>
    <w:p w14:paraId="2785A8F4" w14:textId="77777777" w:rsidR="00267BE2" w:rsidRPr="00F867F2" w:rsidRDefault="00267BE2">
      <w:pPr>
        <w:pBdr>
          <w:top w:val="nil"/>
          <w:left w:val="nil"/>
          <w:bottom w:val="nil"/>
          <w:right w:val="nil"/>
          <w:between w:val="nil"/>
        </w:pBdr>
        <w:spacing w:line="360" w:lineRule="auto"/>
        <w:ind w:left="1080"/>
        <w:rPr>
          <w:rFonts w:ascii="Palatino Linotype" w:eastAsia="Palatino Linotype" w:hAnsi="Palatino Linotype" w:cs="Palatino Linotype"/>
          <w:b/>
          <w:color w:val="000000"/>
        </w:rPr>
      </w:pPr>
    </w:p>
    <w:p w14:paraId="4DAF59C1" w14:textId="77777777" w:rsidR="00267BE2" w:rsidRPr="00F867F2" w:rsidRDefault="00675343">
      <w:pPr>
        <w:spacing w:line="360" w:lineRule="auto"/>
        <w:jc w:val="both"/>
        <w:rPr>
          <w:rFonts w:ascii="Palatino Linotype" w:eastAsia="Palatino Linotype" w:hAnsi="Palatino Linotype" w:cs="Palatino Linotype"/>
          <w:b/>
          <w:color w:val="FF0000"/>
        </w:rPr>
      </w:pPr>
      <w:bookmarkStart w:id="4" w:name="_heading=h.3rdcrjn" w:colFirst="0" w:colLast="0"/>
      <w:bookmarkEnd w:id="4"/>
      <w:r w:rsidRPr="00F867F2">
        <w:rPr>
          <w:rFonts w:ascii="Palatino Linotype" w:eastAsia="Palatino Linotype" w:hAnsi="Palatino Linotype" w:cs="Palatino Linotype"/>
          <w:b/>
        </w:rPr>
        <w:t xml:space="preserve">PRIMERO. </w:t>
      </w:r>
      <w:r w:rsidRPr="00F867F2">
        <w:rPr>
          <w:rFonts w:ascii="Palatino Linotype" w:eastAsia="Palatino Linotype" w:hAnsi="Palatino Linotype" w:cs="Palatino Linotype"/>
        </w:rPr>
        <w:t xml:space="preserve">Resultan </w:t>
      </w:r>
      <w:r w:rsidRPr="00F867F2">
        <w:rPr>
          <w:rFonts w:ascii="Palatino Linotype" w:eastAsia="Palatino Linotype" w:hAnsi="Palatino Linotype" w:cs="Palatino Linotype"/>
          <w:b/>
        </w:rPr>
        <w:t>FUNDADAS</w:t>
      </w:r>
      <w:r w:rsidRPr="00F867F2">
        <w:rPr>
          <w:rFonts w:ascii="Palatino Linotype" w:eastAsia="Palatino Linotype" w:hAnsi="Palatino Linotype" w:cs="Palatino Linotype"/>
        </w:rPr>
        <w:t xml:space="preserve"> las razones o motivos de inconformidad hechos valer por </w:t>
      </w:r>
      <w:r w:rsidRPr="00F867F2">
        <w:rPr>
          <w:rFonts w:ascii="Palatino Linotype" w:eastAsia="Palatino Linotype" w:hAnsi="Palatino Linotype" w:cs="Palatino Linotype"/>
          <w:b/>
          <w:color w:val="000000"/>
        </w:rPr>
        <w:t>LA PARTE RECURRENTE</w:t>
      </w:r>
      <w:r w:rsidRPr="00F867F2">
        <w:rPr>
          <w:rFonts w:ascii="Palatino Linotype" w:eastAsia="Palatino Linotype" w:hAnsi="Palatino Linotype" w:cs="Palatino Linotype"/>
          <w:color w:val="000000"/>
        </w:rPr>
        <w:t xml:space="preserve"> </w:t>
      </w:r>
      <w:r w:rsidRPr="00F867F2">
        <w:rPr>
          <w:rFonts w:ascii="Palatino Linotype" w:eastAsia="Palatino Linotype" w:hAnsi="Palatino Linotype" w:cs="Palatino Linotype"/>
        </w:rPr>
        <w:t xml:space="preserve">en el recurso de revisión </w:t>
      </w:r>
      <w:r w:rsidRPr="00F867F2">
        <w:rPr>
          <w:rFonts w:ascii="Palatino Linotype" w:eastAsia="Palatino Linotype" w:hAnsi="Palatino Linotype" w:cs="Palatino Linotype"/>
          <w:b/>
        </w:rPr>
        <w:t>14399/INFOEM/IP/RR/2022</w:t>
      </w:r>
      <w:r w:rsidRPr="00F867F2">
        <w:rPr>
          <w:rFonts w:ascii="Palatino Linotype" w:eastAsia="Palatino Linotype" w:hAnsi="Palatino Linotype" w:cs="Palatino Linotype"/>
        </w:rPr>
        <w:t xml:space="preserve">; por lo que, en términos del </w:t>
      </w:r>
      <w:r w:rsidRPr="00F867F2">
        <w:rPr>
          <w:rFonts w:ascii="Palatino Linotype" w:eastAsia="Palatino Linotype" w:hAnsi="Palatino Linotype" w:cs="Palatino Linotype"/>
          <w:b/>
        </w:rPr>
        <w:t>CONSIDERANDO</w:t>
      </w:r>
      <w:r w:rsidRPr="00F867F2">
        <w:rPr>
          <w:rFonts w:ascii="Palatino Linotype" w:eastAsia="Palatino Linotype" w:hAnsi="Palatino Linotype" w:cs="Palatino Linotype"/>
        </w:rPr>
        <w:t xml:space="preserve"> </w:t>
      </w:r>
      <w:r w:rsidRPr="00F867F2">
        <w:rPr>
          <w:rFonts w:ascii="Palatino Linotype" w:eastAsia="Palatino Linotype" w:hAnsi="Palatino Linotype" w:cs="Palatino Linotype"/>
          <w:b/>
        </w:rPr>
        <w:t xml:space="preserve">CUARTO </w:t>
      </w:r>
      <w:r w:rsidRPr="00F867F2">
        <w:rPr>
          <w:rFonts w:ascii="Palatino Linotype" w:eastAsia="Palatino Linotype" w:hAnsi="Palatino Linotype" w:cs="Palatino Linotype"/>
        </w:rPr>
        <w:t xml:space="preserve">de esta resolución, se </w:t>
      </w:r>
      <w:r w:rsidRPr="00F867F2">
        <w:rPr>
          <w:rFonts w:ascii="Palatino Linotype" w:eastAsia="Palatino Linotype" w:hAnsi="Palatino Linotype" w:cs="Palatino Linotype"/>
          <w:b/>
        </w:rPr>
        <w:t xml:space="preserve">REVOCA </w:t>
      </w:r>
      <w:r w:rsidRPr="00F867F2">
        <w:rPr>
          <w:rFonts w:ascii="Palatino Linotype" w:eastAsia="Palatino Linotype" w:hAnsi="Palatino Linotype" w:cs="Palatino Linotype"/>
        </w:rPr>
        <w:t>la respuesta a la solicitud</w:t>
      </w:r>
      <w:r w:rsidRPr="00F867F2">
        <w:rPr>
          <w:rFonts w:ascii="Palatino Linotype" w:eastAsia="Palatino Linotype" w:hAnsi="Palatino Linotype" w:cs="Palatino Linotype"/>
          <w:b/>
          <w:color w:val="333333"/>
        </w:rPr>
        <w:t xml:space="preserve"> </w:t>
      </w:r>
      <w:r w:rsidRPr="00F867F2">
        <w:rPr>
          <w:rFonts w:ascii="Palatino Linotype" w:eastAsia="Palatino Linotype" w:hAnsi="Palatino Linotype" w:cs="Palatino Linotype"/>
          <w:b/>
        </w:rPr>
        <w:t>00093/ATLAUTLA/IP/2022,</w:t>
      </w:r>
      <w:r w:rsidRPr="00F867F2">
        <w:rPr>
          <w:rFonts w:ascii="Palatino Linotype" w:eastAsia="Palatino Linotype" w:hAnsi="Palatino Linotype" w:cs="Palatino Linotype"/>
        </w:rPr>
        <w:t xml:space="preserve"> emitida por </w:t>
      </w:r>
      <w:r w:rsidRPr="00F867F2">
        <w:rPr>
          <w:rFonts w:ascii="Palatino Linotype" w:eastAsia="Palatino Linotype" w:hAnsi="Palatino Linotype" w:cs="Palatino Linotype"/>
          <w:b/>
        </w:rPr>
        <w:t>EL SUJETO OBLIGADO.</w:t>
      </w:r>
      <w:r w:rsidRPr="00F867F2">
        <w:rPr>
          <w:rFonts w:ascii="Palatino Linotype" w:eastAsia="Palatino Linotype" w:hAnsi="Palatino Linotype" w:cs="Palatino Linotype"/>
          <w:b/>
          <w:color w:val="FF0000"/>
        </w:rPr>
        <w:t xml:space="preserve"> </w:t>
      </w:r>
    </w:p>
    <w:p w14:paraId="5B131508" w14:textId="77777777" w:rsidR="00267BE2" w:rsidRPr="00F867F2" w:rsidRDefault="00267BE2">
      <w:pPr>
        <w:spacing w:line="360" w:lineRule="auto"/>
        <w:jc w:val="both"/>
        <w:rPr>
          <w:rFonts w:ascii="Palatino Linotype" w:eastAsia="Palatino Linotype" w:hAnsi="Palatino Linotype" w:cs="Palatino Linotype"/>
          <w:b/>
          <w:color w:val="FF0000"/>
        </w:rPr>
      </w:pPr>
    </w:p>
    <w:p w14:paraId="061ABE88" w14:textId="77777777" w:rsidR="00267BE2" w:rsidRPr="00F867F2" w:rsidRDefault="00675343">
      <w:pPr>
        <w:spacing w:line="360" w:lineRule="auto"/>
        <w:ind w:right="49"/>
        <w:jc w:val="both"/>
        <w:rPr>
          <w:rFonts w:ascii="Palatino Linotype" w:eastAsia="Palatino Linotype" w:hAnsi="Palatino Linotype" w:cs="Palatino Linotype"/>
        </w:rPr>
      </w:pPr>
      <w:bookmarkStart w:id="5" w:name="_heading=h.1fob9te" w:colFirst="0" w:colLast="0"/>
      <w:bookmarkEnd w:id="5"/>
      <w:r w:rsidRPr="00F867F2">
        <w:rPr>
          <w:rFonts w:ascii="Palatino Linotype" w:eastAsia="Palatino Linotype" w:hAnsi="Palatino Linotype" w:cs="Palatino Linotype"/>
          <w:b/>
        </w:rPr>
        <w:t>SEGUNDO.</w:t>
      </w:r>
      <w:r w:rsidRPr="00F867F2">
        <w:rPr>
          <w:rFonts w:ascii="Palatino Linotype" w:eastAsia="Palatino Linotype" w:hAnsi="Palatino Linotype" w:cs="Palatino Linotype"/>
        </w:rPr>
        <w:t xml:space="preserve"> Se </w:t>
      </w:r>
      <w:r w:rsidRPr="00F867F2">
        <w:rPr>
          <w:rFonts w:ascii="Palatino Linotype" w:eastAsia="Palatino Linotype" w:hAnsi="Palatino Linotype" w:cs="Palatino Linotype"/>
          <w:b/>
        </w:rPr>
        <w:t>ORDENA</w:t>
      </w:r>
      <w:r w:rsidRPr="00F867F2">
        <w:rPr>
          <w:rFonts w:ascii="Palatino Linotype" w:eastAsia="Palatino Linotype" w:hAnsi="Palatino Linotype" w:cs="Palatino Linotype"/>
        </w:rPr>
        <w:t xml:space="preserve"> al </w:t>
      </w:r>
      <w:r w:rsidRPr="00F867F2">
        <w:rPr>
          <w:rFonts w:ascii="Palatino Linotype" w:eastAsia="Palatino Linotype" w:hAnsi="Palatino Linotype" w:cs="Palatino Linotype"/>
          <w:b/>
        </w:rPr>
        <w:t>SUJETO OBLIGADO</w:t>
      </w:r>
      <w:r w:rsidRPr="00F867F2">
        <w:rPr>
          <w:rFonts w:ascii="Palatino Linotype" w:eastAsia="Palatino Linotype" w:hAnsi="Palatino Linotype" w:cs="Palatino Linotype"/>
        </w:rPr>
        <w:t xml:space="preserve"> haga entrega a </w:t>
      </w:r>
      <w:r w:rsidRPr="00F867F2">
        <w:rPr>
          <w:rFonts w:ascii="Palatino Linotype" w:eastAsia="Palatino Linotype" w:hAnsi="Palatino Linotype" w:cs="Palatino Linotype"/>
          <w:b/>
        </w:rPr>
        <w:t>LA PARTE RECURRENTE</w:t>
      </w:r>
      <w:r w:rsidRPr="00F867F2">
        <w:rPr>
          <w:rFonts w:ascii="Palatino Linotype" w:eastAsia="Palatino Linotype" w:hAnsi="Palatino Linotype" w:cs="Palatino Linotype"/>
        </w:rPr>
        <w:t xml:space="preserve"> vía SAIMEX, en términos de los </w:t>
      </w:r>
      <w:r w:rsidRPr="00F867F2">
        <w:rPr>
          <w:rFonts w:ascii="Palatino Linotype" w:eastAsia="Palatino Linotype" w:hAnsi="Palatino Linotype" w:cs="Palatino Linotype"/>
          <w:b/>
        </w:rPr>
        <w:t>CONSIDERANDOS CUARTO</w:t>
      </w:r>
      <w:r w:rsidRPr="00F867F2">
        <w:rPr>
          <w:rFonts w:ascii="Palatino Linotype" w:eastAsia="Palatino Linotype" w:hAnsi="Palatino Linotype" w:cs="Palatino Linotype"/>
        </w:rPr>
        <w:t xml:space="preserve"> y </w:t>
      </w:r>
      <w:r w:rsidRPr="00F867F2">
        <w:rPr>
          <w:rFonts w:ascii="Palatino Linotype" w:eastAsia="Palatino Linotype" w:hAnsi="Palatino Linotype" w:cs="Palatino Linotype"/>
          <w:b/>
        </w:rPr>
        <w:t>QUINTO</w:t>
      </w:r>
      <w:r w:rsidRPr="00F867F2">
        <w:rPr>
          <w:rFonts w:ascii="Palatino Linotype" w:eastAsia="Palatino Linotype" w:hAnsi="Palatino Linotype" w:cs="Palatino Linotype"/>
        </w:rPr>
        <w:t>, de los documentos</w:t>
      </w:r>
      <w:r w:rsidR="0077719B" w:rsidRPr="00F867F2">
        <w:rPr>
          <w:rFonts w:ascii="Palatino Linotype" w:eastAsia="Palatino Linotype" w:hAnsi="Palatino Linotype" w:cs="Palatino Linotype"/>
        </w:rPr>
        <w:t xml:space="preserve">, </w:t>
      </w:r>
      <w:r w:rsidR="0077719B" w:rsidRPr="00F867F2">
        <w:rPr>
          <w:rFonts w:ascii="Palatino Linotype" w:eastAsia="Palatino Linotype" w:hAnsi="Palatino Linotype" w:cs="Palatino Linotype"/>
          <w:color w:val="000000"/>
        </w:rPr>
        <w:t>de todo el personal adscrito al Ayuntamiento de Atlautla,</w:t>
      </w:r>
      <w:r w:rsidRPr="00F867F2">
        <w:rPr>
          <w:rFonts w:ascii="Palatino Linotype" w:eastAsia="Palatino Linotype" w:hAnsi="Palatino Linotype" w:cs="Palatino Linotype"/>
        </w:rPr>
        <w:t xml:space="preserve"> relativos a la segunda quincena del mes de mayo de dos mil veintidós, donde consten:  </w:t>
      </w:r>
    </w:p>
    <w:p w14:paraId="4B0C2D17" w14:textId="77777777" w:rsidR="00267BE2" w:rsidRPr="00F867F2" w:rsidRDefault="00267BE2">
      <w:pPr>
        <w:spacing w:line="360" w:lineRule="auto"/>
        <w:ind w:right="49"/>
        <w:jc w:val="both"/>
        <w:rPr>
          <w:rFonts w:ascii="Palatino Linotype" w:eastAsia="Palatino Linotype" w:hAnsi="Palatino Linotype" w:cs="Palatino Linotype"/>
        </w:rPr>
      </w:pPr>
    </w:p>
    <w:p w14:paraId="2D2AA259" w14:textId="77777777" w:rsidR="00267BE2" w:rsidRPr="00F867F2" w:rsidRDefault="00675343">
      <w:pPr>
        <w:numPr>
          <w:ilvl w:val="0"/>
          <w:numId w:val="4"/>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F867F2">
        <w:rPr>
          <w:rFonts w:ascii="Palatino Linotype" w:eastAsia="Palatino Linotype" w:hAnsi="Palatino Linotype" w:cs="Palatino Linotype"/>
          <w:color w:val="000000"/>
        </w:rPr>
        <w:t>Conciliación de la Nómina</w:t>
      </w:r>
      <w:r w:rsidRPr="00F867F2">
        <w:rPr>
          <w:rFonts w:ascii="Palatino Linotype" w:eastAsia="Palatino Linotype" w:hAnsi="Palatino Linotype" w:cs="Palatino Linotype"/>
        </w:rPr>
        <w:t>;</w:t>
      </w:r>
    </w:p>
    <w:p w14:paraId="57A305C0" w14:textId="77777777" w:rsidR="00267BE2" w:rsidRPr="00F867F2" w:rsidRDefault="00675343">
      <w:pPr>
        <w:numPr>
          <w:ilvl w:val="0"/>
          <w:numId w:val="4"/>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F867F2">
        <w:rPr>
          <w:rFonts w:ascii="Palatino Linotype" w:eastAsia="Palatino Linotype" w:hAnsi="Palatino Linotype" w:cs="Palatino Linotype"/>
          <w:color w:val="000000"/>
        </w:rPr>
        <w:lastRenderedPageBreak/>
        <w:t>Pólizas de egresos</w:t>
      </w:r>
      <w:r w:rsidRPr="00F867F2">
        <w:rPr>
          <w:rFonts w:ascii="Palatino Linotype" w:eastAsia="Palatino Linotype" w:hAnsi="Palatino Linotype" w:cs="Palatino Linotype"/>
        </w:rPr>
        <w:t xml:space="preserve"> o de cheque con el soporte documental del pago por concepto de nómina; y,</w:t>
      </w:r>
    </w:p>
    <w:p w14:paraId="2420734A" w14:textId="77777777" w:rsidR="00267BE2" w:rsidRPr="00F867F2" w:rsidRDefault="00675343">
      <w:pPr>
        <w:numPr>
          <w:ilvl w:val="0"/>
          <w:numId w:val="4"/>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F867F2">
        <w:rPr>
          <w:rFonts w:ascii="Palatino Linotype" w:eastAsia="Palatino Linotype" w:hAnsi="Palatino Linotype" w:cs="Palatino Linotype"/>
          <w:color w:val="000000"/>
        </w:rPr>
        <w:t>Los Comprobantes Fiscales Digitales por</w:t>
      </w:r>
      <w:r w:rsidR="0077719B" w:rsidRPr="00F867F2">
        <w:rPr>
          <w:rFonts w:ascii="Palatino Linotype" w:eastAsia="Palatino Linotype" w:hAnsi="Palatino Linotype" w:cs="Palatino Linotype"/>
          <w:color w:val="000000"/>
        </w:rPr>
        <w:t xml:space="preserve"> Internet por Concepto de Nómina.</w:t>
      </w:r>
    </w:p>
    <w:p w14:paraId="0BF39DE0" w14:textId="77777777" w:rsidR="00267BE2" w:rsidRPr="00F867F2" w:rsidRDefault="00675343">
      <w:pPr>
        <w:pBdr>
          <w:top w:val="nil"/>
          <w:left w:val="nil"/>
          <w:bottom w:val="nil"/>
          <w:right w:val="nil"/>
          <w:between w:val="nil"/>
        </w:pBdr>
        <w:ind w:left="1584" w:right="864"/>
        <w:jc w:val="both"/>
        <w:rPr>
          <w:rFonts w:ascii="Palatino Linotype" w:eastAsia="Palatino Linotype" w:hAnsi="Palatino Linotype" w:cs="Palatino Linotype"/>
          <w:i/>
          <w:color w:val="404040"/>
          <w:sz w:val="22"/>
          <w:szCs w:val="22"/>
        </w:rPr>
      </w:pPr>
      <w:r w:rsidRPr="00F867F2">
        <w:rPr>
          <w:rFonts w:ascii="Palatino Linotype" w:eastAsia="Palatino Linotype" w:hAnsi="Palatino Linotype" w:cs="Palatino Linotype"/>
          <w:i/>
          <w:color w:val="404040"/>
          <w:sz w:val="22"/>
          <w:szCs w:val="22"/>
        </w:rPr>
        <w:t xml:space="preserve">Debiendo acompañar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w:t>
      </w:r>
      <w:r w:rsidRPr="00F867F2">
        <w:rPr>
          <w:rFonts w:ascii="Palatino Linotype" w:eastAsia="Palatino Linotype" w:hAnsi="Palatino Linotype" w:cs="Palatino Linotype"/>
          <w:b/>
          <w:i/>
          <w:color w:val="404040"/>
          <w:sz w:val="22"/>
          <w:szCs w:val="22"/>
        </w:rPr>
        <w:t>LA PARTE</w:t>
      </w:r>
      <w:r w:rsidRPr="00F867F2">
        <w:rPr>
          <w:rFonts w:ascii="Palatino Linotype" w:eastAsia="Palatino Linotype" w:hAnsi="Palatino Linotype" w:cs="Palatino Linotype"/>
          <w:i/>
          <w:color w:val="404040"/>
          <w:sz w:val="22"/>
          <w:szCs w:val="22"/>
        </w:rPr>
        <w:t xml:space="preserve"> </w:t>
      </w:r>
      <w:r w:rsidRPr="00F867F2">
        <w:rPr>
          <w:rFonts w:ascii="Palatino Linotype" w:eastAsia="Palatino Linotype" w:hAnsi="Palatino Linotype" w:cs="Palatino Linotype"/>
          <w:b/>
          <w:i/>
          <w:color w:val="404040"/>
          <w:sz w:val="22"/>
          <w:szCs w:val="22"/>
        </w:rPr>
        <w:t>RECURRENTE</w:t>
      </w:r>
      <w:r w:rsidRPr="00F867F2">
        <w:rPr>
          <w:rFonts w:ascii="Palatino Linotype" w:eastAsia="Palatino Linotype" w:hAnsi="Palatino Linotype" w:cs="Palatino Linotype"/>
          <w:i/>
          <w:color w:val="404040"/>
          <w:sz w:val="22"/>
          <w:szCs w:val="22"/>
        </w:rPr>
        <w:t>.</w:t>
      </w:r>
    </w:p>
    <w:p w14:paraId="1BFC5280" w14:textId="77777777" w:rsidR="00267BE2" w:rsidRPr="00F867F2" w:rsidRDefault="00675343">
      <w:pPr>
        <w:pBdr>
          <w:top w:val="nil"/>
          <w:left w:val="nil"/>
          <w:bottom w:val="nil"/>
          <w:right w:val="nil"/>
          <w:between w:val="nil"/>
        </w:pBdr>
        <w:spacing w:line="360" w:lineRule="auto"/>
        <w:ind w:left="1584" w:right="49"/>
        <w:jc w:val="both"/>
        <w:rPr>
          <w:rFonts w:ascii="Palatino Linotype" w:eastAsia="Palatino Linotype" w:hAnsi="Palatino Linotype" w:cs="Palatino Linotype"/>
          <w:color w:val="000000"/>
          <w:sz w:val="22"/>
          <w:szCs w:val="22"/>
        </w:rPr>
      </w:pPr>
      <w:r w:rsidRPr="00F867F2">
        <w:rPr>
          <w:rFonts w:ascii="Palatino Linotype" w:eastAsia="Palatino Linotype" w:hAnsi="Palatino Linotype" w:cs="Palatino Linotype"/>
          <w:color w:val="000000"/>
        </w:rPr>
        <w:t xml:space="preserve"> </w:t>
      </w:r>
    </w:p>
    <w:p w14:paraId="39F5ADDA" w14:textId="77777777" w:rsidR="00267BE2" w:rsidRPr="00F867F2" w:rsidRDefault="00675343">
      <w:pPr>
        <w:spacing w:line="360" w:lineRule="auto"/>
        <w:jc w:val="both"/>
        <w:rPr>
          <w:rFonts w:ascii="Palatino Linotype" w:eastAsia="Palatino Linotype" w:hAnsi="Palatino Linotype" w:cs="Palatino Linotype"/>
        </w:rPr>
      </w:pPr>
      <w:r w:rsidRPr="00F867F2">
        <w:rPr>
          <w:rFonts w:ascii="Palatino Linotype" w:eastAsia="Palatino Linotype" w:hAnsi="Palatino Linotype" w:cs="Palatino Linotype"/>
          <w:b/>
        </w:rPr>
        <w:t xml:space="preserve">TERCERO. NOTIFÍQUESE </w:t>
      </w:r>
      <w:r w:rsidRPr="00F867F2">
        <w:rPr>
          <w:rFonts w:ascii="Palatino Linotype" w:eastAsia="Palatino Linotype" w:hAnsi="Palatino Linotype" w:cs="Palatino Linotype"/>
        </w:rPr>
        <w:t>vía SAIMEX,</w:t>
      </w:r>
      <w:r w:rsidRPr="00F867F2">
        <w:rPr>
          <w:rFonts w:ascii="Palatino Linotype" w:eastAsia="Palatino Linotype" w:hAnsi="Palatino Linotype" w:cs="Palatino Linotype"/>
          <w:b/>
        </w:rPr>
        <w:t xml:space="preserve"> </w:t>
      </w:r>
      <w:r w:rsidRPr="00F867F2">
        <w:rPr>
          <w:rFonts w:ascii="Palatino Linotype" w:eastAsia="Palatino Linotype" w:hAnsi="Palatino Linotype" w:cs="Palatino Linotype"/>
        </w:rPr>
        <w:t xml:space="preserve">al </w:t>
      </w:r>
      <w:proofErr w:type="gramStart"/>
      <w:r w:rsidRPr="00F867F2">
        <w:rPr>
          <w:rFonts w:ascii="Palatino Linotype" w:eastAsia="Palatino Linotype" w:hAnsi="Palatino Linotype" w:cs="Palatino Linotype"/>
        </w:rPr>
        <w:t>Responsable</w:t>
      </w:r>
      <w:proofErr w:type="gramEnd"/>
      <w:r w:rsidRPr="00F867F2">
        <w:rPr>
          <w:rFonts w:ascii="Palatino Linotype" w:eastAsia="Palatino Linotype" w:hAnsi="Palatino Linotype" w:cs="Palatino Linotype"/>
        </w:rPr>
        <w:t xml:space="preserve"> de la Unidad de Transparencia del </w:t>
      </w:r>
      <w:r w:rsidRPr="00F867F2">
        <w:rPr>
          <w:rFonts w:ascii="Palatino Linotype" w:eastAsia="Palatino Linotype" w:hAnsi="Palatino Linotype" w:cs="Palatino Linotype"/>
          <w:b/>
        </w:rPr>
        <w:t>SUJETO OBLIGADO,</w:t>
      </w:r>
      <w:r w:rsidRPr="00F867F2">
        <w:rPr>
          <w:rFonts w:ascii="Palatino Linotype" w:eastAsia="Palatino Linotype" w:hAnsi="Palatino Linotype" w:cs="Palatino Linotype"/>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211B4443" w14:textId="77777777" w:rsidR="00267BE2" w:rsidRPr="00F867F2" w:rsidRDefault="00267BE2">
      <w:pPr>
        <w:spacing w:line="360" w:lineRule="auto"/>
        <w:jc w:val="both"/>
        <w:rPr>
          <w:rFonts w:ascii="Palatino Linotype" w:eastAsia="Palatino Linotype" w:hAnsi="Palatino Linotype" w:cs="Palatino Linotype"/>
        </w:rPr>
      </w:pPr>
    </w:p>
    <w:p w14:paraId="2E167D6E" w14:textId="77777777" w:rsidR="00267BE2" w:rsidRPr="00F867F2" w:rsidRDefault="00675343">
      <w:pPr>
        <w:spacing w:line="360" w:lineRule="auto"/>
        <w:jc w:val="both"/>
        <w:rPr>
          <w:rFonts w:ascii="Palatino Linotype" w:eastAsia="Palatino Linotype" w:hAnsi="Palatino Linotype" w:cs="Palatino Linotype"/>
        </w:rPr>
      </w:pPr>
      <w:r w:rsidRPr="00F867F2">
        <w:rPr>
          <w:rFonts w:ascii="Palatino Linotype" w:eastAsia="Palatino Linotype" w:hAnsi="Palatino Linotype" w:cs="Palatino Linotype"/>
          <w:b/>
        </w:rPr>
        <w:t xml:space="preserve">CUARTO. </w:t>
      </w:r>
      <w:r w:rsidRPr="00F867F2">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w:t>
      </w:r>
      <w:r w:rsidRPr="00F867F2">
        <w:rPr>
          <w:rFonts w:ascii="Palatino Linotype" w:eastAsia="Palatino Linotype" w:hAnsi="Palatino Linotype" w:cs="Palatino Linotype"/>
          <w:b/>
        </w:rPr>
        <w:t>EL SUJETO OBLIGADO</w:t>
      </w:r>
      <w:r w:rsidRPr="00F867F2">
        <w:rPr>
          <w:rFonts w:ascii="Palatino Linotype" w:eastAsia="Palatino Linotype" w:hAnsi="Palatino Linotype" w:cs="Palatino Linotype"/>
        </w:rPr>
        <w:t xml:space="preserve"> de manera fundada y motivada, podrá solicitar una ampliación de plazo para el cumplimiento de la presente resolución.</w:t>
      </w:r>
    </w:p>
    <w:p w14:paraId="2FD6BC8E" w14:textId="77777777" w:rsidR="00267BE2" w:rsidRPr="00F867F2" w:rsidRDefault="00267BE2">
      <w:pPr>
        <w:spacing w:line="360" w:lineRule="auto"/>
        <w:jc w:val="both"/>
        <w:rPr>
          <w:rFonts w:ascii="Palatino Linotype" w:eastAsia="Palatino Linotype" w:hAnsi="Palatino Linotype" w:cs="Palatino Linotype"/>
        </w:rPr>
      </w:pPr>
    </w:p>
    <w:p w14:paraId="5C0C5406" w14:textId="77777777" w:rsidR="00267BE2" w:rsidRPr="00F867F2" w:rsidRDefault="00675343">
      <w:pPr>
        <w:spacing w:line="360" w:lineRule="auto"/>
        <w:jc w:val="both"/>
        <w:rPr>
          <w:rFonts w:ascii="Palatino Linotype" w:eastAsia="Palatino Linotype" w:hAnsi="Palatino Linotype" w:cs="Palatino Linotype"/>
        </w:rPr>
      </w:pPr>
      <w:r w:rsidRPr="00F867F2">
        <w:rPr>
          <w:rFonts w:ascii="Palatino Linotype" w:eastAsia="Palatino Linotype" w:hAnsi="Palatino Linotype" w:cs="Palatino Linotype"/>
          <w:b/>
        </w:rPr>
        <w:t xml:space="preserve">QUINTO. </w:t>
      </w:r>
      <w:r w:rsidRPr="00F867F2">
        <w:rPr>
          <w:rFonts w:ascii="Palatino Linotype" w:eastAsia="Palatino Linotype" w:hAnsi="Palatino Linotype" w:cs="Palatino Linotype"/>
        </w:rPr>
        <w:t>Notifíquese vía SAIMEX,</w:t>
      </w:r>
      <w:r w:rsidRPr="00F867F2">
        <w:rPr>
          <w:rFonts w:ascii="Palatino Linotype" w:eastAsia="Palatino Linotype" w:hAnsi="Palatino Linotype" w:cs="Palatino Linotype"/>
          <w:b/>
        </w:rPr>
        <w:t xml:space="preserve"> </w:t>
      </w:r>
      <w:r w:rsidRPr="00F867F2">
        <w:rPr>
          <w:rFonts w:ascii="Palatino Linotype" w:eastAsia="Palatino Linotype" w:hAnsi="Palatino Linotype" w:cs="Palatino Linotype"/>
        </w:rPr>
        <w:t xml:space="preserve">a </w:t>
      </w:r>
      <w:r w:rsidRPr="00F867F2">
        <w:rPr>
          <w:rFonts w:ascii="Palatino Linotype" w:eastAsia="Palatino Linotype" w:hAnsi="Palatino Linotype" w:cs="Palatino Linotype"/>
          <w:b/>
        </w:rPr>
        <w:t>LA PARTE</w:t>
      </w:r>
      <w:r w:rsidRPr="00F867F2">
        <w:rPr>
          <w:rFonts w:ascii="Palatino Linotype" w:eastAsia="Palatino Linotype" w:hAnsi="Palatino Linotype" w:cs="Palatino Linotype"/>
        </w:rPr>
        <w:t xml:space="preserve"> </w:t>
      </w:r>
      <w:r w:rsidRPr="00F867F2">
        <w:rPr>
          <w:rFonts w:ascii="Palatino Linotype" w:eastAsia="Palatino Linotype" w:hAnsi="Palatino Linotype" w:cs="Palatino Linotype"/>
          <w:b/>
        </w:rPr>
        <w:t>RECURRENTE</w:t>
      </w:r>
      <w:r w:rsidRPr="00F867F2">
        <w:rPr>
          <w:rFonts w:ascii="Palatino Linotype" w:eastAsia="Palatino Linotype" w:hAnsi="Palatino Linotype" w:cs="Palatino Linotype"/>
        </w:rPr>
        <w:t xml:space="preserve"> la presente resolución, así como que podrá impugnarla vía Juicio de Amparo en los términos de las leyes aplicables, de conformidad con lo establecido en el artículo 196 de la Ley </w:t>
      </w:r>
      <w:r w:rsidRPr="00F867F2">
        <w:rPr>
          <w:rFonts w:ascii="Palatino Linotype" w:eastAsia="Palatino Linotype" w:hAnsi="Palatino Linotype" w:cs="Palatino Linotype"/>
        </w:rPr>
        <w:lastRenderedPageBreak/>
        <w:t xml:space="preserve">de Transparencia y Acceso a la Información Pública del Estado de México y Municipios. </w:t>
      </w:r>
    </w:p>
    <w:p w14:paraId="60004C1C" w14:textId="77777777" w:rsidR="00267BE2" w:rsidRPr="00F867F2" w:rsidRDefault="00267BE2">
      <w:pPr>
        <w:spacing w:line="360" w:lineRule="auto"/>
        <w:jc w:val="both"/>
        <w:rPr>
          <w:rFonts w:ascii="Palatino Linotype" w:eastAsia="Palatino Linotype" w:hAnsi="Palatino Linotype" w:cs="Palatino Linotype"/>
        </w:rPr>
      </w:pPr>
    </w:p>
    <w:p w14:paraId="0674B786" w14:textId="77777777" w:rsidR="00267BE2" w:rsidRDefault="00F13B57">
      <w:pPr>
        <w:spacing w:line="360" w:lineRule="auto"/>
        <w:jc w:val="both"/>
        <w:rPr>
          <w:rFonts w:ascii="Palatino Linotype" w:eastAsia="Palatino Linotype" w:hAnsi="Palatino Linotype" w:cs="Palatino Linotype"/>
        </w:rPr>
      </w:pPr>
      <w:r w:rsidRPr="00F867F2">
        <w:rPr>
          <w:rFonts w:ascii="Palatino Linotype" w:eastAsia="Palatino Linotype" w:hAnsi="Palatino Linotype" w:cs="Palatino Linotype"/>
        </w:rPr>
        <w:t>ASÍ LO RESUELVE, POR MAYORÍA</w:t>
      </w:r>
      <w:r w:rsidR="00675343" w:rsidRPr="00F867F2">
        <w:rPr>
          <w:rFonts w:ascii="Palatino Linotype" w:eastAsia="Palatino Linotype" w:hAnsi="Palatino Linotype" w:cs="Palatino Linotype"/>
        </w:rPr>
        <w:t xml:space="preserve"> DE VOTOS, EL PLENO DEL INSTITUTO DE TRANSPARENCIA, ACCESO A LA INFORMACIÓN PÚBLICA Y PROTECCIÓN DE DATOS PERSONALES DEL ESTADO DE MÉXICO Y MUNICIPIOS, CONFORMADO POR LOS COMISIONADOS JOSÉ MARTÍNEZ VILCHIS</w:t>
      </w:r>
      <w:r w:rsidRPr="00F867F2">
        <w:rPr>
          <w:rFonts w:ascii="Palatino Linotype" w:eastAsia="Palatino Linotype" w:hAnsi="Palatino Linotype" w:cs="Palatino Linotype"/>
        </w:rPr>
        <w:t xml:space="preserve"> EMITIENDO VOTO PARTICULAR</w:t>
      </w:r>
      <w:r w:rsidR="00675343" w:rsidRPr="00F867F2">
        <w:rPr>
          <w:rFonts w:ascii="Palatino Linotype" w:eastAsia="Palatino Linotype" w:hAnsi="Palatino Linotype" w:cs="Palatino Linotype"/>
        </w:rPr>
        <w:t>, MARÍA DEL ROSARIO MEJÍA AYALA, SHARON CRISTINA MORALES MARTÍNEZ</w:t>
      </w:r>
      <w:r w:rsidRPr="00F867F2">
        <w:rPr>
          <w:rFonts w:ascii="Palatino Linotype" w:eastAsia="Palatino Linotype" w:hAnsi="Palatino Linotype" w:cs="Palatino Linotype"/>
        </w:rPr>
        <w:t xml:space="preserve"> EMITIENDO VOTO DISIDENTE</w:t>
      </w:r>
      <w:r w:rsidR="00675343" w:rsidRPr="00F867F2">
        <w:rPr>
          <w:rFonts w:ascii="Palatino Linotype" w:eastAsia="Palatino Linotype" w:hAnsi="Palatino Linotype" w:cs="Palatino Linotype"/>
        </w:rPr>
        <w:t xml:space="preserve">, LUIS GUSTAVO PARRA NORIEGA </w:t>
      </w:r>
      <w:r w:rsidRPr="00F867F2">
        <w:rPr>
          <w:rFonts w:ascii="Palatino Linotype" w:eastAsia="Palatino Linotype" w:hAnsi="Palatino Linotype" w:cs="Palatino Linotype"/>
        </w:rPr>
        <w:t xml:space="preserve">EMITIENDO VOTO PARTICULAR, </w:t>
      </w:r>
      <w:r w:rsidR="00675343" w:rsidRPr="00F867F2">
        <w:rPr>
          <w:rFonts w:ascii="Palatino Linotype" w:eastAsia="Palatino Linotype" w:hAnsi="Palatino Linotype" w:cs="Palatino Linotype"/>
        </w:rPr>
        <w:t xml:space="preserve">Y GUADALUPE RAMÍREZ PEÑA; EN LA DÉCIMA </w:t>
      </w:r>
      <w:r w:rsidR="00F867F2" w:rsidRPr="00F867F2">
        <w:rPr>
          <w:rFonts w:ascii="Palatino Linotype" w:eastAsia="Palatino Linotype" w:hAnsi="Palatino Linotype" w:cs="Palatino Linotype"/>
        </w:rPr>
        <w:t>SEGUNDA</w:t>
      </w:r>
      <w:r w:rsidR="00675343" w:rsidRPr="00F867F2">
        <w:rPr>
          <w:rFonts w:ascii="Palatino Linotype" w:eastAsia="Palatino Linotype" w:hAnsi="Palatino Linotype" w:cs="Palatino Linotype"/>
        </w:rPr>
        <w:t xml:space="preserve"> SESIÓN ORDINARIA CELEBRADA EL </w:t>
      </w:r>
      <w:r w:rsidR="00F867F2" w:rsidRPr="00F867F2">
        <w:rPr>
          <w:rFonts w:ascii="Palatino Linotype" w:eastAsia="Palatino Linotype" w:hAnsi="Palatino Linotype" w:cs="Palatino Linotype"/>
        </w:rPr>
        <w:t>VEINTINUEVE</w:t>
      </w:r>
      <w:r w:rsidR="00675343" w:rsidRPr="00F867F2">
        <w:rPr>
          <w:rFonts w:ascii="Palatino Linotype" w:eastAsia="Palatino Linotype" w:hAnsi="Palatino Linotype" w:cs="Palatino Linotype"/>
        </w:rPr>
        <w:t xml:space="preserve"> DE MARZO DE DOS MIL VEINTITRÉS, ANTE EL SECRETARIO TÉCNICO DEL PLENO ALEXIS TAPIA RAMÍREZ.</w:t>
      </w:r>
    </w:p>
    <w:p w14:paraId="46B151FE" w14:textId="77777777" w:rsidR="00F867F2" w:rsidRDefault="00F867F2">
      <w:pPr>
        <w:spacing w:line="360" w:lineRule="auto"/>
        <w:jc w:val="both"/>
        <w:rPr>
          <w:rFonts w:ascii="Palatino Linotype" w:eastAsia="Palatino Linotype" w:hAnsi="Palatino Linotype" w:cs="Palatino Linotype"/>
        </w:rPr>
      </w:pPr>
    </w:p>
    <w:p w14:paraId="1BA34D99" w14:textId="77777777" w:rsidR="00F867F2" w:rsidRDefault="00F867F2">
      <w:pPr>
        <w:spacing w:line="360" w:lineRule="auto"/>
        <w:jc w:val="both"/>
        <w:rPr>
          <w:rFonts w:ascii="Palatino Linotype" w:eastAsia="Palatino Linotype" w:hAnsi="Palatino Linotype" w:cs="Palatino Linotype"/>
        </w:rPr>
      </w:pPr>
    </w:p>
    <w:p w14:paraId="62E4B5A1" w14:textId="77777777" w:rsidR="00F867F2" w:rsidRDefault="00F867F2">
      <w:pPr>
        <w:spacing w:line="360" w:lineRule="auto"/>
        <w:jc w:val="both"/>
        <w:rPr>
          <w:rFonts w:ascii="Palatino Linotype" w:eastAsia="Palatino Linotype" w:hAnsi="Palatino Linotype" w:cs="Palatino Linotype"/>
        </w:rPr>
      </w:pPr>
    </w:p>
    <w:p w14:paraId="7B18D387" w14:textId="77777777" w:rsidR="00F867F2" w:rsidRDefault="00F867F2">
      <w:pPr>
        <w:spacing w:line="360" w:lineRule="auto"/>
        <w:jc w:val="both"/>
        <w:rPr>
          <w:rFonts w:ascii="Palatino Linotype" w:eastAsia="Palatino Linotype" w:hAnsi="Palatino Linotype" w:cs="Palatino Linotype"/>
        </w:rPr>
      </w:pPr>
    </w:p>
    <w:p w14:paraId="0277CD6B" w14:textId="77777777" w:rsidR="00F867F2" w:rsidRDefault="00F867F2">
      <w:pPr>
        <w:spacing w:line="360" w:lineRule="auto"/>
        <w:jc w:val="both"/>
        <w:rPr>
          <w:rFonts w:ascii="Palatino Linotype" w:eastAsia="Palatino Linotype" w:hAnsi="Palatino Linotype" w:cs="Palatino Linotype"/>
        </w:rPr>
      </w:pPr>
    </w:p>
    <w:p w14:paraId="49104096" w14:textId="77777777" w:rsidR="00F867F2" w:rsidRDefault="00F867F2">
      <w:pPr>
        <w:spacing w:line="360" w:lineRule="auto"/>
        <w:jc w:val="both"/>
        <w:rPr>
          <w:rFonts w:ascii="Palatino Linotype" w:eastAsia="Palatino Linotype" w:hAnsi="Palatino Linotype" w:cs="Palatino Linotype"/>
        </w:rPr>
      </w:pPr>
    </w:p>
    <w:p w14:paraId="0F8A959C" w14:textId="77777777" w:rsidR="00F867F2" w:rsidRDefault="00F867F2">
      <w:pPr>
        <w:spacing w:line="360" w:lineRule="auto"/>
        <w:jc w:val="both"/>
        <w:rPr>
          <w:rFonts w:ascii="Palatino Linotype" w:eastAsia="Palatino Linotype" w:hAnsi="Palatino Linotype" w:cs="Palatino Linotype"/>
        </w:rPr>
      </w:pPr>
    </w:p>
    <w:p w14:paraId="529A475B" w14:textId="77777777" w:rsidR="00F867F2" w:rsidRDefault="00F867F2">
      <w:pPr>
        <w:spacing w:line="360" w:lineRule="auto"/>
        <w:jc w:val="both"/>
        <w:rPr>
          <w:rFonts w:ascii="Palatino Linotype" w:eastAsia="Palatino Linotype" w:hAnsi="Palatino Linotype" w:cs="Palatino Linotype"/>
        </w:rPr>
      </w:pPr>
    </w:p>
    <w:p w14:paraId="03B0450E" w14:textId="77777777" w:rsidR="00F867F2" w:rsidRDefault="00F867F2">
      <w:pPr>
        <w:spacing w:line="360" w:lineRule="auto"/>
        <w:jc w:val="both"/>
        <w:rPr>
          <w:rFonts w:ascii="Palatino Linotype" w:eastAsia="Palatino Linotype" w:hAnsi="Palatino Linotype" w:cs="Palatino Linotype"/>
        </w:rPr>
      </w:pPr>
    </w:p>
    <w:p w14:paraId="1C55D925" w14:textId="77777777" w:rsidR="00F867F2" w:rsidRDefault="00F867F2">
      <w:pPr>
        <w:spacing w:line="360" w:lineRule="auto"/>
        <w:jc w:val="both"/>
        <w:rPr>
          <w:rFonts w:ascii="Palatino Linotype" w:eastAsia="Palatino Linotype" w:hAnsi="Palatino Linotype" w:cs="Palatino Linotype"/>
        </w:rPr>
      </w:pPr>
    </w:p>
    <w:p w14:paraId="2478169E" w14:textId="77777777" w:rsidR="00F867F2" w:rsidRDefault="00F867F2">
      <w:pPr>
        <w:spacing w:line="360" w:lineRule="auto"/>
        <w:jc w:val="both"/>
        <w:rPr>
          <w:rFonts w:ascii="Palatino Linotype" w:eastAsia="Palatino Linotype" w:hAnsi="Palatino Linotype" w:cs="Palatino Linotype"/>
        </w:rPr>
      </w:pPr>
    </w:p>
    <w:p w14:paraId="2E086B63" w14:textId="77777777" w:rsidR="00F867F2" w:rsidRDefault="00F867F2">
      <w:pPr>
        <w:spacing w:line="360" w:lineRule="auto"/>
        <w:jc w:val="both"/>
        <w:rPr>
          <w:rFonts w:ascii="Palatino Linotype" w:eastAsia="Palatino Linotype" w:hAnsi="Palatino Linotype" w:cs="Palatino Linotype"/>
        </w:rPr>
      </w:pPr>
    </w:p>
    <w:p w14:paraId="140C9374" w14:textId="77777777" w:rsidR="00F867F2" w:rsidRDefault="00F867F2">
      <w:pPr>
        <w:spacing w:line="360" w:lineRule="auto"/>
        <w:jc w:val="both"/>
        <w:rPr>
          <w:rFonts w:ascii="Palatino Linotype" w:eastAsia="Palatino Linotype" w:hAnsi="Palatino Linotype" w:cs="Palatino Linotype"/>
        </w:rPr>
      </w:pPr>
    </w:p>
    <w:p w14:paraId="41817E7D" w14:textId="77777777" w:rsidR="00F867F2" w:rsidRDefault="00F867F2">
      <w:pPr>
        <w:spacing w:line="360" w:lineRule="auto"/>
        <w:jc w:val="both"/>
        <w:rPr>
          <w:rFonts w:ascii="Palatino Linotype" w:eastAsia="Palatino Linotype" w:hAnsi="Palatino Linotype" w:cs="Palatino Linotype"/>
        </w:rPr>
      </w:pPr>
    </w:p>
    <w:sectPr w:rsidR="00F867F2">
      <w:headerReference w:type="default" r:id="rId16"/>
      <w:footerReference w:type="default" r:id="rId17"/>
      <w:headerReference w:type="first" r:id="rId18"/>
      <w:footerReference w:type="first" r:id="rId19"/>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6F5086" w14:textId="77777777" w:rsidR="008C7D2D" w:rsidRDefault="008C7D2D">
      <w:r>
        <w:separator/>
      </w:r>
    </w:p>
  </w:endnote>
  <w:endnote w:type="continuationSeparator" w:id="0">
    <w:p w14:paraId="03A7318F" w14:textId="77777777" w:rsidR="008C7D2D" w:rsidRDefault="008C7D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E39D9" w14:textId="77777777" w:rsidR="00267BE2" w:rsidRDefault="00675343">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400733">
      <w:rPr>
        <w:rFonts w:ascii="Palatino Linotype" w:eastAsia="Palatino Linotype" w:hAnsi="Palatino Linotype" w:cs="Palatino Linotype"/>
        <w:b/>
        <w:noProof/>
        <w:color w:val="000000"/>
        <w:sz w:val="20"/>
        <w:szCs w:val="20"/>
      </w:rPr>
      <w:t>58</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400733">
      <w:rPr>
        <w:rFonts w:ascii="Palatino Linotype" w:eastAsia="Palatino Linotype" w:hAnsi="Palatino Linotype" w:cs="Palatino Linotype"/>
        <w:b/>
        <w:noProof/>
        <w:color w:val="000000"/>
        <w:sz w:val="20"/>
        <w:szCs w:val="20"/>
      </w:rPr>
      <w:t>60</w:t>
    </w:r>
    <w:r>
      <w:rPr>
        <w:rFonts w:ascii="Palatino Linotype" w:eastAsia="Palatino Linotype" w:hAnsi="Palatino Linotype" w:cs="Palatino Linotype"/>
        <w:b/>
        <w:color w:val="000000"/>
        <w:sz w:val="20"/>
        <w:szCs w:val="20"/>
      </w:rPr>
      <w:fldChar w:fldCharType="end"/>
    </w:r>
  </w:p>
  <w:p w14:paraId="51AE20B5" w14:textId="77777777" w:rsidR="00267BE2" w:rsidRDefault="00267BE2">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27CC4" w14:textId="77777777" w:rsidR="00267BE2" w:rsidRDefault="00675343">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400733">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400733">
      <w:rPr>
        <w:rFonts w:ascii="Palatino Linotype" w:eastAsia="Palatino Linotype" w:hAnsi="Palatino Linotype" w:cs="Palatino Linotype"/>
        <w:b/>
        <w:noProof/>
        <w:color w:val="000000"/>
        <w:sz w:val="20"/>
        <w:szCs w:val="20"/>
      </w:rPr>
      <w:t>60</w:t>
    </w:r>
    <w:r>
      <w:rPr>
        <w:rFonts w:ascii="Palatino Linotype" w:eastAsia="Palatino Linotype" w:hAnsi="Palatino Linotype" w:cs="Palatino Linotype"/>
        <w:b/>
        <w:color w:val="000000"/>
        <w:sz w:val="20"/>
        <w:szCs w:val="20"/>
      </w:rPr>
      <w:fldChar w:fldCharType="end"/>
    </w:r>
  </w:p>
  <w:p w14:paraId="01F92414" w14:textId="77777777" w:rsidR="00267BE2" w:rsidRDefault="00267BE2">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65D548" w14:textId="77777777" w:rsidR="008C7D2D" w:rsidRDefault="008C7D2D">
      <w:r>
        <w:separator/>
      </w:r>
    </w:p>
  </w:footnote>
  <w:footnote w:type="continuationSeparator" w:id="0">
    <w:p w14:paraId="0D177707" w14:textId="77777777" w:rsidR="008C7D2D" w:rsidRDefault="008C7D2D">
      <w:r>
        <w:continuationSeparator/>
      </w:r>
    </w:p>
  </w:footnote>
  <w:footnote w:id="1">
    <w:p w14:paraId="28224C6D" w14:textId="77777777" w:rsidR="00267BE2" w:rsidRDefault="00675343">
      <w:pPr>
        <w:pBdr>
          <w:top w:val="nil"/>
          <w:left w:val="nil"/>
          <w:bottom w:val="nil"/>
          <w:right w:val="nil"/>
          <w:between w:val="nil"/>
        </w:pBdr>
        <w:rPr>
          <w:rFonts w:ascii="Palatino Linotype" w:eastAsia="Palatino Linotype" w:hAnsi="Palatino Linotype" w:cs="Palatino Linotype"/>
          <w:color w:val="000000"/>
          <w:sz w:val="20"/>
          <w:szCs w:val="20"/>
        </w:rPr>
      </w:pPr>
      <w:r>
        <w:rPr>
          <w:vertAlign w:val="superscript"/>
        </w:rPr>
        <w:footnoteRef/>
      </w:r>
      <w:r>
        <w:rPr>
          <w:rFonts w:ascii="Palatino Linotype" w:eastAsia="Palatino Linotype" w:hAnsi="Palatino Linotype" w:cs="Palatino Linotype"/>
          <w:color w:val="000000"/>
          <w:sz w:val="20"/>
          <w:szCs w:val="20"/>
        </w:rPr>
        <w:t xml:space="preserve"> En adelante, el </w:t>
      </w:r>
      <w:proofErr w:type="spellStart"/>
      <w:r>
        <w:rPr>
          <w:rFonts w:ascii="Palatino Linotype" w:eastAsia="Palatino Linotype" w:hAnsi="Palatino Linotype" w:cs="Palatino Linotype"/>
          <w:color w:val="000000"/>
          <w:sz w:val="20"/>
          <w:szCs w:val="20"/>
        </w:rPr>
        <w:t>Infoem</w:t>
      </w:r>
      <w:proofErr w:type="spellEnd"/>
      <w:r>
        <w:rPr>
          <w:rFonts w:ascii="Palatino Linotype" w:eastAsia="Palatino Linotype" w:hAnsi="Palatino Linotype" w:cs="Palatino Linotype"/>
          <w:color w:val="000000"/>
          <w:sz w:val="20"/>
          <w:szCs w:val="20"/>
        </w:rPr>
        <w:t>, el Instituto, el Instituto de Transparencia o el Órgano Garante</w:t>
      </w:r>
    </w:p>
  </w:footnote>
  <w:footnote w:id="2">
    <w:p w14:paraId="46DABDA6" w14:textId="77777777" w:rsidR="00267BE2" w:rsidRDefault="00675343">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Palatino Linotype" w:eastAsia="Palatino Linotype" w:hAnsi="Palatino Linotype" w:cs="Palatino Linotype"/>
          <w:color w:val="000000"/>
          <w:sz w:val="20"/>
          <w:szCs w:val="20"/>
        </w:rPr>
        <w:t xml:space="preserve"> En lo sucesivo, el SAIMEX</w:t>
      </w:r>
      <w:r>
        <w:rPr>
          <w:rFonts w:ascii="Cambria" w:eastAsia="Cambria" w:hAnsi="Cambria" w:cs="Cambria"/>
          <w:color w:val="000000"/>
          <w:sz w:val="20"/>
          <w:szCs w:val="20"/>
        </w:rPr>
        <w:t xml:space="preserve"> </w:t>
      </w:r>
    </w:p>
  </w:footnote>
  <w:footnote w:id="3">
    <w:p w14:paraId="50AA7128" w14:textId="77777777" w:rsidR="00267BE2" w:rsidRDefault="00675343">
      <w:pPr>
        <w:pBdr>
          <w:top w:val="nil"/>
          <w:left w:val="nil"/>
          <w:bottom w:val="nil"/>
          <w:right w:val="nil"/>
          <w:between w:val="nil"/>
        </w:pBdr>
        <w:rPr>
          <w:rFonts w:ascii="Palatino Linotype" w:eastAsia="Palatino Linotype" w:hAnsi="Palatino Linotype" w:cs="Palatino Linotype"/>
          <w:color w:val="000000"/>
          <w:sz w:val="20"/>
          <w:szCs w:val="20"/>
        </w:rPr>
      </w:pPr>
      <w:r>
        <w:rPr>
          <w:vertAlign w:val="superscript"/>
        </w:rPr>
        <w:footnoteRef/>
      </w:r>
      <w:r>
        <w:rPr>
          <w:rFonts w:ascii="Palatino Linotype" w:eastAsia="Palatino Linotype" w:hAnsi="Palatino Linotype" w:cs="Palatino Linotype"/>
          <w:color w:val="000000"/>
          <w:sz w:val="20"/>
          <w:szCs w:val="20"/>
        </w:rPr>
        <w:t xml:space="preserve"> https://legislacion.edomex.gob.mx/sites/legislacion.edomex.gob.mx/files/files/pdf/bdo/bdo2022/bdo015.pdf</w:t>
      </w:r>
    </w:p>
  </w:footnote>
  <w:footnote w:id="4">
    <w:p w14:paraId="35C3DBEE" w14:textId="77777777" w:rsidR="00267BE2" w:rsidRDefault="00675343">
      <w:pPr>
        <w:pBdr>
          <w:top w:val="nil"/>
          <w:left w:val="nil"/>
          <w:bottom w:val="nil"/>
          <w:right w:val="nil"/>
          <w:between w:val="nil"/>
        </w:pBdr>
        <w:rPr>
          <w:rFonts w:ascii="Palatino Linotype" w:eastAsia="Palatino Linotype" w:hAnsi="Palatino Linotype" w:cs="Palatino Linotype"/>
          <w:color w:val="000000"/>
          <w:sz w:val="20"/>
          <w:szCs w:val="20"/>
        </w:rPr>
      </w:pPr>
      <w:r>
        <w:rPr>
          <w:vertAlign w:val="superscript"/>
        </w:rPr>
        <w:footnoteRef/>
      </w:r>
      <w:r>
        <w:rPr>
          <w:rFonts w:ascii="Palatino Linotype" w:eastAsia="Palatino Linotype" w:hAnsi="Palatino Linotype" w:cs="Palatino Linotype"/>
          <w:color w:val="000000"/>
          <w:sz w:val="20"/>
          <w:szCs w:val="20"/>
        </w:rPr>
        <w:t xml:space="preserve"> https://www.osfem.gob.mx/04_Iconografia/Ent_Fisc/Doc_Apoy/doc/2022/03_Instr4.pdf</w:t>
      </w:r>
    </w:p>
  </w:footnote>
  <w:footnote w:id="5">
    <w:p w14:paraId="35D90F7B" w14:textId="77777777" w:rsidR="00267BE2" w:rsidRDefault="00675343">
      <w:pPr>
        <w:pBdr>
          <w:top w:val="nil"/>
          <w:left w:val="nil"/>
          <w:bottom w:val="nil"/>
          <w:right w:val="nil"/>
          <w:between w:val="nil"/>
        </w:pBdr>
        <w:rPr>
          <w:rFonts w:ascii="Palatino Linotype" w:eastAsia="Palatino Linotype" w:hAnsi="Palatino Linotype" w:cs="Palatino Linotype"/>
          <w:color w:val="000000"/>
          <w:sz w:val="20"/>
          <w:szCs w:val="20"/>
        </w:rPr>
      </w:pPr>
      <w:r>
        <w:rPr>
          <w:vertAlign w:val="superscript"/>
        </w:rPr>
        <w:footnoteRef/>
      </w:r>
      <w:r>
        <w:rPr>
          <w:rFonts w:ascii="Palatino Linotype" w:eastAsia="Palatino Linotype" w:hAnsi="Palatino Linotype" w:cs="Palatino Linotype"/>
          <w:color w:val="000000"/>
          <w:sz w:val="20"/>
          <w:szCs w:val="20"/>
        </w:rPr>
        <w:t xml:space="preserve"> https://legislacion.edomex.gob.mx/sites/legislacion.edomex.gob.mx/files/files/vigentes/jul113.PDF</w:t>
      </w:r>
    </w:p>
  </w:footnote>
  <w:footnote w:id="6">
    <w:p w14:paraId="6333A93D" w14:textId="77777777" w:rsidR="00267BE2" w:rsidRDefault="00675343">
      <w:pPr>
        <w:pBdr>
          <w:top w:val="nil"/>
          <w:left w:val="nil"/>
          <w:bottom w:val="nil"/>
          <w:right w:val="nil"/>
          <w:between w:val="nil"/>
        </w:pBdr>
        <w:tabs>
          <w:tab w:val="right" w:pos="0"/>
        </w:tabs>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Resolución RRA2431/17 del Instituto Nacional de Transparencia, Acceso a la Información Pública y Protección de Datos Personales.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29C3C" w14:textId="77777777" w:rsidR="00267BE2" w:rsidRDefault="00675343">
    <w:pPr>
      <w:rPr>
        <w:rFonts w:ascii="Cambria" w:eastAsia="Cambria" w:hAnsi="Cambria" w:cs="Cambria"/>
      </w:rPr>
    </w:pPr>
    <w:r>
      <w:rPr>
        <w:noProof/>
      </w:rPr>
      <w:drawing>
        <wp:anchor distT="0" distB="0" distL="0" distR="0" simplePos="0" relativeHeight="251658240" behindDoc="1" locked="0" layoutInCell="1" hidden="0" allowOverlap="1" wp14:anchorId="5EE36A99" wp14:editId="557D679E">
          <wp:simplePos x="0" y="0"/>
          <wp:positionH relativeFrom="column">
            <wp:posOffset>-1080123</wp:posOffset>
          </wp:positionH>
          <wp:positionV relativeFrom="paragraph">
            <wp:posOffset>-488302</wp:posOffset>
          </wp:positionV>
          <wp:extent cx="7809865" cy="10165715"/>
          <wp:effectExtent l="0" t="0" r="0" b="0"/>
          <wp:wrapNone/>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2"/>
      <w:tblW w:w="5953" w:type="dxa"/>
      <w:tblInd w:w="3261" w:type="dxa"/>
      <w:tblLayout w:type="fixed"/>
      <w:tblLook w:val="0400" w:firstRow="0" w:lastRow="0" w:firstColumn="0" w:lastColumn="0" w:noHBand="0" w:noVBand="1"/>
    </w:tblPr>
    <w:tblGrid>
      <w:gridCol w:w="2489"/>
      <w:gridCol w:w="3464"/>
    </w:tblGrid>
    <w:tr w:rsidR="00267BE2" w14:paraId="4B8F8BA3" w14:textId="77777777">
      <w:tc>
        <w:tcPr>
          <w:tcW w:w="2489" w:type="dxa"/>
          <w:shd w:val="clear" w:color="auto" w:fill="auto"/>
        </w:tcPr>
        <w:p w14:paraId="6D608894" w14:textId="77777777" w:rsidR="00267BE2" w:rsidRDefault="0067534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2B648D5A" w14:textId="77777777" w:rsidR="00267BE2" w:rsidRDefault="00675343">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14399/INFOEM/IP/RR/2022</w:t>
          </w:r>
        </w:p>
      </w:tc>
    </w:tr>
    <w:tr w:rsidR="00267BE2" w14:paraId="0688C6BC" w14:textId="77777777">
      <w:trPr>
        <w:trHeight w:val="228"/>
      </w:trPr>
      <w:tc>
        <w:tcPr>
          <w:tcW w:w="2489" w:type="dxa"/>
          <w:shd w:val="clear" w:color="auto" w:fill="auto"/>
          <w:vAlign w:val="center"/>
        </w:tcPr>
        <w:p w14:paraId="5CECD32A" w14:textId="77777777" w:rsidR="00267BE2" w:rsidRDefault="0067534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046DE221" w14:textId="77777777" w:rsidR="00267BE2" w:rsidRDefault="00675343">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Atlautla</w:t>
          </w:r>
        </w:p>
      </w:tc>
    </w:tr>
    <w:tr w:rsidR="00267BE2" w14:paraId="6F6D5497" w14:textId="77777777">
      <w:tc>
        <w:tcPr>
          <w:tcW w:w="2489" w:type="dxa"/>
          <w:shd w:val="clear" w:color="auto" w:fill="auto"/>
          <w:vAlign w:val="center"/>
        </w:tcPr>
        <w:p w14:paraId="483CDD5C" w14:textId="77777777" w:rsidR="00267BE2" w:rsidRDefault="00675343">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6204DBB3" w14:textId="77777777" w:rsidR="00267BE2" w:rsidRDefault="00675343">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0531AA4" w14:textId="77777777" w:rsidR="00267BE2" w:rsidRDefault="00675343">
    <w:pPr>
      <w:rPr>
        <w:rFonts w:ascii="Cambria" w:eastAsia="Cambria" w:hAnsi="Cambria" w:cs="Cambria"/>
      </w:rPr>
    </w:pPr>
    <w:r>
      <w:rPr>
        <w:rFonts w:ascii="Cambria" w:eastAsia="Cambria" w:hAnsi="Cambria" w:cs="Cambria"/>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7F3E5" w14:textId="77777777" w:rsidR="00267BE2" w:rsidRDefault="00267BE2">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0"/>
      <w:tblW w:w="5670" w:type="dxa"/>
      <w:tblInd w:w="3261" w:type="dxa"/>
      <w:tblLayout w:type="fixed"/>
      <w:tblLook w:val="0400" w:firstRow="0" w:lastRow="0" w:firstColumn="0" w:lastColumn="0" w:noHBand="0" w:noVBand="1"/>
    </w:tblPr>
    <w:tblGrid>
      <w:gridCol w:w="2551"/>
      <w:gridCol w:w="3119"/>
    </w:tblGrid>
    <w:tr w:rsidR="00267BE2" w14:paraId="1265B4C7" w14:textId="77777777">
      <w:tc>
        <w:tcPr>
          <w:tcW w:w="2551" w:type="dxa"/>
          <w:shd w:val="clear" w:color="auto" w:fill="auto"/>
          <w:vAlign w:val="center"/>
        </w:tcPr>
        <w:p w14:paraId="7294813D" w14:textId="77777777" w:rsidR="00267BE2" w:rsidRDefault="0067534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462EF47A" w14:textId="77777777" w:rsidR="00267BE2" w:rsidRDefault="00675343">
          <w:pPr>
            <w:tabs>
              <w:tab w:val="left" w:pos="3153"/>
            </w:tabs>
            <w:ind w:left="-45"/>
            <w:jc w:val="both"/>
            <w:rPr>
              <w:rFonts w:ascii="Palatino Linotype" w:eastAsia="Palatino Linotype" w:hAnsi="Palatino Linotype" w:cs="Palatino Linotype"/>
              <w:b/>
              <w:sz w:val="22"/>
              <w:szCs w:val="22"/>
              <w:highlight w:val="yellow"/>
            </w:rPr>
          </w:pPr>
          <w:r>
            <w:rPr>
              <w:rFonts w:ascii="Palatino Linotype" w:eastAsia="Palatino Linotype" w:hAnsi="Palatino Linotype" w:cs="Palatino Linotype"/>
              <w:b/>
              <w:sz w:val="22"/>
              <w:szCs w:val="22"/>
            </w:rPr>
            <w:t>14399/INFOEM/IP/RR/2022</w:t>
          </w:r>
        </w:p>
      </w:tc>
    </w:tr>
    <w:tr w:rsidR="00267BE2" w14:paraId="779C735B" w14:textId="77777777">
      <w:trPr>
        <w:trHeight w:val="130"/>
      </w:trPr>
      <w:tc>
        <w:tcPr>
          <w:tcW w:w="2551" w:type="dxa"/>
          <w:shd w:val="clear" w:color="auto" w:fill="auto"/>
          <w:vAlign w:val="center"/>
        </w:tcPr>
        <w:p w14:paraId="62D50291" w14:textId="77777777" w:rsidR="00267BE2" w:rsidRDefault="0067534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20D0716F" w14:textId="2B5AF7C1" w:rsidR="00267BE2" w:rsidRDefault="005450C2">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XXXXXXXXX XXXXXXXX</w:t>
          </w:r>
        </w:p>
      </w:tc>
    </w:tr>
    <w:tr w:rsidR="00267BE2" w14:paraId="3D466E49" w14:textId="77777777">
      <w:trPr>
        <w:trHeight w:val="228"/>
      </w:trPr>
      <w:tc>
        <w:tcPr>
          <w:tcW w:w="2551" w:type="dxa"/>
          <w:shd w:val="clear" w:color="auto" w:fill="auto"/>
          <w:vAlign w:val="center"/>
        </w:tcPr>
        <w:p w14:paraId="48026790" w14:textId="77777777" w:rsidR="00267BE2" w:rsidRDefault="0067534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1F4BE2BF" w14:textId="77777777" w:rsidR="00267BE2" w:rsidRDefault="00675343">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Atlautla</w:t>
          </w:r>
        </w:p>
      </w:tc>
    </w:tr>
    <w:tr w:rsidR="00267BE2" w14:paraId="626AF7C4" w14:textId="77777777">
      <w:tc>
        <w:tcPr>
          <w:tcW w:w="2551" w:type="dxa"/>
          <w:shd w:val="clear" w:color="auto" w:fill="auto"/>
          <w:vAlign w:val="center"/>
        </w:tcPr>
        <w:p w14:paraId="5201C980" w14:textId="77777777" w:rsidR="00267BE2" w:rsidRDefault="0067534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299C0B51" w14:textId="77777777" w:rsidR="00267BE2" w:rsidRDefault="00675343">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CB01623" w14:textId="77777777" w:rsidR="00267BE2" w:rsidRDefault="00675343">
    <w:pPr>
      <w:pBdr>
        <w:top w:val="nil"/>
        <w:left w:val="nil"/>
        <w:bottom w:val="nil"/>
        <w:right w:val="nil"/>
        <w:between w:val="nil"/>
      </w:pBdr>
      <w:tabs>
        <w:tab w:val="center" w:pos="4252"/>
        <w:tab w:val="right" w:pos="8504"/>
      </w:tabs>
      <w:rPr>
        <w:rFonts w:ascii="Cambria" w:eastAsia="Cambria" w:hAnsi="Cambria" w:cs="Cambria"/>
        <w:color w:val="000000"/>
      </w:rPr>
    </w:pPr>
    <w:r>
      <w:rPr>
        <w:noProof/>
      </w:rPr>
      <w:drawing>
        <wp:anchor distT="0" distB="0" distL="0" distR="0" simplePos="0" relativeHeight="251659264" behindDoc="1" locked="0" layoutInCell="1" hidden="0" allowOverlap="1" wp14:anchorId="46FCF1CA" wp14:editId="70D4A09B">
          <wp:simplePos x="0" y="0"/>
          <wp:positionH relativeFrom="column">
            <wp:posOffset>-1089648</wp:posOffset>
          </wp:positionH>
          <wp:positionV relativeFrom="paragraph">
            <wp:posOffset>-1169658</wp:posOffset>
          </wp:positionV>
          <wp:extent cx="7809865" cy="10165715"/>
          <wp:effectExtent l="0" t="0" r="0" b="0"/>
          <wp:wrapNone/>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F5394C"/>
    <w:multiLevelType w:val="multilevel"/>
    <w:tmpl w:val="8AFA2EFA"/>
    <w:lvl w:ilvl="0">
      <w:start w:val="1"/>
      <w:numFmt w:val="lowerLetter"/>
      <w:pStyle w:val="Listaconvietas3"/>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5A0B1D75"/>
    <w:multiLevelType w:val="multilevel"/>
    <w:tmpl w:val="9BAEE3CE"/>
    <w:lvl w:ilvl="0">
      <w:start w:val="1"/>
      <w:numFmt w:val="upperRoman"/>
      <w:lvlText w:val="%1."/>
      <w:lvlJc w:val="right"/>
      <w:pPr>
        <w:ind w:left="1584" w:hanging="360"/>
      </w:pPr>
      <w:rPr>
        <w:b/>
      </w:rPr>
    </w:lvl>
    <w:lvl w:ilvl="1">
      <w:start w:val="1"/>
      <w:numFmt w:val="lowerLetter"/>
      <w:lvlText w:val="%2."/>
      <w:lvlJc w:val="left"/>
      <w:pPr>
        <w:ind w:left="2304" w:hanging="360"/>
      </w:pPr>
    </w:lvl>
    <w:lvl w:ilvl="2">
      <w:start w:val="1"/>
      <w:numFmt w:val="lowerRoman"/>
      <w:lvlText w:val="%3."/>
      <w:lvlJc w:val="right"/>
      <w:pPr>
        <w:ind w:left="3024" w:hanging="180"/>
      </w:pPr>
    </w:lvl>
    <w:lvl w:ilvl="3">
      <w:start w:val="1"/>
      <w:numFmt w:val="decimal"/>
      <w:lvlText w:val="%4."/>
      <w:lvlJc w:val="left"/>
      <w:pPr>
        <w:ind w:left="3744" w:hanging="360"/>
      </w:pPr>
    </w:lvl>
    <w:lvl w:ilvl="4">
      <w:start w:val="1"/>
      <w:numFmt w:val="lowerLetter"/>
      <w:lvlText w:val="%5."/>
      <w:lvlJc w:val="left"/>
      <w:pPr>
        <w:ind w:left="4464" w:hanging="360"/>
      </w:pPr>
    </w:lvl>
    <w:lvl w:ilvl="5">
      <w:start w:val="1"/>
      <w:numFmt w:val="lowerRoman"/>
      <w:lvlText w:val="%6."/>
      <w:lvlJc w:val="right"/>
      <w:pPr>
        <w:ind w:left="5184" w:hanging="180"/>
      </w:pPr>
    </w:lvl>
    <w:lvl w:ilvl="6">
      <w:start w:val="1"/>
      <w:numFmt w:val="decimal"/>
      <w:lvlText w:val="%7."/>
      <w:lvlJc w:val="left"/>
      <w:pPr>
        <w:ind w:left="5904" w:hanging="360"/>
      </w:pPr>
    </w:lvl>
    <w:lvl w:ilvl="7">
      <w:start w:val="1"/>
      <w:numFmt w:val="lowerLetter"/>
      <w:lvlText w:val="%8."/>
      <w:lvlJc w:val="left"/>
      <w:pPr>
        <w:ind w:left="6624" w:hanging="360"/>
      </w:pPr>
    </w:lvl>
    <w:lvl w:ilvl="8">
      <w:start w:val="1"/>
      <w:numFmt w:val="lowerRoman"/>
      <w:lvlText w:val="%9."/>
      <w:lvlJc w:val="right"/>
      <w:pPr>
        <w:ind w:left="7344" w:hanging="180"/>
      </w:pPr>
    </w:lvl>
  </w:abstractNum>
  <w:abstractNum w:abstractNumId="2" w15:restartNumberingAfterBreak="0">
    <w:nsid w:val="5CF975EA"/>
    <w:multiLevelType w:val="multilevel"/>
    <w:tmpl w:val="BA9ED8CC"/>
    <w:lvl w:ilvl="0">
      <w:start w:val="1"/>
      <w:numFmt w:val="upperRoman"/>
      <w:lvlText w:val="%1."/>
      <w:lvlJc w:val="right"/>
      <w:pPr>
        <w:ind w:left="1584" w:hanging="360"/>
      </w:pPr>
    </w:lvl>
    <w:lvl w:ilvl="1">
      <w:start w:val="1"/>
      <w:numFmt w:val="lowerLetter"/>
      <w:lvlText w:val="%2."/>
      <w:lvlJc w:val="left"/>
      <w:pPr>
        <w:ind w:left="2304" w:hanging="360"/>
      </w:pPr>
    </w:lvl>
    <w:lvl w:ilvl="2">
      <w:start w:val="1"/>
      <w:numFmt w:val="lowerRoman"/>
      <w:lvlText w:val="%3."/>
      <w:lvlJc w:val="right"/>
      <w:pPr>
        <w:ind w:left="3024" w:hanging="180"/>
      </w:pPr>
    </w:lvl>
    <w:lvl w:ilvl="3">
      <w:start w:val="1"/>
      <w:numFmt w:val="decimal"/>
      <w:lvlText w:val="%4."/>
      <w:lvlJc w:val="left"/>
      <w:pPr>
        <w:ind w:left="3744" w:hanging="360"/>
      </w:pPr>
    </w:lvl>
    <w:lvl w:ilvl="4">
      <w:start w:val="1"/>
      <w:numFmt w:val="lowerLetter"/>
      <w:lvlText w:val="%5."/>
      <w:lvlJc w:val="left"/>
      <w:pPr>
        <w:ind w:left="4464" w:hanging="360"/>
      </w:pPr>
    </w:lvl>
    <w:lvl w:ilvl="5">
      <w:start w:val="1"/>
      <w:numFmt w:val="lowerRoman"/>
      <w:lvlText w:val="%6."/>
      <w:lvlJc w:val="right"/>
      <w:pPr>
        <w:ind w:left="5184" w:hanging="180"/>
      </w:pPr>
    </w:lvl>
    <w:lvl w:ilvl="6">
      <w:start w:val="1"/>
      <w:numFmt w:val="decimal"/>
      <w:lvlText w:val="%7."/>
      <w:lvlJc w:val="left"/>
      <w:pPr>
        <w:ind w:left="5904" w:hanging="360"/>
      </w:pPr>
    </w:lvl>
    <w:lvl w:ilvl="7">
      <w:start w:val="1"/>
      <w:numFmt w:val="lowerLetter"/>
      <w:lvlText w:val="%8."/>
      <w:lvlJc w:val="left"/>
      <w:pPr>
        <w:ind w:left="6624" w:hanging="360"/>
      </w:pPr>
    </w:lvl>
    <w:lvl w:ilvl="8">
      <w:start w:val="1"/>
      <w:numFmt w:val="lowerRoman"/>
      <w:lvlText w:val="%9."/>
      <w:lvlJc w:val="right"/>
      <w:pPr>
        <w:ind w:left="7344" w:hanging="180"/>
      </w:pPr>
    </w:lvl>
  </w:abstractNum>
  <w:abstractNum w:abstractNumId="3" w15:restartNumberingAfterBreak="0">
    <w:nsid w:val="782C7081"/>
    <w:multiLevelType w:val="multilevel"/>
    <w:tmpl w:val="951E0B8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91D2C71"/>
    <w:multiLevelType w:val="multilevel"/>
    <w:tmpl w:val="30E41F6C"/>
    <w:lvl w:ilvl="0">
      <w:start w:val="1"/>
      <w:numFmt w:val="decimal"/>
      <w:lvlText w:val="%1."/>
      <w:lvlJc w:val="left"/>
      <w:pPr>
        <w:ind w:left="1584" w:hanging="360"/>
      </w:pPr>
      <w:rPr>
        <w:b/>
      </w:rPr>
    </w:lvl>
    <w:lvl w:ilvl="1">
      <w:start w:val="1"/>
      <w:numFmt w:val="lowerLetter"/>
      <w:lvlText w:val="%2."/>
      <w:lvlJc w:val="left"/>
      <w:pPr>
        <w:ind w:left="2304" w:hanging="360"/>
      </w:pPr>
    </w:lvl>
    <w:lvl w:ilvl="2">
      <w:start w:val="1"/>
      <w:numFmt w:val="lowerRoman"/>
      <w:lvlText w:val="%3."/>
      <w:lvlJc w:val="right"/>
      <w:pPr>
        <w:ind w:left="3024" w:hanging="180"/>
      </w:pPr>
    </w:lvl>
    <w:lvl w:ilvl="3">
      <w:start w:val="1"/>
      <w:numFmt w:val="decimal"/>
      <w:lvlText w:val="%4."/>
      <w:lvlJc w:val="left"/>
      <w:pPr>
        <w:ind w:left="3744" w:hanging="360"/>
      </w:pPr>
    </w:lvl>
    <w:lvl w:ilvl="4">
      <w:start w:val="1"/>
      <w:numFmt w:val="lowerLetter"/>
      <w:lvlText w:val="%5."/>
      <w:lvlJc w:val="left"/>
      <w:pPr>
        <w:ind w:left="4464" w:hanging="360"/>
      </w:pPr>
    </w:lvl>
    <w:lvl w:ilvl="5">
      <w:start w:val="1"/>
      <w:numFmt w:val="lowerRoman"/>
      <w:lvlText w:val="%6."/>
      <w:lvlJc w:val="right"/>
      <w:pPr>
        <w:ind w:left="5184" w:hanging="180"/>
      </w:pPr>
    </w:lvl>
    <w:lvl w:ilvl="6">
      <w:start w:val="1"/>
      <w:numFmt w:val="decimal"/>
      <w:lvlText w:val="%7."/>
      <w:lvlJc w:val="left"/>
      <w:pPr>
        <w:ind w:left="5904" w:hanging="360"/>
      </w:pPr>
    </w:lvl>
    <w:lvl w:ilvl="7">
      <w:start w:val="1"/>
      <w:numFmt w:val="lowerLetter"/>
      <w:lvlText w:val="%8."/>
      <w:lvlJc w:val="left"/>
      <w:pPr>
        <w:ind w:left="6624" w:hanging="360"/>
      </w:pPr>
    </w:lvl>
    <w:lvl w:ilvl="8">
      <w:start w:val="1"/>
      <w:numFmt w:val="lowerRoman"/>
      <w:lvlText w:val="%9."/>
      <w:lvlJc w:val="right"/>
      <w:pPr>
        <w:ind w:left="7344" w:hanging="180"/>
      </w:p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7BE2"/>
    <w:rsid w:val="00253CC6"/>
    <w:rsid w:val="00260F6A"/>
    <w:rsid w:val="00267BE2"/>
    <w:rsid w:val="003712C2"/>
    <w:rsid w:val="00400733"/>
    <w:rsid w:val="005450C2"/>
    <w:rsid w:val="0058219E"/>
    <w:rsid w:val="00675343"/>
    <w:rsid w:val="0077719B"/>
    <w:rsid w:val="008C7D2D"/>
    <w:rsid w:val="00F13B57"/>
    <w:rsid w:val="00F867F2"/>
    <w:rsid w:val="00FD6A1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6623BE"/>
  <w15:docId w15:val="{DC75ED29-5BE5-4DEC-B890-FA6A4ADE22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1CAF"/>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1">
    <w:name w:val="11"/>
    <w:basedOn w:val="TableNormal1"/>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0">
    <w:name w:val="10"/>
    <w:basedOn w:val="TableNormal1"/>
    <w:tblPr>
      <w:tblStyleRowBandSize w:val="1"/>
      <w:tblStyleColBandSize w:val="1"/>
      <w:tblCellMar>
        <w:left w:w="115" w:type="dxa"/>
        <w:right w:w="115" w:type="dxa"/>
      </w:tblCellMar>
    </w:tblPr>
  </w:style>
  <w:style w:type="table" w:customStyle="1" w:styleId="9">
    <w:name w:val="9"/>
    <w:basedOn w:val="TableNormal1"/>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table" w:customStyle="1" w:styleId="8">
    <w:name w:val="8"/>
    <w:basedOn w:val="TableNormal1"/>
    <w:tblPr>
      <w:tblStyleRowBandSize w:val="1"/>
      <w:tblStyleColBandSize w:val="1"/>
      <w:tblCellMar>
        <w:left w:w="115" w:type="dxa"/>
        <w:right w:w="115" w:type="dxa"/>
      </w:tblCellMar>
    </w:tblPr>
  </w:style>
  <w:style w:type="table" w:customStyle="1" w:styleId="7">
    <w:name w:val="7"/>
    <w:basedOn w:val="TableNormal1"/>
    <w:tblPr>
      <w:tblStyleRowBandSize w:val="1"/>
      <w:tblStyleColBandSize w:val="1"/>
      <w:tblCellMar>
        <w:left w:w="115" w:type="dxa"/>
        <w:right w:w="115" w:type="dxa"/>
      </w:tblCellMar>
    </w:tblPr>
  </w:style>
  <w:style w:type="table" w:customStyle="1" w:styleId="6">
    <w:name w:val="6"/>
    <w:basedOn w:val="TableNormal2"/>
    <w:tblPr>
      <w:tblStyleRowBandSize w:val="1"/>
      <w:tblStyleColBandSize w:val="1"/>
      <w:tblCellMar>
        <w:left w:w="115" w:type="dxa"/>
        <w:right w:w="115" w:type="dxa"/>
      </w:tblCellMar>
    </w:tblPr>
  </w:style>
  <w:style w:type="table" w:customStyle="1" w:styleId="5">
    <w:name w:val="5"/>
    <w:basedOn w:val="TableNormal2"/>
    <w:tblPr>
      <w:tblStyleRowBandSize w:val="1"/>
      <w:tblStyleColBandSize w:val="1"/>
      <w:tblCellMar>
        <w:left w:w="115" w:type="dxa"/>
        <w:right w:w="115" w:type="dxa"/>
      </w:tblCellMar>
    </w:tblPr>
  </w:style>
  <w:style w:type="table" w:customStyle="1" w:styleId="4">
    <w:name w:val="4"/>
    <w:basedOn w:val="TableNormal3"/>
    <w:tblPr>
      <w:tblStyleRowBandSize w:val="1"/>
      <w:tblStyleColBandSize w:val="1"/>
      <w:tblCellMar>
        <w:left w:w="115" w:type="dxa"/>
        <w:right w:w="115" w:type="dxa"/>
      </w:tblCellMar>
    </w:tblPr>
  </w:style>
  <w:style w:type="table" w:customStyle="1" w:styleId="3">
    <w:name w:val="3"/>
    <w:basedOn w:val="TableNormal3"/>
    <w:tblPr>
      <w:tblStyleRowBandSize w:val="1"/>
      <w:tblStyleColBandSize w:val="1"/>
      <w:tblCellMar>
        <w:left w:w="115" w:type="dxa"/>
        <w:right w:w="115" w:type="dxa"/>
      </w:tblCellMar>
    </w:tblPr>
  </w:style>
  <w:style w:type="paragraph" w:styleId="Saludo">
    <w:name w:val="Salutation"/>
    <w:basedOn w:val="Normal"/>
    <w:next w:val="Normal"/>
    <w:link w:val="SaludoCar"/>
    <w:uiPriority w:val="99"/>
    <w:unhideWhenUsed/>
    <w:rsid w:val="00A34A66"/>
  </w:style>
  <w:style w:type="character" w:customStyle="1" w:styleId="SaludoCar">
    <w:name w:val="Saludo Car"/>
    <w:basedOn w:val="Fuentedeprrafopredeter"/>
    <w:link w:val="Saludo"/>
    <w:uiPriority w:val="99"/>
    <w:rsid w:val="00A34A66"/>
  </w:style>
  <w:style w:type="paragraph" w:styleId="Listaconvietas2">
    <w:name w:val="List Bullet 2"/>
    <w:basedOn w:val="Normal"/>
    <w:uiPriority w:val="99"/>
    <w:unhideWhenUsed/>
    <w:rsid w:val="00A34A66"/>
    <w:pPr>
      <w:tabs>
        <w:tab w:val="num" w:pos="720"/>
      </w:tabs>
      <w:ind w:left="720" w:hanging="720"/>
      <w:contextualSpacing/>
    </w:pPr>
  </w:style>
  <w:style w:type="table" w:customStyle="1" w:styleId="2">
    <w:name w:val="2"/>
    <w:basedOn w:val="TableNormal4"/>
    <w:tblPr>
      <w:tblStyleRowBandSize w:val="1"/>
      <w:tblStyleColBandSize w:val="1"/>
      <w:tblCellMar>
        <w:left w:w="115" w:type="dxa"/>
        <w:right w:w="115" w:type="dxa"/>
      </w:tblCellMar>
    </w:tblPr>
  </w:style>
  <w:style w:type="table" w:customStyle="1" w:styleId="1">
    <w:name w:val="1"/>
    <w:basedOn w:val="TableNormal4"/>
    <w:tblPr>
      <w:tblStyleRowBandSize w:val="1"/>
      <w:tblStyleColBandSize w:val="1"/>
      <w:tblCellMar>
        <w:left w:w="115" w:type="dxa"/>
        <w:right w:w="115" w:type="dxa"/>
      </w:tblCellMar>
    </w:tblPr>
  </w:style>
  <w:style w:type="table" w:customStyle="1" w:styleId="23">
    <w:name w:val="23"/>
    <w:basedOn w:val="TableNormal5"/>
    <w:tblPr>
      <w:tblStyleRowBandSize w:val="1"/>
      <w:tblStyleColBandSize w:val="1"/>
      <w:tblCellMar>
        <w:left w:w="115" w:type="dxa"/>
        <w:right w:w="115" w:type="dxa"/>
      </w:tblCellMar>
    </w:tblPr>
  </w:style>
  <w:style w:type="table" w:customStyle="1" w:styleId="22">
    <w:name w:val="22"/>
    <w:basedOn w:val="TableNormal5"/>
    <w:tblPr>
      <w:tblStyleRowBandSize w:val="1"/>
      <w:tblStyleColBandSize w:val="1"/>
      <w:tblCellMar>
        <w:left w:w="115" w:type="dxa"/>
        <w:right w:w="115" w:type="dxa"/>
      </w:tblCellMar>
    </w:tblPr>
  </w:style>
  <w:style w:type="table" w:customStyle="1" w:styleId="21">
    <w:name w:val="21"/>
    <w:basedOn w:val="TableNormal6"/>
    <w:tblPr>
      <w:tblStyleRowBandSize w:val="1"/>
      <w:tblStyleColBandSize w:val="1"/>
      <w:tblCellMar>
        <w:left w:w="115" w:type="dxa"/>
        <w:right w:w="115" w:type="dxa"/>
      </w:tblCellMar>
    </w:tblPr>
  </w:style>
  <w:style w:type="table" w:customStyle="1" w:styleId="20">
    <w:name w:val="20"/>
    <w:basedOn w:val="TableNormal6"/>
    <w:tblPr>
      <w:tblStyleRowBandSize w:val="1"/>
      <w:tblStyleColBandSize w:val="1"/>
      <w:tblCellMar>
        <w:left w:w="115" w:type="dxa"/>
        <w:right w:w="115" w:type="dxa"/>
      </w:tblCellMar>
    </w:tblPr>
  </w:style>
  <w:style w:type="table" w:customStyle="1" w:styleId="19">
    <w:name w:val="19"/>
    <w:basedOn w:val="TableNormal7"/>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8">
    <w:name w:val="18"/>
    <w:basedOn w:val="TableNormal7"/>
    <w:tblPr>
      <w:tblStyleRowBandSize w:val="1"/>
      <w:tblStyleColBandSize w:val="1"/>
      <w:tblCellMar>
        <w:left w:w="115" w:type="dxa"/>
        <w:right w:w="115" w:type="dxa"/>
      </w:tblCellMar>
    </w:tblPr>
  </w:style>
  <w:style w:type="table" w:customStyle="1" w:styleId="17">
    <w:name w:val="17"/>
    <w:basedOn w:val="TableNormal7"/>
    <w:tblPr>
      <w:tblStyleRowBandSize w:val="1"/>
      <w:tblStyleColBandSize w:val="1"/>
      <w:tblCellMar>
        <w:left w:w="115" w:type="dxa"/>
        <w:right w:w="115" w:type="dxa"/>
      </w:tblCellMar>
    </w:tblPr>
  </w:style>
  <w:style w:type="table" w:customStyle="1" w:styleId="16">
    <w:name w:val="16"/>
    <w:basedOn w:val="TableNormal8"/>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5">
    <w:name w:val="15"/>
    <w:basedOn w:val="TableNormal8"/>
    <w:tblPr>
      <w:tblStyleRowBandSize w:val="1"/>
      <w:tblStyleColBandSize w:val="1"/>
      <w:tblCellMar>
        <w:left w:w="115" w:type="dxa"/>
        <w:right w:w="115" w:type="dxa"/>
      </w:tblCellMar>
    </w:tblPr>
  </w:style>
  <w:style w:type="table" w:customStyle="1" w:styleId="14">
    <w:name w:val="14"/>
    <w:basedOn w:val="TableNormal8"/>
    <w:tblPr>
      <w:tblStyleRowBandSize w:val="1"/>
      <w:tblStyleColBandSize w:val="1"/>
      <w:tblCellMar>
        <w:left w:w="115" w:type="dxa"/>
        <w:right w:w="115" w:type="dxa"/>
      </w:tblCellMar>
    </w:tblPr>
  </w:style>
  <w:style w:type="table" w:customStyle="1" w:styleId="13">
    <w:name w:val="13"/>
    <w:basedOn w:val="TableNormal9"/>
    <w:tblPr>
      <w:tblStyleRowBandSize w:val="1"/>
      <w:tblStyleColBandSize w:val="1"/>
      <w:tblCellMar>
        <w:left w:w="115" w:type="dxa"/>
        <w:right w:w="115" w:type="dxa"/>
      </w:tblCellMar>
    </w:tblPr>
  </w:style>
  <w:style w:type="table" w:customStyle="1" w:styleId="12">
    <w:name w:val="12"/>
    <w:basedOn w:val="TableNormal9"/>
    <w:tblPr>
      <w:tblStyleRowBandSize w:val="1"/>
      <w:tblStyleColBandSize w:val="1"/>
      <w:tblCellMar>
        <w:left w:w="115" w:type="dxa"/>
        <w:right w:w="115" w:type="dxa"/>
      </w:tblCellMar>
    </w:tblPr>
  </w:style>
  <w:style w:type="table" w:customStyle="1" w:styleId="26">
    <w:name w:val="26"/>
    <w:basedOn w:val="TableNormal1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25">
    <w:name w:val="25"/>
    <w:basedOn w:val="TableNormal10"/>
    <w:tblPr>
      <w:tblStyleRowBandSize w:val="1"/>
      <w:tblStyleColBandSize w:val="1"/>
      <w:tblCellMar>
        <w:left w:w="115" w:type="dxa"/>
        <w:right w:w="115" w:type="dxa"/>
      </w:tblCellMar>
    </w:tblPr>
  </w:style>
  <w:style w:type="table" w:customStyle="1" w:styleId="24">
    <w:name w:val="24"/>
    <w:basedOn w:val="TableNormal10"/>
    <w:tblPr>
      <w:tblStyleRowBandSize w:val="1"/>
      <w:tblStyleColBandSize w:val="1"/>
      <w:tblCellMar>
        <w:left w:w="115" w:type="dxa"/>
        <w:right w:w="115" w:type="dxa"/>
      </w:tblCellMar>
    </w:tblPr>
  </w:style>
  <w:style w:type="table" w:customStyle="1" w:styleId="Tabladelista1clara-nfasis111">
    <w:name w:val="Tabla de lista 1 clara - Énfasis 111"/>
    <w:basedOn w:val="Tablanormal"/>
    <w:uiPriority w:val="46"/>
    <w:rsid w:val="0096387C"/>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Cita">
    <w:name w:val="Quote"/>
    <w:basedOn w:val="Normal"/>
    <w:next w:val="Normal"/>
    <w:link w:val="CitaCar"/>
    <w:uiPriority w:val="29"/>
    <w:qFormat/>
    <w:rsid w:val="008A3C56"/>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8A3C56"/>
    <w:rPr>
      <w:i/>
      <w:iCs/>
      <w:color w:val="404040" w:themeColor="text1" w:themeTint="BF"/>
    </w:rPr>
  </w:style>
  <w:style w:type="table" w:customStyle="1" w:styleId="a">
    <w:basedOn w:val="TableNormal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562197.page" TargetMode="Externa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562197.page"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AawlKuq8hNw64+m5sC+4rQW0Yhw==">AMUW2mXnskz7MvS2vluUj5LeSidLAa0jF7FSYEO5tWZG6mpPU36xHiJNtKbOHXLOO1gNecQtH5unBqX1rTS8+qeP6Q4kCkd7XQzWJPkgo0uw/nGtqWX1Sod9cK7uA/fY1ulFKA4xCiyoK2whE2Bmd9EoE/6Z9/yNMyVjblLNYFFvc5LxKbJfAVMFO7MLJB05sxRRCPkZFBlJ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60</Pages>
  <Words>14793</Words>
  <Characters>81365</Characters>
  <Application>Microsoft Office Word</Application>
  <DocSecurity>0</DocSecurity>
  <Lines>678</Lines>
  <Paragraphs>191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VILLAGOMEZ</cp:lastModifiedBy>
  <cp:revision>2</cp:revision>
  <cp:lastPrinted>2023-03-31T16:14:00Z</cp:lastPrinted>
  <dcterms:created xsi:type="dcterms:W3CDTF">2023-04-11T02:19:00Z</dcterms:created>
  <dcterms:modified xsi:type="dcterms:W3CDTF">2023-04-11T02:19:00Z</dcterms:modified>
</cp:coreProperties>
</file>