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39B3A" w14:textId="218FAC58" w:rsidR="00BA4645" w:rsidRPr="00985F6A" w:rsidRDefault="00BA4645" w:rsidP="00BA4645">
      <w:pPr>
        <w:spacing w:line="360" w:lineRule="auto"/>
        <w:jc w:val="both"/>
        <w:rPr>
          <w:rFonts w:ascii="Palatino Linotype" w:eastAsiaTheme="minorEastAsia" w:hAnsi="Palatino Linotype"/>
          <w:lang w:val="es-ES_tradnl" w:eastAsia="es-ES"/>
        </w:rPr>
      </w:pPr>
      <w:r w:rsidRPr="00985F6A">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w:t>
      </w:r>
      <w:r w:rsidR="00033B25">
        <w:rPr>
          <w:rFonts w:ascii="Palatino Linotype" w:eastAsiaTheme="minorEastAsia" w:hAnsi="Palatino Linotype"/>
          <w:lang w:val="es-ES_tradnl" w:eastAsia="es-ES"/>
        </w:rPr>
        <w:t xml:space="preserve">ec, Estado de México; de fecha </w:t>
      </w:r>
      <w:r w:rsidR="006F72D0">
        <w:rPr>
          <w:rFonts w:ascii="Palatino Linotype" w:eastAsiaTheme="minorEastAsia" w:hAnsi="Palatino Linotype"/>
          <w:lang w:val="es-ES_tradnl" w:eastAsia="es-ES"/>
        </w:rPr>
        <w:t>diez</w:t>
      </w:r>
      <w:r w:rsidRPr="00985F6A">
        <w:rPr>
          <w:rFonts w:ascii="Palatino Linotype" w:eastAsiaTheme="minorEastAsia" w:hAnsi="Palatino Linotype"/>
          <w:lang w:val="es-ES_tradnl" w:eastAsia="es-ES"/>
        </w:rPr>
        <w:t xml:space="preserve"> (</w:t>
      </w:r>
      <w:r w:rsidR="006F72D0">
        <w:rPr>
          <w:rFonts w:ascii="Palatino Linotype" w:eastAsiaTheme="minorEastAsia" w:hAnsi="Palatino Linotype"/>
          <w:lang w:val="es-ES_tradnl" w:eastAsia="es-ES"/>
        </w:rPr>
        <w:t>10</w:t>
      </w:r>
      <w:r w:rsidRPr="00985F6A">
        <w:rPr>
          <w:rFonts w:ascii="Palatino Linotype" w:eastAsiaTheme="minorEastAsia" w:hAnsi="Palatino Linotype"/>
          <w:lang w:val="es-ES_tradnl" w:eastAsia="es-ES"/>
        </w:rPr>
        <w:t xml:space="preserve">) de mayo de dos mil veintitrés. </w:t>
      </w:r>
    </w:p>
    <w:p w14:paraId="5096E90B" w14:textId="77777777" w:rsidR="00BA4645" w:rsidRPr="00985F6A" w:rsidRDefault="00BA4645" w:rsidP="00BA4645">
      <w:pPr>
        <w:spacing w:line="360" w:lineRule="auto"/>
        <w:jc w:val="both"/>
        <w:rPr>
          <w:rFonts w:ascii="Palatino Linotype" w:eastAsiaTheme="minorEastAsia" w:hAnsi="Palatino Linotype"/>
          <w:lang w:val="es-ES_tradnl" w:eastAsia="es-ES"/>
        </w:rPr>
      </w:pPr>
    </w:p>
    <w:p w14:paraId="48773731" w14:textId="4F2556C6" w:rsidR="00BA4645" w:rsidRPr="00985F6A" w:rsidRDefault="00BA4645" w:rsidP="00BA4645">
      <w:pPr>
        <w:spacing w:line="360" w:lineRule="auto"/>
        <w:jc w:val="both"/>
        <w:rPr>
          <w:rFonts w:ascii="Palatino Linotype" w:hAnsi="Palatino Linotype"/>
        </w:rPr>
      </w:pPr>
      <w:r w:rsidRPr="00985F6A">
        <w:rPr>
          <w:rFonts w:ascii="Palatino Linotype" w:hAnsi="Palatino Linotype"/>
          <w:b/>
        </w:rPr>
        <w:t>VISTO</w:t>
      </w:r>
      <w:r w:rsidRPr="00985F6A">
        <w:rPr>
          <w:rFonts w:ascii="Palatino Linotype" w:hAnsi="Palatino Linotype"/>
        </w:rPr>
        <w:t xml:space="preserve"> el expediente electrónico formado con motivo del recurso de revisión </w:t>
      </w:r>
      <w:r w:rsidR="00D260B4" w:rsidRPr="00985F6A">
        <w:rPr>
          <w:rFonts w:ascii="Palatino Linotype" w:hAnsi="Palatino Linotype"/>
          <w:b/>
        </w:rPr>
        <w:t>01428/INFOEM/IP/RR/2023</w:t>
      </w:r>
      <w:r w:rsidRPr="00985F6A">
        <w:rPr>
          <w:rFonts w:ascii="Palatino Linotype" w:hAnsi="Palatino Linotype"/>
          <w:b/>
        </w:rPr>
        <w:t>,</w:t>
      </w:r>
      <w:r w:rsidRPr="00985F6A">
        <w:rPr>
          <w:rFonts w:ascii="Palatino Linotype" w:hAnsi="Palatino Linotype" w:cs="Arial"/>
          <w:b/>
          <w:bCs/>
        </w:rPr>
        <w:t xml:space="preserve"> </w:t>
      </w:r>
      <w:r w:rsidRPr="00985F6A">
        <w:rPr>
          <w:rFonts w:ascii="Palatino Linotype" w:eastAsiaTheme="minorEastAsia" w:hAnsi="Palatino Linotype"/>
          <w:lang w:val="es-ES_tradnl" w:eastAsia="es-ES"/>
        </w:rPr>
        <w:t xml:space="preserve">promovido </w:t>
      </w:r>
      <w:r w:rsidR="005E5019">
        <w:rPr>
          <w:rFonts w:ascii="Palatino Linotype" w:eastAsiaTheme="minorEastAsia" w:hAnsi="Palatino Linotype"/>
          <w:b/>
          <w:bCs/>
          <w:lang w:eastAsia="es-ES"/>
        </w:rPr>
        <w:t>XXXXXXX</w:t>
      </w:r>
      <w:r w:rsidRPr="00985F6A">
        <w:rPr>
          <w:rFonts w:ascii="Palatino Linotype" w:eastAsiaTheme="minorEastAsia" w:hAnsi="Palatino Linotype"/>
          <w:b/>
          <w:lang w:val="es-ES_tradnl" w:eastAsia="es-ES"/>
        </w:rPr>
        <w:t>,</w:t>
      </w:r>
      <w:r w:rsidRPr="00985F6A">
        <w:rPr>
          <w:rFonts w:ascii="Palatino Linotype" w:hAnsi="Palatino Linotype"/>
        </w:rPr>
        <w:t xml:space="preserve"> quien en lo sucesivo se identificará como </w:t>
      </w:r>
      <w:r w:rsidRPr="00985F6A">
        <w:rPr>
          <w:rFonts w:ascii="Palatino Linotype" w:hAnsi="Palatino Linotype"/>
          <w:b/>
        </w:rPr>
        <w:t xml:space="preserve">EL </w:t>
      </w:r>
      <w:r w:rsidRPr="00985F6A">
        <w:rPr>
          <w:rFonts w:ascii="Palatino Linotype" w:hAnsi="Palatino Linotype" w:cs="Arial"/>
          <w:b/>
        </w:rPr>
        <w:t>RECURRENTE</w:t>
      </w:r>
      <w:r w:rsidRPr="00985F6A">
        <w:rPr>
          <w:rFonts w:ascii="Palatino Linotype" w:hAnsi="Palatino Linotype" w:cs="Arial"/>
        </w:rPr>
        <w:t xml:space="preserve">, en contra de la respuesta del </w:t>
      </w:r>
      <w:r w:rsidR="00D260B4" w:rsidRPr="00985F6A">
        <w:rPr>
          <w:rFonts w:ascii="Palatino Linotype" w:hAnsi="Palatino Linotype" w:cs="Arial"/>
          <w:b/>
          <w:bCs/>
        </w:rPr>
        <w:t>Fiscalía General de Justicia del Estado de México</w:t>
      </w:r>
      <w:r w:rsidRPr="00985F6A">
        <w:rPr>
          <w:rFonts w:ascii="Palatino Linotype" w:hAnsi="Palatino Linotype" w:cs="Arial"/>
          <w:b/>
        </w:rPr>
        <w:t>,</w:t>
      </w:r>
      <w:r w:rsidRPr="00985F6A">
        <w:rPr>
          <w:rFonts w:ascii="Palatino Linotype" w:hAnsi="Palatino Linotype"/>
          <w:b/>
        </w:rPr>
        <w:t xml:space="preserve"> </w:t>
      </w:r>
      <w:r w:rsidRPr="00985F6A">
        <w:rPr>
          <w:rFonts w:ascii="Palatino Linotype" w:hAnsi="Palatino Linotype"/>
        </w:rPr>
        <w:t>en lo sucesivo el</w:t>
      </w:r>
      <w:r w:rsidRPr="00985F6A">
        <w:rPr>
          <w:rFonts w:ascii="Palatino Linotype" w:hAnsi="Palatino Linotype"/>
          <w:b/>
        </w:rPr>
        <w:t xml:space="preserve"> SUJETO OBLIGADO</w:t>
      </w:r>
      <w:r w:rsidRPr="00985F6A">
        <w:rPr>
          <w:rFonts w:ascii="Palatino Linotype" w:hAnsi="Palatino Linotype"/>
        </w:rPr>
        <w:t>, por lo que se procede a dictar la presente resolución, con base en los siguientes:</w:t>
      </w:r>
    </w:p>
    <w:p w14:paraId="208D37BB" w14:textId="77777777" w:rsidR="00BA4645" w:rsidRPr="00985F6A" w:rsidRDefault="00BA4645" w:rsidP="00BA4645">
      <w:pPr>
        <w:spacing w:line="360" w:lineRule="auto"/>
        <w:jc w:val="both"/>
        <w:rPr>
          <w:rFonts w:ascii="Palatino Linotype" w:hAnsi="Palatino Linotype"/>
          <w:b/>
        </w:rPr>
      </w:pPr>
    </w:p>
    <w:p w14:paraId="649FCE1C" w14:textId="77777777" w:rsidR="00BA4645" w:rsidRPr="00985F6A" w:rsidRDefault="00BA4645" w:rsidP="00BA4645">
      <w:pPr>
        <w:keepNext/>
        <w:keepLines/>
        <w:spacing w:line="360" w:lineRule="auto"/>
        <w:jc w:val="center"/>
        <w:outlineLvl w:val="0"/>
        <w:rPr>
          <w:rFonts w:ascii="Palatino Linotype" w:eastAsiaTheme="majorEastAsia" w:hAnsi="Palatino Linotype" w:cstheme="majorBidi"/>
          <w:b/>
        </w:rPr>
      </w:pPr>
      <w:bookmarkStart w:id="0" w:name="_Toc66992241"/>
      <w:r w:rsidRPr="00985F6A">
        <w:rPr>
          <w:rFonts w:ascii="Palatino Linotype" w:eastAsiaTheme="majorEastAsia" w:hAnsi="Palatino Linotype" w:cstheme="majorBidi"/>
          <w:b/>
        </w:rPr>
        <w:t>ANTECEDENTES</w:t>
      </w:r>
      <w:bookmarkEnd w:id="0"/>
    </w:p>
    <w:p w14:paraId="61B2E575" w14:textId="77777777" w:rsidR="00BA4645" w:rsidRPr="00985F6A" w:rsidRDefault="00BA4645" w:rsidP="00BA4645">
      <w:pPr>
        <w:spacing w:line="360" w:lineRule="auto"/>
        <w:rPr>
          <w:rFonts w:ascii="Palatino Linotype" w:eastAsiaTheme="minorEastAsia" w:hAnsi="Palatino Linotype"/>
        </w:rPr>
      </w:pPr>
    </w:p>
    <w:p w14:paraId="271998D1"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lang w:val="es-ES" w:eastAsia="es-ES"/>
        </w:rPr>
      </w:pPr>
      <w:r w:rsidRPr="00985F6A">
        <w:rPr>
          <w:rFonts w:ascii="Palatino Linotype" w:eastAsia="Calibri" w:hAnsi="Palatino Linotype" w:cs="Arial"/>
          <w:sz w:val="24"/>
          <w:lang w:val="es-ES" w:eastAsia="es-ES"/>
        </w:rPr>
        <w:t xml:space="preserve">El </w:t>
      </w:r>
      <w:r w:rsidR="00D260B4" w:rsidRPr="00985F6A">
        <w:rPr>
          <w:rFonts w:ascii="Palatino Linotype" w:eastAsia="Calibri" w:hAnsi="Palatino Linotype" w:cs="Arial"/>
          <w:sz w:val="24"/>
          <w:lang w:val="es-ES" w:eastAsia="es-ES"/>
        </w:rPr>
        <w:t>treinta y uno (31) de enero de dos mil veintitrés</w:t>
      </w:r>
      <w:r w:rsidRPr="00985F6A">
        <w:rPr>
          <w:rFonts w:ascii="Palatino Linotype" w:eastAsia="Calibri" w:hAnsi="Palatino Linotype" w:cs="Arial"/>
          <w:sz w:val="24"/>
          <w:lang w:val="es-ES" w:eastAsia="es-ES"/>
        </w:rPr>
        <w:t>,</w:t>
      </w:r>
      <w:r w:rsidRPr="00985F6A">
        <w:rPr>
          <w:rFonts w:ascii="Palatino Linotype" w:eastAsia="Calibri" w:hAnsi="Palatino Linotype"/>
          <w:sz w:val="24"/>
          <w:lang w:val="es-ES" w:eastAsia="es-ES"/>
        </w:rPr>
        <w:t xml:space="preserve"> </w:t>
      </w:r>
      <w:r w:rsidRPr="00985F6A">
        <w:rPr>
          <w:rFonts w:ascii="Palatino Linotype" w:eastAsia="Calibri" w:hAnsi="Palatino Linotype"/>
          <w:b/>
          <w:sz w:val="24"/>
          <w:lang w:val="es-ES" w:eastAsia="es-ES"/>
        </w:rPr>
        <w:t>EL RECURRENTE</w:t>
      </w:r>
      <w:r w:rsidRPr="00985F6A">
        <w:rPr>
          <w:rFonts w:ascii="Palatino Linotype" w:eastAsiaTheme="minorEastAsia" w:hAnsi="Palatino Linotype"/>
          <w:b/>
          <w:sz w:val="24"/>
          <w:lang w:val="es-ES_tradnl" w:eastAsia="es-ES"/>
        </w:rPr>
        <w:t>,</w:t>
      </w:r>
      <w:r w:rsidRPr="00985F6A">
        <w:rPr>
          <w:rFonts w:ascii="Palatino Linotype" w:eastAsia="Calibri" w:hAnsi="Palatino Linotype" w:cs="Arial"/>
          <w:sz w:val="24"/>
          <w:lang w:val="es-ES" w:eastAsia="es-ES"/>
        </w:rPr>
        <w:t xml:space="preserve"> ante el </w:t>
      </w:r>
      <w:r w:rsidRPr="00985F6A">
        <w:rPr>
          <w:rFonts w:ascii="Palatino Linotype" w:eastAsia="Calibri" w:hAnsi="Palatino Linotype" w:cs="Arial"/>
          <w:b/>
          <w:sz w:val="24"/>
          <w:lang w:val="es-ES" w:eastAsia="es-ES"/>
        </w:rPr>
        <w:t>SUJETO OBLIGADO</w:t>
      </w:r>
      <w:r w:rsidRPr="00985F6A">
        <w:rPr>
          <w:rFonts w:ascii="Palatino Linotype" w:eastAsia="Calibri" w:hAnsi="Palatino Linotype" w:cs="Arial"/>
          <w:sz w:val="24"/>
          <w:lang w:val="es-ES_tradnl" w:eastAsia="es-ES"/>
        </w:rPr>
        <w:t xml:space="preserve"> vía </w:t>
      </w:r>
      <w:r w:rsidRPr="00985F6A">
        <w:rPr>
          <w:rFonts w:ascii="Palatino Linotype" w:eastAsia="Calibri" w:hAnsi="Palatino Linotype" w:cs="Arial"/>
          <w:sz w:val="24"/>
          <w:lang w:val="es-ES" w:eastAsia="es-ES"/>
        </w:rPr>
        <w:t>Sistema de Acceso a la Información Mexiquense (</w:t>
      </w:r>
      <w:r w:rsidRPr="00985F6A">
        <w:rPr>
          <w:rFonts w:ascii="Palatino Linotype" w:eastAsia="Calibri" w:hAnsi="Palatino Linotype" w:cs="Arial"/>
          <w:b/>
          <w:sz w:val="24"/>
          <w:lang w:val="es-ES" w:eastAsia="es-ES"/>
        </w:rPr>
        <w:t>SAIMEX)</w:t>
      </w:r>
      <w:r w:rsidRPr="00985F6A">
        <w:rPr>
          <w:rFonts w:ascii="Palatino Linotype" w:eastAsia="Calibri" w:hAnsi="Palatino Linotype" w:cs="Arial"/>
          <w:sz w:val="24"/>
          <w:lang w:val="es-ES" w:eastAsia="es-ES"/>
        </w:rPr>
        <w:t xml:space="preserve">, presentó una solicitud de información registrada con el número </w:t>
      </w:r>
      <w:r w:rsidR="00D260B4" w:rsidRPr="00985F6A">
        <w:rPr>
          <w:rFonts w:ascii="Palatino Linotype" w:hAnsi="Palatino Linotype"/>
          <w:b/>
          <w:bCs/>
          <w:sz w:val="24"/>
        </w:rPr>
        <w:t>00100/FGJ/IP/2023</w:t>
      </w:r>
      <w:r w:rsidRPr="00985F6A">
        <w:rPr>
          <w:rFonts w:ascii="Palatino Linotype" w:eastAsiaTheme="minorEastAsia" w:hAnsi="Palatino Linotype"/>
          <w:b/>
          <w:sz w:val="24"/>
          <w:lang w:val="es-ES_tradnl" w:eastAsia="es-ES"/>
        </w:rPr>
        <w:t xml:space="preserve">, </w:t>
      </w:r>
      <w:r w:rsidRPr="00985F6A">
        <w:rPr>
          <w:rFonts w:ascii="Palatino Linotype" w:eastAsia="Calibri" w:hAnsi="Palatino Linotype" w:cs="Arial"/>
          <w:sz w:val="24"/>
          <w:lang w:val="es-ES" w:eastAsia="es-ES"/>
        </w:rPr>
        <w:t>mediante la cual solicitó lo siguiente:</w:t>
      </w:r>
    </w:p>
    <w:p w14:paraId="1C083F34" w14:textId="77777777" w:rsidR="00BA4645" w:rsidRPr="00985F6A" w:rsidRDefault="00BA4645" w:rsidP="00BA4645">
      <w:pPr>
        <w:pStyle w:val="Prrafodelista"/>
        <w:spacing w:line="360" w:lineRule="auto"/>
        <w:ind w:left="0"/>
        <w:jc w:val="both"/>
        <w:rPr>
          <w:rFonts w:ascii="Palatino Linotype" w:hAnsi="Palatino Linotype" w:cs="Arial"/>
          <w:szCs w:val="22"/>
          <w:lang w:val="es-ES" w:eastAsia="es-ES"/>
        </w:rPr>
      </w:pPr>
    </w:p>
    <w:p w14:paraId="036D66FD" w14:textId="77777777" w:rsidR="00BA4645" w:rsidRPr="00985F6A" w:rsidRDefault="00BA4645" w:rsidP="00BA4645">
      <w:pPr>
        <w:pStyle w:val="Prrafodelista"/>
        <w:spacing w:line="360" w:lineRule="auto"/>
        <w:ind w:right="567"/>
        <w:jc w:val="both"/>
        <w:rPr>
          <w:rFonts w:ascii="Palatino Linotype" w:hAnsi="Palatino Linotype"/>
          <w:i/>
          <w:color w:val="000000"/>
          <w:szCs w:val="22"/>
        </w:rPr>
      </w:pPr>
      <w:r w:rsidRPr="00985F6A">
        <w:rPr>
          <w:rFonts w:ascii="Palatino Linotype" w:hAnsi="Palatino Linotype"/>
          <w:i/>
          <w:color w:val="000000"/>
          <w:szCs w:val="22"/>
        </w:rPr>
        <w:t>“</w:t>
      </w:r>
      <w:r w:rsidR="00D260B4" w:rsidRPr="00985F6A">
        <w:rPr>
          <w:rFonts w:ascii="Palatino Linotype" w:hAnsi="Palatino Linotype"/>
          <w:i/>
          <w:color w:val="000000"/>
          <w:szCs w:val="22"/>
        </w:rPr>
        <w:t>FAVOR DE RESPONDER A LA SOLICITUD EN FORMATO DE DATOS ABIERTOS (HOJA DE CALCULO EXCEL).</w:t>
      </w:r>
      <w:r w:rsidRPr="00985F6A">
        <w:rPr>
          <w:rFonts w:ascii="Palatino Linotype" w:hAnsi="Palatino Linotype"/>
          <w:i/>
          <w:color w:val="000000"/>
          <w:szCs w:val="22"/>
        </w:rPr>
        <w:t xml:space="preserve">” (Sic) </w:t>
      </w:r>
    </w:p>
    <w:p w14:paraId="1714BB20" w14:textId="77777777" w:rsidR="00BA4645" w:rsidRPr="00985F6A" w:rsidRDefault="00BA4645" w:rsidP="00BA4645">
      <w:pPr>
        <w:pStyle w:val="Prrafodelista"/>
        <w:spacing w:line="360" w:lineRule="auto"/>
        <w:ind w:left="0"/>
        <w:jc w:val="both"/>
        <w:rPr>
          <w:rFonts w:ascii="Palatino Linotype" w:hAnsi="Palatino Linotype" w:cs="Arial"/>
          <w:sz w:val="24"/>
          <w:szCs w:val="22"/>
          <w:lang w:val="es-ES" w:eastAsia="es-ES"/>
        </w:rPr>
      </w:pPr>
    </w:p>
    <w:p w14:paraId="115B6B7B"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hAnsi="Palatino Linotype" w:cs="Arial"/>
          <w:sz w:val="24"/>
          <w:szCs w:val="22"/>
          <w:lang w:val="es-ES" w:eastAsia="es-ES"/>
        </w:rPr>
        <w:t xml:space="preserve">El </w:t>
      </w:r>
      <w:r w:rsidR="00D260B4" w:rsidRPr="00985F6A">
        <w:rPr>
          <w:rFonts w:ascii="Palatino Linotype" w:hAnsi="Palatino Linotype" w:cs="Arial"/>
          <w:sz w:val="24"/>
          <w:szCs w:val="22"/>
          <w:lang w:val="es-ES" w:eastAsia="es-ES"/>
        </w:rPr>
        <w:t>dos (02) de febrero de dos mil veintitrés</w:t>
      </w:r>
      <w:r w:rsidRPr="00985F6A">
        <w:rPr>
          <w:rFonts w:ascii="Palatino Linotype" w:hAnsi="Palatino Linotype" w:cs="Arial"/>
          <w:sz w:val="24"/>
          <w:szCs w:val="22"/>
          <w:lang w:val="es-ES" w:eastAsia="es-ES"/>
        </w:rPr>
        <w:t>, se realizó un requerimiento al servidor público habilitado.</w:t>
      </w:r>
    </w:p>
    <w:p w14:paraId="7B3711A4" w14:textId="77777777" w:rsidR="00BA4645" w:rsidRPr="00985F6A" w:rsidRDefault="00BA4645" w:rsidP="00BA4645">
      <w:pPr>
        <w:pStyle w:val="Prrafodelista"/>
        <w:spacing w:line="360" w:lineRule="auto"/>
        <w:ind w:left="0"/>
        <w:jc w:val="both"/>
        <w:rPr>
          <w:rFonts w:ascii="Palatino Linotype" w:hAnsi="Palatino Linotype" w:cs="Arial"/>
          <w:sz w:val="24"/>
          <w:szCs w:val="22"/>
          <w:lang w:val="es-ES" w:eastAsia="es-ES"/>
        </w:rPr>
      </w:pPr>
    </w:p>
    <w:p w14:paraId="0AACB71E" w14:textId="77777777" w:rsidR="00BA4645" w:rsidRPr="00985F6A" w:rsidRDefault="00BA4645" w:rsidP="00BA4645">
      <w:pPr>
        <w:pStyle w:val="Prrafodelista"/>
        <w:spacing w:line="360" w:lineRule="auto"/>
        <w:ind w:left="0"/>
        <w:jc w:val="both"/>
      </w:pPr>
    </w:p>
    <w:p w14:paraId="1EF9BB2A"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eastAsiaTheme="minorEastAsia" w:hAnsi="Palatino Linotype"/>
          <w:sz w:val="24"/>
          <w:szCs w:val="22"/>
          <w:lang w:val="es-ES_tradnl" w:eastAsia="es-ES"/>
        </w:rPr>
        <w:lastRenderedPageBreak/>
        <w:t xml:space="preserve">El </w:t>
      </w:r>
      <w:r w:rsidR="00D260B4" w:rsidRPr="00985F6A">
        <w:rPr>
          <w:rFonts w:ascii="Palatino Linotype" w:eastAsiaTheme="minorEastAsia" w:hAnsi="Palatino Linotype"/>
          <w:sz w:val="24"/>
          <w:szCs w:val="22"/>
          <w:lang w:val="es-ES_tradnl" w:eastAsia="es-ES"/>
        </w:rPr>
        <w:t>veinte (20) de febrero de dos mil veintitrés</w:t>
      </w:r>
      <w:r w:rsidRPr="00985F6A">
        <w:rPr>
          <w:rFonts w:ascii="Palatino Linotype" w:eastAsiaTheme="minorEastAsia" w:hAnsi="Palatino Linotype"/>
          <w:sz w:val="24"/>
          <w:szCs w:val="22"/>
          <w:lang w:val="es-ES_tradnl" w:eastAsia="es-ES"/>
        </w:rPr>
        <w:t xml:space="preserve">, </w:t>
      </w:r>
      <w:r w:rsidRPr="00985F6A">
        <w:rPr>
          <w:rFonts w:ascii="Palatino Linotype" w:eastAsia="Calibri" w:hAnsi="Palatino Linotype"/>
          <w:sz w:val="24"/>
          <w:szCs w:val="22"/>
          <w:lang w:val="es-ES" w:eastAsia="es-ES"/>
        </w:rPr>
        <w:t xml:space="preserve">el </w:t>
      </w:r>
      <w:r w:rsidRPr="00985F6A">
        <w:rPr>
          <w:rFonts w:ascii="Palatino Linotype" w:eastAsia="Calibri" w:hAnsi="Palatino Linotype" w:cs="Arial"/>
          <w:b/>
          <w:sz w:val="24"/>
          <w:szCs w:val="22"/>
          <w:lang w:val="es-AR" w:eastAsia="es-ES"/>
        </w:rPr>
        <w:t>SUJETO OBLIGADO</w:t>
      </w:r>
      <w:r w:rsidRPr="00985F6A">
        <w:rPr>
          <w:rFonts w:ascii="Palatino Linotype" w:eastAsia="Calibri" w:hAnsi="Palatino Linotype" w:cs="Arial"/>
          <w:b/>
          <w:i/>
          <w:sz w:val="24"/>
          <w:szCs w:val="22"/>
          <w:lang w:val="es-AR" w:eastAsia="es-ES"/>
        </w:rPr>
        <w:t xml:space="preserve"> </w:t>
      </w:r>
      <w:r w:rsidRPr="00985F6A">
        <w:rPr>
          <w:rFonts w:ascii="Palatino Linotype" w:hAnsi="Palatino Linotype" w:cs="Arial"/>
          <w:sz w:val="24"/>
          <w:szCs w:val="22"/>
          <w:lang w:val="es-ES" w:eastAsia="es-ES"/>
        </w:rPr>
        <w:t>dio respuesta a la solicitud de información en los siguientes términos:</w:t>
      </w:r>
    </w:p>
    <w:p w14:paraId="6D8DF5C0" w14:textId="77777777" w:rsidR="00BA4645" w:rsidRPr="00985F6A" w:rsidRDefault="00BA4645" w:rsidP="00BA4645">
      <w:pPr>
        <w:spacing w:line="360" w:lineRule="auto"/>
        <w:jc w:val="both"/>
        <w:rPr>
          <w:rFonts w:ascii="Palatino Linotype" w:hAnsi="Palatino Linotype" w:cs="Arial"/>
          <w:szCs w:val="22"/>
          <w:lang w:val="es-ES" w:eastAsia="es-ES"/>
        </w:rPr>
      </w:pPr>
    </w:p>
    <w:tbl>
      <w:tblPr>
        <w:tblW w:w="7586" w:type="dxa"/>
        <w:jc w:val="center"/>
        <w:tblCellSpacing w:w="0" w:type="dxa"/>
        <w:tblCellMar>
          <w:left w:w="0" w:type="dxa"/>
          <w:right w:w="0" w:type="dxa"/>
        </w:tblCellMar>
        <w:tblLook w:val="04A0" w:firstRow="1" w:lastRow="0" w:firstColumn="1" w:lastColumn="0" w:noHBand="0" w:noVBand="1"/>
      </w:tblPr>
      <w:tblGrid>
        <w:gridCol w:w="7586"/>
      </w:tblGrid>
      <w:tr w:rsidR="00D260B4" w:rsidRPr="00985F6A" w14:paraId="457A43DC" w14:textId="77777777" w:rsidTr="00D260B4">
        <w:trPr>
          <w:trHeight w:val="320"/>
          <w:tblCellSpacing w:w="0" w:type="dxa"/>
          <w:jc w:val="center"/>
        </w:trPr>
        <w:tc>
          <w:tcPr>
            <w:tcW w:w="0" w:type="auto"/>
            <w:vAlign w:val="center"/>
            <w:hideMark/>
          </w:tcPr>
          <w:p w14:paraId="7A19A921" w14:textId="77777777" w:rsidR="00D260B4" w:rsidRPr="00985F6A" w:rsidRDefault="00D260B4" w:rsidP="00D260B4">
            <w:pPr>
              <w:jc w:val="right"/>
              <w:rPr>
                <w:rFonts w:ascii="Palatino Linotype" w:hAnsi="Palatino Linotype"/>
                <w:i/>
                <w:sz w:val="22"/>
                <w:lang w:val="es-ES" w:eastAsia="es-ES"/>
              </w:rPr>
            </w:pPr>
            <w:r w:rsidRPr="00985F6A">
              <w:rPr>
                <w:rFonts w:ascii="Palatino Linotype" w:hAnsi="Palatino Linotype"/>
                <w:i/>
                <w:sz w:val="22"/>
                <w:szCs w:val="18"/>
                <w:lang w:val="es-ES" w:eastAsia="es-ES"/>
              </w:rPr>
              <w:t>“Metepec, México a 20 de Febrero de 2023</w:t>
            </w:r>
          </w:p>
        </w:tc>
      </w:tr>
      <w:tr w:rsidR="00D260B4" w:rsidRPr="00985F6A" w14:paraId="14DD576E" w14:textId="77777777" w:rsidTr="00D260B4">
        <w:trPr>
          <w:trHeight w:val="320"/>
          <w:tblCellSpacing w:w="0" w:type="dxa"/>
          <w:jc w:val="center"/>
        </w:trPr>
        <w:tc>
          <w:tcPr>
            <w:tcW w:w="0" w:type="auto"/>
            <w:vAlign w:val="center"/>
            <w:hideMark/>
          </w:tcPr>
          <w:p w14:paraId="7E8A25E9" w14:textId="77777777" w:rsidR="00D260B4" w:rsidRPr="00985F6A" w:rsidRDefault="00D260B4" w:rsidP="00D260B4">
            <w:pPr>
              <w:jc w:val="right"/>
              <w:rPr>
                <w:rFonts w:ascii="Palatino Linotype" w:hAnsi="Palatino Linotype"/>
                <w:i/>
                <w:sz w:val="22"/>
                <w:lang w:val="es-ES" w:eastAsia="es-ES"/>
              </w:rPr>
            </w:pPr>
            <w:r w:rsidRPr="00985F6A">
              <w:rPr>
                <w:rFonts w:ascii="Palatino Linotype" w:hAnsi="Palatino Linotype"/>
                <w:i/>
                <w:sz w:val="22"/>
                <w:szCs w:val="18"/>
                <w:lang w:val="es-ES" w:eastAsia="es-ES"/>
              </w:rPr>
              <w:t>Nombre del solicitante:</w:t>
            </w:r>
          </w:p>
        </w:tc>
      </w:tr>
      <w:tr w:rsidR="00D260B4" w:rsidRPr="00985F6A" w14:paraId="7E1D77B3" w14:textId="77777777" w:rsidTr="00D260B4">
        <w:trPr>
          <w:trHeight w:val="320"/>
          <w:tblCellSpacing w:w="0" w:type="dxa"/>
          <w:jc w:val="center"/>
        </w:trPr>
        <w:tc>
          <w:tcPr>
            <w:tcW w:w="0" w:type="auto"/>
            <w:vAlign w:val="center"/>
            <w:hideMark/>
          </w:tcPr>
          <w:p w14:paraId="0A6FCD23" w14:textId="77777777" w:rsidR="00D260B4" w:rsidRPr="00985F6A" w:rsidRDefault="00D260B4" w:rsidP="00D260B4">
            <w:pPr>
              <w:jc w:val="right"/>
              <w:rPr>
                <w:rFonts w:ascii="Palatino Linotype" w:hAnsi="Palatino Linotype"/>
                <w:i/>
                <w:sz w:val="22"/>
                <w:lang w:val="es-ES" w:eastAsia="es-ES"/>
              </w:rPr>
            </w:pPr>
            <w:r w:rsidRPr="00985F6A">
              <w:rPr>
                <w:rFonts w:ascii="Palatino Linotype" w:hAnsi="Palatino Linotype"/>
                <w:i/>
                <w:sz w:val="22"/>
                <w:szCs w:val="18"/>
                <w:lang w:val="es-ES" w:eastAsia="es-ES"/>
              </w:rPr>
              <w:t>Folio de la solicitud: 00100/FGJ/IP/2023</w:t>
            </w:r>
          </w:p>
        </w:tc>
      </w:tr>
      <w:tr w:rsidR="00D260B4" w:rsidRPr="00985F6A" w14:paraId="718EF729" w14:textId="77777777" w:rsidTr="00D260B4">
        <w:trPr>
          <w:trHeight w:val="480"/>
          <w:tblCellSpacing w:w="0" w:type="dxa"/>
          <w:jc w:val="center"/>
        </w:trPr>
        <w:tc>
          <w:tcPr>
            <w:tcW w:w="0" w:type="auto"/>
            <w:vAlign w:val="center"/>
            <w:hideMark/>
          </w:tcPr>
          <w:p w14:paraId="4B8612E0" w14:textId="77777777" w:rsidR="00D260B4" w:rsidRPr="00985F6A" w:rsidRDefault="00D260B4" w:rsidP="00D260B4">
            <w:pPr>
              <w:jc w:val="right"/>
              <w:rPr>
                <w:rFonts w:ascii="Palatino Linotype" w:hAnsi="Palatino Linotype"/>
                <w:i/>
                <w:sz w:val="22"/>
                <w:lang w:val="es-ES" w:eastAsia="es-ES"/>
              </w:rPr>
            </w:pPr>
          </w:p>
        </w:tc>
      </w:tr>
      <w:tr w:rsidR="00D260B4" w:rsidRPr="00985F6A" w14:paraId="444C7137" w14:textId="77777777" w:rsidTr="00D260B4">
        <w:trPr>
          <w:trHeight w:val="160"/>
          <w:tblCellSpacing w:w="0" w:type="dxa"/>
          <w:jc w:val="center"/>
        </w:trPr>
        <w:tc>
          <w:tcPr>
            <w:tcW w:w="0" w:type="auto"/>
            <w:vAlign w:val="center"/>
            <w:hideMark/>
          </w:tcPr>
          <w:p w14:paraId="14ACCD4B" w14:textId="77777777" w:rsidR="00D260B4" w:rsidRPr="00985F6A" w:rsidRDefault="00D260B4" w:rsidP="00D260B4">
            <w:pPr>
              <w:rPr>
                <w:rFonts w:ascii="Palatino Linotype" w:hAnsi="Palatino Linotype"/>
                <w:i/>
                <w:sz w:val="22"/>
                <w:lang w:val="es-ES" w:eastAsia="es-ES"/>
              </w:rPr>
            </w:pPr>
            <w:r w:rsidRPr="00985F6A">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260B4" w:rsidRPr="00985F6A" w14:paraId="71698131" w14:textId="77777777" w:rsidTr="00D260B4">
        <w:trPr>
          <w:trHeight w:val="400"/>
          <w:tblCellSpacing w:w="0" w:type="dxa"/>
          <w:jc w:val="center"/>
        </w:trPr>
        <w:tc>
          <w:tcPr>
            <w:tcW w:w="0" w:type="auto"/>
            <w:vAlign w:val="center"/>
            <w:hideMark/>
          </w:tcPr>
          <w:p w14:paraId="43A022F2" w14:textId="77777777" w:rsidR="00D260B4" w:rsidRPr="00985F6A" w:rsidRDefault="00D260B4" w:rsidP="00D260B4">
            <w:pPr>
              <w:rPr>
                <w:rFonts w:ascii="Palatino Linotype" w:hAnsi="Palatino Linotype"/>
                <w:i/>
                <w:sz w:val="22"/>
                <w:lang w:val="es-ES" w:eastAsia="es-ES"/>
              </w:rPr>
            </w:pPr>
          </w:p>
        </w:tc>
      </w:tr>
      <w:tr w:rsidR="00D260B4" w:rsidRPr="00985F6A" w14:paraId="23B42EA2" w14:textId="77777777" w:rsidTr="00D260B4">
        <w:trPr>
          <w:trHeight w:val="160"/>
          <w:tblCellSpacing w:w="0" w:type="dxa"/>
          <w:jc w:val="center"/>
        </w:trPr>
        <w:tc>
          <w:tcPr>
            <w:tcW w:w="0" w:type="auto"/>
            <w:vAlign w:val="center"/>
            <w:hideMark/>
          </w:tcPr>
          <w:p w14:paraId="778E287D" w14:textId="77777777" w:rsidR="00D260B4" w:rsidRPr="00985F6A" w:rsidRDefault="00D260B4" w:rsidP="00D260B4">
            <w:pPr>
              <w:rPr>
                <w:rFonts w:ascii="Palatino Linotype" w:hAnsi="Palatino Linotype"/>
                <w:i/>
                <w:sz w:val="22"/>
                <w:lang w:val="es-ES" w:eastAsia="es-ES"/>
              </w:rPr>
            </w:pPr>
            <w:r w:rsidRPr="00985F6A">
              <w:rPr>
                <w:rFonts w:ascii="Palatino Linotype" w:hAnsi="Palatino Linotype"/>
                <w:i/>
                <w:sz w:val="22"/>
                <w:szCs w:val="18"/>
                <w:lang w:val="es-ES" w:eastAsia="es-ES"/>
              </w:rPr>
              <w:t>SE ANEXA RESPUESTA</w:t>
            </w:r>
          </w:p>
        </w:tc>
      </w:tr>
      <w:tr w:rsidR="00D260B4" w:rsidRPr="00985F6A" w14:paraId="5A6A9AA1" w14:textId="77777777" w:rsidTr="00D260B4">
        <w:trPr>
          <w:trHeight w:val="400"/>
          <w:tblCellSpacing w:w="0" w:type="dxa"/>
          <w:jc w:val="center"/>
        </w:trPr>
        <w:tc>
          <w:tcPr>
            <w:tcW w:w="0" w:type="auto"/>
            <w:vAlign w:val="center"/>
            <w:hideMark/>
          </w:tcPr>
          <w:p w14:paraId="526DD3FE" w14:textId="77777777" w:rsidR="00D260B4" w:rsidRPr="00985F6A" w:rsidRDefault="00D260B4" w:rsidP="00D260B4">
            <w:pPr>
              <w:rPr>
                <w:rFonts w:ascii="Palatino Linotype" w:hAnsi="Palatino Linotype"/>
                <w:i/>
                <w:sz w:val="22"/>
                <w:lang w:val="es-ES" w:eastAsia="es-ES"/>
              </w:rPr>
            </w:pPr>
          </w:p>
        </w:tc>
      </w:tr>
      <w:tr w:rsidR="00D260B4" w:rsidRPr="00985F6A" w14:paraId="0B346DC3" w14:textId="77777777" w:rsidTr="00D260B4">
        <w:trPr>
          <w:trHeight w:val="160"/>
          <w:tblCellSpacing w:w="0" w:type="dxa"/>
          <w:jc w:val="center"/>
        </w:trPr>
        <w:tc>
          <w:tcPr>
            <w:tcW w:w="0" w:type="auto"/>
            <w:vAlign w:val="center"/>
            <w:hideMark/>
          </w:tcPr>
          <w:p w14:paraId="46BAE6C8" w14:textId="77777777" w:rsidR="00D260B4" w:rsidRPr="00985F6A" w:rsidRDefault="00D260B4" w:rsidP="00D260B4">
            <w:pPr>
              <w:jc w:val="center"/>
              <w:rPr>
                <w:rFonts w:ascii="Palatino Linotype" w:hAnsi="Palatino Linotype"/>
                <w:i/>
                <w:sz w:val="22"/>
                <w:szCs w:val="20"/>
                <w:lang w:val="es-ES" w:eastAsia="es-ES"/>
              </w:rPr>
            </w:pPr>
          </w:p>
        </w:tc>
      </w:tr>
      <w:tr w:rsidR="00D260B4" w:rsidRPr="00985F6A" w14:paraId="05A24A3D" w14:textId="77777777" w:rsidTr="00D260B4">
        <w:trPr>
          <w:trHeight w:val="160"/>
          <w:tblCellSpacing w:w="0" w:type="dxa"/>
          <w:jc w:val="center"/>
        </w:trPr>
        <w:tc>
          <w:tcPr>
            <w:tcW w:w="0" w:type="auto"/>
            <w:vAlign w:val="center"/>
            <w:hideMark/>
          </w:tcPr>
          <w:p w14:paraId="756382EA" w14:textId="77777777" w:rsidR="00D260B4" w:rsidRPr="00985F6A" w:rsidRDefault="00D260B4" w:rsidP="00D260B4">
            <w:pPr>
              <w:rPr>
                <w:rFonts w:ascii="Palatino Linotype" w:hAnsi="Palatino Linotype"/>
                <w:i/>
                <w:sz w:val="22"/>
                <w:szCs w:val="20"/>
                <w:lang w:val="es-ES" w:eastAsia="es-ES"/>
              </w:rPr>
            </w:pPr>
          </w:p>
        </w:tc>
      </w:tr>
      <w:tr w:rsidR="00D260B4" w:rsidRPr="00985F6A" w14:paraId="2584D770" w14:textId="77777777" w:rsidTr="00D260B4">
        <w:trPr>
          <w:trHeight w:val="160"/>
          <w:tblCellSpacing w:w="0" w:type="dxa"/>
          <w:jc w:val="center"/>
        </w:trPr>
        <w:tc>
          <w:tcPr>
            <w:tcW w:w="0" w:type="auto"/>
            <w:vAlign w:val="center"/>
            <w:hideMark/>
          </w:tcPr>
          <w:p w14:paraId="3E06CA1F" w14:textId="77777777" w:rsidR="00D260B4" w:rsidRPr="00985F6A" w:rsidRDefault="00D260B4" w:rsidP="00D260B4">
            <w:pPr>
              <w:rPr>
                <w:rFonts w:ascii="Palatino Linotype" w:hAnsi="Palatino Linotype"/>
                <w:i/>
                <w:sz w:val="22"/>
                <w:lang w:val="es-ES" w:eastAsia="es-ES"/>
              </w:rPr>
            </w:pPr>
            <w:r w:rsidRPr="00985F6A">
              <w:rPr>
                <w:rFonts w:ascii="Palatino Linotype" w:hAnsi="Palatino Linotype"/>
                <w:i/>
                <w:sz w:val="22"/>
                <w:szCs w:val="18"/>
                <w:lang w:val="es-ES" w:eastAsia="es-ES"/>
              </w:rPr>
              <w:t>ATENTAMENTE</w:t>
            </w:r>
          </w:p>
        </w:tc>
      </w:tr>
      <w:tr w:rsidR="00D260B4" w:rsidRPr="00985F6A" w14:paraId="48442064" w14:textId="77777777" w:rsidTr="00D260B4">
        <w:trPr>
          <w:trHeight w:val="240"/>
          <w:tblCellSpacing w:w="0" w:type="dxa"/>
          <w:jc w:val="center"/>
        </w:trPr>
        <w:tc>
          <w:tcPr>
            <w:tcW w:w="0" w:type="auto"/>
            <w:vAlign w:val="center"/>
            <w:hideMark/>
          </w:tcPr>
          <w:p w14:paraId="7449A4CC" w14:textId="77777777" w:rsidR="00D260B4" w:rsidRPr="00985F6A" w:rsidRDefault="00D260B4" w:rsidP="00D260B4">
            <w:pPr>
              <w:rPr>
                <w:rFonts w:ascii="Palatino Linotype" w:hAnsi="Palatino Linotype"/>
                <w:i/>
                <w:sz w:val="22"/>
                <w:lang w:val="es-ES" w:eastAsia="es-ES"/>
              </w:rPr>
            </w:pPr>
          </w:p>
        </w:tc>
      </w:tr>
      <w:tr w:rsidR="00D260B4" w:rsidRPr="00985F6A" w14:paraId="01950454" w14:textId="77777777" w:rsidTr="00D260B4">
        <w:trPr>
          <w:trHeight w:val="160"/>
          <w:tblCellSpacing w:w="0" w:type="dxa"/>
          <w:jc w:val="center"/>
        </w:trPr>
        <w:tc>
          <w:tcPr>
            <w:tcW w:w="0" w:type="auto"/>
            <w:vAlign w:val="center"/>
            <w:hideMark/>
          </w:tcPr>
          <w:p w14:paraId="789B86F3" w14:textId="77777777" w:rsidR="00D260B4" w:rsidRPr="00985F6A" w:rsidRDefault="00D260B4" w:rsidP="00D260B4">
            <w:pPr>
              <w:rPr>
                <w:rFonts w:ascii="Palatino Linotype" w:hAnsi="Palatino Linotype"/>
                <w:i/>
                <w:sz w:val="22"/>
                <w:lang w:val="es-ES" w:eastAsia="es-ES"/>
              </w:rPr>
            </w:pPr>
            <w:r w:rsidRPr="00985F6A">
              <w:rPr>
                <w:rFonts w:ascii="Palatino Linotype" w:hAnsi="Palatino Linotype"/>
                <w:i/>
                <w:sz w:val="22"/>
                <w:szCs w:val="18"/>
                <w:lang w:val="es-ES" w:eastAsia="es-ES"/>
              </w:rPr>
              <w:t>LICENCIADA EN DERECHO NORMA ANGÉLICA ZETINA MARTÍNEZ”</w:t>
            </w:r>
          </w:p>
        </w:tc>
      </w:tr>
    </w:tbl>
    <w:p w14:paraId="4CD3BB4B" w14:textId="77777777" w:rsidR="00BA4645" w:rsidRPr="00985F6A" w:rsidRDefault="00BA4645" w:rsidP="00BA4645">
      <w:pPr>
        <w:spacing w:line="360" w:lineRule="auto"/>
        <w:jc w:val="both"/>
        <w:rPr>
          <w:rFonts w:ascii="Palatino Linotype" w:hAnsi="Palatino Linotype" w:cs="Arial"/>
          <w:szCs w:val="22"/>
          <w:lang w:val="es-ES" w:eastAsia="es-ES"/>
        </w:rPr>
      </w:pPr>
    </w:p>
    <w:p w14:paraId="71C50F99" w14:textId="77777777" w:rsidR="00BA4645" w:rsidRPr="00985F6A" w:rsidRDefault="00BA4645" w:rsidP="00BA4645">
      <w:pPr>
        <w:spacing w:line="360" w:lineRule="auto"/>
        <w:jc w:val="both"/>
        <w:rPr>
          <w:rFonts w:ascii="Palatino Linotype" w:hAnsi="Palatino Linotype" w:cs="Arial"/>
          <w:szCs w:val="22"/>
          <w:lang w:val="es-ES" w:eastAsia="es-ES"/>
        </w:rPr>
      </w:pPr>
      <w:r w:rsidRPr="00985F6A">
        <w:rPr>
          <w:rFonts w:ascii="Palatino Linotype" w:hAnsi="Palatino Linotype" w:cs="Arial"/>
          <w:szCs w:val="22"/>
          <w:lang w:val="es-ES" w:eastAsia="es-ES"/>
        </w:rPr>
        <w:t>A la respuesta se adjuntaron los archivos que se describen enseguida:</w:t>
      </w:r>
    </w:p>
    <w:p w14:paraId="2FF466B4" w14:textId="77777777" w:rsidR="00BA4645" w:rsidRPr="00985F6A" w:rsidRDefault="00BA4645" w:rsidP="00BA4645">
      <w:pPr>
        <w:spacing w:line="360" w:lineRule="auto"/>
        <w:jc w:val="both"/>
        <w:rPr>
          <w:rFonts w:ascii="Palatino Linotype" w:hAnsi="Palatino Linotype" w:cs="Arial"/>
          <w:szCs w:val="22"/>
          <w:lang w:val="es-ES" w:eastAsia="es-ES"/>
        </w:rPr>
      </w:pPr>
    </w:p>
    <w:p w14:paraId="4E14E6A0" w14:textId="77777777" w:rsidR="00BA4645" w:rsidRPr="00985F6A" w:rsidRDefault="00686BA5" w:rsidP="00D260B4">
      <w:pPr>
        <w:pStyle w:val="Prrafodelista"/>
        <w:numPr>
          <w:ilvl w:val="0"/>
          <w:numId w:val="3"/>
        </w:numPr>
        <w:spacing w:line="360" w:lineRule="auto"/>
        <w:jc w:val="both"/>
        <w:rPr>
          <w:rFonts w:ascii="Palatino Linotype" w:hAnsi="Palatino Linotype"/>
        </w:rPr>
      </w:pPr>
      <w:hyperlink r:id="rId7" w:tgtFrame="_blank" w:history="1">
        <w:r w:rsidR="00D260B4" w:rsidRPr="00985F6A">
          <w:rPr>
            <w:rStyle w:val="Hipervnculo"/>
            <w:rFonts w:ascii="Palatino Linotype" w:eastAsiaTheme="majorEastAsia" w:hAnsi="Palatino Linotype" w:cs="Arial"/>
            <w:b/>
            <w:bCs/>
            <w:color w:val="auto"/>
            <w:sz w:val="24"/>
          </w:rPr>
          <w:t>SOL. 100 Modelo_adolescentes_fiscalia_2022.xlsx</w:t>
        </w:r>
      </w:hyperlink>
      <w:r w:rsidR="00D260B4" w:rsidRPr="00985F6A">
        <w:rPr>
          <w:rFonts w:ascii="Palatino Linotype" w:hAnsi="Palatino Linotype"/>
        </w:rPr>
        <w:t xml:space="preserve">: documento en formato Excel </w:t>
      </w:r>
      <w:r w:rsidR="007237DC" w:rsidRPr="00985F6A">
        <w:rPr>
          <w:rFonts w:ascii="Palatino Linotype" w:hAnsi="Palatino Linotype"/>
        </w:rPr>
        <w:t xml:space="preserve">con diversos datos </w:t>
      </w:r>
      <w:r w:rsidR="002E0341" w:rsidRPr="00985F6A">
        <w:rPr>
          <w:rFonts w:ascii="Palatino Linotype" w:hAnsi="Palatino Linotype"/>
        </w:rPr>
        <w:t>solicitados.</w:t>
      </w:r>
    </w:p>
    <w:p w14:paraId="12E05CCC" w14:textId="77777777" w:rsidR="00D260B4" w:rsidRPr="00985F6A" w:rsidRDefault="00D260B4" w:rsidP="00BA4645">
      <w:pPr>
        <w:spacing w:line="360" w:lineRule="auto"/>
        <w:jc w:val="both"/>
        <w:rPr>
          <w:rFonts w:ascii="Palatino Linotype" w:hAnsi="Palatino Linotype"/>
        </w:rPr>
      </w:pPr>
    </w:p>
    <w:p w14:paraId="4454BB53" w14:textId="77777777" w:rsidR="00D260B4" w:rsidRPr="00985F6A" w:rsidRDefault="00686BA5" w:rsidP="00D260B4">
      <w:pPr>
        <w:pStyle w:val="Prrafodelista"/>
        <w:numPr>
          <w:ilvl w:val="0"/>
          <w:numId w:val="3"/>
        </w:numPr>
        <w:spacing w:line="360" w:lineRule="auto"/>
        <w:jc w:val="both"/>
        <w:rPr>
          <w:rFonts w:ascii="Palatino Linotype" w:hAnsi="Palatino Linotype"/>
        </w:rPr>
      </w:pPr>
      <w:hyperlink r:id="rId8" w:tgtFrame="_blank" w:history="1">
        <w:r w:rsidR="00D260B4" w:rsidRPr="00985F6A">
          <w:rPr>
            <w:rStyle w:val="Hipervnculo"/>
            <w:rFonts w:ascii="Palatino Linotype" w:eastAsiaTheme="majorEastAsia" w:hAnsi="Palatino Linotype" w:cs="Arial"/>
            <w:b/>
            <w:bCs/>
            <w:color w:val="auto"/>
            <w:sz w:val="24"/>
          </w:rPr>
          <w:t>RESPUESTA 100.pdf</w:t>
        </w:r>
      </w:hyperlink>
      <w:r w:rsidR="00D260B4" w:rsidRPr="00985F6A">
        <w:rPr>
          <w:rFonts w:ascii="Palatino Linotype" w:hAnsi="Palatino Linotype"/>
        </w:rPr>
        <w:t xml:space="preserve">: </w:t>
      </w:r>
      <w:r w:rsidR="002E0341" w:rsidRPr="00985F6A">
        <w:rPr>
          <w:rFonts w:ascii="Palatino Linotype" w:hAnsi="Palatino Linotype"/>
        </w:rPr>
        <w:t xml:space="preserve">documento de seis fojas en formato .pdf con número de oficio 06132/MAIP/FGJ/2023, suscrito por la encargada de la Unidad de Transparencia, en el cual se da respuesta a los cuestionamientos del particular. </w:t>
      </w:r>
    </w:p>
    <w:p w14:paraId="01A3485B" w14:textId="77777777" w:rsidR="00D260B4" w:rsidRPr="00985F6A" w:rsidRDefault="00D260B4" w:rsidP="00BA4645">
      <w:pPr>
        <w:spacing w:line="360" w:lineRule="auto"/>
        <w:jc w:val="both"/>
        <w:rPr>
          <w:rFonts w:ascii="Palatino Linotype" w:hAnsi="Palatino Linotype" w:cs="Arial"/>
          <w:szCs w:val="22"/>
          <w:lang w:val="es-ES" w:eastAsia="es-ES"/>
        </w:rPr>
      </w:pPr>
    </w:p>
    <w:p w14:paraId="701B7F6E"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eastAsia="Calibri" w:hAnsi="Palatino Linotype" w:cs="Arial"/>
          <w:sz w:val="24"/>
          <w:szCs w:val="22"/>
          <w:lang w:val="es-AR" w:eastAsia="es-ES"/>
        </w:rPr>
        <w:lastRenderedPageBreak/>
        <w:t xml:space="preserve">El </w:t>
      </w:r>
      <w:r w:rsidR="00430C2D" w:rsidRPr="00985F6A">
        <w:rPr>
          <w:rFonts w:ascii="Palatino Linotype" w:eastAsia="Calibri" w:hAnsi="Palatino Linotype" w:cs="Arial"/>
          <w:sz w:val="24"/>
          <w:szCs w:val="22"/>
          <w:lang w:val="es-AR" w:eastAsia="es-ES"/>
        </w:rPr>
        <w:t xml:space="preserve">quince (15) de marzo </w:t>
      </w:r>
      <w:r w:rsidRPr="00985F6A">
        <w:rPr>
          <w:rFonts w:ascii="Palatino Linotype" w:eastAsia="Calibri" w:hAnsi="Palatino Linotype" w:cs="Arial"/>
          <w:sz w:val="24"/>
          <w:szCs w:val="22"/>
          <w:lang w:val="es-AR" w:eastAsia="es-ES"/>
        </w:rPr>
        <w:t xml:space="preserve"> de dos mil </w:t>
      </w:r>
      <w:r w:rsidR="00430C2D" w:rsidRPr="00985F6A">
        <w:rPr>
          <w:rFonts w:ascii="Palatino Linotype" w:eastAsia="Calibri" w:hAnsi="Palatino Linotype" w:cs="Arial"/>
          <w:sz w:val="24"/>
          <w:szCs w:val="22"/>
          <w:lang w:val="es-AR" w:eastAsia="es-ES"/>
        </w:rPr>
        <w:t>veintitrés</w:t>
      </w:r>
      <w:r w:rsidRPr="00985F6A">
        <w:rPr>
          <w:rFonts w:ascii="Palatino Linotype" w:hAnsi="Palatino Linotype" w:cs="Arial"/>
          <w:sz w:val="24"/>
          <w:szCs w:val="22"/>
          <w:lang w:val="es-ES" w:eastAsia="es-ES"/>
        </w:rPr>
        <w:t xml:space="preserve">, </w:t>
      </w:r>
      <w:r w:rsidRPr="00985F6A">
        <w:rPr>
          <w:rFonts w:ascii="Palatino Linotype" w:eastAsiaTheme="minorEastAsia" w:hAnsi="Palatino Linotype"/>
          <w:b/>
          <w:sz w:val="24"/>
          <w:szCs w:val="22"/>
          <w:lang w:val="es-ES_tradnl" w:eastAsia="es-ES"/>
        </w:rPr>
        <w:t>EL RECURRENTE</w:t>
      </w:r>
      <w:r w:rsidRPr="00985F6A">
        <w:rPr>
          <w:rFonts w:ascii="Palatino Linotype" w:hAnsi="Palatino Linotype" w:cs="Arial"/>
          <w:sz w:val="24"/>
          <w:szCs w:val="22"/>
          <w:lang w:val="es-ES" w:eastAsia="es-ES"/>
        </w:rPr>
        <w:t xml:space="preserve"> interpuso el recurso de revisión, en contra de la respuesta, señalando como:</w:t>
      </w:r>
    </w:p>
    <w:p w14:paraId="69F49DE3" w14:textId="77777777" w:rsidR="00BA4645" w:rsidRPr="00985F6A" w:rsidRDefault="00BA4645" w:rsidP="00BA4645">
      <w:pPr>
        <w:pStyle w:val="Prrafodelista"/>
        <w:spacing w:line="360" w:lineRule="auto"/>
        <w:ind w:left="0"/>
        <w:jc w:val="both"/>
        <w:rPr>
          <w:rFonts w:ascii="Palatino Linotype" w:hAnsi="Palatino Linotype" w:cs="Arial"/>
          <w:szCs w:val="22"/>
          <w:lang w:val="es-ES" w:eastAsia="es-ES"/>
        </w:rPr>
      </w:pPr>
    </w:p>
    <w:p w14:paraId="685A0DAA" w14:textId="77777777" w:rsidR="00BA4645" w:rsidRPr="00985F6A" w:rsidRDefault="00BA4645" w:rsidP="00BA4645">
      <w:pPr>
        <w:spacing w:line="360" w:lineRule="auto"/>
        <w:ind w:left="567" w:right="567"/>
        <w:contextualSpacing/>
        <w:jc w:val="both"/>
        <w:rPr>
          <w:rFonts w:ascii="Palatino Linotype" w:eastAsia="Calibri" w:hAnsi="Palatino Linotype" w:cs="Arial"/>
          <w:i/>
          <w:sz w:val="22"/>
          <w:szCs w:val="22"/>
          <w:lang w:val="es-ES" w:eastAsia="es-ES"/>
        </w:rPr>
      </w:pPr>
      <w:r w:rsidRPr="00985F6A">
        <w:rPr>
          <w:rFonts w:ascii="Palatino Linotype" w:eastAsiaTheme="minorEastAsia" w:hAnsi="Palatino Linotype"/>
          <w:b/>
          <w:sz w:val="22"/>
          <w:szCs w:val="22"/>
          <w:lang w:val="es-ES_tradnl" w:eastAsia="es-ES"/>
        </w:rPr>
        <w:t>Acto impugnado</w:t>
      </w:r>
      <w:r w:rsidRPr="00985F6A">
        <w:rPr>
          <w:rFonts w:ascii="Palatino Linotype" w:eastAsiaTheme="minorEastAsia" w:hAnsi="Palatino Linotype"/>
          <w:b/>
          <w:i/>
          <w:sz w:val="22"/>
          <w:szCs w:val="22"/>
          <w:lang w:val="es-ES_tradnl" w:eastAsia="es-ES"/>
        </w:rPr>
        <w:t>:</w:t>
      </w:r>
      <w:r w:rsidRPr="00985F6A">
        <w:rPr>
          <w:rFonts w:ascii="Palatino Linotype" w:hAnsi="Palatino Linotype"/>
          <w:i/>
          <w:color w:val="000000"/>
          <w:sz w:val="22"/>
          <w:szCs w:val="22"/>
        </w:rPr>
        <w:t xml:space="preserve"> “</w:t>
      </w:r>
      <w:r w:rsidR="00430C2D" w:rsidRPr="00985F6A">
        <w:rPr>
          <w:rFonts w:ascii="Palatino Linotype" w:hAnsi="Palatino Linotype"/>
          <w:i/>
          <w:color w:val="000000"/>
          <w:sz w:val="22"/>
          <w:szCs w:val="22"/>
        </w:rPr>
        <w:t>la respuesta ( se Anexa el Escrito)</w:t>
      </w:r>
      <w:r w:rsidRPr="00985F6A">
        <w:rPr>
          <w:rFonts w:ascii="Palatino Linotype" w:hAnsi="Palatino Linotype"/>
          <w:i/>
          <w:color w:val="000000"/>
          <w:sz w:val="22"/>
          <w:szCs w:val="22"/>
        </w:rPr>
        <w:t>" (Sic)</w:t>
      </w:r>
    </w:p>
    <w:p w14:paraId="61CB2ACB" w14:textId="77777777" w:rsidR="00BA4645" w:rsidRPr="00985F6A" w:rsidRDefault="00BA4645" w:rsidP="00BA4645">
      <w:pPr>
        <w:spacing w:line="360" w:lineRule="auto"/>
        <w:ind w:left="567" w:right="567"/>
        <w:contextualSpacing/>
        <w:jc w:val="both"/>
        <w:rPr>
          <w:rFonts w:ascii="Palatino Linotype" w:eastAsia="Calibri" w:hAnsi="Palatino Linotype" w:cs="Arial"/>
          <w:sz w:val="22"/>
          <w:szCs w:val="22"/>
          <w:lang w:val="es-ES" w:eastAsia="es-ES"/>
        </w:rPr>
      </w:pPr>
    </w:p>
    <w:p w14:paraId="4A358723" w14:textId="77777777" w:rsidR="00BA4645" w:rsidRDefault="00BA4645" w:rsidP="00BA4645">
      <w:pPr>
        <w:spacing w:line="360" w:lineRule="auto"/>
        <w:ind w:left="567" w:right="567"/>
        <w:contextualSpacing/>
        <w:jc w:val="both"/>
        <w:rPr>
          <w:rFonts w:ascii="Palatino Linotype" w:hAnsi="Palatino Linotype" w:cs="Arial"/>
          <w:sz w:val="22"/>
          <w:szCs w:val="22"/>
        </w:rPr>
      </w:pPr>
      <w:r w:rsidRPr="00985F6A">
        <w:rPr>
          <w:rFonts w:ascii="Palatino Linotype" w:eastAsiaTheme="minorEastAsia" w:hAnsi="Palatino Linotype"/>
          <w:b/>
          <w:sz w:val="22"/>
          <w:szCs w:val="22"/>
          <w:lang w:val="es-ES_tradnl" w:eastAsia="es-ES"/>
        </w:rPr>
        <w:t>Razones o Motivos de inconformidad: “</w:t>
      </w:r>
      <w:r w:rsidR="00430C2D" w:rsidRPr="00985F6A">
        <w:rPr>
          <w:rFonts w:ascii="Palatino Linotype" w:hAnsi="Palatino Linotype"/>
          <w:i/>
          <w:color w:val="000000"/>
          <w:sz w:val="22"/>
          <w:szCs w:val="14"/>
        </w:rPr>
        <w:t>La respuesta se Anexa el escrito</w:t>
      </w:r>
      <w:r w:rsidRPr="00985F6A">
        <w:rPr>
          <w:rFonts w:ascii="Palatino Linotype" w:hAnsi="Palatino Linotype"/>
          <w:i/>
          <w:color w:val="000000"/>
          <w:sz w:val="22"/>
          <w:szCs w:val="14"/>
        </w:rPr>
        <w:t>” (Sic)</w:t>
      </w:r>
      <w:r w:rsidRPr="00985F6A">
        <w:rPr>
          <w:rFonts w:ascii="Palatino Linotype" w:hAnsi="Palatino Linotype" w:cs="Arial"/>
          <w:sz w:val="22"/>
          <w:szCs w:val="22"/>
        </w:rPr>
        <w:t xml:space="preserve">. </w:t>
      </w:r>
    </w:p>
    <w:p w14:paraId="028E17F2" w14:textId="77777777" w:rsidR="00A23AAF" w:rsidRPr="00985F6A" w:rsidRDefault="00A23AAF" w:rsidP="00A23AAF">
      <w:pPr>
        <w:spacing w:line="360" w:lineRule="auto"/>
        <w:ind w:right="567"/>
        <w:contextualSpacing/>
        <w:jc w:val="both"/>
        <w:rPr>
          <w:rFonts w:ascii="Palatino Linotype" w:hAnsi="Palatino Linotype"/>
          <w:i/>
          <w:color w:val="000000"/>
          <w:sz w:val="36"/>
          <w:szCs w:val="22"/>
        </w:rPr>
      </w:pPr>
    </w:p>
    <w:p w14:paraId="2039444E" w14:textId="77777777" w:rsidR="00A23AAF" w:rsidRDefault="00A23AAF" w:rsidP="00BA4645">
      <w:pPr>
        <w:spacing w:line="360" w:lineRule="auto"/>
        <w:ind w:right="567"/>
        <w:contextualSpacing/>
        <w:jc w:val="both"/>
        <w:rPr>
          <w:rFonts w:ascii="Palatino Linotype" w:hAnsi="Palatino Linotype"/>
          <w:color w:val="000000"/>
          <w:szCs w:val="22"/>
        </w:rPr>
      </w:pPr>
      <w:r>
        <w:rPr>
          <w:rFonts w:ascii="Palatino Linotype" w:hAnsi="Palatino Linotype"/>
          <w:color w:val="000000"/>
          <w:szCs w:val="22"/>
        </w:rPr>
        <w:t>A la interposición del recurso se anexaron los archivos que se describen enseguida:</w:t>
      </w:r>
    </w:p>
    <w:p w14:paraId="4FFE3051" w14:textId="77777777" w:rsidR="00A23AAF" w:rsidRPr="00A23AAF" w:rsidRDefault="00686BA5" w:rsidP="00A23AAF">
      <w:pPr>
        <w:numPr>
          <w:ilvl w:val="0"/>
          <w:numId w:val="5"/>
        </w:numPr>
        <w:spacing w:before="100" w:beforeAutospacing="1" w:after="100" w:afterAutospacing="1" w:line="360" w:lineRule="auto"/>
        <w:rPr>
          <w:rFonts w:ascii="Palatino Linotype" w:hAnsi="Palatino Linotype" w:cs="Arial"/>
          <w:lang w:val="es-ES" w:eastAsia="es-ES"/>
        </w:rPr>
      </w:pPr>
      <w:hyperlink r:id="rId9" w:tgtFrame="_blank" w:history="1">
        <w:r w:rsidR="00A23AAF" w:rsidRPr="00A23AAF">
          <w:rPr>
            <w:rStyle w:val="Hipervnculo"/>
            <w:rFonts w:ascii="Palatino Linotype" w:eastAsiaTheme="majorEastAsia" w:hAnsi="Palatino Linotype" w:cs="Arial"/>
            <w:b/>
            <w:bCs/>
            <w:color w:val="auto"/>
          </w:rPr>
          <w:t>Recurso de revisión Edo Mex.pdf</w:t>
        </w:r>
      </w:hyperlink>
      <w:r w:rsidR="00A23AAF">
        <w:rPr>
          <w:rFonts w:ascii="Palatino Linotype" w:hAnsi="Palatino Linotype" w:cs="Arial"/>
        </w:rPr>
        <w:t>:</w:t>
      </w:r>
    </w:p>
    <w:p w14:paraId="659064F2" w14:textId="77777777" w:rsidR="00A23AAF" w:rsidRPr="00A23AAF" w:rsidRDefault="00A23AAF" w:rsidP="00A23AAF">
      <w:pPr>
        <w:spacing w:before="100" w:beforeAutospacing="1" w:after="100" w:afterAutospacing="1" w:line="360" w:lineRule="auto"/>
        <w:ind w:left="851" w:right="822"/>
        <w:jc w:val="right"/>
        <w:rPr>
          <w:rFonts w:ascii="Palatino Linotype" w:hAnsi="Palatino Linotype"/>
          <w:i/>
          <w:sz w:val="22"/>
        </w:rPr>
      </w:pPr>
      <w:r w:rsidRPr="00A23AAF">
        <w:rPr>
          <w:rFonts w:ascii="Palatino Linotype" w:hAnsi="Palatino Linotype"/>
          <w:i/>
          <w:sz w:val="22"/>
        </w:rPr>
        <w:t xml:space="preserve">“RECURSO DE REVISIÓN </w:t>
      </w:r>
    </w:p>
    <w:p w14:paraId="6F7D89BA" w14:textId="6BA23F8C" w:rsidR="00A23AAF" w:rsidRPr="00A23AAF" w:rsidRDefault="005475F8" w:rsidP="00A23AAF">
      <w:pPr>
        <w:spacing w:before="100" w:beforeAutospacing="1" w:after="100" w:afterAutospacing="1" w:line="360" w:lineRule="auto"/>
        <w:ind w:left="851" w:right="822"/>
        <w:jc w:val="right"/>
        <w:rPr>
          <w:rFonts w:ascii="Palatino Linotype" w:hAnsi="Palatino Linotype"/>
          <w:i/>
          <w:sz w:val="22"/>
        </w:rPr>
      </w:pPr>
      <w:r>
        <w:rPr>
          <w:rFonts w:ascii="Palatino Linotype" w:hAnsi="Palatino Linotype"/>
          <w:i/>
          <w:sz w:val="22"/>
        </w:rPr>
        <w:t xml:space="preserve">XXXXX </w:t>
      </w:r>
      <w:proofErr w:type="spellStart"/>
      <w:r>
        <w:rPr>
          <w:rFonts w:ascii="Palatino Linotype" w:hAnsi="Palatino Linotype"/>
          <w:i/>
          <w:sz w:val="22"/>
        </w:rPr>
        <w:t>XXXXX</w:t>
      </w:r>
      <w:proofErr w:type="spellEnd"/>
      <w:r>
        <w:rPr>
          <w:rFonts w:ascii="Palatino Linotype" w:hAnsi="Palatino Linotype"/>
          <w:i/>
          <w:sz w:val="22"/>
        </w:rPr>
        <w:t xml:space="preserve"> </w:t>
      </w:r>
      <w:proofErr w:type="spellStart"/>
      <w:r>
        <w:rPr>
          <w:rFonts w:ascii="Palatino Linotype" w:hAnsi="Palatino Linotype"/>
          <w:i/>
          <w:sz w:val="22"/>
        </w:rPr>
        <w:t>XXXXX</w:t>
      </w:r>
      <w:proofErr w:type="spellEnd"/>
    </w:p>
    <w:p w14:paraId="3E19A167" w14:textId="77777777" w:rsidR="00A23AAF" w:rsidRPr="00A23AAF" w:rsidRDefault="00A23AAF" w:rsidP="00A23AAF">
      <w:pPr>
        <w:spacing w:before="100" w:beforeAutospacing="1" w:after="100" w:afterAutospacing="1" w:line="360" w:lineRule="auto"/>
        <w:ind w:left="851" w:right="822"/>
        <w:jc w:val="right"/>
        <w:rPr>
          <w:rFonts w:ascii="Palatino Linotype" w:hAnsi="Palatino Linotype"/>
          <w:i/>
          <w:sz w:val="22"/>
        </w:rPr>
      </w:pPr>
      <w:r w:rsidRPr="00A23AAF">
        <w:rPr>
          <w:rFonts w:ascii="Palatino Linotype" w:hAnsi="Palatino Linotype"/>
          <w:i/>
          <w:sz w:val="22"/>
        </w:rPr>
        <w:t xml:space="preserve">V.S. </w:t>
      </w:r>
    </w:p>
    <w:p w14:paraId="7851B791" w14:textId="77777777" w:rsidR="00A23AAF" w:rsidRPr="00A23AAF" w:rsidRDefault="00A23AAF" w:rsidP="00A23AAF">
      <w:pPr>
        <w:spacing w:before="100" w:beforeAutospacing="1" w:after="100" w:afterAutospacing="1" w:line="360" w:lineRule="auto"/>
        <w:ind w:left="851" w:right="822"/>
        <w:jc w:val="right"/>
        <w:rPr>
          <w:rFonts w:ascii="Palatino Linotype" w:hAnsi="Palatino Linotype"/>
          <w:i/>
          <w:sz w:val="22"/>
        </w:rPr>
      </w:pPr>
      <w:r w:rsidRPr="00A23AAF">
        <w:rPr>
          <w:rFonts w:ascii="Palatino Linotype" w:hAnsi="Palatino Linotype"/>
          <w:i/>
          <w:sz w:val="22"/>
        </w:rPr>
        <w:t xml:space="preserve">FISCALÍA GENERAL DEL ESTADO DE MÉXICO </w:t>
      </w:r>
    </w:p>
    <w:p w14:paraId="71FC3CFE"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Instituto de Transparencia, Acceso a la Información Pública y Protección de Datos Personales del Estado de México </w:t>
      </w:r>
    </w:p>
    <w:p w14:paraId="74BCDE45"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PRESENTE </w:t>
      </w:r>
    </w:p>
    <w:p w14:paraId="0CA802F7"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Por medio del presente escrito, promuevo recurso de revisión para la consideración de este H. Instituto de Transparencia, Acceso a la Información Pública y Protección de Datos Personales del Estado de México, esto con motivo de la solicitud de </w:t>
      </w:r>
      <w:r w:rsidRPr="00A23AAF">
        <w:rPr>
          <w:rFonts w:ascii="Palatino Linotype" w:hAnsi="Palatino Linotype"/>
          <w:i/>
          <w:sz w:val="22"/>
        </w:rPr>
        <w:lastRenderedPageBreak/>
        <w:t xml:space="preserve">información con folio 00005091151, misma que fue enviada a través de la PNT a la Unidad de Transparencia de Estado de México, misma que fue no fue contestada por el sujeto obligado. </w:t>
      </w:r>
    </w:p>
    <w:p w14:paraId="248687FD"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En fecha 31 de enero de 2023, el solicitante generó una solicitud de información, misma que lleva el folio 00005091151y se acompañaba de un archivo comprimido, incluyendo una documento descriptivo de la solicitud de información, la cual requería información estadística de la operación del sujeto obligado, dentro de sus facultades y funciones diarias. Del mismo modo, a ésta le acompañaba un documento Excel que servía como modelo de referencia para el vaciado de los datos requeridos. </w:t>
      </w:r>
    </w:p>
    <w:p w14:paraId="581BA89C"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Sin embargo, el plazo máximo que fija la Ley de Transparencia para dar respuesta a la solicitud concluyó en fecha 02 de marzo de 2023, sin que se haya recibido contestación alguna por parte del sujeto obligado, lo cual claramente es una violación a mi derecho de acceso a la información y rendición de cuentas. </w:t>
      </w:r>
    </w:p>
    <w:p w14:paraId="38204F40"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No sobra hacer mención a que la Ley de Transparencia hace mención expresa de que las obligaciones de transparencia comunes a todos los sujetos obligados, incluyen, entre otras: el contar con los indicadores que permitan rendir cuentas de sus objetivos y sus resultados, así como toda la que resulte relevante y de interés público. Por tanto, es obligación para todos los sujetos obligados, el generar y contar con la información estadística que fuera primordial para por dar seguimiento al ejercicio de sus funciones, que en búsqueda de poder evaluarse y considerarse para el constante mejoramiento de la función pública, tendría que ser suficientemente extenso y no tratarse de un simple listado de oficios y documentos. </w:t>
      </w:r>
    </w:p>
    <w:p w14:paraId="4A8D1747"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En este orden de ideas, puede apreciarse que el contenido de la solicitud si bien solicita información detallada y desagregada, así como en formato de datos abiertos, </w:t>
      </w:r>
      <w:r w:rsidRPr="00A23AAF">
        <w:rPr>
          <w:rFonts w:ascii="Palatino Linotype" w:hAnsi="Palatino Linotype"/>
          <w:i/>
          <w:sz w:val="22"/>
        </w:rPr>
        <w:lastRenderedPageBreak/>
        <w:t xml:space="preserve">se trata de información que se genera todos los días en la institución, la cual es parte toral del funcionamiento diario y esencial de la institución, es decir, la información que se solicita es precisamente respecto de las funciones primordiales del sujeto obligado, por tanto, no contar con ella es como decir que la institución no genera la información básica necesaria para dar seguimiento a sus funciones y resultados, lo cual es contrario con las obligaciones de transparencia que le son comunes a todas las instituciones públicas, pero que además argumentar que no se tiene el deber de generarlas a petición de los ciudadanos, lo cual contrasta a sobre manera con los derechos de acceso a la información y rendición de cuentas. </w:t>
      </w:r>
    </w:p>
    <w:p w14:paraId="21C2CE25"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Si bien es cierto, que conforme al criterio 03-17 del INAI, los sujetos obligados no tienen por qué generar documentos ad hoc para el solicitante, sino proporcionar la información en los formatos en que éstos se encuentren sin tener que crear nuevos, dicho criterio, así como el artículo 129° de la Ley General de Transparencia, hacen clara y expresa mención a la obligación de entregar la información que se encuentre en sus archivos o que estén obligados a documentar de acuerdo con sus facultades, competencias o funciones. De modo que, en opinión del solicitante, el asunto a resolver dentro del presente recurso de revisión no es si se hizo mal en acompañar la solicitud de información con un modelo de vaciado, sino el que el sujeto obligado diga no contar con la información requerida sin justificar dicha inexistencia, tratándose precisamente de la información estadística con la que debe contar conforme a las obligaciones de transparencia y a los estándares mínimos de registro y seguimiento estadístico a sus funciones. </w:t>
      </w:r>
    </w:p>
    <w:p w14:paraId="496B22A1"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Aun cuando fuere el caso, de que efectivamente no todas las variables solicitadas se tuvieran con el grado de desagregación que se pide, el sujeto obligado debe proporcionar aquella información con la que cuente y mejor se acerque a dar </w:t>
      </w:r>
      <w:r w:rsidRPr="00A23AAF">
        <w:rPr>
          <w:rFonts w:ascii="Palatino Linotype" w:hAnsi="Palatino Linotype"/>
          <w:i/>
          <w:sz w:val="22"/>
        </w:rPr>
        <w:lastRenderedPageBreak/>
        <w:t xml:space="preserve">respuesta a lo solicitado, pudiéndose tratar, por ejemplo, de denominaciones o clasificaciones similares mas no idénticas a las requeridas, siempre que no se trate de información clasificada. Sin embargo, al tomar como argumento la carga de trabajo que requiere el procesamiento de la información, como motivo para no proporcionar información alguna o querer reducirla a una sola oración, es un claro ejemplo de una errónea interpretación de la legislación en materia de transparencia. </w:t>
      </w:r>
    </w:p>
    <w:p w14:paraId="2E1C5561"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Sirve como apoyo a lo anterior el artículo 127° de la Ley General de Transparencia, mismo que cito a continuación: </w:t>
      </w:r>
    </w:p>
    <w:p w14:paraId="10042A61"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Artículo 127.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 (…) </w:t>
      </w:r>
    </w:p>
    <w:p w14:paraId="0ADA914D"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Como puede apreciarse en el artículo anterior, el derecho de acceso a la información pone altos estándares para que éste no se deje en desamparo, de modo que aun cuando no pueda proporcionarse la información en el grado de detalle que se solicita, el sujeto obligado debe velar por proporcionar aquella información de la que disponga que mejor se acerque a lo solicitado, aun cando implique el darle acceso a consulta directa a aquella información de la que se dispone, misma que tratándose de instituciones con áreas especializadas para el seguimiento estadístico de su operación, sería ingenuo pensar que no existe, pues se estaría en presencia evidente de un incumplimiento flagrante a las obligaciones de transparencia. </w:t>
      </w:r>
    </w:p>
    <w:p w14:paraId="7E04E413"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lastRenderedPageBreak/>
        <w:t xml:space="preserve">Es por todo lo anterior que se solicita a este H. INSTITUTO que se sirva en garantizar el acceso a la información al promovente del presente recurso, instruyendo al sujeto obligado a proporcionar la información requerida en la modalidad y formato solicitado, tal como lo establece la Constitución y la legislación nacional y local en materia de transparencia. </w:t>
      </w:r>
    </w:p>
    <w:p w14:paraId="1CAEBA72"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 xml:space="preserve">No sin antes mencionar que el artículo 146° de la Ley General de Transparencia, establece la obligación de este órgano garante de aplicar en todo momento la suplencia de la queja en beneficio del solicitante: </w:t>
      </w:r>
    </w:p>
    <w:p w14:paraId="76335F88" w14:textId="77777777" w:rsidR="00A23AAF" w:rsidRPr="00A23AAF" w:rsidRDefault="00A23AAF" w:rsidP="00A23AAF">
      <w:pPr>
        <w:spacing w:before="100" w:beforeAutospacing="1" w:after="100" w:afterAutospacing="1" w:line="360" w:lineRule="auto"/>
        <w:ind w:left="851" w:right="822"/>
        <w:jc w:val="both"/>
        <w:rPr>
          <w:rFonts w:ascii="Palatino Linotype" w:hAnsi="Palatino Linotype"/>
          <w:i/>
          <w:sz w:val="22"/>
        </w:rPr>
      </w:pPr>
      <w:r w:rsidRPr="00A23AAF">
        <w:rPr>
          <w:rFonts w:ascii="Palatino Linotype" w:hAnsi="Palatino Linotype"/>
          <w:i/>
          <w:sz w:val="22"/>
        </w:rPr>
        <w:t>Artículo 146. El organismo garante resolverá el recurso de revisión en un plazo que no podrá exceder de cuarenta días, contados a partir de la admisión del mismo, en los términos que establezca la ley respectiva, plazo que podrá ampliarse por una sola vez y hasta por un periodo de veinte días. Durante el procedimiento deberá aplicarse la suplencia de la queja a favor del recurrente, sin cambiar los hechos expuestos, asegurándose de que las partes puedan presentar, de manera oral o escrita, los argumentos que funden y motiven sus pretensiones.</w:t>
      </w:r>
    </w:p>
    <w:p w14:paraId="2BE4E67C" w14:textId="77777777" w:rsidR="00A23AAF" w:rsidRPr="00A23AAF" w:rsidRDefault="00A23AAF" w:rsidP="00A23AAF">
      <w:pPr>
        <w:spacing w:before="100" w:beforeAutospacing="1" w:after="100" w:afterAutospacing="1" w:line="360" w:lineRule="auto"/>
        <w:ind w:left="851" w:right="822"/>
        <w:rPr>
          <w:rFonts w:ascii="Palatino Linotype" w:hAnsi="Palatino Linotype" w:cs="Arial"/>
          <w:i/>
          <w:sz w:val="22"/>
          <w:lang w:val="es-ES" w:eastAsia="es-ES"/>
        </w:rPr>
      </w:pPr>
      <w:r w:rsidRPr="00A23AAF">
        <w:rPr>
          <w:rFonts w:ascii="Palatino Linotype" w:hAnsi="Palatino Linotype"/>
          <w:i/>
          <w:sz w:val="22"/>
        </w:rPr>
        <w:t>…</w:t>
      </w:r>
    </w:p>
    <w:p w14:paraId="076AE31D" w14:textId="77777777" w:rsidR="00A23AAF" w:rsidRPr="00A23AAF" w:rsidRDefault="00686BA5" w:rsidP="00A23AAF">
      <w:pPr>
        <w:numPr>
          <w:ilvl w:val="0"/>
          <w:numId w:val="5"/>
        </w:numPr>
        <w:spacing w:before="100" w:beforeAutospacing="1" w:after="100" w:afterAutospacing="1" w:line="360" w:lineRule="auto"/>
        <w:rPr>
          <w:rFonts w:ascii="Palatino Linotype" w:hAnsi="Palatino Linotype" w:cs="Arial"/>
          <w:lang w:val="es-ES" w:eastAsia="es-ES"/>
        </w:rPr>
      </w:pPr>
      <w:hyperlink r:id="rId10" w:tgtFrame="_blank" w:history="1">
        <w:r w:rsidR="00A23AAF" w:rsidRPr="00A23AAF">
          <w:rPr>
            <w:rStyle w:val="Hipervnculo"/>
            <w:rFonts w:ascii="Palatino Linotype" w:eastAsiaTheme="majorEastAsia" w:hAnsi="Palatino Linotype" w:cs="Arial"/>
            <w:b/>
            <w:bCs/>
            <w:color w:val="auto"/>
          </w:rPr>
          <w:t>Acuse_00005091151 (2).pdf</w:t>
        </w:r>
      </w:hyperlink>
      <w:r w:rsidR="00A23AAF">
        <w:rPr>
          <w:rFonts w:ascii="Palatino Linotype" w:hAnsi="Palatino Linotype" w:cs="Arial"/>
        </w:rPr>
        <w:t xml:space="preserve">: acuse de la solicitud de información. </w:t>
      </w:r>
    </w:p>
    <w:p w14:paraId="2A978EA0"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hAnsi="Palatino Linotype" w:cs="Arial"/>
          <w:sz w:val="24"/>
          <w:lang w:val="es-ES" w:eastAsia="es-ES"/>
        </w:rPr>
        <w:t xml:space="preserve">Se registró el recurso de revisión bajo el número de expediente </w:t>
      </w:r>
      <w:r w:rsidRPr="00985F6A">
        <w:rPr>
          <w:rFonts w:ascii="Palatino Linotype" w:eastAsiaTheme="minorEastAsia" w:hAnsi="Palatino Linotype" w:cs="Arial"/>
          <w:bCs/>
          <w:sz w:val="24"/>
          <w:lang w:val="es-ES_tradnl" w:eastAsia="es-ES"/>
        </w:rPr>
        <w:t xml:space="preserve">al rubro indicado, asimismo con fundamento en lo dispuesto por el </w:t>
      </w:r>
      <w:r w:rsidRPr="00985F6A">
        <w:rPr>
          <w:rFonts w:ascii="Palatino Linotype" w:eastAsia="Calibri" w:hAnsi="Palatino Linotype" w:cs="Arial"/>
          <w:sz w:val="24"/>
          <w:lang w:val="es-ES" w:eastAsia="es-ES"/>
        </w:rPr>
        <w:t xml:space="preserve">artículo 185 fracción I de la </w:t>
      </w:r>
      <w:r w:rsidRPr="00985F6A">
        <w:rPr>
          <w:rFonts w:ascii="Palatino Linotype" w:eastAsia="Calibri" w:hAnsi="Palatino Linotype" w:cs="Arial"/>
          <w:b/>
          <w:sz w:val="24"/>
          <w:lang w:val="es-ES" w:eastAsia="es-ES"/>
        </w:rPr>
        <w:t xml:space="preserve">Ley de Transparencia y Acceso a la Información Pública del Estado de México y Municipios </w:t>
      </w:r>
      <w:r w:rsidRPr="00985F6A">
        <w:rPr>
          <w:rFonts w:ascii="Palatino Linotype" w:hAnsi="Palatino Linotype" w:cs="Arial"/>
          <w:sz w:val="24"/>
          <w:lang w:val="es-ES" w:eastAsia="es-ES"/>
        </w:rPr>
        <w:t xml:space="preserve">se turnó a la </w:t>
      </w:r>
      <w:r w:rsidRPr="00985F6A">
        <w:rPr>
          <w:rFonts w:ascii="Palatino Linotype" w:hAnsi="Palatino Linotype" w:cs="Arial"/>
          <w:b/>
          <w:sz w:val="24"/>
          <w:lang w:val="es-ES" w:eastAsia="es-ES"/>
        </w:rPr>
        <w:t xml:space="preserve">Comisionada María del Rosario Mejía Ayala, </w:t>
      </w:r>
      <w:r w:rsidRPr="00985F6A">
        <w:rPr>
          <w:rFonts w:ascii="Palatino Linotype" w:hAnsi="Palatino Linotype" w:cs="Arial"/>
          <w:sz w:val="24"/>
          <w:lang w:val="es-ES" w:eastAsia="es-ES"/>
        </w:rPr>
        <w:t xml:space="preserve">con el objeto de </w:t>
      </w:r>
      <w:r w:rsidRPr="00985F6A">
        <w:rPr>
          <w:rFonts w:ascii="Palatino Linotype" w:hAnsi="Palatino Linotype" w:cs="Arial"/>
          <w:sz w:val="24"/>
          <w:lang w:eastAsia="es-ES"/>
        </w:rPr>
        <w:t xml:space="preserve">su análisis. </w:t>
      </w:r>
    </w:p>
    <w:p w14:paraId="134767B8" w14:textId="77777777" w:rsidR="00BA4645" w:rsidRPr="00985F6A" w:rsidRDefault="00BA4645" w:rsidP="00BA4645">
      <w:pPr>
        <w:pStyle w:val="Prrafodelista"/>
        <w:spacing w:line="360" w:lineRule="auto"/>
        <w:ind w:left="0"/>
        <w:jc w:val="both"/>
        <w:rPr>
          <w:rFonts w:ascii="Palatino Linotype" w:hAnsi="Palatino Linotype" w:cs="Arial"/>
          <w:sz w:val="24"/>
          <w:szCs w:val="22"/>
          <w:lang w:val="es-ES" w:eastAsia="es-ES"/>
        </w:rPr>
      </w:pPr>
    </w:p>
    <w:p w14:paraId="3562BE48"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fecha </w:t>
      </w:r>
      <w:r w:rsidR="00430C2D" w:rsidRPr="00985F6A">
        <w:rPr>
          <w:rFonts w:ascii="Palatino Linotype" w:eastAsia="Calibri" w:hAnsi="Palatino Linotype" w:cs="Arial"/>
          <w:sz w:val="24"/>
          <w:lang w:val="es-ES" w:eastAsia="es-ES"/>
        </w:rPr>
        <w:t>veintidós (22) de marzo</w:t>
      </w:r>
      <w:r w:rsidRPr="00985F6A">
        <w:rPr>
          <w:rFonts w:ascii="Palatino Linotype" w:eastAsia="Calibri" w:hAnsi="Palatino Linotype" w:cs="Arial"/>
          <w:sz w:val="24"/>
          <w:lang w:val="es-ES" w:eastAsia="es-ES"/>
        </w:rPr>
        <w:t xml:space="preserve"> de dos mil veintitrés, puso a disposición de las partes el expediente electrónico </w:t>
      </w:r>
      <w:r w:rsidRPr="00985F6A">
        <w:rPr>
          <w:rFonts w:ascii="Palatino Linotype" w:eastAsia="Calibri" w:hAnsi="Palatino Linotype" w:cs="Arial"/>
          <w:sz w:val="24"/>
          <w:lang w:val="es-ES_tradnl" w:eastAsia="es-ES"/>
        </w:rPr>
        <w:t xml:space="preserve">vía </w:t>
      </w:r>
      <w:r w:rsidRPr="00985F6A">
        <w:rPr>
          <w:rFonts w:ascii="Palatino Linotype" w:eastAsia="Calibri" w:hAnsi="Palatino Linotype" w:cs="Arial"/>
          <w:b/>
          <w:sz w:val="24"/>
          <w:lang w:val="es-ES" w:eastAsia="es-ES"/>
        </w:rPr>
        <w:t xml:space="preserve">SAIMEX </w:t>
      </w:r>
      <w:r w:rsidRPr="00985F6A">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985F6A">
        <w:rPr>
          <w:rFonts w:ascii="Palatino Linotype" w:eastAsia="Calibri" w:hAnsi="Palatino Linotype" w:cs="Arial"/>
          <w:b/>
          <w:sz w:val="24"/>
          <w:lang w:val="es-ES" w:eastAsia="es-ES"/>
        </w:rPr>
        <w:t>SUJETO OBLIGADO</w:t>
      </w:r>
      <w:r w:rsidRPr="00985F6A">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w:t>
      </w:r>
    </w:p>
    <w:p w14:paraId="282AB217" w14:textId="77777777" w:rsidR="00BA4645" w:rsidRPr="00985F6A" w:rsidRDefault="00BA4645" w:rsidP="00BA4645">
      <w:pPr>
        <w:pStyle w:val="Prrafodelista"/>
        <w:spacing w:line="360" w:lineRule="auto"/>
        <w:ind w:left="0"/>
        <w:jc w:val="both"/>
        <w:rPr>
          <w:rFonts w:ascii="Palatino Linotype" w:hAnsi="Palatino Linotype" w:cs="Arial"/>
          <w:sz w:val="24"/>
          <w:szCs w:val="22"/>
          <w:lang w:val="es-ES" w:eastAsia="es-ES"/>
        </w:rPr>
      </w:pPr>
    </w:p>
    <w:p w14:paraId="08FEDF58" w14:textId="77777777" w:rsidR="00BA4645" w:rsidRPr="00A23AAF" w:rsidRDefault="00BA4645" w:rsidP="00B940EE">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eastAsia="Calibri" w:hAnsi="Palatino Linotype" w:cs="Arial"/>
          <w:sz w:val="24"/>
          <w:lang w:val="es-ES" w:eastAsia="es-ES"/>
        </w:rPr>
        <w:t xml:space="preserve">Por su parte el Sujeto Obligado remitió informe justificado </w:t>
      </w:r>
      <w:r w:rsidR="00430C2D" w:rsidRPr="00985F6A">
        <w:rPr>
          <w:rFonts w:ascii="Palatino Linotype" w:eastAsia="Calibri" w:hAnsi="Palatino Linotype" w:cs="Arial"/>
          <w:sz w:val="24"/>
          <w:lang w:val="es-ES" w:eastAsia="es-ES"/>
        </w:rPr>
        <w:t>el treinta y uno (31) de marzo de dos mil veintitrés a través de los archivos que se describen a continuación:</w:t>
      </w:r>
    </w:p>
    <w:p w14:paraId="34CAF548" w14:textId="77777777" w:rsidR="00A23AAF" w:rsidRPr="00985F6A" w:rsidRDefault="00A23AAF" w:rsidP="00A23AAF">
      <w:pPr>
        <w:pStyle w:val="Prrafodelista"/>
        <w:spacing w:line="360" w:lineRule="auto"/>
        <w:ind w:left="0"/>
        <w:jc w:val="both"/>
        <w:rPr>
          <w:rFonts w:ascii="Palatino Linotype" w:hAnsi="Palatino Linotype" w:cs="Arial"/>
          <w:sz w:val="24"/>
          <w:szCs w:val="22"/>
          <w:lang w:val="es-ES" w:eastAsia="es-ES"/>
        </w:rPr>
      </w:pPr>
    </w:p>
    <w:p w14:paraId="69309B7A" w14:textId="77777777" w:rsidR="00430C2D" w:rsidRPr="00985F6A" w:rsidRDefault="00686BA5" w:rsidP="00AD3DCC">
      <w:pPr>
        <w:pStyle w:val="Prrafodelista"/>
        <w:numPr>
          <w:ilvl w:val="0"/>
          <w:numId w:val="4"/>
        </w:numPr>
        <w:spacing w:line="360" w:lineRule="auto"/>
        <w:jc w:val="both"/>
        <w:rPr>
          <w:rFonts w:ascii="Palatino Linotype" w:eastAsia="Calibri" w:hAnsi="Palatino Linotype" w:cs="Arial"/>
          <w:sz w:val="24"/>
          <w:lang w:val="es-ES" w:eastAsia="es-ES"/>
        </w:rPr>
      </w:pPr>
      <w:hyperlink r:id="rId11" w:history="1">
        <w:r w:rsidR="00AD3DCC" w:rsidRPr="00985F6A">
          <w:rPr>
            <w:rStyle w:val="Hipervnculo"/>
            <w:rFonts w:ascii="Palatino Linotype" w:eastAsia="Calibri" w:hAnsi="Palatino Linotype" w:cs="Arial"/>
            <w:b/>
            <w:bCs/>
            <w:color w:val="auto"/>
            <w:sz w:val="24"/>
            <w:lang w:eastAsia="es-ES"/>
          </w:rPr>
          <w:t>oficio IJ_2023_03_31_11_46_53_980.pdf</w:t>
        </w:r>
      </w:hyperlink>
      <w:r w:rsidR="00AD3DCC" w:rsidRPr="00985F6A">
        <w:rPr>
          <w:rFonts w:ascii="Palatino Linotype" w:eastAsia="Calibri" w:hAnsi="Palatino Linotype" w:cs="Arial"/>
          <w:sz w:val="24"/>
          <w:lang w:val="es-ES" w:eastAsia="es-ES"/>
        </w:rPr>
        <w:t xml:space="preserve">: </w:t>
      </w:r>
      <w:r w:rsidR="004A54E7" w:rsidRPr="00985F6A">
        <w:rPr>
          <w:rFonts w:ascii="Palatino Linotype" w:eastAsia="Calibri" w:hAnsi="Palatino Linotype" w:cs="Arial"/>
          <w:sz w:val="24"/>
          <w:lang w:val="es-ES" w:eastAsia="es-ES"/>
        </w:rPr>
        <w:t xml:space="preserve">oficio 1124/MAIP/FGJ/2023 de fecha treinta de marzo de dos mil veintitrés, suscrito por la encargada de la Unidad de Transparencia, mediante el cual refiere entregar informe justificado. </w:t>
      </w:r>
    </w:p>
    <w:p w14:paraId="08C98CBD" w14:textId="77777777" w:rsidR="00AD3DCC" w:rsidRPr="00985F6A" w:rsidRDefault="00AD3DCC" w:rsidP="00430C2D">
      <w:pPr>
        <w:pStyle w:val="Prrafodelista"/>
        <w:spacing w:line="360" w:lineRule="auto"/>
        <w:ind w:left="0"/>
        <w:jc w:val="both"/>
        <w:rPr>
          <w:rFonts w:ascii="Palatino Linotype" w:eastAsia="Calibri" w:hAnsi="Palatino Linotype" w:cs="Arial"/>
          <w:sz w:val="24"/>
          <w:lang w:val="es-ES" w:eastAsia="es-ES"/>
        </w:rPr>
      </w:pPr>
    </w:p>
    <w:p w14:paraId="3728D3FA" w14:textId="77777777" w:rsidR="00AD3DCC" w:rsidRPr="00985F6A" w:rsidRDefault="00686BA5" w:rsidP="00AD3DCC">
      <w:pPr>
        <w:pStyle w:val="Prrafodelista"/>
        <w:numPr>
          <w:ilvl w:val="0"/>
          <w:numId w:val="4"/>
        </w:numPr>
        <w:spacing w:line="360" w:lineRule="auto"/>
        <w:jc w:val="both"/>
        <w:rPr>
          <w:rFonts w:ascii="Palatino Linotype" w:eastAsia="Calibri" w:hAnsi="Palatino Linotype" w:cs="Arial"/>
          <w:sz w:val="24"/>
          <w:lang w:val="es-ES" w:eastAsia="es-ES"/>
        </w:rPr>
      </w:pPr>
      <w:hyperlink r:id="rId12" w:history="1">
        <w:r w:rsidR="00AD3DCC" w:rsidRPr="00985F6A">
          <w:rPr>
            <w:rStyle w:val="Hipervnculo"/>
            <w:rFonts w:ascii="Palatino Linotype" w:eastAsiaTheme="majorEastAsia" w:hAnsi="Palatino Linotype" w:cs="Arial"/>
            <w:b/>
            <w:bCs/>
            <w:color w:val="auto"/>
            <w:sz w:val="24"/>
          </w:rPr>
          <w:t>informe justificado_2023_03_31_11_46_02_811.pdf</w:t>
        </w:r>
      </w:hyperlink>
      <w:r w:rsidR="00AD3DCC" w:rsidRPr="00985F6A">
        <w:rPr>
          <w:rFonts w:ascii="Palatino Linotype" w:hAnsi="Palatino Linotype"/>
          <w:sz w:val="24"/>
        </w:rPr>
        <w:t xml:space="preserve">: </w:t>
      </w:r>
      <w:r w:rsidR="00557466" w:rsidRPr="00985F6A">
        <w:rPr>
          <w:rFonts w:ascii="Palatino Linotype" w:hAnsi="Palatino Linotype"/>
          <w:sz w:val="24"/>
        </w:rPr>
        <w:t xml:space="preserve">oficio 1123/MAIP/FGJ/2023 de fecha veintinueve (29) de marzo de dos mil veintitrés, suscrito por la encargada de la Unidad de Transparencia mediante el cual se remite informe justificado y solicita sobreseer el presente recurso de revisión. </w:t>
      </w:r>
    </w:p>
    <w:p w14:paraId="3458E2D5" w14:textId="77777777" w:rsidR="00BA4645" w:rsidRPr="00985F6A" w:rsidRDefault="00BA4645" w:rsidP="00BA4645">
      <w:pPr>
        <w:pStyle w:val="Prrafodelista"/>
        <w:spacing w:line="360" w:lineRule="auto"/>
        <w:ind w:left="0"/>
        <w:jc w:val="both"/>
        <w:rPr>
          <w:rFonts w:ascii="Palatino Linotype" w:hAnsi="Palatino Linotype" w:cs="Arial"/>
          <w:sz w:val="24"/>
          <w:szCs w:val="22"/>
          <w:lang w:val="es-ES" w:eastAsia="es-ES"/>
        </w:rPr>
      </w:pPr>
    </w:p>
    <w:p w14:paraId="5102C405"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szCs w:val="22"/>
          <w:lang w:val="es-ES" w:eastAsia="es-ES"/>
        </w:rPr>
      </w:pPr>
      <w:r w:rsidRPr="00985F6A">
        <w:rPr>
          <w:rFonts w:ascii="Palatino Linotype" w:eastAsiaTheme="minorEastAsia" w:hAnsi="Palatino Linotype"/>
          <w:sz w:val="24"/>
          <w:lang w:val="es-ES_tradnl" w:eastAsia="es-ES"/>
        </w:rPr>
        <w:t>El Comisionado Ponente decretó el cierre de instrucción</w:t>
      </w:r>
      <w:r w:rsidRPr="00985F6A">
        <w:rPr>
          <w:rFonts w:ascii="Palatino Linotype" w:eastAsiaTheme="minorEastAsia" w:hAnsi="Palatino Linotype" w:cs="Arial"/>
          <w:sz w:val="24"/>
          <w:lang w:val="es-ES_tradnl" w:eastAsia="es-ES"/>
        </w:rPr>
        <w:t xml:space="preserve"> </w:t>
      </w:r>
      <w:r w:rsidRPr="00985F6A">
        <w:rPr>
          <w:rFonts w:ascii="Palatino Linotype" w:eastAsiaTheme="minorEastAsia" w:hAnsi="Palatino Linotype"/>
          <w:sz w:val="24"/>
          <w:lang w:val="es-ES_tradnl" w:eastAsia="es-ES"/>
        </w:rPr>
        <w:t xml:space="preserve">mediante el acuerdo de fecha </w:t>
      </w:r>
      <w:r w:rsidR="00ED4801" w:rsidRPr="00985F6A">
        <w:rPr>
          <w:rFonts w:ascii="Palatino Linotype" w:eastAsiaTheme="minorEastAsia" w:hAnsi="Palatino Linotype"/>
          <w:sz w:val="24"/>
          <w:lang w:val="es-ES_tradnl" w:eastAsia="es-ES"/>
        </w:rPr>
        <w:t>cuatro (04</w:t>
      </w:r>
      <w:r w:rsidRPr="00985F6A">
        <w:rPr>
          <w:rFonts w:ascii="Palatino Linotype" w:eastAsiaTheme="minorEastAsia" w:hAnsi="Palatino Linotype"/>
          <w:sz w:val="24"/>
          <w:lang w:val="es-ES_tradnl" w:eastAsia="es-ES"/>
        </w:rPr>
        <w:t>) de mayo de dos mil veintitrés.</w:t>
      </w:r>
    </w:p>
    <w:p w14:paraId="7226C7F5" w14:textId="77777777" w:rsidR="00BA4645" w:rsidRPr="00985F6A" w:rsidRDefault="00BA4645" w:rsidP="00BA4645">
      <w:pPr>
        <w:spacing w:line="360" w:lineRule="auto"/>
        <w:jc w:val="both"/>
        <w:rPr>
          <w:rFonts w:ascii="Palatino Linotype" w:hAnsi="Palatino Linotype" w:cs="Arial"/>
          <w:szCs w:val="22"/>
          <w:lang w:val="es-ES" w:eastAsia="es-ES"/>
        </w:rPr>
      </w:pPr>
    </w:p>
    <w:p w14:paraId="54D20188" w14:textId="77777777" w:rsidR="00BA4645" w:rsidRPr="00985F6A" w:rsidRDefault="00BA4645" w:rsidP="00BA4645">
      <w:pPr>
        <w:spacing w:line="360" w:lineRule="auto"/>
        <w:jc w:val="center"/>
        <w:rPr>
          <w:rFonts w:ascii="Palatino Linotype" w:hAnsi="Palatino Linotype" w:cs="Arial"/>
          <w:lang w:eastAsia="es-ES"/>
        </w:rPr>
      </w:pPr>
      <w:bookmarkStart w:id="1" w:name="_Toc66992242"/>
      <w:r w:rsidRPr="00985F6A">
        <w:rPr>
          <w:rFonts w:ascii="Palatino Linotype" w:hAnsi="Palatino Linotype" w:cs="Arial"/>
          <w:b/>
          <w:lang w:eastAsia="es-ES"/>
        </w:rPr>
        <w:t>CONSIDERANDO</w:t>
      </w:r>
      <w:bookmarkEnd w:id="1"/>
    </w:p>
    <w:p w14:paraId="17919E3E" w14:textId="77777777" w:rsidR="00BA4645" w:rsidRPr="00985F6A" w:rsidRDefault="00BA4645" w:rsidP="00BA4645">
      <w:pPr>
        <w:spacing w:line="360" w:lineRule="auto"/>
        <w:jc w:val="both"/>
        <w:rPr>
          <w:rFonts w:ascii="Palatino Linotype" w:hAnsi="Palatino Linotype" w:cs="Arial"/>
          <w:lang w:eastAsia="es-ES"/>
        </w:rPr>
      </w:pPr>
    </w:p>
    <w:p w14:paraId="48707036" w14:textId="77777777" w:rsidR="00BA4645" w:rsidRPr="00985F6A" w:rsidRDefault="00BA4645" w:rsidP="00BA4645">
      <w:pPr>
        <w:spacing w:line="360" w:lineRule="auto"/>
        <w:jc w:val="both"/>
        <w:rPr>
          <w:rFonts w:ascii="Palatino Linotype" w:hAnsi="Palatino Linotype" w:cs="Arial"/>
          <w:b/>
          <w:lang w:eastAsia="es-ES"/>
        </w:rPr>
      </w:pPr>
      <w:bookmarkStart w:id="2" w:name="_Toc66992243"/>
      <w:r w:rsidRPr="00985F6A">
        <w:rPr>
          <w:rFonts w:ascii="Palatino Linotype" w:hAnsi="Palatino Linotype" w:cs="Arial"/>
          <w:b/>
          <w:lang w:eastAsia="es-ES"/>
        </w:rPr>
        <w:t>PRIMERO. De la competencia</w:t>
      </w:r>
      <w:bookmarkEnd w:id="2"/>
    </w:p>
    <w:p w14:paraId="1C8DB098" w14:textId="77777777" w:rsidR="00BA4645" w:rsidRPr="00985F6A" w:rsidRDefault="00BA4645" w:rsidP="00BA4645">
      <w:pPr>
        <w:spacing w:line="360" w:lineRule="auto"/>
        <w:jc w:val="both"/>
        <w:rPr>
          <w:rFonts w:ascii="Palatino Linotype" w:hAnsi="Palatino Linotype" w:cs="Arial"/>
          <w:lang w:val="es-ES" w:eastAsia="es-ES"/>
        </w:rPr>
      </w:pPr>
    </w:p>
    <w:p w14:paraId="02BC7D0E" w14:textId="77777777" w:rsidR="00ED4801" w:rsidRPr="00985F6A" w:rsidRDefault="00ED4801" w:rsidP="00ED4801">
      <w:pPr>
        <w:pStyle w:val="Prrafodelista"/>
        <w:numPr>
          <w:ilvl w:val="0"/>
          <w:numId w:val="1"/>
        </w:numPr>
        <w:spacing w:line="360" w:lineRule="auto"/>
        <w:ind w:left="0" w:firstLine="0"/>
        <w:jc w:val="both"/>
        <w:rPr>
          <w:rFonts w:ascii="Palatino Linotype" w:hAnsi="Palatino Linotype"/>
          <w:sz w:val="28"/>
        </w:rPr>
      </w:pPr>
      <w:r w:rsidRPr="00985F6A">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41640A7" w14:textId="77777777" w:rsidR="00BA4645" w:rsidRPr="00985F6A" w:rsidRDefault="00BA4645" w:rsidP="00BA4645">
      <w:pPr>
        <w:pStyle w:val="Prrafodelista"/>
        <w:spacing w:line="360" w:lineRule="auto"/>
        <w:ind w:left="0"/>
        <w:jc w:val="both"/>
        <w:rPr>
          <w:rFonts w:ascii="Palatino Linotype" w:hAnsi="Palatino Linotype" w:cs="Arial"/>
          <w:sz w:val="24"/>
          <w:lang w:val="es-ES" w:eastAsia="es-ES"/>
        </w:rPr>
      </w:pPr>
    </w:p>
    <w:p w14:paraId="34BB13D9" w14:textId="77777777" w:rsidR="00BA4645" w:rsidRPr="00985F6A" w:rsidRDefault="00BA4645" w:rsidP="00BA4645">
      <w:pPr>
        <w:keepNext/>
        <w:keepLines/>
        <w:spacing w:line="360" w:lineRule="auto"/>
        <w:outlineLvl w:val="1"/>
        <w:rPr>
          <w:rFonts w:ascii="Palatino Linotype" w:eastAsiaTheme="majorEastAsia" w:hAnsi="Palatino Linotype" w:cstheme="majorBidi"/>
          <w:b/>
        </w:rPr>
      </w:pPr>
      <w:bookmarkStart w:id="3" w:name="_Toc66992244"/>
      <w:r w:rsidRPr="00985F6A">
        <w:rPr>
          <w:rFonts w:ascii="Palatino Linotype" w:eastAsiaTheme="majorEastAsia" w:hAnsi="Palatino Linotype" w:cstheme="majorBidi"/>
          <w:b/>
        </w:rPr>
        <w:t>SEGUNDO. De la oportunidad y procedencia.</w:t>
      </w:r>
      <w:bookmarkEnd w:id="3"/>
    </w:p>
    <w:p w14:paraId="07F539C3" w14:textId="77777777" w:rsidR="00BA4645" w:rsidRPr="00985F6A" w:rsidRDefault="00BA4645" w:rsidP="00BA4645">
      <w:pPr>
        <w:pStyle w:val="Prrafodelista"/>
        <w:spacing w:line="360" w:lineRule="auto"/>
        <w:ind w:left="0"/>
        <w:jc w:val="both"/>
        <w:rPr>
          <w:rFonts w:ascii="Palatino Linotype" w:hAnsi="Palatino Linotype" w:cs="Arial"/>
          <w:sz w:val="24"/>
          <w:lang w:val="es-ES" w:eastAsia="es-ES"/>
        </w:rPr>
      </w:pPr>
    </w:p>
    <w:p w14:paraId="65B59DB8"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lang w:val="es-ES" w:eastAsia="es-ES"/>
        </w:rPr>
      </w:pPr>
      <w:r w:rsidRPr="00985F6A">
        <w:rPr>
          <w:rFonts w:ascii="Palatino Linotype" w:eastAsia="Calibri" w:hAnsi="Palatino Linotype" w:cs="Arial"/>
          <w:sz w:val="24"/>
          <w:lang w:val="es-ES_tradnl" w:eastAsia="es-ES"/>
        </w:rPr>
        <w:t xml:space="preserve">El medio de impugnación fue presentado a través del </w:t>
      </w:r>
      <w:r w:rsidRPr="00985F6A">
        <w:rPr>
          <w:rFonts w:ascii="Palatino Linotype" w:eastAsia="Calibri" w:hAnsi="Palatino Linotype" w:cs="Arial"/>
          <w:b/>
          <w:sz w:val="24"/>
          <w:lang w:val="es-ES_tradnl" w:eastAsia="es-ES"/>
        </w:rPr>
        <w:t>SAIMEX,</w:t>
      </w:r>
      <w:r w:rsidRPr="00985F6A">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985F6A">
        <w:rPr>
          <w:rFonts w:ascii="Palatino Linotype" w:eastAsia="Calibri" w:hAnsi="Palatino Linotype" w:cs="Arial"/>
          <w:b/>
          <w:sz w:val="24"/>
          <w:lang w:val="es-ES_tradnl" w:eastAsia="es-ES"/>
        </w:rPr>
        <w:t>SUJETO OBLIGADO</w:t>
      </w:r>
      <w:r w:rsidRPr="00985F6A">
        <w:rPr>
          <w:rFonts w:ascii="Palatino Linotype" w:eastAsia="Calibri" w:hAnsi="Palatino Linotype" w:cs="Arial"/>
          <w:sz w:val="24"/>
          <w:lang w:val="es-ES_tradnl" w:eastAsia="es-ES"/>
        </w:rPr>
        <w:t xml:space="preserve"> entregó respuesta a la solicitud el día </w:t>
      </w:r>
      <w:r w:rsidR="00557466" w:rsidRPr="00985F6A">
        <w:rPr>
          <w:rFonts w:ascii="Palatino Linotype" w:eastAsia="Calibri" w:hAnsi="Palatino Linotype" w:cs="Arial"/>
          <w:sz w:val="24"/>
          <w:lang w:val="es-ES_tradnl" w:eastAsia="es-ES"/>
        </w:rPr>
        <w:t>veinte (20) de febrero</w:t>
      </w:r>
      <w:r w:rsidRPr="00985F6A">
        <w:rPr>
          <w:rFonts w:ascii="Palatino Linotype" w:eastAsia="Calibri" w:hAnsi="Palatino Linotype" w:cs="Arial"/>
          <w:sz w:val="24"/>
          <w:lang w:val="es-ES_tradnl" w:eastAsia="es-ES"/>
        </w:rPr>
        <w:t xml:space="preserve"> de dos mil veintitrés, </w:t>
      </w:r>
      <w:r w:rsidRPr="00985F6A">
        <w:rPr>
          <w:rFonts w:ascii="Palatino Linotype" w:eastAsiaTheme="minorEastAsia" w:hAnsi="Palatino Linotype" w:cs="Arial"/>
          <w:sz w:val="24"/>
          <w:lang w:val="es-ES_tradnl" w:eastAsia="es-ES"/>
        </w:rPr>
        <w:t xml:space="preserve">de tal forma que el plazo para interponer el recurso de revisión transcurrió del </w:t>
      </w:r>
      <w:r w:rsidR="00557466" w:rsidRPr="00985F6A">
        <w:rPr>
          <w:rFonts w:ascii="Palatino Linotype" w:eastAsiaTheme="minorEastAsia" w:hAnsi="Palatino Linotype" w:cs="Arial"/>
          <w:sz w:val="24"/>
          <w:lang w:val="es-ES_tradnl" w:eastAsia="es-ES"/>
        </w:rPr>
        <w:t xml:space="preserve">veintiuno (21) de febrero al veintidós </w:t>
      </w:r>
      <w:r w:rsidR="00557466" w:rsidRPr="00985F6A">
        <w:rPr>
          <w:rFonts w:ascii="Palatino Linotype" w:eastAsiaTheme="minorEastAsia" w:hAnsi="Palatino Linotype" w:cs="Arial"/>
          <w:sz w:val="24"/>
          <w:lang w:val="es-ES_tradnl" w:eastAsia="es-ES"/>
        </w:rPr>
        <w:lastRenderedPageBreak/>
        <w:t>(22) de marzo de dos mil veintitrés</w:t>
      </w:r>
      <w:r w:rsidRPr="00985F6A">
        <w:rPr>
          <w:rFonts w:ascii="Palatino Linotype" w:eastAsiaTheme="minorEastAsia" w:hAnsi="Palatino Linotype" w:cs="Arial"/>
          <w:sz w:val="24"/>
          <w:lang w:val="es-ES_tradnl" w:eastAsia="es-ES"/>
        </w:rPr>
        <w:t xml:space="preserve">; en consecuencia, presentó su inconformidad el día </w:t>
      </w:r>
      <w:r w:rsidR="00557466" w:rsidRPr="00985F6A">
        <w:rPr>
          <w:rFonts w:ascii="Palatino Linotype" w:eastAsiaTheme="minorEastAsia" w:hAnsi="Palatino Linotype" w:cs="Arial"/>
          <w:sz w:val="24"/>
          <w:lang w:val="es-ES_tradnl" w:eastAsia="es-ES"/>
        </w:rPr>
        <w:t>quince (15) de marzo de dos mil veintitrés</w:t>
      </w:r>
      <w:r w:rsidRPr="00985F6A">
        <w:rPr>
          <w:rFonts w:ascii="Palatino Linotype" w:eastAsiaTheme="minorEastAsia" w:hAnsi="Palatino Linotype" w:cs="Arial"/>
          <w:sz w:val="24"/>
          <w:lang w:val="es-ES_tradnl" w:eastAsia="es-ES"/>
        </w:rPr>
        <w:t xml:space="preserve">, por lo que se encuentra dentro de los márgenes temporales previstos en el artículo 178 de la </w:t>
      </w:r>
      <w:r w:rsidRPr="00985F6A">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985F6A">
        <w:rPr>
          <w:rFonts w:ascii="Palatino Linotype" w:eastAsiaTheme="minorEastAsia" w:hAnsi="Palatino Linotype" w:cs="Arial"/>
          <w:sz w:val="24"/>
          <w:lang w:val="es-ES_tradnl" w:eastAsia="es-ES"/>
        </w:rPr>
        <w:t>vigente.</w:t>
      </w:r>
    </w:p>
    <w:p w14:paraId="0370784F" w14:textId="77777777" w:rsidR="00BA4645" w:rsidRPr="00985F6A" w:rsidRDefault="00BA4645" w:rsidP="00BA4645">
      <w:pPr>
        <w:spacing w:line="360" w:lineRule="auto"/>
        <w:rPr>
          <w:rFonts w:ascii="Palatino Linotype" w:eastAsia="Calibri" w:hAnsi="Palatino Linotype" w:cs="Arial"/>
          <w:lang w:val="es-ES_tradnl" w:eastAsia="es-ES"/>
        </w:rPr>
      </w:pPr>
    </w:p>
    <w:p w14:paraId="0CC427B9"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lang w:val="es-ES" w:eastAsia="es-ES"/>
        </w:rPr>
      </w:pPr>
      <w:r w:rsidRPr="00985F6A">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C34A073" w14:textId="77777777" w:rsidR="00BA4645" w:rsidRPr="00985F6A" w:rsidRDefault="00BA4645" w:rsidP="00BA4645">
      <w:pPr>
        <w:keepNext/>
        <w:keepLines/>
        <w:spacing w:before="240" w:line="360" w:lineRule="auto"/>
        <w:outlineLvl w:val="0"/>
        <w:rPr>
          <w:rFonts w:ascii="Palatino Linotype" w:eastAsiaTheme="majorEastAsia" w:hAnsi="Palatino Linotype" w:cstheme="majorBidi"/>
          <w:b/>
          <w:szCs w:val="32"/>
        </w:rPr>
      </w:pPr>
      <w:bookmarkStart w:id="4" w:name="_Toc82017149"/>
      <w:bookmarkStart w:id="5" w:name="_Toc497905366"/>
      <w:bookmarkStart w:id="6" w:name="_Toc495427547"/>
      <w:bookmarkStart w:id="7" w:name="_Toc466377653"/>
      <w:bookmarkStart w:id="8" w:name="_Toc466371865"/>
      <w:r w:rsidRPr="00985F6A">
        <w:rPr>
          <w:rFonts w:ascii="Palatino Linotype" w:eastAsiaTheme="majorEastAsia" w:hAnsi="Palatino Linotype" w:cstheme="majorBidi"/>
          <w:b/>
          <w:szCs w:val="32"/>
        </w:rPr>
        <w:t>TERCERO. De las causales del sobreseimiento.</w:t>
      </w:r>
      <w:bookmarkEnd w:id="4"/>
    </w:p>
    <w:p w14:paraId="69FC371D" w14:textId="77777777" w:rsidR="00BA4645" w:rsidRPr="00985F6A" w:rsidRDefault="00BA4645" w:rsidP="00BA4645">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rPr>
      </w:pPr>
      <w:r w:rsidRPr="00985F6A">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985F6A">
        <w:rPr>
          <w:rFonts w:ascii="Palatino Linotype" w:eastAsia="Calibri" w:hAnsi="Palatino Linotype" w:cs="Arial"/>
          <w:sz w:val="24"/>
        </w:rPr>
        <w:t>Transparencia, Acceso a la Información Pública del Estado de México y Municipios</w:t>
      </w:r>
      <w:r w:rsidRPr="00985F6A">
        <w:rPr>
          <w:rFonts w:ascii="Palatino Linotype" w:hAnsi="Palatino Linotype" w:cs="Arial"/>
          <w:sz w:val="24"/>
          <w:szCs w:val="23"/>
        </w:rPr>
        <w:t xml:space="preserve">, y determinar la confirmación; revocación o modificación; desechamiento o </w:t>
      </w:r>
      <w:r w:rsidRPr="00985F6A">
        <w:rPr>
          <w:rFonts w:ascii="Palatino Linotype" w:hAnsi="Palatino Linotype" w:cs="Arial"/>
          <w:b/>
          <w:sz w:val="24"/>
          <w:szCs w:val="23"/>
          <w:u w:val="single"/>
        </w:rPr>
        <w:t>sobreseimiento</w:t>
      </w:r>
      <w:r w:rsidRPr="00985F6A">
        <w:rPr>
          <w:rFonts w:ascii="Palatino Linotype" w:hAnsi="Palatino Linotype" w:cs="Arial"/>
          <w:sz w:val="24"/>
          <w:szCs w:val="23"/>
        </w:rPr>
        <w:t xml:space="preserve">; y, en su caso, ordenar la entrega de la información respecto a la falta de respuesta por parte del </w:t>
      </w:r>
      <w:r w:rsidRPr="00985F6A">
        <w:rPr>
          <w:rFonts w:ascii="Palatino Linotype" w:hAnsi="Palatino Linotype" w:cs="Arial"/>
          <w:b/>
          <w:sz w:val="24"/>
          <w:szCs w:val="23"/>
        </w:rPr>
        <w:t>SUJETO</w:t>
      </w:r>
      <w:r w:rsidRPr="00985F6A">
        <w:rPr>
          <w:rFonts w:ascii="Palatino Linotype" w:hAnsi="Palatino Linotype" w:cs="Arial"/>
          <w:sz w:val="24"/>
          <w:szCs w:val="23"/>
        </w:rPr>
        <w:t xml:space="preserve"> </w:t>
      </w:r>
      <w:r w:rsidRPr="00985F6A">
        <w:rPr>
          <w:rFonts w:ascii="Palatino Linotype" w:hAnsi="Palatino Linotype" w:cs="Arial"/>
          <w:b/>
          <w:sz w:val="24"/>
          <w:szCs w:val="23"/>
        </w:rPr>
        <w:t>OBLIGADO</w:t>
      </w:r>
      <w:r w:rsidRPr="00985F6A">
        <w:rPr>
          <w:rFonts w:ascii="Palatino Linotype" w:hAnsi="Palatino Linotype" w:cs="Arial"/>
          <w:sz w:val="24"/>
          <w:szCs w:val="23"/>
        </w:rPr>
        <w:t>.</w:t>
      </w:r>
    </w:p>
    <w:p w14:paraId="0BDB3D7D" w14:textId="77777777" w:rsidR="00BA4645" w:rsidRPr="00985F6A" w:rsidRDefault="00BA4645" w:rsidP="00BA4645">
      <w:pPr>
        <w:pStyle w:val="Prrafodelista"/>
        <w:spacing w:line="360" w:lineRule="auto"/>
        <w:ind w:left="0"/>
        <w:jc w:val="both"/>
        <w:rPr>
          <w:rFonts w:ascii="Palatino Linotype" w:hAnsi="Palatino Linotype" w:cs="Arial"/>
          <w:sz w:val="28"/>
        </w:rPr>
      </w:pPr>
    </w:p>
    <w:p w14:paraId="74D291BD" w14:textId="77777777" w:rsidR="00BA4645" w:rsidRPr="00985F6A" w:rsidRDefault="00BA4645" w:rsidP="00BA4645">
      <w:pPr>
        <w:pStyle w:val="Prrafodelista"/>
        <w:numPr>
          <w:ilvl w:val="0"/>
          <w:numId w:val="1"/>
        </w:numPr>
        <w:spacing w:before="240" w:after="360" w:line="360" w:lineRule="auto"/>
        <w:ind w:left="0" w:firstLine="0"/>
        <w:jc w:val="both"/>
        <w:rPr>
          <w:rFonts w:ascii="Palatino Linotype" w:eastAsia="Calibri" w:hAnsi="Palatino Linotype"/>
          <w:color w:val="000000"/>
          <w:sz w:val="24"/>
        </w:rPr>
      </w:pPr>
      <w:r w:rsidRPr="00985F6A">
        <w:rPr>
          <w:rFonts w:ascii="Palatino Linotype" w:eastAsia="MS Mincho" w:hAnsi="Palatino Linotype" w:cs="Arial"/>
          <w:sz w:val="24"/>
        </w:rPr>
        <w:t xml:space="preserve">Así, de la lectura a la solicitud </w:t>
      </w:r>
      <w:r w:rsidR="00ED4801" w:rsidRPr="00985F6A">
        <w:rPr>
          <w:rFonts w:ascii="Palatino Linotype" w:eastAsia="MS Mincho" w:hAnsi="Palatino Linotype" w:cs="Arial"/>
          <w:sz w:val="24"/>
        </w:rPr>
        <w:t xml:space="preserve">el particular solicitó </w:t>
      </w:r>
      <w:bookmarkStart w:id="9" w:name="_Toc84264165"/>
      <w:r w:rsidR="00ED4801" w:rsidRPr="00985F6A">
        <w:rPr>
          <w:rFonts w:ascii="Palatino Linotype" w:eastAsia="MS Mincho" w:hAnsi="Palatino Linotype" w:cs="Arial"/>
          <w:sz w:val="24"/>
        </w:rPr>
        <w:t>información en formato Excel sobre la incidencia delic</w:t>
      </w:r>
      <w:r w:rsidR="0042577C" w:rsidRPr="00985F6A">
        <w:rPr>
          <w:rFonts w:ascii="Palatino Linotype" w:eastAsia="MS Mincho" w:hAnsi="Palatino Linotype" w:cs="Arial"/>
          <w:sz w:val="24"/>
        </w:rPr>
        <w:t xml:space="preserve">tiva, asimismo, realizó una serie de cuestionamientos de naturaleza estadística. </w:t>
      </w:r>
    </w:p>
    <w:p w14:paraId="4D2DFBBE" w14:textId="77777777" w:rsidR="00BA4645" w:rsidRPr="00985F6A" w:rsidRDefault="00BA4645" w:rsidP="00BA4645">
      <w:pPr>
        <w:numPr>
          <w:ilvl w:val="0"/>
          <w:numId w:val="1"/>
        </w:numPr>
        <w:tabs>
          <w:tab w:val="left" w:pos="0"/>
        </w:tabs>
        <w:spacing w:before="240" w:after="240" w:line="360" w:lineRule="auto"/>
        <w:ind w:left="0" w:right="49" w:firstLine="0"/>
        <w:contextualSpacing/>
        <w:jc w:val="both"/>
        <w:rPr>
          <w:rFonts w:ascii="Palatino Linotype" w:eastAsia="MS Mincho" w:hAnsi="Palatino Linotype" w:cs="Arial"/>
        </w:rPr>
      </w:pPr>
      <w:r w:rsidRPr="00985F6A">
        <w:rPr>
          <w:rFonts w:ascii="Palatino Linotype" w:eastAsia="MS Mincho" w:hAnsi="Palatino Linotype" w:cs="Arial"/>
          <w:color w:val="000000"/>
          <w:lang w:val="es-ES_tradnl"/>
        </w:rPr>
        <w:lastRenderedPageBreak/>
        <w:t>Así las cosas, este Instituto de Transparencia, de conformidad con los principios de eficacia y profesionalismo</w:t>
      </w:r>
      <w:r w:rsidRPr="00985F6A">
        <w:rPr>
          <w:rStyle w:val="Refdenotaalpie"/>
          <w:rFonts w:ascii="Palatino Linotype" w:eastAsia="MS Mincho" w:hAnsi="Palatino Linotype" w:cs="Arial"/>
          <w:color w:val="000000"/>
          <w:lang w:val="es-ES_tradnl"/>
        </w:rPr>
        <w:footnoteReference w:id="1"/>
      </w:r>
      <w:r w:rsidRPr="00985F6A">
        <w:rPr>
          <w:rFonts w:ascii="Palatino Linotype" w:eastAsia="MS Mincho" w:hAnsi="Palatino Linotype" w:cs="Arial"/>
          <w:color w:val="000000"/>
          <w:lang w:val="es-ES_tradnl"/>
        </w:rPr>
        <w:t xml:space="preserve">, procederá a verificar la información remitida por el </w:t>
      </w:r>
      <w:r w:rsidRPr="00985F6A">
        <w:rPr>
          <w:rFonts w:ascii="Palatino Linotype" w:eastAsia="MS Mincho" w:hAnsi="Palatino Linotype" w:cs="Arial"/>
          <w:b/>
          <w:color w:val="000000"/>
          <w:lang w:val="es-ES_tradnl"/>
        </w:rPr>
        <w:t>SUJETO OBLIGADO y</w:t>
      </w:r>
      <w:r w:rsidRPr="00985F6A">
        <w:rPr>
          <w:rFonts w:ascii="Palatino Linotype" w:eastAsia="MS Mincho" w:hAnsi="Palatino Linotype" w:cs="Arial"/>
          <w:color w:val="000000"/>
          <w:lang w:val="es-ES_tradnl"/>
        </w:rPr>
        <w:t xml:space="preserve"> las manifestaciones realizadas por el </w:t>
      </w:r>
      <w:r w:rsidRPr="00985F6A">
        <w:rPr>
          <w:rFonts w:ascii="Palatino Linotype" w:eastAsia="MS Mincho" w:hAnsi="Palatino Linotype" w:cs="Arial"/>
          <w:b/>
          <w:color w:val="000000"/>
          <w:lang w:val="es-ES_tradnl"/>
        </w:rPr>
        <w:t xml:space="preserve">SOLICTANTE </w:t>
      </w:r>
      <w:r w:rsidRPr="00985F6A">
        <w:rPr>
          <w:rFonts w:ascii="Palatino Linotype" w:eastAsia="MS Mincho" w:hAnsi="Palatino Linotype" w:cs="Arial"/>
          <w:color w:val="000000"/>
          <w:lang w:val="es-ES_tradnl"/>
        </w:rPr>
        <w:t xml:space="preserve">a efecto de determinar </w:t>
      </w:r>
      <w:bookmarkEnd w:id="9"/>
      <w:r w:rsidRPr="00985F6A">
        <w:rPr>
          <w:rFonts w:ascii="Palatino Linotype" w:eastAsia="MS Mincho" w:hAnsi="Palatino Linotype" w:cs="Arial"/>
          <w:color w:val="000000"/>
          <w:lang w:val="es-ES_tradnl"/>
        </w:rPr>
        <w:t xml:space="preserve">si la información remitida se encuentra apegada a lo que establece la Ley en materia de transparencia. </w:t>
      </w:r>
    </w:p>
    <w:p w14:paraId="781F7A11" w14:textId="77777777" w:rsidR="00BA4645" w:rsidRPr="00985F6A" w:rsidRDefault="00BA4645" w:rsidP="00BA4645">
      <w:pPr>
        <w:spacing w:line="360" w:lineRule="auto"/>
        <w:rPr>
          <w:rFonts w:ascii="Palatino Linotype" w:hAnsi="Palatino Linotype"/>
          <w:lang w:eastAsia="en-US"/>
        </w:rPr>
      </w:pPr>
    </w:p>
    <w:p w14:paraId="6A9ADA68" w14:textId="77777777" w:rsidR="00BA4645" w:rsidRPr="00985F6A" w:rsidRDefault="00BA4645" w:rsidP="00BA4645">
      <w:pPr>
        <w:pStyle w:val="Prrafodelista"/>
        <w:numPr>
          <w:ilvl w:val="0"/>
          <w:numId w:val="1"/>
        </w:numPr>
        <w:spacing w:after="160" w:line="360" w:lineRule="auto"/>
        <w:ind w:left="0" w:firstLine="0"/>
        <w:jc w:val="both"/>
        <w:rPr>
          <w:rFonts w:ascii="Palatino Linotype" w:eastAsia="MS Mincho" w:hAnsi="Palatino Linotype" w:cs="Arial"/>
          <w:i/>
          <w:sz w:val="24"/>
        </w:rPr>
      </w:pPr>
      <w:r w:rsidRPr="00985F6A">
        <w:rPr>
          <w:rFonts w:ascii="Palatino Linotype" w:eastAsia="MS Mincho" w:hAnsi="Palatino Linotype" w:cs="Arial"/>
          <w:sz w:val="24"/>
        </w:rPr>
        <w:t xml:space="preserve">En tal contexto, el </w:t>
      </w:r>
      <w:r w:rsidRPr="00985F6A">
        <w:rPr>
          <w:rFonts w:ascii="Palatino Linotype" w:eastAsia="MS Mincho" w:hAnsi="Palatino Linotype" w:cs="Arial"/>
          <w:b/>
          <w:sz w:val="24"/>
        </w:rPr>
        <w:t xml:space="preserve">SUJETO OBLIGADO, </w:t>
      </w:r>
      <w:r w:rsidR="0042577C" w:rsidRPr="00985F6A">
        <w:rPr>
          <w:rFonts w:ascii="Palatino Linotype" w:eastAsia="MS Mincho" w:hAnsi="Palatino Linotype" w:cs="Arial"/>
          <w:sz w:val="24"/>
        </w:rPr>
        <w:t xml:space="preserve">adjuntó un documento en formato Excel con los datos de incidencia delictiva y dio respuesta a los cuestionamientos solicitados. </w:t>
      </w:r>
    </w:p>
    <w:p w14:paraId="51B9A7EA" w14:textId="77777777" w:rsidR="00BA4645" w:rsidRPr="00985F6A" w:rsidRDefault="00BA4645" w:rsidP="00BA4645">
      <w:pPr>
        <w:pStyle w:val="Prrafodelista"/>
        <w:spacing w:after="160" w:line="360" w:lineRule="auto"/>
        <w:ind w:left="0"/>
        <w:jc w:val="both"/>
        <w:rPr>
          <w:rFonts w:ascii="Palatino Linotype" w:eastAsia="MS Mincho" w:hAnsi="Palatino Linotype" w:cs="Arial"/>
          <w:i/>
          <w:sz w:val="24"/>
        </w:rPr>
      </w:pPr>
    </w:p>
    <w:p w14:paraId="5A6B9792" w14:textId="77777777" w:rsidR="00BA4645" w:rsidRPr="00985F6A" w:rsidRDefault="00BA4645" w:rsidP="00BA4645">
      <w:pPr>
        <w:pStyle w:val="Prrafodelista"/>
        <w:numPr>
          <w:ilvl w:val="0"/>
          <w:numId w:val="1"/>
        </w:numPr>
        <w:spacing w:after="160" w:line="360" w:lineRule="auto"/>
        <w:ind w:left="0" w:firstLine="0"/>
        <w:jc w:val="both"/>
        <w:rPr>
          <w:rFonts w:ascii="Palatino Linotype" w:eastAsia="MS Mincho" w:hAnsi="Palatino Linotype" w:cs="Arial"/>
          <w:i/>
          <w:sz w:val="24"/>
        </w:rPr>
      </w:pPr>
      <w:r w:rsidRPr="00985F6A">
        <w:rPr>
          <w:rFonts w:ascii="Palatino Linotype" w:eastAsiaTheme="minorEastAsia" w:hAnsi="Palatino Linotype" w:cs="Arial"/>
          <w:sz w:val="24"/>
          <w:lang w:val="es-ES_tradnl"/>
        </w:rPr>
        <w:t xml:space="preserve">Subsecuentemente, inconforme con la respuesta, el particular presentó el Recurso de Revisión de mérito, en el que señaló como motivos de inconformidad </w:t>
      </w:r>
      <w:r w:rsidRPr="00985F6A">
        <w:rPr>
          <w:rFonts w:ascii="Palatino Linotype" w:eastAsiaTheme="minorEastAsia" w:hAnsi="Palatino Linotype"/>
          <w:b/>
          <w:szCs w:val="22"/>
          <w:lang w:val="es-ES_tradnl" w:eastAsia="es-ES"/>
        </w:rPr>
        <w:t>“</w:t>
      </w:r>
      <w:r w:rsidR="0042577C" w:rsidRPr="00985F6A">
        <w:rPr>
          <w:rFonts w:ascii="Palatino Linotype" w:hAnsi="Palatino Linotype"/>
          <w:i/>
          <w:color w:val="000000"/>
          <w:szCs w:val="14"/>
        </w:rPr>
        <w:t xml:space="preserve">el plazo máximo que fija la Ley de Transparencia para dar respuesta a la solicitud concluyó en fecha 02 de marzo de 2023, sin que se haya recibido contestación alguna por parte del sujeto obligado, lo cual claramente es una violación a mi derecho de acceso a la información y rendición de cuentas. No sobra hacer mención a que la Ley de Transparencia hace mención expresa de que las obligaciones de transparencia comunes a todos los sujetos obligados, incluyen, entre otras: el contar con los indicadores que permitan rendir cuentas de sus objetivos y sus resultados, así como toda la que resulte relevante y de interés público. Por tanto, es obligación para todos los sujetos obligados, el generar y contar con la información estadística que fuera primordial para por dar seguimiento al ejercicio de sus funciones, que </w:t>
      </w:r>
      <w:r w:rsidR="0042577C" w:rsidRPr="00985F6A">
        <w:rPr>
          <w:rFonts w:ascii="Palatino Linotype" w:hAnsi="Palatino Linotype"/>
          <w:i/>
          <w:color w:val="000000"/>
          <w:szCs w:val="14"/>
        </w:rPr>
        <w:lastRenderedPageBreak/>
        <w:t xml:space="preserve">en búsqueda de poder evaluarse y considerarse para el constante mejoramiento de la función pública, tendría que ser suficientemente extenso y no tratarse de un simple listado de oficios y documentos. En este orden de ideas, puede apreciarse que el contenido de la solicitud si bien solicita información detallada y desagregada, así como en formato de datos abiertos, se trata de información que se genera todos los días en la institución, la cual es parte toral del funcionamiento diario y esencial de la institución, es decir, la información que se solicita es precisamente respecto de las funciones primordiales del sujeto obligado, por tanto, no contar con ella es como decir que la institución no genera la información básica necesaria para dar seguimiento a sus funciones y resultados, lo cual es contrario con las obligaciones de transparencia que le son comunes a todas las instituciones públicas, pero que además argumentar que no se tiene el deber de generarlas a petición de los ciudadanos, lo cual contrasta a sobre manera con los derechos de acceso a la información y rendición de cuentas. Si bien es cierto, que conforme al criterio 03-17 del INAI, los sujetos obligados no tienen por qué generar documentos ad hoc para el solicitante, sino proporcionar la información en los formatos en que éstos se encuentren sin tener que crear nuevos, dicho criterio, así como el artículo 129° de la Ley General de Transparencia, hacen clara y expresa mención a la obligación de entregar la información que se encuentre en sus archivos o que estén obligados a documentar de acuerdo con sus facultades, competencias o funciones. De modo que, en opinión del solicitante, el asunto a resolver dentro del presente recurso de revisión no es si se hizo mal en acompañar la solicitud de información con un modelo de vaciado, sino el que el sujeto obligado diga no contar con la información requerida sin justificar dicha inexistencia, tratándose precisamente de la información estadística con la que debe contar conforme a las obligaciones de transparencia y a los estándares mínimos de registro y seguimiento estadístico a sus funciones. Aun cuando fuere el caso, de que efectivamente no todas las variables solicitadas se tuvieran con el grado de desagregación que se pide, el sujeto obligado debe proporcionar aquella información con la que cuente y mejor se acerque a dar respuesta a lo solicitado, pudiéndose tratar, por ejemplo, de denominaciones o clasificaciones similares mas no idénticas a las requeridas, siempre que no se trate de información clasificada. Sin embargo, al tomar como argumento la carga de trabajo que requiere el procesamiento de la información, como motivo </w:t>
      </w:r>
      <w:r w:rsidR="0042577C" w:rsidRPr="00985F6A">
        <w:rPr>
          <w:rFonts w:ascii="Palatino Linotype" w:hAnsi="Palatino Linotype"/>
          <w:i/>
          <w:color w:val="000000"/>
          <w:szCs w:val="14"/>
        </w:rPr>
        <w:lastRenderedPageBreak/>
        <w:t xml:space="preserve">para no proporcionar información alguna o querer reducirla a una sola oración, es un claro ejemplo de una errónea interpretación de la legislación en materia de transparencia. Sirve como apoyo a lo anterior el artículo 127° de la Ley General de Transparencia, mismo que cito a continuación: Artículo 127.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 (…) Como puede apreciarse en el artículo anterior, el derecho de acceso a la información pone altos estándares para que éste no se deje en desamparo, de modo que aun cuando no pueda proporcionarse la información en el grado de detalle que se solicita, el sujeto obligado debe velar por proporcionar aquella información de la que disponga que mejor se acerque a lo solicitado, aun cando implique el darle acceso a consulta directa a aquella información de la que se dispone, misma que tratándose de instituciones con áreas especializadas para el seguimiento estadístico de su operación, sería ingenuo pensar que no existe, pues se estaría en presencia evidente de un incumplimiento flagrante a las obligaciones de transparencia. Es por todo lo anterior que se solicita a este H. INSTITUTO que se sirva en garantizar el acceso a la información al promovente del presente recurso, instruyendo al sujeto obligado a proporcionar la información requerida en la modalidad y formato solicitado, tal como lo establece la Constitución y la legislación nacional y local en materia de transparencia. No sin antes mencionar que el artículo 146° de la Ley General de Transparencia, establece la obligación de este órgano garante de aplicar en todo momento la suplencia de la queja en beneficio del solicitante: Artículo 146. El organismo garante resolverá el recurso de revisión en un plazo que no podrá exceder de cuarenta días, contados a partir de la admisión del mismo, en los términos que establezca la ley respectiva, plazo que podrá ampliarse por una sola vez y hasta por un periodo de veinte días. Durante el procedimiento deberá aplicarse la suplencia de la queja a favor del recurrente, sin cambiar los hechos expuestos, asegurándose de que las </w:t>
      </w:r>
      <w:r w:rsidR="0042577C" w:rsidRPr="00985F6A">
        <w:rPr>
          <w:rFonts w:ascii="Palatino Linotype" w:hAnsi="Palatino Linotype"/>
          <w:i/>
          <w:color w:val="000000"/>
          <w:szCs w:val="14"/>
        </w:rPr>
        <w:lastRenderedPageBreak/>
        <w:t>partes puedan presentar, de manera oral o escrita, los argumentos que funden y motiven sus pretensiones.</w:t>
      </w:r>
      <w:r w:rsidRPr="00985F6A">
        <w:rPr>
          <w:rFonts w:ascii="Palatino Linotype" w:hAnsi="Palatino Linotype"/>
          <w:i/>
          <w:color w:val="000000"/>
          <w:szCs w:val="14"/>
        </w:rPr>
        <w:t>” (Sic)</w:t>
      </w:r>
      <w:r w:rsidRPr="00985F6A">
        <w:rPr>
          <w:rFonts w:ascii="Palatino Linotype" w:hAnsi="Palatino Linotype" w:cs="Arial"/>
          <w:szCs w:val="22"/>
        </w:rPr>
        <w:t xml:space="preserve">. </w:t>
      </w:r>
    </w:p>
    <w:p w14:paraId="6CA29487" w14:textId="77777777" w:rsidR="00BA4645" w:rsidRPr="00985F6A" w:rsidRDefault="00BA4645" w:rsidP="00BA4645">
      <w:pPr>
        <w:pStyle w:val="Prrafodelista"/>
        <w:spacing w:line="360" w:lineRule="auto"/>
        <w:ind w:left="0" w:right="49"/>
        <w:jc w:val="both"/>
        <w:rPr>
          <w:rFonts w:ascii="Palatino Linotype" w:hAnsi="Palatino Linotype" w:cs="Arial"/>
          <w:color w:val="000000"/>
        </w:rPr>
      </w:pPr>
    </w:p>
    <w:p w14:paraId="3428ECBD" w14:textId="77777777" w:rsidR="0042577C" w:rsidRPr="00985F6A" w:rsidRDefault="0042577C" w:rsidP="00BA4645">
      <w:pPr>
        <w:pStyle w:val="Prrafodelista"/>
        <w:numPr>
          <w:ilvl w:val="0"/>
          <w:numId w:val="1"/>
        </w:numPr>
        <w:spacing w:line="360" w:lineRule="auto"/>
        <w:ind w:left="0" w:right="49" w:firstLine="0"/>
        <w:jc w:val="both"/>
        <w:rPr>
          <w:rFonts w:ascii="Palatino Linotype" w:hAnsi="Palatino Linotype" w:cs="Arial"/>
          <w:color w:val="000000"/>
          <w:sz w:val="24"/>
        </w:rPr>
      </w:pPr>
      <w:r w:rsidRPr="00985F6A">
        <w:rPr>
          <w:rFonts w:ascii="Palatino Linotype" w:hAnsi="Palatino Linotype" w:cs="Arial"/>
          <w:color w:val="000000"/>
          <w:sz w:val="24"/>
        </w:rPr>
        <w:t>Como se advierte de la lectura a los motivos de inconformidad vertidos por el Recurrente, se inconforma</w:t>
      </w:r>
      <w:r w:rsidR="004F0B75" w:rsidRPr="00985F6A">
        <w:rPr>
          <w:rFonts w:ascii="Palatino Linotype" w:hAnsi="Palatino Linotype" w:cs="Arial"/>
          <w:color w:val="000000"/>
          <w:sz w:val="24"/>
        </w:rPr>
        <w:t>,</w:t>
      </w:r>
      <w:r w:rsidRPr="00985F6A">
        <w:rPr>
          <w:rFonts w:ascii="Palatino Linotype" w:hAnsi="Palatino Linotype" w:cs="Arial"/>
          <w:color w:val="000000"/>
          <w:sz w:val="24"/>
        </w:rPr>
        <w:t xml:space="preserve"> de forma medula</w:t>
      </w:r>
      <w:r w:rsidR="004F0B75" w:rsidRPr="00985F6A">
        <w:rPr>
          <w:rFonts w:ascii="Palatino Linotype" w:hAnsi="Palatino Linotype" w:cs="Arial"/>
          <w:color w:val="000000"/>
          <w:sz w:val="24"/>
        </w:rPr>
        <w:t>r,</w:t>
      </w:r>
      <w:r w:rsidRPr="00985F6A">
        <w:rPr>
          <w:rFonts w:ascii="Palatino Linotype" w:hAnsi="Palatino Linotype" w:cs="Arial"/>
          <w:color w:val="000000"/>
          <w:sz w:val="24"/>
        </w:rPr>
        <w:t xml:space="preserve"> por la falta de respuesta en el plazo establecido por la ley y por</w:t>
      </w:r>
      <w:r w:rsidR="004F0B75" w:rsidRPr="00985F6A">
        <w:rPr>
          <w:rFonts w:ascii="Palatino Linotype" w:hAnsi="Palatino Linotype" w:cs="Arial"/>
          <w:color w:val="000000"/>
          <w:sz w:val="24"/>
        </w:rPr>
        <w:t xml:space="preserve"> la excusa del Sujeto Obligado de proporcionar la información argumentando la carga de trabajo.</w:t>
      </w:r>
    </w:p>
    <w:p w14:paraId="210EE581" w14:textId="77777777" w:rsidR="0042577C" w:rsidRPr="00985F6A" w:rsidRDefault="0042577C" w:rsidP="0042577C">
      <w:pPr>
        <w:pStyle w:val="Prrafodelista"/>
        <w:rPr>
          <w:rFonts w:ascii="Palatino Linotype" w:hAnsi="Palatino Linotype" w:cs="Arial"/>
          <w:color w:val="000000"/>
          <w:sz w:val="24"/>
        </w:rPr>
      </w:pPr>
    </w:p>
    <w:p w14:paraId="53874D58" w14:textId="77777777" w:rsidR="00BA4645" w:rsidRPr="00985F6A" w:rsidRDefault="00BA4645" w:rsidP="00BA4645">
      <w:pPr>
        <w:pStyle w:val="Prrafodelista"/>
        <w:numPr>
          <w:ilvl w:val="0"/>
          <w:numId w:val="1"/>
        </w:numPr>
        <w:spacing w:line="360" w:lineRule="auto"/>
        <w:ind w:left="0" w:right="49" w:firstLine="0"/>
        <w:jc w:val="both"/>
        <w:rPr>
          <w:rFonts w:ascii="Palatino Linotype" w:hAnsi="Palatino Linotype" w:cs="Arial"/>
          <w:color w:val="000000"/>
          <w:sz w:val="24"/>
        </w:rPr>
      </w:pPr>
      <w:r w:rsidRPr="00985F6A">
        <w:rPr>
          <w:rFonts w:ascii="Palatino Linotype" w:hAnsi="Palatino Linotype" w:cs="Arial"/>
          <w:color w:val="000000"/>
          <w:sz w:val="24"/>
        </w:rPr>
        <w:t xml:space="preserve">En consecuencia, se advierte que los motivos o razones de inconformidad no guardan relación con la respuesta emitida por el Sujeto Obligado, pues el </w:t>
      </w:r>
      <w:r w:rsidR="004F0B75" w:rsidRPr="00985F6A">
        <w:rPr>
          <w:rFonts w:ascii="Palatino Linotype" w:hAnsi="Palatino Linotype" w:cs="Arial"/>
          <w:color w:val="000000"/>
          <w:sz w:val="24"/>
        </w:rPr>
        <w:t>Sujeto Obligado, de acuerdo a los archivos electrónicos de SAIMEX, si emitió respuesta dentro del plazo establecido por la Ley:</w:t>
      </w:r>
    </w:p>
    <w:p w14:paraId="08AF0DC0" w14:textId="77777777" w:rsidR="004F0B75" w:rsidRPr="00985F6A" w:rsidRDefault="004F0B75" w:rsidP="004F0B75">
      <w:pPr>
        <w:pStyle w:val="Prrafodelista"/>
        <w:rPr>
          <w:rFonts w:ascii="Palatino Linotype" w:hAnsi="Palatino Linotype" w:cs="Arial"/>
          <w:color w:val="000000"/>
          <w:sz w:val="24"/>
        </w:rPr>
      </w:pPr>
    </w:p>
    <w:p w14:paraId="3EAF3DFD" w14:textId="77777777" w:rsidR="004F0B75" w:rsidRPr="00985F6A" w:rsidRDefault="004F0B75" w:rsidP="004F0B75">
      <w:pPr>
        <w:pStyle w:val="Prrafodelista"/>
        <w:spacing w:line="360" w:lineRule="auto"/>
        <w:ind w:left="0" w:right="49"/>
        <w:jc w:val="center"/>
        <w:rPr>
          <w:rFonts w:ascii="Palatino Linotype" w:hAnsi="Palatino Linotype" w:cs="Arial"/>
          <w:color w:val="000000"/>
          <w:sz w:val="24"/>
        </w:rPr>
      </w:pPr>
      <w:r w:rsidRPr="00985F6A">
        <w:rPr>
          <w:noProof/>
        </w:rPr>
        <w:drawing>
          <wp:inline distT="0" distB="0" distL="0" distR="0" wp14:anchorId="6CC8A591" wp14:editId="6884AA14">
            <wp:extent cx="5166179" cy="1914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395" t="37758" r="22214" b="25073"/>
                    <a:stretch/>
                  </pic:blipFill>
                  <pic:spPr bwMode="auto">
                    <a:xfrm>
                      <a:off x="0" y="0"/>
                      <a:ext cx="5181518" cy="1920210"/>
                    </a:xfrm>
                    <a:prstGeom prst="rect">
                      <a:avLst/>
                    </a:prstGeom>
                    <a:ln>
                      <a:noFill/>
                    </a:ln>
                    <a:extLst>
                      <a:ext uri="{53640926-AAD7-44D8-BBD7-CCE9431645EC}">
                        <a14:shadowObscured xmlns:a14="http://schemas.microsoft.com/office/drawing/2010/main"/>
                      </a:ext>
                    </a:extLst>
                  </pic:spPr>
                </pic:pic>
              </a:graphicData>
            </a:graphic>
          </wp:inline>
        </w:drawing>
      </w:r>
    </w:p>
    <w:p w14:paraId="63E9F870" w14:textId="77777777" w:rsidR="00BA4645" w:rsidRPr="00985F6A" w:rsidRDefault="00BA4645" w:rsidP="00BA4645">
      <w:pPr>
        <w:pStyle w:val="Prrafodelista"/>
        <w:spacing w:line="360" w:lineRule="auto"/>
        <w:ind w:left="0" w:right="49"/>
        <w:jc w:val="both"/>
        <w:rPr>
          <w:rFonts w:ascii="Palatino Linotype" w:hAnsi="Palatino Linotype" w:cs="Arial"/>
          <w:color w:val="000000"/>
          <w:sz w:val="24"/>
        </w:rPr>
      </w:pPr>
      <w:bookmarkStart w:id="10" w:name="_GoBack"/>
      <w:bookmarkEnd w:id="10"/>
    </w:p>
    <w:p w14:paraId="21ECBF40" w14:textId="77777777" w:rsidR="004F0B75" w:rsidRPr="00985F6A" w:rsidRDefault="004F0B75" w:rsidP="00BA4645">
      <w:pPr>
        <w:pStyle w:val="Prrafodelista"/>
        <w:numPr>
          <w:ilvl w:val="0"/>
          <w:numId w:val="1"/>
        </w:numPr>
        <w:spacing w:line="360" w:lineRule="auto"/>
        <w:ind w:left="0" w:right="49" w:firstLine="0"/>
        <w:jc w:val="both"/>
        <w:rPr>
          <w:rFonts w:ascii="Palatino Linotype" w:hAnsi="Palatino Linotype" w:cs="Arial"/>
          <w:color w:val="000000"/>
          <w:sz w:val="24"/>
        </w:rPr>
      </w:pPr>
      <w:r w:rsidRPr="00985F6A">
        <w:rPr>
          <w:rFonts w:ascii="Palatino Linotype" w:hAnsi="Palatino Linotype" w:cs="Arial"/>
          <w:color w:val="000000"/>
          <w:sz w:val="24"/>
        </w:rPr>
        <w:t xml:space="preserve">Como se advierte de la imagen, la solicitud se realizó el treinta y uno (31) de enero de dos mil veintitrés, </w:t>
      </w:r>
      <w:r w:rsidR="008B06A0" w:rsidRPr="00985F6A">
        <w:rPr>
          <w:rFonts w:ascii="Palatino Linotype" w:hAnsi="Palatino Linotype" w:cs="Arial"/>
          <w:color w:val="000000"/>
          <w:sz w:val="24"/>
        </w:rPr>
        <w:t xml:space="preserve">por lo tanto, el plazo para dar respuesta transcurrió del dos (02) al veintitrés (23) de febrero de dos mil veintitrés, en este caso, el Sujeto Obligado emitió respuesta el veinte (20) de febrero del presente año, por lo que se </w:t>
      </w:r>
      <w:r w:rsidR="008B06A0" w:rsidRPr="00985F6A">
        <w:rPr>
          <w:rFonts w:ascii="Palatino Linotype" w:hAnsi="Palatino Linotype" w:cs="Arial"/>
          <w:color w:val="000000"/>
          <w:sz w:val="24"/>
        </w:rPr>
        <w:lastRenderedPageBreak/>
        <w:t xml:space="preserve">encuentra dentro del plazo (quince días) establecido por el artículo 163 de la Ley de Transparencia y Acceso a la Información Pública del Estado de México y Municipios. </w:t>
      </w:r>
    </w:p>
    <w:p w14:paraId="1271B692" w14:textId="77777777" w:rsidR="008B06A0" w:rsidRPr="00985F6A" w:rsidRDefault="008B06A0" w:rsidP="008B06A0">
      <w:pPr>
        <w:pStyle w:val="Prrafodelista"/>
        <w:spacing w:line="360" w:lineRule="auto"/>
        <w:ind w:left="0" w:right="49"/>
        <w:jc w:val="both"/>
        <w:rPr>
          <w:rFonts w:ascii="Palatino Linotype" w:hAnsi="Palatino Linotype" w:cs="Arial"/>
          <w:color w:val="000000"/>
          <w:sz w:val="24"/>
        </w:rPr>
      </w:pPr>
    </w:p>
    <w:p w14:paraId="2F75BAFC" w14:textId="77777777" w:rsidR="00AA1B12" w:rsidRPr="00985F6A" w:rsidRDefault="008B06A0" w:rsidP="00AA1B12">
      <w:pPr>
        <w:pStyle w:val="Prrafodelista"/>
        <w:numPr>
          <w:ilvl w:val="0"/>
          <w:numId w:val="1"/>
        </w:numPr>
        <w:spacing w:line="360" w:lineRule="auto"/>
        <w:ind w:left="0" w:right="49" w:firstLine="0"/>
        <w:jc w:val="both"/>
        <w:rPr>
          <w:rFonts w:ascii="Palatino Linotype" w:hAnsi="Palatino Linotype" w:cs="Arial"/>
          <w:color w:val="000000"/>
          <w:sz w:val="24"/>
        </w:rPr>
      </w:pPr>
      <w:r w:rsidRPr="00985F6A">
        <w:rPr>
          <w:rFonts w:ascii="Palatino Linotype" w:hAnsi="Palatino Linotype" w:cs="Arial"/>
          <w:color w:val="000000"/>
          <w:sz w:val="24"/>
        </w:rPr>
        <w:t>Por otro lado, referente al motivo de inconformidad vertido por el recurrente que refiere “</w:t>
      </w:r>
      <w:r w:rsidRPr="00985F6A">
        <w:rPr>
          <w:rFonts w:ascii="Palatino Linotype" w:hAnsi="Palatino Linotype"/>
          <w:i/>
          <w:color w:val="000000"/>
          <w:sz w:val="24"/>
        </w:rPr>
        <w:t>Sin embargo, al tomar como argumento la carga de trabajo que requiere el procesamiento de la información, como motivo para no proporcionar información alguna o querer reducirla a una sola oración, es un claro ejemplo de una errónea interpretación de la legislación en materia de transparencia”</w:t>
      </w:r>
      <w:r w:rsidR="00AA1B12" w:rsidRPr="00985F6A">
        <w:rPr>
          <w:rFonts w:ascii="Palatino Linotype" w:hAnsi="Palatino Linotype"/>
          <w:i/>
          <w:color w:val="000000"/>
          <w:sz w:val="24"/>
        </w:rPr>
        <w:t xml:space="preserve">, </w:t>
      </w:r>
      <w:r w:rsidR="00AA1B12" w:rsidRPr="00985F6A">
        <w:rPr>
          <w:rFonts w:ascii="Palatino Linotype" w:hAnsi="Palatino Linotype"/>
          <w:color w:val="000000"/>
          <w:sz w:val="24"/>
        </w:rPr>
        <w:t>n</w:t>
      </w:r>
      <w:r w:rsidRPr="00985F6A">
        <w:rPr>
          <w:rFonts w:ascii="Palatino Linotype" w:hAnsi="Palatino Linotype"/>
          <w:color w:val="000000"/>
          <w:sz w:val="24"/>
        </w:rPr>
        <w:t>o se a</w:t>
      </w:r>
      <w:r w:rsidR="00AA1B12" w:rsidRPr="00985F6A">
        <w:rPr>
          <w:rFonts w:ascii="Palatino Linotype" w:hAnsi="Palatino Linotype"/>
          <w:color w:val="000000"/>
          <w:sz w:val="24"/>
        </w:rPr>
        <w:t>dvierte que el Sujeto Obligado haya realizado tales manifestaciones. Por lo tanto, los motivos de inconformidad no guardan ningún tipo de relación con la respuesta emitida por el Sujeto Obligado.</w:t>
      </w:r>
    </w:p>
    <w:p w14:paraId="52931503" w14:textId="77777777" w:rsidR="00AA1B12" w:rsidRPr="00985F6A" w:rsidRDefault="00AA1B12" w:rsidP="00AA1B12">
      <w:pPr>
        <w:pStyle w:val="Prrafodelista"/>
        <w:rPr>
          <w:rFonts w:ascii="Palatino Linotype" w:hAnsi="Palatino Linotype" w:cs="Arial"/>
          <w:color w:val="000000"/>
          <w:sz w:val="24"/>
        </w:rPr>
      </w:pPr>
    </w:p>
    <w:p w14:paraId="6F99E828" w14:textId="77777777" w:rsidR="00BA4645" w:rsidRPr="00985F6A" w:rsidRDefault="00AA1B12" w:rsidP="00AA1B12">
      <w:pPr>
        <w:pStyle w:val="Prrafodelista"/>
        <w:numPr>
          <w:ilvl w:val="0"/>
          <w:numId w:val="1"/>
        </w:numPr>
        <w:spacing w:line="360" w:lineRule="auto"/>
        <w:ind w:left="0" w:right="49" w:firstLine="0"/>
        <w:jc w:val="both"/>
        <w:rPr>
          <w:rFonts w:ascii="Palatino Linotype" w:hAnsi="Palatino Linotype" w:cs="Arial"/>
          <w:color w:val="000000"/>
          <w:sz w:val="24"/>
        </w:rPr>
      </w:pPr>
      <w:r w:rsidRPr="00985F6A">
        <w:rPr>
          <w:rFonts w:ascii="Palatino Linotype" w:hAnsi="Palatino Linotype" w:cs="Arial"/>
          <w:color w:val="000000"/>
          <w:sz w:val="24"/>
        </w:rPr>
        <w:t>P</w:t>
      </w:r>
      <w:r w:rsidR="00BA4645" w:rsidRPr="00985F6A">
        <w:rPr>
          <w:rFonts w:ascii="Palatino Linotype" w:hAnsi="Palatino Linotype" w:cs="Arial"/>
          <w:color w:val="000000"/>
          <w:sz w:val="24"/>
        </w:rPr>
        <w:t xml:space="preserve">untualizado lo anterior, es necesario traer a contexto </w:t>
      </w:r>
      <w:r w:rsidR="00BA4645" w:rsidRPr="00985F6A">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14:paraId="7E6C3F16" w14:textId="77777777" w:rsidR="00BA4645" w:rsidRPr="00985F6A" w:rsidRDefault="00BA4645" w:rsidP="00BA4645">
      <w:pPr>
        <w:shd w:val="clear" w:color="auto" w:fill="FFFFFF"/>
        <w:spacing w:before="240" w:after="240" w:line="360" w:lineRule="atLeast"/>
        <w:ind w:left="851" w:right="567"/>
        <w:jc w:val="both"/>
        <w:rPr>
          <w:rFonts w:ascii="Palatino Linotype" w:hAnsi="Palatino Linotype"/>
          <w:i/>
          <w:iCs/>
          <w:color w:val="000000"/>
          <w:sz w:val="22"/>
          <w:szCs w:val="22"/>
        </w:rPr>
      </w:pPr>
      <w:r w:rsidRPr="00985F6A">
        <w:rPr>
          <w:rFonts w:ascii="Palatino Linotype" w:hAnsi="Palatino Linotype"/>
          <w:b/>
          <w:bCs/>
          <w:i/>
          <w:iCs/>
          <w:color w:val="000000"/>
          <w:sz w:val="22"/>
          <w:szCs w:val="22"/>
        </w:rPr>
        <w:t>AGRAVIOS EN LA REVISION. DEBEN ESTAR EN RELACION DIRECTA CON LOS FUNDAMENTOS Y CONSIDERACIONES DE LA SENTENCIA</w:t>
      </w:r>
      <w:r w:rsidRPr="00985F6A">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19BD393D" w14:textId="77777777" w:rsidR="00BA4645" w:rsidRPr="00985F6A" w:rsidRDefault="00BA4645" w:rsidP="00BA4645">
      <w:pPr>
        <w:pStyle w:val="Prrafodelista"/>
        <w:rPr>
          <w:rFonts w:ascii="Palatino Linotype" w:hAnsi="Palatino Linotype" w:cs="Arial"/>
          <w:color w:val="000000"/>
        </w:rPr>
      </w:pPr>
    </w:p>
    <w:p w14:paraId="0B499196" w14:textId="77777777" w:rsidR="00BA4645" w:rsidRPr="00985F6A" w:rsidRDefault="00BA4645" w:rsidP="00BA4645">
      <w:pPr>
        <w:pStyle w:val="Prrafodelista"/>
        <w:numPr>
          <w:ilvl w:val="0"/>
          <w:numId w:val="1"/>
        </w:numPr>
        <w:spacing w:line="360" w:lineRule="auto"/>
        <w:ind w:left="0" w:right="49" w:firstLine="0"/>
        <w:jc w:val="both"/>
        <w:rPr>
          <w:rFonts w:ascii="Palatino Linotype" w:hAnsi="Palatino Linotype" w:cs="Arial"/>
          <w:color w:val="000000"/>
          <w:sz w:val="24"/>
        </w:rPr>
      </w:pPr>
      <w:r w:rsidRPr="00985F6A">
        <w:rPr>
          <w:rFonts w:ascii="Palatino Linotype" w:hAnsi="Palatino Linotype" w:cs="Arial"/>
          <w:color w:val="000000"/>
          <w:sz w:val="24"/>
        </w:rPr>
        <w:lastRenderedPageBreak/>
        <w:t>Ahora bien, una vez analizado lo anteriormente referido, se determina que el recurso de revisión no actualizan ninguna causal de procedencia que se relacione con la respuesta. En consecuencia, l</w:t>
      </w:r>
      <w:r w:rsidRPr="00985F6A">
        <w:rPr>
          <w:rFonts w:ascii="Palatino Linotype" w:eastAsia="Calibri" w:hAnsi="Palatino Linotype" w:cs="Arial"/>
          <w:sz w:val="24"/>
        </w:rPr>
        <w:t>a falta de actualización de causal de procedencia, trae consigo que el recurso de revisión sea desechado por improcedente, de acuerdo al artículo 191 de la citada ley:</w:t>
      </w:r>
    </w:p>
    <w:p w14:paraId="2062D25A" w14:textId="77777777" w:rsidR="00BA4645" w:rsidRPr="00985F6A" w:rsidRDefault="00BA4645" w:rsidP="00BA4645">
      <w:pPr>
        <w:pStyle w:val="Prrafodelista"/>
        <w:tabs>
          <w:tab w:val="left" w:pos="567"/>
        </w:tabs>
        <w:spacing w:line="360" w:lineRule="auto"/>
        <w:ind w:left="0"/>
        <w:jc w:val="both"/>
        <w:rPr>
          <w:rFonts w:ascii="Palatino Linotype" w:eastAsia="Calibri" w:hAnsi="Palatino Linotype" w:cs="Arial"/>
        </w:rPr>
      </w:pPr>
    </w:p>
    <w:p w14:paraId="0A2C9CA4"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i/>
        </w:rPr>
      </w:pPr>
      <w:r w:rsidRPr="00985F6A">
        <w:rPr>
          <w:rFonts w:ascii="Palatino Linotype" w:hAnsi="Palatino Linotype"/>
          <w:i/>
        </w:rPr>
        <w:t>“Artículo 191. El recurso será desechado por improcedente cuando:</w:t>
      </w:r>
    </w:p>
    <w:p w14:paraId="6C82002A"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i/>
        </w:rPr>
      </w:pPr>
      <w:r w:rsidRPr="00985F6A">
        <w:rPr>
          <w:rFonts w:ascii="Palatino Linotype" w:hAnsi="Palatino Linotype"/>
          <w:i/>
        </w:rPr>
        <w:t>…</w:t>
      </w:r>
    </w:p>
    <w:p w14:paraId="524D3B20"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b/>
          <w:i/>
        </w:rPr>
      </w:pPr>
      <w:r w:rsidRPr="00985F6A">
        <w:rPr>
          <w:rFonts w:ascii="Palatino Linotype" w:hAnsi="Palatino Linotype"/>
          <w:b/>
          <w:i/>
        </w:rPr>
        <w:t xml:space="preserve">III. No actualice alguno de los supuestos previstos en la presente Ley; </w:t>
      </w:r>
    </w:p>
    <w:p w14:paraId="37B7E802" w14:textId="341BDD43" w:rsidR="00BA4645" w:rsidRDefault="00BA4645" w:rsidP="00411783">
      <w:pPr>
        <w:pStyle w:val="Prrafodelista"/>
        <w:tabs>
          <w:tab w:val="left" w:pos="567"/>
        </w:tabs>
        <w:spacing w:line="360" w:lineRule="auto"/>
        <w:ind w:left="567" w:right="822"/>
        <w:jc w:val="both"/>
        <w:rPr>
          <w:rFonts w:ascii="Palatino Linotype" w:hAnsi="Palatino Linotype"/>
          <w:b/>
          <w:i/>
        </w:rPr>
      </w:pPr>
      <w:r w:rsidRPr="00985F6A">
        <w:rPr>
          <w:rFonts w:ascii="Palatino Linotype" w:hAnsi="Palatino Linotype"/>
          <w:b/>
          <w:i/>
        </w:rPr>
        <w:t>…”</w:t>
      </w:r>
    </w:p>
    <w:p w14:paraId="2C042B15" w14:textId="77777777" w:rsidR="00411783" w:rsidRPr="00411783" w:rsidRDefault="00411783" w:rsidP="00411783">
      <w:pPr>
        <w:pStyle w:val="Prrafodelista"/>
        <w:tabs>
          <w:tab w:val="left" w:pos="567"/>
        </w:tabs>
        <w:spacing w:line="360" w:lineRule="auto"/>
        <w:ind w:left="567" w:right="822"/>
        <w:jc w:val="both"/>
        <w:rPr>
          <w:rFonts w:ascii="Palatino Linotype" w:hAnsi="Palatino Linotype"/>
          <w:b/>
          <w:i/>
        </w:rPr>
      </w:pPr>
    </w:p>
    <w:p w14:paraId="254C5E15" w14:textId="630819FB" w:rsidR="00BA4645" w:rsidRPr="00985F6A" w:rsidRDefault="00BA4645" w:rsidP="00BA4645">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985F6A">
        <w:rPr>
          <w:rFonts w:ascii="Palatino Linotype" w:eastAsia="Calibri" w:hAnsi="Palatino Linotype" w:cs="Arial"/>
          <w:sz w:val="24"/>
        </w:rPr>
        <w:t>Al no actualizar ninguna causal de procedencia, el recurso de revisión debe ser desechado por improcedente; sin embargo, una vez admitido, procederá el sobreseimiento de acuerdo a lo que establece el artículo 192 fracción IV, de la multicitada Ley de Transparencia:</w:t>
      </w:r>
    </w:p>
    <w:p w14:paraId="7DC21ECC" w14:textId="77777777" w:rsidR="00BA4645" w:rsidRPr="00985F6A" w:rsidRDefault="00BA4645" w:rsidP="00BA4645">
      <w:pPr>
        <w:pStyle w:val="Prrafodelista"/>
        <w:tabs>
          <w:tab w:val="left" w:pos="567"/>
        </w:tabs>
        <w:spacing w:line="360" w:lineRule="auto"/>
        <w:ind w:left="0"/>
        <w:jc w:val="both"/>
        <w:rPr>
          <w:rFonts w:ascii="Palatino Linotype" w:eastAsia="Calibri" w:hAnsi="Palatino Linotype" w:cs="Arial"/>
        </w:rPr>
      </w:pPr>
    </w:p>
    <w:p w14:paraId="1B2469C7" w14:textId="77777777" w:rsidR="00BA4645" w:rsidRPr="00985F6A" w:rsidRDefault="00BA4645" w:rsidP="00BA4645">
      <w:pPr>
        <w:pStyle w:val="Prrafodelista"/>
        <w:tabs>
          <w:tab w:val="left" w:pos="567"/>
        </w:tabs>
        <w:spacing w:line="360" w:lineRule="auto"/>
        <w:ind w:left="567" w:right="822"/>
        <w:jc w:val="both"/>
        <w:rPr>
          <w:rFonts w:ascii="Palatino Linotype" w:eastAsia="Calibri" w:hAnsi="Palatino Linotype" w:cs="Arial"/>
          <w:i/>
        </w:rPr>
      </w:pPr>
      <w:r w:rsidRPr="00985F6A">
        <w:rPr>
          <w:rFonts w:ascii="Palatino Linotype" w:hAnsi="Palatino Linotype"/>
          <w:i/>
        </w:rPr>
        <w:t>Artículo 192. El recurso será sobreseído, en todo o en parte, cuando una vez admitido, se actualicen alguno de los siguientes supuestos:</w:t>
      </w:r>
    </w:p>
    <w:p w14:paraId="5EFABFE6"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i/>
        </w:rPr>
      </w:pPr>
      <w:r w:rsidRPr="00985F6A">
        <w:rPr>
          <w:rFonts w:ascii="Palatino Linotype" w:hAnsi="Palatino Linotype"/>
          <w:i/>
        </w:rPr>
        <w:t xml:space="preserve">I. El recurrente se desista expresamente del recurso; </w:t>
      </w:r>
    </w:p>
    <w:p w14:paraId="54A0B4C4"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i/>
        </w:rPr>
      </w:pPr>
      <w:r w:rsidRPr="00985F6A">
        <w:rPr>
          <w:rFonts w:ascii="Palatino Linotype" w:hAnsi="Palatino Linotype"/>
          <w:i/>
        </w:rPr>
        <w:t xml:space="preserve">II. El recurrente fallezca o, tratándose de personas jurídicas colectivas, se disuelva; </w:t>
      </w:r>
    </w:p>
    <w:p w14:paraId="3443B7B8"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i/>
        </w:rPr>
      </w:pPr>
      <w:r w:rsidRPr="00985F6A">
        <w:rPr>
          <w:rFonts w:ascii="Palatino Linotype" w:hAnsi="Palatino Linotype"/>
          <w:i/>
        </w:rPr>
        <w:t xml:space="preserve">III. El sujeto obligado responsable del acto lo modifique o revoque de tal manera que el recurso de revisión quede sin materia; </w:t>
      </w:r>
    </w:p>
    <w:p w14:paraId="24EBD2A1" w14:textId="77777777" w:rsidR="00BA4645" w:rsidRPr="00985F6A" w:rsidRDefault="00BA4645" w:rsidP="00BA4645">
      <w:pPr>
        <w:pStyle w:val="Prrafodelista"/>
        <w:tabs>
          <w:tab w:val="left" w:pos="567"/>
        </w:tabs>
        <w:spacing w:line="360" w:lineRule="auto"/>
        <w:ind w:left="567" w:right="822"/>
        <w:jc w:val="both"/>
        <w:rPr>
          <w:rFonts w:ascii="Palatino Linotype" w:hAnsi="Palatino Linotype"/>
          <w:b/>
          <w:i/>
        </w:rPr>
      </w:pPr>
      <w:r w:rsidRPr="00985F6A">
        <w:rPr>
          <w:rFonts w:ascii="Palatino Linotype" w:hAnsi="Palatino Linotype"/>
          <w:b/>
          <w:i/>
        </w:rPr>
        <w:t xml:space="preserve">IV. Admitido el recurso de revisión, aparezca alguna causal de improcedencia en los términos de la presente Ley; y </w:t>
      </w:r>
    </w:p>
    <w:p w14:paraId="05FC3A97" w14:textId="77777777" w:rsidR="00BA4645" w:rsidRPr="00985F6A" w:rsidRDefault="00BA4645" w:rsidP="00BA4645">
      <w:pPr>
        <w:pStyle w:val="Prrafodelista"/>
        <w:tabs>
          <w:tab w:val="left" w:pos="567"/>
        </w:tabs>
        <w:spacing w:line="360" w:lineRule="auto"/>
        <w:ind w:left="567" w:right="822"/>
        <w:jc w:val="both"/>
        <w:rPr>
          <w:rFonts w:ascii="Palatino Linotype" w:eastAsia="Calibri" w:hAnsi="Palatino Linotype" w:cs="Arial"/>
          <w:i/>
        </w:rPr>
      </w:pPr>
      <w:r w:rsidRPr="00985F6A">
        <w:rPr>
          <w:rFonts w:ascii="Palatino Linotype" w:hAnsi="Palatino Linotype"/>
          <w:i/>
        </w:rPr>
        <w:t>V. Cuando por cualquier motivo quede sin materia el recurso.</w:t>
      </w:r>
    </w:p>
    <w:p w14:paraId="6642710A" w14:textId="77777777" w:rsidR="00BA4645" w:rsidRPr="00985F6A" w:rsidRDefault="00BA4645" w:rsidP="00BA4645">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985F6A">
        <w:rPr>
          <w:rFonts w:ascii="Palatino Linotype" w:eastAsia="Calibri" w:hAnsi="Palatino Linotype" w:cs="Arial"/>
          <w:sz w:val="24"/>
        </w:rPr>
        <w:lastRenderedPageBreak/>
        <w:t>Es así que, el recurso de revisión actualiza la causal de sobreseimiento establecida en la fracción IV del artículo 192, en relación a las fracciones III del artículo 191, ambos de la Ley de Transparencia y Acceso a la Información Pública del Estado de México y Municipios.</w:t>
      </w:r>
    </w:p>
    <w:p w14:paraId="1DF776E2" w14:textId="77777777" w:rsidR="00BA4645" w:rsidRPr="00985F6A" w:rsidRDefault="00BA4645" w:rsidP="00BA4645">
      <w:pPr>
        <w:pStyle w:val="Prrafodelista"/>
        <w:tabs>
          <w:tab w:val="left" w:pos="567"/>
        </w:tabs>
        <w:spacing w:line="360" w:lineRule="auto"/>
        <w:ind w:left="0"/>
        <w:jc w:val="both"/>
        <w:rPr>
          <w:rFonts w:ascii="Palatino Linotype" w:eastAsia="Calibri" w:hAnsi="Palatino Linotype" w:cs="Arial"/>
          <w:sz w:val="24"/>
        </w:rPr>
      </w:pPr>
    </w:p>
    <w:p w14:paraId="3998854F" w14:textId="77777777" w:rsidR="00BA4645" w:rsidRPr="00985F6A" w:rsidRDefault="00BA4645" w:rsidP="00BA4645">
      <w:pPr>
        <w:pStyle w:val="Prrafodelista"/>
        <w:numPr>
          <w:ilvl w:val="0"/>
          <w:numId w:val="1"/>
        </w:numPr>
        <w:tabs>
          <w:tab w:val="left" w:pos="567"/>
        </w:tabs>
        <w:spacing w:line="360" w:lineRule="auto"/>
        <w:ind w:left="0" w:firstLine="0"/>
        <w:jc w:val="both"/>
        <w:rPr>
          <w:rFonts w:ascii="Palatino Linotype" w:eastAsia="Calibri" w:hAnsi="Palatino Linotype" w:cs="Arial"/>
          <w:sz w:val="24"/>
        </w:rPr>
      </w:pPr>
      <w:r w:rsidRPr="00985F6A">
        <w:rPr>
          <w:rFonts w:ascii="Palatino Linotype" w:eastAsia="Calibri" w:hAnsi="Palatino Linotype" w:cs="Arial"/>
          <w:sz w:val="24"/>
        </w:rPr>
        <w:t>No obstante, a efecto de no vulnerar los derechos del particular, este Órgano Garante deja a salvo sus derechos para que, si así lo desea, presente una nueva solicitud de acceso a la información requiriendo información que sea de su interés.</w:t>
      </w:r>
    </w:p>
    <w:p w14:paraId="2B3EECEF" w14:textId="77777777" w:rsidR="00BA4645" w:rsidRPr="00985F6A" w:rsidRDefault="00BA4645" w:rsidP="00BA4645">
      <w:pPr>
        <w:pStyle w:val="Prrafodelista"/>
        <w:spacing w:line="360" w:lineRule="auto"/>
        <w:ind w:left="0"/>
        <w:jc w:val="both"/>
        <w:rPr>
          <w:rFonts w:ascii="Palatino Linotype" w:hAnsi="Palatino Linotype" w:cs="Arial"/>
          <w:sz w:val="24"/>
        </w:rPr>
      </w:pPr>
    </w:p>
    <w:p w14:paraId="2814605F" w14:textId="77777777" w:rsidR="00BA4645" w:rsidRPr="00985F6A" w:rsidRDefault="00BA4645" w:rsidP="00BA4645">
      <w:pPr>
        <w:pStyle w:val="Prrafodelista"/>
        <w:numPr>
          <w:ilvl w:val="0"/>
          <w:numId w:val="1"/>
        </w:numPr>
        <w:spacing w:line="360" w:lineRule="auto"/>
        <w:ind w:left="0" w:firstLine="0"/>
        <w:jc w:val="both"/>
        <w:rPr>
          <w:rFonts w:ascii="Palatino Linotype" w:hAnsi="Palatino Linotype" w:cs="Arial"/>
          <w:sz w:val="24"/>
        </w:rPr>
      </w:pPr>
      <w:r w:rsidRPr="00985F6A">
        <w:rPr>
          <w:rFonts w:ascii="Palatino Linotype" w:hAnsi="Palatino Linotype" w:cs="Arial"/>
          <w:color w:val="222222"/>
          <w:sz w:val="24"/>
          <w:lang w:val="es-ES_tradnl"/>
        </w:rPr>
        <w:t xml:space="preserve">Por lo anteriormente expuesto y fundado, este </w:t>
      </w:r>
      <w:r w:rsidRPr="00985F6A">
        <w:rPr>
          <w:rFonts w:ascii="Palatino Linotype" w:hAnsi="Palatino Linotype" w:cs="Arial"/>
          <w:b/>
          <w:bCs/>
          <w:color w:val="222222"/>
          <w:sz w:val="24"/>
          <w:lang w:val="es-ES_tradnl"/>
        </w:rPr>
        <w:t>ÓRGANO GARANTE</w:t>
      </w:r>
      <w:r w:rsidRPr="00985F6A">
        <w:rPr>
          <w:rFonts w:ascii="Palatino Linotype" w:hAnsi="Palatino Linotype" w:cs="Arial"/>
          <w:color w:val="222222"/>
          <w:sz w:val="24"/>
          <w:lang w:val="es-ES_tradnl"/>
        </w:rPr>
        <w:t xml:space="preserve"> emite los siguientes:</w:t>
      </w:r>
    </w:p>
    <w:p w14:paraId="30C1E44B" w14:textId="77777777" w:rsidR="00BA4645" w:rsidRPr="00985F6A" w:rsidRDefault="00BA4645" w:rsidP="00BA4645">
      <w:pPr>
        <w:pStyle w:val="Prrafodelista"/>
        <w:tabs>
          <w:tab w:val="left" w:pos="426"/>
        </w:tabs>
        <w:spacing w:before="240" w:after="240" w:line="360" w:lineRule="auto"/>
        <w:ind w:left="0" w:right="49"/>
        <w:jc w:val="both"/>
        <w:rPr>
          <w:rFonts w:ascii="Palatino Linotype" w:eastAsia="MS Mincho" w:hAnsi="Palatino Linotype"/>
          <w:color w:val="000000"/>
        </w:rPr>
      </w:pPr>
    </w:p>
    <w:p w14:paraId="195FEB8A" w14:textId="77777777" w:rsidR="00BA4645" w:rsidRPr="00985F6A" w:rsidRDefault="00BA4645" w:rsidP="00BA4645">
      <w:pPr>
        <w:pStyle w:val="Ttulo1"/>
        <w:spacing w:line="360" w:lineRule="auto"/>
        <w:jc w:val="center"/>
        <w:rPr>
          <w:rFonts w:ascii="Palatino Linotype" w:hAnsi="Palatino Linotype"/>
          <w:b/>
          <w:color w:val="000000" w:themeColor="text1"/>
          <w:sz w:val="28"/>
          <w:szCs w:val="24"/>
        </w:rPr>
      </w:pPr>
      <w:bookmarkStart w:id="11" w:name="_Toc61470701"/>
      <w:r w:rsidRPr="00985F6A">
        <w:rPr>
          <w:rFonts w:ascii="Palatino Linotype" w:hAnsi="Palatino Linotype"/>
          <w:b/>
          <w:color w:val="000000" w:themeColor="text1"/>
          <w:sz w:val="28"/>
          <w:szCs w:val="24"/>
        </w:rPr>
        <w:t>R E S O L U T I V O S</w:t>
      </w:r>
      <w:bookmarkEnd w:id="5"/>
      <w:bookmarkEnd w:id="6"/>
      <w:bookmarkEnd w:id="7"/>
      <w:bookmarkEnd w:id="8"/>
      <w:bookmarkEnd w:id="11"/>
    </w:p>
    <w:p w14:paraId="0FDBBBE4" w14:textId="77777777" w:rsidR="00BA4645" w:rsidRPr="00985F6A" w:rsidRDefault="00BA4645" w:rsidP="00BA4645">
      <w:pPr>
        <w:rPr>
          <w:lang w:eastAsia="en-US"/>
        </w:rPr>
      </w:pPr>
    </w:p>
    <w:p w14:paraId="7BC3DA7D" w14:textId="77777777" w:rsidR="00BA4645" w:rsidRPr="00985F6A" w:rsidRDefault="00BA4645" w:rsidP="00BA4645">
      <w:pPr>
        <w:spacing w:after="240" w:line="360" w:lineRule="auto"/>
        <w:jc w:val="both"/>
        <w:rPr>
          <w:rFonts w:ascii="Palatino Linotype" w:hAnsi="Palatino Linotype"/>
          <w:lang w:val="es-ES" w:eastAsia="es-ES"/>
        </w:rPr>
      </w:pPr>
      <w:r w:rsidRPr="00985F6A">
        <w:rPr>
          <w:rFonts w:ascii="Palatino Linotype" w:hAnsi="Palatino Linotype"/>
          <w:b/>
          <w:lang w:val="es-ES" w:eastAsia="es-ES"/>
        </w:rPr>
        <w:t>PRIMERO.</w:t>
      </w:r>
      <w:r w:rsidRPr="00985F6A">
        <w:rPr>
          <w:rFonts w:ascii="Palatino Linotype" w:hAnsi="Palatino Linotype"/>
          <w:lang w:val="es-ES" w:eastAsia="es-ES"/>
        </w:rPr>
        <w:t xml:space="preserve"> Se </w:t>
      </w:r>
      <w:r w:rsidRPr="00985F6A">
        <w:rPr>
          <w:rFonts w:ascii="Palatino Linotype" w:hAnsi="Palatino Linotype"/>
          <w:b/>
          <w:lang w:val="es-ES" w:eastAsia="es-ES"/>
        </w:rPr>
        <w:t xml:space="preserve">SOBRESEE el </w:t>
      </w:r>
      <w:r w:rsidRPr="00985F6A">
        <w:rPr>
          <w:rFonts w:ascii="Palatino Linotype" w:hAnsi="Palatino Linotype"/>
          <w:lang w:val="es-ES" w:eastAsia="es-ES"/>
        </w:rPr>
        <w:t xml:space="preserve">recurso de revisión número </w:t>
      </w:r>
      <w:r w:rsidR="00AA1B12" w:rsidRPr="00985F6A">
        <w:rPr>
          <w:rFonts w:ascii="Palatino Linotype" w:hAnsi="Palatino Linotype"/>
          <w:b/>
          <w:lang w:val="es-ES" w:eastAsia="es-ES"/>
        </w:rPr>
        <w:t>01428/INFOEM/IP/RR/2023</w:t>
      </w:r>
      <w:r w:rsidRPr="00985F6A">
        <w:rPr>
          <w:rFonts w:ascii="Palatino Linotype" w:hAnsi="Palatino Linotype"/>
          <w:lang w:val="es-ES" w:eastAsia="es-ES"/>
        </w:rPr>
        <w:t xml:space="preserve">, conforme al artículo </w:t>
      </w:r>
      <w:r w:rsidRPr="00985F6A">
        <w:rPr>
          <w:rFonts w:ascii="Palatino Linotype" w:hAnsi="Palatino Linotype"/>
          <w:b/>
          <w:lang w:val="es-ES" w:eastAsia="es-ES"/>
        </w:rPr>
        <w:t>192 fracción IV</w:t>
      </w:r>
      <w:r w:rsidRPr="00985F6A">
        <w:rPr>
          <w:rFonts w:ascii="Palatino Linotype" w:hAnsi="Palatino Linotype"/>
          <w:lang w:val="es-ES" w:eastAsia="es-ES"/>
        </w:rPr>
        <w:t xml:space="preserve">, de la Ley de Transparencia y Acceso a la Información Pública del Estado de México y Municipios, en términos del </w:t>
      </w:r>
      <w:r w:rsidRPr="00985F6A">
        <w:rPr>
          <w:rFonts w:ascii="Palatino Linotype" w:hAnsi="Palatino Linotype"/>
          <w:b/>
          <w:lang w:val="es-ES" w:eastAsia="es-ES"/>
        </w:rPr>
        <w:t>Considerando TERCERO</w:t>
      </w:r>
      <w:r w:rsidRPr="00985F6A">
        <w:rPr>
          <w:rFonts w:ascii="Palatino Linotype" w:hAnsi="Palatino Linotype"/>
          <w:lang w:val="es-ES" w:eastAsia="es-ES"/>
        </w:rPr>
        <w:t xml:space="preserve"> de la presente resolución.</w:t>
      </w:r>
    </w:p>
    <w:p w14:paraId="23A1E440" w14:textId="77777777" w:rsidR="00BA4645" w:rsidRPr="00985F6A" w:rsidRDefault="00BA4645" w:rsidP="00BA4645">
      <w:pPr>
        <w:pStyle w:val="Sinespaciado"/>
        <w:spacing w:after="240" w:line="360" w:lineRule="auto"/>
        <w:jc w:val="both"/>
        <w:rPr>
          <w:rFonts w:ascii="Palatino Linotype" w:eastAsia="Calibri" w:hAnsi="Palatino Linotype" w:cs="Arial"/>
          <w:b/>
          <w:bCs/>
          <w:lang w:val="es-ES"/>
        </w:rPr>
      </w:pPr>
      <w:r w:rsidRPr="00985F6A">
        <w:rPr>
          <w:rFonts w:ascii="Palatino Linotype" w:eastAsia="Calibri" w:hAnsi="Palatino Linotype" w:cs="Arial"/>
          <w:b/>
          <w:bCs/>
          <w:lang w:val="es-ES"/>
        </w:rPr>
        <w:t xml:space="preserve">SEGUNDO. REMÍTASE </w:t>
      </w:r>
      <w:r w:rsidRPr="00985F6A">
        <w:rPr>
          <w:rFonts w:ascii="Palatino Linotype" w:eastAsia="Calibri" w:hAnsi="Palatino Linotype" w:cs="Arial"/>
          <w:bCs/>
          <w:lang w:val="es-ES"/>
        </w:rPr>
        <w:t xml:space="preserve">a través del Sistema de Acceso a la Información Mexiquense </w:t>
      </w:r>
      <w:r w:rsidRPr="00985F6A">
        <w:rPr>
          <w:rFonts w:ascii="Palatino Linotype" w:eastAsia="Calibri" w:hAnsi="Palatino Linotype" w:cs="Arial"/>
          <w:b/>
          <w:bCs/>
          <w:lang w:val="es-ES"/>
        </w:rPr>
        <w:t xml:space="preserve">(SAIMEX) </w:t>
      </w:r>
      <w:r w:rsidRPr="00985F6A">
        <w:rPr>
          <w:rFonts w:ascii="Palatino Linotype" w:eastAsia="Calibri" w:hAnsi="Palatino Linotype" w:cs="Arial"/>
          <w:bCs/>
          <w:lang w:val="es-ES"/>
        </w:rPr>
        <w:t>la presente resolución al Titular de la Unidad de Transparencia del</w:t>
      </w:r>
      <w:r w:rsidRPr="00985F6A">
        <w:rPr>
          <w:rFonts w:ascii="Palatino Linotype" w:eastAsia="Calibri" w:hAnsi="Palatino Linotype" w:cs="Arial"/>
          <w:b/>
          <w:bCs/>
          <w:lang w:val="es-ES"/>
        </w:rPr>
        <w:t xml:space="preserve"> SUJETO OBLIGADO. </w:t>
      </w:r>
    </w:p>
    <w:p w14:paraId="14BE2207" w14:textId="77777777" w:rsidR="00BA4645" w:rsidRPr="00985F6A" w:rsidRDefault="00BA4645" w:rsidP="00BA4645">
      <w:pPr>
        <w:pStyle w:val="Sinespaciado"/>
        <w:spacing w:after="240" w:line="360" w:lineRule="auto"/>
        <w:jc w:val="both"/>
        <w:rPr>
          <w:rFonts w:ascii="Palatino Linotype" w:hAnsi="Palatino Linotype"/>
          <w:color w:val="222222"/>
          <w:lang w:val="es-ES" w:eastAsia="es-MX"/>
        </w:rPr>
      </w:pPr>
      <w:r w:rsidRPr="00985F6A">
        <w:rPr>
          <w:rFonts w:ascii="Palatino Linotype" w:hAnsi="Palatino Linotype" w:cs="Arial"/>
          <w:b/>
        </w:rPr>
        <w:t xml:space="preserve">TERCERO. </w:t>
      </w:r>
      <w:r w:rsidRPr="00985F6A">
        <w:rPr>
          <w:rFonts w:ascii="Palatino Linotype" w:hAnsi="Palatino Linotype"/>
          <w:b/>
          <w:bCs/>
          <w:lang w:val="es-ES"/>
        </w:rPr>
        <w:t>Notifíquese al RECURRENTE</w:t>
      </w:r>
      <w:r w:rsidRPr="00985F6A">
        <w:rPr>
          <w:rFonts w:ascii="Palatino Linotype" w:hAnsi="Palatino Linotype"/>
          <w:b/>
        </w:rPr>
        <w:t xml:space="preserve"> </w:t>
      </w:r>
      <w:r w:rsidRPr="00985F6A">
        <w:rPr>
          <w:rFonts w:ascii="Palatino Linotype" w:hAnsi="Palatino Linotype"/>
          <w:color w:val="222222"/>
          <w:lang w:val="es-ES" w:eastAsia="es-MX"/>
        </w:rPr>
        <w:t>la presente resolución</w:t>
      </w:r>
      <w:r w:rsidR="00AA1B12" w:rsidRPr="00985F6A">
        <w:rPr>
          <w:rFonts w:ascii="Palatino Linotype" w:hAnsi="Palatino Linotype"/>
          <w:color w:val="222222"/>
          <w:lang w:val="es-ES" w:eastAsia="es-MX"/>
        </w:rPr>
        <w:t xml:space="preserve"> vía SAIMEX y correo electrónico</w:t>
      </w:r>
      <w:r w:rsidRPr="00985F6A">
        <w:rPr>
          <w:rFonts w:ascii="Palatino Linotype" w:hAnsi="Palatino Linotype"/>
          <w:color w:val="222222"/>
          <w:lang w:val="es-ES" w:eastAsia="es-MX"/>
        </w:rPr>
        <w:t>.</w:t>
      </w:r>
    </w:p>
    <w:p w14:paraId="5D2C118D" w14:textId="77777777" w:rsidR="00BA4645" w:rsidRPr="00985F6A" w:rsidRDefault="00BA4645" w:rsidP="00BA4645">
      <w:pPr>
        <w:pStyle w:val="Prrafodelista"/>
        <w:spacing w:after="240" w:line="360" w:lineRule="auto"/>
        <w:ind w:left="0"/>
        <w:jc w:val="both"/>
        <w:rPr>
          <w:rFonts w:ascii="Palatino Linotype" w:eastAsia="MS Mincho" w:hAnsi="Palatino Linotype"/>
          <w:sz w:val="24"/>
          <w:lang w:val="es-ES" w:eastAsia="es-ES"/>
        </w:rPr>
      </w:pPr>
      <w:r w:rsidRPr="00985F6A">
        <w:rPr>
          <w:rFonts w:ascii="Palatino Linotype" w:eastAsia="MS Mincho" w:hAnsi="Palatino Linotype"/>
          <w:b/>
          <w:sz w:val="24"/>
        </w:rPr>
        <w:lastRenderedPageBreak/>
        <w:t>CUARTO.</w:t>
      </w:r>
      <w:r w:rsidRPr="00985F6A">
        <w:rPr>
          <w:rFonts w:ascii="Palatino Linotype" w:eastAsia="MS Mincho" w:hAnsi="Palatino Linotype"/>
          <w:sz w:val="24"/>
        </w:rPr>
        <w:t xml:space="preserve"> </w:t>
      </w:r>
      <w:r w:rsidRPr="00985F6A">
        <w:rPr>
          <w:rFonts w:ascii="Palatino Linotype" w:eastAsia="MS Mincho" w:hAnsi="Palatino Linotype"/>
          <w:sz w:val="24"/>
          <w:lang w:val="es-ES"/>
        </w:rPr>
        <w:t xml:space="preserve">Se hace del conocimiento del </w:t>
      </w:r>
      <w:r w:rsidRPr="00985F6A">
        <w:rPr>
          <w:rFonts w:ascii="Palatino Linotype" w:hAnsi="Palatino Linotype"/>
          <w:b/>
          <w:sz w:val="24"/>
        </w:rPr>
        <w:t xml:space="preserve">RECURRENTE </w:t>
      </w:r>
      <w:r w:rsidRPr="00985F6A">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85F6A">
        <w:rPr>
          <w:rFonts w:ascii="Palatino Linotype" w:eastAsia="MS Mincho" w:hAnsi="Palatino Linotype"/>
          <w:bCs/>
          <w:sz w:val="24"/>
          <w:lang w:val="es-ES"/>
        </w:rPr>
        <w:t xml:space="preserve">vía juicio de amparo </w:t>
      </w:r>
      <w:r w:rsidRPr="00985F6A">
        <w:rPr>
          <w:rFonts w:ascii="Palatino Linotype" w:eastAsia="MS Mincho" w:hAnsi="Palatino Linotype"/>
          <w:sz w:val="24"/>
          <w:lang w:val="es-ES"/>
        </w:rPr>
        <w:t>en los términos de las leyes aplicables.</w:t>
      </w:r>
    </w:p>
    <w:p w14:paraId="4F620861" w14:textId="26C6EC41" w:rsidR="00033B25" w:rsidRPr="00986EB8" w:rsidRDefault="00033B25" w:rsidP="00033B25">
      <w:pPr>
        <w:spacing w:before="240" w:after="240" w:line="360" w:lineRule="auto"/>
        <w:ind w:firstLine="1"/>
        <w:jc w:val="both"/>
        <w:rPr>
          <w:rFonts w:ascii="Palatino Linotype" w:hAnsi="Palatino Linotype"/>
          <w:smallCaps/>
        </w:rPr>
      </w:pPr>
      <w:bookmarkStart w:id="12" w:name="_Hlk129792997"/>
      <w:r w:rsidRPr="00986EB8">
        <w:rPr>
          <w:rStyle w:val="Referenciasutil"/>
          <w:rFonts w:ascii="Palatino Linotype" w:eastAsiaTheme="majorEastAsia" w:hAnsi="Palatino Linotype"/>
          <w:color w:val="auto"/>
        </w:rPr>
        <w:t xml:space="preserve">ASÍ LO RESUELVE, POR </w:t>
      </w:r>
      <w:r w:rsidR="00355C96">
        <w:rPr>
          <w:rStyle w:val="Referenciasutil"/>
          <w:rFonts w:ascii="Palatino Linotype" w:eastAsiaTheme="majorEastAsia" w:hAnsi="Palatino Linotype"/>
          <w:color w:val="auto"/>
        </w:rPr>
        <w:t>MAYORÍA</w:t>
      </w:r>
      <w:r w:rsidRPr="00986EB8">
        <w:rPr>
          <w:rStyle w:val="Referenciasutil"/>
          <w:rFonts w:ascii="Palatino Linotype" w:eastAsiaTheme="majorEastAsia" w:hAnsi="Palatino Linotype"/>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55C96">
        <w:rPr>
          <w:rStyle w:val="Referenciasutil"/>
          <w:rFonts w:ascii="Palatino Linotype" w:eastAsiaTheme="majorEastAsia" w:hAnsi="Palatino Linotype"/>
          <w:color w:val="auto"/>
        </w:rPr>
        <w:t xml:space="preserve"> EMITIENDO VOTO DISIDENTE</w:t>
      </w:r>
      <w:r w:rsidRPr="00986EB8">
        <w:rPr>
          <w:rStyle w:val="Referenciasutil"/>
          <w:rFonts w:ascii="Palatino Linotype" w:eastAsiaTheme="majorEastAsia" w:hAnsi="Palatino Linotype"/>
          <w:color w:val="auto"/>
        </w:rPr>
        <w:t xml:space="preserve"> Y GUADALUPE R</w:t>
      </w:r>
      <w:r>
        <w:rPr>
          <w:rStyle w:val="Referenciasutil"/>
          <w:rFonts w:ascii="Palatino Linotype" w:eastAsiaTheme="majorEastAsia" w:hAnsi="Palatino Linotype"/>
          <w:color w:val="auto"/>
        </w:rPr>
        <w:t>AMÍREZ PEÑA, EN LA DÉCIMA SÉPTIMA</w:t>
      </w:r>
      <w:r w:rsidRPr="00986EB8">
        <w:rPr>
          <w:rStyle w:val="Referenciasutil"/>
          <w:rFonts w:ascii="Palatino Linotype" w:eastAsiaTheme="majorEastAsia" w:hAnsi="Palatino Linotype"/>
          <w:color w:val="auto"/>
        </w:rPr>
        <w:t xml:space="preserve">  SESIÓN ORDINARIA CELEBRADA EL DIEZ (10) DE MAYO DE DOS MIL VEINTITRÉS, ANTE EL SECRETARIO TÉCNICO DEL PLENO ALEXIS TAPIA RAMÍREZ. </w:t>
      </w:r>
      <w:bookmarkEnd w:id="12"/>
    </w:p>
    <w:p w14:paraId="6250EE27" w14:textId="77777777" w:rsidR="00BA4645" w:rsidRPr="005B2779" w:rsidRDefault="00BA4645" w:rsidP="00BA4645">
      <w:pPr>
        <w:pStyle w:val="Prrafodelista"/>
        <w:spacing w:line="360" w:lineRule="auto"/>
        <w:ind w:left="0"/>
        <w:jc w:val="both"/>
        <w:rPr>
          <w:rFonts w:ascii="Palatino Linotype" w:hAnsi="Palatino Linotype" w:cs="Arial"/>
          <w:sz w:val="24"/>
          <w:lang w:val="es-ES" w:eastAsia="es-ES"/>
        </w:rPr>
      </w:pPr>
    </w:p>
    <w:p w14:paraId="55CD3EC9" w14:textId="77777777" w:rsidR="00BA4645" w:rsidRPr="00E95235" w:rsidRDefault="00BA4645" w:rsidP="00BA4645">
      <w:pPr>
        <w:pStyle w:val="Prrafodelista"/>
        <w:spacing w:line="360" w:lineRule="auto"/>
        <w:ind w:left="0"/>
        <w:jc w:val="both"/>
        <w:rPr>
          <w:rFonts w:ascii="Palatino Linotype" w:hAnsi="Palatino Linotype" w:cs="Arial"/>
          <w:sz w:val="24"/>
          <w:lang w:val="es-ES" w:eastAsia="es-ES"/>
        </w:rPr>
      </w:pPr>
    </w:p>
    <w:p w14:paraId="3DEE7F15" w14:textId="77777777" w:rsidR="00BA4645" w:rsidRPr="00E95235" w:rsidRDefault="00BA4645" w:rsidP="00BA4645">
      <w:pPr>
        <w:spacing w:line="360" w:lineRule="auto"/>
        <w:ind w:right="49"/>
        <w:jc w:val="both"/>
        <w:rPr>
          <w:rFonts w:ascii="Palatino Linotype" w:eastAsiaTheme="minorEastAsia" w:hAnsi="Palatino Linotype" w:cs="Arial"/>
          <w:sz w:val="22"/>
          <w:szCs w:val="22"/>
          <w:lang w:val="es-ES_tradnl" w:eastAsia="es-ES"/>
        </w:rPr>
      </w:pPr>
    </w:p>
    <w:p w14:paraId="018E2F36" w14:textId="77777777" w:rsidR="00BA4645" w:rsidRPr="00E95235" w:rsidRDefault="00BA4645" w:rsidP="00BA4645">
      <w:pPr>
        <w:spacing w:line="360" w:lineRule="auto"/>
        <w:ind w:right="49"/>
        <w:jc w:val="both"/>
        <w:rPr>
          <w:rFonts w:ascii="Palatino Linotype" w:eastAsiaTheme="minorEastAsia" w:hAnsi="Palatino Linotype" w:cs="Arial"/>
          <w:sz w:val="22"/>
          <w:szCs w:val="22"/>
          <w:lang w:val="es-ES_tradnl" w:eastAsia="es-ES"/>
        </w:rPr>
      </w:pPr>
    </w:p>
    <w:p w14:paraId="46B5D148" w14:textId="77777777" w:rsidR="00BA4645" w:rsidRPr="00E95235" w:rsidRDefault="00BA4645" w:rsidP="00BA4645">
      <w:pPr>
        <w:spacing w:line="360" w:lineRule="auto"/>
        <w:ind w:right="49"/>
        <w:jc w:val="both"/>
        <w:rPr>
          <w:rFonts w:ascii="Palatino Linotype" w:eastAsiaTheme="minorEastAsia" w:hAnsi="Palatino Linotype" w:cs="Arial"/>
          <w:sz w:val="22"/>
          <w:szCs w:val="22"/>
          <w:lang w:val="es-ES_tradnl" w:eastAsia="es-ES"/>
        </w:rPr>
      </w:pPr>
    </w:p>
    <w:p w14:paraId="6E8E8672" w14:textId="77777777" w:rsidR="004E1710" w:rsidRDefault="00686BA5"/>
    <w:sectPr w:rsidR="004E1710" w:rsidSect="0026086D">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1A534" w14:textId="77777777" w:rsidR="00686BA5" w:rsidRDefault="00686BA5" w:rsidP="00BA4645">
      <w:r>
        <w:separator/>
      </w:r>
    </w:p>
  </w:endnote>
  <w:endnote w:type="continuationSeparator" w:id="0">
    <w:p w14:paraId="5CCBE3CD" w14:textId="77777777" w:rsidR="00686BA5" w:rsidRDefault="00686BA5" w:rsidP="00BA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5CB0" w14:textId="77777777" w:rsidR="0026086D" w:rsidRDefault="0001761B">
    <w:pPr>
      <w:pStyle w:val="Piedepgina"/>
      <w:jc w:val="right"/>
    </w:pPr>
    <w:r>
      <w:rPr>
        <w:lang w:val="es-ES"/>
      </w:rPr>
      <w:t xml:space="preserve">Página </w:t>
    </w:r>
    <w:r>
      <w:rPr>
        <w:b/>
        <w:bCs/>
      </w:rPr>
      <w:fldChar w:fldCharType="begin"/>
    </w:r>
    <w:r>
      <w:rPr>
        <w:b/>
        <w:bCs/>
      </w:rPr>
      <w:instrText>PAGE</w:instrText>
    </w:r>
    <w:r>
      <w:rPr>
        <w:b/>
        <w:bCs/>
      </w:rPr>
      <w:fldChar w:fldCharType="separate"/>
    </w:r>
    <w:r w:rsidR="005475F8">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475F8">
      <w:rPr>
        <w:b/>
        <w:bCs/>
        <w:noProof/>
      </w:rPr>
      <w:t>18</w:t>
    </w:r>
    <w:r>
      <w:rPr>
        <w:b/>
        <w:bCs/>
      </w:rPr>
      <w:fldChar w:fldCharType="end"/>
    </w:r>
  </w:p>
  <w:p w14:paraId="0441A8B4" w14:textId="77777777" w:rsidR="0026086D" w:rsidRDefault="00686B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90715" w14:textId="77777777" w:rsidR="0026086D" w:rsidRDefault="0001761B">
    <w:pPr>
      <w:pStyle w:val="Piedepgina"/>
      <w:jc w:val="right"/>
    </w:pPr>
    <w:r>
      <w:rPr>
        <w:lang w:val="es-ES"/>
      </w:rPr>
      <w:t xml:space="preserve">Página </w:t>
    </w:r>
    <w:r>
      <w:rPr>
        <w:b/>
        <w:bCs/>
      </w:rPr>
      <w:fldChar w:fldCharType="begin"/>
    </w:r>
    <w:r>
      <w:rPr>
        <w:b/>
        <w:bCs/>
      </w:rPr>
      <w:instrText>PAGE</w:instrText>
    </w:r>
    <w:r>
      <w:rPr>
        <w:b/>
        <w:bCs/>
      </w:rPr>
      <w:fldChar w:fldCharType="separate"/>
    </w:r>
    <w:r w:rsidR="005475F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475F8">
      <w:rPr>
        <w:b/>
        <w:bCs/>
        <w:noProof/>
      </w:rPr>
      <w:t>18</w:t>
    </w:r>
    <w:r>
      <w:rPr>
        <w:b/>
        <w:bCs/>
      </w:rPr>
      <w:fldChar w:fldCharType="end"/>
    </w:r>
  </w:p>
  <w:p w14:paraId="0E516335" w14:textId="77777777" w:rsidR="0026086D" w:rsidRDefault="00686B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CDA3" w14:textId="77777777" w:rsidR="00686BA5" w:rsidRDefault="00686BA5" w:rsidP="00BA4645">
      <w:r>
        <w:separator/>
      </w:r>
    </w:p>
  </w:footnote>
  <w:footnote w:type="continuationSeparator" w:id="0">
    <w:p w14:paraId="591A0607" w14:textId="77777777" w:rsidR="00686BA5" w:rsidRDefault="00686BA5" w:rsidP="00BA4645">
      <w:r>
        <w:continuationSeparator/>
      </w:r>
    </w:p>
  </w:footnote>
  <w:footnote w:id="1">
    <w:p w14:paraId="7429BD07" w14:textId="77777777" w:rsidR="00BA4645" w:rsidRPr="00777397" w:rsidRDefault="00BA4645" w:rsidP="00BA4645">
      <w:pPr>
        <w:pStyle w:val="Textonotapie"/>
        <w:jc w:val="both"/>
        <w:rPr>
          <w:rFonts w:ascii="Palatino Linotype" w:hAnsi="Palatino Linotype"/>
          <w:sz w:val="18"/>
        </w:rPr>
      </w:pPr>
      <w:r w:rsidRPr="00F5102E">
        <w:rPr>
          <w:rStyle w:val="Refdenotaalpie"/>
          <w:rFonts w:ascii="Palatino Linotype" w:hAnsi="Palatino Linotype"/>
        </w:rPr>
        <w:footnoteRef/>
      </w:r>
      <w:r w:rsidRPr="00F5102E">
        <w:rPr>
          <w:rFonts w:ascii="Palatino Linotype" w:hAnsi="Palatino Linotype"/>
        </w:rPr>
        <w:t xml:space="preserve"> </w:t>
      </w:r>
      <w:r w:rsidRPr="00777397">
        <w:rPr>
          <w:rFonts w:ascii="Palatino Linotype" w:hAnsi="Palatino Linotype"/>
          <w:b/>
          <w:sz w:val="18"/>
        </w:rPr>
        <w:t>Artículo 9.</w:t>
      </w:r>
      <w:r w:rsidRPr="00777397">
        <w:rPr>
          <w:rFonts w:ascii="Palatino Linotype" w:hAnsi="Palatino Linotype"/>
          <w:sz w:val="18"/>
        </w:rPr>
        <w:t xml:space="preserve"> El Instituto deberá regir su funcionamiento de acuerdo a los siguientes principios:</w:t>
      </w:r>
    </w:p>
    <w:p w14:paraId="00459D8C" w14:textId="77777777" w:rsidR="00BA4645" w:rsidRPr="00777397" w:rsidRDefault="00BA4645" w:rsidP="00BA4645">
      <w:pPr>
        <w:pStyle w:val="Textonotapie"/>
        <w:jc w:val="both"/>
        <w:rPr>
          <w:rFonts w:ascii="Palatino Linotype" w:hAnsi="Palatino Linotype"/>
          <w:sz w:val="18"/>
        </w:rPr>
      </w:pPr>
      <w:r w:rsidRPr="00777397">
        <w:rPr>
          <w:rFonts w:ascii="Palatino Linotype" w:hAnsi="Palatino Linotype"/>
          <w:sz w:val="18"/>
        </w:rPr>
        <w:t>(…)</w:t>
      </w:r>
    </w:p>
    <w:p w14:paraId="09B9BBD6" w14:textId="77777777" w:rsidR="00BA4645" w:rsidRPr="00777397" w:rsidRDefault="00BA4645" w:rsidP="00BA4645">
      <w:pPr>
        <w:pStyle w:val="Textonotapie"/>
        <w:jc w:val="both"/>
        <w:rPr>
          <w:rFonts w:ascii="Palatino Linotype" w:hAnsi="Palatino Linotype"/>
          <w:sz w:val="18"/>
          <w:lang w:val="es-ES"/>
        </w:rPr>
      </w:pPr>
      <w:r w:rsidRPr="00777397">
        <w:rPr>
          <w:rFonts w:ascii="Palatino Linotype" w:hAnsi="Palatino Linotype"/>
          <w:b/>
          <w:sz w:val="18"/>
          <w:lang w:val="es-ES"/>
        </w:rPr>
        <w:t>II. Eficacia:</w:t>
      </w:r>
      <w:r w:rsidRPr="00777397">
        <w:rPr>
          <w:rFonts w:ascii="Palatino Linotype" w:hAnsi="Palatino Linotype"/>
          <w:sz w:val="18"/>
          <w:lang w:val="es-ES"/>
        </w:rPr>
        <w:t xml:space="preserve"> Obligación del Instituto para tutelar, de manera efectiva, el derecho de acceso a la información</w:t>
      </w:r>
    </w:p>
    <w:p w14:paraId="3567A828" w14:textId="77777777" w:rsidR="00BA4645" w:rsidRPr="00777397" w:rsidRDefault="00BA4645" w:rsidP="00BA4645">
      <w:pPr>
        <w:pStyle w:val="Textonotapie"/>
        <w:jc w:val="both"/>
        <w:rPr>
          <w:rFonts w:ascii="Palatino Linotype" w:hAnsi="Palatino Linotype"/>
          <w:sz w:val="18"/>
          <w:lang w:val="es-ES"/>
        </w:rPr>
      </w:pPr>
      <w:r w:rsidRPr="00777397">
        <w:rPr>
          <w:rFonts w:ascii="Palatino Linotype" w:hAnsi="Palatino Linotype"/>
          <w:sz w:val="18"/>
          <w:lang w:val="es-ES"/>
        </w:rPr>
        <w:t>(…)</w:t>
      </w:r>
    </w:p>
    <w:p w14:paraId="64AADD36" w14:textId="77777777" w:rsidR="00BA4645" w:rsidRDefault="00BA4645" w:rsidP="00BA4645">
      <w:pPr>
        <w:pStyle w:val="Textonotapie"/>
        <w:jc w:val="both"/>
      </w:pPr>
      <w:r w:rsidRPr="00777397">
        <w:rPr>
          <w:rFonts w:ascii="Palatino Linotype" w:hAnsi="Palatino Linotype"/>
          <w:b/>
          <w:sz w:val="18"/>
          <w:lang w:val="es-ES"/>
        </w:rPr>
        <w:t>IX. Profesionalismo:</w:t>
      </w:r>
      <w:r w:rsidRPr="00777397">
        <w:rPr>
          <w:rFonts w:ascii="Palatino Linotype" w:hAnsi="Palatino Linotype"/>
          <w:sz w:val="18"/>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0AAEF" w14:textId="77777777" w:rsidR="0026086D" w:rsidRDefault="00686BA5">
    <w:pPr>
      <w:pStyle w:val="Encabezado"/>
    </w:pPr>
    <w:r>
      <w:rPr>
        <w:noProof/>
      </w:rPr>
      <w:pict w14:anchorId="52A68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14:paraId="37A47F5F" w14:textId="77777777" w:rsidTr="0026086D">
      <w:trPr>
        <w:trHeight w:val="1435"/>
      </w:trPr>
      <w:tc>
        <w:tcPr>
          <w:tcW w:w="2268" w:type="dxa"/>
          <w:shd w:val="clear" w:color="auto" w:fill="auto"/>
        </w:tcPr>
        <w:p w14:paraId="01FC03B3" w14:textId="77777777" w:rsidR="0026086D" w:rsidRPr="005C106F" w:rsidRDefault="00686BA5" w:rsidP="0026086D">
          <w:pPr>
            <w:tabs>
              <w:tab w:val="right" w:pos="4273"/>
            </w:tabs>
            <w:rPr>
              <w:rFonts w:ascii="Garamond" w:eastAsia="Calibri" w:hAnsi="Garamond"/>
              <w:sz w:val="16"/>
              <w:szCs w:val="16"/>
              <w:lang w:eastAsia="en-US"/>
            </w:rPr>
          </w:pPr>
        </w:p>
      </w:tc>
      <w:tc>
        <w:tcPr>
          <w:tcW w:w="6946" w:type="dxa"/>
          <w:shd w:val="clear" w:color="auto" w:fill="auto"/>
        </w:tcPr>
        <w:p w14:paraId="3C269F4D" w14:textId="77777777" w:rsidR="0026086D" w:rsidRDefault="00686BA5" w:rsidP="0026086D"/>
        <w:tbl>
          <w:tblPr>
            <w:tblW w:w="6662" w:type="dxa"/>
            <w:tblInd w:w="40" w:type="dxa"/>
            <w:tblLayout w:type="fixed"/>
            <w:tblLook w:val="0420" w:firstRow="1" w:lastRow="0" w:firstColumn="0" w:lastColumn="0" w:noHBand="0" w:noVBand="1"/>
          </w:tblPr>
          <w:tblGrid>
            <w:gridCol w:w="2551"/>
            <w:gridCol w:w="4111"/>
          </w:tblGrid>
          <w:tr w:rsidR="0026086D" w14:paraId="5DE81448" w14:textId="77777777" w:rsidTr="0026086D">
            <w:trPr>
              <w:trHeight w:val="150"/>
            </w:trPr>
            <w:tc>
              <w:tcPr>
                <w:tcW w:w="2551" w:type="dxa"/>
                <w:shd w:val="clear" w:color="auto" w:fill="auto"/>
              </w:tcPr>
              <w:p w14:paraId="30BA2C6F" w14:textId="77777777" w:rsidR="0026086D" w:rsidRPr="00020E73" w:rsidRDefault="0001761B"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1477889" w14:textId="77777777" w:rsidR="0026086D" w:rsidRPr="00020E73" w:rsidRDefault="00D260B4"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01428/INFOEM/IP/RR/2023</w:t>
                </w:r>
                <w:r w:rsidR="0001761B" w:rsidRPr="009E7B0A">
                  <w:rPr>
                    <w:rFonts w:ascii="Palatino Linotype" w:eastAsia="Calibri" w:hAnsi="Palatino Linotype" w:cs="Tahoma"/>
                    <w:b/>
                    <w:bCs/>
                    <w:sz w:val="22"/>
                    <w:szCs w:val="22"/>
                    <w:lang w:eastAsia="en-US"/>
                  </w:rPr>
                  <w:t xml:space="preserve"> </w:t>
                </w:r>
              </w:p>
            </w:tc>
          </w:tr>
          <w:tr w:rsidR="0026086D" w14:paraId="76B0EDB8" w14:textId="77777777" w:rsidTr="0026086D">
            <w:trPr>
              <w:trHeight w:val="295"/>
            </w:trPr>
            <w:tc>
              <w:tcPr>
                <w:tcW w:w="2551" w:type="dxa"/>
                <w:shd w:val="clear" w:color="auto" w:fill="auto"/>
              </w:tcPr>
              <w:p w14:paraId="2B5EF961" w14:textId="77777777" w:rsidR="0026086D" w:rsidRPr="00020E73" w:rsidRDefault="0001761B"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7591D54D" w14:textId="77777777" w:rsidR="0026086D" w:rsidRPr="00D260B4" w:rsidRDefault="00D260B4" w:rsidP="0026086D">
                <w:pPr>
                  <w:tabs>
                    <w:tab w:val="left" w:pos="2834"/>
                    <w:tab w:val="right" w:pos="8838"/>
                  </w:tabs>
                  <w:ind w:left="-108" w:right="-102"/>
                  <w:jc w:val="both"/>
                  <w:rPr>
                    <w:rFonts w:ascii="Palatino Linotype" w:eastAsia="Calibri" w:hAnsi="Palatino Linotype" w:cs="Tahoma"/>
                    <w:sz w:val="22"/>
                    <w:szCs w:val="22"/>
                    <w:lang w:val="es-ES" w:eastAsia="en-US"/>
                  </w:rPr>
                </w:pPr>
                <w:r w:rsidRPr="00D260B4">
                  <w:rPr>
                    <w:rFonts w:ascii="Palatino Linotype" w:eastAsia="Calibri" w:hAnsi="Palatino Linotype" w:cs="Tahoma"/>
                    <w:bCs/>
                    <w:sz w:val="22"/>
                    <w:szCs w:val="22"/>
                    <w:lang w:eastAsia="en-US"/>
                  </w:rPr>
                  <w:t>Fiscalía General de Justicia del Estado de México</w:t>
                </w:r>
              </w:p>
            </w:tc>
          </w:tr>
          <w:tr w:rsidR="0026086D" w14:paraId="3C759DF2" w14:textId="77777777" w:rsidTr="0026086D">
            <w:trPr>
              <w:trHeight w:val="295"/>
            </w:trPr>
            <w:tc>
              <w:tcPr>
                <w:tcW w:w="2551" w:type="dxa"/>
                <w:shd w:val="clear" w:color="auto" w:fill="auto"/>
              </w:tcPr>
              <w:p w14:paraId="7C9CAAB2" w14:textId="77777777" w:rsidR="0026086D" w:rsidRPr="00020E73" w:rsidRDefault="0001761B"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14D5C70" w14:textId="77777777" w:rsidR="0026086D" w:rsidRPr="00020E73" w:rsidRDefault="0001761B"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2FDFEC36" w14:textId="77777777" w:rsidR="0026086D" w:rsidRPr="00020E73" w:rsidRDefault="00686BA5" w:rsidP="0026086D">
                <w:pPr>
                  <w:tabs>
                    <w:tab w:val="right" w:pos="8838"/>
                  </w:tabs>
                  <w:ind w:left="-108" w:right="171"/>
                  <w:jc w:val="both"/>
                  <w:rPr>
                    <w:rFonts w:ascii="Palatino Linotype" w:eastAsia="Calibri" w:hAnsi="Palatino Linotype" w:cs="Tahoma"/>
                    <w:b/>
                    <w:sz w:val="22"/>
                    <w:szCs w:val="22"/>
                    <w:lang w:val="es-ES" w:eastAsia="en-US"/>
                  </w:rPr>
                </w:pPr>
              </w:p>
            </w:tc>
          </w:tr>
        </w:tbl>
        <w:p w14:paraId="07392DF3" w14:textId="77777777" w:rsidR="0026086D" w:rsidRPr="005C106F" w:rsidRDefault="00686BA5" w:rsidP="0026086D">
          <w:pPr>
            <w:tabs>
              <w:tab w:val="right" w:pos="8838"/>
            </w:tabs>
            <w:ind w:left="-28"/>
            <w:jc w:val="both"/>
            <w:rPr>
              <w:rFonts w:ascii="Arial" w:eastAsia="Calibri" w:hAnsi="Arial" w:cs="Arial"/>
              <w:b/>
              <w:sz w:val="22"/>
              <w:szCs w:val="22"/>
              <w:lang w:eastAsia="en-US"/>
            </w:rPr>
          </w:pPr>
        </w:p>
      </w:tc>
    </w:tr>
  </w:tbl>
  <w:p w14:paraId="3CB72CEA" w14:textId="77777777" w:rsidR="0026086D" w:rsidRPr="00443C6B" w:rsidRDefault="00686BA5" w:rsidP="0026086D">
    <w:pPr>
      <w:pStyle w:val="Encabezado"/>
      <w:rPr>
        <w:sz w:val="14"/>
      </w:rPr>
    </w:pPr>
    <w:r>
      <w:rPr>
        <w:noProof/>
        <w:sz w:val="14"/>
      </w:rPr>
      <w:pict w14:anchorId="5963C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14:paraId="7965C1A4" w14:textId="77777777" w:rsidTr="0026086D">
      <w:trPr>
        <w:trHeight w:val="1435"/>
      </w:trPr>
      <w:tc>
        <w:tcPr>
          <w:tcW w:w="2268" w:type="dxa"/>
          <w:shd w:val="clear" w:color="auto" w:fill="auto"/>
        </w:tcPr>
        <w:p w14:paraId="03F6C2DC" w14:textId="77777777" w:rsidR="0026086D" w:rsidRPr="00330DA7" w:rsidRDefault="00686BA5"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14:paraId="3FB6C396" w14:textId="77777777" w:rsidTr="0026086D">
            <w:trPr>
              <w:trHeight w:val="144"/>
            </w:trPr>
            <w:tc>
              <w:tcPr>
                <w:tcW w:w="2444" w:type="dxa"/>
                <w:shd w:val="clear" w:color="auto" w:fill="auto"/>
              </w:tcPr>
              <w:p w14:paraId="2C9E2865" w14:textId="77777777" w:rsidR="0026086D" w:rsidRPr="00020E73" w:rsidRDefault="0001761B"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A80868E" w14:textId="77777777" w:rsidR="0026086D" w:rsidRPr="00020E73" w:rsidRDefault="00D260B4" w:rsidP="00DA523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01428/INFOEM/IP/RR/2023</w:t>
                </w:r>
              </w:p>
            </w:tc>
          </w:tr>
          <w:tr w:rsidR="0026086D" w:rsidRPr="00330DA7" w14:paraId="7089F0B0" w14:textId="77777777" w:rsidTr="0026086D">
            <w:trPr>
              <w:trHeight w:val="144"/>
            </w:trPr>
            <w:tc>
              <w:tcPr>
                <w:tcW w:w="2444" w:type="dxa"/>
                <w:shd w:val="clear" w:color="auto" w:fill="auto"/>
              </w:tcPr>
              <w:p w14:paraId="617A2EB4" w14:textId="77777777" w:rsidR="0026086D" w:rsidRPr="00020E73" w:rsidRDefault="0001761B"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75E87BC" w14:textId="3A458D68" w:rsidR="0026086D" w:rsidRPr="00843798" w:rsidRDefault="005E5019"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w:t>
                </w:r>
              </w:p>
            </w:tc>
          </w:tr>
          <w:tr w:rsidR="0026086D" w:rsidRPr="00330DA7" w14:paraId="160B216F" w14:textId="77777777" w:rsidTr="0026086D">
            <w:trPr>
              <w:trHeight w:val="283"/>
            </w:trPr>
            <w:tc>
              <w:tcPr>
                <w:tcW w:w="2444" w:type="dxa"/>
                <w:shd w:val="clear" w:color="auto" w:fill="auto"/>
              </w:tcPr>
              <w:p w14:paraId="76E39562" w14:textId="77777777" w:rsidR="0026086D" w:rsidRPr="00020E73" w:rsidRDefault="0001761B"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13E6BDC6" w14:textId="77777777" w:rsidR="0026086D" w:rsidRPr="00D260B4" w:rsidRDefault="00D260B4" w:rsidP="00DA5235">
                <w:pPr>
                  <w:tabs>
                    <w:tab w:val="left" w:pos="2834"/>
                    <w:tab w:val="right" w:pos="8838"/>
                  </w:tabs>
                  <w:ind w:left="-74" w:right="-105"/>
                  <w:jc w:val="both"/>
                  <w:rPr>
                    <w:rFonts w:ascii="Palatino Linotype" w:eastAsia="Calibri" w:hAnsi="Palatino Linotype" w:cs="Tahoma"/>
                    <w:sz w:val="22"/>
                    <w:szCs w:val="22"/>
                    <w:lang w:val="es-ES" w:eastAsia="en-US"/>
                  </w:rPr>
                </w:pPr>
                <w:r w:rsidRPr="00D260B4">
                  <w:rPr>
                    <w:rFonts w:ascii="Palatino Linotype" w:eastAsia="Calibri" w:hAnsi="Palatino Linotype" w:cs="Tahoma"/>
                    <w:bCs/>
                    <w:sz w:val="22"/>
                    <w:szCs w:val="22"/>
                    <w:lang w:eastAsia="en-US"/>
                  </w:rPr>
                  <w:t>Fiscalía General de Justicia del Estado de México</w:t>
                </w:r>
              </w:p>
            </w:tc>
          </w:tr>
          <w:tr w:rsidR="0026086D" w:rsidRPr="00330DA7" w14:paraId="36910100" w14:textId="77777777" w:rsidTr="0026086D">
            <w:trPr>
              <w:trHeight w:val="283"/>
            </w:trPr>
            <w:tc>
              <w:tcPr>
                <w:tcW w:w="2444" w:type="dxa"/>
                <w:shd w:val="clear" w:color="auto" w:fill="auto"/>
              </w:tcPr>
              <w:p w14:paraId="440E6442" w14:textId="77777777" w:rsidR="0026086D" w:rsidRPr="00020E73" w:rsidRDefault="0001761B"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77291602" w14:textId="77777777" w:rsidR="0026086D" w:rsidRPr="00020E73" w:rsidRDefault="0001761B"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E3E495A" w14:textId="77777777" w:rsidR="0026086D" w:rsidRPr="00020E73" w:rsidRDefault="00686BA5" w:rsidP="0026086D">
                <w:pPr>
                  <w:tabs>
                    <w:tab w:val="right" w:pos="8838"/>
                  </w:tabs>
                  <w:ind w:left="-74" w:right="-105"/>
                  <w:jc w:val="both"/>
                  <w:rPr>
                    <w:rFonts w:ascii="Palatino Linotype" w:eastAsia="Calibri" w:hAnsi="Palatino Linotype" w:cs="Tahoma"/>
                    <w:b/>
                    <w:sz w:val="22"/>
                    <w:szCs w:val="22"/>
                    <w:lang w:val="es-ES" w:eastAsia="en-US"/>
                  </w:rPr>
                </w:pPr>
              </w:p>
            </w:tc>
          </w:tr>
        </w:tbl>
        <w:p w14:paraId="73E027DA" w14:textId="77777777" w:rsidR="0026086D" w:rsidRPr="00330DA7" w:rsidRDefault="00686BA5" w:rsidP="0026086D">
          <w:pPr>
            <w:tabs>
              <w:tab w:val="right" w:pos="8838"/>
            </w:tabs>
            <w:ind w:left="-28"/>
            <w:jc w:val="both"/>
            <w:rPr>
              <w:rFonts w:ascii="Arial" w:eastAsia="Calibri" w:hAnsi="Arial" w:cs="Arial"/>
              <w:b/>
              <w:sz w:val="22"/>
              <w:szCs w:val="22"/>
              <w:lang w:eastAsia="en-US"/>
            </w:rPr>
          </w:pPr>
        </w:p>
      </w:tc>
    </w:tr>
  </w:tbl>
  <w:p w14:paraId="4FC29CB3" w14:textId="77777777" w:rsidR="0026086D" w:rsidRPr="00827FA0" w:rsidRDefault="00686BA5" w:rsidP="0026086D">
    <w:pPr>
      <w:pStyle w:val="Encabezado"/>
      <w:rPr>
        <w:sz w:val="2"/>
        <w:szCs w:val="22"/>
      </w:rPr>
    </w:pPr>
    <w:r>
      <w:rPr>
        <w:noProof/>
        <w:sz w:val="2"/>
        <w:szCs w:val="22"/>
      </w:rPr>
      <w:pict w14:anchorId="64C85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137D7"/>
    <w:multiLevelType w:val="multilevel"/>
    <w:tmpl w:val="F22C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161270"/>
    <w:multiLevelType w:val="hybridMultilevel"/>
    <w:tmpl w:val="0AD00E2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E44C03"/>
    <w:multiLevelType w:val="hybridMultilevel"/>
    <w:tmpl w:val="BD723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0C2581B"/>
    <w:multiLevelType w:val="multilevel"/>
    <w:tmpl w:val="9A0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C71646"/>
    <w:multiLevelType w:val="hybridMultilevel"/>
    <w:tmpl w:val="78E8C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645"/>
    <w:rsid w:val="00007A3C"/>
    <w:rsid w:val="0001761B"/>
    <w:rsid w:val="00025C70"/>
    <w:rsid w:val="00033B25"/>
    <w:rsid w:val="001C75AC"/>
    <w:rsid w:val="00214EBE"/>
    <w:rsid w:val="002E0341"/>
    <w:rsid w:val="003100B5"/>
    <w:rsid w:val="00355C96"/>
    <w:rsid w:val="00411783"/>
    <w:rsid w:val="0042577C"/>
    <w:rsid w:val="00430C2D"/>
    <w:rsid w:val="004A54E7"/>
    <w:rsid w:val="004F0B75"/>
    <w:rsid w:val="005475F8"/>
    <w:rsid w:val="00557466"/>
    <w:rsid w:val="005903B4"/>
    <w:rsid w:val="005E5019"/>
    <w:rsid w:val="006620AD"/>
    <w:rsid w:val="00686BA5"/>
    <w:rsid w:val="006E66BD"/>
    <w:rsid w:val="006F72D0"/>
    <w:rsid w:val="007233E0"/>
    <w:rsid w:val="007237DC"/>
    <w:rsid w:val="0076643E"/>
    <w:rsid w:val="0079577B"/>
    <w:rsid w:val="007B0794"/>
    <w:rsid w:val="008B06A0"/>
    <w:rsid w:val="00985F6A"/>
    <w:rsid w:val="0099145D"/>
    <w:rsid w:val="00A23AAF"/>
    <w:rsid w:val="00AA1B12"/>
    <w:rsid w:val="00AD3DCC"/>
    <w:rsid w:val="00BA4645"/>
    <w:rsid w:val="00D260B4"/>
    <w:rsid w:val="00D73BB3"/>
    <w:rsid w:val="00EB0F51"/>
    <w:rsid w:val="00ED4801"/>
    <w:rsid w:val="00F12F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D1BB35"/>
  <w15:chartTrackingRefBased/>
  <w15:docId w15:val="{4832DAD3-7611-4EB6-A352-CC1C6B18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645"/>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BA464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4645"/>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BA4645"/>
    <w:pPr>
      <w:tabs>
        <w:tab w:val="center" w:pos="4419"/>
        <w:tab w:val="right" w:pos="8838"/>
      </w:tabs>
    </w:pPr>
  </w:style>
  <w:style w:type="character" w:customStyle="1" w:styleId="EncabezadoCar">
    <w:name w:val="Encabezado Car"/>
    <w:basedOn w:val="Fuentedeprrafopredeter"/>
    <w:link w:val="Encabezado"/>
    <w:uiPriority w:val="99"/>
    <w:rsid w:val="00BA4645"/>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BA4645"/>
    <w:pPr>
      <w:tabs>
        <w:tab w:val="center" w:pos="4419"/>
        <w:tab w:val="right" w:pos="8838"/>
      </w:tabs>
    </w:pPr>
  </w:style>
  <w:style w:type="character" w:customStyle="1" w:styleId="PiedepginaCar">
    <w:name w:val="Pie de página Car"/>
    <w:basedOn w:val="Fuentedeprrafopredeter"/>
    <w:link w:val="Piedepgina"/>
    <w:uiPriority w:val="99"/>
    <w:rsid w:val="00BA4645"/>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464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A4645"/>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BA4645"/>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BA4645"/>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A4645"/>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qFormat/>
    <w:rsid w:val="00BA4645"/>
    <w:rPr>
      <w:rFonts w:ascii="Calibri" w:eastAsia="Calibri" w:hAnsi="Calibri" w:cs="Times New Roman"/>
      <w:sz w:val="24"/>
      <w:szCs w:val="24"/>
      <w:lang w:val="es-MX"/>
    </w:rPr>
  </w:style>
  <w:style w:type="paragraph" w:styleId="Sinespaciado">
    <w:name w:val="No Spacing"/>
    <w:aliases w:val="Francesa,INAI"/>
    <w:link w:val="SinespaciadoCar"/>
    <w:uiPriority w:val="1"/>
    <w:qFormat/>
    <w:rsid w:val="00BA4645"/>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BA4645"/>
    <w:rPr>
      <w:rFonts w:ascii="Times New Roman" w:eastAsia="Times New Roman" w:hAnsi="Times New Roman" w:cs="Times New Roman"/>
      <w:sz w:val="24"/>
      <w:szCs w:val="24"/>
      <w:lang w:val="es-MX" w:eastAsia="es-ES"/>
    </w:rPr>
  </w:style>
  <w:style w:type="character" w:styleId="Referenciasutil">
    <w:name w:val="Subtle Reference"/>
    <w:basedOn w:val="Fuentedeprrafopredeter"/>
    <w:uiPriority w:val="31"/>
    <w:qFormat/>
    <w:rsid w:val="00033B2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550228">
      <w:bodyDiv w:val="1"/>
      <w:marLeft w:val="0"/>
      <w:marRight w:val="0"/>
      <w:marTop w:val="0"/>
      <w:marBottom w:val="0"/>
      <w:divBdr>
        <w:top w:val="none" w:sz="0" w:space="0" w:color="auto"/>
        <w:left w:val="none" w:sz="0" w:space="0" w:color="auto"/>
        <w:bottom w:val="none" w:sz="0" w:space="0" w:color="auto"/>
        <w:right w:val="none" w:sz="0" w:space="0" w:color="auto"/>
      </w:divBdr>
    </w:div>
    <w:div w:id="1137409217">
      <w:bodyDiv w:val="1"/>
      <w:marLeft w:val="0"/>
      <w:marRight w:val="0"/>
      <w:marTop w:val="0"/>
      <w:marBottom w:val="0"/>
      <w:divBdr>
        <w:top w:val="none" w:sz="0" w:space="0" w:color="auto"/>
        <w:left w:val="none" w:sz="0" w:space="0" w:color="auto"/>
        <w:bottom w:val="none" w:sz="0" w:space="0" w:color="auto"/>
        <w:right w:val="none" w:sz="0" w:space="0" w:color="auto"/>
      </w:divBdr>
    </w:div>
    <w:div w:id="19463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14390.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14389.page" TargetMode="External"/><Relationship Id="rId12" Type="http://schemas.openxmlformats.org/officeDocument/2006/relationships/hyperlink" Target="https://saimex.org.mx/saimex/solicitud/downloadAttach/1749054.pag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749053.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saimex.org.mx/saimex/solicitud/downloadAttach/1732017.pag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imex.org.mx/saimex/solicitud/downloadAttach/1732016.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4291</Words>
  <Characters>23603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2023-05-09T16:46:00Z</dcterms:created>
  <dcterms:modified xsi:type="dcterms:W3CDTF">2023-06-13T01:37:00Z</dcterms:modified>
</cp:coreProperties>
</file>