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DBEA29" w14:textId="77777777" w:rsidR="00703ED0" w:rsidRDefault="00703ED0" w:rsidP="003A4DEE">
      <w:pPr>
        <w:spacing w:line="360" w:lineRule="auto"/>
        <w:ind w:right="-28"/>
        <w:contextualSpacing/>
        <w:jc w:val="both"/>
        <w:rPr>
          <w:rFonts w:ascii="Palatino Linotype" w:hAnsi="Palatino Linotype" w:cs="Tahoma"/>
          <w:bCs/>
          <w:sz w:val="22"/>
          <w:szCs w:val="22"/>
        </w:rPr>
      </w:pPr>
    </w:p>
    <w:p w14:paraId="3FB307DA" w14:textId="4F0F1D0B" w:rsidR="00703ED0" w:rsidRPr="00B01DA4" w:rsidRDefault="00703ED0" w:rsidP="003A4DEE">
      <w:pPr>
        <w:spacing w:line="360" w:lineRule="auto"/>
        <w:ind w:right="-28"/>
        <w:contextualSpacing/>
        <w:jc w:val="both"/>
        <w:rPr>
          <w:rFonts w:ascii="Palatino Linotype" w:hAnsi="Palatino Linotype"/>
          <w:noProof/>
          <w:sz w:val="22"/>
          <w:szCs w:val="22"/>
          <w:lang w:val="es-ES"/>
        </w:rPr>
      </w:pPr>
      <w:r w:rsidRPr="00B01DA4">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810FD6">
        <w:rPr>
          <w:rFonts w:ascii="Palatino Linotype" w:hAnsi="Palatino Linotype" w:cs="Tahoma"/>
          <w:bCs/>
          <w:sz w:val="22"/>
          <w:szCs w:val="22"/>
        </w:rPr>
        <w:t>diecisiete de mayo</w:t>
      </w:r>
      <w:r w:rsidR="009F1DE6" w:rsidRPr="00B01DA4">
        <w:rPr>
          <w:rFonts w:ascii="Palatino Linotype" w:hAnsi="Palatino Linotype" w:cs="Tahoma"/>
          <w:bCs/>
          <w:sz w:val="22"/>
          <w:szCs w:val="22"/>
        </w:rPr>
        <w:t xml:space="preserve"> de dos mil veintitrés. </w:t>
      </w:r>
    </w:p>
    <w:p w14:paraId="5D87B9DD" w14:textId="77777777" w:rsidR="00772C8C" w:rsidRDefault="00772C8C" w:rsidP="003A4DEE">
      <w:pPr>
        <w:spacing w:line="360" w:lineRule="auto"/>
        <w:ind w:right="-28"/>
        <w:contextualSpacing/>
        <w:jc w:val="both"/>
        <w:rPr>
          <w:rFonts w:ascii="Palatino Linotype" w:hAnsi="Palatino Linotype" w:cs="Tahoma"/>
          <w:b/>
          <w:bCs/>
          <w:sz w:val="22"/>
          <w:szCs w:val="22"/>
        </w:rPr>
      </w:pPr>
    </w:p>
    <w:p w14:paraId="2555F7D7" w14:textId="555D8D1E" w:rsidR="00703ED0" w:rsidRPr="00B01DA4" w:rsidRDefault="00703ED0" w:rsidP="003A4DEE">
      <w:pPr>
        <w:spacing w:line="360" w:lineRule="auto"/>
        <w:ind w:right="-28"/>
        <w:contextualSpacing/>
        <w:jc w:val="both"/>
        <w:rPr>
          <w:rFonts w:ascii="Palatino Linotype" w:hAnsi="Palatino Linotype" w:cs="Tahoma"/>
          <w:sz w:val="22"/>
          <w:szCs w:val="22"/>
        </w:rPr>
      </w:pPr>
      <w:r w:rsidRPr="00B01DA4">
        <w:rPr>
          <w:rFonts w:ascii="Palatino Linotype" w:hAnsi="Palatino Linotype" w:cs="Tahoma"/>
          <w:b/>
          <w:bCs/>
          <w:sz w:val="22"/>
          <w:szCs w:val="22"/>
        </w:rPr>
        <w:t xml:space="preserve">VISTO </w:t>
      </w:r>
      <w:r w:rsidRPr="00B01DA4">
        <w:rPr>
          <w:rFonts w:ascii="Palatino Linotype" w:hAnsi="Palatino Linotype" w:cs="Tahoma"/>
          <w:bCs/>
          <w:sz w:val="22"/>
          <w:szCs w:val="22"/>
        </w:rPr>
        <w:t xml:space="preserve">el expediente conformado con motivo del Recurso de Revisión </w:t>
      </w:r>
      <w:r w:rsidR="00810FD6">
        <w:rPr>
          <w:rFonts w:ascii="Palatino Linotype" w:hAnsi="Palatino Linotype"/>
          <w:color w:val="000000"/>
          <w:sz w:val="22"/>
          <w:szCs w:val="22"/>
        </w:rPr>
        <w:t>17571/INFOEM/ICR-206/IP/RR/2022</w:t>
      </w:r>
      <w:r w:rsidR="00C10C6B">
        <w:rPr>
          <w:rFonts w:ascii="Palatino Linotype" w:hAnsi="Palatino Linotype"/>
          <w:color w:val="000000"/>
          <w:sz w:val="22"/>
          <w:szCs w:val="22"/>
        </w:rPr>
        <w:t xml:space="preserve">, </w:t>
      </w:r>
      <w:r w:rsidRPr="00B01DA4">
        <w:rPr>
          <w:rFonts w:ascii="Palatino Linotype" w:hAnsi="Palatino Linotype" w:cs="Tahoma"/>
          <w:sz w:val="22"/>
          <w:szCs w:val="22"/>
        </w:rPr>
        <w:t>interpuesto por</w:t>
      </w:r>
      <w:r w:rsidR="00C10C6B">
        <w:rPr>
          <w:rFonts w:ascii="Palatino Linotype" w:hAnsi="Palatino Linotype" w:cs="Tahoma"/>
          <w:sz w:val="22"/>
          <w:szCs w:val="22"/>
        </w:rPr>
        <w:t xml:space="preserve"> el </w:t>
      </w:r>
      <w:r w:rsidRPr="00B01DA4">
        <w:rPr>
          <w:rFonts w:ascii="Palatino Linotype" w:hAnsi="Palatino Linotype" w:cs="Tahoma"/>
          <w:sz w:val="22"/>
          <w:szCs w:val="22"/>
        </w:rPr>
        <w:t>Recurrente o Particular, en contra de la</w:t>
      </w:r>
      <w:r w:rsidR="00FF19A8" w:rsidRPr="00B01DA4">
        <w:rPr>
          <w:rFonts w:ascii="Palatino Linotype" w:hAnsi="Palatino Linotype" w:cs="Tahoma"/>
          <w:sz w:val="22"/>
          <w:szCs w:val="22"/>
        </w:rPr>
        <w:t xml:space="preserve"> falta</w:t>
      </w:r>
      <w:r w:rsidRPr="00B01DA4">
        <w:rPr>
          <w:rFonts w:ascii="Palatino Linotype" w:hAnsi="Palatino Linotype" w:cs="Tahoma"/>
          <w:sz w:val="22"/>
          <w:szCs w:val="22"/>
        </w:rPr>
        <w:t xml:space="preserve"> respuesta del Sujeto Obligado, </w:t>
      </w:r>
      <w:r w:rsidR="00ED4419" w:rsidRPr="00B01DA4">
        <w:rPr>
          <w:rFonts w:ascii="Palatino Linotype" w:hAnsi="Palatino Linotype" w:cs="Tahoma"/>
          <w:sz w:val="22"/>
          <w:szCs w:val="22"/>
        </w:rPr>
        <w:t>Ayuntamiento de Zinacantepec</w:t>
      </w:r>
      <w:r w:rsidRPr="00B01DA4">
        <w:rPr>
          <w:rFonts w:ascii="Palatino Linotype" w:hAnsi="Palatino Linotype" w:cs="Tahoma"/>
          <w:sz w:val="22"/>
          <w:szCs w:val="22"/>
        </w:rPr>
        <w:t xml:space="preserve">, a la solicitud de acceso a la información pública con número de folio </w:t>
      </w:r>
      <w:r w:rsidR="002F0BF0" w:rsidRPr="002F0BF0">
        <w:rPr>
          <w:rFonts w:ascii="Palatino Linotype" w:hAnsi="Palatino Linotype" w:cs="Tahoma"/>
          <w:sz w:val="22"/>
          <w:szCs w:val="22"/>
        </w:rPr>
        <w:t>0</w:t>
      </w:r>
      <w:r w:rsidR="00810FD6">
        <w:rPr>
          <w:rFonts w:ascii="Palatino Linotype" w:hAnsi="Palatino Linotype" w:cs="Tahoma"/>
          <w:sz w:val="22"/>
          <w:szCs w:val="22"/>
        </w:rPr>
        <w:t>1288</w:t>
      </w:r>
      <w:r w:rsidR="002F0BF0" w:rsidRPr="002F0BF0">
        <w:rPr>
          <w:rFonts w:ascii="Palatino Linotype" w:hAnsi="Palatino Linotype" w:cs="Tahoma"/>
          <w:sz w:val="22"/>
          <w:szCs w:val="22"/>
        </w:rPr>
        <w:t>/ZINACANT/IP/2022</w:t>
      </w:r>
      <w:r w:rsidRPr="00B01DA4">
        <w:rPr>
          <w:rFonts w:ascii="Palatino Linotype" w:hAnsi="Palatino Linotype" w:cs="Tahoma"/>
          <w:sz w:val="22"/>
          <w:szCs w:val="22"/>
        </w:rPr>
        <w:t>,</w:t>
      </w:r>
      <w:r w:rsidR="00C10C6B">
        <w:rPr>
          <w:rFonts w:ascii="Palatino Linotype" w:hAnsi="Palatino Linotype" w:cs="Tahoma"/>
          <w:sz w:val="22"/>
          <w:szCs w:val="22"/>
        </w:rPr>
        <w:t xml:space="preserve"> en cumplimiento a la determinación del diverso con número </w:t>
      </w:r>
      <w:bookmarkStart w:id="0" w:name="_Hlk132842739"/>
      <w:r w:rsidR="00810FD6">
        <w:rPr>
          <w:rFonts w:ascii="Palatino Linotype" w:hAnsi="Palatino Linotype" w:cs="Tahoma"/>
          <w:color w:val="0D0D0D" w:themeColor="text1" w:themeTint="F2"/>
          <w:sz w:val="22"/>
          <w:szCs w:val="22"/>
        </w:rPr>
        <w:t>17571</w:t>
      </w:r>
      <w:r w:rsidR="002F0BF0" w:rsidRPr="002F0BF0">
        <w:rPr>
          <w:rFonts w:ascii="Palatino Linotype" w:hAnsi="Palatino Linotype" w:cs="Tahoma"/>
          <w:color w:val="0D0D0D" w:themeColor="text1" w:themeTint="F2"/>
          <w:sz w:val="22"/>
          <w:szCs w:val="22"/>
        </w:rPr>
        <w:t>/INFOEM/IP/RR/2022</w:t>
      </w:r>
      <w:bookmarkEnd w:id="0"/>
      <w:r w:rsidR="00C10C6B" w:rsidRPr="00B01DA4">
        <w:rPr>
          <w:rFonts w:ascii="Palatino Linotype" w:hAnsi="Palatino Linotype" w:cs="Tahoma"/>
          <w:sz w:val="22"/>
          <w:szCs w:val="22"/>
        </w:rPr>
        <w:t xml:space="preserve">, </w:t>
      </w:r>
      <w:r w:rsidRPr="00B01DA4">
        <w:rPr>
          <w:rFonts w:ascii="Palatino Linotype" w:hAnsi="Palatino Linotype" w:cs="Tahoma"/>
          <w:sz w:val="22"/>
          <w:szCs w:val="22"/>
        </w:rPr>
        <w:t xml:space="preserve"> se emite la presente Resolución, con base en los Antecedentes y Considerandos que se exponen a continuación:</w:t>
      </w:r>
    </w:p>
    <w:p w14:paraId="6E11B650" w14:textId="77777777" w:rsidR="00703ED0" w:rsidRPr="00B01DA4" w:rsidRDefault="00703ED0" w:rsidP="003A4DEE">
      <w:pPr>
        <w:spacing w:line="360" w:lineRule="auto"/>
        <w:ind w:right="-28"/>
        <w:contextualSpacing/>
        <w:jc w:val="both"/>
        <w:rPr>
          <w:rFonts w:ascii="Palatino Linotype" w:hAnsi="Palatino Linotype" w:cs="Tahoma"/>
          <w:b/>
          <w:bCs/>
          <w:color w:val="0D0D0D" w:themeColor="text1" w:themeTint="F2"/>
          <w:sz w:val="22"/>
          <w:szCs w:val="22"/>
        </w:rPr>
      </w:pPr>
    </w:p>
    <w:p w14:paraId="388C18A5" w14:textId="77777777" w:rsidR="00703ED0" w:rsidRPr="00B01DA4" w:rsidRDefault="00703ED0" w:rsidP="003A4DEE">
      <w:pPr>
        <w:tabs>
          <w:tab w:val="center" w:pos="4522"/>
          <w:tab w:val="left" w:pos="7245"/>
          <w:tab w:val="right" w:pos="9044"/>
        </w:tabs>
        <w:spacing w:line="360" w:lineRule="auto"/>
        <w:ind w:right="-28"/>
        <w:contextualSpacing/>
        <w:jc w:val="center"/>
        <w:rPr>
          <w:rFonts w:ascii="Palatino Linotype" w:hAnsi="Palatino Linotype" w:cs="Tahoma"/>
          <w:b/>
          <w:sz w:val="22"/>
          <w:szCs w:val="22"/>
        </w:rPr>
      </w:pPr>
      <w:r w:rsidRPr="00B01DA4">
        <w:rPr>
          <w:rFonts w:ascii="Palatino Linotype" w:hAnsi="Palatino Linotype" w:cs="Tahoma"/>
          <w:b/>
          <w:sz w:val="22"/>
          <w:szCs w:val="22"/>
        </w:rPr>
        <w:t>A N T E C E D E N T E S</w:t>
      </w:r>
    </w:p>
    <w:p w14:paraId="719A35E6" w14:textId="77777777" w:rsidR="00703ED0" w:rsidRPr="00B01DA4" w:rsidRDefault="00703ED0" w:rsidP="003A4DEE">
      <w:pPr>
        <w:tabs>
          <w:tab w:val="center" w:pos="4522"/>
          <w:tab w:val="left" w:pos="7245"/>
          <w:tab w:val="right" w:pos="9044"/>
        </w:tabs>
        <w:spacing w:line="360" w:lineRule="auto"/>
        <w:ind w:right="-28"/>
        <w:contextualSpacing/>
        <w:rPr>
          <w:rFonts w:ascii="Palatino Linotype" w:hAnsi="Palatino Linotype" w:cs="Tahoma"/>
          <w:b/>
          <w:sz w:val="22"/>
          <w:szCs w:val="22"/>
        </w:rPr>
      </w:pPr>
    </w:p>
    <w:p w14:paraId="50E774AD" w14:textId="77777777" w:rsidR="00F31401" w:rsidRPr="00B01DA4" w:rsidRDefault="00F31401" w:rsidP="003A4DEE">
      <w:pPr>
        <w:spacing w:line="360" w:lineRule="auto"/>
        <w:contextualSpacing/>
        <w:jc w:val="both"/>
        <w:rPr>
          <w:rFonts w:ascii="Palatino Linotype" w:eastAsia="Calibri" w:hAnsi="Palatino Linotype" w:cs="Tahoma"/>
          <w:b/>
          <w:bCs/>
          <w:sz w:val="22"/>
          <w:szCs w:val="22"/>
          <w:lang w:eastAsia="en-US"/>
        </w:rPr>
      </w:pPr>
      <w:r w:rsidRPr="00B01DA4">
        <w:rPr>
          <w:rFonts w:ascii="Palatino Linotype" w:eastAsia="Calibri" w:hAnsi="Palatino Linotype" w:cs="Tahoma"/>
          <w:b/>
          <w:bCs/>
          <w:sz w:val="22"/>
          <w:szCs w:val="22"/>
          <w:lang w:eastAsia="en-US"/>
        </w:rPr>
        <w:t xml:space="preserve">I. Presentación de la solicitud de información. </w:t>
      </w:r>
    </w:p>
    <w:p w14:paraId="5A73F720" w14:textId="77777777" w:rsidR="00F31401" w:rsidRPr="00B01DA4" w:rsidRDefault="00F31401" w:rsidP="003A4DEE">
      <w:pPr>
        <w:autoSpaceDE w:val="0"/>
        <w:autoSpaceDN w:val="0"/>
        <w:adjustRightInd w:val="0"/>
        <w:spacing w:line="360" w:lineRule="auto"/>
        <w:contextualSpacing/>
        <w:jc w:val="both"/>
        <w:rPr>
          <w:rFonts w:ascii="Palatino Linotype" w:hAnsi="Palatino Linotype" w:cs="Tahoma"/>
          <w:sz w:val="22"/>
          <w:szCs w:val="22"/>
        </w:rPr>
      </w:pPr>
    </w:p>
    <w:p w14:paraId="3375D4A5" w14:textId="77777777" w:rsidR="00810FD6" w:rsidRPr="00810FD6" w:rsidRDefault="00810FD6" w:rsidP="003A4DEE">
      <w:pPr>
        <w:spacing w:line="360" w:lineRule="auto"/>
        <w:contextualSpacing/>
        <w:jc w:val="both"/>
        <w:rPr>
          <w:rFonts w:ascii="Palatino Linotype" w:eastAsiaTheme="minorHAnsi" w:hAnsi="Palatino Linotype" w:cs="Tahoma"/>
          <w:color w:val="000000" w:themeColor="text1"/>
          <w:sz w:val="22"/>
          <w:szCs w:val="22"/>
          <w:lang w:eastAsia="en-US"/>
        </w:rPr>
      </w:pPr>
      <w:r w:rsidRPr="00810FD6">
        <w:rPr>
          <w:rFonts w:ascii="Palatino Linotype" w:eastAsia="Calibri" w:hAnsi="Palatino Linotype" w:cs="Tahoma"/>
          <w:color w:val="000000" w:themeColor="text1"/>
          <w:sz w:val="22"/>
          <w:szCs w:val="22"/>
          <w:lang w:val="es-ES" w:eastAsia="en-US"/>
        </w:rPr>
        <w:t>Con fecha dieciocho de noviembre de dos mil veintidós, se presentó una solicitud de información del Particular, a través del Sistema de Acceso a la Información Mexiquense (SAIMEX), ante el</w:t>
      </w:r>
      <w:r w:rsidRPr="00810FD6">
        <w:rPr>
          <w:rFonts w:ascii="Palatino Linotype" w:eastAsiaTheme="minorHAnsi" w:hAnsi="Palatino Linotype" w:cstheme="minorBidi"/>
          <w:color w:val="000000"/>
          <w:sz w:val="22"/>
          <w:szCs w:val="22"/>
          <w:lang w:eastAsia="en-US"/>
        </w:rPr>
        <w:t xml:space="preserve"> Ayuntamiento de Zinacantepec</w:t>
      </w:r>
      <w:r w:rsidRPr="00810FD6">
        <w:rPr>
          <w:rFonts w:ascii="Palatino Linotype" w:eastAsia="Calibri" w:hAnsi="Palatino Linotype" w:cs="Tahoma"/>
          <w:color w:val="000000" w:themeColor="text1"/>
          <w:sz w:val="22"/>
          <w:szCs w:val="22"/>
          <w:lang w:eastAsia="en-US"/>
        </w:rPr>
        <w:t xml:space="preserve">, </w:t>
      </w:r>
      <w:r w:rsidRPr="00810FD6">
        <w:rPr>
          <w:rFonts w:ascii="Palatino Linotype" w:eastAsiaTheme="minorHAnsi" w:hAnsi="Palatino Linotype" w:cs="Tahoma"/>
          <w:color w:val="000000" w:themeColor="text1"/>
          <w:sz w:val="22"/>
          <w:szCs w:val="22"/>
          <w:lang w:eastAsia="en-US"/>
        </w:rPr>
        <w:t>en los siguientes términos:</w:t>
      </w:r>
    </w:p>
    <w:p w14:paraId="4A6B977B" w14:textId="77777777" w:rsidR="00810FD6" w:rsidRPr="00810FD6" w:rsidRDefault="00810FD6" w:rsidP="003A4DEE">
      <w:pPr>
        <w:spacing w:line="360" w:lineRule="auto"/>
        <w:contextualSpacing/>
        <w:jc w:val="both"/>
        <w:rPr>
          <w:rFonts w:ascii="Palatino Linotype" w:eastAsiaTheme="minorHAnsi" w:hAnsi="Palatino Linotype" w:cs="Tahoma"/>
          <w:color w:val="000000" w:themeColor="text1"/>
          <w:sz w:val="22"/>
          <w:szCs w:val="22"/>
          <w:lang w:eastAsia="en-US"/>
        </w:rPr>
      </w:pPr>
    </w:p>
    <w:p w14:paraId="1C9F25D9" w14:textId="77777777" w:rsidR="00810FD6" w:rsidRPr="00810FD6" w:rsidRDefault="00810FD6" w:rsidP="003A4DEE">
      <w:pPr>
        <w:tabs>
          <w:tab w:val="left" w:pos="4667"/>
        </w:tabs>
        <w:spacing w:line="360" w:lineRule="auto"/>
        <w:ind w:left="567" w:right="567"/>
        <w:contextualSpacing/>
        <w:jc w:val="both"/>
        <w:rPr>
          <w:rFonts w:ascii="Palatino Linotype" w:eastAsiaTheme="minorHAnsi" w:hAnsi="Palatino Linotype" w:cs="Tahoma"/>
          <w:b/>
          <w:bCs/>
          <w:i/>
          <w:color w:val="000000" w:themeColor="text1"/>
          <w:lang w:eastAsia="en-US"/>
        </w:rPr>
      </w:pPr>
      <w:r w:rsidRPr="00810FD6">
        <w:rPr>
          <w:rFonts w:ascii="Palatino Linotype" w:eastAsiaTheme="minorHAnsi" w:hAnsi="Palatino Linotype" w:cs="Tahoma"/>
          <w:b/>
          <w:bCs/>
          <w:i/>
          <w:color w:val="000000" w:themeColor="text1"/>
          <w:lang w:eastAsia="en-US"/>
        </w:rPr>
        <w:t>“DESCRIPCIÓN CLARA Y PRECISA DE LA INFORMACIÓN SOLICITADA</w:t>
      </w:r>
    </w:p>
    <w:p w14:paraId="207BB958" w14:textId="77777777" w:rsidR="00810FD6" w:rsidRPr="00810FD6" w:rsidRDefault="00810FD6" w:rsidP="003A4DEE">
      <w:pPr>
        <w:spacing w:line="360" w:lineRule="auto"/>
        <w:ind w:left="567" w:right="567"/>
        <w:contextualSpacing/>
        <w:jc w:val="both"/>
        <w:rPr>
          <w:rFonts w:ascii="Palatino Linotype" w:hAnsi="Palatino Linotype" w:cs="Arial"/>
          <w:bCs/>
          <w:i/>
          <w:iCs/>
          <w:color w:val="000000" w:themeColor="text1"/>
        </w:rPr>
      </w:pPr>
      <w:r w:rsidRPr="00810FD6">
        <w:rPr>
          <w:rFonts w:ascii="Palatino Linotype" w:eastAsiaTheme="minorHAnsi" w:hAnsi="Palatino Linotype" w:cstheme="minorBidi"/>
          <w:i/>
          <w:iCs/>
          <w:color w:val="000000"/>
          <w:lang w:eastAsia="en-US"/>
        </w:rPr>
        <w:t>SOLICITO TODOS LOS OFICIOS DONDE SE DESIGNEN A LOS SERVIDORES PÚBLICOS HABILITADOS Y ENLACES DE TRANSPARENCIA DEL AÑO 2021 Y 2022</w:t>
      </w:r>
      <w:r w:rsidRPr="00810FD6">
        <w:rPr>
          <w:rFonts w:ascii="Palatino Linotype" w:eastAsiaTheme="minorHAnsi" w:hAnsi="Palatino Linotype" w:cs="Tahoma"/>
          <w:bCs/>
          <w:i/>
          <w:iCs/>
          <w:color w:val="000000" w:themeColor="text1"/>
          <w:lang w:eastAsia="en-US"/>
        </w:rPr>
        <w:t xml:space="preserve">” </w:t>
      </w:r>
      <w:r w:rsidRPr="00810FD6">
        <w:rPr>
          <w:rFonts w:ascii="Palatino Linotype" w:hAnsi="Palatino Linotype" w:cs="Arial"/>
          <w:bCs/>
          <w:i/>
          <w:iCs/>
          <w:color w:val="000000" w:themeColor="text1"/>
        </w:rPr>
        <w:t>(Sic)</w:t>
      </w:r>
    </w:p>
    <w:p w14:paraId="7ACF949D" w14:textId="77777777" w:rsidR="002F0BF0" w:rsidRPr="002F0BF0" w:rsidRDefault="002F0BF0" w:rsidP="003A4DEE">
      <w:pPr>
        <w:tabs>
          <w:tab w:val="left" w:pos="4667"/>
        </w:tabs>
        <w:spacing w:line="360" w:lineRule="auto"/>
        <w:ind w:left="567" w:right="567"/>
        <w:jc w:val="both"/>
        <w:rPr>
          <w:rFonts w:ascii="Palatino Linotype" w:eastAsiaTheme="minorHAnsi" w:hAnsi="Palatino Linotype" w:cs="Tahoma"/>
          <w:bCs/>
          <w:i/>
          <w:color w:val="000000" w:themeColor="text1"/>
          <w:lang w:eastAsia="en-US"/>
        </w:rPr>
      </w:pPr>
    </w:p>
    <w:p w14:paraId="088542B3" w14:textId="77777777" w:rsidR="002F0BF0" w:rsidRPr="002F0BF0" w:rsidRDefault="002F0BF0" w:rsidP="003A4DEE">
      <w:pPr>
        <w:tabs>
          <w:tab w:val="left" w:pos="4667"/>
        </w:tabs>
        <w:spacing w:line="360" w:lineRule="auto"/>
        <w:ind w:left="567" w:right="567"/>
        <w:jc w:val="both"/>
        <w:rPr>
          <w:rFonts w:ascii="Palatino Linotype" w:hAnsi="Palatino Linotype" w:cs="Tahoma"/>
          <w:b/>
          <w:bCs/>
          <w:i/>
          <w:iCs/>
          <w:color w:val="000000" w:themeColor="text1"/>
        </w:rPr>
      </w:pPr>
      <w:r w:rsidRPr="002F0BF0">
        <w:rPr>
          <w:rFonts w:ascii="Palatino Linotype" w:hAnsi="Palatino Linotype" w:cs="Tahoma"/>
          <w:b/>
          <w:bCs/>
          <w:i/>
          <w:iCs/>
          <w:color w:val="000000" w:themeColor="text1"/>
        </w:rPr>
        <w:t>“MODALIDAD DE ENTREGA</w:t>
      </w:r>
    </w:p>
    <w:p w14:paraId="7B5C83A6" w14:textId="77777777" w:rsidR="002F0BF0" w:rsidRPr="002F0BF0" w:rsidRDefault="002F0BF0" w:rsidP="003A4DEE">
      <w:pPr>
        <w:spacing w:line="360" w:lineRule="auto"/>
        <w:ind w:left="567" w:right="567"/>
        <w:jc w:val="both"/>
        <w:rPr>
          <w:rFonts w:ascii="Palatino Linotype" w:hAnsi="Palatino Linotype" w:cs="Arial"/>
          <w:bCs/>
          <w:i/>
          <w:iCs/>
          <w:color w:val="000000" w:themeColor="text1"/>
        </w:rPr>
      </w:pPr>
      <w:r w:rsidRPr="002F0BF0">
        <w:rPr>
          <w:rFonts w:ascii="Palatino Linotype" w:hAnsi="Palatino Linotype" w:cs="Arial"/>
          <w:bCs/>
          <w:i/>
          <w:iCs/>
          <w:color w:val="000000" w:themeColor="text1"/>
        </w:rPr>
        <w:t>A través del SAIMEX” (Sic)</w:t>
      </w:r>
    </w:p>
    <w:p w14:paraId="53FE4579" w14:textId="77777777" w:rsidR="00703ED0" w:rsidRPr="00B01DA4" w:rsidRDefault="00703ED0" w:rsidP="003A4DEE">
      <w:pPr>
        <w:tabs>
          <w:tab w:val="left" w:pos="567"/>
        </w:tabs>
        <w:spacing w:line="360" w:lineRule="auto"/>
        <w:ind w:left="567" w:right="-28"/>
        <w:contextualSpacing/>
        <w:jc w:val="both"/>
        <w:rPr>
          <w:rFonts w:ascii="Palatino Linotype" w:hAnsi="Palatino Linotype" w:cs="Tahoma"/>
          <w:i/>
        </w:rPr>
      </w:pPr>
    </w:p>
    <w:p w14:paraId="59652039" w14:textId="77777777" w:rsidR="00810FD6" w:rsidRDefault="00810FD6" w:rsidP="003A4DEE">
      <w:pPr>
        <w:spacing w:line="360" w:lineRule="auto"/>
        <w:contextualSpacing/>
        <w:jc w:val="both"/>
        <w:textAlignment w:val="baseline"/>
        <w:rPr>
          <w:rFonts w:ascii="Palatino Linotype" w:hAnsi="Palatino Linotype" w:cs="Segoe UI"/>
          <w:sz w:val="22"/>
          <w:szCs w:val="22"/>
          <w:lang w:eastAsia="en-US"/>
        </w:rPr>
      </w:pPr>
      <w:r w:rsidRPr="00810FD6">
        <w:rPr>
          <w:rFonts w:ascii="Palatino Linotype" w:hAnsi="Palatino Linotype" w:cs="Segoe UI"/>
          <w:b/>
          <w:bCs/>
          <w:sz w:val="22"/>
          <w:szCs w:val="22"/>
          <w:lang w:eastAsia="en-US"/>
        </w:rPr>
        <w:lastRenderedPageBreak/>
        <w:t>II. Requerimiento de aclaración a la solicitud de acceso a la información.</w:t>
      </w:r>
      <w:r w:rsidRPr="00810FD6">
        <w:rPr>
          <w:rFonts w:ascii="Palatino Linotype" w:hAnsi="Palatino Linotype" w:cs="Segoe UI"/>
          <w:sz w:val="22"/>
          <w:szCs w:val="22"/>
          <w:lang w:eastAsia="en-US"/>
        </w:rPr>
        <w:t> </w:t>
      </w:r>
    </w:p>
    <w:p w14:paraId="04EDF335" w14:textId="77777777" w:rsidR="003A4DEE" w:rsidRPr="00810FD6" w:rsidRDefault="003A4DEE" w:rsidP="003A4DEE">
      <w:pPr>
        <w:spacing w:line="360" w:lineRule="auto"/>
        <w:contextualSpacing/>
        <w:jc w:val="both"/>
        <w:textAlignment w:val="baseline"/>
        <w:rPr>
          <w:rFonts w:ascii="Palatino Linotype" w:hAnsi="Palatino Linotype" w:cs="Segoe UI"/>
          <w:sz w:val="22"/>
          <w:szCs w:val="22"/>
          <w:lang w:eastAsia="en-US"/>
        </w:rPr>
      </w:pPr>
    </w:p>
    <w:p w14:paraId="17921362" w14:textId="77777777" w:rsidR="00810FD6" w:rsidRPr="00810FD6" w:rsidRDefault="00810FD6" w:rsidP="003A4DEE">
      <w:pPr>
        <w:spacing w:line="360" w:lineRule="auto"/>
        <w:contextualSpacing/>
        <w:jc w:val="both"/>
        <w:textAlignment w:val="baseline"/>
        <w:rPr>
          <w:rFonts w:ascii="Palatino Linotype" w:hAnsi="Palatino Linotype" w:cs="Segoe UI"/>
          <w:sz w:val="18"/>
          <w:szCs w:val="18"/>
          <w:lang w:eastAsia="en-US"/>
        </w:rPr>
      </w:pPr>
      <w:r w:rsidRPr="00810FD6">
        <w:rPr>
          <w:rFonts w:ascii="Palatino Linotype" w:hAnsi="Palatino Linotype" w:cs="Segoe UI"/>
          <w:sz w:val="22"/>
          <w:szCs w:val="22"/>
          <w:lang w:eastAsia="en-US"/>
        </w:rPr>
        <w:t>Con fecha veintiocho de noviembre de dos mil veintidós, la Unidad de Transparencia del Ayuntamiento de Zinacantepec, notificó al Particular, mediante el Sistema de Acceso a la Información Mexiquense (SAIMEX), un requerimiento de información adicional a la solicitud de información previamente referida, en los siguientes términos: </w:t>
      </w:r>
    </w:p>
    <w:p w14:paraId="59FE66EC" w14:textId="77777777" w:rsidR="00810FD6" w:rsidRPr="00810FD6" w:rsidRDefault="00810FD6" w:rsidP="003A4DEE">
      <w:pPr>
        <w:spacing w:line="360" w:lineRule="auto"/>
        <w:contextualSpacing/>
        <w:jc w:val="both"/>
        <w:textAlignment w:val="baseline"/>
        <w:rPr>
          <w:rFonts w:ascii="Palatino Linotype" w:hAnsi="Palatino Linotype" w:cs="Segoe UI"/>
          <w:sz w:val="18"/>
          <w:szCs w:val="18"/>
          <w:lang w:eastAsia="en-US"/>
        </w:rPr>
      </w:pPr>
      <w:r w:rsidRPr="00810FD6">
        <w:rPr>
          <w:rFonts w:ascii="Palatino Linotype" w:hAnsi="Palatino Linotype" w:cs="Segoe UI"/>
          <w:sz w:val="22"/>
          <w:szCs w:val="22"/>
          <w:lang w:eastAsia="en-US"/>
        </w:rPr>
        <w:t> </w:t>
      </w:r>
    </w:p>
    <w:p w14:paraId="0FBF6126" w14:textId="77777777" w:rsidR="00810FD6" w:rsidRPr="00810FD6" w:rsidRDefault="00810FD6" w:rsidP="003A4DEE">
      <w:pPr>
        <w:spacing w:line="360" w:lineRule="auto"/>
        <w:ind w:left="555" w:right="555"/>
        <w:contextualSpacing/>
        <w:jc w:val="both"/>
        <w:textAlignment w:val="baseline"/>
        <w:rPr>
          <w:rFonts w:ascii="Palatino Linotype" w:hAnsi="Palatino Linotype" w:cs="Segoe UI"/>
          <w:sz w:val="18"/>
          <w:szCs w:val="18"/>
          <w:lang w:eastAsia="en-US"/>
        </w:rPr>
      </w:pPr>
      <w:r w:rsidRPr="00810FD6">
        <w:rPr>
          <w:rFonts w:ascii="Palatino Linotype" w:hAnsi="Palatino Linotype" w:cs="Segoe UI"/>
          <w:i/>
          <w:iCs/>
          <w:lang w:eastAsia="en-US"/>
        </w:rPr>
        <w:t>“…</w:t>
      </w:r>
      <w:r w:rsidRPr="00810FD6">
        <w:rPr>
          <w:rFonts w:ascii="Palatino Linotype" w:hAnsi="Palatino Linotype" w:cs="Segoe UI"/>
          <w:lang w:eastAsia="en-US"/>
        </w:rPr>
        <w:t> </w:t>
      </w:r>
    </w:p>
    <w:p w14:paraId="3BFEBA7C" w14:textId="77777777" w:rsidR="00810FD6" w:rsidRPr="00810FD6" w:rsidRDefault="00810FD6" w:rsidP="003A4DEE">
      <w:pPr>
        <w:spacing w:line="360" w:lineRule="auto"/>
        <w:ind w:left="555" w:right="555"/>
        <w:contextualSpacing/>
        <w:jc w:val="both"/>
        <w:textAlignment w:val="baseline"/>
        <w:rPr>
          <w:rFonts w:ascii="Palatino Linotype" w:hAnsi="Palatino Linotype"/>
          <w:i/>
          <w:iCs/>
          <w:color w:val="000000"/>
          <w:lang w:eastAsia="en-US"/>
        </w:rPr>
      </w:pPr>
      <w:r w:rsidRPr="00810FD6">
        <w:rPr>
          <w:rFonts w:ascii="Palatino Linotype" w:hAnsi="Palatino Linotype"/>
          <w:i/>
          <w:iCs/>
          <w:color w:val="000000"/>
          <w:lang w:eastAsia="en-US"/>
        </w:rPr>
        <w:t>Este 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3644EC0F" w14:textId="77777777" w:rsidR="00810FD6" w:rsidRPr="00810FD6" w:rsidRDefault="00810FD6" w:rsidP="003A4DEE">
      <w:pPr>
        <w:spacing w:line="360" w:lineRule="auto"/>
        <w:ind w:left="555" w:right="555"/>
        <w:contextualSpacing/>
        <w:jc w:val="both"/>
        <w:textAlignment w:val="baseline"/>
        <w:rPr>
          <w:rFonts w:ascii="Palatino Linotype" w:hAnsi="Palatino Linotype"/>
          <w:i/>
          <w:iCs/>
          <w:color w:val="000000"/>
          <w:lang w:eastAsia="en-US"/>
        </w:rPr>
      </w:pPr>
    </w:p>
    <w:p w14:paraId="0D20BA18" w14:textId="77777777" w:rsidR="00810FD6" w:rsidRPr="00810FD6" w:rsidRDefault="00810FD6" w:rsidP="003A4DEE">
      <w:pPr>
        <w:spacing w:line="360" w:lineRule="auto"/>
        <w:ind w:left="555" w:right="555"/>
        <w:contextualSpacing/>
        <w:jc w:val="both"/>
        <w:textAlignment w:val="baseline"/>
        <w:rPr>
          <w:rFonts w:ascii="Palatino Linotype" w:hAnsi="Palatino Linotype"/>
          <w:i/>
          <w:iCs/>
          <w:color w:val="000000"/>
          <w:lang w:eastAsia="en-US"/>
        </w:rPr>
      </w:pPr>
      <w:r w:rsidRPr="00810FD6">
        <w:rPr>
          <w:rFonts w:ascii="Palatino Linotype" w:hAnsi="Palatino Linotype"/>
          <w:i/>
          <w:iCs/>
          <w:color w:val="000000"/>
          <w:lang w:eastAsia="en-US"/>
        </w:rPr>
        <w:t>En caso de que no se desahogue el requerimiento señalado dentro del plazo citado se tendrá por no presentada la solicitud de información, quedando a salvo sus derechos para volver a presentar la solicitud, lo anterior con fundamento en el artículo 159 de la Ley invocada.</w:t>
      </w:r>
    </w:p>
    <w:p w14:paraId="3B8FD880" w14:textId="77777777" w:rsidR="00810FD6" w:rsidRPr="00810FD6" w:rsidRDefault="00810FD6" w:rsidP="003A4DEE">
      <w:pPr>
        <w:spacing w:line="360" w:lineRule="auto"/>
        <w:ind w:left="555" w:right="555"/>
        <w:contextualSpacing/>
        <w:jc w:val="both"/>
        <w:textAlignment w:val="baseline"/>
        <w:rPr>
          <w:rFonts w:ascii="Palatino Linotype" w:hAnsi="Palatino Linotype" w:cs="Segoe UI"/>
          <w:sz w:val="18"/>
          <w:szCs w:val="18"/>
          <w:lang w:eastAsia="en-US"/>
        </w:rPr>
      </w:pPr>
      <w:r w:rsidRPr="00810FD6">
        <w:rPr>
          <w:rFonts w:ascii="Palatino Linotype" w:hAnsi="Palatino Linotype" w:cs="Segoe UI"/>
          <w:i/>
          <w:iCs/>
          <w:lang w:eastAsia="en-US"/>
        </w:rPr>
        <w:t>…” (Sic.)</w:t>
      </w:r>
      <w:r w:rsidRPr="00810FD6">
        <w:rPr>
          <w:rFonts w:ascii="Palatino Linotype" w:hAnsi="Palatino Linotype" w:cs="Segoe UI"/>
          <w:lang w:eastAsia="en-US"/>
        </w:rPr>
        <w:t> </w:t>
      </w:r>
    </w:p>
    <w:p w14:paraId="18717FAB" w14:textId="77777777" w:rsidR="00810FD6" w:rsidRPr="00810FD6" w:rsidRDefault="00810FD6" w:rsidP="003A4DEE">
      <w:pPr>
        <w:spacing w:line="360" w:lineRule="auto"/>
        <w:contextualSpacing/>
        <w:jc w:val="both"/>
        <w:textAlignment w:val="baseline"/>
        <w:rPr>
          <w:rFonts w:ascii="Palatino Linotype" w:hAnsi="Palatino Linotype" w:cs="Segoe UI"/>
          <w:sz w:val="18"/>
          <w:szCs w:val="18"/>
          <w:lang w:eastAsia="en-US"/>
        </w:rPr>
      </w:pPr>
      <w:r w:rsidRPr="00810FD6">
        <w:rPr>
          <w:rFonts w:ascii="Palatino Linotype" w:hAnsi="Palatino Linotype" w:cs="Segoe UI"/>
          <w:lang w:eastAsia="en-US"/>
        </w:rPr>
        <w:t> </w:t>
      </w:r>
    </w:p>
    <w:p w14:paraId="553B7C71" w14:textId="77777777" w:rsidR="00810FD6" w:rsidRPr="00810FD6" w:rsidRDefault="00810FD6" w:rsidP="003A4DEE">
      <w:pPr>
        <w:spacing w:line="360" w:lineRule="auto"/>
        <w:contextualSpacing/>
        <w:jc w:val="both"/>
        <w:textAlignment w:val="baseline"/>
        <w:rPr>
          <w:rFonts w:ascii="Palatino Linotype" w:hAnsi="Palatino Linotype" w:cs="Segoe UI"/>
          <w:sz w:val="18"/>
          <w:szCs w:val="18"/>
          <w:lang w:eastAsia="en-US"/>
        </w:rPr>
      </w:pPr>
      <w:r w:rsidRPr="00810FD6">
        <w:rPr>
          <w:rFonts w:ascii="Palatino Linotype" w:hAnsi="Palatino Linotype" w:cs="Segoe UI"/>
          <w:b/>
          <w:bCs/>
          <w:lang w:eastAsia="en-US"/>
        </w:rPr>
        <w:t xml:space="preserve">III. </w:t>
      </w:r>
      <w:r w:rsidRPr="00810FD6">
        <w:rPr>
          <w:rFonts w:ascii="Palatino Linotype" w:hAnsi="Palatino Linotype" w:cs="Segoe UI"/>
          <w:b/>
          <w:bCs/>
          <w:sz w:val="22"/>
          <w:szCs w:val="22"/>
          <w:lang w:eastAsia="en-US"/>
        </w:rPr>
        <w:t>Contestación al requerimiento de aclaración.</w:t>
      </w:r>
      <w:r w:rsidRPr="00810FD6">
        <w:rPr>
          <w:rFonts w:ascii="Palatino Linotype" w:hAnsi="Palatino Linotype" w:cs="Segoe UI"/>
          <w:sz w:val="22"/>
          <w:szCs w:val="22"/>
          <w:lang w:eastAsia="en-US"/>
        </w:rPr>
        <w:t> </w:t>
      </w:r>
    </w:p>
    <w:p w14:paraId="6621D32A" w14:textId="77777777" w:rsidR="00810FD6" w:rsidRPr="00810FD6" w:rsidRDefault="00810FD6" w:rsidP="003A4DEE">
      <w:pPr>
        <w:spacing w:line="360" w:lineRule="auto"/>
        <w:contextualSpacing/>
        <w:jc w:val="both"/>
        <w:textAlignment w:val="baseline"/>
        <w:rPr>
          <w:rFonts w:ascii="Palatino Linotype" w:hAnsi="Palatino Linotype" w:cs="Segoe UI"/>
          <w:sz w:val="18"/>
          <w:szCs w:val="18"/>
          <w:lang w:eastAsia="en-US"/>
        </w:rPr>
      </w:pPr>
      <w:r w:rsidRPr="00810FD6">
        <w:rPr>
          <w:rFonts w:ascii="Palatino Linotype" w:hAnsi="Palatino Linotype" w:cs="Segoe UI"/>
          <w:sz w:val="22"/>
          <w:szCs w:val="22"/>
          <w:lang w:eastAsia="en-US"/>
        </w:rPr>
        <w:t> </w:t>
      </w:r>
    </w:p>
    <w:p w14:paraId="3AAEE37A" w14:textId="77777777" w:rsidR="00810FD6" w:rsidRPr="00810FD6" w:rsidRDefault="00810FD6" w:rsidP="003A4DEE">
      <w:pPr>
        <w:spacing w:line="360" w:lineRule="auto"/>
        <w:contextualSpacing/>
        <w:jc w:val="both"/>
        <w:textAlignment w:val="baseline"/>
        <w:rPr>
          <w:rFonts w:ascii="Palatino Linotype" w:hAnsi="Palatino Linotype" w:cs="Segoe UI"/>
          <w:sz w:val="18"/>
          <w:szCs w:val="18"/>
          <w:lang w:eastAsia="en-US"/>
        </w:rPr>
      </w:pPr>
      <w:r w:rsidRPr="00810FD6">
        <w:rPr>
          <w:rFonts w:ascii="Palatino Linotype" w:hAnsi="Palatino Linotype" w:cs="Segoe UI"/>
          <w:sz w:val="22"/>
          <w:szCs w:val="22"/>
          <w:lang w:eastAsia="en-US"/>
        </w:rPr>
        <w:t>Con fecha veintiocho de noviembre de dos mil veintidós, el Particular respondió al requerimiento de aclaración referido, mediante el Sistema de Acceso a la Información Mexiquense (SAIMEX), en los términos siguientes: </w:t>
      </w:r>
    </w:p>
    <w:p w14:paraId="62598467" w14:textId="77777777" w:rsidR="00810FD6" w:rsidRPr="00810FD6" w:rsidRDefault="00810FD6" w:rsidP="003A4DEE">
      <w:pPr>
        <w:spacing w:line="360" w:lineRule="auto"/>
        <w:contextualSpacing/>
        <w:jc w:val="both"/>
        <w:textAlignment w:val="baseline"/>
        <w:rPr>
          <w:rFonts w:ascii="Palatino Linotype" w:hAnsi="Palatino Linotype" w:cs="Segoe UI"/>
          <w:sz w:val="18"/>
          <w:szCs w:val="18"/>
          <w:lang w:eastAsia="en-US"/>
        </w:rPr>
      </w:pPr>
      <w:r w:rsidRPr="00810FD6">
        <w:rPr>
          <w:rFonts w:ascii="Palatino Linotype" w:hAnsi="Palatino Linotype" w:cs="Segoe UI"/>
          <w:sz w:val="22"/>
          <w:szCs w:val="22"/>
          <w:lang w:eastAsia="en-US"/>
        </w:rPr>
        <w:t> </w:t>
      </w:r>
    </w:p>
    <w:p w14:paraId="1F394F64" w14:textId="77777777" w:rsidR="00810FD6" w:rsidRPr="00810FD6" w:rsidRDefault="00810FD6" w:rsidP="003A4DEE">
      <w:pPr>
        <w:spacing w:line="360" w:lineRule="auto"/>
        <w:ind w:left="555" w:right="555"/>
        <w:contextualSpacing/>
        <w:jc w:val="both"/>
        <w:textAlignment w:val="baseline"/>
        <w:rPr>
          <w:rFonts w:ascii="Palatino Linotype" w:hAnsi="Palatino Linotype" w:cs="Segoe UI"/>
          <w:sz w:val="18"/>
          <w:szCs w:val="18"/>
          <w:lang w:eastAsia="en-US"/>
        </w:rPr>
      </w:pPr>
      <w:r w:rsidRPr="00810FD6">
        <w:rPr>
          <w:rFonts w:ascii="Palatino Linotype" w:hAnsi="Palatino Linotype" w:cs="Segoe UI"/>
          <w:b/>
          <w:bCs/>
          <w:i/>
          <w:iCs/>
          <w:lang w:eastAsia="en-US"/>
        </w:rPr>
        <w:t> “DATOS A COMPLETAR, CORREGIR, AMPLIAR O ACLARAR</w:t>
      </w:r>
      <w:r w:rsidRPr="00810FD6">
        <w:rPr>
          <w:rFonts w:ascii="Palatino Linotype" w:hAnsi="Palatino Linotype" w:cs="Segoe UI"/>
          <w:lang w:eastAsia="en-US"/>
        </w:rPr>
        <w:t> </w:t>
      </w:r>
    </w:p>
    <w:p w14:paraId="74A77F59" w14:textId="77777777" w:rsidR="00810FD6" w:rsidRPr="00810FD6" w:rsidRDefault="00810FD6" w:rsidP="003A4DEE">
      <w:pPr>
        <w:spacing w:line="360" w:lineRule="auto"/>
        <w:ind w:left="555" w:right="555"/>
        <w:contextualSpacing/>
        <w:jc w:val="both"/>
        <w:textAlignment w:val="baseline"/>
        <w:rPr>
          <w:rFonts w:ascii="Palatino Linotype" w:hAnsi="Palatino Linotype" w:cs="Segoe UI"/>
          <w:sz w:val="18"/>
          <w:szCs w:val="18"/>
          <w:lang w:eastAsia="en-US"/>
        </w:rPr>
      </w:pPr>
      <w:r w:rsidRPr="00810FD6">
        <w:rPr>
          <w:rFonts w:ascii="Palatino Linotype" w:hAnsi="Palatino Linotype"/>
          <w:i/>
          <w:iCs/>
          <w:color w:val="000000"/>
          <w:lang w:val="en-US" w:eastAsia="en-US"/>
        </w:rPr>
        <w:t>LA SOLICITUD ES MUY ESPECÍFICA</w:t>
      </w:r>
      <w:r w:rsidRPr="00810FD6">
        <w:rPr>
          <w:rFonts w:ascii="Palatino Linotype" w:hAnsi="Palatino Linotype" w:cs="Segoe UI"/>
          <w:i/>
          <w:iCs/>
          <w:lang w:eastAsia="en-US"/>
        </w:rPr>
        <w:t>” (Sic.)</w:t>
      </w:r>
    </w:p>
    <w:p w14:paraId="58CD793C" w14:textId="77777777" w:rsidR="00810FD6" w:rsidRPr="00810FD6" w:rsidRDefault="00810FD6" w:rsidP="003A4DEE">
      <w:pPr>
        <w:tabs>
          <w:tab w:val="left" w:pos="567"/>
        </w:tabs>
        <w:spacing w:line="360" w:lineRule="auto"/>
        <w:contextualSpacing/>
        <w:jc w:val="both"/>
        <w:rPr>
          <w:rFonts w:ascii="Palatino Linotype" w:eastAsia="Calibri" w:hAnsi="Palatino Linotype" w:cs="Tahoma"/>
          <w:b/>
          <w:bCs/>
          <w:color w:val="000000" w:themeColor="text1"/>
          <w:sz w:val="22"/>
          <w:szCs w:val="22"/>
          <w:lang w:eastAsia="en-US"/>
        </w:rPr>
      </w:pPr>
    </w:p>
    <w:p w14:paraId="630356BF" w14:textId="77777777" w:rsidR="00810FD6" w:rsidRPr="00810FD6" w:rsidRDefault="00810FD6" w:rsidP="003A4DEE">
      <w:pPr>
        <w:tabs>
          <w:tab w:val="left" w:pos="4667"/>
        </w:tabs>
        <w:spacing w:line="360" w:lineRule="auto"/>
        <w:ind w:right="567"/>
        <w:contextualSpacing/>
        <w:jc w:val="both"/>
        <w:rPr>
          <w:rFonts w:ascii="Palatino Linotype" w:hAnsi="Palatino Linotype" w:cs="Tahoma"/>
          <w:b/>
          <w:bCs/>
          <w:sz w:val="22"/>
          <w:szCs w:val="24"/>
        </w:rPr>
      </w:pPr>
      <w:r w:rsidRPr="00810FD6">
        <w:rPr>
          <w:rFonts w:ascii="Palatino Linotype" w:hAnsi="Palatino Linotype" w:cs="Tahoma"/>
          <w:b/>
          <w:bCs/>
          <w:sz w:val="22"/>
          <w:szCs w:val="24"/>
        </w:rPr>
        <w:t xml:space="preserve">IV. </w:t>
      </w:r>
      <w:r w:rsidRPr="00810FD6">
        <w:rPr>
          <w:rFonts w:ascii="Palatino Linotype" w:hAnsi="Palatino Linotype" w:cs="Tahoma"/>
          <w:b/>
          <w:sz w:val="22"/>
          <w:szCs w:val="24"/>
        </w:rPr>
        <w:t>Respuesta</w:t>
      </w:r>
      <w:r w:rsidRPr="00810FD6">
        <w:rPr>
          <w:rFonts w:ascii="Palatino Linotype" w:hAnsi="Palatino Linotype" w:cs="Tahoma"/>
          <w:b/>
          <w:bCs/>
          <w:sz w:val="22"/>
          <w:szCs w:val="24"/>
        </w:rPr>
        <w:t xml:space="preserve"> del Sujeto Obligado.</w:t>
      </w:r>
    </w:p>
    <w:p w14:paraId="1223CC5C" w14:textId="77777777" w:rsidR="00810FD6" w:rsidRPr="00810FD6" w:rsidRDefault="00810FD6" w:rsidP="003A4DEE">
      <w:pPr>
        <w:spacing w:line="360" w:lineRule="auto"/>
        <w:contextualSpacing/>
        <w:jc w:val="both"/>
        <w:rPr>
          <w:rFonts w:ascii="Palatino Linotype" w:eastAsia="Calibri" w:hAnsi="Palatino Linotype" w:cs="Tahoma"/>
          <w:b/>
          <w:bCs/>
          <w:color w:val="000000" w:themeColor="text1"/>
          <w:sz w:val="22"/>
          <w:szCs w:val="22"/>
          <w:lang w:eastAsia="en-US"/>
        </w:rPr>
      </w:pPr>
    </w:p>
    <w:p w14:paraId="02639947" w14:textId="77777777" w:rsidR="00810FD6" w:rsidRPr="00810FD6" w:rsidRDefault="00810FD6" w:rsidP="003A4DEE">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n-US"/>
        </w:rPr>
      </w:pPr>
      <w:r w:rsidRPr="00810FD6">
        <w:rPr>
          <w:rFonts w:ascii="Palatino Linotype" w:eastAsia="Calibri" w:hAnsi="Palatino Linotype" w:cs="Tahoma"/>
          <w:color w:val="000000"/>
          <w:sz w:val="22"/>
          <w:szCs w:val="22"/>
          <w:lang w:eastAsia="en-US"/>
        </w:rPr>
        <w:t xml:space="preserve">De conformidad con el artículo 163, párrafo primero de la Ley de Transparencia y Acceso a la Información Pública del Estado de México y Municipios, el Sujeto Obligado debió dar contestación a la solicitud de acceso a la información; sin embargo, de las constancias que obran en el expediente electrónico del </w:t>
      </w:r>
      <w:r w:rsidRPr="00810FD6">
        <w:rPr>
          <w:rFonts w:ascii="Palatino Linotype" w:eastAsia="Calibri" w:hAnsi="Palatino Linotype" w:cs="Tahoma"/>
          <w:color w:val="000000"/>
          <w:sz w:val="22"/>
          <w:szCs w:val="22"/>
          <w:lang w:val="es-ES" w:eastAsia="en-US"/>
        </w:rPr>
        <w:t xml:space="preserve">Sistema de Acceso a la Información Mexiquense (SAIMEX), se advierte que el </w:t>
      </w:r>
      <w:r w:rsidRPr="00810FD6">
        <w:rPr>
          <w:rFonts w:ascii="Palatino Linotype" w:eastAsiaTheme="minorHAnsi" w:hAnsi="Palatino Linotype" w:cstheme="minorBidi"/>
          <w:color w:val="000000"/>
          <w:sz w:val="22"/>
          <w:szCs w:val="22"/>
          <w:lang w:eastAsia="en-US"/>
        </w:rPr>
        <w:t>Ayuntamiento de Zinacantepec</w:t>
      </w:r>
      <w:r w:rsidRPr="00810FD6">
        <w:rPr>
          <w:rFonts w:ascii="Palatino Linotype" w:eastAsia="Calibri" w:hAnsi="Palatino Linotype" w:cs="Tahoma"/>
          <w:color w:val="000000"/>
          <w:sz w:val="22"/>
          <w:szCs w:val="22"/>
          <w:lang w:eastAsia="en-US"/>
        </w:rPr>
        <w:t>,</w:t>
      </w:r>
      <w:r w:rsidRPr="00810FD6">
        <w:rPr>
          <w:rFonts w:ascii="Palatino Linotype" w:eastAsia="Calibri" w:hAnsi="Palatino Linotype" w:cs="Tahoma"/>
          <w:bCs/>
          <w:color w:val="000000"/>
          <w:sz w:val="22"/>
          <w:szCs w:val="22"/>
          <w:lang w:eastAsia="en-US"/>
        </w:rPr>
        <w:t xml:space="preserve"> omitió dar respuesta a la solicitud de información, por lo que </w:t>
      </w:r>
      <w:r w:rsidRPr="00810FD6">
        <w:rPr>
          <w:rFonts w:ascii="Palatino Linotype" w:eastAsia="Calibri" w:hAnsi="Palatino Linotype" w:cs="Tahoma"/>
          <w:b/>
          <w:color w:val="000000"/>
          <w:sz w:val="22"/>
          <w:szCs w:val="22"/>
          <w:lang w:eastAsia="en-US"/>
        </w:rPr>
        <w:t xml:space="preserve">se configura la </w:t>
      </w:r>
      <w:r w:rsidRPr="00810FD6">
        <w:rPr>
          <w:rFonts w:ascii="Palatino Linotype" w:eastAsia="Calibri" w:hAnsi="Palatino Linotype" w:cs="Tahoma"/>
          <w:b/>
          <w:color w:val="000000"/>
          <w:sz w:val="22"/>
          <w:szCs w:val="22"/>
          <w:lang w:val="es-ES" w:eastAsia="en-US"/>
        </w:rPr>
        <w:t>negativa ficta</w:t>
      </w:r>
      <w:r w:rsidRPr="00810FD6">
        <w:rPr>
          <w:rFonts w:ascii="Palatino Linotype" w:eastAsia="Calibri" w:hAnsi="Palatino Linotype" w:cs="Tahoma"/>
          <w:color w:val="000000"/>
          <w:sz w:val="22"/>
          <w:szCs w:val="22"/>
          <w:lang w:val="es-ES" w:eastAsia="en-US"/>
        </w:rPr>
        <w:t xml:space="preserve"> a entregar información, prevista en los artículos 166, párrafo cuarto y 178, párrafo segundo, de la Ley de Transparencia y Acceso a la Información Pública del Estado de México y Municipios.</w:t>
      </w:r>
    </w:p>
    <w:p w14:paraId="41FBE095" w14:textId="77777777" w:rsidR="00810FD6" w:rsidRPr="00810FD6" w:rsidRDefault="00810FD6" w:rsidP="003A4DEE">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n-US"/>
        </w:rPr>
      </w:pPr>
    </w:p>
    <w:p w14:paraId="76E378EA" w14:textId="77777777" w:rsidR="00810FD6" w:rsidRPr="00810FD6" w:rsidRDefault="00810FD6" w:rsidP="003A4DEE">
      <w:pPr>
        <w:autoSpaceDE w:val="0"/>
        <w:autoSpaceDN w:val="0"/>
        <w:adjustRightInd w:val="0"/>
        <w:spacing w:line="360" w:lineRule="auto"/>
        <w:contextualSpacing/>
        <w:jc w:val="both"/>
        <w:rPr>
          <w:rFonts w:ascii="Palatino Linotype" w:eastAsia="Calibri" w:hAnsi="Palatino Linotype" w:cs="Tahoma"/>
          <w:b/>
          <w:color w:val="000000"/>
          <w:sz w:val="22"/>
          <w:szCs w:val="22"/>
          <w:lang w:eastAsia="en-US"/>
        </w:rPr>
      </w:pPr>
      <w:r w:rsidRPr="00810FD6">
        <w:rPr>
          <w:rFonts w:ascii="Palatino Linotype" w:eastAsia="Calibri" w:hAnsi="Palatino Linotype" w:cs="Tahoma"/>
          <w:b/>
          <w:color w:val="000000"/>
          <w:sz w:val="22"/>
          <w:szCs w:val="22"/>
          <w:lang w:eastAsia="en-US"/>
        </w:rPr>
        <w:t xml:space="preserve">V. Interposición del Recurso de Revisión. </w:t>
      </w:r>
    </w:p>
    <w:p w14:paraId="0FA2901D" w14:textId="77777777" w:rsidR="00810FD6" w:rsidRPr="00810FD6" w:rsidRDefault="00810FD6" w:rsidP="003A4DEE">
      <w:pPr>
        <w:spacing w:line="360" w:lineRule="auto"/>
        <w:contextualSpacing/>
        <w:jc w:val="both"/>
        <w:rPr>
          <w:rFonts w:ascii="Palatino Linotype" w:hAnsi="Palatino Linotype" w:cs="Tahoma"/>
          <w:bCs/>
          <w:sz w:val="22"/>
          <w:szCs w:val="22"/>
        </w:rPr>
      </w:pPr>
    </w:p>
    <w:p w14:paraId="6A7F599C" w14:textId="77777777" w:rsidR="00810FD6" w:rsidRPr="00810FD6" w:rsidRDefault="00810FD6" w:rsidP="003A4DEE">
      <w:pPr>
        <w:spacing w:line="360" w:lineRule="auto"/>
        <w:contextualSpacing/>
        <w:jc w:val="both"/>
        <w:rPr>
          <w:rFonts w:ascii="Palatino Linotype" w:eastAsiaTheme="minorHAnsi" w:hAnsi="Palatino Linotype" w:cstheme="minorBidi"/>
          <w:bCs/>
          <w:color w:val="000000" w:themeColor="text1"/>
          <w:sz w:val="22"/>
          <w:szCs w:val="22"/>
          <w:lang w:eastAsia="en-US"/>
        </w:rPr>
      </w:pPr>
      <w:r w:rsidRPr="00810FD6">
        <w:rPr>
          <w:rFonts w:ascii="Palatino Linotype" w:hAnsi="Palatino Linotype" w:cs="Tahoma"/>
          <w:bCs/>
          <w:sz w:val="22"/>
          <w:szCs w:val="22"/>
          <w:lang w:val="es-ES"/>
        </w:rPr>
        <w:t xml:space="preserve">Con fecha veintiuno de diciembre de dos mil veintidós, </w:t>
      </w:r>
      <w:r w:rsidRPr="00810FD6">
        <w:rPr>
          <w:rFonts w:ascii="Palatino Linotype" w:hAnsi="Palatino Linotype" w:cs="Tahoma"/>
          <w:bCs/>
          <w:sz w:val="22"/>
          <w:szCs w:val="22"/>
        </w:rPr>
        <w:t xml:space="preserve">se tuvo por recibido en este Instituto, a través del </w:t>
      </w:r>
      <w:r w:rsidRPr="00810FD6">
        <w:rPr>
          <w:rFonts w:ascii="Palatino Linotype" w:hAnsi="Palatino Linotype" w:cs="Tahoma"/>
          <w:bCs/>
          <w:sz w:val="22"/>
          <w:szCs w:val="22"/>
          <w:lang w:val="es-ES"/>
        </w:rPr>
        <w:t>Sistema de Acceso a la Información Mexiquense (SAIMEX)</w:t>
      </w:r>
      <w:r w:rsidRPr="00810FD6">
        <w:rPr>
          <w:rFonts w:ascii="Palatino Linotype" w:hAnsi="Palatino Linotype" w:cs="Tahoma"/>
          <w:bCs/>
          <w:sz w:val="22"/>
          <w:szCs w:val="22"/>
        </w:rPr>
        <w:t>, el Recurso de Revisión interpuesto por la parte Recurrente, en contra de la falta de respuesta del Sujeto Obligado,</w:t>
      </w:r>
      <w:r w:rsidRPr="00810FD6">
        <w:rPr>
          <w:rFonts w:ascii="Palatino Linotype" w:eastAsiaTheme="minorHAnsi" w:hAnsi="Palatino Linotype" w:cs="Tahoma"/>
          <w:b/>
          <w:color w:val="000000" w:themeColor="text1"/>
          <w:sz w:val="22"/>
          <w:szCs w:val="22"/>
        </w:rPr>
        <w:t xml:space="preserve"> </w:t>
      </w:r>
      <w:r w:rsidRPr="00810FD6">
        <w:rPr>
          <w:rFonts w:ascii="Palatino Linotype" w:eastAsiaTheme="minorHAnsi" w:hAnsi="Palatino Linotype" w:cs="Tahoma"/>
          <w:color w:val="000000" w:themeColor="text1"/>
          <w:sz w:val="22"/>
          <w:szCs w:val="22"/>
        </w:rPr>
        <w:t>en los siguientes términos:</w:t>
      </w:r>
    </w:p>
    <w:p w14:paraId="329DB4E7" w14:textId="77777777" w:rsidR="00810FD6" w:rsidRPr="00810FD6" w:rsidRDefault="00810FD6" w:rsidP="003A4DEE">
      <w:pPr>
        <w:spacing w:line="360" w:lineRule="auto"/>
        <w:contextualSpacing/>
        <w:jc w:val="both"/>
        <w:rPr>
          <w:rFonts w:ascii="Palatino Linotype" w:hAnsi="Palatino Linotype" w:cs="Tahoma"/>
          <w:bCs/>
          <w:sz w:val="22"/>
          <w:szCs w:val="22"/>
        </w:rPr>
      </w:pPr>
    </w:p>
    <w:p w14:paraId="6731C5BA" w14:textId="77777777" w:rsidR="00810FD6" w:rsidRPr="00810FD6" w:rsidRDefault="00810FD6" w:rsidP="003A4DEE">
      <w:pPr>
        <w:spacing w:line="360" w:lineRule="auto"/>
        <w:ind w:left="567" w:right="567"/>
        <w:contextualSpacing/>
        <w:jc w:val="both"/>
        <w:rPr>
          <w:rFonts w:ascii="Palatino Linotype" w:hAnsi="Palatino Linotype" w:cs="Tahoma"/>
          <w:b/>
          <w:bCs/>
          <w:i/>
        </w:rPr>
      </w:pPr>
      <w:r w:rsidRPr="00810FD6">
        <w:rPr>
          <w:rFonts w:ascii="Palatino Linotype" w:hAnsi="Palatino Linotype" w:cs="Tahoma"/>
          <w:b/>
          <w:bCs/>
          <w:i/>
        </w:rPr>
        <w:t>“ACTO IMPUGNADO</w:t>
      </w:r>
    </w:p>
    <w:p w14:paraId="7B7B592B" w14:textId="77777777" w:rsidR="00810FD6" w:rsidRPr="00810FD6" w:rsidRDefault="00810FD6" w:rsidP="003A4DEE">
      <w:pPr>
        <w:spacing w:line="360" w:lineRule="auto"/>
        <w:ind w:left="567" w:right="567"/>
        <w:contextualSpacing/>
        <w:jc w:val="both"/>
        <w:rPr>
          <w:rFonts w:ascii="Palatino Linotype" w:hAnsi="Palatino Linotype" w:cs="Tahoma"/>
          <w:bCs/>
          <w:i/>
          <w:iCs/>
        </w:rPr>
      </w:pPr>
      <w:r w:rsidRPr="00810FD6">
        <w:rPr>
          <w:rFonts w:ascii="Palatino Linotype" w:eastAsiaTheme="minorHAnsi" w:hAnsi="Palatino Linotype" w:cstheme="minorBidi"/>
          <w:i/>
          <w:iCs/>
          <w:color w:val="000000"/>
          <w:lang w:eastAsia="en-US"/>
        </w:rPr>
        <w:t>NO ENTREGA INFORMACIÓN</w:t>
      </w:r>
      <w:r w:rsidRPr="00810FD6">
        <w:rPr>
          <w:rFonts w:ascii="Palatino Linotype" w:eastAsiaTheme="minorHAnsi" w:hAnsi="Palatino Linotype" w:cstheme="minorBidi"/>
          <w:i/>
          <w:iCs/>
          <w:color w:val="000000" w:themeColor="text1"/>
          <w:lang w:eastAsia="en-US"/>
        </w:rPr>
        <w:t>”</w:t>
      </w:r>
      <w:r w:rsidRPr="00810FD6">
        <w:rPr>
          <w:rFonts w:ascii="Palatino Linotype" w:eastAsiaTheme="minorHAnsi" w:hAnsi="Palatino Linotype" w:cstheme="minorBidi"/>
          <w:bCs/>
          <w:i/>
          <w:iCs/>
          <w:color w:val="000000" w:themeColor="text1"/>
          <w:lang w:eastAsia="en-US"/>
        </w:rPr>
        <w:t xml:space="preserve"> </w:t>
      </w:r>
      <w:r w:rsidRPr="00810FD6">
        <w:rPr>
          <w:rFonts w:ascii="Palatino Linotype" w:hAnsi="Palatino Linotype" w:cs="Tahoma"/>
          <w:bCs/>
          <w:i/>
          <w:iCs/>
        </w:rPr>
        <w:t>(Sic)</w:t>
      </w:r>
    </w:p>
    <w:p w14:paraId="4618B657" w14:textId="77777777" w:rsidR="00810FD6" w:rsidRPr="00810FD6" w:rsidRDefault="00810FD6" w:rsidP="003A4DEE">
      <w:pPr>
        <w:spacing w:line="360" w:lineRule="auto"/>
        <w:ind w:left="567" w:right="567"/>
        <w:contextualSpacing/>
        <w:jc w:val="both"/>
        <w:rPr>
          <w:rFonts w:ascii="Palatino Linotype" w:hAnsi="Palatino Linotype" w:cs="Tahoma"/>
          <w:bCs/>
          <w:i/>
        </w:rPr>
      </w:pPr>
    </w:p>
    <w:p w14:paraId="3D17FADA" w14:textId="77777777" w:rsidR="00810FD6" w:rsidRPr="00810FD6" w:rsidRDefault="00810FD6" w:rsidP="003A4DEE">
      <w:pPr>
        <w:spacing w:line="360" w:lineRule="auto"/>
        <w:ind w:left="567" w:right="567"/>
        <w:contextualSpacing/>
        <w:jc w:val="both"/>
        <w:rPr>
          <w:rFonts w:ascii="Palatino Linotype" w:hAnsi="Palatino Linotype" w:cs="Tahoma"/>
          <w:b/>
          <w:bCs/>
          <w:i/>
        </w:rPr>
      </w:pPr>
      <w:r w:rsidRPr="00810FD6">
        <w:rPr>
          <w:rFonts w:ascii="Palatino Linotype" w:hAnsi="Palatino Linotype" w:cs="Tahoma"/>
          <w:b/>
          <w:bCs/>
          <w:i/>
        </w:rPr>
        <w:t>“RAZONES O MOTIVOS DE LA INCONFORMIDAD</w:t>
      </w:r>
    </w:p>
    <w:p w14:paraId="5BFF4F77" w14:textId="77777777" w:rsidR="00810FD6" w:rsidRPr="00810FD6" w:rsidRDefault="00810FD6" w:rsidP="003A4DEE">
      <w:pPr>
        <w:spacing w:line="360" w:lineRule="auto"/>
        <w:ind w:left="567" w:right="567"/>
        <w:contextualSpacing/>
        <w:jc w:val="both"/>
        <w:rPr>
          <w:rFonts w:ascii="Palatino Linotype" w:hAnsi="Palatino Linotype" w:cs="Tahoma"/>
          <w:bCs/>
        </w:rPr>
      </w:pPr>
      <w:r w:rsidRPr="00810FD6">
        <w:rPr>
          <w:rFonts w:ascii="Palatino Linotype" w:eastAsiaTheme="minorHAnsi" w:hAnsi="Palatino Linotype" w:cstheme="minorBidi"/>
          <w:i/>
          <w:iCs/>
          <w:color w:val="000000"/>
          <w:lang w:eastAsia="en-US"/>
        </w:rPr>
        <w:t>NO ENTREGA INFORMACIÓN</w:t>
      </w:r>
      <w:r w:rsidRPr="00810FD6">
        <w:rPr>
          <w:rFonts w:ascii="Palatino Linotype" w:eastAsiaTheme="minorHAnsi" w:hAnsi="Palatino Linotype" w:cstheme="minorBidi"/>
          <w:i/>
          <w:color w:val="000000"/>
          <w:lang w:eastAsia="en-US"/>
        </w:rPr>
        <w:t>”</w:t>
      </w:r>
      <w:r w:rsidRPr="00810FD6">
        <w:rPr>
          <w:rFonts w:ascii="Palatino Linotype" w:eastAsiaTheme="minorHAnsi" w:hAnsi="Palatino Linotype" w:cstheme="minorBidi"/>
          <w:bCs/>
          <w:i/>
          <w:color w:val="000000"/>
          <w:lang w:eastAsia="en-US"/>
        </w:rPr>
        <w:t xml:space="preserve"> </w:t>
      </w:r>
      <w:r w:rsidRPr="00810FD6">
        <w:rPr>
          <w:rFonts w:ascii="Palatino Linotype" w:hAnsi="Palatino Linotype" w:cs="Tahoma"/>
          <w:bCs/>
          <w:i/>
        </w:rPr>
        <w:t>(Sic)</w:t>
      </w:r>
    </w:p>
    <w:p w14:paraId="6C987300" w14:textId="77777777" w:rsidR="00810FD6" w:rsidRPr="00810FD6" w:rsidRDefault="00810FD6" w:rsidP="003A4DEE">
      <w:pPr>
        <w:spacing w:line="360" w:lineRule="auto"/>
        <w:contextualSpacing/>
        <w:jc w:val="both"/>
        <w:rPr>
          <w:rFonts w:ascii="Palatino Linotype" w:eastAsia="Calibri" w:hAnsi="Palatino Linotype" w:cs="Tahoma"/>
          <w:b/>
          <w:color w:val="000000"/>
          <w:sz w:val="22"/>
          <w:szCs w:val="22"/>
          <w:lang w:eastAsia="en-US"/>
        </w:rPr>
      </w:pPr>
    </w:p>
    <w:p w14:paraId="1BB7B804" w14:textId="77777777" w:rsidR="00810FD6" w:rsidRPr="00810FD6" w:rsidRDefault="00810FD6" w:rsidP="003A4DEE">
      <w:pPr>
        <w:spacing w:line="360" w:lineRule="auto"/>
        <w:contextualSpacing/>
        <w:jc w:val="both"/>
        <w:rPr>
          <w:rFonts w:ascii="Palatino Linotype" w:eastAsia="Batang" w:hAnsi="Palatino Linotype" w:cs="Tahoma"/>
          <w:b/>
          <w:bCs/>
          <w:color w:val="000000"/>
          <w:sz w:val="22"/>
          <w:szCs w:val="22"/>
          <w:lang w:eastAsia="en-US"/>
        </w:rPr>
      </w:pPr>
      <w:r w:rsidRPr="00810FD6">
        <w:rPr>
          <w:rFonts w:ascii="Palatino Linotype" w:eastAsia="Calibri" w:hAnsi="Palatino Linotype" w:cs="Tahoma"/>
          <w:b/>
          <w:color w:val="000000"/>
          <w:sz w:val="22"/>
          <w:szCs w:val="22"/>
          <w:lang w:eastAsia="en-US"/>
        </w:rPr>
        <w:t xml:space="preserve">VI. </w:t>
      </w:r>
      <w:r w:rsidRPr="00810FD6">
        <w:rPr>
          <w:rFonts w:ascii="Palatino Linotype" w:eastAsia="Batang" w:hAnsi="Palatino Linotype" w:cs="Tahoma"/>
          <w:b/>
          <w:bCs/>
          <w:color w:val="000000"/>
          <w:sz w:val="22"/>
          <w:szCs w:val="22"/>
          <w:lang w:eastAsia="en-US"/>
        </w:rPr>
        <w:t>Trámite del Recurso de Revisión</w:t>
      </w:r>
      <w:r w:rsidRPr="00810FD6">
        <w:rPr>
          <w:rFonts w:ascii="Palatino Linotype" w:eastAsia="Calibri" w:hAnsi="Palatino Linotype" w:cs="Tahoma"/>
          <w:b/>
          <w:color w:val="000000"/>
          <w:sz w:val="22"/>
          <w:szCs w:val="22"/>
          <w:lang w:eastAsia="en-US"/>
        </w:rPr>
        <w:t xml:space="preserve"> </w:t>
      </w:r>
      <w:r w:rsidRPr="00810FD6">
        <w:rPr>
          <w:rFonts w:ascii="Palatino Linotype" w:eastAsia="Batang" w:hAnsi="Palatino Linotype" w:cs="Tahoma"/>
          <w:b/>
          <w:bCs/>
          <w:color w:val="000000"/>
          <w:sz w:val="22"/>
          <w:szCs w:val="22"/>
          <w:lang w:eastAsia="en-US"/>
        </w:rPr>
        <w:t>ante este Instituto.</w:t>
      </w:r>
    </w:p>
    <w:p w14:paraId="721B406D" w14:textId="77777777" w:rsidR="00810FD6" w:rsidRDefault="00810FD6" w:rsidP="003A4DEE">
      <w:pPr>
        <w:spacing w:line="360" w:lineRule="auto"/>
        <w:contextualSpacing/>
        <w:jc w:val="both"/>
        <w:rPr>
          <w:rFonts w:ascii="Palatino Linotype" w:eastAsia="Batang" w:hAnsi="Palatino Linotype" w:cs="Tahoma"/>
          <w:bCs/>
          <w:color w:val="000000"/>
          <w:sz w:val="22"/>
          <w:szCs w:val="22"/>
          <w:lang w:eastAsia="en-US"/>
        </w:rPr>
      </w:pPr>
    </w:p>
    <w:p w14:paraId="0AD9B10A" w14:textId="77777777" w:rsidR="003A4DEE" w:rsidRDefault="003A4DEE" w:rsidP="003A4DEE">
      <w:pPr>
        <w:spacing w:line="360" w:lineRule="auto"/>
        <w:contextualSpacing/>
        <w:jc w:val="both"/>
        <w:rPr>
          <w:rFonts w:ascii="Palatino Linotype" w:eastAsia="Batang" w:hAnsi="Palatino Linotype" w:cs="Tahoma"/>
          <w:bCs/>
          <w:color w:val="000000"/>
          <w:sz w:val="22"/>
          <w:szCs w:val="22"/>
          <w:lang w:eastAsia="en-US"/>
        </w:rPr>
      </w:pPr>
    </w:p>
    <w:p w14:paraId="57645855" w14:textId="77777777" w:rsidR="003A4DEE" w:rsidRPr="00810FD6" w:rsidRDefault="003A4DEE" w:rsidP="003A4DEE">
      <w:pPr>
        <w:spacing w:line="360" w:lineRule="auto"/>
        <w:contextualSpacing/>
        <w:jc w:val="both"/>
        <w:rPr>
          <w:rFonts w:ascii="Palatino Linotype" w:eastAsia="Batang" w:hAnsi="Palatino Linotype" w:cs="Tahoma"/>
          <w:bCs/>
          <w:color w:val="000000"/>
          <w:sz w:val="22"/>
          <w:szCs w:val="22"/>
          <w:lang w:eastAsia="en-US"/>
        </w:rPr>
      </w:pPr>
    </w:p>
    <w:p w14:paraId="1A8380AC" w14:textId="77777777" w:rsidR="00810FD6" w:rsidRPr="00810FD6" w:rsidRDefault="00810FD6" w:rsidP="003A4DEE">
      <w:pPr>
        <w:spacing w:line="360" w:lineRule="auto"/>
        <w:contextualSpacing/>
        <w:jc w:val="both"/>
        <w:rPr>
          <w:rFonts w:ascii="Palatino Linotype" w:eastAsia="Batang" w:hAnsi="Palatino Linotype" w:cs="Tahoma"/>
          <w:b/>
          <w:bCs/>
          <w:color w:val="000000"/>
          <w:sz w:val="22"/>
          <w:szCs w:val="22"/>
          <w:lang w:eastAsia="en-US"/>
        </w:rPr>
      </w:pPr>
      <w:r w:rsidRPr="00810FD6">
        <w:rPr>
          <w:rFonts w:ascii="Palatino Linotype" w:eastAsia="Batang" w:hAnsi="Palatino Linotype" w:cs="Tahoma"/>
          <w:b/>
          <w:bCs/>
          <w:color w:val="000000"/>
          <w:sz w:val="22"/>
          <w:szCs w:val="22"/>
          <w:lang w:eastAsia="en-US"/>
        </w:rPr>
        <w:t xml:space="preserve">a) Turno del Medio de Impugnación. </w:t>
      </w:r>
      <w:r w:rsidRPr="00810FD6">
        <w:rPr>
          <w:rFonts w:ascii="Palatino Linotype" w:eastAsia="Batang" w:hAnsi="Palatino Linotype" w:cs="Tahoma"/>
          <w:bCs/>
          <w:color w:val="000000"/>
          <w:sz w:val="22"/>
          <w:szCs w:val="22"/>
          <w:lang w:eastAsia="en-US"/>
        </w:rPr>
        <w:t xml:space="preserve">El veintiuno de diciembre </w:t>
      </w:r>
      <w:r w:rsidRPr="00810FD6">
        <w:rPr>
          <w:rFonts w:ascii="Palatino Linotype" w:hAnsi="Palatino Linotype" w:cs="Tahoma"/>
          <w:bCs/>
          <w:sz w:val="22"/>
          <w:szCs w:val="22"/>
        </w:rPr>
        <w:t>de dos mil veintidós</w:t>
      </w:r>
      <w:r w:rsidRPr="00810FD6">
        <w:rPr>
          <w:rFonts w:ascii="Palatino Linotype" w:eastAsia="Batang" w:hAnsi="Palatino Linotype" w:cs="Tahoma"/>
          <w:bCs/>
          <w:color w:val="000000"/>
          <w:sz w:val="22"/>
          <w:szCs w:val="22"/>
          <w:lang w:eastAsia="en-US"/>
        </w:rPr>
        <w:t xml:space="preserve">, el </w:t>
      </w:r>
      <w:r w:rsidRPr="00810FD6">
        <w:rPr>
          <w:rFonts w:ascii="Palatino Linotype" w:eastAsia="Calibri" w:hAnsi="Palatino Linotype" w:cs="Tahoma"/>
          <w:color w:val="000000"/>
          <w:sz w:val="22"/>
          <w:szCs w:val="22"/>
          <w:lang w:val="es-ES" w:eastAsia="en-US"/>
        </w:rPr>
        <w:t>Sistema de Acceso a la Información Mexiquense (SAIMEX),</w:t>
      </w:r>
      <w:r w:rsidRPr="00810FD6">
        <w:rPr>
          <w:rFonts w:ascii="Palatino Linotype" w:eastAsia="Batang" w:hAnsi="Palatino Linotype" w:cs="Tahoma"/>
          <w:bCs/>
          <w:color w:val="000000"/>
          <w:sz w:val="22"/>
          <w:szCs w:val="22"/>
          <w:lang w:eastAsia="en-US"/>
        </w:rPr>
        <w:t xml:space="preserve"> asignó el número de expediente </w:t>
      </w:r>
      <w:r w:rsidRPr="00810FD6">
        <w:rPr>
          <w:rFonts w:ascii="Palatino Linotype" w:eastAsia="Batang" w:hAnsi="Palatino Linotype" w:cs="Tahoma"/>
          <w:color w:val="000000"/>
          <w:sz w:val="22"/>
          <w:szCs w:val="22"/>
          <w:lang w:eastAsia="en-US"/>
        </w:rPr>
        <w:t>17571</w:t>
      </w:r>
      <w:r w:rsidRPr="00810FD6">
        <w:rPr>
          <w:rFonts w:ascii="Palatino Linotype" w:eastAsia="Calibri" w:hAnsi="Palatino Linotype" w:cs="Tahoma"/>
          <w:color w:val="000000" w:themeColor="text1"/>
          <w:sz w:val="22"/>
          <w:szCs w:val="22"/>
          <w:lang w:eastAsia="en-US"/>
        </w:rPr>
        <w:t>/INFOEM/IP/RR/2022</w:t>
      </w:r>
      <w:r w:rsidRPr="00810FD6">
        <w:rPr>
          <w:rFonts w:ascii="Palatino Linotype" w:eastAsia="Batang" w:hAnsi="Palatino Linotype" w:cs="Tahoma"/>
          <w:bCs/>
          <w:color w:val="000000"/>
          <w:sz w:val="22"/>
          <w:szCs w:val="22"/>
          <w:lang w:eastAsia="en-US"/>
        </w:rPr>
        <w:t>, al Medio de Impugnación que nos ocupa, con base en el sistema aprobado por el Pleno de este Órgano Garante y lo turnó al Comisionado Ponente Luis Gustavo Parra Noriega, para los efectos del artículo 185, fracción I de la Ley de Transparencia y Acceso a la Información Pública del Estado de México y Municipios.</w:t>
      </w:r>
    </w:p>
    <w:p w14:paraId="41EC0FB1" w14:textId="77777777" w:rsidR="00810FD6" w:rsidRPr="00810FD6" w:rsidRDefault="00810FD6" w:rsidP="003A4DEE">
      <w:pPr>
        <w:spacing w:line="360" w:lineRule="auto"/>
        <w:contextualSpacing/>
        <w:jc w:val="both"/>
        <w:rPr>
          <w:rFonts w:ascii="Palatino Linotype" w:eastAsia="Batang" w:hAnsi="Palatino Linotype" w:cs="Tahoma"/>
          <w:bCs/>
          <w:color w:val="000000"/>
          <w:sz w:val="22"/>
          <w:szCs w:val="22"/>
          <w:lang w:eastAsia="en-US"/>
        </w:rPr>
      </w:pPr>
    </w:p>
    <w:p w14:paraId="1822BE8A" w14:textId="77777777" w:rsidR="00810FD6" w:rsidRPr="00810FD6" w:rsidRDefault="00810FD6" w:rsidP="003A4DEE">
      <w:pPr>
        <w:spacing w:line="360" w:lineRule="auto"/>
        <w:contextualSpacing/>
        <w:jc w:val="both"/>
        <w:rPr>
          <w:rFonts w:ascii="Palatino Linotype" w:hAnsi="Palatino Linotype" w:cs="Tahoma"/>
          <w:b/>
          <w:bCs/>
          <w:sz w:val="22"/>
          <w:szCs w:val="22"/>
        </w:rPr>
      </w:pPr>
      <w:r w:rsidRPr="00810FD6">
        <w:rPr>
          <w:rFonts w:ascii="Palatino Linotype" w:hAnsi="Palatino Linotype" w:cs="Tahoma"/>
          <w:b/>
          <w:bCs/>
          <w:sz w:val="22"/>
          <w:szCs w:val="22"/>
        </w:rPr>
        <w:t>b) Admisión del Recurso de Revisión</w:t>
      </w:r>
      <w:r w:rsidRPr="00810FD6">
        <w:rPr>
          <w:rFonts w:ascii="Palatino Linotype" w:hAnsi="Palatino Linotype" w:cs="Tahoma"/>
          <w:b/>
          <w:bCs/>
          <w:sz w:val="22"/>
          <w:szCs w:val="22"/>
          <w:lang w:val="es-ES_tradnl"/>
        </w:rPr>
        <w:t xml:space="preserve">. </w:t>
      </w:r>
      <w:r w:rsidRPr="00810FD6">
        <w:rPr>
          <w:rFonts w:ascii="Palatino Linotype" w:eastAsia="Batang" w:hAnsi="Palatino Linotype" w:cs="Tahoma"/>
          <w:bCs/>
          <w:color w:val="000000"/>
          <w:sz w:val="22"/>
          <w:szCs w:val="22"/>
          <w:lang w:eastAsia="en-US"/>
        </w:rPr>
        <w:t>El once de enero de dos mil veintitrés</w:t>
      </w:r>
      <w:r w:rsidRPr="00810FD6">
        <w:rPr>
          <w:rFonts w:ascii="Palatino Linotype" w:hAnsi="Palatino Linotype" w:cs="Tahoma"/>
          <w:bCs/>
          <w:sz w:val="22"/>
          <w:szCs w:val="22"/>
          <w:lang w:val="es-ES_tradnl"/>
        </w:rPr>
        <w:t xml:space="preserve">, se acordó la admisión del Recurso de Revisión interpuesto por el Recurrente en contra del Sujeto Obligado, en términos del artículo 185, fracciones I y II de la Ley de Transparencia y Acceso a la Información Pública del Estado de México y Municipios, el cual fue notificado a las partes el doce de dicho mes y año, a través del Sistema de Acceso a la Información Mexiquense (SAIMEX), en el que se les otorgó un plazo de siete días hábiles posteriores a la misma, para que manifestaran lo que a su derecho conviniera y formularan alegatos. </w:t>
      </w:r>
    </w:p>
    <w:p w14:paraId="07F46151" w14:textId="77777777" w:rsidR="00810FD6" w:rsidRPr="00810FD6" w:rsidRDefault="00810FD6" w:rsidP="003A4DEE">
      <w:pPr>
        <w:spacing w:line="360" w:lineRule="auto"/>
        <w:contextualSpacing/>
        <w:jc w:val="both"/>
        <w:rPr>
          <w:rFonts w:ascii="Palatino Linotype" w:eastAsiaTheme="minorHAnsi" w:hAnsi="Palatino Linotype" w:cs="Tahoma"/>
          <w:color w:val="000000" w:themeColor="text1"/>
          <w:sz w:val="22"/>
          <w:szCs w:val="22"/>
          <w:lang w:eastAsia="en-US"/>
        </w:rPr>
      </w:pPr>
    </w:p>
    <w:p w14:paraId="45462835" w14:textId="77777777" w:rsidR="00810FD6" w:rsidRPr="00810FD6" w:rsidRDefault="00810FD6" w:rsidP="003A4DEE">
      <w:pPr>
        <w:tabs>
          <w:tab w:val="left" w:pos="567"/>
        </w:tabs>
        <w:spacing w:line="360" w:lineRule="auto"/>
        <w:contextualSpacing/>
        <w:jc w:val="both"/>
        <w:rPr>
          <w:rFonts w:ascii="Palatino Linotype" w:eastAsiaTheme="minorHAnsi" w:hAnsi="Palatino Linotype" w:cs="Tahoma"/>
          <w:color w:val="000000" w:themeColor="text1"/>
          <w:sz w:val="22"/>
          <w:szCs w:val="22"/>
          <w:lang w:eastAsia="en-US"/>
        </w:rPr>
      </w:pPr>
      <w:r w:rsidRPr="00810FD6">
        <w:rPr>
          <w:rFonts w:ascii="Palatino Linotype" w:hAnsi="Palatino Linotype" w:cs="Tahoma"/>
          <w:b/>
          <w:bCs/>
          <w:sz w:val="22"/>
          <w:szCs w:val="22"/>
        </w:rPr>
        <w:t xml:space="preserve">c) </w:t>
      </w:r>
      <w:r w:rsidRPr="00810FD6">
        <w:rPr>
          <w:rFonts w:ascii="Palatino Linotype" w:eastAsia="Batang" w:hAnsi="Palatino Linotype" w:cs="Tahoma"/>
          <w:b/>
          <w:bCs/>
          <w:color w:val="000000" w:themeColor="text1"/>
          <w:sz w:val="22"/>
          <w:szCs w:val="22"/>
          <w:lang w:val="es-ES_tradnl" w:eastAsia="en-US"/>
        </w:rPr>
        <w:t>Informe Justificado</w:t>
      </w:r>
      <w:r w:rsidRPr="00810FD6">
        <w:rPr>
          <w:rFonts w:ascii="Palatino Linotype" w:eastAsiaTheme="minorHAnsi" w:hAnsi="Palatino Linotype" w:cstheme="minorBidi"/>
          <w:b/>
          <w:color w:val="000000" w:themeColor="text1"/>
          <w:sz w:val="22"/>
          <w:szCs w:val="22"/>
          <w:lang w:val="es-ES_tradnl" w:eastAsia="en-US"/>
        </w:rPr>
        <w:t xml:space="preserve">. </w:t>
      </w:r>
      <w:r w:rsidRPr="00810FD6">
        <w:rPr>
          <w:rFonts w:ascii="Palatino Linotype" w:eastAsiaTheme="minorHAnsi" w:hAnsi="Palatino Linotype" w:cs="Tahoma"/>
          <w:bCs/>
          <w:color w:val="000000" w:themeColor="text1"/>
          <w:sz w:val="22"/>
          <w:szCs w:val="22"/>
          <w:lang w:val="es-ES_tradnl" w:eastAsia="en-US"/>
        </w:rPr>
        <w:t xml:space="preserve">El trece de enero de dos mil veintitrés, se recibió en este Instituto, a través del Sistema de Acceso a la Información Mexiquense (SAIMEX), el Informe Justificado del Sujeto Obligado, a través de un oficio sin número, </w:t>
      </w:r>
      <w:r w:rsidRPr="00810FD6">
        <w:rPr>
          <w:rFonts w:ascii="Palatino Linotype" w:eastAsiaTheme="minorHAnsi" w:hAnsi="Palatino Linotype" w:cs="Tahoma"/>
          <w:color w:val="000000" w:themeColor="text1"/>
          <w:sz w:val="22"/>
          <w:szCs w:val="22"/>
          <w:lang w:eastAsia="en-US"/>
        </w:rPr>
        <w:t xml:space="preserve">suscrito por el Titular de la Unidad de Transparencia, dirigido al Solicitante, por medio del cual manifiesta y expone esencialmente lo siguiente: </w:t>
      </w:r>
    </w:p>
    <w:p w14:paraId="2F81538B" w14:textId="77777777" w:rsidR="00810FD6" w:rsidRPr="00810FD6" w:rsidRDefault="00810FD6" w:rsidP="003A4DEE">
      <w:pPr>
        <w:tabs>
          <w:tab w:val="left" w:pos="567"/>
        </w:tabs>
        <w:spacing w:line="360" w:lineRule="auto"/>
        <w:contextualSpacing/>
        <w:jc w:val="both"/>
        <w:rPr>
          <w:rFonts w:ascii="Palatino Linotype" w:eastAsiaTheme="minorHAnsi" w:hAnsi="Palatino Linotype" w:cs="Tahoma"/>
          <w:color w:val="000000" w:themeColor="text1"/>
          <w:sz w:val="22"/>
          <w:szCs w:val="22"/>
          <w:lang w:eastAsia="en-US"/>
        </w:rPr>
      </w:pPr>
    </w:p>
    <w:p w14:paraId="0F6ED09E" w14:textId="77777777" w:rsidR="00810FD6" w:rsidRPr="00810FD6" w:rsidRDefault="00810FD6" w:rsidP="003A4DEE">
      <w:pPr>
        <w:spacing w:line="360" w:lineRule="auto"/>
        <w:ind w:left="567" w:right="567"/>
        <w:contextualSpacing/>
        <w:jc w:val="both"/>
        <w:rPr>
          <w:rFonts w:ascii="Palatino Linotype" w:eastAsiaTheme="minorHAnsi" w:hAnsi="Palatino Linotype" w:cstheme="minorBidi"/>
          <w:i/>
          <w:iCs/>
          <w:color w:val="000000" w:themeColor="text1"/>
          <w:lang w:eastAsia="en-US"/>
        </w:rPr>
      </w:pPr>
      <w:r w:rsidRPr="00810FD6">
        <w:rPr>
          <w:rFonts w:ascii="Palatino Linotype" w:eastAsiaTheme="minorHAnsi" w:hAnsi="Palatino Linotype" w:cstheme="minorBidi"/>
          <w:i/>
          <w:iCs/>
          <w:color w:val="000000" w:themeColor="text1"/>
          <w:lang w:eastAsia="en-US"/>
        </w:rPr>
        <w:t>“…</w:t>
      </w:r>
    </w:p>
    <w:p w14:paraId="2945FE10" w14:textId="77777777" w:rsidR="00810FD6" w:rsidRPr="00810FD6" w:rsidRDefault="00810FD6" w:rsidP="003A4DEE">
      <w:pPr>
        <w:widowControl w:val="0"/>
        <w:spacing w:line="360" w:lineRule="auto"/>
        <w:ind w:left="567" w:right="567"/>
        <w:contextualSpacing/>
        <w:jc w:val="both"/>
        <w:rPr>
          <w:rFonts w:ascii="Palatino Linotype" w:eastAsiaTheme="minorHAnsi" w:hAnsi="Palatino Linotype" w:cstheme="minorBidi"/>
          <w:i/>
          <w:iCs/>
          <w:color w:val="000000" w:themeColor="text1"/>
          <w:lang w:eastAsia="en-US"/>
        </w:rPr>
      </w:pPr>
      <w:r w:rsidRPr="00810FD6">
        <w:rPr>
          <w:rFonts w:ascii="Palatino Linotype" w:eastAsiaTheme="minorHAnsi" w:hAnsi="Palatino Linotype" w:cstheme="minorBidi"/>
          <w:i/>
          <w:iCs/>
          <w:color w:val="000000" w:themeColor="text1"/>
          <w:lang w:eastAsia="en-US"/>
        </w:rPr>
        <w:t xml:space="preserve">Con el fin de darle una oportuna respuesta al hoy recurrente se le informa que este Sujeto Obligado con el fin de llevar a cabo los temas de Transparencia de los años 2021 y 2022, de conformidad con el artículo 58 de la Ley de Transparencia y Acceso a la Información Pública del Estado de México y Municipios, los Servidores Públicos Habilitados serán designados por el Titular del Sujeto Obligado o bien a propuesta del Titular de la Unidad de Transparencia, por tal motivo dichos Servidores </w:t>
      </w:r>
      <w:r w:rsidRPr="00810FD6">
        <w:rPr>
          <w:rFonts w:ascii="Palatino Linotype" w:eastAsiaTheme="minorHAnsi" w:hAnsi="Palatino Linotype" w:cstheme="minorBidi"/>
          <w:i/>
          <w:iCs/>
          <w:color w:val="000000" w:themeColor="text1"/>
          <w:lang w:eastAsia="en-US"/>
        </w:rPr>
        <w:lastRenderedPageBreak/>
        <w:t>Públicos serán los directores de cada una de las áreas que conforman el Ayuntamiento de Zinacantepec, mismos que fungirán como los enlaces de Transparencia…”</w:t>
      </w:r>
    </w:p>
    <w:p w14:paraId="7D307C48" w14:textId="77777777" w:rsidR="00810FD6" w:rsidRPr="00810FD6" w:rsidRDefault="00810FD6" w:rsidP="003A4DEE">
      <w:pPr>
        <w:spacing w:line="360" w:lineRule="auto"/>
        <w:contextualSpacing/>
        <w:jc w:val="both"/>
        <w:rPr>
          <w:rFonts w:ascii="Palatino Linotype" w:hAnsi="Palatino Linotype" w:cs="Tahoma"/>
          <w:b/>
          <w:sz w:val="22"/>
          <w:szCs w:val="24"/>
        </w:rPr>
      </w:pPr>
    </w:p>
    <w:p w14:paraId="12FA18BB" w14:textId="2A8DD7B9" w:rsidR="003A4DEE" w:rsidRDefault="00810FD6" w:rsidP="003A4DEE">
      <w:pPr>
        <w:spacing w:line="360" w:lineRule="auto"/>
        <w:jc w:val="both"/>
        <w:rPr>
          <w:rFonts w:ascii="Palatino Linotype" w:eastAsia="Palatino Linotype" w:hAnsi="Palatino Linotype" w:cs="Palatino Linotype"/>
          <w:b/>
          <w:bCs/>
          <w:sz w:val="22"/>
          <w:szCs w:val="22"/>
          <w:lang w:val="es-ES" w:eastAsia="es-MX"/>
        </w:rPr>
      </w:pPr>
      <w:r w:rsidRPr="00810FD6">
        <w:rPr>
          <w:rFonts w:ascii="Palatino Linotype" w:hAnsi="Palatino Linotype" w:cs="Tahoma"/>
          <w:b/>
          <w:sz w:val="22"/>
          <w:szCs w:val="24"/>
        </w:rPr>
        <w:t xml:space="preserve">d) </w:t>
      </w:r>
      <w:r w:rsidR="003A4DEE" w:rsidRPr="00D67A5F">
        <w:rPr>
          <w:rFonts w:ascii="Palatino Linotype" w:hAnsi="Palatino Linotype" w:cs="Tahoma"/>
          <w:b/>
          <w:sz w:val="22"/>
          <w:szCs w:val="24"/>
        </w:rPr>
        <w:t>Vista del Informe Justificado:</w:t>
      </w:r>
      <w:r w:rsidR="003A4DEE" w:rsidRPr="00D67A5F">
        <w:rPr>
          <w:rFonts w:ascii="Palatino Linotype" w:hAnsi="Palatino Linotype" w:cs="Tahoma"/>
          <w:bCs/>
          <w:sz w:val="22"/>
          <w:szCs w:val="24"/>
        </w:rPr>
        <w:t xml:space="preserve"> </w:t>
      </w:r>
      <w:r w:rsidR="003A4DEE" w:rsidRPr="00D67A5F">
        <w:rPr>
          <w:rFonts w:ascii="Palatino Linotype" w:eastAsia="Calibri" w:hAnsi="Palatino Linotype"/>
          <w:color w:val="000000" w:themeColor="text1"/>
          <w:sz w:val="22"/>
          <w:szCs w:val="22"/>
          <w:lang w:eastAsia="en-US"/>
        </w:rPr>
        <w:t xml:space="preserve">El </w:t>
      </w:r>
      <w:r w:rsidR="003A4DEE">
        <w:rPr>
          <w:rFonts w:ascii="Palatino Linotype" w:eastAsia="Calibri" w:hAnsi="Palatino Linotype"/>
          <w:color w:val="000000" w:themeColor="text1"/>
          <w:sz w:val="22"/>
          <w:szCs w:val="22"/>
          <w:lang w:eastAsia="en-US"/>
        </w:rPr>
        <w:t>siete de febrero de dos mil veintitrés</w:t>
      </w:r>
      <w:r w:rsidR="003A4DEE" w:rsidRPr="00D67A5F">
        <w:rPr>
          <w:rFonts w:ascii="Palatino Linotype" w:eastAsia="Calibri" w:hAnsi="Palatino Linotype"/>
          <w:color w:val="000000" w:themeColor="text1"/>
          <w:sz w:val="22"/>
          <w:szCs w:val="22"/>
          <w:lang w:eastAsia="en-US"/>
        </w:rPr>
        <w:t xml:space="preserve">, se dictó el acuerdo mediante el cual </w:t>
      </w:r>
      <w:r w:rsidR="003A4DEE" w:rsidRPr="00D67A5F">
        <w:rPr>
          <w:rFonts w:ascii="Palatino Linotype" w:eastAsia="Calibri" w:hAnsi="Palatino Linotype"/>
          <w:b/>
          <w:color w:val="000000" w:themeColor="text1"/>
          <w:sz w:val="22"/>
          <w:szCs w:val="22"/>
          <w:lang w:eastAsia="en-US"/>
        </w:rPr>
        <w:t>se puso a la vista del Particular el Informe Justificado,</w:t>
      </w:r>
      <w:r w:rsidR="003A4DEE" w:rsidRPr="00D67A5F">
        <w:rPr>
          <w:rFonts w:ascii="Palatino Linotype" w:eastAsia="Calibri" w:hAnsi="Palatino Linotype"/>
          <w:color w:val="000000" w:themeColor="text1"/>
          <w:sz w:val="22"/>
          <w:szCs w:val="22"/>
          <w:lang w:eastAsia="en-US"/>
        </w:rPr>
        <w:t xml:space="preserve"> entregado por el Sujeto Obligado, por aclarar la respuesta inicial, el cual fue notificado a las partes, a través del Sistema de Acceso a la Información Mexiquense (SAIMEX), el mismo día de mes y año. </w:t>
      </w:r>
      <w:r w:rsidR="003A4DEE" w:rsidRPr="00D67A5F">
        <w:rPr>
          <w:rFonts w:ascii="Palatino Linotype" w:eastAsia="Calibri" w:hAnsi="Palatino Linotype"/>
          <w:b/>
          <w:bCs/>
          <w:color w:val="000000" w:themeColor="text1"/>
          <w:sz w:val="22"/>
          <w:szCs w:val="22"/>
          <w:lang w:eastAsia="en-US"/>
        </w:rPr>
        <w:t>Cabe señalar que el Recurrente, fue omiso en realizar alguna manifestación que a su derecho conviniera y asistiera.</w:t>
      </w:r>
    </w:p>
    <w:p w14:paraId="3FB1619A" w14:textId="77777777" w:rsidR="003A4DEE" w:rsidRDefault="003A4DEE" w:rsidP="003A4DEE">
      <w:pPr>
        <w:spacing w:line="360" w:lineRule="auto"/>
        <w:contextualSpacing/>
        <w:jc w:val="both"/>
        <w:rPr>
          <w:rFonts w:ascii="Palatino Linotype" w:hAnsi="Palatino Linotype" w:cs="Tahoma"/>
          <w:b/>
          <w:sz w:val="22"/>
          <w:szCs w:val="24"/>
        </w:rPr>
      </w:pPr>
    </w:p>
    <w:p w14:paraId="481CD981" w14:textId="1E999DCA" w:rsidR="00810FD6" w:rsidRPr="00810FD6" w:rsidRDefault="003A4DEE" w:rsidP="003A4DEE">
      <w:pPr>
        <w:spacing w:line="360" w:lineRule="auto"/>
        <w:contextualSpacing/>
        <w:jc w:val="both"/>
        <w:rPr>
          <w:rFonts w:ascii="Palatino Linotype" w:eastAsiaTheme="minorHAnsi" w:hAnsi="Palatino Linotype" w:cs="Tahoma"/>
          <w:color w:val="0D0D0D" w:themeColor="text1" w:themeTint="F2"/>
          <w:sz w:val="22"/>
          <w:szCs w:val="22"/>
          <w:lang w:eastAsia="en-US"/>
        </w:rPr>
      </w:pPr>
      <w:r>
        <w:rPr>
          <w:rFonts w:ascii="Palatino Linotype" w:eastAsia="Palatino Linotype" w:hAnsi="Palatino Linotype" w:cs="Palatino Linotype"/>
          <w:b/>
          <w:bCs/>
          <w:sz w:val="22"/>
          <w:szCs w:val="22"/>
          <w:lang w:val="es-ES" w:eastAsia="es-MX"/>
        </w:rPr>
        <w:t xml:space="preserve">e) </w:t>
      </w:r>
      <w:r w:rsidR="00810FD6" w:rsidRPr="00810FD6">
        <w:rPr>
          <w:rFonts w:ascii="Palatino Linotype" w:eastAsia="Palatino Linotype" w:hAnsi="Palatino Linotype" w:cs="Palatino Linotype"/>
          <w:b/>
          <w:bCs/>
          <w:color w:val="000000" w:themeColor="text1"/>
          <w:sz w:val="22"/>
          <w:szCs w:val="22"/>
          <w:lang w:val="es-ES" w:eastAsia="en-US"/>
        </w:rPr>
        <w:t xml:space="preserve">Ampliación de plazo para resolver. </w:t>
      </w:r>
      <w:r w:rsidR="00810FD6" w:rsidRPr="00810FD6">
        <w:rPr>
          <w:rFonts w:ascii="Palatino Linotype" w:eastAsia="Palatino Linotype" w:hAnsi="Palatino Linotype" w:cs="Palatino Linotype"/>
          <w:color w:val="000000" w:themeColor="text1"/>
          <w:sz w:val="22"/>
          <w:szCs w:val="22"/>
          <w:lang w:val="es-ES" w:eastAsia="en-US"/>
        </w:rPr>
        <w:t>El veinticuatro de febrero de dos mil veintitrés, el Comisionado Ponente, con fundamento en lo dispuesto por el artículo 181, párrafo tercero, de la Ley de Transparencia y Acceso a la Información Pública del Estado de México y Municipios, acordó ampliar el plazo para resolver el Recurso de Revisión que nos ocupa; acto que fue notificado a las partes, mediante el Sistema de Acceso a la Información Mexiquense (SAIMEX).</w:t>
      </w:r>
    </w:p>
    <w:p w14:paraId="15D113BD" w14:textId="77777777" w:rsidR="00810FD6" w:rsidRPr="00810FD6" w:rsidRDefault="00810FD6" w:rsidP="003A4DEE">
      <w:pPr>
        <w:spacing w:line="360" w:lineRule="auto"/>
        <w:ind w:right="-28"/>
        <w:contextualSpacing/>
        <w:jc w:val="both"/>
        <w:rPr>
          <w:rFonts w:ascii="Palatino Linotype" w:eastAsia="Calibri" w:hAnsi="Palatino Linotype" w:cs="Tahoma"/>
          <w:bCs/>
          <w:sz w:val="22"/>
          <w:szCs w:val="22"/>
          <w:lang w:eastAsia="en-US"/>
        </w:rPr>
      </w:pPr>
    </w:p>
    <w:p w14:paraId="7AB45A94" w14:textId="31B2D9BA" w:rsidR="00810FD6" w:rsidRPr="00810FD6" w:rsidRDefault="003A4DEE" w:rsidP="003A4DEE">
      <w:pPr>
        <w:widowControl w:val="0"/>
        <w:spacing w:line="360" w:lineRule="auto"/>
        <w:contextualSpacing/>
        <w:jc w:val="both"/>
        <w:rPr>
          <w:rFonts w:ascii="Palatino Linotype" w:hAnsi="Palatino Linotype" w:cs="Tahoma"/>
          <w:sz w:val="22"/>
          <w:szCs w:val="22"/>
        </w:rPr>
      </w:pPr>
      <w:r>
        <w:rPr>
          <w:rFonts w:ascii="Palatino Linotype" w:hAnsi="Palatino Linotype" w:cs="Tahoma"/>
          <w:b/>
          <w:sz w:val="22"/>
          <w:szCs w:val="22"/>
        </w:rPr>
        <w:t>f</w:t>
      </w:r>
      <w:r w:rsidR="00810FD6" w:rsidRPr="00810FD6">
        <w:rPr>
          <w:rFonts w:ascii="Palatino Linotype" w:hAnsi="Palatino Linotype" w:cs="Tahoma"/>
          <w:b/>
          <w:sz w:val="22"/>
          <w:szCs w:val="22"/>
        </w:rPr>
        <w:t>) Cierre de instrucción.</w:t>
      </w:r>
      <w:r w:rsidR="00810FD6" w:rsidRPr="00810FD6">
        <w:rPr>
          <w:rFonts w:ascii="Palatino Linotype" w:hAnsi="Palatino Linotype" w:cs="Tahoma"/>
          <w:sz w:val="22"/>
          <w:szCs w:val="22"/>
        </w:rPr>
        <w:t xml:space="preserve"> El veintiocho de febrero de dos mil veintitrés, al no existir diligencias pendientes por desahogar, se emitió el acuerdo por medio del cual se declaró cerrada la instrucción y se determinó pasar los expedientes a resolución, en términos de lo dispuesto en los artículos 185, fracciones VI y VIII, de la Ley de Transparencia y Acceso a la Información Pública del Estado de México y Municipios, mismo que fue notificado a las partes el mismo día, a través del </w:t>
      </w:r>
      <w:r w:rsidR="00810FD6" w:rsidRPr="00810FD6">
        <w:rPr>
          <w:rFonts w:ascii="Palatino Linotype" w:hAnsi="Palatino Linotype" w:cs="Tahoma"/>
          <w:sz w:val="22"/>
          <w:szCs w:val="22"/>
          <w:lang w:val="es-ES"/>
        </w:rPr>
        <w:t>Sistema de Acceso a la Información Mexiquense (SAIMEX)</w:t>
      </w:r>
      <w:r w:rsidR="00810FD6" w:rsidRPr="00810FD6">
        <w:rPr>
          <w:rFonts w:ascii="Palatino Linotype" w:hAnsi="Palatino Linotype" w:cs="Tahoma"/>
          <w:sz w:val="22"/>
          <w:szCs w:val="22"/>
        </w:rPr>
        <w:t xml:space="preserve">. </w:t>
      </w:r>
    </w:p>
    <w:p w14:paraId="61A67532" w14:textId="49EAE764" w:rsidR="00C10C6B" w:rsidRDefault="00C10C6B" w:rsidP="003A4DEE">
      <w:pPr>
        <w:spacing w:line="360" w:lineRule="auto"/>
        <w:ind w:right="-28"/>
        <w:contextualSpacing/>
        <w:jc w:val="both"/>
        <w:rPr>
          <w:rFonts w:ascii="Palatino Linotype" w:eastAsia="Batang" w:hAnsi="Palatino Linotype" w:cs="Tahoma"/>
          <w:bCs/>
          <w:sz w:val="22"/>
          <w:szCs w:val="22"/>
        </w:rPr>
      </w:pPr>
    </w:p>
    <w:p w14:paraId="62FD16AA" w14:textId="625EB78D" w:rsidR="00C10C6B" w:rsidRDefault="00C10C6B" w:rsidP="003A4DEE">
      <w:pPr>
        <w:spacing w:line="360" w:lineRule="auto"/>
        <w:contextualSpacing/>
        <w:jc w:val="both"/>
        <w:rPr>
          <w:rFonts w:ascii="Palatino Linotype" w:hAnsi="Palatino Linotype" w:cs="Tahoma"/>
          <w:bCs/>
          <w:sz w:val="22"/>
          <w:szCs w:val="22"/>
        </w:rPr>
      </w:pPr>
      <w:r>
        <w:rPr>
          <w:rFonts w:ascii="Palatino Linotype" w:eastAsia="Batang" w:hAnsi="Palatino Linotype" w:cs="Tahoma"/>
          <w:b/>
          <w:sz w:val="22"/>
          <w:szCs w:val="22"/>
        </w:rPr>
        <w:t>f</w:t>
      </w:r>
      <w:r w:rsidRPr="00926AD1">
        <w:rPr>
          <w:rFonts w:ascii="Palatino Linotype" w:eastAsia="Batang" w:hAnsi="Palatino Linotype" w:cs="Tahoma"/>
          <w:b/>
          <w:sz w:val="22"/>
          <w:szCs w:val="22"/>
        </w:rPr>
        <w:t>)</w:t>
      </w:r>
      <w:r w:rsidRPr="00926AD1">
        <w:rPr>
          <w:rFonts w:ascii="Palatino Linotype" w:hAnsi="Palatino Linotype" w:cs="Tahoma"/>
          <w:b/>
          <w:bCs/>
          <w:sz w:val="22"/>
          <w:szCs w:val="22"/>
        </w:rPr>
        <w:t xml:space="preserve"> Resolución del Recurso de Revisión. </w:t>
      </w:r>
      <w:r w:rsidRPr="00926AD1">
        <w:rPr>
          <w:rFonts w:ascii="Palatino Linotype" w:hAnsi="Palatino Linotype" w:cs="Tahoma"/>
          <w:bCs/>
          <w:sz w:val="22"/>
          <w:szCs w:val="22"/>
        </w:rPr>
        <w:t xml:space="preserve">El </w:t>
      </w:r>
      <w:r w:rsidR="003A4DEE">
        <w:rPr>
          <w:rFonts w:ascii="Palatino Linotype" w:hAnsi="Palatino Linotype" w:cs="Tahoma"/>
          <w:bCs/>
          <w:sz w:val="22"/>
          <w:szCs w:val="22"/>
        </w:rPr>
        <w:t>ocho de marzo</w:t>
      </w:r>
      <w:r w:rsidR="004218D2">
        <w:rPr>
          <w:rFonts w:ascii="Palatino Linotype" w:hAnsi="Palatino Linotype" w:cs="Tahoma"/>
          <w:bCs/>
          <w:sz w:val="22"/>
          <w:szCs w:val="22"/>
        </w:rPr>
        <w:t xml:space="preserve"> </w:t>
      </w:r>
      <w:r>
        <w:rPr>
          <w:rFonts w:ascii="Palatino Linotype" w:hAnsi="Palatino Linotype" w:cs="Tahoma"/>
          <w:bCs/>
          <w:sz w:val="22"/>
          <w:szCs w:val="22"/>
        </w:rPr>
        <w:t>de dos mil veintitrés</w:t>
      </w:r>
      <w:r w:rsidRPr="00926AD1">
        <w:rPr>
          <w:rFonts w:ascii="Palatino Linotype" w:hAnsi="Palatino Linotype" w:cs="Tahoma"/>
          <w:bCs/>
          <w:sz w:val="22"/>
          <w:szCs w:val="22"/>
        </w:rPr>
        <w:t xml:space="preserve">, el Pleno del Instituto de Transparencia, Accesos la Información Pública y Protección de Datos Personales del Estado de México y Municipios, durante la </w:t>
      </w:r>
      <w:r w:rsidR="003A4DEE">
        <w:rPr>
          <w:rFonts w:ascii="Palatino Linotype" w:hAnsi="Palatino Linotype" w:cs="Tahoma"/>
          <w:bCs/>
          <w:sz w:val="22"/>
          <w:szCs w:val="22"/>
        </w:rPr>
        <w:t>Novena</w:t>
      </w:r>
      <w:r w:rsidR="004218D2">
        <w:rPr>
          <w:rFonts w:ascii="Palatino Linotype" w:hAnsi="Palatino Linotype" w:cs="Tahoma"/>
          <w:bCs/>
          <w:sz w:val="22"/>
          <w:szCs w:val="22"/>
        </w:rPr>
        <w:t xml:space="preserve"> </w:t>
      </w:r>
      <w:r>
        <w:rPr>
          <w:rFonts w:ascii="Palatino Linotype" w:hAnsi="Palatino Linotype" w:cs="Tahoma"/>
          <w:bCs/>
          <w:sz w:val="22"/>
          <w:szCs w:val="22"/>
        </w:rPr>
        <w:t>Sesión</w:t>
      </w:r>
      <w:r w:rsidRPr="00926AD1">
        <w:rPr>
          <w:rFonts w:ascii="Palatino Linotype" w:hAnsi="Palatino Linotype" w:cs="Tahoma"/>
          <w:bCs/>
          <w:sz w:val="22"/>
          <w:szCs w:val="22"/>
        </w:rPr>
        <w:t xml:space="preserve"> Ordinaria, aprobó la Resolución del Recurso de Revisión, en la cual se determinó lo siguiente:</w:t>
      </w:r>
    </w:p>
    <w:p w14:paraId="779C33F6" w14:textId="3E824CAB" w:rsidR="00C10C6B" w:rsidRDefault="00C10C6B" w:rsidP="003A4DEE">
      <w:pPr>
        <w:spacing w:line="360" w:lineRule="auto"/>
        <w:contextualSpacing/>
        <w:jc w:val="both"/>
        <w:rPr>
          <w:rFonts w:ascii="Palatino Linotype" w:hAnsi="Palatino Linotype" w:cs="Tahoma"/>
          <w:bCs/>
          <w:sz w:val="22"/>
          <w:szCs w:val="22"/>
        </w:rPr>
      </w:pPr>
    </w:p>
    <w:p w14:paraId="60EFC216" w14:textId="76280DDC" w:rsidR="002F0BF0" w:rsidRPr="002F0BF0" w:rsidRDefault="0055029A" w:rsidP="003A4DEE">
      <w:pPr>
        <w:spacing w:line="360" w:lineRule="auto"/>
        <w:ind w:left="567" w:right="567"/>
        <w:contextualSpacing/>
        <w:jc w:val="both"/>
        <w:rPr>
          <w:rFonts w:ascii="Palatino Linotype" w:hAnsi="Palatino Linotype"/>
          <w:i/>
          <w:iCs/>
        </w:rPr>
      </w:pPr>
      <w:r>
        <w:rPr>
          <w:rFonts w:ascii="Palatino Linotype" w:hAnsi="Palatino Linotype"/>
          <w:b/>
          <w:bCs/>
          <w:i/>
          <w:iCs/>
        </w:rPr>
        <w:lastRenderedPageBreak/>
        <w:t>“</w:t>
      </w:r>
      <w:r w:rsidR="002F0BF0" w:rsidRPr="002F0BF0">
        <w:rPr>
          <w:rFonts w:ascii="Palatino Linotype" w:hAnsi="Palatino Linotype"/>
          <w:b/>
          <w:bCs/>
          <w:i/>
          <w:iCs/>
        </w:rPr>
        <w:t xml:space="preserve">PRIMERO. </w:t>
      </w:r>
      <w:r w:rsidR="002F0BF0" w:rsidRPr="002F0BF0">
        <w:rPr>
          <w:rFonts w:ascii="Palatino Linotype" w:hAnsi="Palatino Linotype"/>
          <w:i/>
          <w:iCs/>
        </w:rPr>
        <w:t xml:space="preserve">Resultan </w:t>
      </w:r>
      <w:r w:rsidR="002F0BF0" w:rsidRPr="002F0BF0">
        <w:rPr>
          <w:rFonts w:ascii="Palatino Linotype" w:hAnsi="Palatino Linotype"/>
          <w:b/>
          <w:bCs/>
          <w:i/>
          <w:iCs/>
        </w:rPr>
        <w:t>FUNDADAS</w:t>
      </w:r>
      <w:r w:rsidR="002F0BF0" w:rsidRPr="002F0BF0">
        <w:rPr>
          <w:rFonts w:ascii="Palatino Linotype" w:hAnsi="Palatino Linotype"/>
          <w:i/>
          <w:iCs/>
        </w:rPr>
        <w:t xml:space="preserve"> las razones o motivos de inconformidad hechos valer por el Recurrente, en el Medio de Impugnación con número </w:t>
      </w:r>
      <w:r w:rsidR="00810FD6">
        <w:rPr>
          <w:rFonts w:ascii="Palatino Linotype" w:hAnsi="Palatino Linotype"/>
          <w:b/>
          <w:bCs/>
          <w:i/>
          <w:iCs/>
        </w:rPr>
        <w:t>17571</w:t>
      </w:r>
      <w:r w:rsidR="002F0BF0" w:rsidRPr="002F0BF0">
        <w:rPr>
          <w:rFonts w:ascii="Palatino Linotype" w:hAnsi="Palatino Linotype"/>
          <w:b/>
          <w:bCs/>
          <w:i/>
          <w:iCs/>
        </w:rPr>
        <w:t>/INFOEM/IP/RR/2022</w:t>
      </w:r>
      <w:r w:rsidR="002F0BF0" w:rsidRPr="002F0BF0">
        <w:rPr>
          <w:rFonts w:ascii="Palatino Linotype" w:hAnsi="Palatino Linotype"/>
          <w:i/>
          <w:iCs/>
        </w:rPr>
        <w:t>, en términos de los Considerando QUINTO y SEXTO de la presente Resolución.</w:t>
      </w:r>
    </w:p>
    <w:p w14:paraId="68F5A5AD" w14:textId="77777777" w:rsidR="002F0BF0" w:rsidRPr="002F0BF0" w:rsidRDefault="002F0BF0" w:rsidP="003A4DEE">
      <w:pPr>
        <w:spacing w:line="360" w:lineRule="auto"/>
        <w:ind w:left="567" w:right="567"/>
        <w:contextualSpacing/>
        <w:jc w:val="both"/>
        <w:rPr>
          <w:rFonts w:ascii="Palatino Linotype" w:hAnsi="Palatino Linotype"/>
          <w:b/>
          <w:bCs/>
          <w:i/>
          <w:iCs/>
        </w:rPr>
      </w:pPr>
    </w:p>
    <w:p w14:paraId="67628627" w14:textId="77777777" w:rsidR="003A4DEE" w:rsidRPr="003A4DEE" w:rsidRDefault="003A4DEE" w:rsidP="003A4DEE">
      <w:pPr>
        <w:spacing w:line="360" w:lineRule="auto"/>
        <w:ind w:left="567" w:right="567"/>
        <w:contextualSpacing/>
        <w:jc w:val="both"/>
        <w:rPr>
          <w:rFonts w:ascii="Palatino Linotype" w:hAnsi="Palatino Linotype"/>
          <w:b/>
          <w:bCs/>
          <w:i/>
          <w:iCs/>
          <w:lang w:val="es-ES"/>
        </w:rPr>
      </w:pPr>
      <w:r w:rsidRPr="003A4DEE">
        <w:rPr>
          <w:rFonts w:ascii="Palatino Linotype" w:hAnsi="Palatino Linotype"/>
          <w:b/>
          <w:bCs/>
          <w:i/>
          <w:iCs/>
        </w:rPr>
        <w:t xml:space="preserve">SEGUNDO. </w:t>
      </w:r>
      <w:r w:rsidRPr="003A4DEE">
        <w:rPr>
          <w:rFonts w:ascii="Palatino Linotype" w:hAnsi="Palatino Linotype"/>
          <w:i/>
          <w:iCs/>
        </w:rPr>
        <w:t xml:space="preserve">Se </w:t>
      </w:r>
      <w:r w:rsidRPr="003A4DEE">
        <w:rPr>
          <w:rFonts w:ascii="Palatino Linotype" w:hAnsi="Palatino Linotype"/>
          <w:b/>
          <w:bCs/>
          <w:i/>
          <w:iCs/>
        </w:rPr>
        <w:t xml:space="preserve">ORDENA </w:t>
      </w:r>
      <w:r w:rsidRPr="003A4DEE">
        <w:rPr>
          <w:rFonts w:ascii="Palatino Linotype" w:hAnsi="Palatino Linotype"/>
          <w:i/>
          <w:iCs/>
        </w:rPr>
        <w:t xml:space="preserve">al Sujeto Obligado, a efecto de que, previa búsqueda exhaustiva y razonable, en las unidades administrativas competentes, entregue a través del </w:t>
      </w:r>
      <w:r w:rsidRPr="003A4DEE">
        <w:rPr>
          <w:rFonts w:ascii="Palatino Linotype" w:hAnsi="Palatino Linotype"/>
          <w:i/>
          <w:iCs/>
          <w:lang w:val="es-ES"/>
        </w:rPr>
        <w:t>Sistema de Acceso a la Información Mexiquense (SAIMEX), en su caso, en versión pública, los documentos donde conste lo siguiente:</w:t>
      </w:r>
    </w:p>
    <w:p w14:paraId="49C18432" w14:textId="77777777" w:rsidR="003A4DEE" w:rsidRPr="003A4DEE" w:rsidRDefault="003A4DEE" w:rsidP="003A4DEE">
      <w:pPr>
        <w:spacing w:line="360" w:lineRule="auto"/>
        <w:ind w:left="567" w:right="567"/>
        <w:contextualSpacing/>
        <w:jc w:val="both"/>
        <w:rPr>
          <w:rFonts w:ascii="Palatino Linotype" w:hAnsi="Palatino Linotype"/>
          <w:b/>
          <w:bCs/>
          <w:i/>
          <w:iCs/>
          <w:lang w:val="es-ES"/>
        </w:rPr>
      </w:pPr>
    </w:p>
    <w:p w14:paraId="1FF95FF0" w14:textId="77777777" w:rsidR="003A4DEE" w:rsidRPr="003A4DEE" w:rsidRDefault="003A4DEE" w:rsidP="003A4DEE">
      <w:pPr>
        <w:pStyle w:val="Prrafodelista"/>
        <w:numPr>
          <w:ilvl w:val="0"/>
          <w:numId w:val="22"/>
        </w:numPr>
        <w:spacing w:line="360" w:lineRule="auto"/>
        <w:ind w:right="567"/>
        <w:jc w:val="both"/>
        <w:rPr>
          <w:rFonts w:ascii="Palatino Linotype" w:hAnsi="Palatino Linotype"/>
          <w:i/>
          <w:iCs/>
          <w:sz w:val="20"/>
          <w:szCs w:val="22"/>
        </w:rPr>
      </w:pPr>
      <w:r w:rsidRPr="003A4DEE">
        <w:rPr>
          <w:rFonts w:ascii="Palatino Linotype" w:hAnsi="Palatino Linotype"/>
          <w:i/>
          <w:iCs/>
          <w:sz w:val="20"/>
          <w:szCs w:val="22"/>
        </w:rPr>
        <w:t>La designación de los Servidores Públicos Habilitados y Enlaces de Transparencia, del primero de enero de dos mil veintiuno al dieciocho de noviembre de dos mil veintidós.</w:t>
      </w:r>
    </w:p>
    <w:p w14:paraId="3CE231A3" w14:textId="77777777" w:rsidR="003A4DEE" w:rsidRPr="003A4DEE" w:rsidRDefault="003A4DEE" w:rsidP="003A4DEE">
      <w:pPr>
        <w:spacing w:line="360" w:lineRule="auto"/>
        <w:ind w:left="567" w:right="567"/>
        <w:contextualSpacing/>
        <w:jc w:val="both"/>
        <w:rPr>
          <w:rFonts w:ascii="Palatino Linotype" w:hAnsi="Palatino Linotype"/>
          <w:b/>
          <w:bCs/>
          <w:i/>
          <w:iCs/>
        </w:rPr>
      </w:pPr>
    </w:p>
    <w:p w14:paraId="4C96FD93" w14:textId="77777777" w:rsidR="003A4DEE" w:rsidRPr="003A4DEE" w:rsidRDefault="003A4DEE" w:rsidP="003A4DEE">
      <w:pPr>
        <w:spacing w:line="360" w:lineRule="auto"/>
        <w:ind w:left="567" w:right="567"/>
        <w:contextualSpacing/>
        <w:jc w:val="both"/>
        <w:rPr>
          <w:rFonts w:ascii="Palatino Linotype" w:hAnsi="Palatino Linotype"/>
          <w:i/>
          <w:iCs/>
          <w:lang w:val="es-ES"/>
        </w:rPr>
      </w:pPr>
      <w:r w:rsidRPr="003A4DEE">
        <w:rPr>
          <w:rFonts w:ascii="Palatino Linotype" w:hAnsi="Palatino Linotype"/>
          <w:i/>
          <w:iCs/>
          <w:lang w:val="es-ES"/>
        </w:rPr>
        <w:t>Además, de ser necesario, deberá proporcionar el Acuerdo de Clasificación donde el Comité de Transparencia, confirme la eliminación de los datos, en la versión pública, de conformidad con los artículos 49, fracciones II y VIII y 132, fracción II de la Ley de Transparencia y Acceso a la Información Pública del Estado de México y Municipios.</w:t>
      </w:r>
    </w:p>
    <w:p w14:paraId="08C63CDC" w14:textId="77777777" w:rsidR="002F0BF0" w:rsidRPr="002F0BF0" w:rsidRDefault="002F0BF0" w:rsidP="003A4DEE">
      <w:pPr>
        <w:spacing w:line="360" w:lineRule="auto"/>
        <w:ind w:left="567" w:right="567"/>
        <w:contextualSpacing/>
        <w:jc w:val="both"/>
        <w:rPr>
          <w:rFonts w:ascii="Palatino Linotype" w:hAnsi="Palatino Linotype"/>
          <w:b/>
          <w:bCs/>
          <w:i/>
          <w:iCs/>
        </w:rPr>
      </w:pPr>
    </w:p>
    <w:p w14:paraId="68ACA464" w14:textId="77777777" w:rsidR="002F0BF0" w:rsidRDefault="002F0BF0" w:rsidP="003A4DEE">
      <w:pPr>
        <w:spacing w:line="360" w:lineRule="auto"/>
        <w:ind w:left="567" w:right="567"/>
        <w:contextualSpacing/>
        <w:jc w:val="both"/>
        <w:rPr>
          <w:rFonts w:ascii="Palatino Linotype" w:hAnsi="Palatino Linotype"/>
          <w:i/>
          <w:iCs/>
        </w:rPr>
      </w:pPr>
      <w:r w:rsidRPr="002F0BF0">
        <w:rPr>
          <w:rFonts w:ascii="Palatino Linotype" w:hAnsi="Palatino Linotype"/>
          <w:b/>
          <w:bCs/>
          <w:i/>
          <w:iCs/>
        </w:rPr>
        <w:t xml:space="preserve">TERCERO. </w:t>
      </w:r>
      <w:r w:rsidRPr="002F0BF0">
        <w:rPr>
          <w:rFonts w:ascii="Palatino Linotype" w:hAnsi="Palatino Linotype"/>
          <w:i/>
          <w:iCs/>
        </w:rPr>
        <w:t>Con fundamento en el artículo 179, párrafo segundo, de la Ley de Transparencia y Acceso a la Información Pública del Estado de México y Municipios, se hace del conocimiento del Recurrente que tiene derecho a interponer nuevamente Recurso de Revisión ante este Instituto, por la respuesta que dé el Sujetos Obligado, en cumplimiento a esta Resolución</w:t>
      </w:r>
    </w:p>
    <w:p w14:paraId="43A3995F" w14:textId="7B3CDB0E" w:rsidR="0055029A" w:rsidRPr="00C10C6B" w:rsidRDefault="0055029A" w:rsidP="003A4DEE">
      <w:pPr>
        <w:spacing w:line="360" w:lineRule="auto"/>
        <w:ind w:left="567" w:right="567"/>
        <w:contextualSpacing/>
        <w:jc w:val="both"/>
        <w:rPr>
          <w:rFonts w:ascii="Palatino Linotype" w:hAnsi="Palatino Linotype"/>
          <w:i/>
          <w:iCs/>
        </w:rPr>
      </w:pPr>
      <w:r w:rsidRPr="002F0BF0">
        <w:rPr>
          <w:rFonts w:ascii="Palatino Linotype" w:hAnsi="Palatino Linotype"/>
          <w:i/>
          <w:iCs/>
        </w:rPr>
        <w:t>…”</w:t>
      </w:r>
    </w:p>
    <w:p w14:paraId="53BBB434" w14:textId="77777777" w:rsidR="00C10C6B" w:rsidRPr="00B01DA4" w:rsidRDefault="00C10C6B" w:rsidP="003A4DEE">
      <w:pPr>
        <w:spacing w:line="360" w:lineRule="auto"/>
        <w:ind w:right="-28"/>
        <w:contextualSpacing/>
        <w:jc w:val="both"/>
        <w:rPr>
          <w:rFonts w:ascii="Palatino Linotype" w:eastAsia="Batang" w:hAnsi="Palatino Linotype" w:cs="Tahoma"/>
          <w:bCs/>
          <w:sz w:val="22"/>
          <w:szCs w:val="22"/>
        </w:rPr>
      </w:pPr>
    </w:p>
    <w:p w14:paraId="34A4A6CE" w14:textId="1AECFCB6" w:rsidR="000F4742" w:rsidRDefault="000F4742" w:rsidP="003A4DEE">
      <w:pPr>
        <w:spacing w:line="360" w:lineRule="auto"/>
        <w:contextualSpacing/>
        <w:jc w:val="both"/>
        <w:rPr>
          <w:rFonts w:ascii="Palatino Linotype" w:hAnsi="Palatino Linotype" w:cs="Tahoma"/>
          <w:bCs/>
          <w:sz w:val="22"/>
          <w:szCs w:val="22"/>
        </w:rPr>
      </w:pPr>
      <w:r>
        <w:rPr>
          <w:rFonts w:ascii="Palatino Linotype" w:hAnsi="Palatino Linotype" w:cs="Tahoma"/>
          <w:b/>
          <w:sz w:val="22"/>
          <w:szCs w:val="22"/>
        </w:rPr>
        <w:t>g</w:t>
      </w:r>
      <w:r w:rsidRPr="00CB1A03">
        <w:rPr>
          <w:rFonts w:ascii="Palatino Linotype" w:hAnsi="Palatino Linotype" w:cs="Tahoma"/>
          <w:b/>
          <w:sz w:val="22"/>
          <w:szCs w:val="22"/>
        </w:rPr>
        <w:t xml:space="preserve">) </w:t>
      </w:r>
      <w:r w:rsidRPr="00CB1A03">
        <w:rPr>
          <w:rFonts w:ascii="Palatino Linotype" w:hAnsi="Palatino Linotype" w:cs="Tahoma"/>
          <w:b/>
          <w:bCs/>
          <w:sz w:val="22"/>
          <w:szCs w:val="22"/>
        </w:rPr>
        <w:t xml:space="preserve">Notificación de la Resolución del Recurso de Revisión. </w:t>
      </w:r>
      <w:r w:rsidRPr="00CB1A03">
        <w:rPr>
          <w:rFonts w:ascii="Palatino Linotype" w:hAnsi="Palatino Linotype" w:cs="Tahoma"/>
          <w:bCs/>
          <w:sz w:val="22"/>
          <w:szCs w:val="22"/>
        </w:rPr>
        <w:t xml:space="preserve">El </w:t>
      </w:r>
      <w:r w:rsidR="003A4DEE">
        <w:rPr>
          <w:rFonts w:ascii="Palatino Linotype" w:hAnsi="Palatino Linotype" w:cs="Tahoma"/>
          <w:bCs/>
          <w:sz w:val="22"/>
          <w:szCs w:val="22"/>
        </w:rPr>
        <w:t>dieciséis de marzo</w:t>
      </w:r>
      <w:r>
        <w:rPr>
          <w:rFonts w:ascii="Palatino Linotype" w:hAnsi="Palatino Linotype" w:cs="Tahoma"/>
          <w:bCs/>
          <w:sz w:val="22"/>
          <w:szCs w:val="22"/>
        </w:rPr>
        <w:t xml:space="preserve"> de dos mil veintitrés</w:t>
      </w:r>
      <w:r w:rsidRPr="00CB1A03">
        <w:rPr>
          <w:rFonts w:ascii="Palatino Linotype" w:hAnsi="Palatino Linotype" w:cs="Tahoma"/>
          <w:bCs/>
          <w:sz w:val="22"/>
          <w:szCs w:val="22"/>
        </w:rPr>
        <w:t xml:space="preserve">, se notificó por medio del Sistema de Acceso a la Información Mexiquense </w:t>
      </w:r>
      <w:r w:rsidRPr="00CB1A03">
        <w:rPr>
          <w:rFonts w:ascii="Palatino Linotype" w:hAnsi="Palatino Linotype" w:cs="Tahoma"/>
          <w:bCs/>
          <w:sz w:val="22"/>
          <w:szCs w:val="22"/>
          <w:lang w:val="es-ES"/>
        </w:rPr>
        <w:t>(SAIMEX)</w:t>
      </w:r>
      <w:r w:rsidRPr="00CB1A03">
        <w:rPr>
          <w:rFonts w:ascii="Palatino Linotype" w:hAnsi="Palatino Linotype" w:cs="Tahoma"/>
          <w:bCs/>
          <w:sz w:val="22"/>
          <w:szCs w:val="22"/>
        </w:rPr>
        <w:t>, a las partes, la resolución del Medio de Impugnación previamente referido.</w:t>
      </w:r>
    </w:p>
    <w:p w14:paraId="5671334E" w14:textId="4FCA25DB" w:rsidR="000F4742" w:rsidRDefault="000F4742" w:rsidP="003A4DEE">
      <w:pPr>
        <w:spacing w:line="360" w:lineRule="auto"/>
        <w:contextualSpacing/>
        <w:jc w:val="both"/>
        <w:rPr>
          <w:rFonts w:ascii="Palatino Linotype" w:hAnsi="Palatino Linotype" w:cs="Tahoma"/>
          <w:bCs/>
          <w:sz w:val="22"/>
          <w:szCs w:val="22"/>
        </w:rPr>
      </w:pPr>
    </w:p>
    <w:p w14:paraId="3FA76C07" w14:textId="58A308F8" w:rsidR="000F4742" w:rsidRPr="009C73CD" w:rsidRDefault="000F4742" w:rsidP="003A4DEE">
      <w:pPr>
        <w:spacing w:line="360" w:lineRule="auto"/>
        <w:contextualSpacing/>
        <w:jc w:val="both"/>
        <w:rPr>
          <w:rFonts w:ascii="Palatino Linotype" w:hAnsi="Palatino Linotype" w:cs="Tahoma"/>
          <w:b/>
          <w:bCs/>
          <w:sz w:val="22"/>
          <w:szCs w:val="22"/>
        </w:rPr>
      </w:pPr>
      <w:r w:rsidRPr="009C73CD">
        <w:rPr>
          <w:rFonts w:ascii="Palatino Linotype" w:hAnsi="Palatino Linotype" w:cs="Tahoma"/>
          <w:b/>
          <w:sz w:val="22"/>
          <w:szCs w:val="22"/>
        </w:rPr>
        <w:t>V</w:t>
      </w:r>
      <w:r w:rsidR="003A4DEE">
        <w:rPr>
          <w:rFonts w:ascii="Palatino Linotype" w:hAnsi="Palatino Linotype" w:cs="Tahoma"/>
          <w:b/>
          <w:sz w:val="22"/>
          <w:szCs w:val="22"/>
        </w:rPr>
        <w:t>II</w:t>
      </w:r>
      <w:r w:rsidR="005D1047">
        <w:rPr>
          <w:rFonts w:ascii="Palatino Linotype" w:hAnsi="Palatino Linotype" w:cs="Tahoma"/>
          <w:b/>
          <w:sz w:val="22"/>
          <w:szCs w:val="22"/>
        </w:rPr>
        <w:t>.</w:t>
      </w:r>
      <w:r w:rsidRPr="009C73CD">
        <w:rPr>
          <w:rFonts w:ascii="Palatino Linotype" w:hAnsi="Palatino Linotype" w:cs="Tahoma"/>
          <w:b/>
          <w:sz w:val="22"/>
          <w:szCs w:val="22"/>
        </w:rPr>
        <w:t xml:space="preserve"> Cumplimiento a la </w:t>
      </w:r>
      <w:r w:rsidRPr="009C73CD">
        <w:rPr>
          <w:rFonts w:ascii="Palatino Linotype" w:hAnsi="Palatino Linotype" w:cs="Tahoma"/>
          <w:b/>
          <w:bCs/>
          <w:sz w:val="22"/>
          <w:szCs w:val="22"/>
        </w:rPr>
        <w:t xml:space="preserve">Resolución del Recurso de Revisión </w:t>
      </w:r>
      <w:r w:rsidR="00810FD6">
        <w:rPr>
          <w:rFonts w:ascii="Palatino Linotype" w:hAnsi="Palatino Linotype" w:cs="Tahoma"/>
          <w:b/>
          <w:bCs/>
          <w:sz w:val="22"/>
          <w:szCs w:val="22"/>
        </w:rPr>
        <w:t>17571</w:t>
      </w:r>
      <w:r>
        <w:rPr>
          <w:rFonts w:ascii="Palatino Linotype" w:hAnsi="Palatino Linotype" w:cs="Tahoma"/>
          <w:b/>
          <w:bCs/>
          <w:sz w:val="22"/>
          <w:szCs w:val="22"/>
        </w:rPr>
        <w:t>/INFOEM/IP/RR/2022</w:t>
      </w:r>
      <w:r w:rsidRPr="009C73CD">
        <w:rPr>
          <w:rFonts w:ascii="Palatino Linotype" w:hAnsi="Palatino Linotype" w:cs="Tahoma"/>
          <w:b/>
          <w:bCs/>
          <w:sz w:val="22"/>
          <w:szCs w:val="22"/>
        </w:rPr>
        <w:t>.</w:t>
      </w:r>
    </w:p>
    <w:p w14:paraId="14E83172" w14:textId="77777777" w:rsidR="000F4742" w:rsidRPr="009C73CD" w:rsidRDefault="000F4742" w:rsidP="003A4DEE">
      <w:pPr>
        <w:spacing w:line="360" w:lineRule="auto"/>
        <w:contextualSpacing/>
        <w:jc w:val="both"/>
        <w:rPr>
          <w:rFonts w:ascii="Palatino Linotype" w:hAnsi="Palatino Linotype" w:cs="Tahoma"/>
          <w:b/>
          <w:bCs/>
          <w:sz w:val="22"/>
          <w:szCs w:val="22"/>
        </w:rPr>
      </w:pPr>
    </w:p>
    <w:p w14:paraId="191B1954" w14:textId="71DF964B" w:rsidR="000F4742" w:rsidRDefault="000F4742" w:rsidP="003A4DEE">
      <w:pPr>
        <w:spacing w:line="360" w:lineRule="auto"/>
        <w:contextualSpacing/>
        <w:jc w:val="both"/>
        <w:rPr>
          <w:rFonts w:ascii="Palatino Linotype" w:eastAsia="Calibri" w:hAnsi="Palatino Linotype" w:cs="Tahoma"/>
          <w:color w:val="000000"/>
          <w:sz w:val="22"/>
          <w:szCs w:val="22"/>
        </w:rPr>
      </w:pPr>
      <w:r w:rsidRPr="002C620C">
        <w:rPr>
          <w:rFonts w:ascii="Palatino Linotype" w:eastAsia="Calibri" w:hAnsi="Palatino Linotype" w:cs="Tahoma"/>
          <w:color w:val="000000"/>
          <w:sz w:val="22"/>
          <w:szCs w:val="22"/>
        </w:rPr>
        <w:lastRenderedPageBreak/>
        <w:t xml:space="preserve">De conformidad con el artículo 186, último párrafo de la Ley de Transparencia y Acceso a la Información Pública del Estado de México y Municipios, el Sujeto Obligado debió dar cumplimiento a la Resolución del Recurso de Revisión </w:t>
      </w:r>
      <w:r w:rsidR="00810FD6">
        <w:rPr>
          <w:rFonts w:ascii="Palatino Linotype" w:eastAsia="Calibri" w:hAnsi="Palatino Linotype" w:cs="Tahoma"/>
          <w:color w:val="000000"/>
          <w:sz w:val="22"/>
          <w:szCs w:val="22"/>
        </w:rPr>
        <w:t>17571</w:t>
      </w:r>
      <w:r w:rsidR="002F0BF0" w:rsidRPr="002F0BF0">
        <w:rPr>
          <w:rFonts w:ascii="Palatino Linotype" w:eastAsia="Calibri" w:hAnsi="Palatino Linotype" w:cs="Tahoma"/>
          <w:color w:val="000000"/>
          <w:sz w:val="22"/>
          <w:szCs w:val="22"/>
        </w:rPr>
        <w:t>/INFOEM/IP/RR/2022</w:t>
      </w:r>
      <w:r w:rsidRPr="002C620C">
        <w:rPr>
          <w:rFonts w:ascii="Palatino Linotype" w:eastAsia="Calibri" w:hAnsi="Palatino Linotype" w:cs="Tahoma"/>
          <w:color w:val="000000"/>
          <w:sz w:val="22"/>
          <w:szCs w:val="22"/>
        </w:rPr>
        <w:t xml:space="preserve">; </w:t>
      </w:r>
      <w:r w:rsidR="0055029A" w:rsidRPr="0055029A">
        <w:rPr>
          <w:rFonts w:ascii="Palatino Linotype" w:eastAsia="Calibri" w:hAnsi="Palatino Linotype" w:cs="Tahoma"/>
          <w:color w:val="000000"/>
          <w:sz w:val="22"/>
          <w:szCs w:val="22"/>
        </w:rPr>
        <w:t>sin embargo, de las constancias que obran en el expediente electrónico del Sistema de Acceso a la Información Mexiquense (SAIMEX), se advierte que omitió dicha acción.</w:t>
      </w:r>
    </w:p>
    <w:p w14:paraId="792C5714" w14:textId="77777777" w:rsidR="0055029A" w:rsidRDefault="0055029A" w:rsidP="003A4DEE">
      <w:pPr>
        <w:spacing w:line="360" w:lineRule="auto"/>
        <w:contextualSpacing/>
        <w:jc w:val="both"/>
        <w:rPr>
          <w:rFonts w:ascii="Palatino Linotype" w:hAnsi="Palatino Linotype" w:cs="Tahoma"/>
          <w:bCs/>
          <w:sz w:val="22"/>
          <w:szCs w:val="22"/>
        </w:rPr>
      </w:pPr>
    </w:p>
    <w:p w14:paraId="4E8BDA14" w14:textId="571B7175" w:rsidR="000F4742" w:rsidRPr="007E18B6" w:rsidRDefault="000F4742" w:rsidP="003A4DEE">
      <w:pPr>
        <w:tabs>
          <w:tab w:val="center" w:pos="4560"/>
          <w:tab w:val="left" w:pos="8207"/>
        </w:tabs>
        <w:spacing w:line="360" w:lineRule="auto"/>
        <w:contextualSpacing/>
        <w:jc w:val="both"/>
        <w:rPr>
          <w:rFonts w:ascii="Palatino Linotype" w:hAnsi="Palatino Linotype" w:cs="Tahoma"/>
          <w:b/>
          <w:sz w:val="22"/>
          <w:szCs w:val="22"/>
        </w:rPr>
      </w:pPr>
      <w:r w:rsidRPr="007E18B6">
        <w:rPr>
          <w:rFonts w:ascii="Palatino Linotype" w:hAnsi="Palatino Linotype" w:cs="Tahoma"/>
          <w:b/>
          <w:sz w:val="22"/>
          <w:szCs w:val="22"/>
        </w:rPr>
        <w:t>VI</w:t>
      </w:r>
      <w:r w:rsidR="003A4DEE">
        <w:rPr>
          <w:rFonts w:ascii="Palatino Linotype" w:hAnsi="Palatino Linotype" w:cs="Tahoma"/>
          <w:b/>
          <w:sz w:val="22"/>
          <w:szCs w:val="22"/>
        </w:rPr>
        <w:t>II</w:t>
      </w:r>
      <w:r w:rsidR="005D1047">
        <w:rPr>
          <w:rFonts w:ascii="Palatino Linotype" w:hAnsi="Palatino Linotype" w:cs="Tahoma"/>
          <w:b/>
          <w:sz w:val="22"/>
          <w:szCs w:val="22"/>
        </w:rPr>
        <w:t>.</w:t>
      </w:r>
      <w:r w:rsidRPr="007E18B6">
        <w:rPr>
          <w:rFonts w:ascii="Palatino Linotype" w:hAnsi="Palatino Linotype" w:cs="Tahoma"/>
          <w:b/>
          <w:sz w:val="22"/>
          <w:szCs w:val="22"/>
        </w:rPr>
        <w:t xml:space="preserve"> Interposición del Recurso de Revisión </w:t>
      </w:r>
      <w:r w:rsidR="00810FD6">
        <w:rPr>
          <w:rFonts w:ascii="Palatino Linotype" w:hAnsi="Palatino Linotype"/>
          <w:b/>
          <w:bCs/>
          <w:color w:val="000000"/>
          <w:sz w:val="22"/>
          <w:szCs w:val="22"/>
        </w:rPr>
        <w:t>17571/INFOEM/ICR-206/IP/RR/2022</w:t>
      </w:r>
      <w:r w:rsidRPr="007E18B6">
        <w:rPr>
          <w:rFonts w:ascii="Palatino Linotype" w:hAnsi="Palatino Linotype" w:cs="Tahoma"/>
          <w:b/>
          <w:bCs/>
          <w:sz w:val="22"/>
          <w:szCs w:val="22"/>
        </w:rPr>
        <w:t>.</w:t>
      </w:r>
    </w:p>
    <w:p w14:paraId="613DEF81" w14:textId="77777777" w:rsidR="00AC1B15" w:rsidRPr="007E18B6" w:rsidRDefault="00AC1B15" w:rsidP="003A4DEE">
      <w:pPr>
        <w:autoSpaceDE w:val="0"/>
        <w:autoSpaceDN w:val="0"/>
        <w:adjustRightInd w:val="0"/>
        <w:spacing w:line="360" w:lineRule="auto"/>
        <w:contextualSpacing/>
        <w:jc w:val="both"/>
        <w:rPr>
          <w:rFonts w:ascii="Palatino Linotype" w:hAnsi="Palatino Linotype" w:cs="Tahoma"/>
          <w:b/>
          <w:sz w:val="22"/>
          <w:szCs w:val="22"/>
        </w:rPr>
      </w:pPr>
    </w:p>
    <w:p w14:paraId="59EBB1F3" w14:textId="68BFB7DD" w:rsidR="000F4742" w:rsidRDefault="000F4742" w:rsidP="003A4DEE">
      <w:pPr>
        <w:widowControl w:val="0"/>
        <w:autoSpaceDE w:val="0"/>
        <w:autoSpaceDN w:val="0"/>
        <w:adjustRightInd w:val="0"/>
        <w:spacing w:line="360" w:lineRule="auto"/>
        <w:contextualSpacing/>
        <w:jc w:val="both"/>
        <w:rPr>
          <w:rFonts w:ascii="Palatino Linotype" w:hAnsi="Palatino Linotype" w:cs="Tahoma"/>
          <w:color w:val="0D0D0D" w:themeColor="text1" w:themeTint="F2"/>
          <w:sz w:val="22"/>
          <w:szCs w:val="22"/>
        </w:rPr>
      </w:pPr>
      <w:r w:rsidRPr="007E18B6">
        <w:rPr>
          <w:rFonts w:ascii="Palatino Linotype" w:hAnsi="Palatino Linotype" w:cs="Tahoma"/>
          <w:color w:val="0D0D0D" w:themeColor="text1" w:themeTint="F2"/>
          <w:sz w:val="22"/>
          <w:szCs w:val="22"/>
        </w:rPr>
        <w:t xml:space="preserve">Con </w:t>
      </w:r>
      <w:r>
        <w:rPr>
          <w:rFonts w:ascii="Palatino Linotype" w:hAnsi="Palatino Linotype" w:cs="Tahoma"/>
          <w:color w:val="0D0D0D" w:themeColor="text1" w:themeTint="F2"/>
          <w:sz w:val="22"/>
          <w:szCs w:val="22"/>
        </w:rPr>
        <w:t>fecha</w:t>
      </w:r>
      <w:r w:rsidRPr="007E18B6">
        <w:rPr>
          <w:rFonts w:ascii="Palatino Linotype" w:hAnsi="Palatino Linotype" w:cs="Tahoma"/>
          <w:color w:val="0D0D0D" w:themeColor="text1" w:themeTint="F2"/>
          <w:sz w:val="22"/>
          <w:szCs w:val="22"/>
        </w:rPr>
        <w:t xml:space="preserve"> </w:t>
      </w:r>
      <w:r w:rsidR="003A4DEE">
        <w:rPr>
          <w:rFonts w:ascii="Palatino Linotype" w:hAnsi="Palatino Linotype" w:cs="Tahoma"/>
          <w:color w:val="0D0D0D" w:themeColor="text1" w:themeTint="F2"/>
          <w:sz w:val="22"/>
          <w:szCs w:val="22"/>
        </w:rPr>
        <w:t>trece de abril</w:t>
      </w:r>
      <w:r w:rsidRPr="007E18B6">
        <w:rPr>
          <w:rFonts w:ascii="Palatino Linotype" w:hAnsi="Palatino Linotype" w:cs="Tahoma"/>
          <w:color w:val="0D0D0D" w:themeColor="text1" w:themeTint="F2"/>
          <w:sz w:val="22"/>
          <w:szCs w:val="22"/>
        </w:rPr>
        <w:t xml:space="preserve"> de dos mil veinti</w:t>
      </w:r>
      <w:r w:rsidR="0099647A">
        <w:rPr>
          <w:rFonts w:ascii="Palatino Linotype" w:hAnsi="Palatino Linotype" w:cs="Tahoma"/>
          <w:color w:val="0D0D0D" w:themeColor="text1" w:themeTint="F2"/>
          <w:sz w:val="22"/>
          <w:szCs w:val="22"/>
        </w:rPr>
        <w:t>trés</w:t>
      </w:r>
      <w:r w:rsidRPr="007E18B6">
        <w:rPr>
          <w:rFonts w:ascii="Palatino Linotype" w:hAnsi="Palatino Linotype" w:cs="Tahoma"/>
          <w:color w:val="0D0D0D" w:themeColor="text1" w:themeTint="F2"/>
          <w:sz w:val="22"/>
          <w:szCs w:val="22"/>
        </w:rPr>
        <w:t xml:space="preserve">, </w:t>
      </w:r>
      <w:r w:rsidRPr="006C5C2E">
        <w:rPr>
          <w:rFonts w:ascii="Palatino Linotype" w:hAnsi="Palatino Linotype" w:cs="Tahoma"/>
          <w:color w:val="0D0D0D" w:themeColor="text1" w:themeTint="F2"/>
          <w:sz w:val="22"/>
          <w:szCs w:val="22"/>
        </w:rPr>
        <w:t>el Particular interpuso un Recurso de Revisión en este Instituto</w:t>
      </w:r>
      <w:r>
        <w:rPr>
          <w:rFonts w:ascii="Palatino Linotype" w:hAnsi="Palatino Linotype" w:cs="Tahoma"/>
          <w:color w:val="0D0D0D" w:themeColor="text1" w:themeTint="F2"/>
          <w:sz w:val="22"/>
          <w:szCs w:val="22"/>
        </w:rPr>
        <w:t xml:space="preserve">, </w:t>
      </w:r>
      <w:r w:rsidRPr="006C5C2E">
        <w:rPr>
          <w:rFonts w:ascii="Palatino Linotype" w:hAnsi="Palatino Linotype" w:cs="Tahoma"/>
          <w:color w:val="0D0D0D" w:themeColor="text1" w:themeTint="F2"/>
          <w:sz w:val="22"/>
          <w:szCs w:val="22"/>
        </w:rPr>
        <w:t xml:space="preserve">a través del Sistema de Acceso a la Información Mexiquense (SAIMEX), en contra de la falta de respuesta del Sujeto Obligado, en cumplimiento a la Resolución referida en el Antecedente </w:t>
      </w:r>
      <w:r>
        <w:rPr>
          <w:rFonts w:ascii="Palatino Linotype" w:hAnsi="Palatino Linotype" w:cs="Tahoma"/>
          <w:color w:val="0D0D0D" w:themeColor="text1" w:themeTint="F2"/>
          <w:sz w:val="22"/>
          <w:szCs w:val="22"/>
        </w:rPr>
        <w:t>VI</w:t>
      </w:r>
      <w:r w:rsidRPr="006C5C2E">
        <w:rPr>
          <w:rFonts w:ascii="Palatino Linotype" w:hAnsi="Palatino Linotype" w:cs="Tahoma"/>
          <w:color w:val="0D0D0D" w:themeColor="text1" w:themeTint="F2"/>
          <w:sz w:val="22"/>
          <w:szCs w:val="22"/>
        </w:rPr>
        <w:t xml:space="preserve">, inciso </w:t>
      </w:r>
      <w:r>
        <w:rPr>
          <w:rFonts w:ascii="Palatino Linotype" w:hAnsi="Palatino Linotype" w:cs="Tahoma"/>
          <w:color w:val="0D0D0D" w:themeColor="text1" w:themeTint="F2"/>
          <w:sz w:val="22"/>
          <w:szCs w:val="22"/>
        </w:rPr>
        <w:t>f,</w:t>
      </w:r>
      <w:r w:rsidRPr="006C5C2E">
        <w:rPr>
          <w:rFonts w:ascii="Palatino Linotype" w:hAnsi="Palatino Linotype" w:cs="Tahoma"/>
          <w:color w:val="0D0D0D" w:themeColor="text1" w:themeTint="F2"/>
          <w:sz w:val="22"/>
          <w:szCs w:val="22"/>
        </w:rPr>
        <w:t xml:space="preserve"> en donde se agravió de lo siguiente:</w:t>
      </w:r>
    </w:p>
    <w:p w14:paraId="42168A39" w14:textId="77777777" w:rsidR="000F4742" w:rsidRDefault="000F4742" w:rsidP="003A4DEE">
      <w:pPr>
        <w:widowControl w:val="0"/>
        <w:autoSpaceDE w:val="0"/>
        <w:autoSpaceDN w:val="0"/>
        <w:adjustRightInd w:val="0"/>
        <w:spacing w:line="360" w:lineRule="auto"/>
        <w:contextualSpacing/>
        <w:jc w:val="both"/>
        <w:rPr>
          <w:rFonts w:ascii="Palatino Linotype" w:hAnsi="Palatino Linotype" w:cs="Tahoma"/>
          <w:color w:val="0D0D0D" w:themeColor="text1" w:themeTint="F2"/>
          <w:sz w:val="22"/>
          <w:szCs w:val="22"/>
        </w:rPr>
      </w:pPr>
    </w:p>
    <w:p w14:paraId="75C18977" w14:textId="77777777" w:rsidR="000F4742" w:rsidRPr="007E18B6" w:rsidRDefault="000F4742" w:rsidP="003A4DEE">
      <w:pPr>
        <w:tabs>
          <w:tab w:val="left" w:pos="4667"/>
        </w:tabs>
        <w:spacing w:line="360" w:lineRule="auto"/>
        <w:ind w:left="567" w:right="567"/>
        <w:contextualSpacing/>
        <w:rPr>
          <w:rFonts w:ascii="Palatino Linotype" w:eastAsia="Calibri" w:hAnsi="Palatino Linotype" w:cs="Tahoma"/>
          <w:b/>
          <w:bCs/>
          <w:i/>
          <w:color w:val="000000"/>
        </w:rPr>
      </w:pPr>
      <w:r w:rsidRPr="007E18B6">
        <w:rPr>
          <w:rFonts w:ascii="Palatino Linotype" w:eastAsia="Calibri" w:hAnsi="Palatino Linotype" w:cs="Tahoma"/>
          <w:b/>
          <w:bCs/>
          <w:i/>
          <w:color w:val="000000"/>
        </w:rPr>
        <w:t>“ACTO IMPUGNADO</w:t>
      </w:r>
    </w:p>
    <w:p w14:paraId="1CC3957D" w14:textId="1684C1C2" w:rsidR="000F4742" w:rsidRPr="007E18B6" w:rsidRDefault="003A4DEE" w:rsidP="003A4DEE">
      <w:pPr>
        <w:widowControl w:val="0"/>
        <w:autoSpaceDE w:val="0"/>
        <w:autoSpaceDN w:val="0"/>
        <w:adjustRightInd w:val="0"/>
        <w:spacing w:line="360" w:lineRule="auto"/>
        <w:ind w:right="567" w:firstLine="567"/>
        <w:contextualSpacing/>
        <w:jc w:val="both"/>
        <w:rPr>
          <w:rFonts w:ascii="Palatino Linotype" w:eastAsia="Calibri" w:hAnsi="Palatino Linotype" w:cs="Tahoma"/>
          <w:i/>
          <w:color w:val="000000"/>
        </w:rPr>
      </w:pPr>
      <w:r w:rsidRPr="003A4DEE">
        <w:rPr>
          <w:rFonts w:ascii="Palatino Linotype" w:hAnsi="Palatino Linotype"/>
          <w:i/>
          <w:color w:val="000000"/>
        </w:rPr>
        <w:t>NO ENTREGA INFORMACIÓN</w:t>
      </w:r>
      <w:r w:rsidR="000F4742" w:rsidRPr="007E18B6">
        <w:rPr>
          <w:rFonts w:ascii="Palatino Linotype" w:eastAsia="Calibri" w:hAnsi="Palatino Linotype" w:cs="Tahoma"/>
          <w:i/>
          <w:color w:val="000000"/>
        </w:rPr>
        <w:t>” (Sic.)</w:t>
      </w:r>
    </w:p>
    <w:p w14:paraId="164AAE9C" w14:textId="77777777" w:rsidR="000F4742" w:rsidRPr="007E18B6" w:rsidRDefault="000F4742" w:rsidP="003A4DEE">
      <w:pPr>
        <w:widowControl w:val="0"/>
        <w:autoSpaceDE w:val="0"/>
        <w:autoSpaceDN w:val="0"/>
        <w:adjustRightInd w:val="0"/>
        <w:spacing w:line="360" w:lineRule="auto"/>
        <w:ind w:left="567" w:right="567" w:firstLine="567"/>
        <w:contextualSpacing/>
        <w:jc w:val="both"/>
        <w:rPr>
          <w:rFonts w:ascii="Palatino Linotype" w:eastAsia="Calibri" w:hAnsi="Palatino Linotype" w:cs="Tahoma"/>
          <w:i/>
          <w:color w:val="000000"/>
        </w:rPr>
      </w:pPr>
    </w:p>
    <w:p w14:paraId="4A19541D" w14:textId="77777777" w:rsidR="000F4742" w:rsidRPr="007E18B6" w:rsidRDefault="000F4742" w:rsidP="003A4DEE">
      <w:pPr>
        <w:autoSpaceDE w:val="0"/>
        <w:autoSpaceDN w:val="0"/>
        <w:adjustRightInd w:val="0"/>
        <w:spacing w:line="360" w:lineRule="auto"/>
        <w:ind w:left="567" w:right="567"/>
        <w:contextualSpacing/>
        <w:rPr>
          <w:rFonts w:ascii="Palatino Linotype" w:eastAsia="Calibri" w:hAnsi="Palatino Linotype" w:cs="Tahoma"/>
          <w:b/>
          <w:i/>
          <w:color w:val="000000"/>
        </w:rPr>
      </w:pPr>
      <w:r w:rsidRPr="007E18B6">
        <w:rPr>
          <w:rFonts w:ascii="Palatino Linotype" w:eastAsia="Calibri" w:hAnsi="Palatino Linotype" w:cs="Tahoma"/>
          <w:b/>
          <w:i/>
          <w:color w:val="000000"/>
        </w:rPr>
        <w:t>“RAZONES O MOTIVOS DE LA INCONFORMIDAD</w:t>
      </w:r>
    </w:p>
    <w:p w14:paraId="48BCB447" w14:textId="19499135" w:rsidR="000F4742" w:rsidRPr="000F4742" w:rsidRDefault="003A4DEE" w:rsidP="003A4DEE">
      <w:pPr>
        <w:autoSpaceDE w:val="0"/>
        <w:autoSpaceDN w:val="0"/>
        <w:adjustRightInd w:val="0"/>
        <w:spacing w:line="360" w:lineRule="auto"/>
        <w:ind w:left="567" w:right="567"/>
        <w:contextualSpacing/>
        <w:jc w:val="both"/>
        <w:rPr>
          <w:rFonts w:ascii="Palatino Linotype" w:eastAsia="Calibri" w:hAnsi="Palatino Linotype" w:cs="Tahoma"/>
          <w:i/>
          <w:iCs/>
          <w:color w:val="000000"/>
        </w:rPr>
      </w:pPr>
      <w:r w:rsidRPr="003A4DEE">
        <w:rPr>
          <w:rFonts w:ascii="Palatino Linotype" w:hAnsi="Palatino Linotype"/>
          <w:i/>
          <w:color w:val="000000"/>
        </w:rPr>
        <w:t>NO ENTREGA INFORMACIÓN</w:t>
      </w:r>
      <w:r w:rsidR="000F4742" w:rsidRPr="000F4742">
        <w:rPr>
          <w:rFonts w:ascii="Palatino Linotype" w:eastAsia="Calibri" w:hAnsi="Palatino Linotype" w:cs="Tahoma"/>
          <w:i/>
          <w:iCs/>
          <w:color w:val="000000"/>
        </w:rPr>
        <w:t>” (Sic.)</w:t>
      </w:r>
    </w:p>
    <w:p w14:paraId="035E07E7" w14:textId="7A9F70BD" w:rsidR="003434D5" w:rsidRDefault="003434D5" w:rsidP="003A4DEE">
      <w:pPr>
        <w:spacing w:line="360" w:lineRule="auto"/>
        <w:ind w:right="-28"/>
        <w:contextualSpacing/>
        <w:jc w:val="both"/>
        <w:rPr>
          <w:rFonts w:ascii="Palatino Linotype" w:eastAsia="Batang" w:hAnsi="Palatino Linotype" w:cs="Tahoma"/>
          <w:bCs/>
          <w:sz w:val="22"/>
          <w:szCs w:val="22"/>
        </w:rPr>
      </w:pPr>
    </w:p>
    <w:p w14:paraId="51B4FD3E" w14:textId="523AF160" w:rsidR="007F2464" w:rsidRDefault="005D1047" w:rsidP="003A4DEE">
      <w:pPr>
        <w:spacing w:line="360" w:lineRule="auto"/>
        <w:ind w:right="-28"/>
        <w:contextualSpacing/>
        <w:jc w:val="both"/>
        <w:rPr>
          <w:rFonts w:ascii="Palatino Linotype" w:hAnsi="Palatino Linotype"/>
          <w:b/>
          <w:bCs/>
          <w:color w:val="000000"/>
          <w:sz w:val="22"/>
          <w:szCs w:val="22"/>
        </w:rPr>
      </w:pPr>
      <w:r>
        <w:rPr>
          <w:rFonts w:ascii="Palatino Linotype" w:hAnsi="Palatino Linotype" w:cs="Tahoma"/>
          <w:b/>
          <w:sz w:val="22"/>
          <w:szCs w:val="22"/>
        </w:rPr>
        <w:t>I</w:t>
      </w:r>
      <w:r w:rsidR="003A4DEE">
        <w:rPr>
          <w:rFonts w:ascii="Palatino Linotype" w:hAnsi="Palatino Linotype" w:cs="Tahoma"/>
          <w:b/>
          <w:sz w:val="22"/>
          <w:szCs w:val="22"/>
        </w:rPr>
        <w:t>X</w:t>
      </w:r>
      <w:r>
        <w:rPr>
          <w:rFonts w:ascii="Palatino Linotype" w:hAnsi="Palatino Linotype" w:cs="Tahoma"/>
          <w:b/>
          <w:sz w:val="22"/>
          <w:szCs w:val="22"/>
        </w:rPr>
        <w:t>.</w:t>
      </w:r>
      <w:r w:rsidR="007F2464" w:rsidRPr="003674D2">
        <w:rPr>
          <w:rFonts w:ascii="Palatino Linotype" w:hAnsi="Palatino Linotype" w:cs="Tahoma"/>
          <w:b/>
          <w:sz w:val="22"/>
          <w:szCs w:val="22"/>
        </w:rPr>
        <w:t xml:space="preserve"> </w:t>
      </w:r>
      <w:r w:rsidR="007F2464" w:rsidRPr="003674D2">
        <w:rPr>
          <w:rFonts w:ascii="Palatino Linotype" w:eastAsia="Batang" w:hAnsi="Palatino Linotype" w:cs="Tahoma"/>
          <w:b/>
          <w:bCs/>
          <w:sz w:val="22"/>
          <w:szCs w:val="22"/>
        </w:rPr>
        <w:t xml:space="preserve">Trámite del </w:t>
      </w:r>
      <w:r w:rsidR="007F2464" w:rsidRPr="003674D2">
        <w:rPr>
          <w:rFonts w:ascii="Palatino Linotype" w:hAnsi="Palatino Linotype" w:cs="Tahoma"/>
          <w:b/>
          <w:sz w:val="22"/>
          <w:szCs w:val="22"/>
        </w:rPr>
        <w:t>Recurso de Revisión con número</w:t>
      </w:r>
      <w:r w:rsidR="007F2464">
        <w:rPr>
          <w:rFonts w:ascii="Palatino Linotype" w:hAnsi="Palatino Linotype" w:cs="Tahoma"/>
          <w:b/>
          <w:sz w:val="22"/>
          <w:szCs w:val="22"/>
        </w:rPr>
        <w:t xml:space="preserve"> </w:t>
      </w:r>
      <w:r w:rsidR="00810FD6">
        <w:rPr>
          <w:rFonts w:ascii="Palatino Linotype" w:hAnsi="Palatino Linotype"/>
          <w:b/>
          <w:bCs/>
          <w:color w:val="000000"/>
          <w:sz w:val="22"/>
          <w:szCs w:val="22"/>
        </w:rPr>
        <w:t>17571/INFOEM/ICR-206/IP/RR/2022</w:t>
      </w:r>
      <w:r w:rsidR="007F2464">
        <w:rPr>
          <w:rFonts w:ascii="Palatino Linotype" w:hAnsi="Palatino Linotype"/>
          <w:b/>
          <w:bCs/>
          <w:color w:val="000000"/>
          <w:sz w:val="22"/>
          <w:szCs w:val="22"/>
        </w:rPr>
        <w:t>.</w:t>
      </w:r>
    </w:p>
    <w:p w14:paraId="201A114A" w14:textId="77777777" w:rsidR="00AC1B15" w:rsidRDefault="00AC1B15" w:rsidP="003A4DEE">
      <w:pPr>
        <w:spacing w:line="360" w:lineRule="auto"/>
        <w:ind w:right="-28"/>
        <w:contextualSpacing/>
        <w:jc w:val="both"/>
        <w:rPr>
          <w:rFonts w:ascii="Palatino Linotype" w:hAnsi="Palatino Linotype"/>
          <w:b/>
          <w:bCs/>
          <w:color w:val="000000"/>
          <w:sz w:val="22"/>
          <w:szCs w:val="22"/>
        </w:rPr>
      </w:pPr>
    </w:p>
    <w:p w14:paraId="2232722B" w14:textId="160F3532" w:rsidR="007F2464" w:rsidRDefault="007F2464" w:rsidP="003A4DEE">
      <w:pPr>
        <w:spacing w:line="360" w:lineRule="auto"/>
        <w:contextualSpacing/>
        <w:jc w:val="both"/>
        <w:rPr>
          <w:rFonts w:ascii="Palatino Linotype" w:eastAsia="Batang" w:hAnsi="Palatino Linotype" w:cs="Tahoma"/>
          <w:bCs/>
          <w:sz w:val="22"/>
          <w:szCs w:val="22"/>
        </w:rPr>
      </w:pPr>
      <w:r w:rsidRPr="003674D2">
        <w:rPr>
          <w:rFonts w:ascii="Palatino Linotype" w:eastAsia="Batang" w:hAnsi="Palatino Linotype" w:cs="Tahoma"/>
          <w:b/>
          <w:bCs/>
          <w:sz w:val="22"/>
          <w:szCs w:val="22"/>
        </w:rPr>
        <w:t xml:space="preserve">a) Turno del </w:t>
      </w:r>
      <w:r w:rsidRPr="003674D2">
        <w:rPr>
          <w:rFonts w:ascii="Palatino Linotype" w:hAnsi="Palatino Linotype" w:cs="Tahoma"/>
          <w:b/>
          <w:sz w:val="22"/>
          <w:szCs w:val="22"/>
        </w:rPr>
        <w:t>Recurso de Revisión</w:t>
      </w:r>
      <w:r w:rsidRPr="003674D2">
        <w:rPr>
          <w:rFonts w:ascii="Palatino Linotype" w:eastAsia="Batang" w:hAnsi="Palatino Linotype" w:cs="Tahoma"/>
          <w:b/>
          <w:bCs/>
          <w:sz w:val="22"/>
          <w:szCs w:val="22"/>
        </w:rPr>
        <w:t xml:space="preserve">. </w:t>
      </w:r>
      <w:r w:rsidRPr="003674D2">
        <w:rPr>
          <w:rFonts w:ascii="Palatino Linotype" w:eastAsia="Batang" w:hAnsi="Palatino Linotype" w:cs="Tahoma"/>
          <w:bCs/>
          <w:sz w:val="22"/>
          <w:szCs w:val="22"/>
        </w:rPr>
        <w:t xml:space="preserve">El </w:t>
      </w:r>
      <w:r w:rsidR="003A4DEE">
        <w:rPr>
          <w:rFonts w:ascii="Palatino Linotype" w:hAnsi="Palatino Linotype" w:cs="Tahoma"/>
          <w:sz w:val="22"/>
          <w:szCs w:val="22"/>
        </w:rPr>
        <w:t>trece de abril</w:t>
      </w:r>
      <w:r>
        <w:rPr>
          <w:rFonts w:ascii="Palatino Linotype" w:hAnsi="Palatino Linotype" w:cs="Tahoma"/>
          <w:sz w:val="22"/>
          <w:szCs w:val="22"/>
        </w:rPr>
        <w:t xml:space="preserve"> de dos mil veintitrés</w:t>
      </w:r>
      <w:r w:rsidRPr="003674D2">
        <w:rPr>
          <w:rFonts w:ascii="Palatino Linotype" w:eastAsia="Batang" w:hAnsi="Palatino Linotype" w:cs="Tahoma"/>
          <w:bCs/>
          <w:sz w:val="22"/>
          <w:szCs w:val="22"/>
        </w:rPr>
        <w:t xml:space="preserve">, el </w:t>
      </w:r>
      <w:r w:rsidRPr="003674D2">
        <w:rPr>
          <w:rFonts w:ascii="Palatino Linotype" w:hAnsi="Palatino Linotype" w:cs="Tahoma"/>
          <w:sz w:val="22"/>
          <w:szCs w:val="22"/>
          <w:lang w:val="es-ES"/>
        </w:rPr>
        <w:t>Sistema de Acceso a la Información Mexiquense (SAIMEX),</w:t>
      </w:r>
      <w:r w:rsidRPr="003674D2">
        <w:rPr>
          <w:rFonts w:ascii="Palatino Linotype" w:eastAsia="Batang" w:hAnsi="Palatino Linotype" w:cs="Tahoma"/>
          <w:bCs/>
          <w:sz w:val="22"/>
          <w:szCs w:val="22"/>
        </w:rPr>
        <w:t xml:space="preserve"> asignó el número de expediente </w:t>
      </w:r>
      <w:r w:rsidR="00810FD6">
        <w:rPr>
          <w:rFonts w:ascii="Palatino Linotype" w:hAnsi="Palatino Linotype"/>
          <w:b/>
          <w:bCs/>
          <w:color w:val="000000"/>
          <w:sz w:val="22"/>
          <w:szCs w:val="22"/>
        </w:rPr>
        <w:t>17571/INFOEM/ICR-206/IP/RR/2022</w:t>
      </w:r>
      <w:r w:rsidR="00CC0E84">
        <w:rPr>
          <w:rFonts w:ascii="Palatino Linotype" w:hAnsi="Palatino Linotype"/>
          <w:b/>
          <w:bCs/>
          <w:color w:val="000000"/>
          <w:sz w:val="22"/>
          <w:szCs w:val="22"/>
        </w:rPr>
        <w:t xml:space="preserve"> </w:t>
      </w:r>
      <w:r w:rsidRPr="003674D2">
        <w:rPr>
          <w:rFonts w:ascii="Palatino Linotype" w:eastAsia="Batang" w:hAnsi="Palatino Linotype" w:cs="Tahoma"/>
          <w:bCs/>
          <w:sz w:val="22"/>
          <w:szCs w:val="22"/>
        </w:rPr>
        <w:t xml:space="preserve">al Medio de Impugnación que nos ocupa, con base en el sistema aprobado por el Pleno de este Organismo Garante y lo turnó al </w:t>
      </w:r>
      <w:r w:rsidRPr="003674D2">
        <w:rPr>
          <w:rFonts w:ascii="Palatino Linotype" w:eastAsia="Batang" w:hAnsi="Palatino Linotype" w:cs="Tahoma"/>
          <w:b/>
          <w:bCs/>
          <w:sz w:val="22"/>
          <w:szCs w:val="22"/>
        </w:rPr>
        <w:t>Comisionado Ponente Luis Gustavo Parra Noriega</w:t>
      </w:r>
      <w:r w:rsidRPr="003674D2">
        <w:rPr>
          <w:rFonts w:ascii="Palatino Linotype" w:eastAsia="Batang" w:hAnsi="Palatino Linotype" w:cs="Tahoma"/>
          <w:bCs/>
          <w:sz w:val="22"/>
          <w:szCs w:val="22"/>
        </w:rPr>
        <w:t>, para los efectos del artículo 185, fracción I de la Ley de Transparencia y Acceso a la Información Pública del Estado de México y Municipios.</w:t>
      </w:r>
    </w:p>
    <w:p w14:paraId="59241602" w14:textId="586D30A1" w:rsidR="007F2464" w:rsidRDefault="007F2464" w:rsidP="003A4DEE">
      <w:pPr>
        <w:spacing w:line="360" w:lineRule="auto"/>
        <w:contextualSpacing/>
        <w:jc w:val="both"/>
        <w:rPr>
          <w:rFonts w:ascii="Palatino Linotype" w:eastAsia="Batang" w:hAnsi="Palatino Linotype" w:cs="Tahoma"/>
          <w:bCs/>
          <w:sz w:val="22"/>
          <w:szCs w:val="22"/>
        </w:rPr>
      </w:pPr>
    </w:p>
    <w:p w14:paraId="58F2B23A" w14:textId="4C205F0A" w:rsidR="007F2464" w:rsidRDefault="007F2464" w:rsidP="003A4DEE">
      <w:pPr>
        <w:spacing w:line="360" w:lineRule="auto"/>
        <w:contextualSpacing/>
        <w:jc w:val="both"/>
        <w:rPr>
          <w:rFonts w:ascii="Palatino Linotype" w:hAnsi="Palatino Linotype" w:cs="Tahoma"/>
          <w:b/>
          <w:sz w:val="22"/>
          <w:szCs w:val="22"/>
        </w:rPr>
      </w:pPr>
      <w:r w:rsidRPr="003674D2">
        <w:rPr>
          <w:rFonts w:ascii="Palatino Linotype" w:eastAsia="Batang" w:hAnsi="Palatino Linotype" w:cs="Tahoma"/>
          <w:b/>
          <w:bCs/>
          <w:sz w:val="22"/>
          <w:szCs w:val="22"/>
        </w:rPr>
        <w:lastRenderedPageBreak/>
        <w:t xml:space="preserve">b) Admisión del </w:t>
      </w:r>
      <w:r w:rsidRPr="003674D2">
        <w:rPr>
          <w:rFonts w:ascii="Palatino Linotype" w:hAnsi="Palatino Linotype" w:cs="Tahoma"/>
          <w:b/>
          <w:sz w:val="22"/>
          <w:szCs w:val="22"/>
        </w:rPr>
        <w:t>Recurso de Revisión</w:t>
      </w:r>
      <w:r w:rsidRPr="003674D2">
        <w:rPr>
          <w:rFonts w:ascii="Palatino Linotype" w:eastAsia="Batang" w:hAnsi="Palatino Linotype" w:cs="Tahoma"/>
          <w:b/>
          <w:bCs/>
          <w:sz w:val="22"/>
          <w:szCs w:val="22"/>
        </w:rPr>
        <w:t xml:space="preserve">. </w:t>
      </w:r>
      <w:r w:rsidRPr="003674D2">
        <w:rPr>
          <w:rFonts w:ascii="Palatino Linotype" w:eastAsia="Batang" w:hAnsi="Palatino Linotype" w:cs="Tahoma"/>
          <w:bCs/>
          <w:sz w:val="22"/>
          <w:szCs w:val="22"/>
        </w:rPr>
        <w:t xml:space="preserve">El </w:t>
      </w:r>
      <w:r w:rsidR="003A4DEE">
        <w:rPr>
          <w:rFonts w:ascii="Palatino Linotype" w:eastAsia="Batang" w:hAnsi="Palatino Linotype" w:cs="Tahoma"/>
          <w:bCs/>
          <w:sz w:val="22"/>
          <w:szCs w:val="22"/>
        </w:rPr>
        <w:t>dieciocho</w:t>
      </w:r>
      <w:r>
        <w:rPr>
          <w:rFonts w:ascii="Palatino Linotype" w:eastAsia="Batang" w:hAnsi="Palatino Linotype" w:cs="Tahoma"/>
          <w:bCs/>
          <w:sz w:val="22"/>
          <w:szCs w:val="22"/>
        </w:rPr>
        <w:t xml:space="preserve"> de </w:t>
      </w:r>
      <w:r w:rsidR="00CC0E84">
        <w:rPr>
          <w:rFonts w:ascii="Palatino Linotype" w:eastAsia="Batang" w:hAnsi="Palatino Linotype" w:cs="Tahoma"/>
          <w:bCs/>
          <w:sz w:val="22"/>
          <w:szCs w:val="22"/>
        </w:rPr>
        <w:t>abril</w:t>
      </w:r>
      <w:r>
        <w:rPr>
          <w:rFonts w:ascii="Palatino Linotype" w:eastAsia="Batang" w:hAnsi="Palatino Linotype" w:cs="Tahoma"/>
          <w:bCs/>
          <w:sz w:val="22"/>
          <w:szCs w:val="22"/>
        </w:rPr>
        <w:t xml:space="preserve"> de dos mil veintitrés</w:t>
      </w:r>
      <w:r w:rsidRPr="003674D2">
        <w:rPr>
          <w:rFonts w:ascii="Palatino Linotype" w:eastAsia="Batang" w:hAnsi="Palatino Linotype" w:cs="Tahoma"/>
          <w:bCs/>
          <w:sz w:val="22"/>
          <w:szCs w:val="22"/>
        </w:rPr>
        <w:t xml:space="preserve">, se acordó la admisión del Recurso de Revisión interpuesto por el Particular en contra del Sujeto Obligado, en términos del artículo 185, fracciones I, II y IV de la Ley de Transparencia y Acceso a la Información Pública del Estado de México y Municipios, el cual fue notificado a las partes </w:t>
      </w:r>
      <w:r w:rsidR="003A4DEE">
        <w:rPr>
          <w:rFonts w:ascii="Palatino Linotype" w:eastAsia="Batang" w:hAnsi="Palatino Linotype" w:cs="Tahoma"/>
          <w:bCs/>
          <w:sz w:val="22"/>
          <w:szCs w:val="22"/>
        </w:rPr>
        <w:t>el mismo día</w:t>
      </w:r>
      <w:r w:rsidRPr="003674D2">
        <w:rPr>
          <w:rFonts w:ascii="Palatino Linotype" w:eastAsia="Batang" w:hAnsi="Palatino Linotype" w:cs="Tahoma"/>
          <w:bCs/>
          <w:sz w:val="22"/>
          <w:szCs w:val="22"/>
        </w:rPr>
        <w:t>, a través del Sistema de Acceso a la Información Mexiquense (SAIMEX), en el que se les otorgó un plazo de siete días hábiles posteriores a la misma, para que manifestaran lo que a su derecho conviniera y formularan alegatos.</w:t>
      </w:r>
      <w:r w:rsidRPr="003674D2">
        <w:rPr>
          <w:rFonts w:ascii="Palatino Linotype" w:hAnsi="Palatino Linotype" w:cs="Tahoma"/>
          <w:b/>
          <w:sz w:val="22"/>
          <w:szCs w:val="22"/>
        </w:rPr>
        <w:t xml:space="preserve"> </w:t>
      </w:r>
    </w:p>
    <w:p w14:paraId="4A4D01E8" w14:textId="074F07F0" w:rsidR="007F2464" w:rsidRDefault="007F2464" w:rsidP="003A4DEE">
      <w:pPr>
        <w:spacing w:line="360" w:lineRule="auto"/>
        <w:contextualSpacing/>
        <w:jc w:val="both"/>
        <w:rPr>
          <w:rFonts w:ascii="Palatino Linotype" w:hAnsi="Palatino Linotype" w:cs="Tahoma"/>
          <w:b/>
          <w:sz w:val="22"/>
          <w:szCs w:val="22"/>
        </w:rPr>
      </w:pPr>
    </w:p>
    <w:p w14:paraId="02675685" w14:textId="77777777" w:rsidR="007F2464" w:rsidRPr="003674D2" w:rsidRDefault="007F2464" w:rsidP="003A4DEE">
      <w:pPr>
        <w:spacing w:line="360" w:lineRule="auto"/>
        <w:contextualSpacing/>
        <w:jc w:val="both"/>
        <w:rPr>
          <w:rFonts w:ascii="Palatino Linotype" w:eastAsia="Palatino Linotype" w:hAnsi="Palatino Linotype" w:cs="Palatino Linotype"/>
          <w:sz w:val="22"/>
          <w:szCs w:val="22"/>
          <w:lang w:val="es-ES"/>
        </w:rPr>
      </w:pPr>
      <w:r w:rsidRPr="003674D2">
        <w:rPr>
          <w:rFonts w:ascii="Palatino Linotype" w:eastAsia="Palatino Linotype" w:hAnsi="Palatino Linotype" w:cs="Palatino Linotype"/>
          <w:b/>
          <w:bCs/>
          <w:sz w:val="22"/>
          <w:szCs w:val="22"/>
          <w:lang w:val="es-ES"/>
        </w:rPr>
        <w:t xml:space="preserve">c) Manifestaciones o Informe Justificado. </w:t>
      </w:r>
      <w:r w:rsidRPr="003674D2">
        <w:rPr>
          <w:rFonts w:ascii="Palatino Linotype" w:eastAsia="Palatino Linotype" w:hAnsi="Palatino Linotype" w:cs="Palatino Linotype"/>
          <w:sz w:val="22"/>
          <w:szCs w:val="22"/>
          <w:lang w:val="es-ES"/>
        </w:rPr>
        <w:t>Las partes fueron omisas en emitir manifestaciones o alegatos.</w:t>
      </w:r>
    </w:p>
    <w:p w14:paraId="7DF02FD1" w14:textId="134F08F2" w:rsidR="007F2464" w:rsidRDefault="007F2464" w:rsidP="003A4DEE">
      <w:pPr>
        <w:spacing w:line="360" w:lineRule="auto"/>
        <w:contextualSpacing/>
        <w:jc w:val="both"/>
        <w:rPr>
          <w:rFonts w:ascii="Palatino Linotype" w:hAnsi="Palatino Linotype" w:cs="Tahoma"/>
          <w:b/>
          <w:sz w:val="22"/>
          <w:szCs w:val="22"/>
        </w:rPr>
      </w:pPr>
    </w:p>
    <w:p w14:paraId="3A0376D2" w14:textId="43889B84" w:rsidR="007F2464" w:rsidRPr="006A6B3D" w:rsidRDefault="007F2464" w:rsidP="003A4DEE">
      <w:pPr>
        <w:spacing w:line="360" w:lineRule="auto"/>
        <w:contextualSpacing/>
        <w:jc w:val="both"/>
        <w:rPr>
          <w:rFonts w:ascii="Palatino Linotype" w:eastAsia="Batang" w:hAnsi="Palatino Linotype" w:cs="Tahoma"/>
          <w:b/>
          <w:sz w:val="22"/>
          <w:szCs w:val="22"/>
        </w:rPr>
      </w:pPr>
      <w:r>
        <w:rPr>
          <w:rFonts w:ascii="Palatino Linotype" w:hAnsi="Palatino Linotype" w:cs="Tahoma"/>
          <w:b/>
          <w:sz w:val="22"/>
          <w:szCs w:val="22"/>
        </w:rPr>
        <w:t xml:space="preserve">d) </w:t>
      </w:r>
      <w:r w:rsidRPr="003674D2">
        <w:rPr>
          <w:rFonts w:ascii="Palatino Linotype" w:hAnsi="Palatino Linotype" w:cs="Tahoma"/>
          <w:b/>
          <w:sz w:val="22"/>
          <w:szCs w:val="22"/>
        </w:rPr>
        <w:t>Cierre de instrucción.</w:t>
      </w:r>
      <w:r w:rsidRPr="003674D2">
        <w:rPr>
          <w:rFonts w:ascii="Palatino Linotype" w:hAnsi="Palatino Linotype" w:cs="Tahoma"/>
          <w:sz w:val="22"/>
          <w:szCs w:val="22"/>
        </w:rPr>
        <w:t xml:space="preserve"> El </w:t>
      </w:r>
      <w:r w:rsidR="003A4DEE">
        <w:rPr>
          <w:rFonts w:ascii="Palatino Linotype" w:hAnsi="Palatino Linotype" w:cs="Tahoma"/>
          <w:sz w:val="22"/>
          <w:szCs w:val="22"/>
        </w:rPr>
        <w:t>once de mayo</w:t>
      </w:r>
      <w:r>
        <w:rPr>
          <w:rFonts w:ascii="Palatino Linotype" w:hAnsi="Palatino Linotype" w:cs="Tahoma"/>
          <w:sz w:val="22"/>
          <w:szCs w:val="22"/>
        </w:rPr>
        <w:t xml:space="preserve"> de dos mil veintitrés</w:t>
      </w:r>
      <w:r w:rsidRPr="003674D2">
        <w:rPr>
          <w:rFonts w:ascii="Palatino Linotype" w:hAnsi="Palatino Linotype" w:cs="Tahoma"/>
          <w:sz w:val="22"/>
          <w:szCs w:val="22"/>
        </w:rPr>
        <w:t xml:space="preser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el mismo día, a través del </w:t>
      </w:r>
      <w:r w:rsidRPr="003674D2">
        <w:rPr>
          <w:rFonts w:ascii="Palatino Linotype" w:hAnsi="Palatino Linotype" w:cs="Tahoma"/>
          <w:sz w:val="22"/>
          <w:szCs w:val="22"/>
          <w:lang w:val="es-ES"/>
        </w:rPr>
        <w:t>Sistema de Acceso a la Información Mexiquense (SAIMEX)</w:t>
      </w:r>
      <w:r w:rsidRPr="003674D2">
        <w:rPr>
          <w:rFonts w:ascii="Palatino Linotype" w:hAnsi="Palatino Linotype" w:cs="Tahoma"/>
          <w:sz w:val="22"/>
          <w:szCs w:val="22"/>
        </w:rPr>
        <w:t>.</w:t>
      </w:r>
    </w:p>
    <w:p w14:paraId="5A16DC04" w14:textId="77777777" w:rsidR="007F2464" w:rsidRPr="003674D2" w:rsidRDefault="007F2464" w:rsidP="003A4DEE">
      <w:pPr>
        <w:spacing w:line="360" w:lineRule="auto"/>
        <w:contextualSpacing/>
        <w:jc w:val="both"/>
        <w:rPr>
          <w:rFonts w:ascii="Palatino Linotype" w:hAnsi="Palatino Linotype" w:cs="Tahoma"/>
          <w:b/>
          <w:sz w:val="22"/>
          <w:szCs w:val="22"/>
        </w:rPr>
      </w:pPr>
    </w:p>
    <w:p w14:paraId="7B0E53B8" w14:textId="77777777" w:rsidR="00535C4C" w:rsidRDefault="00535C4C" w:rsidP="003A4DEE">
      <w:pPr>
        <w:spacing w:line="360" w:lineRule="auto"/>
        <w:contextualSpacing/>
        <w:jc w:val="both"/>
        <w:rPr>
          <w:rFonts w:ascii="Palatino Linotype" w:hAnsi="Palatino Linotype" w:cs="Tahoma"/>
          <w:sz w:val="22"/>
          <w:szCs w:val="22"/>
        </w:rPr>
      </w:pPr>
      <w:r w:rsidRPr="00B01DA4">
        <w:rPr>
          <w:rFonts w:ascii="Palatino Linotype" w:hAnsi="Palatino Linotype" w:cs="Tahoma"/>
          <w:sz w:val="22"/>
          <w:szCs w:val="22"/>
        </w:rPr>
        <w:t xml:space="preserve">En razón de que fue debidamente sustanciado el expediente electrónico y no existe diligencia pendiente de desahogo, se emite la resolución que conforme a Derecho proceda, de acuerdo a los siguientes: </w:t>
      </w:r>
    </w:p>
    <w:p w14:paraId="551D9C16" w14:textId="77777777" w:rsidR="003A4DEE" w:rsidRPr="00B01DA4" w:rsidRDefault="003A4DEE" w:rsidP="003A4DEE">
      <w:pPr>
        <w:spacing w:line="360" w:lineRule="auto"/>
        <w:contextualSpacing/>
        <w:jc w:val="both"/>
        <w:rPr>
          <w:rFonts w:ascii="Palatino Linotype" w:hAnsi="Palatino Linotype" w:cs="Tahoma"/>
          <w:sz w:val="22"/>
          <w:szCs w:val="22"/>
        </w:rPr>
      </w:pPr>
    </w:p>
    <w:p w14:paraId="6BD1007A" w14:textId="77777777" w:rsidR="00703ED0" w:rsidRPr="00B01DA4" w:rsidRDefault="00703ED0" w:rsidP="003A4DEE">
      <w:pPr>
        <w:spacing w:line="360" w:lineRule="auto"/>
        <w:ind w:right="-28"/>
        <w:contextualSpacing/>
        <w:jc w:val="center"/>
        <w:rPr>
          <w:rFonts w:ascii="Palatino Linotype" w:hAnsi="Palatino Linotype" w:cs="Tahoma"/>
          <w:b/>
          <w:sz w:val="22"/>
          <w:szCs w:val="22"/>
          <w:lang w:val="es-ES"/>
        </w:rPr>
      </w:pPr>
      <w:r w:rsidRPr="00B01DA4">
        <w:rPr>
          <w:rFonts w:ascii="Palatino Linotype" w:hAnsi="Palatino Linotype" w:cs="Tahoma"/>
          <w:b/>
          <w:sz w:val="22"/>
          <w:szCs w:val="22"/>
          <w:lang w:val="es-ES"/>
        </w:rPr>
        <w:t>C O N S I D E R A N D O S</w:t>
      </w:r>
    </w:p>
    <w:p w14:paraId="4C0C3989" w14:textId="77777777" w:rsidR="00703ED0" w:rsidRPr="00B01DA4" w:rsidRDefault="00703ED0" w:rsidP="003A4DEE">
      <w:pPr>
        <w:spacing w:line="360" w:lineRule="auto"/>
        <w:ind w:right="-28"/>
        <w:contextualSpacing/>
        <w:jc w:val="center"/>
        <w:rPr>
          <w:rFonts w:ascii="Palatino Linotype" w:hAnsi="Palatino Linotype" w:cs="Tahoma"/>
          <w:b/>
          <w:sz w:val="22"/>
          <w:szCs w:val="22"/>
          <w:lang w:val="es-ES"/>
        </w:rPr>
      </w:pPr>
    </w:p>
    <w:p w14:paraId="0C08284C" w14:textId="4A345FC0" w:rsidR="00703ED0" w:rsidRDefault="00703ED0" w:rsidP="003A4DEE">
      <w:pPr>
        <w:autoSpaceDE w:val="0"/>
        <w:autoSpaceDN w:val="0"/>
        <w:adjustRightInd w:val="0"/>
        <w:spacing w:line="360" w:lineRule="auto"/>
        <w:ind w:right="-28"/>
        <w:contextualSpacing/>
        <w:jc w:val="both"/>
        <w:rPr>
          <w:rFonts w:ascii="Palatino Linotype" w:hAnsi="Palatino Linotype" w:cs="Tahoma"/>
          <w:b/>
          <w:sz w:val="22"/>
          <w:szCs w:val="22"/>
          <w:lang w:val="es-ES"/>
        </w:rPr>
      </w:pPr>
      <w:r w:rsidRPr="00B01DA4">
        <w:rPr>
          <w:rFonts w:ascii="Palatino Linotype" w:eastAsia="Calibri" w:hAnsi="Palatino Linotype" w:cs="Tahoma"/>
          <w:b/>
          <w:color w:val="000000"/>
          <w:sz w:val="22"/>
          <w:szCs w:val="22"/>
          <w:lang w:val="es-ES" w:eastAsia="es-MX"/>
        </w:rPr>
        <w:t>PRIMERO</w:t>
      </w:r>
      <w:r w:rsidRPr="00B01DA4">
        <w:rPr>
          <w:rFonts w:ascii="Palatino Linotype" w:eastAsia="Calibri" w:hAnsi="Palatino Linotype" w:cs="Tahoma"/>
          <w:color w:val="000000"/>
          <w:sz w:val="22"/>
          <w:szCs w:val="22"/>
          <w:lang w:val="es-ES" w:eastAsia="es-MX"/>
        </w:rPr>
        <w:t xml:space="preserve">. </w:t>
      </w:r>
      <w:r w:rsidRPr="00B01DA4">
        <w:rPr>
          <w:rFonts w:ascii="Palatino Linotype" w:hAnsi="Palatino Linotype" w:cs="Tahoma"/>
          <w:b/>
          <w:sz w:val="22"/>
          <w:szCs w:val="22"/>
          <w:lang w:val="es-ES"/>
        </w:rPr>
        <w:t>Competencia.</w:t>
      </w:r>
    </w:p>
    <w:p w14:paraId="564A3505" w14:textId="77777777" w:rsidR="00613F5E" w:rsidRPr="00B01DA4" w:rsidRDefault="00613F5E" w:rsidP="003A4DEE">
      <w:pPr>
        <w:autoSpaceDE w:val="0"/>
        <w:autoSpaceDN w:val="0"/>
        <w:adjustRightInd w:val="0"/>
        <w:spacing w:line="360" w:lineRule="auto"/>
        <w:ind w:right="-28"/>
        <w:contextualSpacing/>
        <w:jc w:val="both"/>
        <w:rPr>
          <w:rFonts w:ascii="Palatino Linotype" w:hAnsi="Palatino Linotype" w:cs="Tahoma"/>
          <w:b/>
          <w:sz w:val="22"/>
          <w:szCs w:val="22"/>
          <w:lang w:val="es-ES"/>
        </w:rPr>
      </w:pPr>
    </w:p>
    <w:p w14:paraId="542D178E" w14:textId="3B0F46EE" w:rsidR="00703ED0" w:rsidRPr="00B01DA4" w:rsidRDefault="00703ED0" w:rsidP="003A4DEE">
      <w:pPr>
        <w:spacing w:line="360" w:lineRule="auto"/>
        <w:ind w:right="-28"/>
        <w:contextualSpacing/>
        <w:jc w:val="both"/>
        <w:rPr>
          <w:rFonts w:ascii="Palatino Linotype" w:hAnsi="Palatino Linotype" w:cs="Tahoma"/>
          <w:color w:val="000000"/>
          <w:sz w:val="22"/>
          <w:szCs w:val="22"/>
        </w:rPr>
      </w:pPr>
      <w:r w:rsidRPr="00B01DA4">
        <w:rPr>
          <w:rFonts w:ascii="Palatino Linotype" w:hAnsi="Palatino Linotype" w:cs="Tahoma"/>
          <w:color w:val="000000"/>
          <w:sz w:val="22"/>
          <w:szCs w:val="22"/>
        </w:rPr>
        <w:lastRenderedPageBreak/>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B01DA4">
        <w:rPr>
          <w:color w:val="000000"/>
        </w:rPr>
        <w:t xml:space="preserve"> 7°, </w:t>
      </w:r>
      <w:r w:rsidR="0055029A">
        <w:rPr>
          <w:rFonts w:ascii="Palatino Linotype" w:hAnsi="Palatino Linotype" w:cs="Tahoma"/>
          <w:color w:val="000000"/>
          <w:sz w:val="22"/>
          <w:szCs w:val="22"/>
        </w:rPr>
        <w:t>9°, fracciones I y XXIII</w:t>
      </w:r>
      <w:r w:rsidRPr="00B01DA4">
        <w:rPr>
          <w:rFonts w:ascii="Palatino Linotype" w:hAnsi="Palatino Linotype" w:cs="Tahoma"/>
          <w:color w:val="000000"/>
          <w:sz w:val="22"/>
          <w:szCs w:val="22"/>
        </w:rPr>
        <w:t xml:space="preserve"> y 11 del Reglamento Interior del Instituto de Transparencia, Acceso a la Información Pública y Protección de Datos Personales del Estado de México y Municipios.</w:t>
      </w:r>
    </w:p>
    <w:p w14:paraId="0154BAD7" w14:textId="77777777" w:rsidR="00DC61FF" w:rsidRPr="00B01DA4" w:rsidRDefault="00DC61FF" w:rsidP="003A4DEE">
      <w:pPr>
        <w:spacing w:line="360" w:lineRule="auto"/>
        <w:ind w:right="-28"/>
        <w:contextualSpacing/>
        <w:jc w:val="both"/>
        <w:rPr>
          <w:rFonts w:ascii="Palatino Linotype" w:hAnsi="Palatino Linotype" w:cs="Tahoma"/>
          <w:color w:val="000000"/>
          <w:sz w:val="22"/>
          <w:szCs w:val="22"/>
        </w:rPr>
      </w:pPr>
    </w:p>
    <w:p w14:paraId="11CE1325" w14:textId="77777777" w:rsidR="00703ED0" w:rsidRPr="00B01DA4" w:rsidRDefault="00703ED0" w:rsidP="003A4DEE">
      <w:pPr>
        <w:autoSpaceDE w:val="0"/>
        <w:autoSpaceDN w:val="0"/>
        <w:adjustRightInd w:val="0"/>
        <w:spacing w:line="360" w:lineRule="auto"/>
        <w:ind w:right="-28"/>
        <w:contextualSpacing/>
        <w:jc w:val="both"/>
        <w:rPr>
          <w:rFonts w:ascii="Palatino Linotype" w:eastAsia="Calibri" w:hAnsi="Palatino Linotype" w:cs="Tahoma"/>
          <w:b/>
          <w:color w:val="000000"/>
          <w:sz w:val="22"/>
          <w:szCs w:val="22"/>
          <w:lang w:val="es-ES" w:eastAsia="es-MX"/>
        </w:rPr>
      </w:pPr>
      <w:r w:rsidRPr="00B01DA4">
        <w:rPr>
          <w:rFonts w:ascii="Palatino Linotype" w:eastAsia="Calibri" w:hAnsi="Palatino Linotype" w:cs="Tahoma"/>
          <w:b/>
          <w:color w:val="000000"/>
          <w:sz w:val="22"/>
          <w:szCs w:val="22"/>
          <w:lang w:val="es-ES" w:eastAsia="es-MX"/>
        </w:rPr>
        <w:t>SEGUNDO. Causales de improcedencia y sobreseimiento.</w:t>
      </w:r>
    </w:p>
    <w:p w14:paraId="29C12159" w14:textId="77777777" w:rsidR="00703ED0" w:rsidRPr="00B01DA4" w:rsidRDefault="00703ED0" w:rsidP="003A4DEE">
      <w:pPr>
        <w:autoSpaceDE w:val="0"/>
        <w:autoSpaceDN w:val="0"/>
        <w:adjustRightInd w:val="0"/>
        <w:spacing w:line="360" w:lineRule="auto"/>
        <w:contextualSpacing/>
        <w:jc w:val="both"/>
        <w:rPr>
          <w:rFonts w:ascii="Palatino Linotype" w:hAnsi="Palatino Linotype" w:cs="Tahoma"/>
          <w:sz w:val="22"/>
          <w:szCs w:val="22"/>
          <w:lang w:val="es-ES"/>
        </w:rPr>
      </w:pPr>
    </w:p>
    <w:p w14:paraId="712921EE" w14:textId="28577E1C" w:rsidR="00703ED0" w:rsidRPr="00B01DA4" w:rsidRDefault="00703ED0" w:rsidP="003A4DEE">
      <w:pPr>
        <w:autoSpaceDE w:val="0"/>
        <w:autoSpaceDN w:val="0"/>
        <w:adjustRightInd w:val="0"/>
        <w:spacing w:line="360" w:lineRule="auto"/>
        <w:contextualSpacing/>
        <w:jc w:val="both"/>
        <w:rPr>
          <w:rFonts w:ascii="Palatino Linotype" w:hAnsi="Palatino Linotype" w:cs="Tahoma"/>
          <w:sz w:val="22"/>
          <w:szCs w:val="22"/>
          <w:lang w:val="es-ES"/>
        </w:rPr>
      </w:pPr>
      <w:r w:rsidRPr="00B01DA4">
        <w:rPr>
          <w:rFonts w:ascii="Palatino Linotype" w:hAnsi="Palatino Linotype" w:cs="Tahoma"/>
          <w:sz w:val="22"/>
          <w:szCs w:val="22"/>
          <w:lang w:val="es-ES"/>
        </w:rPr>
        <w:t xml:space="preserve">De las constancias que forma parte del Recurso de Revisión que se analiza, se advierte que previo al estudio del fondo de la </w:t>
      </w:r>
      <w:r w:rsidRPr="00B01DA4">
        <w:rPr>
          <w:rFonts w:ascii="Palatino Linotype" w:hAnsi="Palatino Linotype" w:cs="Tahoma"/>
          <w:i/>
          <w:sz w:val="22"/>
          <w:szCs w:val="22"/>
          <w:lang w:val="es-ES"/>
        </w:rPr>
        <w:t>litis</w:t>
      </w:r>
      <w:r w:rsidRPr="00B01DA4">
        <w:rPr>
          <w:rFonts w:ascii="Palatino Linotype" w:hAnsi="Palatino Linotype" w:cs="Tahoma"/>
          <w:sz w:val="22"/>
          <w:szCs w:val="22"/>
          <w:lang w:val="es-ES"/>
        </w:rPr>
        <w:t>, es necesario estudiar las causales de improcedencia</w:t>
      </w:r>
      <w:r w:rsidR="008B4EF2" w:rsidRPr="00B01DA4">
        <w:rPr>
          <w:rFonts w:ascii="Palatino Linotype" w:hAnsi="Palatino Linotype" w:cs="Tahoma"/>
          <w:sz w:val="22"/>
          <w:szCs w:val="22"/>
          <w:lang w:val="es-ES"/>
        </w:rPr>
        <w:t xml:space="preserve"> y sobreseimiento</w:t>
      </w:r>
      <w:r w:rsidRPr="00B01DA4">
        <w:rPr>
          <w:rFonts w:ascii="Palatino Linotype" w:hAnsi="Palatino Linotype" w:cs="Tahoma"/>
          <w:sz w:val="22"/>
          <w:szCs w:val="22"/>
          <w:lang w:val="es-ES"/>
        </w:rPr>
        <w:t xml:space="preserve"> para determinar lo que en Derecho proceda.</w:t>
      </w:r>
    </w:p>
    <w:p w14:paraId="6DB39DEC" w14:textId="77777777" w:rsidR="008B4EF2" w:rsidRPr="00B01DA4" w:rsidRDefault="008B4EF2" w:rsidP="003A4DEE">
      <w:pPr>
        <w:autoSpaceDE w:val="0"/>
        <w:autoSpaceDN w:val="0"/>
        <w:adjustRightInd w:val="0"/>
        <w:spacing w:line="360" w:lineRule="auto"/>
        <w:contextualSpacing/>
        <w:jc w:val="both"/>
        <w:rPr>
          <w:rFonts w:ascii="Palatino Linotype" w:eastAsia="Calibri" w:hAnsi="Palatino Linotype" w:cs="Tahoma"/>
          <w:b/>
          <w:color w:val="000000"/>
          <w:sz w:val="22"/>
          <w:szCs w:val="22"/>
          <w:lang w:val="es-ES" w:eastAsia="es-MX"/>
        </w:rPr>
      </w:pPr>
    </w:p>
    <w:p w14:paraId="081474D3" w14:textId="508A88EC" w:rsidR="00703ED0" w:rsidRPr="00B01DA4" w:rsidRDefault="00703ED0" w:rsidP="003A4DEE">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r w:rsidRPr="00B01DA4">
        <w:rPr>
          <w:rFonts w:ascii="Palatino Linotype" w:eastAsia="Calibri" w:hAnsi="Palatino Linotype" w:cs="Tahoma"/>
          <w:b/>
          <w:color w:val="000000"/>
          <w:sz w:val="22"/>
          <w:szCs w:val="22"/>
          <w:lang w:val="es-ES" w:eastAsia="es-MX"/>
        </w:rPr>
        <w:t>Causales de improcedencia.</w:t>
      </w:r>
    </w:p>
    <w:p w14:paraId="3A3CF564" w14:textId="77777777" w:rsidR="007F2464" w:rsidRPr="00D47A95" w:rsidRDefault="007F2464" w:rsidP="003A4DEE">
      <w:pPr>
        <w:autoSpaceDE w:val="0"/>
        <w:autoSpaceDN w:val="0"/>
        <w:adjustRightInd w:val="0"/>
        <w:spacing w:line="360" w:lineRule="auto"/>
        <w:ind w:right="-28"/>
        <w:contextualSpacing/>
        <w:jc w:val="both"/>
        <w:rPr>
          <w:rFonts w:ascii="Palatino Linotype" w:eastAsia="Calibri" w:hAnsi="Palatino Linotype" w:cs="Tahoma"/>
          <w:b/>
          <w:color w:val="000000"/>
          <w:sz w:val="22"/>
          <w:szCs w:val="22"/>
          <w:lang w:val="es-ES" w:eastAsia="es-MX"/>
        </w:rPr>
      </w:pPr>
    </w:p>
    <w:p w14:paraId="4F9EDE82" w14:textId="77777777" w:rsidR="007F2464" w:rsidRPr="00D47A95" w:rsidRDefault="007F2464" w:rsidP="003A4DEE">
      <w:pPr>
        <w:autoSpaceDE w:val="0"/>
        <w:autoSpaceDN w:val="0"/>
        <w:adjustRightInd w:val="0"/>
        <w:spacing w:line="360" w:lineRule="auto"/>
        <w:ind w:right="-28"/>
        <w:contextualSpacing/>
        <w:jc w:val="both"/>
        <w:rPr>
          <w:rFonts w:ascii="Palatino Linotype" w:eastAsia="Calibri" w:hAnsi="Palatino Linotype" w:cs="Tahoma"/>
          <w:color w:val="000000"/>
          <w:sz w:val="22"/>
          <w:szCs w:val="22"/>
          <w:lang w:val="es-ES" w:eastAsia="es-MX"/>
        </w:rPr>
      </w:pPr>
      <w:r>
        <w:rPr>
          <w:rFonts w:ascii="Palatino Linotype" w:eastAsia="Calibri" w:hAnsi="Palatino Linotype" w:cs="Tahoma"/>
          <w:color w:val="000000"/>
          <w:sz w:val="22"/>
          <w:szCs w:val="22"/>
          <w:lang w:val="es-ES" w:eastAsia="es-MX"/>
        </w:rPr>
        <w:t>Este I</w:t>
      </w:r>
      <w:r w:rsidRPr="00D47A95">
        <w:rPr>
          <w:rFonts w:ascii="Palatino Linotype" w:eastAsia="Calibri" w:hAnsi="Palatino Linotype" w:cs="Tahoma"/>
          <w:color w:val="000000"/>
          <w:sz w:val="22"/>
          <w:szCs w:val="22"/>
          <w:lang w:val="es-ES" w:eastAsia="es-MX"/>
        </w:rPr>
        <w:t xml:space="preserve">nstituto realizará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w:t>
      </w:r>
      <w:r w:rsidRPr="00D47A95">
        <w:rPr>
          <w:rFonts w:ascii="Palatino Linotype" w:eastAsia="Calibri" w:hAnsi="Palatino Linotype" w:cs="Tahoma"/>
          <w:color w:val="000000"/>
          <w:sz w:val="22"/>
          <w:szCs w:val="22"/>
          <w:lang w:val="es-ES" w:eastAsia="es-MX"/>
        </w:rPr>
        <w:lastRenderedPageBreak/>
        <w:t>supuestos establecidos en el artículo 191 de la Ley de Transparencia y Acceso a la Información Pública del Estado de México y Municipios, por ser improcedente.</w:t>
      </w:r>
    </w:p>
    <w:p w14:paraId="1CCB119F" w14:textId="77777777" w:rsidR="007F2464" w:rsidRPr="00D47A95" w:rsidRDefault="007F2464" w:rsidP="003A4DEE">
      <w:pPr>
        <w:autoSpaceDE w:val="0"/>
        <w:autoSpaceDN w:val="0"/>
        <w:adjustRightInd w:val="0"/>
        <w:spacing w:line="360" w:lineRule="auto"/>
        <w:ind w:right="-28"/>
        <w:contextualSpacing/>
        <w:jc w:val="both"/>
        <w:rPr>
          <w:rFonts w:ascii="Palatino Linotype" w:eastAsia="Calibri" w:hAnsi="Palatino Linotype" w:cs="Tahoma"/>
          <w:color w:val="000000"/>
          <w:sz w:val="22"/>
          <w:szCs w:val="22"/>
          <w:lang w:val="es-ES" w:eastAsia="es-MX"/>
        </w:rPr>
      </w:pPr>
    </w:p>
    <w:p w14:paraId="356FC5EC" w14:textId="77777777" w:rsidR="007F2464" w:rsidRDefault="007F2464" w:rsidP="003A4DEE">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r>
        <w:rPr>
          <w:rFonts w:ascii="Palatino Linotype" w:hAnsi="Palatino Linotype" w:cs="Tahoma"/>
          <w:sz w:val="22"/>
          <w:szCs w:val="24"/>
        </w:rPr>
        <w:t>En el presente caso, </w:t>
      </w:r>
      <w:r w:rsidRPr="006C5C2E">
        <w:rPr>
          <w:rFonts w:ascii="Palatino Linotype" w:hAnsi="Palatino Linotype" w:cs="Tahoma"/>
          <w:sz w:val="22"/>
          <w:szCs w:val="24"/>
        </w:rPr>
        <w:t>no se actualiza ninguna de las causales de improcedencia</w:t>
      </w:r>
      <w:r>
        <w:rPr>
          <w:rFonts w:ascii="Palatino Linotype" w:hAnsi="Palatino Linotype" w:cs="Tahoma"/>
          <w:sz w:val="22"/>
          <w:szCs w:val="24"/>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 </w:t>
      </w:r>
      <w:r>
        <w:rPr>
          <w:rFonts w:ascii="Palatino Linotype" w:hAnsi="Palatino Linotype" w:cs="Tahoma"/>
          <w:sz w:val="22"/>
          <w:szCs w:val="22"/>
          <w:lang w:val="es-ES"/>
        </w:rPr>
        <w:t xml:space="preserve">además de que </w:t>
      </w:r>
      <w:r>
        <w:rPr>
          <w:rFonts w:ascii="Palatino Linotype" w:eastAsia="Calibri" w:hAnsi="Palatino Linotype" w:cs="Tahoma"/>
          <w:color w:val="000000"/>
          <w:sz w:val="22"/>
          <w:szCs w:val="22"/>
          <w:lang w:val="es-ES" w:eastAsia="es-MX"/>
        </w:rPr>
        <w:t>el Medio de Impugnación fue presentado en tiempo.</w:t>
      </w:r>
    </w:p>
    <w:p w14:paraId="1C08BB50" w14:textId="77777777" w:rsidR="007F2464" w:rsidRDefault="007F2464" w:rsidP="003A4DEE">
      <w:pPr>
        <w:autoSpaceDE w:val="0"/>
        <w:autoSpaceDN w:val="0"/>
        <w:adjustRightInd w:val="0"/>
        <w:spacing w:line="360" w:lineRule="auto"/>
        <w:contextualSpacing/>
        <w:jc w:val="both"/>
        <w:rPr>
          <w:rFonts w:ascii="Palatino Linotype" w:eastAsia="Calibri" w:hAnsi="Palatino Linotype" w:cs="Tahoma"/>
          <w:color w:val="000000"/>
          <w:sz w:val="22"/>
          <w:szCs w:val="22"/>
          <w:lang w:val="es-ES" w:eastAsia="es-MX"/>
        </w:rPr>
      </w:pPr>
    </w:p>
    <w:p w14:paraId="1606B7F8" w14:textId="77777777" w:rsidR="007F2464" w:rsidRDefault="007F2464" w:rsidP="003A4DEE">
      <w:pPr>
        <w:widowControl w:val="0"/>
        <w:spacing w:line="360" w:lineRule="auto"/>
        <w:contextualSpacing/>
        <w:jc w:val="both"/>
        <w:rPr>
          <w:rFonts w:ascii="Palatino Linotype" w:hAnsi="Palatino Linotype" w:cs="Tahoma"/>
          <w:sz w:val="22"/>
          <w:szCs w:val="22"/>
        </w:rPr>
      </w:pPr>
      <w:r>
        <w:rPr>
          <w:rFonts w:ascii="Palatino Linotype" w:hAnsi="Palatino Linotype" w:cs="Tahoma"/>
          <w:sz w:val="22"/>
          <w:szCs w:val="22"/>
        </w:rPr>
        <w:t xml:space="preserve">Asimismo, se actualiza la causal de procedencia del Recurso de Revisión señalada en el artículo 179, fracción VII, de la Ley en cita, </w:t>
      </w:r>
      <w:r>
        <w:rPr>
          <w:rFonts w:ascii="Palatino Linotype" w:eastAsia="Calibri" w:hAnsi="Palatino Linotype" w:cs="Tahoma"/>
          <w:color w:val="000000"/>
          <w:sz w:val="22"/>
          <w:szCs w:val="22"/>
          <w:lang w:eastAsia="es-MX"/>
        </w:rPr>
        <w:t xml:space="preserve">pues la Recurrente se inconformó con </w:t>
      </w:r>
      <w:r>
        <w:rPr>
          <w:rFonts w:ascii="Palatino Linotype" w:hAnsi="Palatino Linotype" w:cs="Tahoma"/>
          <w:sz w:val="22"/>
          <w:szCs w:val="22"/>
        </w:rPr>
        <w:t>la falta de respuesta a su solicitud de acceso a la información pública.</w:t>
      </w:r>
    </w:p>
    <w:p w14:paraId="1ACC58A6" w14:textId="77777777" w:rsidR="007F2464" w:rsidRDefault="007F2464" w:rsidP="003A4DEE">
      <w:pPr>
        <w:widowControl w:val="0"/>
        <w:spacing w:line="360" w:lineRule="auto"/>
        <w:contextualSpacing/>
        <w:jc w:val="both"/>
        <w:rPr>
          <w:rFonts w:ascii="Palatino Linotype" w:hAnsi="Palatino Linotype" w:cs="Tahoma"/>
          <w:sz w:val="22"/>
          <w:szCs w:val="22"/>
        </w:rPr>
      </w:pPr>
    </w:p>
    <w:p w14:paraId="2C718A95" w14:textId="77777777" w:rsidR="007F2464" w:rsidRDefault="007F2464" w:rsidP="003A4DEE">
      <w:pPr>
        <w:spacing w:line="360" w:lineRule="auto"/>
        <w:contextualSpacing/>
        <w:jc w:val="both"/>
        <w:rPr>
          <w:rFonts w:ascii="Palatino Linotype" w:hAnsi="Palatino Linotype" w:cs="Tahoma"/>
          <w:bCs/>
          <w:color w:val="000000"/>
          <w:sz w:val="22"/>
          <w:szCs w:val="22"/>
        </w:rPr>
      </w:pPr>
      <w:r w:rsidRPr="006A6B3D">
        <w:rPr>
          <w:rFonts w:ascii="Palatino Linotype" w:hAnsi="Palatino Linotype" w:cs="Tahoma"/>
          <w:bCs/>
          <w:color w:val="000000"/>
          <w:sz w:val="22"/>
          <w:szCs w:val="22"/>
        </w:rPr>
        <w:t>Además, el último párrafo, de dicho artículo, establece que procede un Medio de Impugnación, en contra de las respuestas otorgadas por los sujetos obligados, en cumplimiento a una resolución de otro diverso, en el cual, la controversia recaiga, en la falta de respuesta a una solicitud de información.</w:t>
      </w:r>
    </w:p>
    <w:p w14:paraId="1ADE4B66" w14:textId="77777777" w:rsidR="007F2464" w:rsidRDefault="007F2464" w:rsidP="003A4DEE">
      <w:pPr>
        <w:spacing w:line="360" w:lineRule="auto"/>
        <w:contextualSpacing/>
        <w:jc w:val="both"/>
        <w:rPr>
          <w:rFonts w:ascii="Palatino Linotype" w:hAnsi="Palatino Linotype" w:cs="Tahoma"/>
          <w:bCs/>
          <w:color w:val="000000"/>
          <w:sz w:val="22"/>
          <w:szCs w:val="22"/>
        </w:rPr>
      </w:pPr>
    </w:p>
    <w:p w14:paraId="5CFF56A7" w14:textId="6FB542FD" w:rsidR="007F2464" w:rsidRDefault="007F2464" w:rsidP="003A4DEE">
      <w:pPr>
        <w:spacing w:line="360" w:lineRule="auto"/>
        <w:contextualSpacing/>
        <w:jc w:val="both"/>
        <w:rPr>
          <w:rFonts w:ascii="Palatino Linotype" w:hAnsi="Palatino Linotype" w:cs="Tahoma"/>
          <w:bCs/>
          <w:color w:val="000000"/>
          <w:sz w:val="22"/>
          <w:szCs w:val="22"/>
        </w:rPr>
      </w:pPr>
      <w:r w:rsidRPr="006A6B3D">
        <w:rPr>
          <w:rFonts w:ascii="Palatino Linotype" w:hAnsi="Palatino Linotype" w:cs="Tahoma"/>
          <w:bCs/>
          <w:color w:val="000000"/>
          <w:sz w:val="22"/>
          <w:szCs w:val="22"/>
        </w:rPr>
        <w:t xml:space="preserve">En ese orden de ideas, cabe referir que en el expediente con número de folio </w:t>
      </w:r>
      <w:r w:rsidR="00810FD6">
        <w:rPr>
          <w:rFonts w:ascii="Palatino Linotype" w:eastAsia="Calibri" w:hAnsi="Palatino Linotype" w:cs="Tahoma"/>
          <w:sz w:val="22"/>
          <w:szCs w:val="22"/>
          <w:lang w:eastAsia="en-US"/>
        </w:rPr>
        <w:t>17571</w:t>
      </w:r>
      <w:r w:rsidR="004B59F2" w:rsidRPr="004B59F2">
        <w:rPr>
          <w:rFonts w:ascii="Palatino Linotype" w:eastAsia="Calibri" w:hAnsi="Palatino Linotype" w:cs="Tahoma"/>
          <w:sz w:val="22"/>
          <w:szCs w:val="22"/>
          <w:lang w:eastAsia="en-US"/>
        </w:rPr>
        <w:t>/INFOEM/IP/RR/2022</w:t>
      </w:r>
      <w:r w:rsidRPr="006A6B3D">
        <w:rPr>
          <w:rFonts w:ascii="Palatino Linotype" w:hAnsi="Palatino Linotype" w:cs="Tahoma"/>
          <w:bCs/>
          <w:color w:val="000000"/>
          <w:sz w:val="22"/>
          <w:szCs w:val="22"/>
        </w:rPr>
        <w:t xml:space="preserve">, se dictó Resolución, en la cual se determinó como causal de procedencia, la fracción VII, del artículo 179 de la Ley de Transparencia y Acceso a la Información Pública del Estado de México y Municipios, es decir, de la falta de respuesta; además, se concluyó </w:t>
      </w:r>
      <w:r w:rsidRPr="006A6B3D">
        <w:rPr>
          <w:rFonts w:ascii="Palatino Linotype" w:hAnsi="Palatino Linotype" w:cs="Tahoma"/>
          <w:b/>
          <w:color w:val="000000"/>
          <w:sz w:val="22"/>
          <w:szCs w:val="22"/>
        </w:rPr>
        <w:t xml:space="preserve">ORDENAR </w:t>
      </w:r>
      <w:r w:rsidRPr="006A6B3D">
        <w:rPr>
          <w:rFonts w:ascii="Palatino Linotype" w:hAnsi="Palatino Linotype" w:cs="Tahoma"/>
          <w:bCs/>
          <w:color w:val="000000"/>
          <w:sz w:val="22"/>
          <w:szCs w:val="22"/>
        </w:rPr>
        <w:t xml:space="preserve">al </w:t>
      </w:r>
      <w:r>
        <w:rPr>
          <w:rFonts w:ascii="Palatino Linotype" w:hAnsi="Palatino Linotype" w:cs="Tahoma"/>
          <w:bCs/>
          <w:color w:val="000000"/>
          <w:sz w:val="22"/>
          <w:szCs w:val="22"/>
        </w:rPr>
        <w:t>Ayuntamiento de Zinacantepec</w:t>
      </w:r>
      <w:r w:rsidRPr="006A6B3D">
        <w:rPr>
          <w:rFonts w:ascii="Palatino Linotype" w:hAnsi="Palatino Linotype" w:cs="Tahoma"/>
          <w:bCs/>
          <w:color w:val="000000"/>
          <w:sz w:val="22"/>
          <w:szCs w:val="22"/>
        </w:rPr>
        <w:t xml:space="preserve">, </w:t>
      </w:r>
      <w:r w:rsidR="0055029A" w:rsidRPr="0055029A">
        <w:rPr>
          <w:rFonts w:ascii="Palatino Linotype" w:hAnsi="Palatino Linotype" w:cs="Tahoma"/>
          <w:bCs/>
          <w:color w:val="000000"/>
          <w:sz w:val="22"/>
          <w:szCs w:val="22"/>
        </w:rPr>
        <w:t>a través del Sistema de Acceso a la Información Mexiquense (SAIMEX), a entregar la información solicitada.</w:t>
      </w:r>
    </w:p>
    <w:p w14:paraId="4B376F13" w14:textId="4DB37C99" w:rsidR="007F2464" w:rsidRDefault="007F2464" w:rsidP="003A4DEE">
      <w:pPr>
        <w:spacing w:line="360" w:lineRule="auto"/>
        <w:contextualSpacing/>
        <w:jc w:val="both"/>
        <w:rPr>
          <w:rFonts w:ascii="Palatino Linotype" w:hAnsi="Palatino Linotype" w:cs="Tahoma"/>
          <w:bCs/>
          <w:color w:val="000000"/>
          <w:sz w:val="22"/>
          <w:szCs w:val="22"/>
        </w:rPr>
      </w:pPr>
      <w:r w:rsidRPr="006C5C2E">
        <w:rPr>
          <w:rFonts w:ascii="Palatino Linotype" w:hAnsi="Palatino Linotype" w:cs="Tahoma"/>
          <w:sz w:val="22"/>
          <w:szCs w:val="22"/>
          <w:lang w:val="es-ES"/>
        </w:rPr>
        <w:lastRenderedPageBreak/>
        <w:t xml:space="preserve">Ahora bien, de las constancias que obran en el expediente, se advierte que el Sujeto Obligado omitió dar cumplimiento a la Resolución del Recurso de Revisión referido en el párrafo anterior; así, el ahora Recurrente se inconformó con la falta de contestación, con lo cual, se concluye que se actualiza el último párrafo del artículo 179 de la Ley de Transparencia y Acceso a la Información Pública del Estado de México y Municipios, toda vez que la controversia en el Recurso de Revisión </w:t>
      </w:r>
      <w:r w:rsidR="00810FD6">
        <w:rPr>
          <w:rFonts w:ascii="Palatino Linotype" w:eastAsia="Calibri" w:hAnsi="Palatino Linotype" w:cs="Tahoma"/>
          <w:sz w:val="22"/>
          <w:szCs w:val="22"/>
          <w:lang w:eastAsia="en-US"/>
        </w:rPr>
        <w:t>17571</w:t>
      </w:r>
      <w:r w:rsidR="004B59F2" w:rsidRPr="004B59F2">
        <w:rPr>
          <w:rFonts w:ascii="Palatino Linotype" w:eastAsia="Calibri" w:hAnsi="Palatino Linotype" w:cs="Tahoma"/>
          <w:sz w:val="22"/>
          <w:szCs w:val="22"/>
          <w:lang w:eastAsia="en-US"/>
        </w:rPr>
        <w:t>/INFOEM/IP/RR/2022</w:t>
      </w:r>
      <w:r w:rsidRPr="006C5C2E">
        <w:rPr>
          <w:rFonts w:ascii="Palatino Linotype" w:hAnsi="Palatino Linotype" w:cs="Tahoma"/>
          <w:bCs/>
          <w:color w:val="000000"/>
          <w:sz w:val="22"/>
          <w:szCs w:val="22"/>
        </w:rPr>
        <w:t xml:space="preserve">, se fijó en la falta de respuesta al requerimiento informativo. </w:t>
      </w:r>
    </w:p>
    <w:p w14:paraId="681E375D" w14:textId="77777777" w:rsidR="00F22F78" w:rsidRDefault="00F22F78" w:rsidP="003A4DEE">
      <w:pPr>
        <w:spacing w:line="360" w:lineRule="auto"/>
        <w:contextualSpacing/>
        <w:jc w:val="both"/>
        <w:rPr>
          <w:rFonts w:ascii="Palatino Linotype" w:hAnsi="Palatino Linotype" w:cs="Tahoma"/>
          <w:bCs/>
          <w:color w:val="000000"/>
          <w:sz w:val="22"/>
          <w:szCs w:val="22"/>
        </w:rPr>
      </w:pPr>
    </w:p>
    <w:p w14:paraId="28AD0EA9" w14:textId="77777777" w:rsidR="007F2464" w:rsidRPr="006C5C2E" w:rsidRDefault="007F2464" w:rsidP="003A4DEE">
      <w:pPr>
        <w:spacing w:line="360" w:lineRule="auto"/>
        <w:contextualSpacing/>
        <w:jc w:val="both"/>
        <w:rPr>
          <w:rFonts w:ascii="Palatino Linotype" w:hAnsi="Palatino Linotype" w:cs="Tahoma"/>
          <w:sz w:val="22"/>
          <w:szCs w:val="22"/>
          <w:lang w:val="es-ES"/>
        </w:rPr>
      </w:pPr>
      <w:r w:rsidRPr="006C5C2E">
        <w:rPr>
          <w:rFonts w:ascii="Palatino Linotype" w:hAnsi="Palatino Linotype" w:cs="Tahoma"/>
          <w:bCs/>
          <w:color w:val="000000"/>
          <w:sz w:val="22"/>
          <w:szCs w:val="22"/>
        </w:rPr>
        <w:t>Así, ante la falta de contestación de dicha determinación, procede el presente Medio de Impugnación</w:t>
      </w:r>
      <w:r>
        <w:rPr>
          <w:rFonts w:ascii="Palatino Linotype" w:hAnsi="Palatino Linotype" w:cs="Tahoma"/>
          <w:bCs/>
          <w:color w:val="000000"/>
          <w:sz w:val="22"/>
          <w:szCs w:val="22"/>
        </w:rPr>
        <w:t xml:space="preserve">; aunado que, </w:t>
      </w:r>
      <w:r w:rsidRPr="006C5C2E">
        <w:rPr>
          <w:rFonts w:ascii="Palatino Linotype" w:hAnsi="Palatino Linotype" w:cs="Tahoma"/>
          <w:sz w:val="22"/>
          <w:szCs w:val="22"/>
          <w:lang w:val="es-ES"/>
        </w:rPr>
        <w:t>en el caso concreto, resulta aplicable el supuesto previsto en la fracción VII, de dicho artículo, dado que el Particular, se inconformó con la reiterada falta de respuesta por parte del Ente Recurrido.</w:t>
      </w:r>
    </w:p>
    <w:p w14:paraId="2ED25587" w14:textId="77777777" w:rsidR="007D7603" w:rsidRPr="00B01DA4" w:rsidRDefault="007D7603" w:rsidP="003A4DEE">
      <w:pPr>
        <w:widowControl w:val="0"/>
        <w:spacing w:line="360" w:lineRule="auto"/>
        <w:contextualSpacing/>
        <w:jc w:val="both"/>
        <w:rPr>
          <w:rFonts w:ascii="Palatino Linotype" w:hAnsi="Palatino Linotype"/>
          <w:color w:val="222222"/>
        </w:rPr>
      </w:pPr>
    </w:p>
    <w:p w14:paraId="6D3F92FA" w14:textId="219C4476" w:rsidR="00200645" w:rsidRPr="00B01DA4" w:rsidRDefault="00703ED0" w:rsidP="003A4DEE">
      <w:pPr>
        <w:spacing w:line="360" w:lineRule="auto"/>
        <w:ind w:right="-28"/>
        <w:contextualSpacing/>
        <w:jc w:val="both"/>
        <w:rPr>
          <w:rFonts w:ascii="Palatino Linotype" w:eastAsia="Calibri" w:hAnsi="Palatino Linotype" w:cs="Tahoma"/>
          <w:b/>
          <w:sz w:val="22"/>
          <w:szCs w:val="22"/>
          <w:lang w:val="es-ES" w:eastAsia="es-ES_tradnl"/>
        </w:rPr>
      </w:pPr>
      <w:r w:rsidRPr="00B01DA4">
        <w:rPr>
          <w:rFonts w:ascii="Palatino Linotype" w:eastAsia="Calibri" w:hAnsi="Palatino Linotype" w:cs="Tahoma"/>
          <w:b/>
          <w:sz w:val="22"/>
          <w:szCs w:val="22"/>
          <w:lang w:val="es-ES" w:eastAsia="es-ES_tradnl"/>
        </w:rPr>
        <w:t>Causales de sobreseimiento.</w:t>
      </w:r>
    </w:p>
    <w:p w14:paraId="02FB28A1" w14:textId="77777777" w:rsidR="003434D5" w:rsidRPr="00B01DA4" w:rsidRDefault="003434D5" w:rsidP="003A4DEE">
      <w:pPr>
        <w:spacing w:line="360" w:lineRule="auto"/>
        <w:ind w:right="-28"/>
        <w:contextualSpacing/>
        <w:jc w:val="both"/>
        <w:rPr>
          <w:rFonts w:ascii="Palatino Linotype" w:eastAsia="Calibri" w:hAnsi="Palatino Linotype" w:cs="Tahoma"/>
          <w:sz w:val="22"/>
          <w:szCs w:val="22"/>
          <w:lang w:val="es-ES" w:eastAsia="es-ES_tradnl"/>
        </w:rPr>
      </w:pPr>
    </w:p>
    <w:p w14:paraId="05A8F792" w14:textId="567BFA56" w:rsidR="00703ED0" w:rsidRPr="00B01DA4" w:rsidRDefault="00703ED0" w:rsidP="003A4DEE">
      <w:pPr>
        <w:spacing w:line="360" w:lineRule="auto"/>
        <w:ind w:right="-28"/>
        <w:contextualSpacing/>
        <w:jc w:val="both"/>
        <w:rPr>
          <w:rFonts w:ascii="Palatino Linotype" w:eastAsia="Calibri" w:hAnsi="Palatino Linotype" w:cs="Tahoma"/>
          <w:sz w:val="22"/>
          <w:szCs w:val="22"/>
          <w:lang w:val="es-ES" w:eastAsia="es-ES_tradnl"/>
        </w:rPr>
      </w:pPr>
      <w:r w:rsidRPr="00B01DA4">
        <w:rPr>
          <w:rFonts w:ascii="Palatino Linotype" w:hAnsi="Palatino Linotype" w:cs="Tahoma"/>
          <w:sz w:val="22"/>
          <w:szCs w:val="24"/>
        </w:rPr>
        <w:t>Por ser de previo y especial pronunciamiento, este Instituto analiza si se actualiza alguna causal de sobreseimiento.</w:t>
      </w:r>
    </w:p>
    <w:p w14:paraId="3E2E4879" w14:textId="77777777" w:rsidR="00703ED0" w:rsidRPr="00B01DA4" w:rsidRDefault="00703ED0" w:rsidP="003A4DEE">
      <w:pPr>
        <w:spacing w:line="360" w:lineRule="auto"/>
        <w:contextualSpacing/>
        <w:jc w:val="both"/>
        <w:rPr>
          <w:rFonts w:ascii="Palatino Linotype" w:hAnsi="Palatino Linotype" w:cs="Tahoma"/>
          <w:sz w:val="22"/>
          <w:szCs w:val="24"/>
        </w:rPr>
      </w:pPr>
    </w:p>
    <w:p w14:paraId="109F18C9" w14:textId="77777777" w:rsidR="00703ED0" w:rsidRPr="00B01DA4" w:rsidRDefault="00703ED0" w:rsidP="003A4DEE">
      <w:pPr>
        <w:spacing w:line="360" w:lineRule="auto"/>
        <w:contextualSpacing/>
        <w:jc w:val="both"/>
        <w:rPr>
          <w:rFonts w:ascii="Palatino Linotype" w:hAnsi="Palatino Linotype" w:cs="Tahoma"/>
          <w:sz w:val="22"/>
          <w:szCs w:val="24"/>
        </w:rPr>
      </w:pPr>
      <w:r w:rsidRPr="00B01DA4">
        <w:rPr>
          <w:rFonts w:ascii="Palatino Linotype" w:hAnsi="Palatino Linotype" w:cs="Tahoma"/>
          <w:sz w:val="22"/>
          <w:szCs w:val="24"/>
        </w:rPr>
        <w:t>El artículo 192 de la Ley Transparencia y Acceso a la Información Pública del Estado de México y Municipios, señala las causales por las cuales se puede sobreseer en todo o en parte, el Recurso de Revisión; así, del análisis realizado por este Instituto, se advierte que no se actualiza algún supuesto de sobreseimiento; lo anterior, en virtud de que no hay constancias en el expediente en que se actúa, de que el Recurrente se haya desistido del recurso, haya fallecido, sobreviniera alguna causal de improcedencia, que el Sujeto Obligado hubiese modificado o revocado el acto impugnado o bien, haya quedado sin materia.</w:t>
      </w:r>
    </w:p>
    <w:p w14:paraId="42868DCB" w14:textId="77777777" w:rsidR="00703ED0" w:rsidRPr="00B01DA4" w:rsidRDefault="00703ED0" w:rsidP="003A4DEE">
      <w:pPr>
        <w:spacing w:line="360" w:lineRule="auto"/>
        <w:contextualSpacing/>
        <w:jc w:val="both"/>
        <w:rPr>
          <w:rFonts w:ascii="Palatino Linotype" w:hAnsi="Palatino Linotype" w:cs="Tahoma"/>
          <w:sz w:val="22"/>
          <w:szCs w:val="24"/>
        </w:rPr>
      </w:pPr>
    </w:p>
    <w:p w14:paraId="3EFA761E" w14:textId="77777777" w:rsidR="00703ED0" w:rsidRPr="00B01DA4" w:rsidRDefault="00703ED0" w:rsidP="003A4DEE">
      <w:pPr>
        <w:spacing w:line="360" w:lineRule="auto"/>
        <w:contextualSpacing/>
        <w:jc w:val="both"/>
        <w:rPr>
          <w:rFonts w:ascii="Palatino Linotype" w:hAnsi="Palatino Linotype" w:cs="Tahoma"/>
          <w:sz w:val="22"/>
          <w:szCs w:val="24"/>
          <w:lang w:val="es-ES"/>
        </w:rPr>
      </w:pPr>
      <w:r w:rsidRPr="00B01DA4">
        <w:rPr>
          <w:rFonts w:ascii="Palatino Linotype" w:hAnsi="Palatino Linotype" w:cs="Tahoma"/>
          <w:bCs/>
          <w:sz w:val="22"/>
          <w:szCs w:val="24"/>
          <w:lang w:val="es-ES"/>
        </w:rPr>
        <w:t xml:space="preserve">Por tales motivos, </w:t>
      </w:r>
      <w:r w:rsidRPr="00B01DA4">
        <w:rPr>
          <w:rFonts w:ascii="Palatino Linotype" w:hAnsi="Palatino Linotype" w:cs="Tahoma"/>
          <w:sz w:val="22"/>
          <w:szCs w:val="24"/>
          <w:lang w:val="es-ES"/>
        </w:rPr>
        <w:t>se considera procedente entrar al fondo del presente asunto.</w:t>
      </w:r>
    </w:p>
    <w:p w14:paraId="6ACBF100" w14:textId="77777777" w:rsidR="00703ED0" w:rsidRPr="00B01DA4" w:rsidRDefault="00703ED0" w:rsidP="003A4DEE">
      <w:pPr>
        <w:tabs>
          <w:tab w:val="left" w:pos="4962"/>
        </w:tabs>
        <w:spacing w:line="360" w:lineRule="auto"/>
        <w:ind w:right="-28"/>
        <w:contextualSpacing/>
        <w:jc w:val="both"/>
        <w:rPr>
          <w:rFonts w:ascii="Palatino Linotype" w:eastAsia="Calibri" w:hAnsi="Palatino Linotype" w:cs="Tahoma"/>
          <w:b/>
          <w:iCs/>
          <w:sz w:val="22"/>
          <w:szCs w:val="22"/>
          <w:lang w:val="es-ES" w:eastAsia="es-ES_tradnl"/>
        </w:rPr>
      </w:pPr>
      <w:r w:rsidRPr="00B01DA4">
        <w:rPr>
          <w:rFonts w:ascii="Palatino Linotype" w:eastAsia="Calibri" w:hAnsi="Palatino Linotype" w:cs="Tahoma"/>
          <w:b/>
          <w:iCs/>
          <w:sz w:val="22"/>
          <w:szCs w:val="22"/>
          <w:lang w:val="es-ES" w:eastAsia="es-ES_tradnl"/>
        </w:rPr>
        <w:lastRenderedPageBreak/>
        <w:t xml:space="preserve">TERCERO. Determinación de la Controversia. </w:t>
      </w:r>
    </w:p>
    <w:p w14:paraId="2CE97D9E" w14:textId="77777777" w:rsidR="00703ED0" w:rsidRPr="00B01DA4" w:rsidRDefault="00703ED0" w:rsidP="003A4DEE">
      <w:pPr>
        <w:tabs>
          <w:tab w:val="left" w:pos="4962"/>
        </w:tabs>
        <w:spacing w:line="360" w:lineRule="auto"/>
        <w:ind w:right="-28"/>
        <w:contextualSpacing/>
        <w:jc w:val="both"/>
        <w:rPr>
          <w:rFonts w:ascii="Palatino Linotype" w:eastAsia="Calibri" w:hAnsi="Palatino Linotype" w:cs="Tahoma"/>
          <w:sz w:val="22"/>
          <w:szCs w:val="22"/>
          <w:lang w:val="es-ES" w:eastAsia="es-ES_tradnl"/>
        </w:rPr>
      </w:pPr>
    </w:p>
    <w:p w14:paraId="224A4678" w14:textId="2DF1D675" w:rsidR="0046392A" w:rsidRPr="0046392A" w:rsidRDefault="0046392A" w:rsidP="0046392A">
      <w:pPr>
        <w:spacing w:line="360" w:lineRule="auto"/>
        <w:contextualSpacing/>
        <w:jc w:val="both"/>
        <w:rPr>
          <w:rFonts w:ascii="Palatino Linotype" w:hAnsi="Palatino Linotype" w:cs="Tahoma"/>
          <w:bCs/>
          <w:sz w:val="22"/>
          <w:szCs w:val="22"/>
          <w:lang w:val="es-ES"/>
        </w:rPr>
      </w:pPr>
      <w:r w:rsidRPr="0046392A">
        <w:rPr>
          <w:rFonts w:ascii="Palatino Linotype" w:eastAsia="Calibri" w:hAnsi="Palatino Linotype" w:cs="Tahoma"/>
          <w:color w:val="000000"/>
          <w:sz w:val="22"/>
          <w:szCs w:val="24"/>
          <w:lang w:val="es-ES" w:eastAsia="es-MX"/>
        </w:rPr>
        <w:t>Con el objeto de ilustrar la controversia planteada, resulta conveniente precisar, que una vez realizado el estudio de las constancias que integran el expediente en que se actúa, se advierte que el Solicitante requirió todos los oficios mediante los cuales se design</w:t>
      </w:r>
      <w:r>
        <w:rPr>
          <w:rFonts w:ascii="Palatino Linotype" w:eastAsia="Calibri" w:hAnsi="Palatino Linotype" w:cs="Tahoma"/>
          <w:color w:val="000000"/>
          <w:sz w:val="22"/>
          <w:szCs w:val="24"/>
          <w:lang w:val="es-ES" w:eastAsia="es-MX"/>
        </w:rPr>
        <w:t>ó</w:t>
      </w:r>
      <w:r w:rsidRPr="0046392A">
        <w:rPr>
          <w:rFonts w:ascii="Palatino Linotype" w:eastAsia="Calibri" w:hAnsi="Palatino Linotype" w:cs="Tahoma"/>
          <w:color w:val="000000"/>
          <w:sz w:val="22"/>
          <w:szCs w:val="24"/>
          <w:lang w:val="es-ES" w:eastAsia="es-MX"/>
        </w:rPr>
        <w:t xml:space="preserve"> a los servidores públicos habilitados y enlaces de transparencia, del primero de enero de dos mil veintiuno al dieciocho de noviembre de dos mil veintidós.</w:t>
      </w:r>
    </w:p>
    <w:p w14:paraId="237D893E" w14:textId="77777777" w:rsidR="005D1047" w:rsidRPr="005D1047" w:rsidRDefault="005D1047" w:rsidP="003A4DEE">
      <w:pPr>
        <w:tabs>
          <w:tab w:val="left" w:pos="4962"/>
        </w:tabs>
        <w:spacing w:line="360" w:lineRule="auto"/>
        <w:ind w:right="-28"/>
        <w:jc w:val="both"/>
        <w:rPr>
          <w:rFonts w:ascii="Palatino Linotype" w:eastAsia="Calibri" w:hAnsi="Palatino Linotype" w:cs="Tahoma"/>
          <w:iCs/>
          <w:sz w:val="22"/>
          <w:szCs w:val="22"/>
          <w:lang w:val="es-ES" w:eastAsia="es-ES_tradnl"/>
        </w:rPr>
      </w:pPr>
    </w:p>
    <w:p w14:paraId="53869910" w14:textId="6171FB58" w:rsidR="0046392A" w:rsidRPr="0046392A" w:rsidRDefault="005D1047" w:rsidP="0046392A">
      <w:pPr>
        <w:tabs>
          <w:tab w:val="left" w:pos="4962"/>
        </w:tabs>
        <w:spacing w:line="360" w:lineRule="auto"/>
        <w:contextualSpacing/>
        <w:jc w:val="both"/>
        <w:rPr>
          <w:rFonts w:ascii="Palatino Linotype" w:eastAsia="Calibri" w:hAnsi="Palatino Linotype" w:cs="Tahoma"/>
          <w:iCs/>
          <w:color w:val="000000" w:themeColor="text1"/>
          <w:sz w:val="22"/>
          <w:szCs w:val="22"/>
          <w:lang w:val="es-ES" w:eastAsia="es-ES_tradnl"/>
        </w:rPr>
      </w:pPr>
      <w:r w:rsidRPr="005D1047">
        <w:rPr>
          <w:rFonts w:ascii="Palatino Linotype" w:eastAsia="Calibri" w:hAnsi="Palatino Linotype" w:cs="Tahoma"/>
          <w:iCs/>
          <w:color w:val="000000"/>
          <w:sz w:val="22"/>
          <w:szCs w:val="22"/>
          <w:lang w:val="es-ES" w:eastAsia="en-US"/>
        </w:rPr>
        <w:t xml:space="preserve">Ante la falta de respuesta del Ente Recurrido, el Particular, justamente se inconformó </w:t>
      </w:r>
      <w:r w:rsidR="0046392A">
        <w:rPr>
          <w:rFonts w:ascii="Palatino Linotype" w:eastAsia="Calibri" w:hAnsi="Palatino Linotype" w:cs="Tahoma"/>
          <w:iCs/>
          <w:color w:val="000000"/>
          <w:sz w:val="22"/>
          <w:szCs w:val="22"/>
          <w:lang w:val="es-ES" w:eastAsia="en-US"/>
        </w:rPr>
        <w:t>de dicha circunstancia</w:t>
      </w:r>
      <w:r w:rsidRPr="005D1047">
        <w:rPr>
          <w:rFonts w:ascii="Palatino Linotype" w:eastAsia="Calibri" w:hAnsi="Palatino Linotype" w:cs="Tahoma"/>
          <w:iCs/>
          <w:color w:val="000000"/>
          <w:sz w:val="22"/>
          <w:szCs w:val="22"/>
          <w:lang w:val="es-ES" w:eastAsia="en-US"/>
        </w:rPr>
        <w:t xml:space="preserve">, lo cual se actualiza el supuesto previsto en el artículo 179, fracción VII, de la Ley de Transparencia y Acceso a la Información Pública del Estado de México y Municipios. </w:t>
      </w:r>
      <w:r w:rsidR="0046392A" w:rsidRPr="0046392A">
        <w:rPr>
          <w:rFonts w:ascii="Palatino Linotype" w:eastAsia="Calibri" w:hAnsi="Palatino Linotype" w:cs="Tahoma"/>
          <w:iCs/>
          <w:color w:val="000000" w:themeColor="text1"/>
          <w:sz w:val="22"/>
          <w:szCs w:val="22"/>
          <w:lang w:val="es-ES" w:eastAsia="es-ES_tradnl"/>
        </w:rPr>
        <w:t xml:space="preserve">Así las cosas, una vez admitido y notificado el Recurso de Revisión a las partes, el Sujeto Obligado, precisó que </w:t>
      </w:r>
      <w:r w:rsidR="0046392A" w:rsidRPr="0046392A">
        <w:rPr>
          <w:rFonts w:ascii="Palatino Linotype" w:eastAsiaTheme="minorHAnsi" w:hAnsi="Palatino Linotype" w:cstheme="minorBidi"/>
          <w:color w:val="000000" w:themeColor="text1"/>
          <w:sz w:val="22"/>
          <w:szCs w:val="22"/>
          <w:lang w:eastAsia="en-US"/>
        </w:rPr>
        <w:t>los Servidores Públicos Habilitados eran designados por el Titular del Sujeto Obligado o bien</w:t>
      </w:r>
      <w:r w:rsidR="0046392A">
        <w:rPr>
          <w:rFonts w:ascii="Palatino Linotype" w:eastAsiaTheme="minorHAnsi" w:hAnsi="Palatino Linotype" w:cstheme="minorBidi"/>
          <w:color w:val="000000" w:themeColor="text1"/>
          <w:sz w:val="22"/>
          <w:szCs w:val="22"/>
          <w:lang w:eastAsia="en-US"/>
        </w:rPr>
        <w:t>,</w:t>
      </w:r>
      <w:r w:rsidR="0046392A" w:rsidRPr="0046392A">
        <w:rPr>
          <w:rFonts w:ascii="Palatino Linotype" w:eastAsiaTheme="minorHAnsi" w:hAnsi="Palatino Linotype" w:cstheme="minorBidi"/>
          <w:color w:val="000000" w:themeColor="text1"/>
          <w:sz w:val="22"/>
          <w:szCs w:val="22"/>
          <w:lang w:eastAsia="en-US"/>
        </w:rPr>
        <w:t xml:space="preserve"> a propuesta del Titular de la Unidad de Transparencia, por tal motivo dichos </w:t>
      </w:r>
      <w:r w:rsidR="0046392A">
        <w:rPr>
          <w:rFonts w:ascii="Palatino Linotype" w:eastAsiaTheme="minorHAnsi" w:hAnsi="Palatino Linotype" w:cstheme="minorBidi"/>
          <w:color w:val="000000" w:themeColor="text1"/>
          <w:sz w:val="22"/>
          <w:szCs w:val="22"/>
          <w:lang w:eastAsia="en-US"/>
        </w:rPr>
        <w:t>habilitados</w:t>
      </w:r>
      <w:r w:rsidR="0046392A" w:rsidRPr="0046392A">
        <w:rPr>
          <w:rFonts w:ascii="Palatino Linotype" w:eastAsiaTheme="minorHAnsi" w:hAnsi="Palatino Linotype" w:cstheme="minorBidi"/>
          <w:color w:val="000000" w:themeColor="text1"/>
          <w:sz w:val="22"/>
          <w:szCs w:val="22"/>
          <w:lang w:eastAsia="en-US"/>
        </w:rPr>
        <w:t xml:space="preserve"> eran los directores de cada una de las áreas que conforma</w:t>
      </w:r>
      <w:r w:rsidR="0046392A">
        <w:rPr>
          <w:rFonts w:ascii="Palatino Linotype" w:eastAsiaTheme="minorHAnsi" w:hAnsi="Palatino Linotype" w:cstheme="minorBidi"/>
          <w:color w:val="000000" w:themeColor="text1"/>
          <w:sz w:val="22"/>
          <w:szCs w:val="22"/>
          <w:lang w:eastAsia="en-US"/>
        </w:rPr>
        <w:t>ban</w:t>
      </w:r>
      <w:r w:rsidR="0046392A" w:rsidRPr="0046392A">
        <w:rPr>
          <w:rFonts w:ascii="Palatino Linotype" w:eastAsiaTheme="minorHAnsi" w:hAnsi="Palatino Linotype" w:cstheme="minorBidi"/>
          <w:color w:val="000000" w:themeColor="text1"/>
          <w:sz w:val="22"/>
          <w:szCs w:val="22"/>
          <w:lang w:eastAsia="en-US"/>
        </w:rPr>
        <w:t xml:space="preserve"> el Ayuntamiento de Zinacantepec, mismos que fungirán como los </w:t>
      </w:r>
      <w:r w:rsidR="0046392A">
        <w:rPr>
          <w:rFonts w:ascii="Palatino Linotype" w:eastAsiaTheme="minorHAnsi" w:hAnsi="Palatino Linotype" w:cstheme="minorBidi"/>
          <w:color w:val="000000" w:themeColor="text1"/>
          <w:sz w:val="22"/>
          <w:szCs w:val="22"/>
          <w:lang w:eastAsia="en-US"/>
        </w:rPr>
        <w:t>E</w:t>
      </w:r>
      <w:r w:rsidR="0046392A" w:rsidRPr="0046392A">
        <w:rPr>
          <w:rFonts w:ascii="Palatino Linotype" w:eastAsiaTheme="minorHAnsi" w:hAnsi="Palatino Linotype" w:cstheme="minorBidi"/>
          <w:color w:val="000000" w:themeColor="text1"/>
          <w:sz w:val="22"/>
          <w:szCs w:val="22"/>
          <w:lang w:eastAsia="en-US"/>
        </w:rPr>
        <w:t>nlaces de Transparencia.</w:t>
      </w:r>
    </w:p>
    <w:p w14:paraId="61EED3B9" w14:textId="6DAAD16D" w:rsidR="007D7603" w:rsidRDefault="007D7603" w:rsidP="003A4DEE">
      <w:pPr>
        <w:autoSpaceDE w:val="0"/>
        <w:autoSpaceDN w:val="0"/>
        <w:adjustRightInd w:val="0"/>
        <w:spacing w:line="360" w:lineRule="auto"/>
        <w:jc w:val="both"/>
        <w:rPr>
          <w:rFonts w:ascii="Palatino Linotype" w:eastAsia="Calibri" w:hAnsi="Palatino Linotype" w:cs="Tahoma"/>
          <w:iCs/>
          <w:sz w:val="22"/>
          <w:szCs w:val="22"/>
          <w:lang w:val="es-ES" w:eastAsia="es-ES_tradnl"/>
        </w:rPr>
      </w:pPr>
    </w:p>
    <w:p w14:paraId="08A03A90" w14:textId="14AED895" w:rsidR="00636984" w:rsidRPr="00636984" w:rsidRDefault="005D1047" w:rsidP="003A4DEE">
      <w:pPr>
        <w:tabs>
          <w:tab w:val="left" w:pos="4962"/>
        </w:tabs>
        <w:spacing w:line="360" w:lineRule="auto"/>
        <w:jc w:val="both"/>
        <w:rPr>
          <w:rFonts w:ascii="Palatino Linotype" w:eastAsia="Calibri" w:hAnsi="Palatino Linotype" w:cs="Tahoma"/>
          <w:bCs/>
          <w:color w:val="000000"/>
          <w:sz w:val="22"/>
          <w:szCs w:val="22"/>
          <w:lang w:eastAsia="en-US"/>
        </w:rPr>
      </w:pPr>
      <w:r>
        <w:rPr>
          <w:rFonts w:ascii="Palatino Linotype" w:eastAsia="Calibri" w:hAnsi="Palatino Linotype" w:cs="Tahoma"/>
          <w:iCs/>
          <w:sz w:val="22"/>
          <w:szCs w:val="22"/>
          <w:lang w:val="es-ES"/>
        </w:rPr>
        <w:t>Así,</w:t>
      </w:r>
      <w:r w:rsidR="002918AA">
        <w:rPr>
          <w:rFonts w:ascii="Palatino Linotype" w:eastAsia="Calibri" w:hAnsi="Palatino Linotype" w:cs="Tahoma"/>
          <w:iCs/>
          <w:sz w:val="22"/>
          <w:szCs w:val="22"/>
          <w:lang w:val="es-ES"/>
        </w:rPr>
        <w:t xml:space="preserve"> m</w:t>
      </w:r>
      <w:r w:rsidR="002918AA" w:rsidRPr="00D72D12">
        <w:rPr>
          <w:rFonts w:ascii="Palatino Linotype" w:eastAsia="Calibri" w:hAnsi="Palatino Linotype" w:cs="Tahoma"/>
          <w:iCs/>
          <w:sz w:val="22"/>
          <w:szCs w:val="22"/>
          <w:lang w:val="es-ES"/>
        </w:rPr>
        <w:t xml:space="preserve">ediante la Resolución del Recurso de Revisión </w:t>
      </w:r>
      <w:r w:rsidR="00810FD6">
        <w:rPr>
          <w:rFonts w:ascii="Palatino Linotype" w:hAnsi="Palatino Linotype" w:cs="Tahoma"/>
          <w:bCs/>
          <w:color w:val="000000"/>
          <w:sz w:val="22"/>
          <w:szCs w:val="22"/>
        </w:rPr>
        <w:t>17571</w:t>
      </w:r>
      <w:r w:rsidR="004B59F2" w:rsidRPr="004B59F2">
        <w:rPr>
          <w:rFonts w:ascii="Palatino Linotype" w:hAnsi="Palatino Linotype" w:cs="Tahoma"/>
          <w:bCs/>
          <w:color w:val="000000"/>
          <w:sz w:val="22"/>
          <w:szCs w:val="22"/>
        </w:rPr>
        <w:t>/INFOEM/IP/RR/2022</w:t>
      </w:r>
      <w:r w:rsidR="002918AA" w:rsidRPr="00D72D12">
        <w:rPr>
          <w:rFonts w:ascii="Palatino Linotype" w:hAnsi="Palatino Linotype" w:cs="Tahoma"/>
          <w:bCs/>
          <w:color w:val="000000"/>
          <w:sz w:val="22"/>
          <w:szCs w:val="22"/>
        </w:rPr>
        <w:t xml:space="preserve">, el Pleno de este Instituto, determinó como </w:t>
      </w:r>
      <w:r w:rsidR="002918AA" w:rsidRPr="00D72D12">
        <w:rPr>
          <w:rFonts w:ascii="Palatino Linotype" w:hAnsi="Palatino Linotype" w:cs="Tahoma"/>
          <w:b/>
          <w:color w:val="000000"/>
          <w:sz w:val="22"/>
          <w:szCs w:val="22"/>
        </w:rPr>
        <w:t xml:space="preserve">FUNDADO </w:t>
      </w:r>
      <w:r w:rsidR="002918AA" w:rsidRPr="00D72D12">
        <w:rPr>
          <w:rFonts w:ascii="Palatino Linotype" w:hAnsi="Palatino Linotype" w:cs="Tahoma"/>
          <w:bCs/>
          <w:color w:val="000000"/>
          <w:sz w:val="22"/>
          <w:szCs w:val="22"/>
        </w:rPr>
        <w:t xml:space="preserve">el agravio del Particular y </w:t>
      </w:r>
      <w:r w:rsidR="002918AA">
        <w:rPr>
          <w:rFonts w:ascii="Palatino Linotype" w:hAnsi="Palatino Linotype" w:cs="Tahoma"/>
          <w:bCs/>
          <w:color w:val="000000"/>
          <w:sz w:val="22"/>
          <w:szCs w:val="22"/>
        </w:rPr>
        <w:t xml:space="preserve">se </w:t>
      </w:r>
      <w:r w:rsidR="002918AA" w:rsidRPr="006C5C2E">
        <w:rPr>
          <w:rFonts w:ascii="Palatino Linotype" w:hAnsi="Palatino Linotype" w:cs="Tahoma"/>
          <w:bCs/>
          <w:color w:val="000000"/>
          <w:sz w:val="22"/>
          <w:szCs w:val="22"/>
        </w:rPr>
        <w:t xml:space="preserve">determinó procedente </w:t>
      </w:r>
      <w:r w:rsidR="002918AA" w:rsidRPr="006C5C2E">
        <w:rPr>
          <w:rFonts w:ascii="Palatino Linotype" w:hAnsi="Palatino Linotype" w:cs="Tahoma"/>
          <w:b/>
          <w:bCs/>
          <w:color w:val="000000"/>
          <w:sz w:val="22"/>
          <w:szCs w:val="22"/>
        </w:rPr>
        <w:t xml:space="preserve">ORDENAR </w:t>
      </w:r>
      <w:r w:rsidR="002918AA" w:rsidRPr="00D72D12">
        <w:rPr>
          <w:rFonts w:ascii="Palatino Linotype" w:hAnsi="Palatino Linotype" w:cs="Tahoma"/>
          <w:bCs/>
          <w:color w:val="000000"/>
          <w:sz w:val="22"/>
          <w:szCs w:val="22"/>
        </w:rPr>
        <w:t xml:space="preserve">al </w:t>
      </w:r>
      <w:r w:rsidR="002918AA">
        <w:rPr>
          <w:rFonts w:ascii="Palatino Linotype" w:hAnsi="Palatino Linotype" w:cs="Tahoma"/>
          <w:bCs/>
          <w:color w:val="000000"/>
          <w:sz w:val="22"/>
          <w:szCs w:val="22"/>
        </w:rPr>
        <w:t>Ayuntamiento de Zinacantepec</w:t>
      </w:r>
      <w:r w:rsidR="002918AA" w:rsidRPr="00D72D12">
        <w:rPr>
          <w:rFonts w:ascii="Palatino Linotype" w:hAnsi="Palatino Linotype" w:cs="Tahoma"/>
          <w:bCs/>
          <w:color w:val="000000"/>
          <w:sz w:val="22"/>
          <w:szCs w:val="22"/>
        </w:rPr>
        <w:t xml:space="preserve">, a efecto de que </w:t>
      </w:r>
      <w:r w:rsidR="0055029A">
        <w:rPr>
          <w:rFonts w:ascii="Palatino Linotype" w:hAnsi="Palatino Linotype" w:cs="Tahoma"/>
          <w:bCs/>
          <w:color w:val="000000"/>
          <w:sz w:val="22"/>
          <w:szCs w:val="22"/>
        </w:rPr>
        <w:t xml:space="preserve">entregara, </w:t>
      </w:r>
      <w:r w:rsidR="0046392A">
        <w:rPr>
          <w:rFonts w:ascii="Palatino Linotype" w:hAnsi="Palatino Linotype"/>
          <w:sz w:val="22"/>
          <w:szCs w:val="22"/>
        </w:rPr>
        <w:t xml:space="preserve">los documentos donde constara la </w:t>
      </w:r>
      <w:r w:rsidR="0046392A" w:rsidRPr="0046392A">
        <w:rPr>
          <w:rFonts w:ascii="Palatino Linotype" w:hAnsi="Palatino Linotype"/>
          <w:sz w:val="22"/>
          <w:szCs w:val="22"/>
        </w:rPr>
        <w:t>designación de los Servidores Públicos Habilitados y Enlaces de Transparencia, del primero de enero de dos mil veintiuno al dieciocho de noviembre de dos mil veintidós</w:t>
      </w:r>
      <w:r w:rsidR="00636984">
        <w:rPr>
          <w:rFonts w:ascii="Palatino Linotype" w:hAnsi="Palatino Linotype"/>
          <w:sz w:val="22"/>
          <w:szCs w:val="22"/>
        </w:rPr>
        <w:t xml:space="preserve">, además de ser necesario, el </w:t>
      </w:r>
      <w:r w:rsidR="00636984" w:rsidRPr="00636984">
        <w:rPr>
          <w:rFonts w:ascii="Palatino Linotype" w:eastAsia="Calibri" w:hAnsi="Palatino Linotype" w:cs="Tahoma"/>
          <w:iCs/>
          <w:sz w:val="22"/>
          <w:szCs w:val="22"/>
          <w:lang w:eastAsia="es-ES_tradnl"/>
        </w:rPr>
        <w:t xml:space="preserve">Acuerdo de Clasificación donde el Comité de Transparencia, </w:t>
      </w:r>
      <w:r w:rsidR="00636984">
        <w:rPr>
          <w:rFonts w:ascii="Palatino Linotype" w:eastAsia="Calibri" w:hAnsi="Palatino Linotype" w:cs="Tahoma"/>
          <w:iCs/>
          <w:sz w:val="22"/>
          <w:szCs w:val="22"/>
          <w:lang w:eastAsia="es-ES_tradnl"/>
        </w:rPr>
        <w:t xml:space="preserve">que </w:t>
      </w:r>
      <w:r w:rsidR="00636984" w:rsidRPr="00636984">
        <w:rPr>
          <w:rFonts w:ascii="Palatino Linotype" w:eastAsia="Calibri" w:hAnsi="Palatino Linotype" w:cs="Tahoma"/>
          <w:iCs/>
          <w:sz w:val="22"/>
          <w:szCs w:val="22"/>
          <w:lang w:eastAsia="es-ES_tradnl"/>
        </w:rPr>
        <w:t>confirme la eliminación de los datos o información clasificada, en la versión pública.</w:t>
      </w:r>
    </w:p>
    <w:p w14:paraId="12EAFC3B" w14:textId="77777777" w:rsidR="0055029A" w:rsidRDefault="0055029A" w:rsidP="003A4DEE">
      <w:pPr>
        <w:tabs>
          <w:tab w:val="left" w:pos="4962"/>
        </w:tabs>
        <w:spacing w:line="360" w:lineRule="auto"/>
        <w:contextualSpacing/>
        <w:jc w:val="both"/>
        <w:rPr>
          <w:rFonts w:ascii="Palatino Linotype" w:eastAsia="Calibri" w:hAnsi="Palatino Linotype" w:cs="Tahoma"/>
          <w:iCs/>
          <w:sz w:val="22"/>
          <w:szCs w:val="22"/>
          <w:lang w:val="es-ES" w:eastAsia="es-ES_tradnl"/>
        </w:rPr>
      </w:pPr>
    </w:p>
    <w:p w14:paraId="763FA680" w14:textId="77777777" w:rsidR="002918AA" w:rsidRPr="006C5C2E" w:rsidRDefault="002918AA" w:rsidP="003A4DEE">
      <w:pPr>
        <w:spacing w:line="360" w:lineRule="auto"/>
        <w:contextualSpacing/>
        <w:jc w:val="both"/>
        <w:rPr>
          <w:rFonts w:ascii="Palatino Linotype" w:hAnsi="Palatino Linotype" w:cs="Tahoma"/>
          <w:bCs/>
          <w:color w:val="000000"/>
          <w:sz w:val="22"/>
          <w:szCs w:val="22"/>
        </w:rPr>
      </w:pPr>
      <w:r w:rsidRPr="006C5C2E">
        <w:rPr>
          <w:rFonts w:ascii="Palatino Linotype" w:hAnsi="Palatino Linotype" w:cs="Tahoma"/>
          <w:bCs/>
          <w:color w:val="000000"/>
          <w:sz w:val="22"/>
          <w:szCs w:val="22"/>
        </w:rPr>
        <w:lastRenderedPageBreak/>
        <w:t>Ante la falta de cumplimiento a la determinación previamente señalada, el Solicitante, justamente se inconformó de dicha situación, al señalar no le habían proporcionado la información peticionada, lo cual actualiza el supuesto previsto en el artículo 179, fracción VII, de la Ley de Transparencia y Acceso a la Información Pública del Estado de México y Municipios. Así las cosas, una vez admitido y notificado el Recurso de Revisión a las partes, estas fueron omisas en realizar manifestaciones o alegatos.</w:t>
      </w:r>
    </w:p>
    <w:p w14:paraId="74839031" w14:textId="656DA6E7" w:rsidR="002918AA" w:rsidRDefault="002918AA" w:rsidP="003A4DEE">
      <w:pPr>
        <w:autoSpaceDE w:val="0"/>
        <w:autoSpaceDN w:val="0"/>
        <w:adjustRightInd w:val="0"/>
        <w:spacing w:line="360" w:lineRule="auto"/>
        <w:contextualSpacing/>
        <w:jc w:val="both"/>
        <w:rPr>
          <w:rFonts w:ascii="Palatino Linotype" w:eastAsia="Calibri" w:hAnsi="Palatino Linotype" w:cs="Tahoma"/>
          <w:iCs/>
          <w:sz w:val="22"/>
          <w:szCs w:val="22"/>
          <w:lang w:val="es-ES" w:eastAsia="es-ES_tradnl"/>
        </w:rPr>
      </w:pPr>
    </w:p>
    <w:p w14:paraId="7919053D" w14:textId="6E98E4B5" w:rsidR="002918AA" w:rsidRDefault="002918AA" w:rsidP="003A4DEE">
      <w:pPr>
        <w:tabs>
          <w:tab w:val="left" w:pos="4962"/>
        </w:tabs>
        <w:spacing w:line="360" w:lineRule="auto"/>
        <w:contextualSpacing/>
        <w:jc w:val="both"/>
        <w:rPr>
          <w:rFonts w:ascii="Palatino Linotype" w:eastAsia="Calibri" w:hAnsi="Palatino Linotype" w:cs="Tahoma"/>
          <w:bCs/>
          <w:sz w:val="22"/>
          <w:szCs w:val="22"/>
        </w:rPr>
      </w:pPr>
      <w:r w:rsidRPr="00325321">
        <w:rPr>
          <w:rFonts w:ascii="Palatino Linotype" w:eastAsia="Calibri" w:hAnsi="Palatino Linotype" w:cs="Tahoma"/>
          <w:iCs/>
          <w:sz w:val="22"/>
          <w:szCs w:val="22"/>
          <w:lang w:val="es-ES" w:eastAsia="es-ES_tradnl"/>
        </w:rPr>
        <w:t>Lo anterior, se desprende de las documentales que obran en el expediente de referencia, materia de la presente resolución, consistente</w:t>
      </w:r>
      <w:r>
        <w:rPr>
          <w:rFonts w:ascii="Palatino Linotype" w:eastAsia="Calibri" w:hAnsi="Palatino Linotype" w:cs="Tahoma"/>
          <w:iCs/>
          <w:sz w:val="22"/>
          <w:szCs w:val="22"/>
          <w:lang w:val="es-ES" w:eastAsia="es-ES_tradnl"/>
        </w:rPr>
        <w:t>s</w:t>
      </w:r>
      <w:r w:rsidRPr="00325321">
        <w:rPr>
          <w:rFonts w:ascii="Palatino Linotype" w:eastAsia="Calibri" w:hAnsi="Palatino Linotype" w:cs="Tahoma"/>
          <w:iCs/>
          <w:sz w:val="22"/>
          <w:szCs w:val="22"/>
          <w:lang w:val="es-ES" w:eastAsia="es-ES_tradnl"/>
        </w:rPr>
        <w:t xml:space="preserve"> en: la solicitud de acceso a la información</w:t>
      </w:r>
      <w:r>
        <w:rPr>
          <w:rFonts w:ascii="Palatino Linotype" w:eastAsia="Calibri" w:hAnsi="Palatino Linotype" w:cs="Tahoma"/>
          <w:iCs/>
          <w:sz w:val="22"/>
          <w:szCs w:val="22"/>
          <w:lang w:val="es-ES" w:eastAsia="es-ES_tradnl"/>
        </w:rPr>
        <w:t xml:space="preserve">; </w:t>
      </w:r>
      <w:r w:rsidRPr="00325321">
        <w:rPr>
          <w:rFonts w:ascii="Palatino Linotype" w:eastAsia="Calibri" w:hAnsi="Palatino Linotype" w:cs="Tahoma"/>
          <w:iCs/>
          <w:sz w:val="22"/>
          <w:szCs w:val="22"/>
          <w:lang w:eastAsia="es-ES_tradnl"/>
        </w:rPr>
        <w:t>el escrito recursal</w:t>
      </w:r>
      <w:r>
        <w:rPr>
          <w:rFonts w:ascii="Palatino Linotype" w:eastAsia="Calibri" w:hAnsi="Palatino Linotype" w:cs="Tahoma"/>
          <w:iCs/>
          <w:sz w:val="22"/>
          <w:szCs w:val="22"/>
          <w:lang w:eastAsia="es-ES_tradnl"/>
        </w:rPr>
        <w:t xml:space="preserve">; el informe justificado; la Resolución del Recurso de Revisión </w:t>
      </w:r>
      <w:r w:rsidR="00810FD6">
        <w:rPr>
          <w:rFonts w:ascii="Palatino Linotype" w:hAnsi="Palatino Linotype" w:cs="Tahoma"/>
          <w:bCs/>
          <w:color w:val="000000"/>
          <w:sz w:val="22"/>
          <w:szCs w:val="22"/>
        </w:rPr>
        <w:t>17571</w:t>
      </w:r>
      <w:r w:rsidR="00636984" w:rsidRPr="00636984">
        <w:rPr>
          <w:rFonts w:ascii="Palatino Linotype" w:hAnsi="Palatino Linotype" w:cs="Tahoma"/>
          <w:bCs/>
          <w:color w:val="000000"/>
          <w:sz w:val="22"/>
          <w:szCs w:val="22"/>
        </w:rPr>
        <w:t>/INFOEM/IP/RR/2022</w:t>
      </w:r>
      <w:r w:rsidR="00636984">
        <w:rPr>
          <w:rFonts w:ascii="Palatino Linotype" w:hAnsi="Palatino Linotype" w:cs="Tahoma"/>
          <w:bCs/>
          <w:color w:val="000000"/>
          <w:sz w:val="22"/>
          <w:szCs w:val="22"/>
        </w:rPr>
        <w:t xml:space="preserve"> </w:t>
      </w:r>
      <w:r>
        <w:rPr>
          <w:rFonts w:ascii="Palatino Linotype" w:eastAsia="Calibri" w:hAnsi="Palatino Linotype" w:cs="Tahoma"/>
          <w:iCs/>
          <w:sz w:val="22"/>
          <w:szCs w:val="22"/>
          <w:lang w:eastAsia="es-ES_tradnl"/>
        </w:rPr>
        <w:t>y el escrito recursal en contra del incumplimiento a dicha determinación</w:t>
      </w:r>
      <w:r w:rsidR="0055029A">
        <w:rPr>
          <w:rFonts w:ascii="Palatino Linotype" w:eastAsia="Calibri" w:hAnsi="Palatino Linotype" w:cs="Tahoma"/>
          <w:iCs/>
          <w:sz w:val="22"/>
          <w:szCs w:val="22"/>
          <w:lang w:eastAsia="es-ES_tradnl"/>
        </w:rPr>
        <w:t>;</w:t>
      </w:r>
      <w:r>
        <w:rPr>
          <w:rFonts w:ascii="Palatino Linotype" w:eastAsia="Calibri" w:hAnsi="Palatino Linotype" w:cs="Tahoma"/>
          <w:iCs/>
          <w:sz w:val="22"/>
          <w:szCs w:val="22"/>
          <w:lang w:eastAsia="es-ES_tradnl"/>
        </w:rPr>
        <w:t xml:space="preserve"> </w:t>
      </w:r>
      <w:r w:rsidRPr="00325321">
        <w:rPr>
          <w:rFonts w:ascii="Palatino Linotype" w:eastAsia="Calibri"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6DF04B21" w14:textId="77777777" w:rsidR="002918AA" w:rsidRDefault="002918AA" w:rsidP="003A4DEE">
      <w:pPr>
        <w:spacing w:line="360" w:lineRule="auto"/>
        <w:ind w:right="-28"/>
        <w:contextualSpacing/>
        <w:jc w:val="both"/>
        <w:rPr>
          <w:rFonts w:ascii="Palatino Linotype" w:hAnsi="Palatino Linotype" w:cs="Tahoma"/>
          <w:b/>
          <w:sz w:val="22"/>
          <w:szCs w:val="22"/>
          <w:lang w:val="es-ES"/>
        </w:rPr>
      </w:pPr>
    </w:p>
    <w:p w14:paraId="08040ED3" w14:textId="555D0E09" w:rsidR="00703ED0" w:rsidRPr="00B01DA4" w:rsidRDefault="00703ED0" w:rsidP="003A4DEE">
      <w:pPr>
        <w:spacing w:line="360" w:lineRule="auto"/>
        <w:ind w:right="-28"/>
        <w:contextualSpacing/>
        <w:jc w:val="both"/>
        <w:rPr>
          <w:rFonts w:ascii="Palatino Linotype" w:hAnsi="Palatino Linotype" w:cs="Tahoma"/>
          <w:b/>
          <w:sz w:val="22"/>
          <w:szCs w:val="22"/>
        </w:rPr>
      </w:pPr>
      <w:r w:rsidRPr="00B01DA4">
        <w:rPr>
          <w:rFonts w:ascii="Palatino Linotype" w:hAnsi="Palatino Linotype" w:cs="Tahoma"/>
          <w:b/>
          <w:sz w:val="22"/>
          <w:szCs w:val="22"/>
          <w:lang w:val="es-ES"/>
        </w:rPr>
        <w:t xml:space="preserve">CUARTO. </w:t>
      </w:r>
      <w:r w:rsidRPr="00B01DA4">
        <w:rPr>
          <w:rFonts w:ascii="Palatino Linotype" w:hAnsi="Palatino Linotype" w:cs="Tahoma"/>
          <w:b/>
          <w:sz w:val="22"/>
          <w:szCs w:val="22"/>
        </w:rPr>
        <w:t>Marco normativo aplicable en materia de transparencia y acceso a la información pública.</w:t>
      </w:r>
    </w:p>
    <w:p w14:paraId="1EB9691B" w14:textId="77777777" w:rsidR="00703ED0" w:rsidRPr="00B01DA4" w:rsidRDefault="00703ED0" w:rsidP="003A4DEE">
      <w:pPr>
        <w:spacing w:line="360" w:lineRule="auto"/>
        <w:ind w:right="-28"/>
        <w:contextualSpacing/>
        <w:jc w:val="both"/>
        <w:rPr>
          <w:rFonts w:ascii="Palatino Linotype" w:hAnsi="Palatino Linotype" w:cs="Tahoma"/>
          <w:b/>
          <w:sz w:val="22"/>
          <w:szCs w:val="22"/>
        </w:rPr>
      </w:pPr>
    </w:p>
    <w:p w14:paraId="467A0C5D" w14:textId="72876A6F" w:rsidR="00703ED0" w:rsidRDefault="00703ED0" w:rsidP="003A4DEE">
      <w:pPr>
        <w:spacing w:line="360" w:lineRule="auto"/>
        <w:ind w:right="-28"/>
        <w:contextualSpacing/>
        <w:jc w:val="both"/>
        <w:rPr>
          <w:rFonts w:ascii="Palatino Linotype" w:hAnsi="Palatino Linotype" w:cs="Tahoma"/>
          <w:bCs/>
          <w:iCs/>
          <w:sz w:val="22"/>
          <w:szCs w:val="22"/>
        </w:rPr>
      </w:pPr>
      <w:r w:rsidRPr="00B01DA4">
        <w:rPr>
          <w:rFonts w:ascii="Palatino Linotype" w:hAnsi="Palatino Linotype" w:cs="Tahoma"/>
          <w:bCs/>
          <w:iCs/>
          <w:sz w:val="22"/>
          <w:szCs w:val="22"/>
        </w:rPr>
        <w:t>El artículo 6°, Apartado A), fracción I de la Constitución Política de los Estados Unidos Mexicanos, establece que toda la información en posesión de cualquier autoridad, es pública y sólo podrá ser reservada temporalmente por razones de interés público.</w:t>
      </w:r>
    </w:p>
    <w:p w14:paraId="500B1CCF" w14:textId="77777777" w:rsidR="002918AA" w:rsidRPr="00B01DA4" w:rsidRDefault="002918AA" w:rsidP="003A4DEE">
      <w:pPr>
        <w:spacing w:line="360" w:lineRule="auto"/>
        <w:ind w:right="-28"/>
        <w:contextualSpacing/>
        <w:jc w:val="both"/>
        <w:rPr>
          <w:rFonts w:ascii="Palatino Linotype" w:hAnsi="Palatino Linotype" w:cs="Tahoma"/>
          <w:bCs/>
          <w:iCs/>
          <w:sz w:val="22"/>
          <w:szCs w:val="22"/>
        </w:rPr>
      </w:pPr>
    </w:p>
    <w:p w14:paraId="53391EE1" w14:textId="77777777" w:rsidR="00703ED0" w:rsidRPr="00B01DA4" w:rsidRDefault="00703ED0" w:rsidP="003A4DEE">
      <w:pPr>
        <w:spacing w:line="360" w:lineRule="auto"/>
        <w:ind w:right="-28"/>
        <w:contextualSpacing/>
        <w:jc w:val="both"/>
        <w:rPr>
          <w:rFonts w:ascii="Palatino Linotype" w:hAnsi="Palatino Linotype" w:cs="Tahoma"/>
          <w:bCs/>
          <w:iCs/>
          <w:sz w:val="22"/>
          <w:szCs w:val="22"/>
        </w:rPr>
      </w:pPr>
      <w:r w:rsidRPr="00B01DA4">
        <w:rPr>
          <w:rFonts w:ascii="Palatino Linotype" w:hAnsi="Palatino Linotype" w:cs="Tahoma"/>
          <w:bCs/>
          <w:iCs/>
          <w:sz w:val="22"/>
          <w:szCs w:val="22"/>
        </w:rPr>
        <w:t>La Ley General de Transparencia y Acceso a la Información Pública, dispone en su artículo 70, la información que se considera corresponde a las Obligaciones de Transparencia, la cual debe estar disponible para cualquier persona de manera permanente y actualizada.</w:t>
      </w:r>
    </w:p>
    <w:p w14:paraId="5B02EE29" w14:textId="77777777" w:rsidR="00E13810" w:rsidRPr="00B01DA4" w:rsidRDefault="00E13810" w:rsidP="003A4DEE">
      <w:pPr>
        <w:spacing w:line="360" w:lineRule="auto"/>
        <w:ind w:right="-28"/>
        <w:contextualSpacing/>
        <w:jc w:val="both"/>
        <w:rPr>
          <w:rFonts w:ascii="Palatino Linotype" w:hAnsi="Palatino Linotype" w:cs="Tahoma"/>
          <w:bCs/>
          <w:iCs/>
          <w:sz w:val="22"/>
          <w:szCs w:val="22"/>
        </w:rPr>
      </w:pPr>
    </w:p>
    <w:p w14:paraId="40850E73" w14:textId="77777777" w:rsidR="0046392A" w:rsidRPr="0046392A" w:rsidRDefault="0046392A" w:rsidP="0046392A">
      <w:pPr>
        <w:spacing w:line="360" w:lineRule="auto"/>
        <w:contextualSpacing/>
        <w:jc w:val="both"/>
        <w:rPr>
          <w:rFonts w:ascii="Palatino Linotype" w:hAnsi="Palatino Linotype" w:cs="Tahoma"/>
          <w:color w:val="000000" w:themeColor="text1"/>
          <w:sz w:val="22"/>
          <w:szCs w:val="22"/>
          <w:lang w:eastAsia="es-MX"/>
        </w:rPr>
      </w:pPr>
      <w:r w:rsidRPr="0046392A">
        <w:rPr>
          <w:rFonts w:ascii="Palatino Linotype" w:hAnsi="Palatino Linotype" w:cs="Tahoma"/>
          <w:color w:val="000000" w:themeColor="text1"/>
          <w:sz w:val="22"/>
          <w:szCs w:val="22"/>
          <w:lang w:eastAsia="es-MX"/>
        </w:rPr>
        <w:lastRenderedPageBreak/>
        <w:t>Por su parte, en materia local, el artículo 5°, fracción I de la Constitución Política del Estado Libre y Soberano de México, es coincidente con la Constitución Política de los Estados Unidos Mexicanos, en el sentido de la publicidad de toda la información, con la única restricción de proteger el interés público, así como la información referente a la intimidad de la vida privada y la imagen de las personas, con las excepciones que establezca la ley reglamentaria.</w:t>
      </w:r>
    </w:p>
    <w:p w14:paraId="75BBC579" w14:textId="77777777" w:rsidR="00703ED0" w:rsidRPr="00B01DA4" w:rsidRDefault="00703ED0" w:rsidP="003A4DEE">
      <w:pPr>
        <w:spacing w:line="360" w:lineRule="auto"/>
        <w:ind w:right="-28"/>
        <w:contextualSpacing/>
        <w:jc w:val="both"/>
        <w:rPr>
          <w:rFonts w:ascii="Palatino Linotype" w:hAnsi="Palatino Linotype" w:cs="Tahoma"/>
          <w:bCs/>
          <w:iCs/>
          <w:sz w:val="22"/>
          <w:szCs w:val="22"/>
        </w:rPr>
      </w:pPr>
    </w:p>
    <w:p w14:paraId="3F93AF1D" w14:textId="6217BA28" w:rsidR="00703ED0" w:rsidRPr="00B01DA4" w:rsidRDefault="0046392A" w:rsidP="003A4DEE">
      <w:pPr>
        <w:spacing w:line="360" w:lineRule="auto"/>
        <w:ind w:right="-28"/>
        <w:contextualSpacing/>
        <w:jc w:val="both"/>
        <w:rPr>
          <w:rFonts w:ascii="Palatino Linotype" w:hAnsi="Palatino Linotype" w:cs="Tahoma"/>
          <w:bCs/>
          <w:iCs/>
          <w:sz w:val="22"/>
          <w:szCs w:val="22"/>
        </w:rPr>
      </w:pPr>
      <w:r>
        <w:rPr>
          <w:rFonts w:ascii="Palatino Linotype" w:hAnsi="Palatino Linotype" w:cs="Tahoma"/>
          <w:bCs/>
          <w:iCs/>
          <w:sz w:val="22"/>
          <w:szCs w:val="22"/>
        </w:rPr>
        <w:t>Asimismo</w:t>
      </w:r>
      <w:r w:rsidR="00703ED0" w:rsidRPr="00B01DA4">
        <w:rPr>
          <w:rFonts w:ascii="Palatino Linotype" w:hAnsi="Palatino Linotype" w:cs="Tahoma"/>
          <w:bCs/>
          <w:iCs/>
          <w:sz w:val="22"/>
          <w:szCs w:val="22"/>
        </w:rPr>
        <w:t>, la Ley de Transparencia y Acceso a la Información Pública del Estado de México y Municipios (Reglamentaria del artículo 5° de la Constitución Local), establece lo siguiente:</w:t>
      </w:r>
    </w:p>
    <w:p w14:paraId="1FB1C4A1" w14:textId="77777777" w:rsidR="00703ED0" w:rsidRPr="00B01DA4" w:rsidRDefault="00703ED0" w:rsidP="003A4DEE">
      <w:pPr>
        <w:spacing w:line="360" w:lineRule="auto"/>
        <w:ind w:right="-28"/>
        <w:contextualSpacing/>
        <w:jc w:val="both"/>
        <w:rPr>
          <w:rFonts w:ascii="Palatino Linotype" w:hAnsi="Palatino Linotype" w:cs="Tahoma"/>
          <w:bCs/>
          <w:iCs/>
          <w:sz w:val="22"/>
          <w:szCs w:val="22"/>
        </w:rPr>
      </w:pPr>
    </w:p>
    <w:p w14:paraId="01D106D8" w14:textId="77777777" w:rsidR="00703ED0" w:rsidRPr="00B01DA4" w:rsidRDefault="00703ED0" w:rsidP="003A4DEE">
      <w:pPr>
        <w:spacing w:line="360" w:lineRule="auto"/>
        <w:ind w:right="-28"/>
        <w:contextualSpacing/>
        <w:jc w:val="both"/>
        <w:rPr>
          <w:rFonts w:ascii="Palatino Linotype" w:hAnsi="Palatino Linotype" w:cs="Tahoma"/>
          <w:bCs/>
          <w:iCs/>
          <w:sz w:val="22"/>
          <w:szCs w:val="22"/>
        </w:rPr>
      </w:pPr>
      <w:r w:rsidRPr="00B01DA4">
        <w:rPr>
          <w:rFonts w:ascii="Palatino Linotype" w:hAnsi="Palatino Linotype" w:cs="Tahoma"/>
          <w:bCs/>
          <w:iCs/>
          <w:sz w:val="22"/>
          <w:szCs w:val="22"/>
        </w:rPr>
        <w:t>El artículo 12, que, quienes generen, recopilen, administren, manejen, procesen, archiven o conserven información pública serán responsables de la misma.</w:t>
      </w:r>
    </w:p>
    <w:p w14:paraId="4B004258" w14:textId="77777777" w:rsidR="00703ED0" w:rsidRPr="00B01DA4" w:rsidRDefault="00703ED0" w:rsidP="003A4DEE">
      <w:pPr>
        <w:spacing w:line="360" w:lineRule="auto"/>
        <w:ind w:right="-28"/>
        <w:contextualSpacing/>
        <w:jc w:val="both"/>
        <w:rPr>
          <w:rFonts w:ascii="Palatino Linotype" w:hAnsi="Palatino Linotype" w:cs="Tahoma"/>
          <w:bCs/>
          <w:iCs/>
          <w:sz w:val="22"/>
          <w:szCs w:val="22"/>
        </w:rPr>
      </w:pPr>
    </w:p>
    <w:p w14:paraId="63FDF473" w14:textId="77777777" w:rsidR="00703ED0" w:rsidRPr="00B01DA4" w:rsidRDefault="00703ED0" w:rsidP="003A4DEE">
      <w:pPr>
        <w:spacing w:line="360" w:lineRule="auto"/>
        <w:ind w:right="-28"/>
        <w:contextualSpacing/>
        <w:jc w:val="both"/>
        <w:rPr>
          <w:rFonts w:ascii="Palatino Linotype" w:hAnsi="Palatino Linotype" w:cs="Tahoma"/>
          <w:bCs/>
          <w:iCs/>
          <w:sz w:val="22"/>
          <w:szCs w:val="22"/>
        </w:rPr>
      </w:pPr>
      <w:r w:rsidRPr="00B01DA4">
        <w:rPr>
          <w:rFonts w:ascii="Palatino Linotype" w:hAnsi="Palatino Linotype" w:cs="Tahoma"/>
          <w:bCs/>
          <w:iCs/>
          <w:sz w:val="22"/>
          <w:szCs w:val="22"/>
        </w:rPr>
        <w:t>El artículo 18, que, los Sujetos Obligados deberán documentar todo acto que derive del ejercicio de sus facultades, competencias o funciones, considerando desde su origen la eventual publicidad y reutilización de la información que generen.</w:t>
      </w:r>
    </w:p>
    <w:p w14:paraId="2097BF63" w14:textId="77777777" w:rsidR="00703ED0" w:rsidRPr="00B01DA4" w:rsidRDefault="00703ED0" w:rsidP="003A4DEE">
      <w:pPr>
        <w:spacing w:line="360" w:lineRule="auto"/>
        <w:ind w:right="-28"/>
        <w:contextualSpacing/>
        <w:jc w:val="both"/>
        <w:rPr>
          <w:rFonts w:ascii="Palatino Linotype" w:hAnsi="Palatino Linotype" w:cs="Tahoma"/>
          <w:bCs/>
          <w:iCs/>
          <w:sz w:val="22"/>
          <w:szCs w:val="22"/>
        </w:rPr>
      </w:pPr>
    </w:p>
    <w:p w14:paraId="78960A1C" w14:textId="77777777" w:rsidR="00703ED0" w:rsidRPr="00B01DA4" w:rsidRDefault="00703ED0" w:rsidP="003A4DEE">
      <w:pPr>
        <w:spacing w:line="360" w:lineRule="auto"/>
        <w:ind w:right="-28"/>
        <w:contextualSpacing/>
        <w:jc w:val="both"/>
        <w:rPr>
          <w:rFonts w:ascii="Palatino Linotype" w:hAnsi="Palatino Linotype" w:cs="Tahoma"/>
          <w:bCs/>
          <w:iCs/>
          <w:sz w:val="22"/>
          <w:szCs w:val="22"/>
        </w:rPr>
      </w:pPr>
      <w:r w:rsidRPr="00B01DA4">
        <w:rPr>
          <w:rFonts w:ascii="Palatino Linotype" w:hAnsi="Palatino Linotype" w:cs="Tahoma"/>
          <w:bCs/>
          <w:iCs/>
          <w:sz w:val="22"/>
          <w:szCs w:val="22"/>
        </w:rPr>
        <w:t>El artículo 19, que, se presume que la información debe existir si se refiere a las facultades, competencias y funciones que los ordenamientos jurídicos aplicables otorgan a los sujetos obligados y en caso de que dichas facultades no se hayan ejercido, se deberá motivar la respuesta en función de las causas que motivaron tal circunstancia.</w:t>
      </w:r>
    </w:p>
    <w:p w14:paraId="02D8560F" w14:textId="77777777" w:rsidR="005D1047" w:rsidRPr="00B01DA4" w:rsidRDefault="005D1047" w:rsidP="003A4DEE">
      <w:pPr>
        <w:spacing w:line="360" w:lineRule="auto"/>
        <w:ind w:right="-28"/>
        <w:contextualSpacing/>
        <w:jc w:val="both"/>
        <w:rPr>
          <w:rFonts w:ascii="Palatino Linotype" w:hAnsi="Palatino Linotype" w:cs="Tahoma"/>
          <w:b/>
          <w:sz w:val="22"/>
          <w:szCs w:val="22"/>
        </w:rPr>
      </w:pPr>
    </w:p>
    <w:p w14:paraId="60D5C7DB" w14:textId="77777777" w:rsidR="00703ED0" w:rsidRDefault="00703ED0" w:rsidP="003A4DEE">
      <w:pPr>
        <w:spacing w:line="360" w:lineRule="auto"/>
        <w:ind w:right="-28"/>
        <w:contextualSpacing/>
        <w:jc w:val="both"/>
        <w:rPr>
          <w:rFonts w:ascii="Palatino Linotype" w:hAnsi="Palatino Linotype" w:cs="Tahoma"/>
          <w:b/>
          <w:sz w:val="22"/>
          <w:szCs w:val="22"/>
        </w:rPr>
      </w:pPr>
      <w:r w:rsidRPr="00087C2F">
        <w:rPr>
          <w:rFonts w:ascii="Palatino Linotype" w:hAnsi="Palatino Linotype" w:cs="Tahoma"/>
          <w:b/>
          <w:sz w:val="22"/>
          <w:szCs w:val="22"/>
        </w:rPr>
        <w:t>QUINTO. Estudio de Fondo.</w:t>
      </w:r>
    </w:p>
    <w:p w14:paraId="10700A96" w14:textId="77777777" w:rsidR="00835524" w:rsidRPr="00B01DA4" w:rsidRDefault="00835524" w:rsidP="003A4DEE">
      <w:pPr>
        <w:spacing w:line="360" w:lineRule="auto"/>
        <w:ind w:right="-28"/>
        <w:contextualSpacing/>
        <w:jc w:val="both"/>
        <w:rPr>
          <w:rFonts w:ascii="Palatino Linotype" w:hAnsi="Palatino Linotype" w:cs="Tahoma"/>
          <w:b/>
          <w:sz w:val="22"/>
          <w:szCs w:val="22"/>
        </w:rPr>
      </w:pPr>
    </w:p>
    <w:p w14:paraId="46C8CAFB" w14:textId="546F9616" w:rsidR="002918AA" w:rsidRPr="00AE7B88" w:rsidRDefault="002918AA" w:rsidP="003A4DEE">
      <w:pPr>
        <w:spacing w:line="360" w:lineRule="auto"/>
        <w:contextualSpacing/>
        <w:jc w:val="both"/>
        <w:rPr>
          <w:rFonts w:ascii="Palatino Linotype" w:hAnsi="Palatino Linotype" w:cs="Tahoma"/>
          <w:bCs/>
          <w:iCs/>
          <w:sz w:val="22"/>
          <w:szCs w:val="22"/>
        </w:rPr>
      </w:pPr>
      <w:r w:rsidRPr="00AE7B88">
        <w:rPr>
          <w:rFonts w:ascii="Palatino Linotype" w:hAnsi="Palatino Linotype" w:cs="Tahoma"/>
          <w:bCs/>
          <w:iCs/>
          <w:sz w:val="22"/>
          <w:szCs w:val="22"/>
        </w:rPr>
        <w:t xml:space="preserve">Expuestas las posturas de las partes, se procede al análisis del agravio hecho valer por el ahora Recurrente, concerniente a la falta de respuesta del </w:t>
      </w:r>
      <w:r>
        <w:rPr>
          <w:rFonts w:ascii="Palatino Linotype" w:eastAsia="Calibri" w:hAnsi="Palatino Linotype" w:cs="Tahoma"/>
          <w:bCs/>
          <w:color w:val="000000"/>
          <w:sz w:val="22"/>
          <w:szCs w:val="22"/>
          <w:lang w:eastAsia="en-US"/>
        </w:rPr>
        <w:t>Ayuntamiento de Zinacantepec</w:t>
      </w:r>
      <w:r w:rsidRPr="00AE7B88">
        <w:rPr>
          <w:rFonts w:ascii="Palatino Linotype" w:hAnsi="Palatino Linotype" w:cs="Tahoma"/>
          <w:bCs/>
          <w:iCs/>
          <w:sz w:val="22"/>
          <w:szCs w:val="22"/>
        </w:rPr>
        <w:t xml:space="preserve">, en cumplimiento a la Resolución del Recurso de Revisión </w:t>
      </w:r>
      <w:r w:rsidR="00810FD6">
        <w:rPr>
          <w:rFonts w:ascii="Palatino Linotype" w:hAnsi="Palatino Linotype" w:cs="Tahoma"/>
          <w:bCs/>
          <w:color w:val="000000"/>
          <w:sz w:val="22"/>
          <w:szCs w:val="22"/>
        </w:rPr>
        <w:t>17571</w:t>
      </w:r>
      <w:r w:rsidR="00636984" w:rsidRPr="00636984">
        <w:rPr>
          <w:rFonts w:ascii="Palatino Linotype" w:hAnsi="Palatino Linotype" w:cs="Tahoma"/>
          <w:bCs/>
          <w:color w:val="000000"/>
          <w:sz w:val="22"/>
          <w:szCs w:val="22"/>
        </w:rPr>
        <w:t>/INFOEM/IP/RR/2022</w:t>
      </w:r>
      <w:r w:rsidRPr="00AE7B88">
        <w:rPr>
          <w:rFonts w:ascii="Palatino Linotype" w:hAnsi="Palatino Linotype"/>
          <w:bCs/>
          <w:sz w:val="22"/>
          <w:szCs w:val="22"/>
          <w:lang w:val="es-ES_tradnl"/>
        </w:rPr>
        <w:t xml:space="preserve">, la cual fue notificada a las partes, el </w:t>
      </w:r>
      <w:r w:rsidR="0046392A">
        <w:rPr>
          <w:rFonts w:ascii="Palatino Linotype" w:hAnsi="Palatino Linotype"/>
          <w:bCs/>
          <w:sz w:val="22"/>
          <w:szCs w:val="22"/>
          <w:lang w:val="es-ES_tradnl"/>
        </w:rPr>
        <w:t>dieciséis de marzo</w:t>
      </w:r>
      <w:r w:rsidR="00613F5E">
        <w:rPr>
          <w:rFonts w:ascii="Palatino Linotype" w:hAnsi="Palatino Linotype"/>
          <w:bCs/>
          <w:sz w:val="22"/>
          <w:szCs w:val="22"/>
          <w:lang w:val="es-ES_tradnl"/>
        </w:rPr>
        <w:t xml:space="preserve"> </w:t>
      </w:r>
      <w:r>
        <w:rPr>
          <w:rFonts w:ascii="Palatino Linotype" w:hAnsi="Palatino Linotype"/>
          <w:bCs/>
          <w:sz w:val="22"/>
          <w:szCs w:val="22"/>
          <w:lang w:val="es-ES_tradnl"/>
        </w:rPr>
        <w:t>de dos mil veinti</w:t>
      </w:r>
      <w:r w:rsidR="00613F5E">
        <w:rPr>
          <w:rFonts w:ascii="Palatino Linotype" w:hAnsi="Palatino Linotype"/>
          <w:bCs/>
          <w:sz w:val="22"/>
          <w:szCs w:val="22"/>
          <w:lang w:val="es-ES_tradnl"/>
        </w:rPr>
        <w:t>tré</w:t>
      </w:r>
      <w:r>
        <w:rPr>
          <w:rFonts w:ascii="Palatino Linotype" w:hAnsi="Palatino Linotype"/>
          <w:bCs/>
          <w:sz w:val="22"/>
          <w:szCs w:val="22"/>
          <w:lang w:val="es-ES_tradnl"/>
        </w:rPr>
        <w:t>s</w:t>
      </w:r>
      <w:r w:rsidRPr="00AE7B88">
        <w:rPr>
          <w:rFonts w:ascii="Palatino Linotype" w:hAnsi="Palatino Linotype"/>
          <w:bCs/>
          <w:sz w:val="22"/>
          <w:szCs w:val="22"/>
          <w:lang w:val="es-ES_tradnl"/>
        </w:rPr>
        <w:t xml:space="preserve">, en donde se le dio al Sujeto </w:t>
      </w:r>
      <w:r w:rsidRPr="00AE7B88">
        <w:rPr>
          <w:rFonts w:ascii="Palatino Linotype" w:hAnsi="Palatino Linotype"/>
          <w:bCs/>
          <w:sz w:val="22"/>
          <w:szCs w:val="22"/>
          <w:lang w:val="es-ES_tradnl"/>
        </w:rPr>
        <w:lastRenderedPageBreak/>
        <w:t>Obligado, diez días hábiles posteriores a la notificación, para dar cumplimiento a dicha determinación.</w:t>
      </w:r>
    </w:p>
    <w:p w14:paraId="2325102A" w14:textId="77777777" w:rsidR="00227BB6" w:rsidRPr="00B01DA4" w:rsidRDefault="00227BB6" w:rsidP="003A4DEE">
      <w:pPr>
        <w:spacing w:line="360" w:lineRule="auto"/>
        <w:ind w:right="-28"/>
        <w:contextualSpacing/>
        <w:jc w:val="both"/>
        <w:rPr>
          <w:rFonts w:ascii="Palatino Linotype" w:hAnsi="Palatino Linotype" w:cs="Tahoma"/>
          <w:bCs/>
          <w:iCs/>
          <w:sz w:val="22"/>
          <w:szCs w:val="22"/>
        </w:rPr>
      </w:pPr>
    </w:p>
    <w:p w14:paraId="7D69173C" w14:textId="1169253A" w:rsidR="002918AA" w:rsidRPr="00AE7B88" w:rsidRDefault="002918AA" w:rsidP="003A4DEE">
      <w:pPr>
        <w:spacing w:line="360" w:lineRule="auto"/>
        <w:contextualSpacing/>
        <w:jc w:val="both"/>
        <w:rPr>
          <w:rFonts w:ascii="Palatino Linotype" w:eastAsia="Calibri" w:hAnsi="Palatino Linotype" w:cs="Tahoma"/>
          <w:color w:val="000000"/>
          <w:sz w:val="22"/>
        </w:rPr>
      </w:pPr>
      <w:r w:rsidRPr="00AE7B88">
        <w:rPr>
          <w:rFonts w:ascii="Palatino Linotype" w:eastAsia="Calibri" w:hAnsi="Palatino Linotype" w:cs="Tahoma"/>
          <w:bCs/>
          <w:color w:val="000000"/>
          <w:sz w:val="22"/>
        </w:rPr>
        <w:t xml:space="preserve">En ese orden de ideas, el plazo con el que contaba el Sujeto Obligado para emitir contestación a la solicitud y cumplimiento a la Resolución referida, </w:t>
      </w:r>
      <w:r w:rsidRPr="00AE7B88">
        <w:rPr>
          <w:rFonts w:ascii="Palatino Linotype" w:eastAsia="Calibri" w:hAnsi="Palatino Linotype" w:cs="Tahoma"/>
          <w:color w:val="000000"/>
          <w:sz w:val="22"/>
        </w:rPr>
        <w:t xml:space="preserve">comenzó a correr el </w:t>
      </w:r>
      <w:r w:rsidR="0046392A">
        <w:rPr>
          <w:rFonts w:ascii="Palatino Linotype" w:eastAsia="Calibri" w:hAnsi="Palatino Linotype" w:cs="Tahoma"/>
          <w:b/>
          <w:bCs/>
          <w:color w:val="000000"/>
          <w:sz w:val="22"/>
        </w:rPr>
        <w:t>diecisiete</w:t>
      </w:r>
      <w:r w:rsidR="00B52F0C">
        <w:rPr>
          <w:rFonts w:ascii="Palatino Linotype" w:eastAsia="Calibri" w:hAnsi="Palatino Linotype" w:cs="Tahoma"/>
          <w:b/>
          <w:bCs/>
          <w:color w:val="000000"/>
          <w:sz w:val="22"/>
        </w:rPr>
        <w:t xml:space="preserve"> </w:t>
      </w:r>
      <w:r w:rsidRPr="00AE7B88">
        <w:rPr>
          <w:rFonts w:ascii="Palatino Linotype" w:eastAsia="Calibri" w:hAnsi="Palatino Linotype" w:cs="Tahoma"/>
          <w:color w:val="000000"/>
          <w:sz w:val="22"/>
        </w:rPr>
        <w:t xml:space="preserve">y feneció el </w:t>
      </w:r>
      <w:r w:rsidR="0046392A">
        <w:rPr>
          <w:rFonts w:ascii="Palatino Linotype" w:eastAsia="Calibri" w:hAnsi="Palatino Linotype" w:cs="Tahoma"/>
          <w:b/>
          <w:bCs/>
          <w:color w:val="000000"/>
          <w:sz w:val="22"/>
        </w:rPr>
        <w:t>treinta y uno</w:t>
      </w:r>
      <w:r w:rsidRPr="00AE7B88">
        <w:rPr>
          <w:rFonts w:ascii="Palatino Linotype" w:eastAsia="Calibri" w:hAnsi="Palatino Linotype" w:cs="Tahoma"/>
          <w:color w:val="000000"/>
          <w:sz w:val="22"/>
        </w:rPr>
        <w:t>, ambos</w:t>
      </w:r>
      <w:r w:rsidR="0046392A">
        <w:rPr>
          <w:rFonts w:ascii="Palatino Linotype" w:eastAsia="Calibri" w:hAnsi="Palatino Linotype" w:cs="Tahoma"/>
          <w:color w:val="000000"/>
          <w:sz w:val="22"/>
        </w:rPr>
        <w:t xml:space="preserve"> de marzo</w:t>
      </w:r>
      <w:r w:rsidR="000C47EC">
        <w:rPr>
          <w:rFonts w:ascii="Palatino Linotype" w:eastAsia="Calibri" w:hAnsi="Palatino Linotype" w:cs="Tahoma"/>
          <w:color w:val="000000"/>
          <w:sz w:val="22"/>
        </w:rPr>
        <w:t xml:space="preserve"> </w:t>
      </w:r>
      <w:r>
        <w:rPr>
          <w:rFonts w:ascii="Palatino Linotype" w:eastAsia="Calibri" w:hAnsi="Palatino Linotype" w:cs="Tahoma"/>
          <w:color w:val="000000"/>
          <w:sz w:val="22"/>
        </w:rPr>
        <w:t xml:space="preserve">del </w:t>
      </w:r>
      <w:r w:rsidR="0064190E">
        <w:rPr>
          <w:rFonts w:ascii="Palatino Linotype" w:eastAsia="Calibri" w:hAnsi="Palatino Linotype" w:cs="Tahoma"/>
          <w:color w:val="000000"/>
          <w:sz w:val="22"/>
        </w:rPr>
        <w:t>dos mil veintitrés</w:t>
      </w:r>
      <w:r w:rsidRPr="00AE7B88">
        <w:rPr>
          <w:rFonts w:ascii="Palatino Linotype" w:eastAsia="Calibri" w:hAnsi="Palatino Linotype" w:cs="Tahoma"/>
          <w:color w:val="000000"/>
          <w:sz w:val="22"/>
        </w:rPr>
        <w:t>, lo anterior, sin contar los días,</w:t>
      </w:r>
      <w:r w:rsidR="0064190E">
        <w:rPr>
          <w:rFonts w:ascii="Palatino Linotype" w:eastAsia="Calibri" w:hAnsi="Palatino Linotype" w:cs="Tahoma"/>
          <w:color w:val="000000"/>
          <w:sz w:val="22"/>
        </w:rPr>
        <w:t xml:space="preserve"> </w:t>
      </w:r>
      <w:r w:rsidR="0046392A">
        <w:rPr>
          <w:rFonts w:ascii="Palatino Linotype" w:eastAsia="Calibri" w:hAnsi="Palatino Linotype" w:cs="Tahoma"/>
          <w:color w:val="000000"/>
          <w:sz w:val="22"/>
        </w:rPr>
        <w:t>dieciocho, diecinueve, veinte, veinticinco y veintiséis del mes y año mencionados</w:t>
      </w:r>
      <w:r w:rsidRPr="00AE7B88">
        <w:rPr>
          <w:rFonts w:ascii="Palatino Linotype" w:eastAsia="Calibri" w:hAnsi="Palatino Linotype" w:cs="Tahoma"/>
          <w:color w:val="000000"/>
          <w:sz w:val="22"/>
        </w:rPr>
        <w:t xml:space="preserve">, al ser inhábiles, </w:t>
      </w:r>
      <w:r w:rsidRPr="00AE7B88">
        <w:rPr>
          <w:rFonts w:ascii="Palatino Linotype" w:eastAsia="Batang" w:hAnsi="Palatino Linotype" w:cs="Tahoma"/>
          <w:bCs/>
          <w:sz w:val="22"/>
        </w:rPr>
        <w:t xml:space="preserve">de conformidad con el artículo 3°, fracción X, de la Ley de Transparencia y Acceso a la Información Pública del Estado de México y Municipios y el </w:t>
      </w:r>
      <w:r w:rsidRPr="00AE7B88">
        <w:rPr>
          <w:rFonts w:ascii="Palatino Linotype" w:eastAsia="Batang" w:hAnsi="Palatino Linotype" w:cs="Tahoma"/>
          <w:sz w:val="22"/>
          <w:lang w:val="es-ES"/>
        </w:rPr>
        <w:t>Calendario Oficial en Materia de Transparencia, Acceso a la Información Pública y Protección de Datos Personales del Estado de México y Municipios, así como de laborales de este Instituto, para el año dos mil veinti</w:t>
      </w:r>
      <w:r w:rsidR="000C47EC">
        <w:rPr>
          <w:rFonts w:ascii="Palatino Linotype" w:eastAsia="Batang" w:hAnsi="Palatino Linotype" w:cs="Tahoma"/>
          <w:sz w:val="22"/>
          <w:lang w:val="es-ES"/>
        </w:rPr>
        <w:t>trés</w:t>
      </w:r>
      <w:r w:rsidRPr="00AE7B88">
        <w:rPr>
          <w:rFonts w:ascii="Palatino Linotype" w:eastAsia="Batang" w:hAnsi="Palatino Linotype" w:cs="Tahoma"/>
          <w:sz w:val="22"/>
          <w:lang w:val="es-ES"/>
        </w:rPr>
        <w:t xml:space="preserve"> y enero dos mil veinti</w:t>
      </w:r>
      <w:r w:rsidR="000C47EC">
        <w:rPr>
          <w:rFonts w:ascii="Palatino Linotype" w:eastAsia="Batang" w:hAnsi="Palatino Linotype" w:cs="Tahoma"/>
          <w:sz w:val="22"/>
          <w:lang w:val="es-ES"/>
        </w:rPr>
        <w:t>cuatro</w:t>
      </w:r>
      <w:r w:rsidR="0046392A">
        <w:rPr>
          <w:rFonts w:ascii="Palatino Linotype" w:eastAsia="Batang" w:hAnsi="Palatino Linotype" w:cs="Tahoma"/>
          <w:sz w:val="22"/>
          <w:lang w:val="es-ES"/>
        </w:rPr>
        <w:t>.</w:t>
      </w:r>
    </w:p>
    <w:p w14:paraId="5F286FA1" w14:textId="77777777" w:rsidR="000C47EC" w:rsidRDefault="000C47EC" w:rsidP="003A4DEE">
      <w:pPr>
        <w:spacing w:line="360" w:lineRule="auto"/>
        <w:contextualSpacing/>
        <w:jc w:val="both"/>
        <w:rPr>
          <w:rFonts w:ascii="Palatino Linotype" w:hAnsi="Palatino Linotype" w:cs="Tahoma"/>
          <w:color w:val="0D0D0D" w:themeColor="text1" w:themeTint="F2"/>
          <w:sz w:val="22"/>
          <w:szCs w:val="22"/>
          <w:lang w:val="es-ES"/>
        </w:rPr>
      </w:pPr>
    </w:p>
    <w:p w14:paraId="5268B784" w14:textId="0DB96A15" w:rsidR="00EA6311" w:rsidRPr="00984CD7" w:rsidRDefault="000C47EC" w:rsidP="003A4DEE">
      <w:pPr>
        <w:spacing w:line="360" w:lineRule="auto"/>
        <w:contextualSpacing/>
        <w:jc w:val="both"/>
        <w:rPr>
          <w:rFonts w:ascii="Palatino Linotype" w:hAnsi="Palatino Linotype" w:cs="Tahoma"/>
          <w:sz w:val="22"/>
          <w:szCs w:val="22"/>
          <w:lang w:val="es-ES"/>
        </w:rPr>
      </w:pPr>
      <w:r w:rsidRPr="00AE7B88">
        <w:rPr>
          <w:rFonts w:ascii="Palatino Linotype" w:hAnsi="Palatino Linotype" w:cs="Tahoma"/>
          <w:sz w:val="22"/>
          <w:szCs w:val="22"/>
          <w:lang w:val="es-ES"/>
        </w:rPr>
        <w:t>Así, este Instituto verificó que, en efecto,</w:t>
      </w:r>
      <w:r>
        <w:rPr>
          <w:rFonts w:ascii="Palatino Linotype" w:hAnsi="Palatino Linotype" w:cs="Tahoma"/>
          <w:sz w:val="22"/>
          <w:szCs w:val="22"/>
          <w:lang w:val="es-ES"/>
        </w:rPr>
        <w:t xml:space="preserve"> no se registró</w:t>
      </w:r>
      <w:r w:rsidRPr="00AE7B88">
        <w:rPr>
          <w:rFonts w:ascii="Palatino Linotype" w:hAnsi="Palatino Linotype" w:cs="Tahoma"/>
          <w:sz w:val="22"/>
          <w:szCs w:val="22"/>
          <w:lang w:val="es-ES"/>
        </w:rPr>
        <w:t xml:space="preserve"> cumplimiento a la Resolución, en el Sistema de Acceso a la Información Mexiquense (SAIMEX), tal como se observa a continuación:</w:t>
      </w:r>
    </w:p>
    <w:p w14:paraId="5A81F48B" w14:textId="0A3ED582" w:rsidR="00984CD7" w:rsidRDefault="007C6181" w:rsidP="003A4DEE">
      <w:pPr>
        <w:spacing w:line="360" w:lineRule="auto"/>
        <w:contextualSpacing/>
        <w:jc w:val="both"/>
        <w:rPr>
          <w:noProof/>
        </w:rPr>
      </w:pPr>
      <w:r>
        <w:rPr>
          <w:noProof/>
          <w:lang w:eastAsia="es-MX"/>
        </w:rPr>
        <mc:AlternateContent>
          <mc:Choice Requires="wps">
            <w:drawing>
              <wp:anchor distT="0" distB="0" distL="114300" distR="114300" simplePos="0" relativeHeight="251659264" behindDoc="0" locked="0" layoutInCell="1" allowOverlap="1" wp14:anchorId="2791916E" wp14:editId="02317D44">
                <wp:simplePos x="0" y="0"/>
                <wp:positionH relativeFrom="column">
                  <wp:posOffset>356870</wp:posOffset>
                </wp:positionH>
                <wp:positionV relativeFrom="paragraph">
                  <wp:posOffset>445770</wp:posOffset>
                </wp:positionV>
                <wp:extent cx="5060950" cy="2247900"/>
                <wp:effectExtent l="0" t="0" r="25400" b="19050"/>
                <wp:wrapNone/>
                <wp:docPr id="1" name="Conector recto 1"/>
                <wp:cNvGraphicFramePr/>
                <a:graphic xmlns:a="http://schemas.openxmlformats.org/drawingml/2006/main">
                  <a:graphicData uri="http://schemas.microsoft.com/office/word/2010/wordprocessingShape">
                    <wps:wsp>
                      <wps:cNvCnPr/>
                      <wps:spPr>
                        <a:xfrm flipV="1">
                          <a:off x="0" y="0"/>
                          <a:ext cx="5060950" cy="22479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A7BC0AF" id="Conector recto 1" o:spid="_x0000_s1026" style="position:absolute;flip:y;z-index:251659264;visibility:visible;mso-wrap-style:square;mso-wrap-distance-left:9pt;mso-wrap-distance-top:0;mso-wrap-distance-right:9pt;mso-wrap-distance-bottom:0;mso-position-horizontal:absolute;mso-position-horizontal-relative:text;mso-position-vertical:absolute;mso-position-vertical-relative:text" from="28.1pt,35.1pt" to="426.6pt,21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" strokecolor="#4472c4 [3204]" strokeweight=".5pt">
                <v:stroke joinstyle="miter"/>
              </v:line>
            </w:pict>
          </mc:Fallback>
        </mc:AlternateContent>
      </w:r>
    </w:p>
    <w:p w14:paraId="07882BA0" w14:textId="6F5FF721" w:rsidR="00984CD7" w:rsidRPr="00B01DA4" w:rsidRDefault="0046392A" w:rsidP="003A4DEE">
      <w:pPr>
        <w:spacing w:line="360" w:lineRule="auto"/>
        <w:contextualSpacing/>
        <w:jc w:val="center"/>
        <w:rPr>
          <w:rFonts w:ascii="Palatino Linotype" w:hAnsi="Palatino Linotype" w:cs="Tahoma"/>
          <w:color w:val="0D0D0D" w:themeColor="text1" w:themeTint="F2"/>
          <w:sz w:val="22"/>
          <w:szCs w:val="22"/>
          <w:lang w:val="es-ES"/>
        </w:rPr>
      </w:pPr>
      <w:r>
        <w:rPr>
          <w:noProof/>
          <w:lang w:eastAsia="es-MX"/>
        </w:rPr>
        <w:lastRenderedPageBreak/>
        <w:drawing>
          <wp:inline distT="0" distB="0" distL="0" distR="0" wp14:anchorId="4F98931D" wp14:editId="2B50AF8E">
            <wp:extent cx="2724150" cy="4200525"/>
            <wp:effectExtent l="0" t="0" r="0" b="9525"/>
            <wp:docPr id="1733312352"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33312352" name=""/>
                    <pic:cNvPicPr/>
                  </pic:nvPicPr>
                  <pic:blipFill>
                    <a:blip r:embed="rId8"/>
                    <a:stretch>
                      <a:fillRect/>
                    </a:stretch>
                  </pic:blipFill>
                  <pic:spPr>
                    <a:xfrm>
                      <a:off x="0" y="0"/>
                      <a:ext cx="2724150" cy="4200525"/>
                    </a:xfrm>
                    <a:prstGeom prst="rect">
                      <a:avLst/>
                    </a:prstGeom>
                  </pic:spPr>
                </pic:pic>
              </a:graphicData>
            </a:graphic>
          </wp:inline>
        </w:drawing>
      </w:r>
    </w:p>
    <w:p w14:paraId="09C51926" w14:textId="77777777" w:rsidR="00984CD7" w:rsidRDefault="00984CD7" w:rsidP="003A4DEE">
      <w:pPr>
        <w:spacing w:line="360" w:lineRule="auto"/>
        <w:contextualSpacing/>
        <w:jc w:val="both"/>
        <w:rPr>
          <w:rFonts w:ascii="Palatino Linotype" w:eastAsia="Calibri" w:hAnsi="Palatino Linotype" w:cs="Tahoma"/>
          <w:bCs/>
          <w:color w:val="000000"/>
          <w:sz w:val="22"/>
        </w:rPr>
      </w:pPr>
    </w:p>
    <w:p w14:paraId="6401A7CF" w14:textId="68BD1B36" w:rsidR="00013FE9" w:rsidRPr="0046392A" w:rsidRDefault="00EC65AA" w:rsidP="003A4DEE">
      <w:pPr>
        <w:spacing w:line="360" w:lineRule="auto"/>
        <w:contextualSpacing/>
        <w:jc w:val="both"/>
        <w:rPr>
          <w:rFonts w:ascii="Palatino Linotype" w:eastAsia="Calibri" w:hAnsi="Palatino Linotype" w:cs="Tahoma"/>
          <w:color w:val="000000"/>
          <w:sz w:val="22"/>
        </w:rPr>
      </w:pPr>
      <w:r w:rsidRPr="00EC65AA">
        <w:rPr>
          <w:rFonts w:ascii="Palatino Linotype" w:eastAsia="Calibri" w:hAnsi="Palatino Linotype" w:cs="Tahoma"/>
          <w:bCs/>
          <w:color w:val="000000"/>
          <w:sz w:val="22"/>
        </w:rPr>
        <w:t xml:space="preserve">Así, se colige que, tal como lo precisó el Particular, el Ayuntamiento de Zinacantepec, no proporcionó información alguna, ni cumplimiento a la Resolución del Recurso de Revisión </w:t>
      </w:r>
      <w:r w:rsidR="00810FD6">
        <w:rPr>
          <w:rFonts w:ascii="Palatino Linotype" w:hAnsi="Palatino Linotype" w:cs="Tahoma"/>
          <w:bCs/>
          <w:color w:val="000000"/>
          <w:sz w:val="22"/>
          <w:szCs w:val="22"/>
        </w:rPr>
        <w:t>17571</w:t>
      </w:r>
      <w:r w:rsidR="00984CD7" w:rsidRPr="00984CD7">
        <w:rPr>
          <w:rFonts w:ascii="Palatino Linotype" w:hAnsi="Palatino Linotype" w:cs="Tahoma"/>
          <w:bCs/>
          <w:color w:val="000000"/>
          <w:sz w:val="22"/>
          <w:szCs w:val="22"/>
        </w:rPr>
        <w:t>/INFOEM/IP/RR/2022</w:t>
      </w:r>
      <w:r w:rsidR="000C47EC" w:rsidRPr="00AE7B88">
        <w:rPr>
          <w:rFonts w:ascii="Palatino Linotype" w:eastAsia="Calibri" w:hAnsi="Palatino Linotype" w:cs="Tahoma"/>
          <w:bCs/>
          <w:color w:val="000000"/>
          <w:sz w:val="22"/>
        </w:rPr>
        <w:t xml:space="preserve">, </w:t>
      </w:r>
      <w:r w:rsidRPr="00EC65AA">
        <w:rPr>
          <w:rFonts w:ascii="Palatino Linotype" w:eastAsia="Calibri" w:hAnsi="Palatino Linotype" w:cs="Tahoma"/>
          <w:bCs/>
          <w:color w:val="000000"/>
          <w:sz w:val="22"/>
        </w:rPr>
        <w:t xml:space="preserve">dentro del plazo determinado, pues tenía hasta el </w:t>
      </w:r>
      <w:r w:rsidR="0046392A">
        <w:rPr>
          <w:rFonts w:ascii="Palatino Linotype" w:eastAsia="Calibri" w:hAnsi="Palatino Linotype" w:cs="Tahoma"/>
          <w:bCs/>
          <w:color w:val="000000"/>
          <w:sz w:val="22"/>
        </w:rPr>
        <w:t>treinta y uno de marzo de dos mil veintitrés</w:t>
      </w:r>
      <w:r w:rsidRPr="00EC65AA">
        <w:rPr>
          <w:rFonts w:ascii="Palatino Linotype" w:eastAsia="Calibri" w:hAnsi="Palatino Linotype" w:cs="Tahoma"/>
          <w:bCs/>
          <w:color w:val="000000"/>
          <w:sz w:val="22"/>
        </w:rPr>
        <w:t xml:space="preserve">, para realizar dicha situación por lo que es evidente que el agravio es </w:t>
      </w:r>
      <w:r w:rsidRPr="00AC1B15">
        <w:rPr>
          <w:rFonts w:ascii="Palatino Linotype" w:eastAsia="Calibri" w:hAnsi="Palatino Linotype" w:cs="Tahoma"/>
          <w:b/>
          <w:bCs/>
          <w:color w:val="000000"/>
          <w:sz w:val="22"/>
        </w:rPr>
        <w:t>FUNDADO</w:t>
      </w:r>
      <w:r w:rsidR="0046392A">
        <w:rPr>
          <w:rFonts w:ascii="Palatino Linotype" w:eastAsia="Calibri" w:hAnsi="Palatino Linotype" w:cs="Tahoma"/>
          <w:b/>
          <w:bCs/>
          <w:color w:val="000000"/>
          <w:sz w:val="22"/>
        </w:rPr>
        <w:t>;</w:t>
      </w:r>
      <w:r w:rsidR="0046392A">
        <w:rPr>
          <w:rFonts w:ascii="Palatino Linotype" w:eastAsia="Calibri" w:hAnsi="Palatino Linotype" w:cs="Tahoma"/>
          <w:color w:val="000000"/>
          <w:sz w:val="22"/>
        </w:rPr>
        <w:t xml:space="preserve"> inclusive a la fecha, no ha emitido cumplimiento alguno.</w:t>
      </w:r>
    </w:p>
    <w:p w14:paraId="58B7395E" w14:textId="77777777" w:rsidR="00013FE9" w:rsidRDefault="00013FE9" w:rsidP="003A4DEE">
      <w:pPr>
        <w:spacing w:line="360" w:lineRule="auto"/>
        <w:contextualSpacing/>
        <w:jc w:val="both"/>
        <w:rPr>
          <w:rFonts w:ascii="Palatino Linotype" w:eastAsia="Calibri" w:hAnsi="Palatino Linotype" w:cs="Tahoma"/>
          <w:bCs/>
          <w:color w:val="000000"/>
          <w:sz w:val="22"/>
        </w:rPr>
      </w:pPr>
    </w:p>
    <w:p w14:paraId="2E0E2948" w14:textId="391D917B" w:rsidR="00BA3DC0" w:rsidRDefault="00EC65AA" w:rsidP="003A4DEE">
      <w:pPr>
        <w:spacing w:line="360" w:lineRule="auto"/>
        <w:contextualSpacing/>
        <w:jc w:val="both"/>
        <w:rPr>
          <w:rFonts w:ascii="Palatino Linotype" w:eastAsia="Calibri" w:hAnsi="Palatino Linotype" w:cs="Tahoma"/>
          <w:bCs/>
          <w:color w:val="000000"/>
          <w:sz w:val="22"/>
        </w:rPr>
      </w:pPr>
      <w:r w:rsidRPr="00EC65AA">
        <w:rPr>
          <w:rFonts w:ascii="Palatino Linotype" w:eastAsia="Calibri" w:hAnsi="Palatino Linotype" w:cs="Tahoma"/>
          <w:bCs/>
          <w:color w:val="000000"/>
          <w:sz w:val="22"/>
        </w:rPr>
        <w:t xml:space="preserve">Con base en lo expuesto, es procedente </w:t>
      </w:r>
      <w:r w:rsidRPr="00E13810">
        <w:rPr>
          <w:rFonts w:ascii="Palatino Linotype" w:eastAsia="Calibri" w:hAnsi="Palatino Linotype" w:cs="Tahoma"/>
          <w:b/>
          <w:bCs/>
          <w:color w:val="000000"/>
          <w:sz w:val="22"/>
        </w:rPr>
        <w:t>ORDENAR</w:t>
      </w:r>
      <w:r w:rsidRPr="00EC65AA">
        <w:rPr>
          <w:rFonts w:ascii="Palatino Linotype" w:eastAsia="Calibri" w:hAnsi="Palatino Linotype" w:cs="Tahoma"/>
          <w:bCs/>
          <w:color w:val="000000"/>
          <w:sz w:val="22"/>
        </w:rPr>
        <w:t xml:space="preserve"> </w:t>
      </w:r>
      <w:r w:rsidR="00AC1B15">
        <w:rPr>
          <w:rFonts w:ascii="Palatino Linotype" w:eastAsia="Calibri" w:hAnsi="Palatino Linotype" w:cs="Tahoma"/>
          <w:bCs/>
          <w:color w:val="000000"/>
          <w:sz w:val="22"/>
        </w:rPr>
        <w:t>dar cumplimiento a</w:t>
      </w:r>
      <w:r w:rsidR="007B1BD9">
        <w:rPr>
          <w:rFonts w:ascii="Palatino Linotype" w:eastAsia="Calibri" w:hAnsi="Palatino Linotype" w:cs="Tahoma"/>
          <w:bCs/>
          <w:color w:val="000000"/>
          <w:sz w:val="22"/>
        </w:rPr>
        <w:t xml:space="preserve"> la Resolución del Recurso de Revisión </w:t>
      </w:r>
      <w:r w:rsidR="00810FD6">
        <w:rPr>
          <w:rFonts w:ascii="Palatino Linotype" w:hAnsi="Palatino Linotype" w:cs="Tahoma"/>
          <w:bCs/>
          <w:color w:val="000000"/>
          <w:sz w:val="22"/>
          <w:szCs w:val="22"/>
        </w:rPr>
        <w:t>17571</w:t>
      </w:r>
      <w:r w:rsidR="00984CD7" w:rsidRPr="00984CD7">
        <w:rPr>
          <w:rFonts w:ascii="Palatino Linotype" w:hAnsi="Palatino Linotype" w:cs="Tahoma"/>
          <w:bCs/>
          <w:color w:val="000000"/>
          <w:sz w:val="22"/>
          <w:szCs w:val="22"/>
        </w:rPr>
        <w:t>/INFOEM/IP/RR/2022</w:t>
      </w:r>
      <w:r w:rsidRPr="00EC65AA">
        <w:rPr>
          <w:rFonts w:ascii="Palatino Linotype" w:eastAsia="Calibri" w:hAnsi="Palatino Linotype" w:cs="Tahoma"/>
          <w:bCs/>
          <w:color w:val="000000"/>
          <w:sz w:val="22"/>
        </w:rPr>
        <w:t xml:space="preserve">; no obstante, para tal circunstancia es necesario analizar </w:t>
      </w:r>
      <w:r w:rsidR="00BA3DC0">
        <w:rPr>
          <w:rFonts w:ascii="Palatino Linotype" w:eastAsia="Calibri" w:hAnsi="Palatino Linotype" w:cs="Tahoma"/>
          <w:bCs/>
          <w:color w:val="000000"/>
          <w:sz w:val="22"/>
        </w:rPr>
        <w:t>la naturaleza de la información.</w:t>
      </w:r>
    </w:p>
    <w:p w14:paraId="705830F4" w14:textId="77777777" w:rsidR="003F71DC" w:rsidRDefault="003F71DC" w:rsidP="003A4DEE">
      <w:pPr>
        <w:spacing w:line="360" w:lineRule="auto"/>
        <w:contextualSpacing/>
        <w:jc w:val="both"/>
        <w:rPr>
          <w:rFonts w:ascii="Palatino Linotype" w:eastAsia="Calibri" w:hAnsi="Palatino Linotype" w:cs="Tahoma"/>
          <w:bCs/>
          <w:color w:val="000000"/>
          <w:sz w:val="22"/>
        </w:rPr>
      </w:pPr>
    </w:p>
    <w:p w14:paraId="66DCE42C" w14:textId="77777777" w:rsidR="0046392A" w:rsidRPr="0046392A" w:rsidRDefault="0046392A" w:rsidP="0046392A">
      <w:pPr>
        <w:spacing w:line="360" w:lineRule="auto"/>
        <w:contextualSpacing/>
        <w:jc w:val="both"/>
        <w:rPr>
          <w:rFonts w:ascii="Palatino Linotype" w:eastAsiaTheme="minorHAnsi" w:hAnsi="Palatino Linotype" w:cstheme="minorBidi"/>
          <w:color w:val="000000" w:themeColor="text1"/>
          <w:sz w:val="22"/>
          <w:szCs w:val="22"/>
          <w:lang w:eastAsia="en-US"/>
        </w:rPr>
      </w:pPr>
      <w:r w:rsidRPr="0046392A">
        <w:rPr>
          <w:rFonts w:ascii="Palatino Linotype" w:eastAsiaTheme="minorHAnsi" w:hAnsi="Palatino Linotype" w:cstheme="minorBidi"/>
          <w:color w:val="000000" w:themeColor="text1"/>
          <w:sz w:val="22"/>
          <w:szCs w:val="22"/>
          <w:lang w:eastAsia="en-US"/>
        </w:rPr>
        <w:lastRenderedPageBreak/>
        <w:t>En principio, los artículos 3°, fracción XXXIX y 59, de la Ley de Transparencia y Acceso a la Información Pública del Estado de México y Municipios, precisa que los servidores públicos habilitados, son las personas encargadas dentro de las diversas unidades administrativas o áreas del Sujeto Obligado, de apoyar, gestionar y entregar la información o datos personales que se ubiquen en la misma, a sus respectivas unidades de transparencia; por lo que, estos tendrá las siguientes funciones:</w:t>
      </w:r>
    </w:p>
    <w:p w14:paraId="559913EB" w14:textId="77777777" w:rsidR="0046392A" w:rsidRPr="0046392A" w:rsidRDefault="0046392A" w:rsidP="0046392A">
      <w:pPr>
        <w:spacing w:line="360" w:lineRule="auto"/>
        <w:contextualSpacing/>
        <w:jc w:val="both"/>
        <w:rPr>
          <w:rFonts w:ascii="Palatino Linotype" w:eastAsiaTheme="minorHAnsi" w:hAnsi="Palatino Linotype" w:cstheme="minorBidi"/>
          <w:color w:val="000000" w:themeColor="text1"/>
          <w:sz w:val="22"/>
          <w:szCs w:val="22"/>
          <w:lang w:eastAsia="en-US"/>
        </w:rPr>
      </w:pPr>
      <w:bookmarkStart w:id="1" w:name="_GoBack"/>
      <w:bookmarkEnd w:id="1"/>
    </w:p>
    <w:p w14:paraId="6C9DF596" w14:textId="77777777" w:rsidR="0046392A" w:rsidRPr="0046392A" w:rsidRDefault="0046392A" w:rsidP="0046392A">
      <w:pPr>
        <w:numPr>
          <w:ilvl w:val="0"/>
          <w:numId w:val="23"/>
        </w:numPr>
        <w:spacing w:after="160" w:line="360" w:lineRule="auto"/>
        <w:contextualSpacing/>
        <w:jc w:val="both"/>
        <w:rPr>
          <w:rFonts w:ascii="Palatino Linotype" w:eastAsiaTheme="minorHAnsi" w:hAnsi="Palatino Linotype" w:cstheme="minorBidi"/>
          <w:color w:val="000000" w:themeColor="text1"/>
          <w:sz w:val="22"/>
          <w:szCs w:val="22"/>
          <w:lang w:eastAsia="en-US"/>
        </w:rPr>
      </w:pPr>
      <w:r w:rsidRPr="0046392A">
        <w:rPr>
          <w:rFonts w:ascii="Palatino Linotype" w:eastAsiaTheme="minorHAnsi" w:hAnsi="Palatino Linotype" w:cstheme="minorBidi"/>
          <w:color w:val="000000" w:themeColor="text1"/>
          <w:sz w:val="22"/>
          <w:szCs w:val="22"/>
          <w:lang w:eastAsia="en-US"/>
        </w:rPr>
        <w:t xml:space="preserve">Localizar la información que le solicite la Unidad de Transparencia; </w:t>
      </w:r>
    </w:p>
    <w:p w14:paraId="02E365D2" w14:textId="77777777" w:rsidR="0046392A" w:rsidRPr="0046392A" w:rsidRDefault="0046392A" w:rsidP="0046392A">
      <w:pPr>
        <w:numPr>
          <w:ilvl w:val="0"/>
          <w:numId w:val="23"/>
        </w:numPr>
        <w:spacing w:after="160" w:line="360" w:lineRule="auto"/>
        <w:contextualSpacing/>
        <w:jc w:val="both"/>
        <w:rPr>
          <w:rFonts w:ascii="Palatino Linotype" w:eastAsiaTheme="minorHAnsi" w:hAnsi="Palatino Linotype" w:cstheme="minorBidi"/>
          <w:color w:val="000000" w:themeColor="text1"/>
          <w:sz w:val="22"/>
          <w:szCs w:val="22"/>
          <w:lang w:eastAsia="en-US"/>
        </w:rPr>
      </w:pPr>
      <w:r w:rsidRPr="0046392A">
        <w:rPr>
          <w:rFonts w:ascii="Palatino Linotype" w:eastAsiaTheme="minorHAnsi" w:hAnsi="Palatino Linotype" w:cstheme="minorBidi"/>
          <w:color w:val="000000" w:themeColor="text1"/>
          <w:sz w:val="22"/>
          <w:szCs w:val="22"/>
          <w:lang w:eastAsia="en-US"/>
        </w:rPr>
        <w:t xml:space="preserve">Proporcionar la información que obre en los archivos y que le sea solicitada por la Unidad de Transparencia; </w:t>
      </w:r>
    </w:p>
    <w:p w14:paraId="68C5D32C" w14:textId="77777777" w:rsidR="0046392A" w:rsidRPr="0046392A" w:rsidRDefault="0046392A" w:rsidP="0046392A">
      <w:pPr>
        <w:numPr>
          <w:ilvl w:val="0"/>
          <w:numId w:val="23"/>
        </w:numPr>
        <w:spacing w:after="160" w:line="360" w:lineRule="auto"/>
        <w:contextualSpacing/>
        <w:jc w:val="both"/>
        <w:rPr>
          <w:rFonts w:ascii="Palatino Linotype" w:eastAsiaTheme="minorHAnsi" w:hAnsi="Palatino Linotype" w:cstheme="minorBidi"/>
          <w:color w:val="000000" w:themeColor="text1"/>
          <w:sz w:val="22"/>
          <w:szCs w:val="22"/>
          <w:lang w:eastAsia="en-US"/>
        </w:rPr>
      </w:pPr>
      <w:r w:rsidRPr="0046392A">
        <w:rPr>
          <w:rFonts w:ascii="Palatino Linotype" w:eastAsiaTheme="minorHAnsi" w:hAnsi="Palatino Linotype" w:cstheme="minorBidi"/>
          <w:color w:val="000000" w:themeColor="text1"/>
          <w:sz w:val="22"/>
          <w:szCs w:val="22"/>
          <w:lang w:eastAsia="en-US"/>
        </w:rPr>
        <w:t xml:space="preserve">Apoyar a la Unidad de Transparencia en lo que esta le solicite para el cumplimiento de sus funciones; </w:t>
      </w:r>
    </w:p>
    <w:p w14:paraId="08432D6F" w14:textId="77777777" w:rsidR="0046392A" w:rsidRPr="0046392A" w:rsidRDefault="0046392A" w:rsidP="0046392A">
      <w:pPr>
        <w:numPr>
          <w:ilvl w:val="0"/>
          <w:numId w:val="23"/>
        </w:numPr>
        <w:spacing w:after="160" w:line="360" w:lineRule="auto"/>
        <w:contextualSpacing/>
        <w:jc w:val="both"/>
        <w:rPr>
          <w:rFonts w:ascii="Palatino Linotype" w:eastAsiaTheme="minorHAnsi" w:hAnsi="Palatino Linotype" w:cstheme="minorBidi"/>
          <w:color w:val="000000" w:themeColor="text1"/>
          <w:sz w:val="22"/>
          <w:szCs w:val="22"/>
          <w:lang w:eastAsia="en-US"/>
        </w:rPr>
      </w:pPr>
      <w:r w:rsidRPr="0046392A">
        <w:rPr>
          <w:rFonts w:ascii="Palatino Linotype" w:eastAsiaTheme="minorHAnsi" w:hAnsi="Palatino Linotype" w:cstheme="minorBidi"/>
          <w:color w:val="000000" w:themeColor="text1"/>
          <w:sz w:val="22"/>
          <w:szCs w:val="22"/>
          <w:lang w:eastAsia="en-US"/>
        </w:rPr>
        <w:t xml:space="preserve">Proporcionar a la Unidad de Transparencia, las modificaciones a la información pública de oficio que obre en su poder; </w:t>
      </w:r>
    </w:p>
    <w:p w14:paraId="1432BBC4" w14:textId="77777777" w:rsidR="0046392A" w:rsidRPr="0046392A" w:rsidRDefault="0046392A" w:rsidP="0046392A">
      <w:pPr>
        <w:numPr>
          <w:ilvl w:val="0"/>
          <w:numId w:val="23"/>
        </w:numPr>
        <w:spacing w:after="160" w:line="360" w:lineRule="auto"/>
        <w:contextualSpacing/>
        <w:jc w:val="both"/>
        <w:rPr>
          <w:rFonts w:ascii="Palatino Linotype" w:eastAsiaTheme="minorHAnsi" w:hAnsi="Palatino Linotype" w:cstheme="minorBidi"/>
          <w:color w:val="000000" w:themeColor="text1"/>
          <w:sz w:val="22"/>
          <w:szCs w:val="22"/>
          <w:lang w:eastAsia="en-US"/>
        </w:rPr>
      </w:pPr>
      <w:r w:rsidRPr="0046392A">
        <w:rPr>
          <w:rFonts w:ascii="Palatino Linotype" w:eastAsiaTheme="minorHAnsi" w:hAnsi="Palatino Linotype" w:cstheme="minorBidi"/>
          <w:color w:val="000000" w:themeColor="text1"/>
          <w:sz w:val="22"/>
          <w:szCs w:val="22"/>
          <w:lang w:eastAsia="en-US"/>
        </w:rPr>
        <w:t xml:space="preserve">Integrar y presentar al responsable de la Unidad de Transparencia la propuesta de clasificación de información, la cual tendrá los fundamentos y argumentos en que se basa dicha propuesta; </w:t>
      </w:r>
    </w:p>
    <w:p w14:paraId="795A09C5" w14:textId="77777777" w:rsidR="0046392A" w:rsidRPr="0046392A" w:rsidRDefault="0046392A" w:rsidP="0046392A">
      <w:pPr>
        <w:numPr>
          <w:ilvl w:val="0"/>
          <w:numId w:val="23"/>
        </w:numPr>
        <w:spacing w:after="160" w:line="360" w:lineRule="auto"/>
        <w:contextualSpacing/>
        <w:jc w:val="both"/>
        <w:rPr>
          <w:rFonts w:ascii="Palatino Linotype" w:eastAsiaTheme="minorHAnsi" w:hAnsi="Palatino Linotype" w:cstheme="minorBidi"/>
          <w:color w:val="000000" w:themeColor="text1"/>
          <w:sz w:val="22"/>
          <w:szCs w:val="22"/>
          <w:lang w:eastAsia="en-US"/>
        </w:rPr>
      </w:pPr>
      <w:r w:rsidRPr="0046392A">
        <w:rPr>
          <w:rFonts w:ascii="Palatino Linotype" w:eastAsiaTheme="minorHAnsi" w:hAnsi="Palatino Linotype" w:cstheme="minorBidi"/>
          <w:color w:val="000000" w:themeColor="text1"/>
          <w:sz w:val="22"/>
          <w:szCs w:val="22"/>
          <w:lang w:eastAsia="en-US"/>
        </w:rPr>
        <w:t xml:space="preserve">Verificar, una vez analizado el contenido de la información, que no se encuentre en los supuestos de información clasificada, y </w:t>
      </w:r>
    </w:p>
    <w:p w14:paraId="0E35B3EB" w14:textId="77777777" w:rsidR="0046392A" w:rsidRPr="0046392A" w:rsidRDefault="0046392A" w:rsidP="0046392A">
      <w:pPr>
        <w:numPr>
          <w:ilvl w:val="0"/>
          <w:numId w:val="23"/>
        </w:numPr>
        <w:spacing w:after="160" w:line="360" w:lineRule="auto"/>
        <w:contextualSpacing/>
        <w:jc w:val="both"/>
        <w:rPr>
          <w:rFonts w:ascii="Palatino Linotype" w:eastAsiaTheme="minorHAnsi" w:hAnsi="Palatino Linotype" w:cstheme="minorBidi"/>
          <w:color w:val="000000" w:themeColor="text1"/>
          <w:sz w:val="22"/>
          <w:szCs w:val="22"/>
          <w:lang w:eastAsia="en-US"/>
        </w:rPr>
      </w:pPr>
      <w:r w:rsidRPr="0046392A">
        <w:rPr>
          <w:rFonts w:ascii="Palatino Linotype" w:eastAsiaTheme="minorHAnsi" w:hAnsi="Palatino Linotype" w:cstheme="minorBidi"/>
          <w:color w:val="000000" w:themeColor="text1"/>
          <w:sz w:val="22"/>
          <w:szCs w:val="22"/>
          <w:lang w:eastAsia="en-US"/>
        </w:rPr>
        <w:t>Dar cuenta a la Unidad de Transparencia del vencimiento de los plazos de reserva</w:t>
      </w:r>
    </w:p>
    <w:p w14:paraId="3D4400D5" w14:textId="77777777" w:rsidR="0046392A" w:rsidRPr="0046392A" w:rsidRDefault="0046392A" w:rsidP="0046392A">
      <w:pPr>
        <w:spacing w:line="360" w:lineRule="auto"/>
        <w:contextualSpacing/>
        <w:jc w:val="both"/>
        <w:rPr>
          <w:rFonts w:ascii="Palatino Linotype" w:eastAsiaTheme="minorHAnsi" w:hAnsi="Palatino Linotype" w:cstheme="minorBidi"/>
          <w:color w:val="000000" w:themeColor="text1"/>
          <w:sz w:val="22"/>
          <w:szCs w:val="22"/>
          <w:lang w:eastAsia="en-US"/>
        </w:rPr>
      </w:pPr>
    </w:p>
    <w:p w14:paraId="74E0C9A3" w14:textId="77777777" w:rsidR="0046392A" w:rsidRPr="0046392A" w:rsidRDefault="0046392A" w:rsidP="0046392A">
      <w:pPr>
        <w:spacing w:line="360" w:lineRule="auto"/>
        <w:contextualSpacing/>
        <w:jc w:val="both"/>
        <w:rPr>
          <w:rFonts w:ascii="Palatino Linotype" w:eastAsiaTheme="minorHAnsi" w:hAnsi="Palatino Linotype" w:cstheme="minorBidi"/>
          <w:b/>
          <w:color w:val="000000" w:themeColor="text1"/>
          <w:sz w:val="22"/>
          <w:szCs w:val="22"/>
          <w:lang w:eastAsia="en-US"/>
        </w:rPr>
      </w:pPr>
      <w:r w:rsidRPr="0046392A">
        <w:rPr>
          <w:rFonts w:ascii="Palatino Linotype" w:eastAsiaTheme="minorHAnsi" w:hAnsi="Palatino Linotype" w:cstheme="minorBidi"/>
          <w:color w:val="000000" w:themeColor="text1"/>
          <w:sz w:val="22"/>
          <w:szCs w:val="22"/>
          <w:lang w:eastAsia="en-US"/>
        </w:rPr>
        <w:t xml:space="preserve">En ese contexto, el diverso 58 del Ordenamiento Legal, precisa que los </w:t>
      </w:r>
      <w:r w:rsidRPr="0046392A">
        <w:rPr>
          <w:rFonts w:ascii="Palatino Linotype" w:eastAsiaTheme="minorHAnsi" w:hAnsi="Palatino Linotype" w:cstheme="minorBidi"/>
          <w:b/>
          <w:color w:val="000000" w:themeColor="text1"/>
          <w:sz w:val="22"/>
          <w:szCs w:val="22"/>
          <w:lang w:eastAsia="en-US"/>
        </w:rPr>
        <w:t>servidores públicos habilitados serán designados por el titular del Sujeto Obligado a propuesta del responsable de la Unidad de Transparencia.</w:t>
      </w:r>
    </w:p>
    <w:p w14:paraId="6EA45F62" w14:textId="77777777" w:rsidR="0046392A" w:rsidRPr="0046392A" w:rsidRDefault="0046392A" w:rsidP="0046392A">
      <w:pPr>
        <w:spacing w:line="360" w:lineRule="auto"/>
        <w:contextualSpacing/>
        <w:jc w:val="both"/>
        <w:rPr>
          <w:rFonts w:ascii="Palatino Linotype" w:eastAsiaTheme="minorHAnsi" w:hAnsi="Palatino Linotype" w:cstheme="minorBidi"/>
          <w:color w:val="000000" w:themeColor="text1"/>
          <w:sz w:val="22"/>
          <w:szCs w:val="22"/>
          <w:lang w:eastAsia="en-US"/>
        </w:rPr>
      </w:pPr>
    </w:p>
    <w:p w14:paraId="32EC2578" w14:textId="77777777" w:rsidR="0046392A" w:rsidRPr="0046392A" w:rsidRDefault="0046392A" w:rsidP="0046392A">
      <w:pPr>
        <w:spacing w:line="360" w:lineRule="auto"/>
        <w:contextualSpacing/>
        <w:jc w:val="both"/>
        <w:rPr>
          <w:rFonts w:ascii="Palatino Linotype" w:eastAsiaTheme="minorHAnsi" w:hAnsi="Palatino Linotype" w:cstheme="minorBidi"/>
          <w:color w:val="000000" w:themeColor="text1"/>
          <w:sz w:val="22"/>
          <w:szCs w:val="22"/>
          <w:lang w:eastAsia="en-US"/>
        </w:rPr>
      </w:pPr>
      <w:r w:rsidRPr="0046392A">
        <w:rPr>
          <w:rFonts w:ascii="Palatino Linotype" w:eastAsiaTheme="minorHAnsi" w:hAnsi="Palatino Linotype" w:cstheme="minorBidi"/>
          <w:color w:val="000000" w:themeColor="text1"/>
          <w:sz w:val="22"/>
          <w:szCs w:val="22"/>
          <w:lang w:eastAsia="en-US"/>
        </w:rPr>
        <w:t xml:space="preserve">Conforme a lo anterior, se logra vislumbrar que los servidores públicos habilitados son aquellos designados por el Titular del Sujeto Obligado, que tienen como propósito apoyar a </w:t>
      </w:r>
      <w:r w:rsidRPr="0046392A">
        <w:rPr>
          <w:rFonts w:ascii="Palatino Linotype" w:eastAsiaTheme="minorHAnsi" w:hAnsi="Palatino Linotype" w:cstheme="minorBidi"/>
          <w:color w:val="000000" w:themeColor="text1"/>
          <w:sz w:val="22"/>
          <w:szCs w:val="22"/>
          <w:lang w:eastAsia="en-US"/>
        </w:rPr>
        <w:lastRenderedPageBreak/>
        <w:t>la Unidad de Transparencia para cumplir con el derecho de acceso a la información de la ciudadanía, mediante la búsqueda y, en su caso, entrega de la información que obre dentro del área en el cual se le habilitó.</w:t>
      </w:r>
    </w:p>
    <w:p w14:paraId="075A844B" w14:textId="77777777" w:rsidR="0046392A" w:rsidRDefault="0046392A" w:rsidP="003A4DEE">
      <w:pPr>
        <w:spacing w:line="360" w:lineRule="auto"/>
        <w:contextualSpacing/>
        <w:jc w:val="both"/>
        <w:rPr>
          <w:rFonts w:ascii="Palatino Linotype" w:eastAsia="Calibri" w:hAnsi="Palatino Linotype" w:cs="Tahoma"/>
          <w:bCs/>
          <w:color w:val="000000"/>
          <w:sz w:val="22"/>
        </w:rPr>
      </w:pPr>
    </w:p>
    <w:p w14:paraId="3A3A42A7" w14:textId="77777777" w:rsidR="008040D4" w:rsidRPr="008040D4" w:rsidRDefault="008040D4" w:rsidP="008040D4">
      <w:pPr>
        <w:spacing w:line="360" w:lineRule="auto"/>
        <w:contextualSpacing/>
        <w:jc w:val="both"/>
        <w:rPr>
          <w:rFonts w:ascii="Palatino Linotype" w:eastAsiaTheme="minorHAnsi" w:hAnsi="Palatino Linotype" w:cstheme="minorBidi"/>
          <w:color w:val="000000" w:themeColor="text1"/>
          <w:sz w:val="22"/>
          <w:szCs w:val="22"/>
          <w:lang w:eastAsia="en-US"/>
        </w:rPr>
      </w:pPr>
      <w:r w:rsidRPr="008040D4">
        <w:rPr>
          <w:rFonts w:ascii="Palatino Linotype" w:eastAsiaTheme="minorHAnsi" w:hAnsi="Palatino Linotype" w:cstheme="minorBidi"/>
          <w:color w:val="000000" w:themeColor="text1"/>
          <w:sz w:val="22"/>
          <w:szCs w:val="22"/>
          <w:lang w:eastAsia="en-US"/>
        </w:rPr>
        <w:t>Así, se colige que la pretensión del ahora Recurrente, es obtener los documentos donde conste la designación de los Servidores Públicos Habilitados y Enlaces de Transparencia, del primero de enero de dos mil veintiuno al dieciocho de noviembre de dos mil veintidós.</w:t>
      </w:r>
    </w:p>
    <w:p w14:paraId="25709D5E" w14:textId="77777777" w:rsidR="008040D4" w:rsidRDefault="008040D4" w:rsidP="003A4DEE">
      <w:pPr>
        <w:spacing w:line="360" w:lineRule="auto"/>
        <w:contextualSpacing/>
        <w:jc w:val="both"/>
        <w:rPr>
          <w:rFonts w:ascii="Palatino Linotype" w:eastAsia="Calibri" w:hAnsi="Palatino Linotype" w:cs="Tahoma"/>
          <w:bCs/>
          <w:color w:val="000000"/>
          <w:sz w:val="22"/>
        </w:rPr>
      </w:pPr>
    </w:p>
    <w:p w14:paraId="15E3A02D" w14:textId="0CDEB9D0" w:rsidR="0046392A" w:rsidRDefault="0046392A" w:rsidP="003A4DEE">
      <w:pPr>
        <w:spacing w:line="360" w:lineRule="auto"/>
        <w:contextualSpacing/>
        <w:jc w:val="both"/>
        <w:rPr>
          <w:rFonts w:ascii="Palatino Linotype" w:eastAsia="Calibri" w:hAnsi="Palatino Linotype" w:cs="Tahoma"/>
          <w:bCs/>
          <w:color w:val="000000"/>
          <w:sz w:val="22"/>
        </w:rPr>
      </w:pPr>
      <w:r>
        <w:rPr>
          <w:rFonts w:ascii="Palatino Linotype" w:eastAsia="Calibri" w:hAnsi="Palatino Linotype" w:cs="Tahoma"/>
          <w:bCs/>
          <w:color w:val="000000"/>
          <w:sz w:val="22"/>
        </w:rPr>
        <w:t xml:space="preserve">En ese contexto, mediante </w:t>
      </w:r>
      <w:r w:rsidR="008040D4">
        <w:rPr>
          <w:rFonts w:ascii="Palatino Linotype" w:eastAsia="Calibri" w:hAnsi="Palatino Linotype" w:cs="Tahoma"/>
          <w:bCs/>
          <w:color w:val="000000"/>
          <w:sz w:val="22"/>
        </w:rPr>
        <w:t xml:space="preserve">el Informe Justificado del Recurso de Revisión </w:t>
      </w:r>
      <w:r w:rsidR="008040D4" w:rsidRPr="008040D4">
        <w:rPr>
          <w:rFonts w:ascii="Palatino Linotype" w:eastAsia="Calibri" w:hAnsi="Palatino Linotype" w:cs="Tahoma"/>
          <w:bCs/>
          <w:color w:val="000000"/>
          <w:sz w:val="22"/>
        </w:rPr>
        <w:t>17571/INFOEM/IP/RR/2022, el Sujeto Obligado refirió que de conformidad con el artículo 58 de la Ley de Transparencia y Acceso a la Información Pública del Estado de México y Municipios, que los Servidores públicos Habilitados, eran los directores de cada una de las áreas que conforman el Ayuntamiento de Zinacantepec, mismos que también fungían como Enlaces de Transparencia</w:t>
      </w:r>
      <w:r w:rsidR="008040D4">
        <w:rPr>
          <w:rFonts w:ascii="Palatino Linotype" w:eastAsia="Calibri" w:hAnsi="Palatino Linotype" w:cs="Tahoma"/>
          <w:bCs/>
          <w:color w:val="000000"/>
          <w:sz w:val="22"/>
        </w:rPr>
        <w:t>.</w:t>
      </w:r>
    </w:p>
    <w:p w14:paraId="0FD41B0E" w14:textId="77777777" w:rsidR="008040D4" w:rsidRDefault="008040D4" w:rsidP="003A4DEE">
      <w:pPr>
        <w:spacing w:line="360" w:lineRule="auto"/>
        <w:contextualSpacing/>
        <w:jc w:val="both"/>
        <w:rPr>
          <w:rFonts w:ascii="Palatino Linotype" w:eastAsia="Calibri" w:hAnsi="Palatino Linotype" w:cs="Tahoma"/>
          <w:bCs/>
          <w:color w:val="000000"/>
          <w:sz w:val="22"/>
        </w:rPr>
      </w:pPr>
    </w:p>
    <w:p w14:paraId="4D4E08F5" w14:textId="6271E7CE" w:rsidR="008040D4" w:rsidRDefault="008040D4" w:rsidP="003A4DEE">
      <w:pPr>
        <w:spacing w:line="360" w:lineRule="auto"/>
        <w:contextualSpacing/>
        <w:jc w:val="both"/>
        <w:rPr>
          <w:rFonts w:ascii="Palatino Linotype" w:eastAsia="Calibri" w:hAnsi="Palatino Linotype" w:cs="Tahoma"/>
          <w:bCs/>
          <w:color w:val="000000"/>
          <w:sz w:val="22"/>
        </w:rPr>
      </w:pPr>
      <w:r>
        <w:rPr>
          <w:rFonts w:ascii="Palatino Linotype" w:eastAsia="Calibri" w:hAnsi="Palatino Linotype" w:cs="Tahoma"/>
          <w:bCs/>
          <w:color w:val="000000"/>
          <w:sz w:val="22"/>
        </w:rPr>
        <w:t xml:space="preserve">Así, se advierte que el Ayuntamiento aludió </w:t>
      </w:r>
      <w:r w:rsidRPr="008040D4">
        <w:rPr>
          <w:rFonts w:ascii="Palatino Linotype" w:eastAsia="Calibri" w:hAnsi="Palatino Linotype" w:cs="Tahoma"/>
          <w:bCs/>
          <w:color w:val="000000"/>
          <w:sz w:val="22"/>
        </w:rPr>
        <w:t>que los Directores de las Unidades Administrativas, eran los servidores públicos habilitados y enlaces de transparencia;</w:t>
      </w:r>
      <w:r>
        <w:rPr>
          <w:rFonts w:ascii="Palatino Linotype" w:eastAsia="Calibri" w:hAnsi="Palatino Linotype" w:cs="Tahoma"/>
          <w:bCs/>
          <w:color w:val="000000"/>
          <w:sz w:val="22"/>
        </w:rPr>
        <w:t xml:space="preserve"> por lo que, se logra vislumbrar, que los oficios o documentos mediante los cuales los designaron son aquellos que dan cuenta de lo peticionado.</w:t>
      </w:r>
    </w:p>
    <w:p w14:paraId="494BEE2A" w14:textId="77777777" w:rsidR="0046392A" w:rsidRDefault="0046392A" w:rsidP="003A4DEE">
      <w:pPr>
        <w:spacing w:line="360" w:lineRule="auto"/>
        <w:contextualSpacing/>
        <w:jc w:val="both"/>
        <w:rPr>
          <w:rFonts w:ascii="Palatino Linotype" w:eastAsia="Calibri" w:hAnsi="Palatino Linotype" w:cs="Tahoma"/>
          <w:bCs/>
          <w:color w:val="000000"/>
          <w:sz w:val="22"/>
        </w:rPr>
      </w:pPr>
    </w:p>
    <w:p w14:paraId="07BB53F8" w14:textId="77777777" w:rsidR="008040D4" w:rsidRPr="008040D4" w:rsidRDefault="008040D4" w:rsidP="008040D4">
      <w:pPr>
        <w:spacing w:line="360" w:lineRule="auto"/>
        <w:jc w:val="both"/>
        <w:rPr>
          <w:rFonts w:ascii="Palatino Linotype" w:eastAsia="Calibri" w:hAnsi="Palatino Linotype" w:cs="Tahoma"/>
          <w:b/>
          <w:color w:val="000000" w:themeColor="text1"/>
          <w:sz w:val="22"/>
          <w:szCs w:val="22"/>
          <w:lang w:eastAsia="en-US"/>
        </w:rPr>
      </w:pPr>
      <w:r w:rsidRPr="008040D4">
        <w:rPr>
          <w:rFonts w:ascii="Palatino Linotype" w:eastAsia="Calibri" w:hAnsi="Palatino Linotype" w:cs="Tahoma"/>
          <w:bCs/>
          <w:color w:val="000000" w:themeColor="text1"/>
          <w:sz w:val="22"/>
          <w:szCs w:val="22"/>
          <w:lang w:val="es-ES" w:eastAsia="en-US"/>
        </w:rPr>
        <w:t xml:space="preserve">Sobre el tema, cabe precisar que de conformidad con los artículos 6°, apartado A, de la Constitución Política de los Estados Unidos Mexicanos, 5° de la Constitución Política del Estado Libre y Soberano de México, </w:t>
      </w:r>
      <w:r w:rsidRPr="008040D4">
        <w:rPr>
          <w:rFonts w:ascii="Palatino Linotype" w:eastAsia="Calibri" w:hAnsi="Palatino Linotype" w:cs="Tahoma"/>
          <w:bCs/>
          <w:color w:val="000000" w:themeColor="text1"/>
          <w:sz w:val="22"/>
          <w:szCs w:val="22"/>
          <w:lang w:eastAsia="en-US"/>
        </w:rPr>
        <w:t xml:space="preserve">4° de la Ley General de Transparencia y Acceso a la Información Pública y 4° de la </w:t>
      </w:r>
      <w:r w:rsidRPr="008040D4">
        <w:rPr>
          <w:rFonts w:ascii="Palatino Linotype" w:eastAsia="Calibri" w:hAnsi="Palatino Linotype" w:cs="Tahoma"/>
          <w:color w:val="000000" w:themeColor="text1"/>
          <w:sz w:val="22"/>
          <w:szCs w:val="22"/>
          <w:lang w:eastAsia="en-US"/>
        </w:rPr>
        <w:t xml:space="preserve">Ley </w:t>
      </w:r>
      <w:r w:rsidRPr="008040D4">
        <w:rPr>
          <w:rFonts w:ascii="Palatino Linotype" w:eastAsia="Calibri" w:hAnsi="Palatino Linotype" w:cs="Tahoma"/>
          <w:bCs/>
          <w:color w:val="000000" w:themeColor="text1"/>
          <w:sz w:val="22"/>
          <w:szCs w:val="22"/>
          <w:lang w:eastAsia="en-US"/>
        </w:rPr>
        <w:t xml:space="preserve">de Transparencia y Acceso a la Información Pública del Estado de México y Municipios, </w:t>
      </w:r>
      <w:r w:rsidRPr="008040D4">
        <w:rPr>
          <w:rFonts w:ascii="Palatino Linotype" w:eastAsia="Calibri" w:hAnsi="Palatino Linotype" w:cs="Tahoma"/>
          <w:b/>
          <w:color w:val="000000" w:themeColor="text1"/>
          <w:sz w:val="22"/>
          <w:szCs w:val="22"/>
          <w:lang w:eastAsia="en-US"/>
        </w:rPr>
        <w:t>toda la información generada, obtenida, adquirida, transformada o en posesión de los sujetos obligados es pública y accesible a cualquier persona.</w:t>
      </w:r>
    </w:p>
    <w:p w14:paraId="38911042" w14:textId="77777777" w:rsidR="008040D4" w:rsidRPr="008040D4" w:rsidRDefault="008040D4" w:rsidP="008040D4">
      <w:pPr>
        <w:tabs>
          <w:tab w:val="left" w:pos="4962"/>
        </w:tabs>
        <w:spacing w:line="360" w:lineRule="auto"/>
        <w:jc w:val="both"/>
        <w:rPr>
          <w:rFonts w:ascii="Palatino Linotype" w:eastAsia="Calibri" w:hAnsi="Palatino Linotype" w:cs="Tahoma"/>
          <w:bCs/>
          <w:color w:val="000000" w:themeColor="text1"/>
          <w:sz w:val="22"/>
          <w:szCs w:val="22"/>
          <w:lang w:eastAsia="en-US"/>
        </w:rPr>
      </w:pPr>
    </w:p>
    <w:p w14:paraId="3029928A" w14:textId="1E0FA5CE" w:rsidR="008040D4" w:rsidRPr="008040D4" w:rsidRDefault="008040D4" w:rsidP="008040D4">
      <w:pPr>
        <w:spacing w:line="360" w:lineRule="auto"/>
        <w:jc w:val="both"/>
        <w:rPr>
          <w:rFonts w:ascii="Palatino Linotype" w:hAnsi="Palatino Linotype" w:cs="Tahoma"/>
          <w:sz w:val="22"/>
          <w:szCs w:val="24"/>
          <w:lang w:val="es-ES" w:eastAsia="es-MX"/>
        </w:rPr>
      </w:pPr>
      <w:r>
        <w:rPr>
          <w:rFonts w:ascii="Palatino Linotype" w:eastAsia="Calibri" w:hAnsi="Palatino Linotype" w:cs="Segoe UI"/>
          <w:color w:val="000000" w:themeColor="text1"/>
          <w:sz w:val="22"/>
          <w:szCs w:val="22"/>
          <w:lang w:eastAsia="en-US"/>
        </w:rPr>
        <w:t>En ese sentido,</w:t>
      </w:r>
      <w:r w:rsidRPr="008040D4">
        <w:rPr>
          <w:rFonts w:ascii="Palatino Linotype" w:eastAsia="Calibri" w:hAnsi="Palatino Linotype" w:cs="Segoe UI"/>
          <w:color w:val="000000" w:themeColor="text1"/>
          <w:sz w:val="22"/>
          <w:szCs w:val="22"/>
          <w:lang w:eastAsia="en-US"/>
        </w:rPr>
        <w:t xml:space="preserve"> </w:t>
      </w:r>
      <w:r w:rsidRPr="008040D4">
        <w:rPr>
          <w:rFonts w:ascii="Palatino Linotype" w:hAnsi="Palatino Linotype" w:cs="Tahoma"/>
          <w:sz w:val="22"/>
          <w:szCs w:val="24"/>
          <w:lang w:val="es-ES" w:eastAsia="es-MX"/>
        </w:rPr>
        <w:t>el artículo 18 de la Ley de Transparencia y Acceso a la Información Pública del Estado de México y Municipios, contempla que los sujetos obligados deberán documentar todo acto que derive del ejercicio de sus facultades, competencias o funciones.</w:t>
      </w:r>
    </w:p>
    <w:p w14:paraId="45E77473" w14:textId="77777777" w:rsidR="008040D4" w:rsidRPr="008040D4" w:rsidRDefault="008040D4" w:rsidP="008040D4">
      <w:pPr>
        <w:spacing w:line="360" w:lineRule="auto"/>
        <w:jc w:val="both"/>
        <w:rPr>
          <w:rFonts w:ascii="Palatino Linotype" w:hAnsi="Palatino Linotype" w:cs="Tahoma"/>
          <w:sz w:val="22"/>
          <w:szCs w:val="24"/>
          <w:lang w:val="es-ES" w:eastAsia="es-MX"/>
        </w:rPr>
      </w:pPr>
    </w:p>
    <w:p w14:paraId="5B6B4215" w14:textId="77777777" w:rsidR="008040D4" w:rsidRPr="008040D4" w:rsidRDefault="008040D4" w:rsidP="008040D4">
      <w:pPr>
        <w:spacing w:line="360" w:lineRule="auto"/>
        <w:jc w:val="both"/>
        <w:rPr>
          <w:rFonts w:ascii="Palatino Linotype" w:eastAsia="Calibri" w:hAnsi="Palatino Linotype" w:cs="Arial"/>
          <w:bCs/>
          <w:color w:val="0D0D0D" w:themeColor="text1" w:themeTint="F2"/>
          <w:sz w:val="22"/>
          <w:szCs w:val="22"/>
          <w:lang w:val="es-ES" w:eastAsia="en-US"/>
        </w:rPr>
      </w:pPr>
      <w:r w:rsidRPr="008040D4">
        <w:rPr>
          <w:rFonts w:ascii="Palatino Linotype" w:eastAsia="Calibri" w:hAnsi="Palatino Linotype" w:cs="Arial"/>
          <w:bCs/>
          <w:color w:val="0D0D0D" w:themeColor="text1" w:themeTint="F2"/>
          <w:sz w:val="22"/>
          <w:szCs w:val="22"/>
          <w:lang w:val="es-ES" w:eastAsia="en-US"/>
        </w:rPr>
        <w:t>Lo anterior toma relevancia, pues según Jarquín, Soledad (2019), en el “Diccionario de Transparencia y Acceso a la Información Pública” (p. 126 y 127), todos los sujetos obligados tienen la obligación jurídica, en materia de transparencia y acceso a la información pública, de dejar constancia o registro material de las actividades efectuadas con motivo del ejercicio de sus atribuciones de cualquier acto que derive del ejercicio de sus facultades, competencias o funciones.</w:t>
      </w:r>
    </w:p>
    <w:p w14:paraId="3CD30575" w14:textId="77777777" w:rsidR="008040D4" w:rsidRPr="008040D4" w:rsidRDefault="008040D4" w:rsidP="008040D4">
      <w:pPr>
        <w:spacing w:line="360" w:lineRule="auto"/>
        <w:jc w:val="both"/>
        <w:rPr>
          <w:rFonts w:ascii="Palatino Linotype" w:eastAsia="Calibri" w:hAnsi="Palatino Linotype" w:cs="Arial"/>
          <w:bCs/>
          <w:color w:val="0D0D0D" w:themeColor="text1" w:themeTint="F2"/>
          <w:sz w:val="22"/>
          <w:szCs w:val="22"/>
          <w:lang w:val="es-ES" w:eastAsia="en-US"/>
        </w:rPr>
      </w:pPr>
    </w:p>
    <w:p w14:paraId="06852D94" w14:textId="77777777" w:rsidR="008040D4" w:rsidRPr="008040D4" w:rsidRDefault="008040D4" w:rsidP="008040D4">
      <w:pPr>
        <w:spacing w:line="360" w:lineRule="auto"/>
        <w:jc w:val="both"/>
        <w:rPr>
          <w:rFonts w:ascii="Palatino Linotype" w:eastAsia="Calibri" w:hAnsi="Palatino Linotype" w:cs="Arial"/>
          <w:bCs/>
          <w:color w:val="0D0D0D" w:themeColor="text1" w:themeTint="F2"/>
          <w:sz w:val="22"/>
          <w:szCs w:val="22"/>
          <w:lang w:val="es-ES" w:eastAsia="en-US"/>
        </w:rPr>
      </w:pPr>
      <w:r w:rsidRPr="008040D4">
        <w:rPr>
          <w:rFonts w:ascii="Palatino Linotype" w:eastAsia="Calibri" w:hAnsi="Palatino Linotype" w:cs="Arial"/>
          <w:bCs/>
          <w:color w:val="0D0D0D" w:themeColor="text1" w:themeTint="F2"/>
          <w:sz w:val="22"/>
          <w:szCs w:val="22"/>
          <w:lang w:val="es-ES" w:eastAsia="en-US"/>
        </w:rPr>
        <w:t xml:space="preserve">Además, precisa que los documentos son el registro material que da testimonio de las actividades efectuadas por los sujetos obligados con motivo del ejercicio de sus facultades, atribuciones o funciones, los cuales pueden ser escritos, impresos, sonoros, visuales, electrónicos, informáticos, entre otros; asimismo aclara que estos pueden contener valores administrativos, legales, fiscales, contables, históricos, informativos, entre otros. </w:t>
      </w:r>
    </w:p>
    <w:p w14:paraId="1783A412" w14:textId="77777777" w:rsidR="00E13810" w:rsidRDefault="00E13810" w:rsidP="003A4DEE">
      <w:pPr>
        <w:spacing w:line="360" w:lineRule="auto"/>
        <w:jc w:val="both"/>
        <w:rPr>
          <w:rFonts w:ascii="Palatino Linotype" w:hAnsi="Palatino Linotype" w:cs="Tahoma"/>
          <w:bCs/>
          <w:iCs/>
          <w:color w:val="000000"/>
          <w:sz w:val="22"/>
          <w:szCs w:val="22"/>
          <w:lang w:val="es-ES" w:eastAsia="es-MX"/>
        </w:rPr>
      </w:pPr>
    </w:p>
    <w:p w14:paraId="0DAF8CDE" w14:textId="7680A179" w:rsidR="008040D4" w:rsidRDefault="008040D4" w:rsidP="008040D4">
      <w:pPr>
        <w:spacing w:line="360" w:lineRule="auto"/>
        <w:jc w:val="both"/>
        <w:rPr>
          <w:rFonts w:ascii="Palatino Linotype" w:hAnsi="Palatino Linotype" w:cs="Tahoma"/>
          <w:bCs/>
          <w:iCs/>
          <w:color w:val="000000"/>
          <w:sz w:val="22"/>
          <w:szCs w:val="22"/>
          <w:lang w:val="es-ES" w:eastAsia="es-MX"/>
        </w:rPr>
      </w:pPr>
      <w:r>
        <w:rPr>
          <w:rFonts w:ascii="Palatino Linotype" w:hAnsi="Palatino Linotype" w:cs="Tahoma"/>
          <w:bCs/>
          <w:iCs/>
          <w:color w:val="000000"/>
          <w:sz w:val="22"/>
          <w:szCs w:val="22"/>
          <w:lang w:val="es-ES" w:eastAsia="es-MX"/>
        </w:rPr>
        <w:t>Conforme a lo anterior, se logra vislumbrar que los Sujetos Obligado tienen la obligación de documentar el ejercicio de sus funciones, como lo es, el de designar a los Servidores Públicos Habilitados y Enlaces de Transparencia.</w:t>
      </w:r>
    </w:p>
    <w:p w14:paraId="1DD37E1F" w14:textId="77777777" w:rsidR="008040D4" w:rsidRDefault="008040D4" w:rsidP="003A4DEE">
      <w:pPr>
        <w:spacing w:line="360" w:lineRule="auto"/>
        <w:jc w:val="both"/>
        <w:rPr>
          <w:rFonts w:ascii="Palatino Linotype" w:hAnsi="Palatino Linotype" w:cs="Tahoma"/>
          <w:bCs/>
          <w:iCs/>
          <w:color w:val="000000"/>
          <w:sz w:val="22"/>
          <w:szCs w:val="22"/>
          <w:lang w:val="es-ES" w:eastAsia="es-MX"/>
        </w:rPr>
      </w:pPr>
    </w:p>
    <w:p w14:paraId="71A4FCDA" w14:textId="77777777" w:rsidR="008040D4" w:rsidRPr="008040D4" w:rsidRDefault="008040D4" w:rsidP="008040D4">
      <w:pPr>
        <w:autoSpaceDE w:val="0"/>
        <w:autoSpaceDN w:val="0"/>
        <w:adjustRightInd w:val="0"/>
        <w:spacing w:line="360" w:lineRule="auto"/>
        <w:jc w:val="both"/>
        <w:rPr>
          <w:rFonts w:ascii="Palatino Linotype" w:eastAsia="Calibri" w:hAnsi="Palatino Linotype" w:cs="Tahoma"/>
          <w:color w:val="000000"/>
          <w:sz w:val="22"/>
          <w:szCs w:val="22"/>
          <w:lang w:val="es-ES" w:eastAsia="es-MX"/>
        </w:rPr>
      </w:pPr>
      <w:r w:rsidRPr="008040D4">
        <w:rPr>
          <w:rFonts w:ascii="Palatino Linotype" w:hAnsi="Palatino Linotype" w:cs="Tahoma"/>
          <w:iCs/>
          <w:sz w:val="22"/>
          <w:szCs w:val="22"/>
          <w:lang w:val="es-ES"/>
        </w:rPr>
        <w:t>Por tales consideraciones, se considera que el Sujeto Obligado, deberá realizar una búsqueda exhaustiva y razonable, en términos del artículo 162 de la Ley de Transparencia y Acceso a la Información Pública del Estado de México y Municipios, en los archivos de las áreas competentes, entre las cuales se encuentra la Unidad de Transparencia y en la Presidencia Municipal, a efecto de que proporcione l</w:t>
      </w:r>
      <w:r w:rsidRPr="008040D4">
        <w:rPr>
          <w:rFonts w:ascii="Palatino Linotype" w:eastAsiaTheme="minorHAnsi" w:hAnsi="Palatino Linotype" w:cstheme="minorBidi"/>
          <w:color w:val="000000" w:themeColor="text1"/>
          <w:sz w:val="22"/>
          <w:szCs w:val="22"/>
          <w:lang w:eastAsia="en-US"/>
        </w:rPr>
        <w:t xml:space="preserve">os documentos donde conste la designación de los </w:t>
      </w:r>
      <w:r w:rsidRPr="008040D4">
        <w:rPr>
          <w:rFonts w:ascii="Palatino Linotype" w:eastAsiaTheme="minorHAnsi" w:hAnsi="Palatino Linotype" w:cstheme="minorBidi"/>
          <w:color w:val="000000" w:themeColor="text1"/>
          <w:sz w:val="22"/>
          <w:szCs w:val="22"/>
          <w:lang w:eastAsia="en-US"/>
        </w:rPr>
        <w:lastRenderedPageBreak/>
        <w:t>Servidores Públicos Habilitados y Enlaces de Transparencia, del primero de enero de dos mil veintiuno al dieciocho de noviembre de dos mil veintidós.</w:t>
      </w:r>
    </w:p>
    <w:p w14:paraId="618526D6" w14:textId="77777777" w:rsidR="008040D4" w:rsidRPr="008040D4" w:rsidRDefault="008040D4" w:rsidP="008040D4">
      <w:pPr>
        <w:spacing w:line="360" w:lineRule="auto"/>
        <w:jc w:val="both"/>
        <w:rPr>
          <w:rFonts w:ascii="Palatino Linotype" w:hAnsi="Palatino Linotype" w:cs="Tahoma"/>
          <w:iCs/>
          <w:sz w:val="22"/>
          <w:szCs w:val="22"/>
          <w:lang w:val="es-ES"/>
        </w:rPr>
      </w:pPr>
    </w:p>
    <w:p w14:paraId="4C2FD275" w14:textId="77777777" w:rsidR="008040D4" w:rsidRPr="008040D4" w:rsidRDefault="008040D4" w:rsidP="008040D4">
      <w:pPr>
        <w:spacing w:line="360" w:lineRule="auto"/>
        <w:jc w:val="both"/>
        <w:rPr>
          <w:rFonts w:ascii="Palatino Linotype" w:hAnsi="Palatino Linotype" w:cs="Tahoma"/>
          <w:iCs/>
          <w:sz w:val="22"/>
          <w:szCs w:val="22"/>
        </w:rPr>
      </w:pPr>
      <w:r w:rsidRPr="008040D4">
        <w:rPr>
          <w:rFonts w:ascii="Palatino Linotype" w:hAnsi="Palatino Linotype" w:cs="Tahoma"/>
          <w:iCs/>
          <w:sz w:val="22"/>
          <w:szCs w:val="22"/>
        </w:rPr>
        <w:t xml:space="preserve">Dicha determinación, </w:t>
      </w:r>
      <w:r w:rsidRPr="008040D4">
        <w:rPr>
          <w:rFonts w:ascii="Palatino Linotype" w:hAnsi="Palatino Linotype" w:cs="Tahoma"/>
          <w:iCs/>
          <w:sz w:val="22"/>
          <w:szCs w:val="22"/>
          <w:lang w:val="es-ES"/>
        </w:rPr>
        <w:t>toma sustento en el artículo 12 de la Ley de la materia, los sujetos obligados sólo están constreñidos a proporcionar la información pública que obre en sus archivos, en el estado en que esta se encuentre; por lo que, la entrega no comprende el procesamiento de la misma, ni presentarla conforme al interés del solicitante, además, que tampoco deberá generarla, resumirla, efectuar cálculos o practicar investigaciones.</w:t>
      </w:r>
    </w:p>
    <w:p w14:paraId="61A9AFDD" w14:textId="77777777" w:rsidR="008040D4" w:rsidRPr="008040D4" w:rsidRDefault="008040D4" w:rsidP="008040D4">
      <w:pPr>
        <w:spacing w:line="360" w:lineRule="auto"/>
        <w:jc w:val="both"/>
        <w:rPr>
          <w:rFonts w:ascii="Palatino Linotype" w:hAnsi="Palatino Linotype" w:cs="Tahoma"/>
          <w:iCs/>
          <w:sz w:val="22"/>
          <w:szCs w:val="22"/>
          <w:lang w:val="es-ES"/>
        </w:rPr>
      </w:pPr>
    </w:p>
    <w:p w14:paraId="45CC9790" w14:textId="77777777" w:rsidR="008040D4" w:rsidRPr="008040D4" w:rsidRDefault="008040D4" w:rsidP="008040D4">
      <w:pPr>
        <w:spacing w:line="360" w:lineRule="auto"/>
        <w:jc w:val="both"/>
        <w:rPr>
          <w:rFonts w:ascii="Palatino Linotype" w:eastAsiaTheme="minorHAnsi" w:hAnsi="Palatino Linotype" w:cstheme="minorBidi"/>
          <w:color w:val="000000" w:themeColor="text1"/>
          <w:sz w:val="22"/>
          <w:szCs w:val="22"/>
          <w:lang w:eastAsia="en-US"/>
        </w:rPr>
      </w:pPr>
      <w:r w:rsidRPr="008040D4">
        <w:rPr>
          <w:rFonts w:ascii="Palatino Linotype" w:eastAsiaTheme="minorHAnsi" w:hAnsi="Palatino Linotype" w:cstheme="minorBidi"/>
          <w:color w:val="000000" w:themeColor="text1"/>
          <w:sz w:val="22"/>
          <w:szCs w:val="22"/>
          <w:lang w:eastAsia="en-US"/>
        </w:rPr>
        <w:t xml:space="preserve">De esta manera, </w:t>
      </w:r>
      <w:r w:rsidRPr="008040D4">
        <w:rPr>
          <w:rFonts w:ascii="Palatino Linotype" w:eastAsiaTheme="minorHAnsi" w:hAnsi="Palatino Linotype" w:cstheme="minorBidi"/>
          <w:color w:val="000000" w:themeColor="text1"/>
          <w:sz w:val="22"/>
          <w:szCs w:val="22"/>
          <w:lang w:val="es-ES" w:eastAsia="en-US"/>
        </w:rPr>
        <w:t xml:space="preserve">el derecho de acceso a la información pública se satisface en aquellos casos en que se entregue el soporte documental en el que conste la información solicitada, sin necesidad de elaborar documentos </w:t>
      </w:r>
      <w:r w:rsidRPr="008040D4">
        <w:rPr>
          <w:rFonts w:ascii="Palatino Linotype" w:eastAsiaTheme="minorHAnsi" w:hAnsi="Palatino Linotype" w:cstheme="minorBidi"/>
          <w:i/>
          <w:color w:val="000000" w:themeColor="text1"/>
          <w:sz w:val="22"/>
          <w:szCs w:val="22"/>
          <w:lang w:eastAsia="en-US"/>
        </w:rPr>
        <w:t>ad hoc</w:t>
      </w:r>
      <w:r w:rsidRPr="008040D4">
        <w:rPr>
          <w:rFonts w:ascii="Palatino Linotype" w:eastAsiaTheme="minorHAnsi" w:hAnsi="Palatino Linotype" w:cstheme="minorBidi"/>
          <w:color w:val="000000" w:themeColor="text1"/>
          <w:sz w:val="22"/>
          <w:szCs w:val="22"/>
          <w:lang w:eastAsia="en-US"/>
        </w:rPr>
        <w:t xml:space="preserve">; lo cual, de conformidad con en el artículo 160 de la Ley de Transparencia y Acceso a la Información Pública del Estado de México y Municipios, el cual refiere que los sujetos obligados deberán entregar la información que obre en sus archivos. </w:t>
      </w:r>
    </w:p>
    <w:p w14:paraId="54DF46D4" w14:textId="77777777" w:rsidR="008040D4" w:rsidRPr="008040D4" w:rsidRDefault="008040D4" w:rsidP="008040D4">
      <w:pPr>
        <w:spacing w:line="360" w:lineRule="auto"/>
        <w:jc w:val="both"/>
        <w:rPr>
          <w:rFonts w:ascii="Palatino Linotype" w:eastAsiaTheme="minorHAnsi" w:hAnsi="Palatino Linotype" w:cstheme="minorBidi"/>
          <w:color w:val="000000" w:themeColor="text1"/>
          <w:sz w:val="22"/>
          <w:szCs w:val="22"/>
          <w:lang w:eastAsia="en-US"/>
        </w:rPr>
      </w:pPr>
    </w:p>
    <w:p w14:paraId="14AD12DA" w14:textId="77777777" w:rsidR="008040D4" w:rsidRPr="008040D4" w:rsidRDefault="008040D4" w:rsidP="008040D4">
      <w:pPr>
        <w:spacing w:line="360" w:lineRule="auto"/>
        <w:jc w:val="both"/>
        <w:rPr>
          <w:rFonts w:ascii="Palatino Linotype" w:eastAsiaTheme="minorHAnsi" w:hAnsi="Palatino Linotype" w:cstheme="minorBidi"/>
          <w:color w:val="000000" w:themeColor="text1"/>
          <w:sz w:val="22"/>
          <w:szCs w:val="22"/>
          <w:lang w:val="es-ES" w:eastAsia="en-US"/>
        </w:rPr>
      </w:pPr>
      <w:r w:rsidRPr="008040D4">
        <w:rPr>
          <w:rFonts w:ascii="Palatino Linotype" w:eastAsiaTheme="minorHAnsi" w:hAnsi="Palatino Linotype" w:cstheme="minorBidi"/>
          <w:color w:val="000000" w:themeColor="text1"/>
          <w:sz w:val="22"/>
          <w:szCs w:val="22"/>
          <w:lang w:val="es-ES" w:eastAsia="en-US"/>
        </w:rPr>
        <w:t>De tales circunstancias, se concluye que los sujetos obligados únicamente se encuentran constreñidos a proporcionar los documentos que den cuenta de la información solicitada, como obren en sus archivos, sin tener que elaborarlos a las necesidades del Recurrente; por lo que, en el presente caso, se considera que el Sujeto Obligado deberá proporcionar los documentos donde se advierta la designación de los Servidores Públicos Habilitados.</w:t>
      </w:r>
    </w:p>
    <w:p w14:paraId="4EB8F4E2" w14:textId="77777777" w:rsidR="008040D4" w:rsidRPr="008040D4" w:rsidRDefault="008040D4" w:rsidP="008040D4">
      <w:pPr>
        <w:spacing w:line="360" w:lineRule="auto"/>
        <w:jc w:val="both"/>
        <w:rPr>
          <w:rFonts w:ascii="Palatino Linotype" w:eastAsiaTheme="minorHAnsi" w:hAnsi="Palatino Linotype" w:cstheme="minorBidi"/>
          <w:color w:val="000000" w:themeColor="text1"/>
          <w:sz w:val="22"/>
          <w:szCs w:val="22"/>
          <w:lang w:val="es-ES" w:eastAsia="en-US"/>
        </w:rPr>
      </w:pPr>
    </w:p>
    <w:p w14:paraId="28976B14" w14:textId="77777777" w:rsidR="008040D4" w:rsidRPr="008040D4" w:rsidRDefault="008040D4" w:rsidP="008040D4">
      <w:pPr>
        <w:widowControl w:val="0"/>
        <w:spacing w:line="360" w:lineRule="auto"/>
        <w:jc w:val="both"/>
        <w:rPr>
          <w:rFonts w:ascii="Palatino Linotype" w:eastAsiaTheme="minorHAnsi" w:hAnsi="Palatino Linotype" w:cs="Tahoma"/>
          <w:color w:val="000000" w:themeColor="text1"/>
          <w:sz w:val="22"/>
          <w:szCs w:val="22"/>
          <w:lang w:eastAsia="en-US"/>
        </w:rPr>
      </w:pPr>
      <w:r w:rsidRPr="008040D4">
        <w:rPr>
          <w:rFonts w:ascii="Palatino Linotype" w:eastAsia="Calibri" w:hAnsi="Palatino Linotype" w:cstheme="minorBidi"/>
          <w:color w:val="000000" w:themeColor="text1"/>
          <w:sz w:val="22"/>
          <w:szCs w:val="22"/>
          <w:lang w:eastAsia="en-US"/>
        </w:rPr>
        <w:t>Finalmente, para el caso de que los documentos que den cuenta de lo solicitado,</w:t>
      </w:r>
      <w:r w:rsidRPr="008040D4">
        <w:rPr>
          <w:rFonts w:ascii="Palatino Linotype" w:eastAsia="Calibri" w:hAnsi="Palatino Linotype" w:cs="Tahoma"/>
          <w:color w:val="000000" w:themeColor="text1"/>
          <w:sz w:val="22"/>
          <w:szCs w:val="22"/>
          <w:lang w:eastAsia="en-US"/>
        </w:rPr>
        <w:t xml:space="preserve"> contengan datos confidenciales, este deberá </w:t>
      </w:r>
      <w:r w:rsidRPr="008040D4">
        <w:rPr>
          <w:rFonts w:ascii="Palatino Linotype" w:eastAsia="Calibri" w:hAnsi="Palatino Linotype" w:cs="Tahoma"/>
          <w:bCs/>
          <w:color w:val="000000" w:themeColor="text1"/>
          <w:sz w:val="22"/>
          <w:szCs w:val="22"/>
          <w:lang w:eastAsia="en-US"/>
        </w:rPr>
        <w:t>entregarlos, en versión pública, en donde se eliminen estos; sobre dicha situación</w:t>
      </w:r>
      <w:r w:rsidRPr="008040D4">
        <w:rPr>
          <w:rFonts w:ascii="Palatino Linotype" w:eastAsia="Calibri" w:hAnsi="Palatino Linotype" w:cs="Tahoma"/>
          <w:bCs/>
          <w:color w:val="000000" w:themeColor="text1"/>
          <w:sz w:val="22"/>
          <w:szCs w:val="22"/>
          <w:lang w:val="es-ES_tradnl" w:eastAsia="en-US"/>
        </w:rPr>
        <w:t>, el</w:t>
      </w:r>
      <w:r w:rsidRPr="008040D4">
        <w:rPr>
          <w:rFonts w:ascii="Palatino Linotype" w:eastAsiaTheme="minorHAnsi" w:hAnsi="Palatino Linotype" w:cs="Tahoma"/>
          <w:color w:val="000000" w:themeColor="text1"/>
          <w:sz w:val="22"/>
          <w:szCs w:val="22"/>
          <w:lang w:eastAsia="en-US"/>
        </w:rPr>
        <w:t xml:space="preserve"> artículo 3°, fracción XLV, relacionado con el 137, ambos de la Ley de Transparencia y Acceso a la Información Pública del Estado de México y Municipios, establece que cuando un documento contenga información pública y reservada o confidencial, la Unidad de Transparencia para efectos de atender al requerimiento informativo, deberá </w:t>
      </w:r>
      <w:r w:rsidRPr="008040D4">
        <w:rPr>
          <w:rFonts w:ascii="Palatino Linotype" w:eastAsiaTheme="minorHAnsi" w:hAnsi="Palatino Linotype" w:cs="Tahoma"/>
          <w:color w:val="000000" w:themeColor="text1"/>
          <w:sz w:val="22"/>
          <w:szCs w:val="22"/>
          <w:lang w:eastAsia="en-US"/>
        </w:rPr>
        <w:lastRenderedPageBreak/>
        <w:t>elaborar una versión Pública en la que se testen las partes o secciones clasificadas, indicando su contenido de manera genérica y fundando y motivando su clasificación.</w:t>
      </w:r>
    </w:p>
    <w:p w14:paraId="53F3A419" w14:textId="77777777" w:rsidR="008040D4" w:rsidRPr="008040D4" w:rsidRDefault="008040D4" w:rsidP="008040D4">
      <w:pPr>
        <w:spacing w:line="360" w:lineRule="auto"/>
        <w:jc w:val="both"/>
        <w:rPr>
          <w:rFonts w:ascii="Palatino Linotype" w:eastAsiaTheme="minorHAnsi" w:hAnsi="Palatino Linotype" w:cs="Tahoma"/>
          <w:color w:val="000000" w:themeColor="text1"/>
          <w:sz w:val="22"/>
          <w:szCs w:val="22"/>
          <w:lang w:eastAsia="en-US"/>
        </w:rPr>
      </w:pPr>
    </w:p>
    <w:p w14:paraId="44EB3803" w14:textId="77777777" w:rsidR="008040D4" w:rsidRPr="008040D4" w:rsidRDefault="008040D4" w:rsidP="008040D4">
      <w:pPr>
        <w:spacing w:line="360" w:lineRule="auto"/>
        <w:jc w:val="both"/>
        <w:rPr>
          <w:rFonts w:ascii="Palatino Linotype" w:eastAsia="Calibri" w:hAnsi="Palatino Linotype" w:cstheme="minorBidi"/>
          <w:color w:val="000000" w:themeColor="text1"/>
          <w:sz w:val="22"/>
          <w:szCs w:val="22"/>
          <w:lang w:eastAsia="en-US"/>
        </w:rPr>
      </w:pPr>
      <w:r w:rsidRPr="008040D4">
        <w:rPr>
          <w:rFonts w:ascii="Palatino Linotype" w:eastAsiaTheme="minorHAnsi" w:hAnsi="Palatino Linotype" w:cs="Tahoma"/>
          <w:color w:val="000000" w:themeColor="text1"/>
          <w:sz w:val="22"/>
          <w:szCs w:val="22"/>
          <w:lang w:eastAsia="en-US"/>
        </w:rPr>
        <w:t>Además, el Sujeto Obligado deberá seguir el procedimiento establecido en el artículo 168 de dicho ordenamiento jurídico; esto es, que el área competente deberá elaborar la versión pública en los términos planteados en la presente Resolución, así como emitir el Acuerdo, por parte del Comité de Transparencia, donde confirme la clasificación de los datos previamente señalados, fundando y motivando la clasificación.</w:t>
      </w:r>
    </w:p>
    <w:p w14:paraId="0CE0FE3E" w14:textId="77777777" w:rsidR="008040D4" w:rsidRDefault="008040D4" w:rsidP="003A4DEE">
      <w:pPr>
        <w:spacing w:line="360" w:lineRule="auto"/>
        <w:jc w:val="both"/>
        <w:rPr>
          <w:rFonts w:ascii="Palatino Linotype" w:hAnsi="Palatino Linotype" w:cs="Tahoma"/>
          <w:bCs/>
          <w:iCs/>
          <w:color w:val="000000"/>
          <w:sz w:val="22"/>
          <w:szCs w:val="22"/>
          <w:lang w:val="es-ES" w:eastAsia="es-MX"/>
        </w:rPr>
      </w:pPr>
    </w:p>
    <w:p w14:paraId="44E7D1AD" w14:textId="77777777" w:rsidR="00703ED0" w:rsidRPr="00B01DA4" w:rsidRDefault="00703ED0" w:rsidP="003A4DEE">
      <w:pPr>
        <w:spacing w:line="360" w:lineRule="auto"/>
        <w:ind w:right="-28"/>
        <w:contextualSpacing/>
        <w:jc w:val="both"/>
        <w:rPr>
          <w:rFonts w:ascii="Palatino Linotype" w:hAnsi="Palatino Linotype" w:cs="Tahoma"/>
          <w:b/>
          <w:sz w:val="22"/>
          <w:szCs w:val="22"/>
        </w:rPr>
      </w:pPr>
      <w:r w:rsidRPr="00B01DA4">
        <w:rPr>
          <w:rFonts w:ascii="Palatino Linotype" w:hAnsi="Palatino Linotype" w:cs="Tahoma"/>
          <w:b/>
          <w:sz w:val="22"/>
          <w:szCs w:val="22"/>
        </w:rPr>
        <w:t xml:space="preserve">SEXTO. Decisión. </w:t>
      </w:r>
    </w:p>
    <w:p w14:paraId="0C63B663" w14:textId="77777777" w:rsidR="00703ED0" w:rsidRPr="00B01DA4" w:rsidRDefault="00703ED0" w:rsidP="003A4DEE">
      <w:pPr>
        <w:spacing w:line="360" w:lineRule="auto"/>
        <w:ind w:right="-28"/>
        <w:contextualSpacing/>
        <w:jc w:val="both"/>
        <w:rPr>
          <w:rFonts w:ascii="Palatino Linotype" w:hAnsi="Palatino Linotype" w:cs="Tahoma"/>
          <w:b/>
          <w:sz w:val="22"/>
          <w:szCs w:val="22"/>
        </w:rPr>
      </w:pPr>
    </w:p>
    <w:p w14:paraId="08BB3D79" w14:textId="31866C1A" w:rsidR="00037984" w:rsidRDefault="00206A91" w:rsidP="003A24F6">
      <w:pPr>
        <w:spacing w:line="360" w:lineRule="auto"/>
        <w:jc w:val="both"/>
        <w:rPr>
          <w:rFonts w:ascii="Palatino Linotype" w:hAnsi="Palatino Linotype" w:cs="Tahoma"/>
          <w:color w:val="0D0D0D" w:themeColor="text1" w:themeTint="F2"/>
          <w:sz w:val="22"/>
          <w:szCs w:val="22"/>
        </w:rPr>
      </w:pPr>
      <w:r w:rsidRPr="00B01DA4">
        <w:rPr>
          <w:rFonts w:ascii="Palatino Linotype" w:hAnsi="Palatino Linotype" w:cs="Tahoma"/>
          <w:sz w:val="22"/>
          <w:szCs w:val="22"/>
        </w:rPr>
        <w:t xml:space="preserve">Con fundamento en el artículo 186, fracción IV, de la Ley de Transparencia y Acceso a la Información Pública del Estado de México y Municipios, este Instituto considera procedente </w:t>
      </w:r>
      <w:r w:rsidRPr="00B01DA4">
        <w:rPr>
          <w:rFonts w:ascii="Palatino Linotype" w:hAnsi="Palatino Linotype" w:cs="Tahoma"/>
          <w:b/>
          <w:bCs/>
          <w:sz w:val="22"/>
          <w:szCs w:val="22"/>
        </w:rPr>
        <w:t>ORDENAR</w:t>
      </w:r>
      <w:r w:rsidR="00837514">
        <w:rPr>
          <w:rFonts w:ascii="Palatino Linotype" w:hAnsi="Palatino Linotype" w:cs="Tahoma"/>
          <w:sz w:val="22"/>
          <w:szCs w:val="22"/>
        </w:rPr>
        <w:t xml:space="preserve"> </w:t>
      </w:r>
      <w:r w:rsidR="00837514" w:rsidRPr="00837514">
        <w:rPr>
          <w:rFonts w:ascii="Palatino Linotype" w:hAnsi="Palatino Linotype" w:cs="Tahoma"/>
          <w:sz w:val="22"/>
          <w:szCs w:val="22"/>
        </w:rPr>
        <w:t>al Sujeto Obligado</w:t>
      </w:r>
      <w:r w:rsidR="00837514" w:rsidRPr="00837514">
        <w:rPr>
          <w:rFonts w:ascii="Palatino Linotype" w:hAnsi="Palatino Linotype" w:cs="Tahoma"/>
          <w:bCs/>
          <w:sz w:val="22"/>
          <w:szCs w:val="22"/>
        </w:rPr>
        <w:t xml:space="preserve">, a efecto de que, previa </w:t>
      </w:r>
      <w:r w:rsidR="00837514" w:rsidRPr="00837514">
        <w:rPr>
          <w:rFonts w:ascii="Palatino Linotype" w:eastAsia="Calibri" w:hAnsi="Palatino Linotype" w:cs="Tahoma"/>
          <w:iCs/>
          <w:sz w:val="22"/>
          <w:szCs w:val="22"/>
          <w:lang w:eastAsia="es-ES_tradnl"/>
        </w:rPr>
        <w:t xml:space="preserve">búsqueda exhaustiva y razonable, en todas las áreas competentes, entre las cuales no podrá omitir a </w:t>
      </w:r>
      <w:r w:rsidR="00837514" w:rsidRPr="00837514">
        <w:rPr>
          <w:rFonts w:ascii="Palatino Linotype" w:eastAsia="Calibri" w:hAnsi="Palatino Linotype" w:cs="Tahoma"/>
          <w:bCs/>
          <w:iCs/>
          <w:sz w:val="22"/>
          <w:szCs w:val="22"/>
          <w:lang w:eastAsia="es-ES_tradnl"/>
        </w:rPr>
        <w:t xml:space="preserve">la  </w:t>
      </w:r>
      <w:r w:rsidR="008040D4">
        <w:rPr>
          <w:rFonts w:ascii="Palatino Linotype" w:hAnsi="Palatino Linotype" w:cs="Tahoma"/>
          <w:sz w:val="22"/>
          <w:szCs w:val="22"/>
        </w:rPr>
        <w:t>Unidad de Transparencia y Presidencia Municipal</w:t>
      </w:r>
      <w:r w:rsidR="007639F6" w:rsidRPr="00F514A4">
        <w:rPr>
          <w:rFonts w:ascii="Palatino Linotype" w:hAnsi="Palatino Linotype" w:cs="Tahoma"/>
          <w:sz w:val="22"/>
          <w:szCs w:val="22"/>
        </w:rPr>
        <w:t>, entregue</w:t>
      </w:r>
      <w:r w:rsidR="007639F6">
        <w:rPr>
          <w:rFonts w:ascii="Palatino Linotype" w:hAnsi="Palatino Linotype" w:cs="Tahoma"/>
          <w:sz w:val="22"/>
          <w:szCs w:val="22"/>
        </w:rPr>
        <w:t xml:space="preserve">, en su caso, en versión pública, </w:t>
      </w:r>
      <w:r w:rsidR="003A24F6" w:rsidRPr="003A24F6">
        <w:rPr>
          <w:rFonts w:ascii="Palatino Linotype" w:hAnsi="Palatino Linotype" w:cs="Tahoma"/>
          <w:color w:val="0D0D0D" w:themeColor="text1" w:themeTint="F2"/>
          <w:sz w:val="22"/>
          <w:szCs w:val="22"/>
        </w:rPr>
        <w:t>los documentos donde conste la designación de los Servidores Públicos Habilitados y Enlaces de Transparencia, del primero de enero de dos mil veintiuno al dieciocho de noviembre de dos mil veintidós. Además, de ser necesario, deberá proporcionar el Acuerdo de Clasificación donde el Comité de Transparencia, confirme la eliminación de los datos o información clasificada, en la versión pública.</w:t>
      </w:r>
    </w:p>
    <w:p w14:paraId="1DDCD314" w14:textId="77777777" w:rsidR="003A24F6" w:rsidRDefault="003A24F6" w:rsidP="003A24F6">
      <w:pPr>
        <w:spacing w:line="360" w:lineRule="auto"/>
        <w:jc w:val="both"/>
        <w:rPr>
          <w:rFonts w:ascii="Palatino Linotype" w:eastAsia="Calibri" w:hAnsi="Palatino Linotype" w:cs="Tahoma"/>
          <w:b/>
          <w:bCs/>
          <w:iCs/>
          <w:sz w:val="22"/>
          <w:szCs w:val="22"/>
          <w:lang w:val="es-ES" w:eastAsia="en-US"/>
        </w:rPr>
      </w:pPr>
    </w:p>
    <w:p w14:paraId="1C2EB921" w14:textId="2F8B2946" w:rsidR="009A2E93" w:rsidRPr="00B01DA4" w:rsidRDefault="009A2E93" w:rsidP="003A4DEE">
      <w:pPr>
        <w:autoSpaceDE w:val="0"/>
        <w:autoSpaceDN w:val="0"/>
        <w:adjustRightInd w:val="0"/>
        <w:spacing w:line="360" w:lineRule="auto"/>
        <w:contextualSpacing/>
        <w:jc w:val="both"/>
        <w:rPr>
          <w:rFonts w:ascii="Palatino Linotype" w:eastAsia="Calibri" w:hAnsi="Palatino Linotype" w:cs="Tahoma"/>
          <w:b/>
          <w:bCs/>
          <w:iCs/>
          <w:sz w:val="22"/>
          <w:szCs w:val="22"/>
          <w:lang w:val="es-ES" w:eastAsia="en-US"/>
        </w:rPr>
      </w:pPr>
      <w:r w:rsidRPr="00B01DA4">
        <w:rPr>
          <w:rFonts w:ascii="Palatino Linotype" w:eastAsia="Calibri" w:hAnsi="Palatino Linotype" w:cs="Tahoma"/>
          <w:b/>
          <w:bCs/>
          <w:iCs/>
          <w:sz w:val="22"/>
          <w:szCs w:val="22"/>
          <w:lang w:val="es-ES" w:eastAsia="en-US"/>
        </w:rPr>
        <w:t>Términos de la Resolución para conocimiento del Particular.</w:t>
      </w:r>
    </w:p>
    <w:p w14:paraId="4780F5E3" w14:textId="77777777" w:rsidR="009A2E93" w:rsidRPr="00B01DA4" w:rsidRDefault="009A2E93" w:rsidP="003A4DEE">
      <w:pPr>
        <w:autoSpaceDE w:val="0"/>
        <w:autoSpaceDN w:val="0"/>
        <w:adjustRightInd w:val="0"/>
        <w:spacing w:line="360" w:lineRule="auto"/>
        <w:contextualSpacing/>
        <w:jc w:val="both"/>
        <w:rPr>
          <w:rFonts w:ascii="Palatino Linotype" w:eastAsia="Calibri" w:hAnsi="Palatino Linotype" w:cs="Tahoma"/>
          <w:b/>
          <w:bCs/>
          <w:iCs/>
          <w:sz w:val="22"/>
          <w:szCs w:val="22"/>
          <w:lang w:val="es-ES" w:eastAsia="en-US"/>
        </w:rPr>
      </w:pPr>
    </w:p>
    <w:p w14:paraId="3C95696C" w14:textId="6DB5C6E3" w:rsidR="00084000" w:rsidRPr="00084000" w:rsidRDefault="00084000" w:rsidP="003A4DEE">
      <w:pPr>
        <w:spacing w:line="360" w:lineRule="auto"/>
        <w:contextualSpacing/>
        <w:jc w:val="both"/>
        <w:rPr>
          <w:rFonts w:ascii="Palatino Linotype" w:eastAsia="Calibri" w:hAnsi="Palatino Linotype" w:cs="Tahoma"/>
          <w:bCs/>
          <w:iCs/>
          <w:sz w:val="22"/>
          <w:szCs w:val="22"/>
          <w:lang w:eastAsia="en-US"/>
        </w:rPr>
      </w:pPr>
      <w:r w:rsidRPr="00084000">
        <w:rPr>
          <w:rFonts w:ascii="Palatino Linotype" w:eastAsiaTheme="minorHAnsi" w:hAnsi="Palatino Linotype" w:cstheme="minorBidi"/>
          <w:color w:val="000000" w:themeColor="text1"/>
          <w:sz w:val="22"/>
          <w:szCs w:val="22"/>
          <w:lang w:eastAsia="en-US"/>
        </w:rPr>
        <w:t>Se le hace del conocimiento al ahora Recurrente que, en el presente asunto, se le da la razón, pues el Sujeto Obligado no cumplió la resolución en tiempo</w:t>
      </w:r>
      <w:r w:rsidR="00A17BB5">
        <w:rPr>
          <w:rFonts w:ascii="Palatino Linotype" w:eastAsiaTheme="minorHAnsi" w:hAnsi="Palatino Linotype" w:cstheme="minorBidi"/>
          <w:color w:val="000000" w:themeColor="text1"/>
          <w:sz w:val="22"/>
          <w:szCs w:val="22"/>
          <w:lang w:eastAsia="en-US"/>
        </w:rPr>
        <w:t xml:space="preserve">, </w:t>
      </w:r>
      <w:r w:rsidR="00D14896">
        <w:rPr>
          <w:rFonts w:ascii="Palatino Linotype" w:hAnsi="Palatino Linotype"/>
          <w:sz w:val="22"/>
          <w:szCs w:val="22"/>
        </w:rPr>
        <w:t>por lo que, deberá entregarle</w:t>
      </w:r>
      <w:r w:rsidR="00837514" w:rsidRPr="00837514">
        <w:rPr>
          <w:rFonts w:ascii="Palatino Linotype" w:hAnsi="Palatino Linotype" w:cs="Tahoma"/>
          <w:bCs/>
          <w:iCs/>
          <w:color w:val="000000"/>
          <w:sz w:val="22"/>
          <w:szCs w:val="22"/>
          <w:lang w:val="es-ES" w:eastAsia="es-MX"/>
        </w:rPr>
        <w:t xml:space="preserve"> los documentos donde </w:t>
      </w:r>
      <w:r w:rsidR="003A24F6">
        <w:rPr>
          <w:rFonts w:ascii="Palatino Linotype" w:hAnsi="Palatino Linotype" w:cs="Tahoma"/>
          <w:bCs/>
          <w:iCs/>
          <w:color w:val="000000"/>
          <w:sz w:val="22"/>
          <w:szCs w:val="22"/>
          <w:lang w:val="es-ES" w:eastAsia="es-MX"/>
        </w:rPr>
        <w:t>conste la designación de los servidores públicos habilitados</w:t>
      </w:r>
      <w:r w:rsidR="007639F6">
        <w:rPr>
          <w:rFonts w:ascii="Palatino Linotype" w:hAnsi="Palatino Linotype" w:cs="Tahoma"/>
          <w:bCs/>
          <w:iCs/>
          <w:color w:val="000000"/>
          <w:sz w:val="22"/>
          <w:szCs w:val="22"/>
          <w:lang w:val="es-ES" w:eastAsia="es-MX"/>
        </w:rPr>
        <w:t>.</w:t>
      </w:r>
      <w:r w:rsidR="003A24F6">
        <w:rPr>
          <w:rFonts w:ascii="Palatino Linotype" w:hAnsi="Palatino Linotype" w:cs="Tahoma"/>
          <w:bCs/>
          <w:iCs/>
          <w:color w:val="000000"/>
          <w:sz w:val="22"/>
          <w:szCs w:val="22"/>
          <w:lang w:val="es-ES" w:eastAsia="es-MX"/>
        </w:rPr>
        <w:t xml:space="preserve"> </w:t>
      </w:r>
      <w:r w:rsidRPr="00084000">
        <w:rPr>
          <w:rFonts w:ascii="Palatino Linotype" w:eastAsia="Calibri" w:hAnsi="Palatino Linotype" w:cs="Tahoma"/>
          <w:bCs/>
          <w:iCs/>
          <w:sz w:val="22"/>
          <w:szCs w:val="22"/>
          <w:lang w:eastAsia="en-US"/>
        </w:rPr>
        <w:t xml:space="preserve">Finalmente, </w:t>
      </w:r>
      <w:r w:rsidRPr="00084000">
        <w:rPr>
          <w:rFonts w:ascii="Palatino Linotype" w:eastAsia="Calibri" w:hAnsi="Palatino Linotype" w:cs="Tahoma"/>
          <w:bCs/>
          <w:iCs/>
          <w:sz w:val="22"/>
          <w:szCs w:val="22"/>
          <w:lang w:eastAsia="en-US"/>
        </w:rPr>
        <w:lastRenderedPageBreak/>
        <w:t>se le informa que la labor de este Instituto de Transparencia, Acceso a la Información Pública y Protección de Datos Personales del Estado de México y Municipios, es apoyar a la población a acceder a la información pública y garantizar la protección de sus datos personales.</w:t>
      </w:r>
    </w:p>
    <w:p w14:paraId="4EE085B8" w14:textId="77777777" w:rsidR="00084000" w:rsidRPr="00B01DA4" w:rsidRDefault="00084000" w:rsidP="003A4DEE">
      <w:pPr>
        <w:spacing w:line="360" w:lineRule="auto"/>
        <w:contextualSpacing/>
        <w:jc w:val="both"/>
        <w:rPr>
          <w:rFonts w:ascii="Palatino Linotype" w:hAnsi="Palatino Linotype" w:cs="Tahoma"/>
          <w:b/>
          <w:bCs/>
          <w:iCs/>
          <w:color w:val="0D0D0D" w:themeColor="text1" w:themeTint="F2"/>
          <w:sz w:val="22"/>
          <w:szCs w:val="22"/>
        </w:rPr>
      </w:pPr>
    </w:p>
    <w:p w14:paraId="3CC0F1CB" w14:textId="77777777" w:rsidR="009A2E93" w:rsidRPr="00B01DA4" w:rsidRDefault="009A2E93" w:rsidP="003A4DEE">
      <w:pPr>
        <w:autoSpaceDE w:val="0"/>
        <w:autoSpaceDN w:val="0"/>
        <w:adjustRightInd w:val="0"/>
        <w:spacing w:line="360" w:lineRule="auto"/>
        <w:contextualSpacing/>
        <w:jc w:val="both"/>
        <w:rPr>
          <w:rFonts w:ascii="Palatino Linotype" w:eastAsia="Calibri" w:hAnsi="Palatino Linotype" w:cs="Tahoma"/>
          <w:bCs/>
          <w:iCs/>
          <w:color w:val="0D0D0D" w:themeColor="text1" w:themeTint="F2"/>
          <w:sz w:val="22"/>
          <w:szCs w:val="22"/>
          <w:lang w:eastAsia="en-US"/>
        </w:rPr>
      </w:pPr>
      <w:r w:rsidRPr="00B01DA4">
        <w:rPr>
          <w:rFonts w:ascii="Palatino Linotype" w:eastAsia="Calibri" w:hAnsi="Palatino Linotype" w:cs="Tahoma"/>
          <w:bCs/>
          <w:iCs/>
          <w:color w:val="0D0D0D" w:themeColor="text1" w:themeTint="F2"/>
          <w:sz w:val="22"/>
          <w:szCs w:val="22"/>
          <w:lang w:eastAsia="en-US"/>
        </w:rPr>
        <w:t>Por lo expuesto y fundado, este Pleno:</w:t>
      </w:r>
    </w:p>
    <w:p w14:paraId="255D25AB" w14:textId="77777777" w:rsidR="00703ED0" w:rsidRPr="00B01DA4" w:rsidRDefault="00703ED0" w:rsidP="003A4DEE">
      <w:pPr>
        <w:spacing w:line="360" w:lineRule="auto"/>
        <w:ind w:right="-28"/>
        <w:contextualSpacing/>
        <w:jc w:val="both"/>
        <w:rPr>
          <w:rFonts w:ascii="Palatino Linotype" w:eastAsia="Calibri" w:hAnsi="Palatino Linotype" w:cs="Tahoma"/>
          <w:bCs/>
          <w:sz w:val="22"/>
          <w:szCs w:val="22"/>
          <w:lang w:eastAsia="en-US"/>
        </w:rPr>
      </w:pPr>
    </w:p>
    <w:p w14:paraId="6175697B" w14:textId="586956FB" w:rsidR="00703ED0" w:rsidRPr="0064399E" w:rsidRDefault="00703ED0" w:rsidP="003A4DEE">
      <w:pPr>
        <w:spacing w:line="360" w:lineRule="auto"/>
        <w:ind w:right="-28"/>
        <w:contextualSpacing/>
        <w:jc w:val="center"/>
        <w:rPr>
          <w:rFonts w:ascii="Palatino Linotype" w:eastAsia="Calibri" w:hAnsi="Palatino Linotype" w:cs="Tahoma"/>
          <w:b/>
          <w:bCs/>
          <w:sz w:val="22"/>
          <w:szCs w:val="22"/>
          <w:lang w:eastAsia="en-US"/>
        </w:rPr>
      </w:pPr>
      <w:r w:rsidRPr="00B01DA4">
        <w:rPr>
          <w:rFonts w:ascii="Palatino Linotype" w:eastAsia="Calibri" w:hAnsi="Palatino Linotype" w:cs="Tahoma"/>
          <w:b/>
          <w:bCs/>
          <w:sz w:val="22"/>
          <w:szCs w:val="22"/>
          <w:lang w:eastAsia="en-US"/>
        </w:rPr>
        <w:t>R E S U E L V E</w:t>
      </w:r>
    </w:p>
    <w:p w14:paraId="710DEBDD" w14:textId="77777777" w:rsidR="00037984" w:rsidRDefault="00037984" w:rsidP="003A4DEE">
      <w:pPr>
        <w:spacing w:line="360" w:lineRule="auto"/>
        <w:contextualSpacing/>
        <w:jc w:val="both"/>
        <w:rPr>
          <w:rFonts w:ascii="Palatino Linotype" w:eastAsia="Calibri" w:hAnsi="Palatino Linotype" w:cs="Tahoma"/>
          <w:b/>
          <w:bCs/>
          <w:iCs/>
          <w:color w:val="0D0D0D" w:themeColor="text1" w:themeTint="F2"/>
          <w:sz w:val="22"/>
          <w:szCs w:val="22"/>
          <w:lang w:eastAsia="en-US"/>
        </w:rPr>
      </w:pPr>
    </w:p>
    <w:p w14:paraId="230F84AB" w14:textId="1039FDED" w:rsidR="00BF1507" w:rsidRDefault="00BF1507" w:rsidP="003A4DEE">
      <w:pPr>
        <w:spacing w:line="360" w:lineRule="auto"/>
        <w:contextualSpacing/>
        <w:jc w:val="both"/>
        <w:rPr>
          <w:rFonts w:ascii="Palatino Linotype" w:eastAsia="Calibri" w:hAnsi="Palatino Linotype" w:cs="Tahoma"/>
          <w:bCs/>
          <w:color w:val="0D0D0D" w:themeColor="text1" w:themeTint="F2"/>
          <w:sz w:val="22"/>
        </w:rPr>
      </w:pPr>
      <w:r w:rsidRPr="00B01DA4">
        <w:rPr>
          <w:rFonts w:ascii="Palatino Linotype" w:eastAsia="Calibri" w:hAnsi="Palatino Linotype" w:cs="Tahoma"/>
          <w:b/>
          <w:bCs/>
          <w:iCs/>
          <w:color w:val="0D0D0D" w:themeColor="text1" w:themeTint="F2"/>
          <w:sz w:val="22"/>
          <w:szCs w:val="22"/>
          <w:lang w:eastAsia="en-US"/>
        </w:rPr>
        <w:t xml:space="preserve">PRIMERO. </w:t>
      </w:r>
      <w:r w:rsidRPr="00B01DA4">
        <w:rPr>
          <w:rFonts w:ascii="Palatino Linotype" w:eastAsia="Calibri" w:hAnsi="Palatino Linotype" w:cs="Tahoma"/>
          <w:bCs/>
          <w:iCs/>
          <w:color w:val="0D0D0D" w:themeColor="text1" w:themeTint="F2"/>
          <w:sz w:val="22"/>
          <w:szCs w:val="22"/>
          <w:lang w:eastAsia="en-US"/>
        </w:rPr>
        <w:t xml:space="preserve">Resultan </w:t>
      </w:r>
      <w:r w:rsidRPr="00B01DA4">
        <w:rPr>
          <w:rFonts w:ascii="Palatino Linotype" w:eastAsia="Calibri" w:hAnsi="Palatino Linotype" w:cs="Tahoma"/>
          <w:b/>
          <w:bCs/>
          <w:iCs/>
          <w:color w:val="0D0D0D" w:themeColor="text1" w:themeTint="F2"/>
          <w:sz w:val="22"/>
          <w:szCs w:val="22"/>
          <w:lang w:eastAsia="en-US"/>
        </w:rPr>
        <w:t xml:space="preserve">FUNDADAS </w:t>
      </w:r>
      <w:r w:rsidRPr="00B01DA4">
        <w:rPr>
          <w:rFonts w:ascii="Palatino Linotype" w:eastAsia="Calibri" w:hAnsi="Palatino Linotype" w:cs="Tahoma"/>
          <w:bCs/>
          <w:color w:val="0D0D0D" w:themeColor="text1" w:themeTint="F2"/>
          <w:sz w:val="22"/>
        </w:rPr>
        <w:t xml:space="preserve">las razones o motivos de inconformidad hechos valer por </w:t>
      </w:r>
      <w:r w:rsidR="00561C25">
        <w:rPr>
          <w:rFonts w:ascii="Palatino Linotype" w:eastAsia="Calibri" w:hAnsi="Palatino Linotype" w:cs="Tahoma"/>
          <w:bCs/>
          <w:color w:val="0D0D0D" w:themeColor="text1" w:themeTint="F2"/>
          <w:sz w:val="22"/>
        </w:rPr>
        <w:t>el</w:t>
      </w:r>
      <w:r w:rsidRPr="00B01DA4">
        <w:rPr>
          <w:rFonts w:ascii="Palatino Linotype" w:eastAsia="Calibri" w:hAnsi="Palatino Linotype" w:cs="Tahoma"/>
          <w:bCs/>
          <w:color w:val="0D0D0D" w:themeColor="text1" w:themeTint="F2"/>
          <w:sz w:val="22"/>
        </w:rPr>
        <w:t xml:space="preserve"> Particular en el Recurso de Revisión con número </w:t>
      </w:r>
      <w:r w:rsidR="00810FD6">
        <w:rPr>
          <w:rFonts w:ascii="Palatino Linotype" w:hAnsi="Palatino Linotype"/>
          <w:bCs/>
          <w:color w:val="000000"/>
          <w:sz w:val="22"/>
          <w:szCs w:val="22"/>
        </w:rPr>
        <w:t>17571/INFOEM/ICR-206/IP/RR/2022</w:t>
      </w:r>
      <w:r w:rsidRPr="00BA3DC0">
        <w:rPr>
          <w:rFonts w:ascii="Palatino Linotype" w:hAnsi="Palatino Linotype" w:cs="Tahoma"/>
          <w:bCs/>
          <w:color w:val="0D0D0D" w:themeColor="text1" w:themeTint="F2"/>
          <w:sz w:val="22"/>
        </w:rPr>
        <w:t>,</w:t>
      </w:r>
      <w:r w:rsidRPr="00BA3DC0">
        <w:rPr>
          <w:rFonts w:ascii="Palatino Linotype" w:hAnsi="Palatino Linotype" w:cs="Tahoma"/>
          <w:color w:val="0D0D0D" w:themeColor="text1" w:themeTint="F2"/>
          <w:sz w:val="22"/>
        </w:rPr>
        <w:t xml:space="preserve"> </w:t>
      </w:r>
      <w:r w:rsidRPr="00BA3DC0">
        <w:rPr>
          <w:rFonts w:ascii="Palatino Linotype" w:eastAsia="Calibri" w:hAnsi="Palatino Linotype" w:cs="Tahoma"/>
          <w:bCs/>
          <w:color w:val="0D0D0D" w:themeColor="text1" w:themeTint="F2"/>
          <w:sz w:val="22"/>
        </w:rPr>
        <w:t>en</w:t>
      </w:r>
      <w:r w:rsidRPr="00B01DA4">
        <w:rPr>
          <w:rFonts w:ascii="Palatino Linotype" w:eastAsia="Calibri" w:hAnsi="Palatino Linotype" w:cs="Tahoma"/>
          <w:bCs/>
          <w:color w:val="0D0D0D" w:themeColor="text1" w:themeTint="F2"/>
          <w:sz w:val="22"/>
        </w:rPr>
        <w:t xml:space="preserve"> términos del considerando </w:t>
      </w:r>
      <w:r w:rsidRPr="00BA3DC0">
        <w:rPr>
          <w:rFonts w:ascii="Palatino Linotype" w:eastAsia="Calibri" w:hAnsi="Palatino Linotype" w:cs="Tahoma"/>
          <w:bCs/>
          <w:color w:val="0D0D0D" w:themeColor="text1" w:themeTint="F2"/>
          <w:sz w:val="22"/>
        </w:rPr>
        <w:t xml:space="preserve">QUINTO </w:t>
      </w:r>
      <w:r w:rsidRPr="00BA3DC0">
        <w:rPr>
          <w:rFonts w:ascii="Palatino Linotype" w:eastAsia="Calibri" w:hAnsi="Palatino Linotype" w:cs="Tahoma"/>
          <w:color w:val="0D0D0D" w:themeColor="text1" w:themeTint="F2"/>
          <w:sz w:val="22"/>
        </w:rPr>
        <w:t>y</w:t>
      </w:r>
      <w:r w:rsidRPr="00BA3DC0">
        <w:rPr>
          <w:rFonts w:ascii="Palatino Linotype" w:eastAsia="Calibri" w:hAnsi="Palatino Linotype" w:cs="Tahoma"/>
          <w:bCs/>
          <w:color w:val="0D0D0D" w:themeColor="text1" w:themeTint="F2"/>
          <w:sz w:val="22"/>
        </w:rPr>
        <w:t xml:space="preserve"> SEXTO de</w:t>
      </w:r>
      <w:r w:rsidRPr="00B01DA4">
        <w:rPr>
          <w:rFonts w:ascii="Palatino Linotype" w:eastAsia="Calibri" w:hAnsi="Palatino Linotype" w:cs="Tahoma"/>
          <w:bCs/>
          <w:color w:val="0D0D0D" w:themeColor="text1" w:themeTint="F2"/>
          <w:sz w:val="22"/>
        </w:rPr>
        <w:t xml:space="preserve"> la presente Resolución.</w:t>
      </w:r>
    </w:p>
    <w:p w14:paraId="6C4B9B9D" w14:textId="77777777" w:rsidR="004218D2" w:rsidRPr="004218D2" w:rsidRDefault="004218D2" w:rsidP="003A4DEE">
      <w:pPr>
        <w:spacing w:line="360" w:lineRule="auto"/>
        <w:contextualSpacing/>
        <w:jc w:val="both"/>
        <w:rPr>
          <w:rFonts w:ascii="Palatino Linotype" w:eastAsia="Calibri" w:hAnsi="Palatino Linotype" w:cs="Tahoma"/>
          <w:bCs/>
          <w:color w:val="0D0D0D" w:themeColor="text1" w:themeTint="F2"/>
          <w:sz w:val="22"/>
        </w:rPr>
      </w:pPr>
    </w:p>
    <w:p w14:paraId="7935FB9A" w14:textId="429603A0" w:rsidR="00837514" w:rsidRPr="00837514" w:rsidRDefault="00486136" w:rsidP="003A4DEE">
      <w:pPr>
        <w:tabs>
          <w:tab w:val="left" w:pos="4962"/>
        </w:tabs>
        <w:spacing w:line="360" w:lineRule="auto"/>
        <w:jc w:val="both"/>
        <w:rPr>
          <w:rFonts w:ascii="Palatino Linotype" w:eastAsiaTheme="minorHAnsi" w:hAnsi="Palatino Linotype" w:cs="Tahoma"/>
          <w:bCs/>
          <w:iCs/>
          <w:color w:val="000000" w:themeColor="text1"/>
          <w:sz w:val="22"/>
          <w:szCs w:val="22"/>
          <w:lang w:val="es-ES_tradnl" w:eastAsia="en-US"/>
        </w:rPr>
      </w:pPr>
      <w:r w:rsidRPr="00486136">
        <w:rPr>
          <w:rFonts w:ascii="Palatino Linotype" w:eastAsia="Calibri" w:hAnsi="Palatino Linotype" w:cs="Tahoma"/>
          <w:b/>
          <w:bCs/>
          <w:iCs/>
          <w:color w:val="000000"/>
          <w:sz w:val="22"/>
          <w:szCs w:val="22"/>
        </w:rPr>
        <w:t xml:space="preserve">SEGUNDO. </w:t>
      </w:r>
      <w:r w:rsidRPr="00486136">
        <w:rPr>
          <w:rFonts w:ascii="Palatino Linotype" w:hAnsi="Palatino Linotype" w:cs="Tahoma"/>
          <w:sz w:val="22"/>
          <w:szCs w:val="22"/>
          <w:lang w:val="es-ES"/>
        </w:rPr>
        <w:t xml:space="preserve">Se </w:t>
      </w:r>
      <w:r w:rsidRPr="00486136">
        <w:rPr>
          <w:rFonts w:ascii="Palatino Linotype" w:hAnsi="Palatino Linotype" w:cs="Tahoma"/>
          <w:b/>
          <w:sz w:val="22"/>
          <w:szCs w:val="22"/>
          <w:lang w:val="es-ES"/>
        </w:rPr>
        <w:t>ORDENA</w:t>
      </w:r>
      <w:r w:rsidRPr="00486136">
        <w:rPr>
          <w:rFonts w:ascii="Palatino Linotype" w:hAnsi="Palatino Linotype" w:cs="Tahoma"/>
          <w:sz w:val="22"/>
          <w:szCs w:val="22"/>
          <w:lang w:val="es-ES"/>
        </w:rPr>
        <w:t xml:space="preserve"> al Sujeto Obligado,</w:t>
      </w:r>
      <w:r w:rsidR="00D563FC">
        <w:t xml:space="preserve"> </w:t>
      </w:r>
      <w:r w:rsidR="00D563FC" w:rsidRPr="00D563FC">
        <w:rPr>
          <w:rFonts w:ascii="Palatino Linotype" w:hAnsi="Palatino Linotype"/>
          <w:sz w:val="22"/>
          <w:szCs w:val="22"/>
        </w:rPr>
        <w:t>a efecto de que</w:t>
      </w:r>
      <w:r w:rsidR="00BA3DC0">
        <w:rPr>
          <w:rFonts w:ascii="Palatino Linotype" w:hAnsi="Palatino Linotype"/>
          <w:sz w:val="22"/>
          <w:szCs w:val="22"/>
        </w:rPr>
        <w:t>, previa búsqueda exhaustiva y razonable en los archivos de las unidades administrativas competentes,</w:t>
      </w:r>
      <w:r w:rsidR="00D563FC" w:rsidRPr="00D563FC">
        <w:rPr>
          <w:rFonts w:ascii="Palatino Linotype" w:hAnsi="Palatino Linotype"/>
          <w:sz w:val="22"/>
          <w:szCs w:val="22"/>
        </w:rPr>
        <w:t xml:space="preserve"> entregue, a través del Sistema de Acceso a la Información Mexiquense (SAIMEX), </w:t>
      </w:r>
      <w:r w:rsidR="00837514" w:rsidRPr="00837514">
        <w:rPr>
          <w:rFonts w:ascii="Palatino Linotype" w:eastAsiaTheme="minorHAnsi" w:hAnsi="Palatino Linotype" w:cs="Tahoma"/>
          <w:bCs/>
          <w:iCs/>
          <w:color w:val="000000" w:themeColor="text1"/>
          <w:sz w:val="22"/>
          <w:szCs w:val="22"/>
          <w:lang w:val="es-ES_tradnl" w:eastAsia="en-US"/>
        </w:rPr>
        <w:t>en su caso, en versión pública, los documentos donde conste lo siguiente:</w:t>
      </w:r>
    </w:p>
    <w:p w14:paraId="27024AF1" w14:textId="77777777" w:rsidR="00837514" w:rsidRPr="00837514" w:rsidRDefault="00837514" w:rsidP="003A4DEE">
      <w:pPr>
        <w:tabs>
          <w:tab w:val="left" w:pos="4962"/>
        </w:tabs>
        <w:spacing w:line="360" w:lineRule="auto"/>
        <w:jc w:val="both"/>
        <w:rPr>
          <w:rFonts w:ascii="Palatino Linotype" w:eastAsiaTheme="minorHAnsi" w:hAnsi="Palatino Linotype" w:cs="Tahoma"/>
          <w:color w:val="000000" w:themeColor="text1"/>
          <w:sz w:val="22"/>
          <w:szCs w:val="22"/>
          <w:lang w:eastAsia="en-US"/>
        </w:rPr>
      </w:pPr>
    </w:p>
    <w:p w14:paraId="2CCDF834" w14:textId="77777777" w:rsidR="003A24F6" w:rsidRPr="003A24F6" w:rsidRDefault="003A24F6" w:rsidP="003A24F6">
      <w:pPr>
        <w:numPr>
          <w:ilvl w:val="0"/>
          <w:numId w:val="21"/>
        </w:numPr>
        <w:spacing w:after="160" w:line="360" w:lineRule="auto"/>
        <w:ind w:right="-93"/>
        <w:contextualSpacing/>
        <w:jc w:val="both"/>
        <w:rPr>
          <w:rFonts w:ascii="Palatino Linotype" w:hAnsi="Palatino Linotype" w:cs="Tahoma"/>
          <w:bCs/>
          <w:iCs/>
          <w:sz w:val="22"/>
          <w:szCs w:val="22"/>
        </w:rPr>
      </w:pPr>
      <w:r w:rsidRPr="003A24F6">
        <w:rPr>
          <w:rFonts w:ascii="Palatino Linotype" w:hAnsi="Palatino Linotype" w:cs="Tahoma"/>
          <w:bCs/>
          <w:iCs/>
          <w:sz w:val="22"/>
          <w:szCs w:val="22"/>
        </w:rPr>
        <w:t xml:space="preserve">La </w:t>
      </w:r>
      <w:r w:rsidRPr="003A24F6">
        <w:rPr>
          <w:rFonts w:ascii="Palatino Linotype" w:eastAsiaTheme="minorHAnsi" w:hAnsi="Palatino Linotype" w:cstheme="minorBidi"/>
          <w:color w:val="000000" w:themeColor="text1"/>
          <w:sz w:val="22"/>
          <w:szCs w:val="22"/>
          <w:lang w:eastAsia="en-US"/>
        </w:rPr>
        <w:t>designación de los Servidores Públicos Habilitados y Enlaces de Transparencia, del primero de enero de dos mil veintiuno al dieciocho de noviembre de dos mil veintidós.</w:t>
      </w:r>
    </w:p>
    <w:p w14:paraId="46263836" w14:textId="77777777" w:rsidR="00837514" w:rsidRPr="00837514" w:rsidRDefault="00837514" w:rsidP="003A4DEE">
      <w:pPr>
        <w:tabs>
          <w:tab w:val="left" w:pos="4962"/>
        </w:tabs>
        <w:spacing w:line="360" w:lineRule="auto"/>
        <w:ind w:left="720"/>
        <w:contextualSpacing/>
        <w:jc w:val="both"/>
        <w:rPr>
          <w:rFonts w:ascii="Palatino Linotype" w:hAnsi="Palatino Linotype" w:cs="Arial"/>
          <w:sz w:val="22"/>
          <w:szCs w:val="24"/>
        </w:rPr>
      </w:pPr>
    </w:p>
    <w:p w14:paraId="2776BE51" w14:textId="77777777" w:rsidR="003A24F6" w:rsidRPr="003A24F6" w:rsidRDefault="003A24F6" w:rsidP="003A24F6">
      <w:pPr>
        <w:spacing w:line="360" w:lineRule="auto"/>
        <w:jc w:val="both"/>
        <w:rPr>
          <w:rFonts w:ascii="Palatino Linotype" w:eastAsia="Calibri" w:hAnsi="Palatino Linotype" w:cs="Tahoma"/>
          <w:iCs/>
          <w:color w:val="000000"/>
          <w:sz w:val="22"/>
          <w:szCs w:val="22"/>
          <w:lang w:val="es-ES" w:eastAsia="es-ES_tradnl"/>
        </w:rPr>
      </w:pPr>
      <w:r w:rsidRPr="003A24F6">
        <w:rPr>
          <w:rFonts w:ascii="Palatino Linotype" w:eastAsia="Calibri" w:hAnsi="Palatino Linotype" w:cs="Tahoma"/>
          <w:iCs/>
          <w:color w:val="000000"/>
          <w:sz w:val="22"/>
          <w:szCs w:val="22"/>
          <w:lang w:val="es-ES" w:eastAsia="es-ES_tradnl"/>
        </w:rPr>
        <w:t>Además, de ser necesario, deberá proporcionar el Acuerdo de Clasificación donde el Comité de Transparencia, confirme la eliminación de los datos, en la versión pública, de conformidad con los artículos 49, fracciones II y VIII y 132, fracción II de la Ley de Transparencia y Acceso a la Información Pública del Estado de México y Municipios.</w:t>
      </w:r>
    </w:p>
    <w:p w14:paraId="129E1C20" w14:textId="77777777" w:rsidR="00D467BA" w:rsidRPr="00837514" w:rsidRDefault="00D467BA" w:rsidP="003A4DEE">
      <w:pPr>
        <w:tabs>
          <w:tab w:val="left" w:pos="4962"/>
        </w:tabs>
        <w:spacing w:line="360" w:lineRule="auto"/>
        <w:jc w:val="both"/>
        <w:rPr>
          <w:rFonts w:ascii="Palatino Linotype" w:eastAsia="Calibri" w:hAnsi="Palatino Linotype" w:cs="Tahoma"/>
          <w:bCs/>
          <w:color w:val="000000"/>
          <w:sz w:val="22"/>
          <w:szCs w:val="22"/>
          <w:lang w:eastAsia="en-US"/>
        </w:rPr>
      </w:pPr>
    </w:p>
    <w:p w14:paraId="1625E5AA" w14:textId="4C529569" w:rsidR="004218D2" w:rsidRDefault="004218D2" w:rsidP="003A4DEE">
      <w:pPr>
        <w:spacing w:line="360" w:lineRule="auto"/>
        <w:contextualSpacing/>
        <w:jc w:val="both"/>
        <w:rPr>
          <w:rFonts w:ascii="Palatino Linotype" w:hAnsi="Palatino Linotype" w:cs="Tahoma"/>
          <w:color w:val="0D0D0D" w:themeColor="text1" w:themeTint="F2"/>
          <w:sz w:val="22"/>
        </w:rPr>
      </w:pPr>
      <w:r w:rsidRPr="00D94C5F">
        <w:rPr>
          <w:rFonts w:ascii="Palatino Linotype" w:eastAsia="Calibri" w:hAnsi="Palatino Linotype" w:cs="Tahoma"/>
          <w:b/>
          <w:bCs/>
          <w:iCs/>
          <w:color w:val="0D0D0D" w:themeColor="text1" w:themeTint="F2"/>
          <w:sz w:val="22"/>
          <w:lang w:val="es-ES"/>
        </w:rPr>
        <w:t>TERCERO</w:t>
      </w:r>
      <w:r w:rsidRPr="00D94C5F">
        <w:rPr>
          <w:rFonts w:ascii="Palatino Linotype" w:eastAsia="Calibri" w:hAnsi="Palatino Linotype" w:cs="Tahoma"/>
          <w:b/>
          <w:bCs/>
          <w:color w:val="0D0D0D" w:themeColor="text1" w:themeTint="F2"/>
          <w:sz w:val="22"/>
        </w:rPr>
        <w:t xml:space="preserve">. </w:t>
      </w:r>
      <w:r w:rsidR="00D6181B" w:rsidRPr="00D6181B">
        <w:rPr>
          <w:rFonts w:ascii="Palatino Linotype" w:hAnsi="Palatino Linotype" w:cs="Tahoma"/>
          <w:b/>
          <w:color w:val="0D0D0D" w:themeColor="text1" w:themeTint="F2"/>
          <w:sz w:val="22"/>
        </w:rPr>
        <w:t xml:space="preserve">NOTIFÍQUESE </w:t>
      </w:r>
      <w:r w:rsidR="00D6181B" w:rsidRPr="00D6181B">
        <w:rPr>
          <w:rFonts w:ascii="Palatino Linotype" w:hAnsi="Palatino Linotype" w:cs="Tahoma"/>
          <w:color w:val="0D0D0D" w:themeColor="text1" w:themeTint="F2"/>
          <w:sz w:val="22"/>
        </w:rPr>
        <w:t xml:space="preserve">la presente resolución al Titular de la Unidad de Transparencia del Sujeto Obligado, para que conforme al artículo 186, último párrafo, 189, segundo párrafo, </w:t>
      </w:r>
      <w:r w:rsidR="00D6181B" w:rsidRPr="00D6181B">
        <w:rPr>
          <w:rFonts w:ascii="Palatino Linotype" w:hAnsi="Palatino Linotype" w:cs="Tahoma"/>
          <w:color w:val="0D0D0D" w:themeColor="text1" w:themeTint="F2"/>
          <w:sz w:val="22"/>
        </w:rPr>
        <w:lastRenderedPageBreak/>
        <w:t>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se le apercibe que en caso de negarse a cumplir la presente resolución o hacerlo de manera parcial, se le impondrá una medida de apremio de conformidad con lo previsto en los artículos 198, 200, fracción III, 214, 215 y 216 de la Ley referida.</w:t>
      </w:r>
    </w:p>
    <w:p w14:paraId="46E879E2" w14:textId="77777777" w:rsidR="004218D2" w:rsidRDefault="004218D2" w:rsidP="003A4DEE">
      <w:pPr>
        <w:spacing w:line="360" w:lineRule="auto"/>
        <w:contextualSpacing/>
        <w:jc w:val="both"/>
        <w:rPr>
          <w:rFonts w:ascii="Palatino Linotype" w:hAnsi="Palatino Linotype" w:cs="Tahoma"/>
          <w:color w:val="0D0D0D" w:themeColor="text1" w:themeTint="F2"/>
          <w:sz w:val="22"/>
        </w:rPr>
      </w:pPr>
    </w:p>
    <w:p w14:paraId="06BFB60E" w14:textId="632E546E" w:rsidR="00D14896" w:rsidRDefault="00D14896" w:rsidP="003A4DEE">
      <w:pPr>
        <w:spacing w:line="360" w:lineRule="auto"/>
        <w:ind w:right="-93"/>
        <w:jc w:val="both"/>
        <w:rPr>
          <w:rFonts w:ascii="Palatino Linotype" w:hAnsi="Palatino Linotype" w:cs="Tahoma"/>
          <w:sz w:val="22"/>
          <w:szCs w:val="22"/>
        </w:rPr>
      </w:pPr>
      <w:r>
        <w:rPr>
          <w:rFonts w:ascii="Palatino Linotype" w:eastAsia="Calibri" w:hAnsi="Palatino Linotype" w:cs="Tahoma"/>
          <w:b/>
          <w:sz w:val="22"/>
          <w:szCs w:val="22"/>
          <w:lang w:eastAsia="es-MX"/>
        </w:rPr>
        <w:t>CUARTO</w:t>
      </w:r>
      <w:r>
        <w:rPr>
          <w:rFonts w:ascii="Palatino Linotype" w:eastAsia="Calibri" w:hAnsi="Palatino Linotype" w:cs="Tahoma"/>
          <w:b/>
          <w:bCs/>
          <w:sz w:val="22"/>
          <w:szCs w:val="22"/>
          <w:lang w:eastAsia="en-US"/>
        </w:rPr>
        <w:t>.</w:t>
      </w:r>
      <w:r>
        <w:rPr>
          <w:rFonts w:ascii="Palatino Linotype" w:eastAsia="Calibri" w:hAnsi="Palatino Linotype" w:cs="Tahoma"/>
          <w:sz w:val="22"/>
          <w:szCs w:val="22"/>
          <w:lang w:eastAsia="es-MX"/>
        </w:rPr>
        <w:t xml:space="preserve"> </w:t>
      </w:r>
      <w:r>
        <w:rPr>
          <w:rFonts w:ascii="Palatino Linotype" w:hAnsi="Palatino Linotype" w:cs="Tahoma"/>
          <w:b/>
          <w:sz w:val="22"/>
          <w:szCs w:val="22"/>
        </w:rPr>
        <w:t>NOTIFÍQUESE</w:t>
      </w:r>
      <w:r>
        <w:rPr>
          <w:rFonts w:ascii="Palatino Linotype" w:hAnsi="Palatino Linotype" w:cs="Tahoma"/>
          <w:sz w:val="22"/>
          <w:szCs w:val="22"/>
        </w:rPr>
        <w:t xml:space="preserve"> al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r w:rsidR="00BA3DC0">
        <w:rPr>
          <w:rFonts w:ascii="Palatino Linotype" w:hAnsi="Palatino Linotype" w:cs="Tahoma"/>
          <w:sz w:val="22"/>
          <w:szCs w:val="22"/>
        </w:rPr>
        <w:t>.</w:t>
      </w:r>
    </w:p>
    <w:p w14:paraId="1549D0EB" w14:textId="77777777" w:rsidR="004218D2" w:rsidRDefault="004218D2" w:rsidP="003A4DEE">
      <w:pPr>
        <w:spacing w:line="360" w:lineRule="auto"/>
        <w:ind w:right="-93"/>
        <w:contextualSpacing/>
        <w:jc w:val="both"/>
        <w:rPr>
          <w:rFonts w:ascii="Palatino Linotype" w:eastAsia="Calibri" w:hAnsi="Palatino Linotype" w:cs="Tahoma"/>
          <w:bCs/>
          <w:color w:val="0D0D0D" w:themeColor="text1" w:themeTint="F2"/>
          <w:sz w:val="22"/>
        </w:rPr>
      </w:pPr>
    </w:p>
    <w:p w14:paraId="4BE092F9" w14:textId="3DAFA032" w:rsidR="004218D2" w:rsidRDefault="004218D2" w:rsidP="003A4DEE">
      <w:pPr>
        <w:spacing w:line="360" w:lineRule="auto"/>
        <w:contextualSpacing/>
        <w:jc w:val="both"/>
        <w:rPr>
          <w:rFonts w:ascii="Palatino Linotype" w:eastAsia="Calibri" w:hAnsi="Palatino Linotype" w:cs="Tahoma"/>
          <w:sz w:val="22"/>
          <w:szCs w:val="22"/>
          <w:lang w:val="es-ES" w:eastAsia="es-ES_tradnl"/>
        </w:rPr>
      </w:pPr>
      <w:r>
        <w:rPr>
          <w:rFonts w:ascii="Palatino Linotype" w:eastAsia="Calibri" w:hAnsi="Palatino Linotype" w:cs="Tahoma"/>
          <w:sz w:val="22"/>
          <w:szCs w:val="22"/>
          <w:lang w:val="es-ES" w:eastAsia="es-ES_tradnl"/>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DÉCIMA </w:t>
      </w:r>
      <w:r w:rsidR="003A24F6">
        <w:rPr>
          <w:rFonts w:ascii="Palatino Linotype" w:eastAsia="Calibri" w:hAnsi="Palatino Linotype" w:cs="Tahoma"/>
          <w:sz w:val="22"/>
          <w:szCs w:val="22"/>
          <w:lang w:val="es-ES" w:eastAsia="es-ES_tradnl"/>
        </w:rPr>
        <w:t>OCTAVA</w:t>
      </w:r>
      <w:r>
        <w:rPr>
          <w:rFonts w:ascii="Palatino Linotype" w:eastAsia="Calibri" w:hAnsi="Palatino Linotype" w:cs="Tahoma"/>
          <w:sz w:val="22"/>
          <w:szCs w:val="22"/>
          <w:lang w:val="es-ES" w:eastAsia="es-ES_tradnl"/>
        </w:rPr>
        <w:t xml:space="preserve"> SESIÓN ORDINARIA, CELEBRADA EL </w:t>
      </w:r>
      <w:r w:rsidR="003A24F6">
        <w:rPr>
          <w:rFonts w:ascii="Palatino Linotype" w:eastAsia="Calibri" w:hAnsi="Palatino Linotype" w:cs="Tahoma"/>
          <w:sz w:val="22"/>
          <w:szCs w:val="22"/>
          <w:lang w:val="es-ES" w:eastAsia="es-ES_tradnl"/>
        </w:rPr>
        <w:t>DIECISIETE DE MAYO</w:t>
      </w:r>
      <w:r>
        <w:rPr>
          <w:rFonts w:ascii="Palatino Linotype" w:eastAsia="Calibri" w:hAnsi="Palatino Linotype" w:cs="Tahoma"/>
          <w:sz w:val="22"/>
          <w:szCs w:val="22"/>
          <w:lang w:val="es-ES" w:eastAsia="es-ES_tradnl"/>
        </w:rPr>
        <w:t xml:space="preserve"> DE DOS MIL VEINTITRÉS, ANTE EL SECRETARIO TÉCNICO DEL PLENO, ALEXIS TAPIA RAMÍREZ.</w:t>
      </w:r>
    </w:p>
    <w:p w14:paraId="20CDBFEC" w14:textId="5B70249D" w:rsidR="004B1BFE" w:rsidRDefault="00703ED0" w:rsidP="003A4DEE">
      <w:pPr>
        <w:spacing w:line="360" w:lineRule="auto"/>
        <w:contextualSpacing/>
        <w:jc w:val="both"/>
      </w:pPr>
      <w:r w:rsidRPr="00C61C11">
        <w:rPr>
          <w:rFonts w:ascii="Palatino Linotype" w:hAnsi="Palatino Linotype" w:cs="Tahoma"/>
          <w:sz w:val="22"/>
          <w:szCs w:val="22"/>
        </w:rPr>
        <w:br w:type="page"/>
      </w:r>
    </w:p>
    <w:sectPr w:rsidR="004B1BFE" w:rsidSect="00D83492">
      <w:headerReference w:type="even" r:id="rId9"/>
      <w:headerReference w:type="default" r:id="rId10"/>
      <w:footerReference w:type="default" r:id="rId11"/>
      <w:headerReference w:type="first" r:id="rId12"/>
      <w:footerReference w:type="first" r:id="rId13"/>
      <w:pgSz w:w="12240" w:h="15840"/>
      <w:pgMar w:top="80" w:right="1608" w:bottom="1134" w:left="1588" w:header="709" w:footer="62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971FF5A" w14:textId="77777777" w:rsidR="001E4AD8" w:rsidRDefault="001E4AD8" w:rsidP="00343A03">
      <w:r>
        <w:separator/>
      </w:r>
    </w:p>
  </w:endnote>
  <w:endnote w:type="continuationSeparator" w:id="0">
    <w:p w14:paraId="709CB58D" w14:textId="77777777" w:rsidR="001E4AD8" w:rsidRDefault="001E4AD8" w:rsidP="00343A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Garamond">
    <w:altName w:val="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46412018"/>
      <w:docPartObj>
        <w:docPartGallery w:val="Page Numbers (Bottom of Page)"/>
        <w:docPartUnique/>
      </w:docPartObj>
    </w:sdtPr>
    <w:sdtEndPr/>
    <w:sdtContent>
      <w:sdt>
        <w:sdtPr>
          <w:id w:val="-1769616900"/>
          <w:docPartObj>
            <w:docPartGallery w:val="Page Numbers (Top of Page)"/>
            <w:docPartUnique/>
          </w:docPartObj>
        </w:sdtPr>
        <w:sdtEndPr/>
        <w:sdtContent>
          <w:p w14:paraId="26A6C4EC" w14:textId="77777777" w:rsidR="003135D1" w:rsidRPr="00C13895" w:rsidRDefault="001E4AD8">
            <w:pPr>
              <w:pStyle w:val="Piedepgina"/>
              <w:jc w:val="right"/>
              <w:rPr>
                <w:sz w:val="26"/>
                <w:szCs w:val="26"/>
              </w:rPr>
            </w:pPr>
          </w:p>
          <w:p w14:paraId="66DD5A1D" w14:textId="77777777" w:rsidR="003135D1" w:rsidRDefault="00FD4F8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C6181">
              <w:rPr>
                <w:b/>
                <w:bCs/>
                <w:noProof/>
              </w:rPr>
              <w:t>24</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C6181">
              <w:rPr>
                <w:b/>
                <w:bCs/>
                <w:noProof/>
              </w:rPr>
              <w:t>24</w:t>
            </w:r>
            <w:r>
              <w:rPr>
                <w:b/>
                <w:bCs/>
                <w:sz w:val="24"/>
                <w:szCs w:val="24"/>
              </w:rPr>
              <w:fldChar w:fldCharType="end"/>
            </w:r>
          </w:p>
        </w:sdtContent>
      </w:sdt>
    </w:sdtContent>
  </w:sdt>
  <w:p w14:paraId="54D6F635" w14:textId="77777777" w:rsidR="003135D1" w:rsidRDefault="001E4AD8">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767700"/>
      <w:docPartObj>
        <w:docPartGallery w:val="Page Numbers (Bottom of Page)"/>
        <w:docPartUnique/>
      </w:docPartObj>
    </w:sdtPr>
    <w:sdtEndPr/>
    <w:sdtContent>
      <w:sdt>
        <w:sdtPr>
          <w:id w:val="315386424"/>
          <w:docPartObj>
            <w:docPartGallery w:val="Page Numbers (Top of Page)"/>
            <w:docPartUnique/>
          </w:docPartObj>
        </w:sdtPr>
        <w:sdtEndPr/>
        <w:sdtContent>
          <w:p w14:paraId="65554F7A" w14:textId="77777777" w:rsidR="003135D1" w:rsidRDefault="001E4AD8">
            <w:pPr>
              <w:pStyle w:val="Piedepgina"/>
              <w:jc w:val="right"/>
            </w:pPr>
          </w:p>
          <w:p w14:paraId="14D6D77C" w14:textId="77777777" w:rsidR="003135D1" w:rsidRDefault="001E4AD8">
            <w:pPr>
              <w:pStyle w:val="Piedepgina"/>
              <w:jc w:val="right"/>
            </w:pPr>
          </w:p>
          <w:p w14:paraId="1115738F" w14:textId="77777777" w:rsidR="003135D1" w:rsidRDefault="001E4AD8">
            <w:pPr>
              <w:pStyle w:val="Piedepgina"/>
              <w:jc w:val="right"/>
            </w:pPr>
          </w:p>
          <w:p w14:paraId="7EFF01AC" w14:textId="77777777" w:rsidR="003135D1" w:rsidRDefault="00FD4F83">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7C6181">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7C6181">
              <w:rPr>
                <w:b/>
                <w:bCs/>
                <w:noProof/>
              </w:rPr>
              <w:t>24</w:t>
            </w:r>
            <w:r>
              <w:rPr>
                <w:b/>
                <w:bCs/>
                <w:sz w:val="24"/>
                <w:szCs w:val="24"/>
              </w:rPr>
              <w:fldChar w:fldCharType="end"/>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CA7E95" w14:textId="77777777" w:rsidR="001E4AD8" w:rsidRDefault="001E4AD8" w:rsidP="00343A03">
      <w:r>
        <w:separator/>
      </w:r>
    </w:p>
  </w:footnote>
  <w:footnote w:type="continuationSeparator" w:id="0">
    <w:p w14:paraId="483AD5D9" w14:textId="77777777" w:rsidR="001E4AD8" w:rsidRDefault="001E4AD8" w:rsidP="00343A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F72DFA0" w14:textId="77777777" w:rsidR="003135D1" w:rsidRDefault="001E4AD8">
    <w:pPr>
      <w:pStyle w:val="Encabezado"/>
    </w:pPr>
    <w:r>
      <w:rPr>
        <w:noProof/>
        <w:lang w:eastAsia="es-MX"/>
      </w:rPr>
      <w:pict w14:anchorId="7A169E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2" o:spid="_x0000_s2049" type="#_x0000_t75" alt="marcaaguaINFOEM" style="position:absolute;margin-left:0;margin-top:0;width:663.5pt;height:12in;z-index:-251657216;mso-wrap-edited:f;mso-width-percent:0;mso-height-percent:0;mso-position-horizontal:center;mso-position-horizontal-relative:margin;mso-position-vertical:center;mso-position-vertical-relative:margin;mso-width-percent:0;mso-height-percent:0" o:allowincell="f">
          <v:imagedata r:id="rId1" o:title="marcaagua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13F81D1" w14:textId="77777777" w:rsidR="008B41A2" w:rsidRPr="009E6858" w:rsidRDefault="001E4AD8" w:rsidP="009E6858">
    <w:pPr>
      <w:tabs>
        <w:tab w:val="left" w:pos="3416"/>
      </w:tabs>
      <w:rPr>
        <w:sz w:val="22"/>
        <w:szCs w:val="22"/>
      </w:rPr>
    </w:pPr>
    <w:r>
      <w:rPr>
        <w:noProof/>
        <w:sz w:val="14"/>
        <w:lang w:eastAsia="es-MX"/>
      </w:rPr>
      <w:pict w14:anchorId="50C7EA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3" o:spid="_x0000_s2050" type="#_x0000_t75" alt="marcaaguaINFOEM" style="position:absolute;margin-left:-100.7pt;margin-top:-126.25pt;width:663.5pt;height:12in;z-index:-251656192;mso-wrap-edited:f;mso-width-percent:0;mso-height-percent:0;mso-position-horizontal-relative:margin;mso-position-vertical-relative:margin;mso-width-percent:0;mso-height-percent:0" o:allowincell="f">
          <v:imagedata r:id="rId1" o:title="marcaaguaINFOEM"/>
          <w10:wrap anchorx="margin" anchory="margin"/>
        </v:shape>
      </w:pict>
    </w:r>
  </w:p>
  <w:tbl>
    <w:tblPr>
      <w:tblW w:w="9745" w:type="dxa"/>
      <w:tblLayout w:type="fixed"/>
      <w:tblLook w:val="04A0" w:firstRow="1" w:lastRow="0" w:firstColumn="1" w:lastColumn="0" w:noHBand="0" w:noVBand="1"/>
    </w:tblPr>
    <w:tblGrid>
      <w:gridCol w:w="2552"/>
      <w:gridCol w:w="7193"/>
    </w:tblGrid>
    <w:tr w:rsidR="008B41A2" w:rsidRPr="005C106F" w14:paraId="10C35A4D" w14:textId="77777777" w:rsidTr="00AF6ADC">
      <w:trPr>
        <w:trHeight w:val="70"/>
      </w:trPr>
      <w:tc>
        <w:tcPr>
          <w:tcW w:w="2552" w:type="dxa"/>
          <w:shd w:val="clear" w:color="auto" w:fill="auto"/>
        </w:tcPr>
        <w:p w14:paraId="7C63F0EF" w14:textId="77777777" w:rsidR="008B41A2" w:rsidRPr="005C106F" w:rsidRDefault="001E4AD8" w:rsidP="008B41A2">
          <w:pPr>
            <w:tabs>
              <w:tab w:val="right" w:pos="4273"/>
            </w:tabs>
            <w:rPr>
              <w:rFonts w:ascii="Garamond" w:eastAsia="Calibri" w:hAnsi="Garamond"/>
              <w:sz w:val="16"/>
              <w:szCs w:val="16"/>
            </w:rPr>
          </w:pPr>
        </w:p>
      </w:tc>
      <w:tc>
        <w:tcPr>
          <w:tcW w:w="7193" w:type="dxa"/>
          <w:shd w:val="clear" w:color="auto" w:fill="auto"/>
        </w:tcPr>
        <w:tbl>
          <w:tblPr>
            <w:tblStyle w:val="Tablaconcuadrcula"/>
            <w:tblW w:w="7360" w:type="dxa"/>
            <w:tblInd w:w="46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10"/>
            <w:gridCol w:w="4950"/>
          </w:tblGrid>
          <w:tr w:rsidR="008B41A2" w14:paraId="3D759308" w14:textId="77777777" w:rsidTr="00C10C6B">
            <w:trPr>
              <w:trHeight w:val="128"/>
            </w:trPr>
            <w:tc>
              <w:tcPr>
                <w:tcW w:w="2410" w:type="dxa"/>
                <w:vAlign w:val="bottom"/>
              </w:tcPr>
              <w:p w14:paraId="211F0201" w14:textId="77777777" w:rsidR="008B41A2" w:rsidRPr="008B41A2" w:rsidRDefault="00FD4F83"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Recurso de Revisión:</w:t>
                </w:r>
              </w:p>
            </w:tc>
            <w:tc>
              <w:tcPr>
                <w:tcW w:w="4950" w:type="dxa"/>
              </w:tcPr>
              <w:p w14:paraId="3D9CA513" w14:textId="6B1CBDC9" w:rsidR="008B41A2" w:rsidRPr="00651A13" w:rsidRDefault="00810FD6" w:rsidP="00B43BFA">
                <w:pPr>
                  <w:tabs>
                    <w:tab w:val="right" w:pos="8838"/>
                  </w:tabs>
                  <w:ind w:left="-28" w:right="683"/>
                  <w:rPr>
                    <w:rFonts w:ascii="Palatino Linotype" w:eastAsia="Calibri" w:hAnsi="Palatino Linotype" w:cs="Tahoma"/>
                    <w:sz w:val="22"/>
                    <w:szCs w:val="22"/>
                  </w:rPr>
                </w:pPr>
                <w:r>
                  <w:rPr>
                    <w:rFonts w:ascii="Palatino Linotype" w:hAnsi="Palatino Linotype"/>
                    <w:color w:val="000000"/>
                    <w:sz w:val="22"/>
                    <w:szCs w:val="22"/>
                  </w:rPr>
                  <w:t>17571/INFOEM/ICR-206/IP/RR/2022</w:t>
                </w:r>
              </w:p>
            </w:tc>
          </w:tr>
          <w:tr w:rsidR="008B41A2" w14:paraId="6F860117" w14:textId="77777777" w:rsidTr="00C10C6B">
            <w:trPr>
              <w:trHeight w:val="251"/>
            </w:trPr>
            <w:tc>
              <w:tcPr>
                <w:tcW w:w="2410" w:type="dxa"/>
              </w:tcPr>
              <w:p w14:paraId="62967E88" w14:textId="77777777" w:rsidR="008B41A2" w:rsidRPr="008B41A2" w:rsidRDefault="00FD4F83"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Sujeto Obligado:</w:t>
                </w:r>
              </w:p>
            </w:tc>
            <w:tc>
              <w:tcPr>
                <w:tcW w:w="4950" w:type="dxa"/>
              </w:tcPr>
              <w:p w14:paraId="42812570" w14:textId="0F3F16F6" w:rsidR="008B41A2" w:rsidRPr="008B41A2" w:rsidRDefault="00C52D69" w:rsidP="0002223D">
                <w:pPr>
                  <w:tabs>
                    <w:tab w:val="right" w:pos="8838"/>
                  </w:tabs>
                  <w:ind w:right="273"/>
                  <w:jc w:val="both"/>
                  <w:rPr>
                    <w:rFonts w:ascii="Palatino Linotype" w:eastAsia="Calibri" w:hAnsi="Palatino Linotype" w:cs="Tahoma"/>
                    <w:sz w:val="22"/>
                    <w:szCs w:val="22"/>
                    <w:lang w:val="es-MX"/>
                  </w:rPr>
                </w:pPr>
                <w:r w:rsidRPr="00C52D69">
                  <w:rPr>
                    <w:rFonts w:ascii="Palatino Linotype" w:eastAsia="Calibri" w:hAnsi="Palatino Linotype" w:cs="Tahoma"/>
                    <w:sz w:val="22"/>
                    <w:szCs w:val="22"/>
                    <w:lang w:val="es-MX"/>
                  </w:rPr>
                  <w:t>Ayuntamiento de Zinacantepec</w:t>
                </w:r>
              </w:p>
            </w:tc>
          </w:tr>
          <w:tr w:rsidR="008B41A2" w14:paraId="03FD035D" w14:textId="77777777" w:rsidTr="00C10C6B">
            <w:trPr>
              <w:trHeight w:val="251"/>
            </w:trPr>
            <w:tc>
              <w:tcPr>
                <w:tcW w:w="2410" w:type="dxa"/>
              </w:tcPr>
              <w:p w14:paraId="02E4D388" w14:textId="77777777" w:rsidR="008B41A2" w:rsidRPr="008B41A2" w:rsidRDefault="00FD4F83" w:rsidP="008B41A2">
                <w:pPr>
                  <w:tabs>
                    <w:tab w:val="right" w:pos="8838"/>
                  </w:tabs>
                  <w:ind w:right="-105"/>
                  <w:rPr>
                    <w:rFonts w:ascii="Palatino Linotype" w:eastAsia="Calibri" w:hAnsi="Palatino Linotype" w:cs="Tahoma"/>
                    <w:b/>
                    <w:sz w:val="22"/>
                    <w:szCs w:val="22"/>
                    <w:lang w:val="es-MX"/>
                  </w:rPr>
                </w:pPr>
                <w:r w:rsidRPr="008B41A2">
                  <w:rPr>
                    <w:rFonts w:ascii="Palatino Linotype" w:eastAsia="Calibri" w:hAnsi="Palatino Linotype" w:cs="Tahoma"/>
                    <w:b/>
                    <w:sz w:val="22"/>
                    <w:szCs w:val="22"/>
                    <w:lang w:val="es-MX"/>
                  </w:rPr>
                  <w:t>Comisionado Ponente:</w:t>
                </w:r>
              </w:p>
            </w:tc>
            <w:tc>
              <w:tcPr>
                <w:tcW w:w="4950" w:type="dxa"/>
              </w:tcPr>
              <w:p w14:paraId="1F93CBC5" w14:textId="77777777" w:rsidR="008B41A2" w:rsidRPr="008B41A2" w:rsidRDefault="00FD4F83" w:rsidP="008B41A2">
                <w:pPr>
                  <w:tabs>
                    <w:tab w:val="right" w:pos="8838"/>
                  </w:tabs>
                  <w:ind w:right="-32"/>
                  <w:rPr>
                    <w:rFonts w:ascii="Palatino Linotype" w:eastAsia="Calibri" w:hAnsi="Palatino Linotype" w:cs="Tahoma"/>
                    <w:b/>
                    <w:sz w:val="22"/>
                    <w:szCs w:val="22"/>
                    <w:lang w:val="es-MX"/>
                  </w:rPr>
                </w:pPr>
                <w:r w:rsidRPr="008B41A2">
                  <w:rPr>
                    <w:rFonts w:ascii="Palatino Linotype" w:eastAsia="Calibri" w:hAnsi="Palatino Linotype" w:cs="Tahoma"/>
                    <w:sz w:val="22"/>
                    <w:szCs w:val="22"/>
                    <w:lang w:val="es-MX"/>
                  </w:rPr>
                  <w:t>Luis Gustavo Parra Noriega</w:t>
                </w:r>
              </w:p>
            </w:tc>
          </w:tr>
        </w:tbl>
        <w:p w14:paraId="1C76B325" w14:textId="77777777" w:rsidR="008B41A2" w:rsidRPr="005C106F" w:rsidRDefault="001E4AD8" w:rsidP="008B41A2">
          <w:pPr>
            <w:tabs>
              <w:tab w:val="right" w:pos="8838"/>
            </w:tabs>
            <w:ind w:left="-28"/>
            <w:rPr>
              <w:rFonts w:ascii="Arial" w:eastAsia="Calibri" w:hAnsi="Arial" w:cs="Arial"/>
              <w:b/>
            </w:rPr>
          </w:pPr>
        </w:p>
      </w:tc>
    </w:tr>
  </w:tbl>
  <w:p w14:paraId="316BF6DE" w14:textId="77777777" w:rsidR="003135D1" w:rsidRDefault="001E4AD8" w:rsidP="000930AE">
    <w:pPr>
      <w:pStyle w:val="Encabezado"/>
      <w:rPr>
        <w:sz w:val="14"/>
      </w:rPr>
    </w:pPr>
  </w:p>
  <w:p w14:paraId="15EA73A6" w14:textId="77777777" w:rsidR="003135D1" w:rsidRPr="00443C6B" w:rsidRDefault="001E4AD8" w:rsidP="000930AE">
    <w:pPr>
      <w:pStyle w:val="Encabezado"/>
      <w:rPr>
        <w:sz w:val="1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aconcuadrcula"/>
      <w:tblW w:w="6521" w:type="dxa"/>
      <w:tblInd w:w="28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694"/>
      <w:gridCol w:w="3827"/>
    </w:tblGrid>
    <w:tr w:rsidR="003135D1" w:rsidRPr="00264223" w14:paraId="3F2F9AE5" w14:textId="77777777" w:rsidTr="00C10C6B">
      <w:trPr>
        <w:trHeight w:val="302"/>
      </w:trPr>
      <w:tc>
        <w:tcPr>
          <w:tcW w:w="2694" w:type="dxa"/>
        </w:tcPr>
        <w:p w14:paraId="623F2E3A" w14:textId="3559B8AB" w:rsidR="003135D1" w:rsidRPr="00D3618F" w:rsidRDefault="00FD4F83" w:rsidP="00155288">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Recurso de Revisión:</w:t>
          </w:r>
        </w:p>
      </w:tc>
      <w:tc>
        <w:tcPr>
          <w:tcW w:w="3827" w:type="dxa"/>
        </w:tcPr>
        <w:p w14:paraId="2CDD41BC" w14:textId="34E31F7C" w:rsidR="003135D1" w:rsidRPr="00C10C6B" w:rsidRDefault="00810FD6" w:rsidP="00C10C6B">
          <w:pPr>
            <w:tabs>
              <w:tab w:val="right" w:pos="8838"/>
            </w:tabs>
            <w:ind w:left="-113"/>
            <w:jc w:val="both"/>
            <w:rPr>
              <w:rFonts w:ascii="Palatino Linotype" w:eastAsia="Calibri" w:hAnsi="Palatino Linotype" w:cs="Tahoma"/>
              <w:sz w:val="22"/>
              <w:szCs w:val="22"/>
              <w:lang w:eastAsia="en-US"/>
            </w:rPr>
          </w:pPr>
          <w:r>
            <w:rPr>
              <w:rFonts w:ascii="Palatino Linotype" w:hAnsi="Palatino Linotype"/>
              <w:color w:val="000000"/>
              <w:sz w:val="22"/>
              <w:szCs w:val="22"/>
            </w:rPr>
            <w:t>17571/INFOEM/ICR-206/IP/RR/2022</w:t>
          </w:r>
        </w:p>
      </w:tc>
    </w:tr>
    <w:tr w:rsidR="003135D1" w:rsidRPr="00264223" w14:paraId="789D4CFA" w14:textId="77777777" w:rsidTr="00C10C6B">
      <w:trPr>
        <w:trHeight w:val="110"/>
      </w:trPr>
      <w:tc>
        <w:tcPr>
          <w:tcW w:w="2694" w:type="dxa"/>
        </w:tcPr>
        <w:p w14:paraId="2056159D" w14:textId="77777777" w:rsidR="003135D1" w:rsidRPr="00D3618F" w:rsidRDefault="00FD4F83"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Recurrente:</w:t>
          </w:r>
        </w:p>
      </w:tc>
      <w:tc>
        <w:tcPr>
          <w:tcW w:w="3827" w:type="dxa"/>
        </w:tcPr>
        <w:p w14:paraId="2187FA62" w14:textId="16BE05C5" w:rsidR="003135D1" w:rsidRPr="00EE2A06" w:rsidRDefault="001E4AD8" w:rsidP="00E06BA5">
          <w:pPr>
            <w:tabs>
              <w:tab w:val="right" w:pos="8838"/>
            </w:tabs>
            <w:ind w:left="-28"/>
            <w:jc w:val="both"/>
            <w:rPr>
              <w:rFonts w:ascii="Palatino Linotype" w:eastAsia="Calibri" w:hAnsi="Palatino Linotype" w:cs="Tahoma"/>
              <w:sz w:val="22"/>
              <w:szCs w:val="22"/>
              <w:lang w:val="es-MX" w:eastAsia="en-US"/>
            </w:rPr>
          </w:pPr>
        </w:p>
      </w:tc>
    </w:tr>
    <w:tr w:rsidR="003135D1" w:rsidRPr="00264223" w14:paraId="4E4DB58B" w14:textId="77777777" w:rsidTr="00C10C6B">
      <w:trPr>
        <w:trHeight w:val="248"/>
      </w:trPr>
      <w:tc>
        <w:tcPr>
          <w:tcW w:w="2694" w:type="dxa"/>
        </w:tcPr>
        <w:p w14:paraId="459F08AF" w14:textId="77777777" w:rsidR="003135D1" w:rsidRPr="00D3618F" w:rsidRDefault="00FD4F83"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Sujeto Obligado:</w:t>
          </w:r>
        </w:p>
      </w:tc>
      <w:tc>
        <w:tcPr>
          <w:tcW w:w="3827" w:type="dxa"/>
        </w:tcPr>
        <w:p w14:paraId="011CF0C7" w14:textId="75E47712" w:rsidR="003135D1" w:rsidRPr="00651A13" w:rsidRDefault="00C52D69" w:rsidP="00C10C6B">
          <w:pPr>
            <w:tabs>
              <w:tab w:val="right" w:pos="8838"/>
            </w:tabs>
            <w:ind w:left="-113"/>
            <w:jc w:val="both"/>
            <w:rPr>
              <w:rFonts w:ascii="Palatino Linotype" w:eastAsia="Calibri" w:hAnsi="Palatino Linotype" w:cs="Tahoma"/>
              <w:sz w:val="22"/>
              <w:szCs w:val="22"/>
              <w:lang w:val="es-MX" w:eastAsia="en-US"/>
            </w:rPr>
          </w:pPr>
          <w:r w:rsidRPr="00C52D69">
            <w:rPr>
              <w:rFonts w:ascii="Palatino Linotype" w:eastAsia="Calibri" w:hAnsi="Palatino Linotype" w:cs="Tahoma"/>
              <w:sz w:val="22"/>
              <w:szCs w:val="22"/>
              <w:lang w:val="es-MX" w:eastAsia="en-US"/>
            </w:rPr>
            <w:t>Ayuntamiento de Zinacantepec</w:t>
          </w:r>
        </w:p>
      </w:tc>
    </w:tr>
    <w:tr w:rsidR="003135D1" w:rsidRPr="00264223" w14:paraId="18E58C0E" w14:textId="77777777" w:rsidTr="00C10C6B">
      <w:trPr>
        <w:trHeight w:val="248"/>
      </w:trPr>
      <w:tc>
        <w:tcPr>
          <w:tcW w:w="2694" w:type="dxa"/>
        </w:tcPr>
        <w:p w14:paraId="163A78A1" w14:textId="77777777" w:rsidR="003135D1" w:rsidRPr="00D3618F" w:rsidRDefault="00FD4F83" w:rsidP="00D3618F">
          <w:pPr>
            <w:tabs>
              <w:tab w:val="right" w:pos="8838"/>
            </w:tabs>
            <w:ind w:right="-105"/>
            <w:rPr>
              <w:rFonts w:ascii="Palatino Linotype" w:eastAsia="Calibri" w:hAnsi="Palatino Linotype" w:cs="Tahoma"/>
              <w:b/>
              <w:sz w:val="22"/>
              <w:szCs w:val="22"/>
              <w:lang w:val="es-MX" w:eastAsia="en-US"/>
            </w:rPr>
          </w:pPr>
          <w:r w:rsidRPr="00D3618F">
            <w:rPr>
              <w:rFonts w:ascii="Palatino Linotype" w:eastAsia="Calibri" w:hAnsi="Palatino Linotype" w:cs="Tahoma"/>
              <w:b/>
              <w:sz w:val="22"/>
              <w:szCs w:val="22"/>
              <w:lang w:val="es-MX" w:eastAsia="en-US"/>
            </w:rPr>
            <w:t>Comisionado Ponente:</w:t>
          </w:r>
        </w:p>
      </w:tc>
      <w:tc>
        <w:tcPr>
          <w:tcW w:w="3827" w:type="dxa"/>
        </w:tcPr>
        <w:p w14:paraId="5C328357" w14:textId="77777777" w:rsidR="003135D1" w:rsidRPr="00D3618F" w:rsidRDefault="00FD4F83" w:rsidP="00C10C6B">
          <w:pPr>
            <w:tabs>
              <w:tab w:val="right" w:pos="8838"/>
            </w:tabs>
            <w:ind w:left="-113"/>
            <w:rPr>
              <w:rFonts w:ascii="Palatino Linotype" w:eastAsia="Calibri" w:hAnsi="Palatino Linotype" w:cs="Tahoma"/>
              <w:sz w:val="22"/>
              <w:szCs w:val="22"/>
              <w:lang w:val="es-MX" w:eastAsia="en-US"/>
            </w:rPr>
          </w:pPr>
          <w:r w:rsidRPr="00D3618F">
            <w:rPr>
              <w:rFonts w:ascii="Palatino Linotype" w:eastAsia="Calibri" w:hAnsi="Palatino Linotype" w:cs="Tahoma"/>
              <w:sz w:val="22"/>
              <w:szCs w:val="22"/>
              <w:lang w:val="es-MX" w:eastAsia="en-US"/>
            </w:rPr>
            <w:t>Luis Gustavo Parra Noriega</w:t>
          </w:r>
        </w:p>
      </w:tc>
    </w:tr>
  </w:tbl>
  <w:p w14:paraId="393ABAB2" w14:textId="77777777" w:rsidR="003135D1" w:rsidRDefault="001E4AD8" w:rsidP="00E06BA5">
    <w:pPr>
      <w:ind w:right="-312"/>
    </w:pPr>
    <w:r>
      <w:rPr>
        <w:noProof/>
        <w:lang w:eastAsia="es-MX"/>
      </w:rPr>
      <w:pict w14:anchorId="206EA31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8101531" o:spid="_x0000_s2051" type="#_x0000_t75" alt="marcaaguaINFOEM" style="position:absolute;margin-left:-92.55pt;margin-top:-120.95pt;width:663.5pt;height:12in;z-index:-251655168;mso-wrap-edited:f;mso-width-percent:0;mso-height-percent:0;mso-position-horizontal-relative:margin;mso-position-vertical-relative:margin;mso-width-percent:0;mso-height-percent:0" o:allowincell="f">
          <v:imagedata r:id="rId1" o:title="marcaagua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A615F8"/>
    <w:multiLevelType w:val="hybridMultilevel"/>
    <w:tmpl w:val="B078586E"/>
    <w:lvl w:ilvl="0" w:tplc="5A5E2FB6">
      <w:start w:val="1"/>
      <w:numFmt w:val="decimal"/>
      <w:lvlText w:val="%1."/>
      <w:lvlJc w:val="left"/>
      <w:pPr>
        <w:ind w:left="1068" w:hanging="360"/>
      </w:pPr>
      <w:rPr>
        <w:rFonts w:hint="default"/>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
    <w:nsid w:val="10F82EA2"/>
    <w:multiLevelType w:val="hybridMultilevel"/>
    <w:tmpl w:val="8444AEA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
    <w:nsid w:val="12091E96"/>
    <w:multiLevelType w:val="hybridMultilevel"/>
    <w:tmpl w:val="17BAB64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nsid w:val="131A02D4"/>
    <w:multiLevelType w:val="hybridMultilevel"/>
    <w:tmpl w:val="498E1CE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nsid w:val="14EE145F"/>
    <w:multiLevelType w:val="hybridMultilevel"/>
    <w:tmpl w:val="55E00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6C06910"/>
    <w:multiLevelType w:val="hybridMultilevel"/>
    <w:tmpl w:val="AF2C9F4E"/>
    <w:lvl w:ilvl="0" w:tplc="080A0001">
      <w:start w:val="1"/>
      <w:numFmt w:val="bullet"/>
      <w:lvlText w:val=""/>
      <w:lvlJc w:val="left"/>
      <w:pPr>
        <w:ind w:left="780" w:hanging="360"/>
      </w:pPr>
      <w:rPr>
        <w:rFonts w:ascii="Symbol" w:hAnsi="Symbol" w:hint="default"/>
      </w:rPr>
    </w:lvl>
    <w:lvl w:ilvl="1" w:tplc="080A0003" w:tentative="1">
      <w:start w:val="1"/>
      <w:numFmt w:val="bullet"/>
      <w:lvlText w:val="o"/>
      <w:lvlJc w:val="left"/>
      <w:pPr>
        <w:ind w:left="1500" w:hanging="360"/>
      </w:pPr>
      <w:rPr>
        <w:rFonts w:ascii="Courier New" w:hAnsi="Courier New" w:cs="Courier New" w:hint="default"/>
      </w:rPr>
    </w:lvl>
    <w:lvl w:ilvl="2" w:tplc="080A0005" w:tentative="1">
      <w:start w:val="1"/>
      <w:numFmt w:val="bullet"/>
      <w:lvlText w:val=""/>
      <w:lvlJc w:val="left"/>
      <w:pPr>
        <w:ind w:left="2220" w:hanging="360"/>
      </w:pPr>
      <w:rPr>
        <w:rFonts w:ascii="Wingdings" w:hAnsi="Wingdings" w:hint="default"/>
      </w:rPr>
    </w:lvl>
    <w:lvl w:ilvl="3" w:tplc="080A0001" w:tentative="1">
      <w:start w:val="1"/>
      <w:numFmt w:val="bullet"/>
      <w:lvlText w:val=""/>
      <w:lvlJc w:val="left"/>
      <w:pPr>
        <w:ind w:left="2940" w:hanging="360"/>
      </w:pPr>
      <w:rPr>
        <w:rFonts w:ascii="Symbol" w:hAnsi="Symbol" w:hint="default"/>
      </w:rPr>
    </w:lvl>
    <w:lvl w:ilvl="4" w:tplc="080A0003" w:tentative="1">
      <w:start w:val="1"/>
      <w:numFmt w:val="bullet"/>
      <w:lvlText w:val="o"/>
      <w:lvlJc w:val="left"/>
      <w:pPr>
        <w:ind w:left="3660" w:hanging="360"/>
      </w:pPr>
      <w:rPr>
        <w:rFonts w:ascii="Courier New" w:hAnsi="Courier New" w:cs="Courier New" w:hint="default"/>
      </w:rPr>
    </w:lvl>
    <w:lvl w:ilvl="5" w:tplc="080A0005" w:tentative="1">
      <w:start w:val="1"/>
      <w:numFmt w:val="bullet"/>
      <w:lvlText w:val=""/>
      <w:lvlJc w:val="left"/>
      <w:pPr>
        <w:ind w:left="4380" w:hanging="360"/>
      </w:pPr>
      <w:rPr>
        <w:rFonts w:ascii="Wingdings" w:hAnsi="Wingdings" w:hint="default"/>
      </w:rPr>
    </w:lvl>
    <w:lvl w:ilvl="6" w:tplc="080A0001" w:tentative="1">
      <w:start w:val="1"/>
      <w:numFmt w:val="bullet"/>
      <w:lvlText w:val=""/>
      <w:lvlJc w:val="left"/>
      <w:pPr>
        <w:ind w:left="5100" w:hanging="360"/>
      </w:pPr>
      <w:rPr>
        <w:rFonts w:ascii="Symbol" w:hAnsi="Symbol" w:hint="default"/>
      </w:rPr>
    </w:lvl>
    <w:lvl w:ilvl="7" w:tplc="080A0003" w:tentative="1">
      <w:start w:val="1"/>
      <w:numFmt w:val="bullet"/>
      <w:lvlText w:val="o"/>
      <w:lvlJc w:val="left"/>
      <w:pPr>
        <w:ind w:left="5820" w:hanging="360"/>
      </w:pPr>
      <w:rPr>
        <w:rFonts w:ascii="Courier New" w:hAnsi="Courier New" w:cs="Courier New" w:hint="default"/>
      </w:rPr>
    </w:lvl>
    <w:lvl w:ilvl="8" w:tplc="080A0005" w:tentative="1">
      <w:start w:val="1"/>
      <w:numFmt w:val="bullet"/>
      <w:lvlText w:val=""/>
      <w:lvlJc w:val="left"/>
      <w:pPr>
        <w:ind w:left="6540" w:hanging="360"/>
      </w:pPr>
      <w:rPr>
        <w:rFonts w:ascii="Wingdings" w:hAnsi="Wingdings" w:hint="default"/>
      </w:rPr>
    </w:lvl>
  </w:abstractNum>
  <w:abstractNum w:abstractNumId="6">
    <w:nsid w:val="1DD4755C"/>
    <w:multiLevelType w:val="hybridMultilevel"/>
    <w:tmpl w:val="1D7EB230"/>
    <w:lvl w:ilvl="0" w:tplc="C00296A8">
      <w:start w:val="5"/>
      <w:numFmt w:val="bullet"/>
      <w:lvlText w:val=""/>
      <w:lvlJc w:val="left"/>
      <w:pPr>
        <w:ind w:left="720" w:hanging="360"/>
      </w:pPr>
      <w:rPr>
        <w:rFonts w:ascii="Symbol" w:eastAsia="Calibri" w:hAnsi="Symbol"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nsid w:val="28F16912"/>
    <w:multiLevelType w:val="hybridMultilevel"/>
    <w:tmpl w:val="5182570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2A900AB0"/>
    <w:multiLevelType w:val="hybridMultilevel"/>
    <w:tmpl w:val="51FEDF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388F1479"/>
    <w:multiLevelType w:val="hybridMultilevel"/>
    <w:tmpl w:val="31B450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41C2737E"/>
    <w:multiLevelType w:val="hybridMultilevel"/>
    <w:tmpl w:val="EB7472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nsid w:val="43A560C4"/>
    <w:multiLevelType w:val="hybridMultilevel"/>
    <w:tmpl w:val="16AAC7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nsid w:val="47DD3782"/>
    <w:multiLevelType w:val="hybridMultilevel"/>
    <w:tmpl w:val="86B656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60FD12AD"/>
    <w:multiLevelType w:val="hybridMultilevel"/>
    <w:tmpl w:val="5A000A44"/>
    <w:lvl w:ilvl="0" w:tplc="5A5E2FB6">
      <w:start w:val="1"/>
      <w:numFmt w:val="decimal"/>
      <w:lvlText w:val="%1."/>
      <w:lvlJc w:val="left"/>
      <w:pPr>
        <w:ind w:left="1068"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16">
    <w:nsid w:val="72993661"/>
    <w:multiLevelType w:val="hybridMultilevel"/>
    <w:tmpl w:val="A6C8CB2E"/>
    <w:lvl w:ilvl="0" w:tplc="080A0017">
      <w:start w:val="1"/>
      <w:numFmt w:val="lowerLetter"/>
      <w:lvlText w:val="%1)"/>
      <w:lvlJc w:val="left"/>
      <w:pPr>
        <w:ind w:left="1440" w:hanging="720"/>
      </w:pPr>
      <w:rPr>
        <w:rFonts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7">
    <w:nsid w:val="74982F1C"/>
    <w:multiLevelType w:val="hybridMultilevel"/>
    <w:tmpl w:val="EC144290"/>
    <w:lvl w:ilvl="0" w:tplc="0A0E19A2">
      <w:start w:val="1"/>
      <w:numFmt w:val="lowerLetter"/>
      <w:lvlText w:val="%1)"/>
      <w:lvlJc w:val="left"/>
      <w:pPr>
        <w:ind w:left="720" w:hanging="360"/>
      </w:pPr>
      <w:rPr>
        <w:b/>
        <w:bCs/>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8">
    <w:nsid w:val="75422B96"/>
    <w:multiLevelType w:val="hybridMultilevel"/>
    <w:tmpl w:val="2F007CD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nsid w:val="78FC3A11"/>
    <w:multiLevelType w:val="hybridMultilevel"/>
    <w:tmpl w:val="D214C7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7A956FF7"/>
    <w:multiLevelType w:val="hybridMultilevel"/>
    <w:tmpl w:val="2D00B2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nsid w:val="7BB94E36"/>
    <w:multiLevelType w:val="hybridMultilevel"/>
    <w:tmpl w:val="5EFE99E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9"/>
  </w:num>
  <w:num w:numId="3">
    <w:abstractNumId w:val="5"/>
  </w:num>
  <w:num w:numId="4">
    <w:abstractNumId w:val="8"/>
  </w:num>
  <w:num w:numId="5">
    <w:abstractNumId w:val="4"/>
  </w:num>
  <w:num w:numId="6">
    <w:abstractNumId w:val="6"/>
  </w:num>
  <w:num w:numId="7">
    <w:abstractNumId w:val="7"/>
  </w:num>
  <w:num w:numId="8">
    <w:abstractNumId w:val="18"/>
  </w:num>
  <w:num w:numId="9">
    <w:abstractNumId w:val="21"/>
  </w:num>
  <w:num w:numId="10">
    <w:abstractNumId w:val="15"/>
  </w:num>
  <w:num w:numId="11">
    <w:abstractNumId w:val="3"/>
  </w:num>
  <w:num w:numId="12">
    <w:abstractNumId w:val="13"/>
  </w:num>
  <w:num w:numId="13">
    <w:abstractNumId w:val="10"/>
  </w:num>
  <w:num w:numId="14">
    <w:abstractNumId w:val="0"/>
  </w:num>
  <w:num w:numId="15">
    <w:abstractNumId w:val="14"/>
  </w:num>
  <w:num w:numId="16">
    <w:abstractNumId w:val="11"/>
  </w:num>
  <w:num w:numId="17">
    <w:abstractNumId w:val="16"/>
  </w:num>
  <w:num w:numId="18">
    <w:abstractNumId w:val="2"/>
  </w:num>
  <w:num w:numId="19">
    <w:abstractNumId w:val="20"/>
  </w:num>
  <w:num w:numId="2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num>
  <w:num w:numId="22">
    <w:abstractNumId w:val="1"/>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ED0"/>
    <w:rsid w:val="00003DB3"/>
    <w:rsid w:val="000075BB"/>
    <w:rsid w:val="000106B3"/>
    <w:rsid w:val="00013FE9"/>
    <w:rsid w:val="00020DD4"/>
    <w:rsid w:val="00024540"/>
    <w:rsid w:val="00024C7B"/>
    <w:rsid w:val="00027479"/>
    <w:rsid w:val="00037780"/>
    <w:rsid w:val="00037984"/>
    <w:rsid w:val="000407F5"/>
    <w:rsid w:val="0005353D"/>
    <w:rsid w:val="00054998"/>
    <w:rsid w:val="00060DC9"/>
    <w:rsid w:val="00080B13"/>
    <w:rsid w:val="00084000"/>
    <w:rsid w:val="00084FBD"/>
    <w:rsid w:val="000873FB"/>
    <w:rsid w:val="00087C2F"/>
    <w:rsid w:val="000A4115"/>
    <w:rsid w:val="000B37EA"/>
    <w:rsid w:val="000C47EC"/>
    <w:rsid w:val="000E097E"/>
    <w:rsid w:val="000E29C5"/>
    <w:rsid w:val="000F0182"/>
    <w:rsid w:val="000F4742"/>
    <w:rsid w:val="000F4E91"/>
    <w:rsid w:val="001103BC"/>
    <w:rsid w:val="0011351E"/>
    <w:rsid w:val="001164FE"/>
    <w:rsid w:val="001173AD"/>
    <w:rsid w:val="00123916"/>
    <w:rsid w:val="0014367A"/>
    <w:rsid w:val="00147C08"/>
    <w:rsid w:val="00151C4A"/>
    <w:rsid w:val="0015279B"/>
    <w:rsid w:val="0019161C"/>
    <w:rsid w:val="001956B6"/>
    <w:rsid w:val="001C2E70"/>
    <w:rsid w:val="001E129D"/>
    <w:rsid w:val="001E4AD8"/>
    <w:rsid w:val="00200645"/>
    <w:rsid w:val="00206A91"/>
    <w:rsid w:val="002074F3"/>
    <w:rsid w:val="00207768"/>
    <w:rsid w:val="00227BB6"/>
    <w:rsid w:val="00232B31"/>
    <w:rsid w:val="00237BA6"/>
    <w:rsid w:val="00274DCF"/>
    <w:rsid w:val="00283566"/>
    <w:rsid w:val="0028792D"/>
    <w:rsid w:val="002918AA"/>
    <w:rsid w:val="002924CA"/>
    <w:rsid w:val="00297127"/>
    <w:rsid w:val="002A4D49"/>
    <w:rsid w:val="002A5159"/>
    <w:rsid w:val="002B2D70"/>
    <w:rsid w:val="002B4CC1"/>
    <w:rsid w:val="002C462E"/>
    <w:rsid w:val="002D6C83"/>
    <w:rsid w:val="002E26B8"/>
    <w:rsid w:val="002F08D1"/>
    <w:rsid w:val="002F0BF0"/>
    <w:rsid w:val="002F36B1"/>
    <w:rsid w:val="003059ED"/>
    <w:rsid w:val="00311BB6"/>
    <w:rsid w:val="003176AA"/>
    <w:rsid w:val="00325321"/>
    <w:rsid w:val="00331BCD"/>
    <w:rsid w:val="003434D5"/>
    <w:rsid w:val="00343A03"/>
    <w:rsid w:val="00350458"/>
    <w:rsid w:val="00354573"/>
    <w:rsid w:val="003630C1"/>
    <w:rsid w:val="003830C7"/>
    <w:rsid w:val="00385346"/>
    <w:rsid w:val="003A24F6"/>
    <w:rsid w:val="003A4DEE"/>
    <w:rsid w:val="003B2209"/>
    <w:rsid w:val="003C46BC"/>
    <w:rsid w:val="003C6FEE"/>
    <w:rsid w:val="003E20C1"/>
    <w:rsid w:val="003F4AD6"/>
    <w:rsid w:val="003F71DC"/>
    <w:rsid w:val="00416CF3"/>
    <w:rsid w:val="00420859"/>
    <w:rsid w:val="004218D2"/>
    <w:rsid w:val="004223B5"/>
    <w:rsid w:val="004251C9"/>
    <w:rsid w:val="0044510B"/>
    <w:rsid w:val="004533C3"/>
    <w:rsid w:val="004564F7"/>
    <w:rsid w:val="00456FD5"/>
    <w:rsid w:val="0046392A"/>
    <w:rsid w:val="00464D01"/>
    <w:rsid w:val="00486136"/>
    <w:rsid w:val="0048681F"/>
    <w:rsid w:val="00493C3E"/>
    <w:rsid w:val="004B1BFE"/>
    <w:rsid w:val="004B2410"/>
    <w:rsid w:val="004B4B2E"/>
    <w:rsid w:val="004B59F2"/>
    <w:rsid w:val="004B72AD"/>
    <w:rsid w:val="004C2490"/>
    <w:rsid w:val="004E437F"/>
    <w:rsid w:val="004E4CBC"/>
    <w:rsid w:val="0053131F"/>
    <w:rsid w:val="0053557A"/>
    <w:rsid w:val="00535C4C"/>
    <w:rsid w:val="00540F60"/>
    <w:rsid w:val="00543367"/>
    <w:rsid w:val="0055029A"/>
    <w:rsid w:val="00561C25"/>
    <w:rsid w:val="00585D75"/>
    <w:rsid w:val="00594DE4"/>
    <w:rsid w:val="005A1CE1"/>
    <w:rsid w:val="005B08E1"/>
    <w:rsid w:val="005B40DB"/>
    <w:rsid w:val="005B6E19"/>
    <w:rsid w:val="005D1047"/>
    <w:rsid w:val="005D25BA"/>
    <w:rsid w:val="005D466C"/>
    <w:rsid w:val="005D4ABD"/>
    <w:rsid w:val="00613F5E"/>
    <w:rsid w:val="00631A54"/>
    <w:rsid w:val="00633B8B"/>
    <w:rsid w:val="0063680D"/>
    <w:rsid w:val="00636984"/>
    <w:rsid w:val="00640C2D"/>
    <w:rsid w:val="0064190E"/>
    <w:rsid w:val="0064239E"/>
    <w:rsid w:val="0064399E"/>
    <w:rsid w:val="006676E1"/>
    <w:rsid w:val="00672D28"/>
    <w:rsid w:val="00677F18"/>
    <w:rsid w:val="0068421A"/>
    <w:rsid w:val="006B1B1E"/>
    <w:rsid w:val="006C2217"/>
    <w:rsid w:val="006D22F6"/>
    <w:rsid w:val="00703ED0"/>
    <w:rsid w:val="0073199E"/>
    <w:rsid w:val="00732988"/>
    <w:rsid w:val="00754C1E"/>
    <w:rsid w:val="007633BF"/>
    <w:rsid w:val="007639F6"/>
    <w:rsid w:val="00771802"/>
    <w:rsid w:val="00772C8C"/>
    <w:rsid w:val="007732D1"/>
    <w:rsid w:val="00786AD8"/>
    <w:rsid w:val="007B1BD9"/>
    <w:rsid w:val="007C6181"/>
    <w:rsid w:val="007D05AC"/>
    <w:rsid w:val="007D7603"/>
    <w:rsid w:val="007E292A"/>
    <w:rsid w:val="007F2464"/>
    <w:rsid w:val="008040D4"/>
    <w:rsid w:val="00810FD6"/>
    <w:rsid w:val="008147A4"/>
    <w:rsid w:val="00820763"/>
    <w:rsid w:val="00824A3F"/>
    <w:rsid w:val="00835524"/>
    <w:rsid w:val="00837514"/>
    <w:rsid w:val="00851847"/>
    <w:rsid w:val="00860E2B"/>
    <w:rsid w:val="00892C0E"/>
    <w:rsid w:val="00894053"/>
    <w:rsid w:val="008A34FA"/>
    <w:rsid w:val="008A7D32"/>
    <w:rsid w:val="008B2BB9"/>
    <w:rsid w:val="008B4EF2"/>
    <w:rsid w:val="008C03FA"/>
    <w:rsid w:val="008C1A29"/>
    <w:rsid w:val="008C789E"/>
    <w:rsid w:val="008F1D74"/>
    <w:rsid w:val="00917D9D"/>
    <w:rsid w:val="00926496"/>
    <w:rsid w:val="00933EF6"/>
    <w:rsid w:val="00942988"/>
    <w:rsid w:val="00943012"/>
    <w:rsid w:val="00944662"/>
    <w:rsid w:val="00944B21"/>
    <w:rsid w:val="00944E53"/>
    <w:rsid w:val="0095535B"/>
    <w:rsid w:val="009725AB"/>
    <w:rsid w:val="00980331"/>
    <w:rsid w:val="00984CD7"/>
    <w:rsid w:val="0099647A"/>
    <w:rsid w:val="009A231E"/>
    <w:rsid w:val="009A2E93"/>
    <w:rsid w:val="009A42C1"/>
    <w:rsid w:val="009C0C23"/>
    <w:rsid w:val="009D58A7"/>
    <w:rsid w:val="009D7F6E"/>
    <w:rsid w:val="009F1DE6"/>
    <w:rsid w:val="00A0050A"/>
    <w:rsid w:val="00A12B6B"/>
    <w:rsid w:val="00A1680F"/>
    <w:rsid w:val="00A17BB5"/>
    <w:rsid w:val="00A462DD"/>
    <w:rsid w:val="00A60F96"/>
    <w:rsid w:val="00A7110F"/>
    <w:rsid w:val="00A7320E"/>
    <w:rsid w:val="00A813B1"/>
    <w:rsid w:val="00A836CE"/>
    <w:rsid w:val="00A87976"/>
    <w:rsid w:val="00AA6DF3"/>
    <w:rsid w:val="00AA71C2"/>
    <w:rsid w:val="00AB3F89"/>
    <w:rsid w:val="00AC1B15"/>
    <w:rsid w:val="00AC41E8"/>
    <w:rsid w:val="00AD2808"/>
    <w:rsid w:val="00AD6689"/>
    <w:rsid w:val="00AE703F"/>
    <w:rsid w:val="00AF24D8"/>
    <w:rsid w:val="00B01DA4"/>
    <w:rsid w:val="00B158E7"/>
    <w:rsid w:val="00B40D88"/>
    <w:rsid w:val="00B52F0C"/>
    <w:rsid w:val="00B56E75"/>
    <w:rsid w:val="00B57108"/>
    <w:rsid w:val="00B60C9E"/>
    <w:rsid w:val="00B71090"/>
    <w:rsid w:val="00BA3DC0"/>
    <w:rsid w:val="00BB227B"/>
    <w:rsid w:val="00BD7192"/>
    <w:rsid w:val="00BF1507"/>
    <w:rsid w:val="00C10C6B"/>
    <w:rsid w:val="00C150B0"/>
    <w:rsid w:val="00C15F0A"/>
    <w:rsid w:val="00C17937"/>
    <w:rsid w:val="00C2150F"/>
    <w:rsid w:val="00C24224"/>
    <w:rsid w:val="00C30E25"/>
    <w:rsid w:val="00C52D69"/>
    <w:rsid w:val="00C62865"/>
    <w:rsid w:val="00C6457A"/>
    <w:rsid w:val="00C71E49"/>
    <w:rsid w:val="00C955C3"/>
    <w:rsid w:val="00CB09D4"/>
    <w:rsid w:val="00CB2ECF"/>
    <w:rsid w:val="00CC0E84"/>
    <w:rsid w:val="00D06A2D"/>
    <w:rsid w:val="00D06B4B"/>
    <w:rsid w:val="00D14896"/>
    <w:rsid w:val="00D15128"/>
    <w:rsid w:val="00D162B2"/>
    <w:rsid w:val="00D25C37"/>
    <w:rsid w:val="00D27473"/>
    <w:rsid w:val="00D31F27"/>
    <w:rsid w:val="00D467BA"/>
    <w:rsid w:val="00D563FC"/>
    <w:rsid w:val="00D5657B"/>
    <w:rsid w:val="00D6181B"/>
    <w:rsid w:val="00D66149"/>
    <w:rsid w:val="00DA6978"/>
    <w:rsid w:val="00DB1996"/>
    <w:rsid w:val="00DC61FF"/>
    <w:rsid w:val="00DC67A0"/>
    <w:rsid w:val="00DE3E6F"/>
    <w:rsid w:val="00DF422C"/>
    <w:rsid w:val="00DF5774"/>
    <w:rsid w:val="00E11D88"/>
    <w:rsid w:val="00E13810"/>
    <w:rsid w:val="00E26B06"/>
    <w:rsid w:val="00E27880"/>
    <w:rsid w:val="00E308EA"/>
    <w:rsid w:val="00E32494"/>
    <w:rsid w:val="00E42B15"/>
    <w:rsid w:val="00E7040F"/>
    <w:rsid w:val="00E72B16"/>
    <w:rsid w:val="00E7368E"/>
    <w:rsid w:val="00E75C84"/>
    <w:rsid w:val="00E81F4E"/>
    <w:rsid w:val="00E91D90"/>
    <w:rsid w:val="00E95F0C"/>
    <w:rsid w:val="00EA4C5D"/>
    <w:rsid w:val="00EA6311"/>
    <w:rsid w:val="00EB401E"/>
    <w:rsid w:val="00EC14A7"/>
    <w:rsid w:val="00EC2BCB"/>
    <w:rsid w:val="00EC65AA"/>
    <w:rsid w:val="00ED4419"/>
    <w:rsid w:val="00ED58A0"/>
    <w:rsid w:val="00EF7A35"/>
    <w:rsid w:val="00F21383"/>
    <w:rsid w:val="00F22F78"/>
    <w:rsid w:val="00F305B5"/>
    <w:rsid w:val="00F31401"/>
    <w:rsid w:val="00F32EC2"/>
    <w:rsid w:val="00F44214"/>
    <w:rsid w:val="00F5269C"/>
    <w:rsid w:val="00F74239"/>
    <w:rsid w:val="00FA0421"/>
    <w:rsid w:val="00FC776E"/>
    <w:rsid w:val="00FD22EB"/>
    <w:rsid w:val="00FD4F83"/>
    <w:rsid w:val="00FF19A8"/>
    <w:rsid w:val="00FF214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4714E7FD"/>
  <w15:chartTrackingRefBased/>
  <w15:docId w15:val="{27027B53-4C7A-4035-823E-373F78232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42988"/>
    <w:pPr>
      <w:spacing w:after="0" w:line="240" w:lineRule="auto"/>
    </w:pPr>
    <w:rPr>
      <w:rFonts w:ascii="Times New Roman" w:eastAsia="Times New Roman" w:hAnsi="Times New Roman" w:cs="Times New Roman"/>
      <w:sz w:val="20"/>
      <w:szCs w:val="20"/>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03ED0"/>
    <w:pPr>
      <w:tabs>
        <w:tab w:val="center" w:pos="4419"/>
        <w:tab w:val="right" w:pos="8838"/>
      </w:tabs>
    </w:pPr>
  </w:style>
  <w:style w:type="character" w:customStyle="1" w:styleId="EncabezadoCar">
    <w:name w:val="Encabezado Car"/>
    <w:basedOn w:val="Fuentedeprrafopredeter"/>
    <w:link w:val="Encabezado"/>
    <w:uiPriority w:val="99"/>
    <w:rsid w:val="00703ED0"/>
    <w:rPr>
      <w:rFonts w:ascii="Times New Roman" w:eastAsia="Times New Roman" w:hAnsi="Times New Roman" w:cs="Times New Roman"/>
      <w:sz w:val="20"/>
      <w:szCs w:val="20"/>
      <w:lang w:eastAsia="es-ES"/>
    </w:rPr>
  </w:style>
  <w:style w:type="paragraph" w:styleId="Piedepgina">
    <w:name w:val="footer"/>
    <w:basedOn w:val="Normal"/>
    <w:link w:val="PiedepginaCar"/>
    <w:uiPriority w:val="99"/>
    <w:unhideWhenUsed/>
    <w:rsid w:val="00703ED0"/>
    <w:pPr>
      <w:tabs>
        <w:tab w:val="center" w:pos="4419"/>
        <w:tab w:val="right" w:pos="8838"/>
      </w:tabs>
    </w:pPr>
  </w:style>
  <w:style w:type="character" w:customStyle="1" w:styleId="PiedepginaCar">
    <w:name w:val="Pie de página Car"/>
    <w:basedOn w:val="Fuentedeprrafopredeter"/>
    <w:link w:val="Piedepgina"/>
    <w:uiPriority w:val="99"/>
    <w:rsid w:val="00703ED0"/>
    <w:rPr>
      <w:rFonts w:ascii="Times New Roman" w:eastAsia="Times New Roman" w:hAnsi="Times New Roman" w:cs="Times New Roman"/>
      <w:sz w:val="20"/>
      <w:szCs w:val="20"/>
      <w:lang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703ED0"/>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703ED0"/>
    <w:rPr>
      <w:rFonts w:ascii="Century Gothic" w:eastAsia="Times New Roman" w:hAnsi="Century Gothic" w:cs="Times New Roman"/>
      <w:szCs w:val="24"/>
      <w:lang w:eastAsia="es-ES"/>
    </w:rPr>
  </w:style>
  <w:style w:type="table" w:styleId="Tablaconcuadrcula">
    <w:name w:val="Table Grid"/>
    <w:basedOn w:val="Tablanormal"/>
    <w:uiPriority w:val="59"/>
    <w:rsid w:val="00703ED0"/>
    <w:pPr>
      <w:spacing w:after="0" w:line="240" w:lineRule="auto"/>
    </w:pPr>
    <w:rPr>
      <w:lang w:val="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ipervnculo">
    <w:name w:val="Hyperlink"/>
    <w:basedOn w:val="Fuentedeprrafopredeter"/>
    <w:uiPriority w:val="99"/>
    <w:unhideWhenUsed/>
    <w:rsid w:val="007E292A"/>
    <w:rPr>
      <w:color w:val="0563C1" w:themeColor="hyperlink"/>
      <w:u w:val="single"/>
    </w:rPr>
  </w:style>
  <w:style w:type="character" w:customStyle="1" w:styleId="Mencinsinresolver1">
    <w:name w:val="Mención sin resolver1"/>
    <w:basedOn w:val="Fuentedeprrafopredeter"/>
    <w:uiPriority w:val="99"/>
    <w:semiHidden/>
    <w:unhideWhenUsed/>
    <w:rsid w:val="007E292A"/>
    <w:rPr>
      <w:color w:val="605E5C"/>
      <w:shd w:val="clear" w:color="auto" w:fill="E1DFDD"/>
    </w:rPr>
  </w:style>
  <w:style w:type="character" w:customStyle="1" w:styleId="Mencinsinresolver2">
    <w:name w:val="Mención sin resolver2"/>
    <w:basedOn w:val="Fuentedeprrafopredeter"/>
    <w:uiPriority w:val="99"/>
    <w:semiHidden/>
    <w:unhideWhenUsed/>
    <w:rsid w:val="002A5159"/>
    <w:rPr>
      <w:color w:val="605E5C"/>
      <w:shd w:val="clear" w:color="auto" w:fill="E1DFDD"/>
    </w:rPr>
  </w:style>
  <w:style w:type="character" w:customStyle="1" w:styleId="normaltextrun">
    <w:name w:val="normaltextrun"/>
    <w:basedOn w:val="Fuentedeprrafopredeter"/>
    <w:rsid w:val="0028792D"/>
  </w:style>
  <w:style w:type="paragraph" w:customStyle="1" w:styleId="paragraph">
    <w:name w:val="paragraph"/>
    <w:basedOn w:val="Normal"/>
    <w:rsid w:val="0028792D"/>
    <w:pPr>
      <w:spacing w:before="100" w:beforeAutospacing="1" w:after="100" w:afterAutospacing="1"/>
    </w:pPr>
    <w:rPr>
      <w:sz w:val="24"/>
      <w:szCs w:val="24"/>
      <w:lang w:val="en-US" w:eastAsia="en-US"/>
    </w:rPr>
  </w:style>
  <w:style w:type="character" w:customStyle="1" w:styleId="eop">
    <w:name w:val="eop"/>
    <w:basedOn w:val="Fuentedeprrafopredeter"/>
    <w:rsid w:val="0028792D"/>
  </w:style>
  <w:style w:type="character" w:customStyle="1" w:styleId="Mencinsinresolver3">
    <w:name w:val="Mención sin resolver3"/>
    <w:basedOn w:val="Fuentedeprrafopredeter"/>
    <w:uiPriority w:val="99"/>
    <w:semiHidden/>
    <w:unhideWhenUsed/>
    <w:rsid w:val="008A34FA"/>
    <w:rPr>
      <w:color w:val="605E5C"/>
      <w:shd w:val="clear" w:color="auto" w:fill="E1DFDD"/>
    </w:rPr>
  </w:style>
  <w:style w:type="paragraph" w:styleId="NormalWeb">
    <w:name w:val="Normal (Web)"/>
    <w:basedOn w:val="Normal"/>
    <w:uiPriority w:val="99"/>
    <w:semiHidden/>
    <w:unhideWhenUsed/>
    <w:rsid w:val="004B59F2"/>
    <w:pPr>
      <w:spacing w:after="160" w:line="256" w:lineRule="auto"/>
      <w:jc w:val="both"/>
    </w:pPr>
    <w:rPr>
      <w:rFonts w:eastAsiaTheme="minorHAnsi"/>
      <w:color w:val="000000" w:themeColor="text1"/>
      <w:sz w:val="24"/>
      <w:szCs w:val="24"/>
      <w:lang w:eastAsia="en-US"/>
    </w:rPr>
  </w:style>
  <w:style w:type="character" w:customStyle="1" w:styleId="markedcontent">
    <w:name w:val="markedcontent"/>
    <w:basedOn w:val="Fuentedeprrafopredeter"/>
    <w:rsid w:val="005D10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308367">
      <w:bodyDiv w:val="1"/>
      <w:marLeft w:val="0"/>
      <w:marRight w:val="0"/>
      <w:marTop w:val="0"/>
      <w:marBottom w:val="0"/>
      <w:divBdr>
        <w:top w:val="none" w:sz="0" w:space="0" w:color="auto"/>
        <w:left w:val="none" w:sz="0" w:space="0" w:color="auto"/>
        <w:bottom w:val="none" w:sz="0" w:space="0" w:color="auto"/>
        <w:right w:val="none" w:sz="0" w:space="0" w:color="auto"/>
      </w:divBdr>
    </w:div>
    <w:div w:id="228156317">
      <w:bodyDiv w:val="1"/>
      <w:marLeft w:val="0"/>
      <w:marRight w:val="0"/>
      <w:marTop w:val="0"/>
      <w:marBottom w:val="0"/>
      <w:divBdr>
        <w:top w:val="none" w:sz="0" w:space="0" w:color="auto"/>
        <w:left w:val="none" w:sz="0" w:space="0" w:color="auto"/>
        <w:bottom w:val="none" w:sz="0" w:space="0" w:color="auto"/>
        <w:right w:val="none" w:sz="0" w:space="0" w:color="auto"/>
      </w:divBdr>
    </w:div>
    <w:div w:id="271716250">
      <w:bodyDiv w:val="1"/>
      <w:marLeft w:val="0"/>
      <w:marRight w:val="0"/>
      <w:marTop w:val="0"/>
      <w:marBottom w:val="0"/>
      <w:divBdr>
        <w:top w:val="none" w:sz="0" w:space="0" w:color="auto"/>
        <w:left w:val="none" w:sz="0" w:space="0" w:color="auto"/>
        <w:bottom w:val="none" w:sz="0" w:space="0" w:color="auto"/>
        <w:right w:val="none" w:sz="0" w:space="0" w:color="auto"/>
      </w:divBdr>
    </w:div>
    <w:div w:id="332730301">
      <w:bodyDiv w:val="1"/>
      <w:marLeft w:val="0"/>
      <w:marRight w:val="0"/>
      <w:marTop w:val="0"/>
      <w:marBottom w:val="0"/>
      <w:divBdr>
        <w:top w:val="none" w:sz="0" w:space="0" w:color="auto"/>
        <w:left w:val="none" w:sz="0" w:space="0" w:color="auto"/>
        <w:bottom w:val="none" w:sz="0" w:space="0" w:color="auto"/>
        <w:right w:val="none" w:sz="0" w:space="0" w:color="auto"/>
      </w:divBdr>
    </w:div>
    <w:div w:id="486360669">
      <w:bodyDiv w:val="1"/>
      <w:marLeft w:val="0"/>
      <w:marRight w:val="0"/>
      <w:marTop w:val="0"/>
      <w:marBottom w:val="0"/>
      <w:divBdr>
        <w:top w:val="none" w:sz="0" w:space="0" w:color="auto"/>
        <w:left w:val="none" w:sz="0" w:space="0" w:color="auto"/>
        <w:bottom w:val="none" w:sz="0" w:space="0" w:color="auto"/>
        <w:right w:val="none" w:sz="0" w:space="0" w:color="auto"/>
      </w:divBdr>
    </w:div>
    <w:div w:id="573971881">
      <w:bodyDiv w:val="1"/>
      <w:marLeft w:val="0"/>
      <w:marRight w:val="0"/>
      <w:marTop w:val="0"/>
      <w:marBottom w:val="0"/>
      <w:divBdr>
        <w:top w:val="none" w:sz="0" w:space="0" w:color="auto"/>
        <w:left w:val="none" w:sz="0" w:space="0" w:color="auto"/>
        <w:bottom w:val="none" w:sz="0" w:space="0" w:color="auto"/>
        <w:right w:val="none" w:sz="0" w:space="0" w:color="auto"/>
      </w:divBdr>
    </w:div>
    <w:div w:id="577255966">
      <w:bodyDiv w:val="1"/>
      <w:marLeft w:val="0"/>
      <w:marRight w:val="0"/>
      <w:marTop w:val="0"/>
      <w:marBottom w:val="0"/>
      <w:divBdr>
        <w:top w:val="none" w:sz="0" w:space="0" w:color="auto"/>
        <w:left w:val="none" w:sz="0" w:space="0" w:color="auto"/>
        <w:bottom w:val="none" w:sz="0" w:space="0" w:color="auto"/>
        <w:right w:val="none" w:sz="0" w:space="0" w:color="auto"/>
      </w:divBdr>
    </w:div>
    <w:div w:id="687488062">
      <w:bodyDiv w:val="1"/>
      <w:marLeft w:val="0"/>
      <w:marRight w:val="0"/>
      <w:marTop w:val="0"/>
      <w:marBottom w:val="0"/>
      <w:divBdr>
        <w:top w:val="none" w:sz="0" w:space="0" w:color="auto"/>
        <w:left w:val="none" w:sz="0" w:space="0" w:color="auto"/>
        <w:bottom w:val="none" w:sz="0" w:space="0" w:color="auto"/>
        <w:right w:val="none" w:sz="0" w:space="0" w:color="auto"/>
      </w:divBdr>
    </w:div>
    <w:div w:id="917129615">
      <w:bodyDiv w:val="1"/>
      <w:marLeft w:val="0"/>
      <w:marRight w:val="0"/>
      <w:marTop w:val="0"/>
      <w:marBottom w:val="0"/>
      <w:divBdr>
        <w:top w:val="none" w:sz="0" w:space="0" w:color="auto"/>
        <w:left w:val="none" w:sz="0" w:space="0" w:color="auto"/>
        <w:bottom w:val="none" w:sz="0" w:space="0" w:color="auto"/>
        <w:right w:val="none" w:sz="0" w:space="0" w:color="auto"/>
      </w:divBdr>
    </w:div>
    <w:div w:id="1688750790">
      <w:bodyDiv w:val="1"/>
      <w:marLeft w:val="0"/>
      <w:marRight w:val="0"/>
      <w:marTop w:val="0"/>
      <w:marBottom w:val="0"/>
      <w:divBdr>
        <w:top w:val="none" w:sz="0" w:space="0" w:color="auto"/>
        <w:left w:val="none" w:sz="0" w:space="0" w:color="auto"/>
        <w:bottom w:val="none" w:sz="0" w:space="0" w:color="auto"/>
        <w:right w:val="none" w:sz="0" w:space="0" w:color="auto"/>
      </w:divBdr>
    </w:div>
    <w:div w:id="1750156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0A62AE9-D39C-4BD3-84C4-0FE6372318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24</Pages>
  <Words>5820</Words>
  <Characters>32011</Characters>
  <Application>Microsoft Office Word</Application>
  <DocSecurity>0</DocSecurity>
  <Lines>266</Lines>
  <Paragraphs>75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37756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IVAN PEÑA VARA</dc:creator>
  <cp:keywords/>
  <dc:description/>
  <cp:lastModifiedBy>Cuenta Microsoft</cp:lastModifiedBy>
  <cp:revision>3</cp:revision>
  <dcterms:created xsi:type="dcterms:W3CDTF">2023-05-11T07:02:00Z</dcterms:created>
  <dcterms:modified xsi:type="dcterms:W3CDTF">2023-05-11T20:56:00Z</dcterms:modified>
</cp:coreProperties>
</file>