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43C12" w14:textId="77777777" w:rsidR="00367AE1" w:rsidRPr="009F524E" w:rsidRDefault="00215203">
      <w:pPr>
        <w:spacing w:before="240" w:after="240" w:line="360" w:lineRule="auto"/>
        <w:jc w:val="both"/>
        <w:rPr>
          <w:rFonts w:ascii="Palatino Linotype" w:eastAsia="Palatino Linotype" w:hAnsi="Palatino Linotype" w:cs="Palatino Linotype"/>
        </w:rPr>
      </w:pPr>
      <w:bookmarkStart w:id="0" w:name="_GoBack"/>
      <w:bookmarkEnd w:id="0"/>
      <w:r w:rsidRPr="009F524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14:paraId="5ED17812"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VISTO</w:t>
      </w:r>
      <w:r w:rsidRPr="009F524E">
        <w:rPr>
          <w:rFonts w:ascii="Palatino Linotype" w:eastAsia="Palatino Linotype" w:hAnsi="Palatino Linotype" w:cs="Palatino Linotype"/>
        </w:rPr>
        <w:t xml:space="preserve"> el expediente formado con motivo del recurso de revisión </w:t>
      </w:r>
      <w:r w:rsidRPr="009F524E">
        <w:rPr>
          <w:rFonts w:ascii="Palatino Linotype" w:eastAsia="Palatino Linotype" w:hAnsi="Palatino Linotype" w:cs="Palatino Linotype"/>
          <w:b/>
        </w:rPr>
        <w:t>01354/INFOEM/IP/RR/2023</w:t>
      </w:r>
      <w:r w:rsidRPr="009F524E">
        <w:rPr>
          <w:rFonts w:ascii="Palatino Linotype" w:eastAsia="Palatino Linotype" w:hAnsi="Palatino Linotype" w:cs="Palatino Linotype"/>
        </w:rPr>
        <w:t>, interpuesto por</w:t>
      </w:r>
      <w:r w:rsidRPr="009F524E">
        <w:rPr>
          <w:rFonts w:ascii="Palatino Linotype" w:eastAsia="Palatino Linotype" w:hAnsi="Palatino Linotype" w:cs="Palatino Linotype"/>
          <w:b/>
        </w:rPr>
        <w:t xml:space="preserve"> un particular que no proporcionó su nombre,</w:t>
      </w:r>
      <w:r w:rsidRPr="009F524E">
        <w:rPr>
          <w:rFonts w:ascii="Palatino Linotype" w:eastAsia="Palatino Linotype" w:hAnsi="Palatino Linotype" w:cs="Palatino Linotype"/>
        </w:rPr>
        <w:t xml:space="preserve"> en lo sucesivo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en contra de la respuesta a su solicitud de información con número de folio</w:t>
      </w:r>
      <w:r w:rsidRPr="009F524E">
        <w:rPr>
          <w:rFonts w:ascii="Palatino Linotype" w:eastAsia="Palatino Linotype" w:hAnsi="Palatino Linotype" w:cs="Palatino Linotype"/>
          <w:b/>
        </w:rPr>
        <w:t xml:space="preserve"> 00030/NICOROM/IP/2023, </w:t>
      </w:r>
      <w:r w:rsidRPr="009F524E">
        <w:rPr>
          <w:rFonts w:ascii="Palatino Linotype" w:eastAsia="Palatino Linotype" w:hAnsi="Palatino Linotype" w:cs="Palatino Linotype"/>
        </w:rPr>
        <w:t xml:space="preserve">por parte del </w:t>
      </w:r>
      <w:r w:rsidRPr="009F524E">
        <w:rPr>
          <w:rFonts w:ascii="Palatino Linotype" w:eastAsia="Palatino Linotype" w:hAnsi="Palatino Linotype" w:cs="Palatino Linotype"/>
          <w:b/>
        </w:rPr>
        <w:t xml:space="preserve">Ayuntamiento de Nicolás Romero, </w:t>
      </w:r>
      <w:r w:rsidRPr="009F524E">
        <w:rPr>
          <w:rFonts w:ascii="Palatino Linotype" w:eastAsia="Palatino Linotype" w:hAnsi="Palatino Linotype" w:cs="Palatino Linotype"/>
        </w:rPr>
        <w:t xml:space="preserve">en lo sucesivo el </w:t>
      </w:r>
      <w:r w:rsidRPr="009F524E">
        <w:rPr>
          <w:rFonts w:ascii="Palatino Linotype" w:eastAsia="Palatino Linotype" w:hAnsi="Palatino Linotype" w:cs="Palatino Linotype"/>
          <w:b/>
        </w:rPr>
        <w:t xml:space="preserve">SUJETO OBLIGADO, </w:t>
      </w:r>
      <w:r w:rsidRPr="009F524E">
        <w:rPr>
          <w:rFonts w:ascii="Palatino Linotype" w:eastAsia="Palatino Linotype" w:hAnsi="Palatino Linotype" w:cs="Palatino Linotype"/>
        </w:rPr>
        <w:t xml:space="preserve">se procede a dictar la presente resolución con base en los siguientes: </w:t>
      </w:r>
    </w:p>
    <w:p w14:paraId="24F83C5B" w14:textId="77777777" w:rsidR="00367AE1" w:rsidRPr="009F524E" w:rsidRDefault="00215203">
      <w:pPr>
        <w:spacing w:before="240" w:after="240" w:line="360" w:lineRule="auto"/>
        <w:jc w:val="center"/>
        <w:rPr>
          <w:rFonts w:ascii="Palatino Linotype" w:eastAsia="Palatino Linotype" w:hAnsi="Palatino Linotype" w:cs="Palatino Linotype"/>
          <w:b/>
        </w:rPr>
      </w:pPr>
      <w:r w:rsidRPr="009F524E">
        <w:rPr>
          <w:rFonts w:ascii="Palatino Linotype" w:eastAsia="Palatino Linotype" w:hAnsi="Palatino Linotype" w:cs="Palatino Linotype"/>
          <w:b/>
        </w:rPr>
        <w:t>I. A N T E C E D E N T E S</w:t>
      </w:r>
    </w:p>
    <w:p w14:paraId="62304586"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1. Solicitud de acceso a la información.</w:t>
      </w:r>
      <w:r w:rsidRPr="009F524E">
        <w:rPr>
          <w:rFonts w:ascii="Palatino Linotype" w:eastAsia="Palatino Linotype" w:hAnsi="Palatino Linotype" w:cs="Palatino Linotype"/>
        </w:rPr>
        <w:t xml:space="preserve"> Con fecha </w:t>
      </w:r>
      <w:r w:rsidRPr="009F524E">
        <w:rPr>
          <w:rFonts w:ascii="Palatino Linotype" w:eastAsia="Palatino Linotype" w:hAnsi="Palatino Linotype" w:cs="Palatino Linotype"/>
          <w:b/>
        </w:rPr>
        <w:t>trece de febrero de dos mil veintitrés,</w:t>
      </w:r>
      <w:r w:rsidRPr="009F524E">
        <w:rPr>
          <w:rFonts w:ascii="Palatino Linotype" w:eastAsia="Palatino Linotype" w:hAnsi="Palatino Linotype" w:cs="Palatino Linotype"/>
        </w:rPr>
        <w:t xml:space="preserve"> la parte </w:t>
      </w:r>
      <w:r w:rsidRPr="009F524E">
        <w:rPr>
          <w:rFonts w:ascii="Palatino Linotype" w:eastAsia="Palatino Linotype" w:hAnsi="Palatino Linotype" w:cs="Palatino Linotype"/>
          <w:b/>
        </w:rPr>
        <w:t xml:space="preserve">RECURRENTE </w:t>
      </w:r>
      <w:r w:rsidRPr="009F524E">
        <w:rPr>
          <w:rFonts w:ascii="Palatino Linotype" w:eastAsia="Palatino Linotype" w:hAnsi="Palatino Linotype" w:cs="Palatino Linotype"/>
        </w:rPr>
        <w:t xml:space="preserve">presentó, a través del Sistema de Acceso a la Información Mexiquense, en lo subsecuente el </w:t>
      </w:r>
      <w:r w:rsidRPr="009F524E">
        <w:rPr>
          <w:rFonts w:ascii="Palatino Linotype" w:eastAsia="Palatino Linotype" w:hAnsi="Palatino Linotype" w:cs="Palatino Linotype"/>
          <w:b/>
        </w:rPr>
        <w:t>SAIMEX,</w:t>
      </w:r>
      <w:r w:rsidRPr="009F524E">
        <w:rPr>
          <w:rFonts w:ascii="Palatino Linotype" w:eastAsia="Palatino Linotype" w:hAnsi="Palatino Linotype" w:cs="Palatino Linotype"/>
        </w:rPr>
        <w:t xml:space="preserve"> ante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la solicitud de acceso a la información pública, a la que se le asignó el número</w:t>
      </w:r>
      <w:r w:rsidRPr="009F524E">
        <w:rPr>
          <w:rFonts w:ascii="Palatino Linotype" w:eastAsia="Palatino Linotype" w:hAnsi="Palatino Linotype" w:cs="Palatino Linotype"/>
          <w:b/>
        </w:rPr>
        <w:t xml:space="preserve"> 00030/NICOROM/IP/2023, </w:t>
      </w:r>
      <w:r w:rsidRPr="009F524E">
        <w:rPr>
          <w:rFonts w:ascii="Palatino Linotype" w:eastAsia="Palatino Linotype" w:hAnsi="Palatino Linotype" w:cs="Palatino Linotype"/>
        </w:rPr>
        <w:t xml:space="preserve">mediante la cual requirió la información siguiente: </w:t>
      </w:r>
    </w:p>
    <w:p w14:paraId="70E8170B" w14:textId="77777777" w:rsidR="00367AE1" w:rsidRPr="009F524E" w:rsidRDefault="00215203">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9F524E">
        <w:rPr>
          <w:rFonts w:ascii="Palatino Linotype" w:eastAsia="Palatino Linotype" w:hAnsi="Palatino Linotype" w:cs="Palatino Linotype"/>
          <w:i/>
          <w:sz w:val="22"/>
          <w:szCs w:val="22"/>
        </w:rPr>
        <w:t xml:space="preserve">“se solicita todas las </w:t>
      </w:r>
      <w:r w:rsidRPr="009F524E">
        <w:rPr>
          <w:rFonts w:ascii="Palatino Linotype" w:eastAsia="Palatino Linotype" w:hAnsi="Palatino Linotype" w:cs="Palatino Linotype"/>
          <w:b/>
          <w:i/>
          <w:sz w:val="22"/>
          <w:szCs w:val="22"/>
          <w:u w:val="single"/>
        </w:rPr>
        <w:t xml:space="preserve">presuntas </w:t>
      </w:r>
      <w:r w:rsidRPr="009F524E">
        <w:rPr>
          <w:rFonts w:ascii="Palatino Linotype" w:eastAsia="Palatino Linotype" w:hAnsi="Palatino Linotype" w:cs="Palatino Linotype"/>
          <w:i/>
          <w:sz w:val="22"/>
          <w:szCs w:val="22"/>
        </w:rPr>
        <w:t>faltas administrativas realizadas por los tesoreros municipales del año 2016 a la fecha” (Sic)</w:t>
      </w:r>
    </w:p>
    <w:p w14:paraId="12C8FA62" w14:textId="77777777" w:rsidR="00367AE1" w:rsidRPr="009F524E" w:rsidRDefault="00367AE1">
      <w:pPr>
        <w:spacing w:before="240"/>
        <w:ind w:left="851" w:right="902"/>
        <w:jc w:val="both"/>
        <w:rPr>
          <w:rFonts w:ascii="Palatino Linotype" w:eastAsia="Palatino Linotype" w:hAnsi="Palatino Linotype" w:cs="Palatino Linotype"/>
          <w:i/>
          <w:sz w:val="22"/>
          <w:szCs w:val="22"/>
        </w:rPr>
      </w:pPr>
    </w:p>
    <w:p w14:paraId="433A3EF8"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Modalidad de Entrega:</w:t>
      </w:r>
      <w:r w:rsidRPr="009F524E">
        <w:rPr>
          <w:rFonts w:ascii="Palatino Linotype" w:eastAsia="Palatino Linotype" w:hAnsi="Palatino Linotype" w:cs="Palatino Linotype"/>
        </w:rPr>
        <w:t xml:space="preserve"> A través de SAIMEX.</w:t>
      </w:r>
    </w:p>
    <w:p w14:paraId="2C8E80DE" w14:textId="77777777" w:rsidR="00367AE1" w:rsidRPr="009F524E" w:rsidRDefault="00367AE1">
      <w:pPr>
        <w:spacing w:line="360" w:lineRule="auto"/>
        <w:jc w:val="both"/>
        <w:rPr>
          <w:rFonts w:ascii="Palatino Linotype" w:eastAsia="Palatino Linotype" w:hAnsi="Palatino Linotype" w:cs="Palatino Linotype"/>
        </w:rPr>
      </w:pPr>
    </w:p>
    <w:p w14:paraId="71F29724" w14:textId="77777777" w:rsidR="00367AE1" w:rsidRPr="009F524E" w:rsidRDefault="00215203">
      <w:pPr>
        <w:spacing w:after="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b/>
        </w:rPr>
        <w:lastRenderedPageBreak/>
        <w:t xml:space="preserve">2. Respuesta. </w:t>
      </w:r>
      <w:r w:rsidRPr="009F524E">
        <w:rPr>
          <w:rFonts w:ascii="Palatino Linotype" w:eastAsia="Palatino Linotype" w:hAnsi="Palatino Linotype" w:cs="Palatino Linotype"/>
        </w:rPr>
        <w:t xml:space="preserve">Con fecha </w:t>
      </w:r>
      <w:r w:rsidRPr="009F524E">
        <w:rPr>
          <w:rFonts w:ascii="Palatino Linotype" w:eastAsia="Palatino Linotype" w:hAnsi="Palatino Linotype" w:cs="Palatino Linotype"/>
          <w:b/>
        </w:rPr>
        <w:t>veintiocho de febrero de dos mil veintitrés</w:t>
      </w:r>
      <w:r w:rsidRPr="009F524E">
        <w:rPr>
          <w:rFonts w:ascii="Palatino Linotype" w:eastAsia="Palatino Linotype" w:hAnsi="Palatino Linotype" w:cs="Palatino Linotype"/>
        </w:rPr>
        <w:t xml:space="preserve">, el </w:t>
      </w:r>
      <w:r w:rsidRPr="009F524E">
        <w:rPr>
          <w:rFonts w:ascii="Palatino Linotype" w:eastAsia="Palatino Linotype" w:hAnsi="Palatino Linotype" w:cs="Palatino Linotype"/>
          <w:b/>
        </w:rPr>
        <w:t xml:space="preserve">SUJETO OBLIGADO </w:t>
      </w:r>
      <w:r w:rsidRPr="009F524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29D3FC3" w14:textId="77777777" w:rsidR="00367AE1" w:rsidRPr="009F524E" w:rsidRDefault="00215203">
      <w:pPr>
        <w:spacing w:before="240"/>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“…Derivado de la actualización del Sistema Integral de Responsabilidades, este Órgano de Control Interno, por el momento carece de facultades para proporcionar dicha información, hasta que la Secretaria de la Contraloría del Gobierno del Estado de México; termine con las actualizaciones correspondientes...” (Sic)</w:t>
      </w:r>
    </w:p>
    <w:p w14:paraId="65A3BCBB" w14:textId="77777777" w:rsidR="00367AE1" w:rsidRPr="009F524E" w:rsidRDefault="00215203">
      <w:pP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3. Interposición del recurso de revisión. </w:t>
      </w:r>
      <w:r w:rsidRPr="009F524E">
        <w:rPr>
          <w:rFonts w:ascii="Palatino Linotype" w:eastAsia="Palatino Linotype" w:hAnsi="Palatino Linotype" w:cs="Palatino Linotype"/>
        </w:rPr>
        <w:t xml:space="preserve">Inconforme con los términos de la respuesta emitida por parte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el </w:t>
      </w:r>
      <w:r w:rsidRPr="009F524E">
        <w:rPr>
          <w:rFonts w:ascii="Palatino Linotype" w:eastAsia="Palatino Linotype" w:hAnsi="Palatino Linotype" w:cs="Palatino Linotype"/>
          <w:b/>
        </w:rPr>
        <w:t>catorce de marzo del dos mil veintitrés,</w:t>
      </w:r>
      <w:r w:rsidRPr="009F524E">
        <w:rPr>
          <w:rFonts w:ascii="Palatino Linotype" w:eastAsia="Palatino Linotype" w:hAnsi="Palatino Linotype" w:cs="Palatino Linotype"/>
        </w:rPr>
        <w:t xml:space="preserve"> la parte recurrente interpuso el recurso de revisión a través de </w:t>
      </w:r>
      <w:r w:rsidRPr="009F524E">
        <w:rPr>
          <w:rFonts w:ascii="Palatino Linotype" w:eastAsia="Palatino Linotype" w:hAnsi="Palatino Linotype" w:cs="Palatino Linotype"/>
          <w:b/>
        </w:rPr>
        <w:t xml:space="preserve">SAIMEX, </w:t>
      </w:r>
      <w:r w:rsidRPr="009F524E">
        <w:rPr>
          <w:rFonts w:ascii="Palatino Linotype" w:eastAsia="Palatino Linotype" w:hAnsi="Palatino Linotype" w:cs="Palatino Linotype"/>
        </w:rPr>
        <w:t>en donde se manifestó de la siguiente manera:</w:t>
      </w:r>
    </w:p>
    <w:p w14:paraId="558C482C" w14:textId="77777777" w:rsidR="00367AE1" w:rsidRPr="009F524E" w:rsidRDefault="00215203">
      <w:pPr>
        <w:tabs>
          <w:tab w:val="left" w:pos="2745"/>
        </w:tabs>
        <w:spacing w:before="240" w:after="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b/>
        </w:rPr>
        <w:t xml:space="preserve">Acto impugnado: </w:t>
      </w:r>
      <w:r w:rsidRPr="009F524E">
        <w:rPr>
          <w:rFonts w:ascii="Palatino Linotype" w:eastAsia="Palatino Linotype" w:hAnsi="Palatino Linotype" w:cs="Palatino Linotype"/>
          <w:b/>
        </w:rPr>
        <w:tab/>
      </w:r>
    </w:p>
    <w:p w14:paraId="01B9A298" w14:textId="77777777" w:rsidR="00367AE1" w:rsidRPr="009F524E" w:rsidRDefault="00215203">
      <w:pPr>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“No entrego información solicitada” (Sic)</w:t>
      </w:r>
    </w:p>
    <w:p w14:paraId="499F5631" w14:textId="77777777" w:rsidR="00367AE1" w:rsidRPr="009F524E" w:rsidRDefault="00367AE1">
      <w:pPr>
        <w:ind w:left="851" w:right="902"/>
        <w:jc w:val="both"/>
        <w:rPr>
          <w:rFonts w:ascii="Palatino Linotype" w:eastAsia="Palatino Linotype" w:hAnsi="Palatino Linotype" w:cs="Palatino Linotype"/>
          <w:i/>
          <w:sz w:val="22"/>
          <w:szCs w:val="22"/>
        </w:rPr>
      </w:pPr>
    </w:p>
    <w:p w14:paraId="00BA7FC2"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Y Razones o motivos de inconformidad</w:t>
      </w:r>
      <w:r w:rsidRPr="009F524E">
        <w:rPr>
          <w:rFonts w:ascii="Palatino Linotype" w:eastAsia="Palatino Linotype" w:hAnsi="Palatino Linotype" w:cs="Palatino Linotype"/>
        </w:rPr>
        <w:t>:</w:t>
      </w:r>
    </w:p>
    <w:p w14:paraId="0DC3D374" w14:textId="77777777" w:rsidR="00367AE1" w:rsidRPr="009F524E" w:rsidRDefault="00215203">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9F524E">
        <w:rPr>
          <w:rFonts w:ascii="Palatino Linotype" w:eastAsia="Palatino Linotype" w:hAnsi="Palatino Linotype" w:cs="Palatino Linotype"/>
          <w:i/>
          <w:sz w:val="22"/>
          <w:szCs w:val="22"/>
        </w:rPr>
        <w:t xml:space="preserve"> “No entrego información solicitada” (Sic)</w:t>
      </w:r>
    </w:p>
    <w:p w14:paraId="2C93AF6F" w14:textId="77777777" w:rsidR="00367AE1" w:rsidRPr="009F524E" w:rsidRDefault="00367AE1">
      <w:pPr>
        <w:ind w:left="851" w:right="902"/>
        <w:jc w:val="both"/>
        <w:rPr>
          <w:rFonts w:ascii="Palatino Linotype" w:eastAsia="Palatino Linotype" w:hAnsi="Palatino Linotype" w:cs="Palatino Linotype"/>
          <w:i/>
          <w:sz w:val="22"/>
          <w:szCs w:val="22"/>
        </w:rPr>
      </w:pPr>
    </w:p>
    <w:p w14:paraId="38BDED55"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4. Turno. </w:t>
      </w:r>
      <w:r w:rsidRPr="009F524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F524E">
        <w:rPr>
          <w:rFonts w:ascii="Palatino Linotype" w:eastAsia="Palatino Linotype" w:hAnsi="Palatino Linotype" w:cs="Palatino Linotype"/>
          <w:b/>
        </w:rPr>
        <w:t xml:space="preserve">Guadalupe Ramírez Peña, </w:t>
      </w:r>
      <w:r w:rsidRPr="009F524E">
        <w:rPr>
          <w:rFonts w:ascii="Palatino Linotype" w:eastAsia="Palatino Linotype" w:hAnsi="Palatino Linotype" w:cs="Palatino Linotype"/>
        </w:rPr>
        <w:t>a efecto de que analizara sobre su admisión o su desechamiento.</w:t>
      </w:r>
    </w:p>
    <w:p w14:paraId="6946BA51" w14:textId="77777777" w:rsidR="00367AE1" w:rsidRPr="009F524E" w:rsidRDefault="00367AE1">
      <w:pPr>
        <w:spacing w:line="360" w:lineRule="auto"/>
        <w:ind w:right="51"/>
        <w:jc w:val="both"/>
        <w:rPr>
          <w:rFonts w:ascii="Palatino Linotype" w:eastAsia="Palatino Linotype" w:hAnsi="Palatino Linotype" w:cs="Palatino Linotype"/>
        </w:rPr>
      </w:pPr>
    </w:p>
    <w:p w14:paraId="5966B541" w14:textId="77777777" w:rsidR="00367AE1" w:rsidRPr="009F524E" w:rsidRDefault="00215203">
      <w:pPr>
        <w:spacing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lastRenderedPageBreak/>
        <w:t>5. Admisión del Recurso de revisión.</w:t>
      </w:r>
      <w:r w:rsidRPr="009F524E">
        <w:rPr>
          <w:rFonts w:ascii="Palatino Linotype" w:eastAsia="Palatino Linotype" w:hAnsi="Palatino Linotype" w:cs="Palatino Linotype"/>
        </w:rPr>
        <w:t xml:space="preserve"> Con fecha</w:t>
      </w:r>
      <w:r w:rsidRPr="009F524E">
        <w:rPr>
          <w:rFonts w:ascii="Palatino Linotype" w:eastAsia="Palatino Linotype" w:hAnsi="Palatino Linotype" w:cs="Palatino Linotype"/>
          <w:b/>
        </w:rPr>
        <w:t xml:space="preserve"> diecisiete de marzo de dos mil veintitrés, </w:t>
      </w:r>
      <w:r w:rsidRPr="009F524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F524E">
        <w:rPr>
          <w:rFonts w:ascii="Palatino Linotype" w:eastAsia="Palatino Linotype" w:hAnsi="Palatino Linotype" w:cs="Palatino Linotype"/>
          <w:b/>
        </w:rPr>
        <w:t xml:space="preserve">SUJETO OBLIGADO </w:t>
      </w:r>
      <w:r w:rsidRPr="009F524E">
        <w:rPr>
          <w:rFonts w:ascii="Palatino Linotype" w:eastAsia="Palatino Linotype" w:hAnsi="Palatino Linotype" w:cs="Palatino Linotype"/>
        </w:rPr>
        <w:t>presentara su informe justificado.</w:t>
      </w:r>
    </w:p>
    <w:p w14:paraId="544453CE" w14:textId="77777777" w:rsidR="00367AE1" w:rsidRPr="009F524E" w:rsidRDefault="00215203">
      <w:pPr>
        <w:spacing w:before="240" w:after="240" w:line="360" w:lineRule="auto"/>
        <w:jc w:val="both"/>
      </w:pPr>
      <w:r w:rsidRPr="009F524E">
        <w:rPr>
          <w:rFonts w:ascii="Palatino Linotype" w:eastAsia="Palatino Linotype" w:hAnsi="Palatino Linotype" w:cs="Palatino Linotype"/>
          <w:b/>
        </w:rPr>
        <w:t>6. Manifestaciones</w:t>
      </w:r>
      <w:r w:rsidRPr="009F524E">
        <w:rPr>
          <w:rFonts w:ascii="Palatino Linotype" w:eastAsia="Palatino Linotype" w:hAnsi="Palatino Linotype" w:cs="Palatino Linotype"/>
        </w:rPr>
        <w:t xml:space="preserve">. De las constancias que obran en el expediente electrónico del SAIMEX se desprende que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no rindió su informe justificado, del mismo modo la parte</w:t>
      </w:r>
      <w:r w:rsidRPr="009F524E">
        <w:rPr>
          <w:rFonts w:ascii="Palatino Linotype" w:eastAsia="Palatino Linotype" w:hAnsi="Palatino Linotype" w:cs="Palatino Linotype"/>
          <w:b/>
        </w:rPr>
        <w:t xml:space="preserve"> RECURRENTE</w:t>
      </w:r>
      <w:r w:rsidRPr="009F524E">
        <w:rPr>
          <w:rFonts w:ascii="Palatino Linotype" w:eastAsia="Palatino Linotype" w:hAnsi="Palatino Linotype" w:cs="Palatino Linotype"/>
        </w:rPr>
        <w:t xml:space="preserve"> omitió realizar manifestaciones, como se observa a continuación:</w:t>
      </w:r>
    </w:p>
    <w:p w14:paraId="5C4FF3D4" w14:textId="77777777" w:rsidR="00367AE1" w:rsidRPr="009F524E" w:rsidRDefault="0021520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9F524E">
        <w:rPr>
          <w:noProof/>
          <w:lang w:val="es-MX"/>
        </w:rPr>
        <w:drawing>
          <wp:inline distT="0" distB="0" distL="0" distR="0" wp14:anchorId="09069B75" wp14:editId="5D868D13">
            <wp:extent cx="5601000" cy="1610559"/>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9361" t="35928" r="20331" b="36411"/>
                    <a:stretch>
                      <a:fillRect/>
                    </a:stretch>
                  </pic:blipFill>
                  <pic:spPr>
                    <a:xfrm>
                      <a:off x="0" y="0"/>
                      <a:ext cx="5601000" cy="1610559"/>
                    </a:xfrm>
                    <a:prstGeom prst="rect">
                      <a:avLst/>
                    </a:prstGeom>
                    <a:ln/>
                  </pic:spPr>
                </pic:pic>
              </a:graphicData>
            </a:graphic>
          </wp:inline>
        </w:drawing>
      </w:r>
    </w:p>
    <w:p w14:paraId="0249FEBC" w14:textId="77777777" w:rsidR="00367AE1" w:rsidRPr="009F524E" w:rsidRDefault="00215203">
      <w:pPr>
        <w:widowControl w:val="0"/>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7</w:t>
      </w:r>
      <w:r w:rsidRPr="009F524E">
        <w:rPr>
          <w:rFonts w:ascii="Palatino Linotype" w:eastAsia="Palatino Linotype" w:hAnsi="Palatino Linotype" w:cs="Palatino Linotype"/>
        </w:rPr>
        <w:t xml:space="preserve">. </w:t>
      </w:r>
      <w:r w:rsidRPr="009F524E">
        <w:rPr>
          <w:rFonts w:ascii="Palatino Linotype" w:eastAsia="Palatino Linotype" w:hAnsi="Palatino Linotype" w:cs="Palatino Linotype"/>
          <w:b/>
        </w:rPr>
        <w:t>Ampliación del plazo.</w:t>
      </w:r>
      <w:r w:rsidRPr="009F524E">
        <w:rPr>
          <w:rFonts w:ascii="Palatino Linotype" w:eastAsia="Palatino Linotype" w:hAnsi="Palatino Linotype" w:cs="Palatino Linotype"/>
        </w:rPr>
        <w:t xml:space="preserve"> En fecha diez de julio del año dos mil veintitrés, con fundamento en el artículo 181, párrafo tercero de la Ley de Transparencia y Acceso a la Información Pública del Estado de México y Municipios, se acordó la ampliación del plazo para su resolución.</w:t>
      </w:r>
    </w:p>
    <w:p w14:paraId="6BBE294B" w14:textId="77777777" w:rsidR="00367AE1" w:rsidRPr="009F524E" w:rsidRDefault="00367AE1">
      <w:pPr>
        <w:widowControl w:val="0"/>
        <w:spacing w:line="360" w:lineRule="auto"/>
        <w:jc w:val="both"/>
        <w:rPr>
          <w:rFonts w:ascii="Palatino Linotype" w:eastAsia="Palatino Linotype" w:hAnsi="Palatino Linotype" w:cs="Palatino Linotype"/>
        </w:rPr>
      </w:pPr>
    </w:p>
    <w:p w14:paraId="79430886" w14:textId="77777777" w:rsidR="00367AE1" w:rsidRPr="009F524E" w:rsidRDefault="00215203">
      <w:pPr>
        <w:widowControl w:val="0"/>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Este organismo garante no pasa por alto justificar, que el plazo para emitir la </w:t>
      </w:r>
      <w:r w:rsidRPr="009F524E">
        <w:rPr>
          <w:rFonts w:ascii="Palatino Linotype" w:eastAsia="Palatino Linotype" w:hAnsi="Palatino Linotype" w:cs="Palatino Linotype"/>
        </w:rPr>
        <w:lastRenderedPageBreak/>
        <w:t>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BAAEB34" w14:textId="77777777" w:rsidR="00367AE1" w:rsidRPr="009F524E" w:rsidRDefault="00367AE1">
      <w:pPr>
        <w:spacing w:line="360" w:lineRule="auto"/>
        <w:jc w:val="both"/>
        <w:rPr>
          <w:rFonts w:ascii="Palatino Linotype" w:eastAsia="Palatino Linotype" w:hAnsi="Palatino Linotype" w:cs="Palatino Linotype"/>
        </w:rPr>
      </w:pPr>
    </w:p>
    <w:p w14:paraId="070DDA5F"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7F35FE" w14:textId="77777777" w:rsidR="00367AE1" w:rsidRPr="009F524E" w:rsidRDefault="00367AE1">
      <w:pPr>
        <w:spacing w:line="360" w:lineRule="auto"/>
        <w:jc w:val="both"/>
        <w:rPr>
          <w:rFonts w:ascii="Palatino Linotype" w:eastAsia="Palatino Linotype" w:hAnsi="Palatino Linotype" w:cs="Palatino Linotype"/>
        </w:rPr>
      </w:pPr>
    </w:p>
    <w:p w14:paraId="6047360D"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F17654" w14:textId="77777777" w:rsidR="00367AE1" w:rsidRPr="009F524E" w:rsidRDefault="00367AE1">
      <w:pPr>
        <w:spacing w:line="360" w:lineRule="auto"/>
        <w:jc w:val="both"/>
        <w:rPr>
          <w:rFonts w:ascii="Palatino Linotype" w:eastAsia="Palatino Linotype" w:hAnsi="Palatino Linotype" w:cs="Palatino Linotype"/>
        </w:rPr>
      </w:pPr>
    </w:p>
    <w:p w14:paraId="185533AF"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AC78C6" w14:textId="77777777" w:rsidR="00367AE1" w:rsidRPr="009F524E" w:rsidRDefault="00367AE1">
      <w:pPr>
        <w:spacing w:line="360" w:lineRule="auto"/>
        <w:jc w:val="both"/>
        <w:rPr>
          <w:rFonts w:ascii="Palatino Linotype" w:eastAsia="Palatino Linotype" w:hAnsi="Palatino Linotype" w:cs="Palatino Linotype"/>
        </w:rPr>
      </w:pPr>
    </w:p>
    <w:p w14:paraId="4EA2003F" w14:textId="77777777" w:rsidR="00367AE1" w:rsidRPr="009F524E" w:rsidRDefault="00215203">
      <w:pPr>
        <w:spacing w:line="360" w:lineRule="auto"/>
        <w:jc w:val="both"/>
        <w:rPr>
          <w:rFonts w:ascii="Palatino Linotype" w:eastAsia="Palatino Linotype" w:hAnsi="Palatino Linotype" w:cs="Palatino Linotype"/>
          <w:strike/>
        </w:rPr>
      </w:pPr>
      <w:r w:rsidRPr="009F524E">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7F05332" w14:textId="77777777" w:rsidR="00367AE1" w:rsidRPr="009F524E" w:rsidRDefault="00367AE1">
      <w:pPr>
        <w:spacing w:line="360" w:lineRule="auto"/>
        <w:jc w:val="both"/>
        <w:rPr>
          <w:rFonts w:ascii="Palatino Linotype" w:eastAsia="Palatino Linotype" w:hAnsi="Palatino Linotype" w:cs="Palatino Linotype"/>
        </w:rPr>
      </w:pPr>
    </w:p>
    <w:p w14:paraId="19B464A2" w14:textId="77777777" w:rsidR="00367AE1" w:rsidRPr="009F524E" w:rsidRDefault="00215203">
      <w:pPr>
        <w:numPr>
          <w:ilvl w:val="0"/>
          <w:numId w:val="5"/>
        </w:numPr>
        <w:ind w:left="8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885488F" w14:textId="77777777" w:rsidR="00367AE1" w:rsidRPr="009F524E" w:rsidRDefault="00367AE1">
      <w:pPr>
        <w:ind w:left="851" w:hanging="360"/>
        <w:jc w:val="both"/>
        <w:rPr>
          <w:rFonts w:ascii="Palatino Linotype" w:eastAsia="Palatino Linotype" w:hAnsi="Palatino Linotype" w:cs="Palatino Linotype"/>
        </w:rPr>
      </w:pPr>
    </w:p>
    <w:p w14:paraId="6C3D6825" w14:textId="77777777" w:rsidR="00367AE1" w:rsidRPr="009F524E" w:rsidRDefault="00215203">
      <w:pPr>
        <w:numPr>
          <w:ilvl w:val="0"/>
          <w:numId w:val="5"/>
        </w:numPr>
        <w:ind w:left="851"/>
        <w:jc w:val="both"/>
        <w:rPr>
          <w:rFonts w:ascii="Palatino Linotype" w:eastAsia="Palatino Linotype" w:hAnsi="Palatino Linotype" w:cs="Palatino Linotype"/>
        </w:rPr>
      </w:pPr>
      <w:r w:rsidRPr="009F524E">
        <w:rPr>
          <w:rFonts w:ascii="Palatino Linotype" w:eastAsia="Palatino Linotype" w:hAnsi="Palatino Linotype" w:cs="Palatino Linotype"/>
        </w:rPr>
        <w:t>Actividad Procesal del interesado. Acciones u omisiones del interesado.</w:t>
      </w:r>
    </w:p>
    <w:p w14:paraId="0AD13740" w14:textId="77777777" w:rsidR="00367AE1" w:rsidRPr="009F524E" w:rsidRDefault="00367AE1">
      <w:pPr>
        <w:ind w:left="851" w:hanging="360"/>
        <w:jc w:val="both"/>
        <w:rPr>
          <w:rFonts w:ascii="Palatino Linotype" w:eastAsia="Palatino Linotype" w:hAnsi="Palatino Linotype" w:cs="Palatino Linotype"/>
        </w:rPr>
      </w:pPr>
    </w:p>
    <w:p w14:paraId="174143A1" w14:textId="77777777" w:rsidR="00367AE1" w:rsidRPr="009F524E" w:rsidRDefault="00215203">
      <w:pPr>
        <w:numPr>
          <w:ilvl w:val="0"/>
          <w:numId w:val="5"/>
        </w:numPr>
        <w:ind w:left="851"/>
        <w:jc w:val="both"/>
        <w:rPr>
          <w:rFonts w:ascii="Palatino Linotype" w:eastAsia="Palatino Linotype" w:hAnsi="Palatino Linotype" w:cs="Palatino Linotype"/>
        </w:rPr>
      </w:pPr>
      <w:r w:rsidRPr="009F524E">
        <w:rPr>
          <w:rFonts w:ascii="Palatino Linotype" w:eastAsia="Palatino Linotype" w:hAnsi="Palatino Linotype" w:cs="Palatino Linotype"/>
        </w:rPr>
        <w:t>Conducta de la Autoridad: Las Acciones u omisiones realizadas en el procedimiento. Así como si la autoridad actuó con la debida diligencia.</w:t>
      </w:r>
    </w:p>
    <w:p w14:paraId="3DCC45DD" w14:textId="77777777" w:rsidR="00367AE1" w:rsidRPr="009F524E" w:rsidRDefault="00367AE1">
      <w:pPr>
        <w:ind w:left="851" w:hanging="360"/>
        <w:rPr>
          <w:rFonts w:ascii="Palatino Linotype" w:eastAsia="Palatino Linotype" w:hAnsi="Palatino Linotype" w:cs="Palatino Linotype"/>
        </w:rPr>
      </w:pPr>
    </w:p>
    <w:p w14:paraId="60A108F9" w14:textId="77777777" w:rsidR="00367AE1" w:rsidRPr="009F524E" w:rsidRDefault="00215203">
      <w:pPr>
        <w:ind w:left="851" w:hanging="360"/>
        <w:jc w:val="both"/>
        <w:rPr>
          <w:rFonts w:ascii="Palatino Linotype" w:eastAsia="Palatino Linotype" w:hAnsi="Palatino Linotype" w:cs="Palatino Linotype"/>
        </w:rPr>
      </w:pPr>
      <w:r w:rsidRPr="009F524E">
        <w:rPr>
          <w:rFonts w:ascii="Palatino Linotype" w:eastAsia="Palatino Linotype" w:hAnsi="Palatino Linotype" w:cs="Palatino Linotype"/>
        </w:rPr>
        <w:t>d) La afectación generada en la situación jurídica de la persona involucrada en el proceso: Violación a sus derechos humanos.</w:t>
      </w:r>
    </w:p>
    <w:p w14:paraId="1CE2228F" w14:textId="77777777" w:rsidR="00367AE1" w:rsidRPr="009F524E" w:rsidRDefault="00367AE1">
      <w:pPr>
        <w:spacing w:line="360" w:lineRule="auto"/>
        <w:jc w:val="both"/>
        <w:rPr>
          <w:rFonts w:ascii="Palatino Linotype" w:eastAsia="Palatino Linotype" w:hAnsi="Palatino Linotype" w:cs="Palatino Linotype"/>
        </w:rPr>
      </w:pPr>
    </w:p>
    <w:p w14:paraId="2A548338"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73AC8D3" w14:textId="77777777" w:rsidR="00367AE1" w:rsidRPr="009F524E" w:rsidRDefault="00367AE1">
      <w:pPr>
        <w:spacing w:line="360" w:lineRule="auto"/>
        <w:jc w:val="both"/>
        <w:rPr>
          <w:rFonts w:ascii="Palatino Linotype" w:eastAsia="Palatino Linotype" w:hAnsi="Palatino Linotype" w:cs="Palatino Linotype"/>
        </w:rPr>
      </w:pPr>
    </w:p>
    <w:p w14:paraId="7536F315" w14:textId="77777777" w:rsidR="00367AE1" w:rsidRPr="009F524E" w:rsidRDefault="00215203">
      <w:pP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F524E">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9F524E">
        <w:rPr>
          <w:rFonts w:ascii="Palatino Linotype" w:eastAsia="Palatino Linotype" w:hAnsi="Palatino Linotype" w:cs="Palatino Linotype"/>
          <w:i/>
        </w:rPr>
        <w:lastRenderedPageBreak/>
        <w:t>CARACTERÍSTICAS DEL CASO.”</w:t>
      </w:r>
      <w:r w:rsidRPr="009F524E">
        <w:rPr>
          <w:rFonts w:ascii="Palatino Linotype" w:eastAsia="Palatino Linotype" w:hAnsi="Palatino Linotype" w:cs="Palatino Linotype"/>
        </w:rPr>
        <w:t>, visible en la Gaceta del Seminario Judicial de la Federación con el registro digital 205635.</w:t>
      </w:r>
    </w:p>
    <w:p w14:paraId="581861D1" w14:textId="77777777" w:rsidR="00367AE1" w:rsidRPr="009F524E" w:rsidRDefault="00367AE1">
      <w:pPr>
        <w:spacing w:line="360" w:lineRule="auto"/>
        <w:jc w:val="both"/>
        <w:rPr>
          <w:rFonts w:ascii="Palatino Linotype" w:eastAsia="Palatino Linotype" w:hAnsi="Palatino Linotype" w:cs="Palatino Linotype"/>
        </w:rPr>
      </w:pPr>
    </w:p>
    <w:p w14:paraId="3A6D6C10"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D77330" w14:textId="77777777" w:rsidR="00367AE1" w:rsidRPr="009F524E" w:rsidRDefault="00367AE1">
      <w:pPr>
        <w:spacing w:line="360" w:lineRule="auto"/>
        <w:jc w:val="both"/>
        <w:rPr>
          <w:rFonts w:ascii="Palatino Linotype" w:eastAsia="Palatino Linotype" w:hAnsi="Palatino Linotype" w:cs="Palatino Linotype"/>
        </w:rPr>
      </w:pPr>
    </w:p>
    <w:p w14:paraId="6E6AB5F3"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ED3305A" w14:textId="77777777" w:rsidR="00367AE1" w:rsidRPr="009F524E" w:rsidRDefault="00367AE1">
      <w:pPr>
        <w:spacing w:line="360" w:lineRule="auto"/>
        <w:jc w:val="both"/>
        <w:rPr>
          <w:rFonts w:ascii="Palatino Linotype" w:eastAsia="Palatino Linotype" w:hAnsi="Palatino Linotype" w:cs="Palatino Linotype"/>
        </w:rPr>
      </w:pPr>
    </w:p>
    <w:p w14:paraId="56F2B6F3"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 </w:t>
      </w:r>
      <w:r w:rsidRPr="009F524E">
        <w:rPr>
          <w:rFonts w:ascii="Palatino Linotype" w:eastAsia="Palatino Linotype" w:hAnsi="Palatino Linotype" w:cs="Palatino Linotype"/>
          <w:i/>
        </w:rPr>
        <w:t>“PLAZO RAZONABLE PARA RESOLVER. DIMENSIÓN Y EFECTOS DE ESTE CONCEPTO CUANDO SE ADUCE EXCESIVA CARGA DE TRABAJO.”</w:t>
      </w:r>
      <w:r w:rsidRPr="009F524E">
        <w:rPr>
          <w:rFonts w:ascii="Palatino Linotype" w:eastAsia="Palatino Linotype" w:hAnsi="Palatino Linotype" w:cs="Palatino Linotype"/>
        </w:rPr>
        <w:t xml:space="preserve"> consultable en el Seminario Judicial de la Federación y su gaceta, con el registro digital 2002351.</w:t>
      </w:r>
    </w:p>
    <w:p w14:paraId="38616258" w14:textId="77777777" w:rsidR="00367AE1" w:rsidRPr="009F524E" w:rsidRDefault="00367AE1">
      <w:pPr>
        <w:spacing w:line="360" w:lineRule="auto"/>
        <w:jc w:val="both"/>
        <w:rPr>
          <w:rFonts w:ascii="Palatino Linotype" w:eastAsia="Palatino Linotype" w:hAnsi="Palatino Linotype" w:cs="Palatino Linotype"/>
          <w:b/>
        </w:rPr>
      </w:pPr>
    </w:p>
    <w:p w14:paraId="0B068A30"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i/>
        </w:rPr>
        <w:t xml:space="preserve">“PLAZO RAZONABLE PARA RESOLVER. CONCEPTO Y ELEMENTOS QUE LO INTEGRAN A LA LUZ DEL DERECHO INTERNACIONAL DE LOS DERECHOS </w:t>
      </w:r>
      <w:r w:rsidRPr="009F524E">
        <w:rPr>
          <w:rFonts w:ascii="Palatino Linotype" w:eastAsia="Palatino Linotype" w:hAnsi="Palatino Linotype" w:cs="Palatino Linotype"/>
          <w:i/>
        </w:rPr>
        <w:lastRenderedPageBreak/>
        <w:t>HUMANOS.”</w:t>
      </w:r>
      <w:r w:rsidRPr="009F524E">
        <w:rPr>
          <w:rFonts w:ascii="Palatino Linotype" w:eastAsia="Palatino Linotype" w:hAnsi="Palatino Linotype" w:cs="Palatino Linotype"/>
        </w:rPr>
        <w:t>, visible en el Seminario Judicial de la Federación y su gaceta, con el registro digital 2002350.</w:t>
      </w:r>
    </w:p>
    <w:p w14:paraId="14EFFA1A" w14:textId="77777777" w:rsidR="00367AE1" w:rsidRPr="009F524E" w:rsidRDefault="00367AE1">
      <w:pPr>
        <w:spacing w:line="360" w:lineRule="auto"/>
        <w:jc w:val="both"/>
        <w:rPr>
          <w:rFonts w:ascii="Palatino Linotype" w:eastAsia="Palatino Linotype" w:hAnsi="Palatino Linotype" w:cs="Palatino Linotype"/>
        </w:rPr>
      </w:pPr>
    </w:p>
    <w:p w14:paraId="555A86CB"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CF2014D"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8. Cierre de instrucción. </w:t>
      </w:r>
      <w:r w:rsidRPr="009F524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9F524E">
        <w:rPr>
          <w:rFonts w:ascii="Palatino Linotype" w:eastAsia="Palatino Linotype" w:hAnsi="Palatino Linotype" w:cs="Palatino Linotype"/>
          <w:b/>
        </w:rPr>
        <w:t>diez de julio de dos mil veintitrés</w:t>
      </w:r>
      <w:r w:rsidRPr="009F524E">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3B289B7F"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FE23DA4" w14:textId="77777777" w:rsidR="00367AE1" w:rsidRPr="009F524E" w:rsidRDefault="00215203">
      <w:pPr>
        <w:widowControl w:val="0"/>
        <w:spacing w:line="360" w:lineRule="auto"/>
        <w:jc w:val="center"/>
        <w:rPr>
          <w:rFonts w:ascii="Palatino Linotype" w:eastAsia="Palatino Linotype" w:hAnsi="Palatino Linotype" w:cs="Palatino Linotype"/>
          <w:b/>
        </w:rPr>
      </w:pPr>
      <w:r w:rsidRPr="009F524E">
        <w:rPr>
          <w:rFonts w:ascii="Palatino Linotype" w:eastAsia="Palatino Linotype" w:hAnsi="Palatino Linotype" w:cs="Palatino Linotype"/>
          <w:b/>
        </w:rPr>
        <w:t>II. C O N S I D E R A N D O S</w:t>
      </w:r>
    </w:p>
    <w:p w14:paraId="456382A3" w14:textId="77777777" w:rsidR="00367AE1" w:rsidRPr="009F524E" w:rsidRDefault="00367AE1">
      <w:pPr>
        <w:widowControl w:val="0"/>
        <w:spacing w:line="360" w:lineRule="auto"/>
        <w:jc w:val="center"/>
        <w:rPr>
          <w:rFonts w:ascii="Palatino Linotype" w:eastAsia="Palatino Linotype" w:hAnsi="Palatino Linotype" w:cs="Palatino Linotype"/>
          <w:b/>
        </w:rPr>
      </w:pPr>
    </w:p>
    <w:p w14:paraId="15977AB0"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Primero. Competencia.</w:t>
      </w:r>
      <w:r w:rsidRPr="009F524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w:t>
      </w:r>
      <w:r w:rsidRPr="009F524E">
        <w:rPr>
          <w:rFonts w:ascii="Palatino Linotype" w:eastAsia="Palatino Linotype" w:hAnsi="Palatino Linotype" w:cs="Palatino Linotype"/>
        </w:rPr>
        <w:lastRenderedPageBreak/>
        <w:t>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4A72BF" w14:textId="77777777" w:rsidR="00367AE1" w:rsidRPr="009F524E" w:rsidRDefault="00215203">
      <w:pPr>
        <w:spacing w:before="240" w:after="240" w:line="360" w:lineRule="auto"/>
        <w:ind w:right="49"/>
        <w:jc w:val="both"/>
        <w:rPr>
          <w:rFonts w:ascii="Palatino Linotype" w:eastAsia="Palatino Linotype" w:hAnsi="Palatino Linotype" w:cs="Palatino Linotype"/>
        </w:rPr>
      </w:pPr>
      <w:bookmarkStart w:id="3" w:name="_heading=h.tyjcwt" w:colFirst="0" w:colLast="0"/>
      <w:bookmarkEnd w:id="3"/>
      <w:r w:rsidRPr="009F524E">
        <w:rPr>
          <w:rFonts w:ascii="Palatino Linotype" w:eastAsia="Palatino Linotype" w:hAnsi="Palatino Linotype" w:cs="Palatino Linotype"/>
          <w:b/>
        </w:rPr>
        <w:t xml:space="preserve">Segundo. Oportunidad y Procedibilidad del Recurso de Revisión. </w:t>
      </w:r>
      <w:r w:rsidRPr="009F524E">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emitió su respuesta a la solicitud planteada por la parte solicitante el veintiocho de febrero del año dos mil veintitrés y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presentó su recurso de revisión el catorce de marzo del mismo año, esto es, al cuarto día hábil siguiente del conocimiento de la respuesta. </w:t>
      </w:r>
    </w:p>
    <w:p w14:paraId="16210E2A" w14:textId="77777777" w:rsidR="00367AE1" w:rsidRPr="009F524E" w:rsidRDefault="00215203">
      <w:pPr>
        <w:spacing w:before="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Al mismo tiempo, tras la revisión del formato de interposición del recurso, es de suma importancia señalar que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no proporcionó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D290FA4" w14:textId="77777777" w:rsidR="00367AE1" w:rsidRPr="009F524E" w:rsidRDefault="00367AE1">
      <w:pPr>
        <w:ind w:left="567" w:right="474"/>
        <w:jc w:val="both"/>
        <w:rPr>
          <w:rFonts w:ascii="Palatino Linotype" w:eastAsia="Palatino Linotype" w:hAnsi="Palatino Linotype" w:cs="Palatino Linotype"/>
          <w:i/>
        </w:rPr>
      </w:pPr>
    </w:p>
    <w:p w14:paraId="7B49CAC2" w14:textId="77777777" w:rsidR="00367AE1" w:rsidRPr="009F524E" w:rsidRDefault="00215203">
      <w:pPr>
        <w:spacing w:after="240"/>
        <w:ind w:left="567"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Las solicitudes anónimas</w:t>
      </w:r>
      <w:r w:rsidRPr="009F524E">
        <w:rPr>
          <w:rFonts w:ascii="Palatino Linotype" w:eastAsia="Palatino Linotype" w:hAnsi="Palatino Linotype" w:cs="Palatino Linotype"/>
          <w:i/>
          <w:sz w:val="22"/>
          <w:szCs w:val="22"/>
        </w:rPr>
        <w:t xml:space="preserve">, con nombre incompleto o seudónimo </w:t>
      </w:r>
      <w:r w:rsidRPr="009F524E">
        <w:rPr>
          <w:rFonts w:ascii="Palatino Linotype" w:eastAsia="Palatino Linotype" w:hAnsi="Palatino Linotype" w:cs="Palatino Linotype"/>
          <w:b/>
          <w:i/>
          <w:sz w:val="22"/>
          <w:szCs w:val="22"/>
        </w:rPr>
        <w:t>serán procedentes para su trámite por parte del sujeto obligado ante quien se presente</w:t>
      </w:r>
      <w:r w:rsidRPr="009F524E">
        <w:rPr>
          <w:rFonts w:ascii="Palatino Linotype" w:eastAsia="Palatino Linotype" w:hAnsi="Palatino Linotype" w:cs="Palatino Linotype"/>
          <w:i/>
          <w:sz w:val="22"/>
          <w:szCs w:val="22"/>
        </w:rPr>
        <w:t xml:space="preserve">. No podrá </w:t>
      </w:r>
      <w:r w:rsidRPr="009F524E">
        <w:rPr>
          <w:rFonts w:ascii="Palatino Linotype" w:eastAsia="Palatino Linotype" w:hAnsi="Palatino Linotype" w:cs="Palatino Linotype"/>
          <w:i/>
          <w:sz w:val="22"/>
          <w:szCs w:val="22"/>
        </w:rPr>
        <w:lastRenderedPageBreak/>
        <w:t>requerirse información adicional con motivo del nombre proporcionado por el solicitante."(Sic)</w:t>
      </w:r>
    </w:p>
    <w:p w14:paraId="58F47FEB" w14:textId="77777777" w:rsidR="00367AE1" w:rsidRPr="009F524E" w:rsidRDefault="00215203">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F524E">
        <w:rPr>
          <w:rFonts w:ascii="Palatino Linotype" w:eastAsia="Palatino Linotype" w:hAnsi="Palatino Linotype" w:cs="Palatino Linotype"/>
          <w:b/>
        </w:rPr>
        <w:t>EL</w:t>
      </w:r>
      <w:r w:rsidRPr="009F524E">
        <w:rPr>
          <w:rFonts w:ascii="Palatino Linotype" w:eastAsia="Palatino Linotype" w:hAnsi="Palatino Linotype" w:cs="Palatino Linotype"/>
        </w:rPr>
        <w:t xml:space="preserve"> </w:t>
      </w:r>
      <w:r w:rsidRPr="009F524E">
        <w:rPr>
          <w:rFonts w:ascii="Palatino Linotype" w:eastAsia="Palatino Linotype" w:hAnsi="Palatino Linotype" w:cs="Palatino Linotype"/>
          <w:b/>
        </w:rPr>
        <w:t>SAIMEX</w:t>
      </w:r>
      <w:r w:rsidRPr="009F524E">
        <w:rPr>
          <w:rFonts w:ascii="Palatino Linotype" w:eastAsia="Palatino Linotype" w:hAnsi="Palatino Linotype" w:cs="Palatino Linotype"/>
        </w:rPr>
        <w:t>.</w:t>
      </w:r>
    </w:p>
    <w:p w14:paraId="36DC358F" w14:textId="77777777" w:rsidR="00367AE1" w:rsidRPr="009F524E" w:rsidRDefault="00367AE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38FF8AF6" w14:textId="77777777" w:rsidR="00367AE1" w:rsidRPr="009F524E" w:rsidRDefault="00215203">
      <w:pPr>
        <w:spacing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3E82DB4E" w14:textId="77777777" w:rsidR="00367AE1" w:rsidRPr="009F524E" w:rsidRDefault="00215203">
      <w:pPr>
        <w:ind w:left="1276" w:right="175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 xml:space="preserve">Artículo 179. </w:t>
      </w:r>
      <w:r w:rsidRPr="009F524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24144E" w14:textId="77777777" w:rsidR="00367AE1" w:rsidRPr="009F524E" w:rsidRDefault="00215203">
      <w:pPr>
        <w:ind w:left="1276" w:right="175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 La negativa de la información solicitada…” (Sic)</w:t>
      </w:r>
    </w:p>
    <w:p w14:paraId="2C2BCD6D" w14:textId="77777777" w:rsidR="00367AE1" w:rsidRPr="009F524E" w:rsidRDefault="00367AE1">
      <w:pPr>
        <w:ind w:left="1276" w:right="1752"/>
        <w:jc w:val="both"/>
        <w:rPr>
          <w:rFonts w:ascii="Palatino Linotype" w:eastAsia="Palatino Linotype" w:hAnsi="Palatino Linotype" w:cs="Palatino Linotype"/>
          <w:i/>
          <w:sz w:val="22"/>
          <w:szCs w:val="22"/>
        </w:rPr>
      </w:pPr>
    </w:p>
    <w:p w14:paraId="2774A751" w14:textId="77777777" w:rsidR="00367AE1" w:rsidRPr="009F524E" w:rsidRDefault="00215203">
      <w:pPr>
        <w:spacing w:before="280" w:after="28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Tercero. Materia de Revisión</w:t>
      </w:r>
      <w:r w:rsidRPr="009F524E">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9F524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F524E">
        <w:rPr>
          <w:rFonts w:ascii="Palatino Linotype" w:eastAsia="Palatino Linotype" w:hAnsi="Palatino Linotype" w:cs="Palatino Linotype"/>
        </w:rPr>
        <w:t xml:space="preserve">de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o en su defecto, en caso de ser procedente, ordenar la entrega de información.</w:t>
      </w:r>
    </w:p>
    <w:p w14:paraId="4143844D"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Cuarto. Estudio de fondo del asunto. </w:t>
      </w:r>
      <w:r w:rsidRPr="009F524E">
        <w:rPr>
          <w:rFonts w:ascii="Palatino Linotype" w:eastAsia="Palatino Linotype" w:hAnsi="Palatino Linotype" w:cs="Palatino Linotype"/>
        </w:rPr>
        <w:t xml:space="preserve">es conveniente analizar si la respuesta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cumple con los requisitos y procedimientos del derecho de </w:t>
      </w:r>
      <w:r w:rsidRPr="009F524E">
        <w:rPr>
          <w:rFonts w:ascii="Palatino Linotype" w:eastAsia="Palatino Linotype" w:hAnsi="Palatino Linotype" w:cs="Palatino Linotype"/>
        </w:rPr>
        <w:lastRenderedPageBreak/>
        <w:t>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6374873" w14:textId="77777777" w:rsidR="00367AE1" w:rsidRPr="009F524E" w:rsidRDefault="00215203">
      <w:pPr>
        <w:spacing w:before="240"/>
        <w:ind w:left="709" w:right="76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Artículo 4.</w:t>
      </w:r>
      <w:r w:rsidRPr="009F524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1E352C0" w14:textId="77777777" w:rsidR="00367AE1" w:rsidRPr="009F524E" w:rsidRDefault="00215203">
      <w:pPr>
        <w:ind w:left="709" w:right="76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F524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EA439A" w14:textId="77777777" w:rsidR="00367AE1" w:rsidRPr="009F524E" w:rsidRDefault="00215203">
      <w:pPr>
        <w:ind w:left="709" w:right="76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F524E">
        <w:rPr>
          <w:rFonts w:ascii="Palatino Linotype" w:eastAsia="Palatino Linotype" w:hAnsi="Palatino Linotype" w:cs="Palatino Linotype"/>
          <w:i/>
          <w:sz w:val="22"/>
          <w:szCs w:val="22"/>
        </w:rPr>
        <w:t>.”(Sic)</w:t>
      </w:r>
    </w:p>
    <w:p w14:paraId="3E303919"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B0B38DD" w14:textId="77777777" w:rsidR="00367AE1" w:rsidRPr="009F524E" w:rsidRDefault="00215203">
      <w:pPr>
        <w:ind w:left="567" w:right="75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lastRenderedPageBreak/>
        <w:t>“</w:t>
      </w:r>
      <w:r w:rsidRPr="009F524E">
        <w:rPr>
          <w:rFonts w:ascii="Palatino Linotype" w:eastAsia="Palatino Linotype" w:hAnsi="Palatino Linotype" w:cs="Palatino Linotype"/>
          <w:b/>
          <w:i/>
          <w:sz w:val="22"/>
          <w:szCs w:val="22"/>
        </w:rPr>
        <w:t>Artículo12.-</w:t>
      </w:r>
      <w:r w:rsidRPr="009F524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8916CBF" w14:textId="77777777" w:rsidR="00367AE1" w:rsidRPr="009F524E" w:rsidRDefault="00215203">
      <w:pPr>
        <w:ind w:left="567" w:right="75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E05BBE5" w14:textId="77777777" w:rsidR="00367AE1" w:rsidRPr="009F524E" w:rsidRDefault="00367AE1">
      <w:pPr>
        <w:spacing w:line="360" w:lineRule="auto"/>
        <w:ind w:right="-93"/>
        <w:jc w:val="both"/>
        <w:rPr>
          <w:rFonts w:ascii="Palatino Linotype" w:eastAsia="Palatino Linotype" w:hAnsi="Palatino Linotype" w:cs="Palatino Linotype"/>
        </w:rPr>
      </w:pPr>
    </w:p>
    <w:p w14:paraId="1D06183C" w14:textId="77777777" w:rsidR="00367AE1" w:rsidRPr="009F524E" w:rsidRDefault="00215203">
      <w:pPr>
        <w:spacing w:line="360" w:lineRule="auto"/>
        <w:ind w:right="-93"/>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DDC79AF" w14:textId="77777777" w:rsidR="00367AE1" w:rsidRPr="009F524E" w:rsidRDefault="00367AE1">
      <w:pPr>
        <w:spacing w:line="360" w:lineRule="auto"/>
        <w:ind w:right="-93"/>
        <w:jc w:val="both"/>
        <w:rPr>
          <w:rFonts w:ascii="Palatino Linotype" w:eastAsia="Palatino Linotype" w:hAnsi="Palatino Linotype" w:cs="Palatino Linotype"/>
        </w:rPr>
      </w:pPr>
    </w:p>
    <w:p w14:paraId="5E34F7C7" w14:textId="77777777" w:rsidR="00367AE1" w:rsidRPr="009F524E" w:rsidRDefault="00215203">
      <w:pP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F524E">
        <w:rPr>
          <w:rFonts w:ascii="Palatino Linotype" w:eastAsia="Palatino Linotype" w:hAnsi="Palatino Linotype" w:cs="Palatino Linotype"/>
          <w:b/>
        </w:rPr>
        <w:t xml:space="preserve"> </w:t>
      </w:r>
    </w:p>
    <w:p w14:paraId="311278E4" w14:textId="77777777" w:rsidR="00367AE1" w:rsidRPr="009F524E" w:rsidRDefault="00367AE1">
      <w:pPr>
        <w:spacing w:line="360" w:lineRule="auto"/>
        <w:jc w:val="both"/>
        <w:rPr>
          <w:rFonts w:ascii="Palatino Linotype" w:eastAsia="Palatino Linotype" w:hAnsi="Palatino Linotype" w:cs="Palatino Linotype"/>
          <w:b/>
        </w:rPr>
      </w:pPr>
    </w:p>
    <w:p w14:paraId="2CB49660" w14:textId="77777777" w:rsidR="00367AE1" w:rsidRPr="009F524E" w:rsidRDefault="00215203">
      <w:pPr>
        <w:ind w:left="851" w:right="90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No existe obligación de elaborar documentos ad hoc para atender las solicitudes de acceso a la información.</w:t>
      </w:r>
      <w:r w:rsidRPr="009F524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9F524E">
        <w:rPr>
          <w:rFonts w:ascii="Palatino Linotype" w:eastAsia="Palatino Linotype" w:hAnsi="Palatino Linotype" w:cs="Palatino Linotype"/>
          <w:i/>
          <w:sz w:val="22"/>
          <w:szCs w:val="22"/>
        </w:rPr>
        <w:lastRenderedPageBreak/>
        <w:t>archivos; sin necesidad de elaborar documentos ad hoc para atender las solicitudes de información.</w:t>
      </w:r>
    </w:p>
    <w:p w14:paraId="26F9A8A8" w14:textId="77777777" w:rsidR="00367AE1" w:rsidRPr="009F524E" w:rsidRDefault="00215203">
      <w:pPr>
        <w:ind w:left="851" w:right="90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Resoluciones: </w:t>
      </w:r>
    </w:p>
    <w:p w14:paraId="52C80F52" w14:textId="77777777" w:rsidR="00367AE1" w:rsidRPr="009F524E" w:rsidRDefault="00215203">
      <w:pPr>
        <w:ind w:left="851" w:right="901"/>
        <w:jc w:val="both"/>
        <w:rPr>
          <w:rFonts w:ascii="Palatino Linotype" w:eastAsia="Palatino Linotype" w:hAnsi="Palatino Linotype" w:cs="Palatino Linotype"/>
          <w:i/>
          <w:sz w:val="22"/>
          <w:szCs w:val="22"/>
        </w:rPr>
      </w:pPr>
      <w:r w:rsidRPr="009F524E">
        <w:rPr>
          <w:rFonts w:ascii="Noto Sans Symbols" w:eastAsia="Noto Sans Symbols" w:hAnsi="Noto Sans Symbols" w:cs="Noto Sans Symbols"/>
          <w:i/>
          <w:sz w:val="22"/>
          <w:szCs w:val="22"/>
        </w:rPr>
        <w:t>∙</w:t>
      </w:r>
      <w:r w:rsidRPr="009F524E">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600091E8" w14:textId="77777777" w:rsidR="00367AE1" w:rsidRPr="009F524E" w:rsidRDefault="00215203">
      <w:pPr>
        <w:ind w:left="851" w:right="901"/>
        <w:jc w:val="both"/>
        <w:rPr>
          <w:rFonts w:ascii="Palatino Linotype" w:eastAsia="Palatino Linotype" w:hAnsi="Palatino Linotype" w:cs="Palatino Linotype"/>
          <w:i/>
          <w:sz w:val="22"/>
          <w:szCs w:val="22"/>
        </w:rPr>
      </w:pPr>
      <w:r w:rsidRPr="009F524E">
        <w:rPr>
          <w:rFonts w:ascii="Noto Sans Symbols" w:eastAsia="Noto Sans Symbols" w:hAnsi="Noto Sans Symbols" w:cs="Noto Sans Symbols"/>
          <w:i/>
          <w:sz w:val="22"/>
          <w:szCs w:val="22"/>
        </w:rPr>
        <w:t>∙</w:t>
      </w:r>
      <w:r w:rsidRPr="009F524E">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0EA5850" w14:textId="77777777" w:rsidR="00367AE1" w:rsidRPr="009F524E" w:rsidRDefault="00215203">
      <w:pPr>
        <w:ind w:left="851" w:right="901"/>
        <w:jc w:val="both"/>
        <w:rPr>
          <w:rFonts w:ascii="Palatino Linotype" w:eastAsia="Palatino Linotype" w:hAnsi="Palatino Linotype" w:cs="Palatino Linotype"/>
          <w:i/>
          <w:sz w:val="22"/>
          <w:szCs w:val="22"/>
        </w:rPr>
      </w:pPr>
      <w:r w:rsidRPr="009F524E">
        <w:rPr>
          <w:rFonts w:ascii="Noto Sans Symbols" w:eastAsia="Noto Sans Symbols" w:hAnsi="Noto Sans Symbols" w:cs="Noto Sans Symbols"/>
          <w:i/>
          <w:sz w:val="22"/>
          <w:szCs w:val="22"/>
        </w:rPr>
        <w:t>∙</w:t>
      </w:r>
      <w:r w:rsidRPr="009F524E">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94A9F2D" w14:textId="77777777" w:rsidR="00367AE1" w:rsidRPr="009F524E" w:rsidRDefault="00367AE1">
      <w:pPr>
        <w:spacing w:line="360" w:lineRule="auto"/>
        <w:jc w:val="both"/>
        <w:rPr>
          <w:rFonts w:ascii="Palatino Linotype" w:eastAsia="Palatino Linotype" w:hAnsi="Palatino Linotype" w:cs="Palatino Linotype"/>
        </w:rPr>
      </w:pPr>
    </w:p>
    <w:p w14:paraId="0EC937F9"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8750EE4" w14:textId="77777777" w:rsidR="00367AE1" w:rsidRPr="009F524E" w:rsidRDefault="00367AE1">
      <w:pPr>
        <w:spacing w:line="360" w:lineRule="auto"/>
        <w:jc w:val="both"/>
        <w:rPr>
          <w:rFonts w:ascii="Palatino Linotype" w:eastAsia="Palatino Linotype" w:hAnsi="Palatino Linotype" w:cs="Palatino Linotype"/>
        </w:rPr>
      </w:pPr>
    </w:p>
    <w:p w14:paraId="1DC92CF4" w14:textId="77777777" w:rsidR="00367AE1" w:rsidRPr="009F524E" w:rsidRDefault="00215203">
      <w:pPr>
        <w:spacing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CE443D" w14:textId="77777777" w:rsidR="00367AE1" w:rsidRPr="009F524E" w:rsidRDefault="00367AE1">
      <w:pPr>
        <w:spacing w:line="360" w:lineRule="auto"/>
        <w:ind w:right="49"/>
        <w:jc w:val="both"/>
        <w:rPr>
          <w:rFonts w:ascii="Palatino Linotype" w:eastAsia="Palatino Linotype" w:hAnsi="Palatino Linotype" w:cs="Palatino Linotype"/>
        </w:rPr>
      </w:pPr>
    </w:p>
    <w:p w14:paraId="091CA976"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9F524E">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B9DCA6B" w14:textId="77777777" w:rsidR="00367AE1" w:rsidRPr="009F524E" w:rsidRDefault="00367AE1">
      <w:pPr>
        <w:ind w:left="851" w:right="899"/>
        <w:jc w:val="both"/>
        <w:rPr>
          <w:rFonts w:ascii="Palatino Linotype" w:eastAsia="Palatino Linotype" w:hAnsi="Palatino Linotype" w:cs="Palatino Linotype"/>
          <w:i/>
          <w:sz w:val="22"/>
          <w:szCs w:val="22"/>
        </w:rPr>
      </w:pPr>
    </w:p>
    <w:p w14:paraId="5F6B2756"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 xml:space="preserve">Artículo 3. </w:t>
      </w:r>
      <w:r w:rsidRPr="009F524E">
        <w:rPr>
          <w:rFonts w:ascii="Palatino Linotype" w:eastAsia="Palatino Linotype" w:hAnsi="Palatino Linotype" w:cs="Palatino Linotype"/>
          <w:i/>
          <w:sz w:val="22"/>
          <w:szCs w:val="22"/>
        </w:rPr>
        <w:t>Para los efectos de la presente Ley se entenderá por:</w:t>
      </w:r>
    </w:p>
    <w:p w14:paraId="2CD0FE7C"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68BFB8A1"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 Documento:</w:t>
      </w:r>
      <w:r w:rsidRPr="009F524E">
        <w:rPr>
          <w:rFonts w:ascii="Palatino Linotype" w:eastAsia="Palatino Linotype" w:hAnsi="Palatino Linotype" w:cs="Palatino Linotype"/>
          <w:i/>
          <w:sz w:val="22"/>
          <w:szCs w:val="22"/>
        </w:rPr>
        <w:t xml:space="preserve"> Los expedientes, reportes, estudios, actas</w:t>
      </w:r>
      <w:r w:rsidRPr="009F524E">
        <w:rPr>
          <w:rFonts w:ascii="Palatino Linotype" w:eastAsia="Palatino Linotype" w:hAnsi="Palatino Linotype" w:cs="Palatino Linotype"/>
          <w:b/>
          <w:i/>
          <w:sz w:val="22"/>
          <w:szCs w:val="22"/>
        </w:rPr>
        <w:t>,</w:t>
      </w:r>
      <w:r w:rsidRPr="009F524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E1AF3AC" w14:textId="77777777" w:rsidR="00367AE1" w:rsidRPr="009F524E" w:rsidRDefault="00367AE1">
      <w:pPr>
        <w:ind w:left="851" w:right="899"/>
        <w:jc w:val="both"/>
        <w:rPr>
          <w:rFonts w:ascii="Palatino Linotype" w:eastAsia="Palatino Linotype" w:hAnsi="Palatino Linotype" w:cs="Palatino Linotype"/>
          <w:sz w:val="22"/>
          <w:szCs w:val="22"/>
        </w:rPr>
      </w:pPr>
    </w:p>
    <w:p w14:paraId="0B02D8A4"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73DC62D" w14:textId="77777777" w:rsidR="00367AE1" w:rsidRPr="009F524E" w:rsidRDefault="00367AE1">
      <w:pPr>
        <w:ind w:left="851" w:right="899"/>
        <w:jc w:val="both"/>
        <w:rPr>
          <w:rFonts w:ascii="Palatino Linotype" w:eastAsia="Palatino Linotype" w:hAnsi="Palatino Linotype" w:cs="Palatino Linotype"/>
        </w:rPr>
      </w:pPr>
    </w:p>
    <w:p w14:paraId="67E86178" w14:textId="77777777" w:rsidR="00367AE1" w:rsidRPr="009F524E" w:rsidRDefault="00215203">
      <w:pPr>
        <w:ind w:left="851" w:right="899"/>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sz w:val="22"/>
          <w:szCs w:val="22"/>
        </w:rPr>
        <w:t>“</w:t>
      </w:r>
      <w:r w:rsidRPr="009F524E">
        <w:rPr>
          <w:rFonts w:ascii="Palatino Linotype" w:eastAsia="Palatino Linotype" w:hAnsi="Palatino Linotype" w:cs="Palatino Linotype"/>
          <w:b/>
          <w:i/>
          <w:sz w:val="22"/>
          <w:szCs w:val="22"/>
        </w:rPr>
        <w:t>CRITERIO 0002-11</w:t>
      </w:r>
    </w:p>
    <w:p w14:paraId="58F0307A"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F524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9F524E">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1180AA24"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00BD72F"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14AF114" w14:textId="77777777" w:rsidR="00367AE1" w:rsidRPr="009F524E" w:rsidRDefault="00215203">
      <w:pPr>
        <w:ind w:left="851" w:right="899"/>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30F5F4A" w14:textId="77777777" w:rsidR="00367AE1" w:rsidRPr="009F524E" w:rsidRDefault="00215203">
      <w:pPr>
        <w:ind w:left="851" w:right="899"/>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FC75740"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Nicolás Romero, lo siguiente</w:t>
      </w:r>
    </w:p>
    <w:p w14:paraId="3D6B0306" w14:textId="77777777" w:rsidR="00367AE1" w:rsidRPr="009F524E" w:rsidRDefault="00215203">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 Todas las </w:t>
      </w:r>
      <w:r w:rsidRPr="009F524E">
        <w:rPr>
          <w:rFonts w:ascii="Palatino Linotype" w:eastAsia="Palatino Linotype" w:hAnsi="Palatino Linotype" w:cs="Palatino Linotype"/>
          <w:b/>
          <w:u w:val="single"/>
        </w:rPr>
        <w:t xml:space="preserve">presuntas </w:t>
      </w:r>
      <w:r w:rsidRPr="009F524E">
        <w:rPr>
          <w:rFonts w:ascii="Palatino Linotype" w:eastAsia="Palatino Linotype" w:hAnsi="Palatino Linotype" w:cs="Palatino Linotype"/>
        </w:rPr>
        <w:t>faltas administrativas realizadas por los Tesoreros Municipales del año 2016 a la fecha.</w:t>
      </w:r>
    </w:p>
    <w:p w14:paraId="4D5FCFAD" w14:textId="77777777" w:rsidR="00367AE1" w:rsidRPr="009F524E" w:rsidRDefault="00215203">
      <w:pP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respuesta, el </w:t>
      </w:r>
      <w:r w:rsidRPr="009F524E">
        <w:rPr>
          <w:rFonts w:ascii="Palatino Linotype" w:eastAsia="Palatino Linotype" w:hAnsi="Palatino Linotype" w:cs="Palatino Linotype"/>
          <w:b/>
        </w:rPr>
        <w:t xml:space="preserve">SUJETO OBLIGADO </w:t>
      </w:r>
      <w:r w:rsidRPr="009F524E">
        <w:rPr>
          <w:rFonts w:ascii="Palatino Linotype" w:eastAsia="Palatino Linotype" w:hAnsi="Palatino Linotype" w:cs="Palatino Linotype"/>
        </w:rPr>
        <w:t>a través de su Órgano de Control Interno, informó que derivado de la actualización del Sistema Integral de Responsabilidades, este Órgano de Control Interno, por el momento carece de facultades para proporcionar dicha información, hasta que la Secretaría de la Contraloría del Gobierno del Estado de México; termine con las actualizaciones correspondientes</w:t>
      </w:r>
    </w:p>
    <w:p w14:paraId="6FAEF929"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No conforme con la respuesta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interpuso el recurso de revisión que se analiza en el presente asunto, por la negativa de la información solicitada.</w:t>
      </w:r>
    </w:p>
    <w:p w14:paraId="26998784"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 xml:space="preserve">Ante la interposición del recurso de revisión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fue omiso en rendir su informe justificado.</w:t>
      </w:r>
    </w:p>
    <w:p w14:paraId="6AF0A2E6"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Con base en lo precedente, se determina que la información proporcionada por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en razón de las consideraciones de derecho que a continuación se exponen:</w:t>
      </w:r>
    </w:p>
    <w:p w14:paraId="2CA64A7E" w14:textId="77777777" w:rsidR="00367AE1" w:rsidRPr="009F524E" w:rsidRDefault="00215203">
      <w:pP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De una revisión a la respuesta, si bien es cierto que el Órgano de Control Interno</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rPr>
        <w:t xml:space="preserve">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se pronunció en el sentido que derivado de la actualización del Sistema Integral de Responsabilidades, este, por el momento carece de facultades para proporcionar dicha información, hasta que la Secretaría de la Contraloría del Gobierno del Estado de México; termine con las actualizaciones correspondientes; sin embargo, dicha manifestación no es un impedimento para que la Contraloría Municipal de Nicolás Romero, deba de generar, conocer o administrar la información solicita, en razón de que en términos de lo señalado por los artículo 103 del Bando Municipal del Ayuntamiento de Nicolás Romero para el año 2023, que señala:</w:t>
      </w:r>
    </w:p>
    <w:p w14:paraId="02847DD9" w14:textId="77777777" w:rsidR="00367AE1" w:rsidRPr="009F524E" w:rsidRDefault="00215203">
      <w:pPr>
        <w:ind w:left="851" w:right="899"/>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i/>
          <w:sz w:val="22"/>
          <w:szCs w:val="22"/>
        </w:rPr>
        <w:t xml:space="preserve">“Artículo 103. </w:t>
      </w:r>
      <w:r w:rsidRPr="009F524E">
        <w:rPr>
          <w:rFonts w:ascii="Palatino Linotype" w:eastAsia="Palatino Linotype" w:hAnsi="Palatino Linotype" w:cs="Palatino Linotype"/>
          <w:b/>
          <w:i/>
          <w:sz w:val="22"/>
          <w:szCs w:val="22"/>
        </w:rPr>
        <w:t>La Contraloría Municipal tendrá a su cargo</w:t>
      </w:r>
      <w:r w:rsidRPr="009F524E">
        <w:rPr>
          <w:rFonts w:ascii="Palatino Linotype" w:eastAsia="Palatino Linotype" w:hAnsi="Palatino Linotype" w:cs="Palatino Linotype"/>
          <w:i/>
          <w:sz w:val="22"/>
          <w:szCs w:val="22"/>
        </w:rPr>
        <w:t xml:space="preserve"> la inspección, vigilancia, supervisión, control y evaluación de las funciones que por competencia realizan las dependencias de la Administración Pública Municipal y los organismos auxiliares descentralizados, desconcentrados y fideicomisos, verificando su debido funcionamiento administrativo acorde a la normatividad, planes y programas establecidos; la fiscalización de los ingresos y ejercicio del </w:t>
      </w:r>
      <w:r w:rsidRPr="009F524E">
        <w:rPr>
          <w:rFonts w:ascii="Palatino Linotype" w:eastAsia="Palatino Linotype" w:hAnsi="Palatino Linotype" w:cs="Palatino Linotype"/>
          <w:i/>
          <w:sz w:val="22"/>
          <w:szCs w:val="22"/>
        </w:rPr>
        <w:lastRenderedPageBreak/>
        <w:t>gasto público municipal y su congruencia con el presupuesto de egresos, así como la ejecución de acciones y procesos que promuevan la transparencia y rendición de cuentas</w:t>
      </w:r>
      <w:r w:rsidRPr="009F524E">
        <w:rPr>
          <w:rFonts w:ascii="Palatino Linotype" w:eastAsia="Palatino Linotype" w:hAnsi="Palatino Linotype" w:cs="Palatino Linotype"/>
          <w:b/>
          <w:i/>
          <w:sz w:val="22"/>
          <w:szCs w:val="22"/>
        </w:rPr>
        <w:t>, la prevención, investigación, substanciación, resolución y sanción de las faltas administrativas</w:t>
      </w:r>
      <w:r w:rsidRPr="009F524E">
        <w:rPr>
          <w:rFonts w:ascii="Palatino Linotype" w:eastAsia="Palatino Linotype" w:hAnsi="Palatino Linotype" w:cs="Palatino Linotype"/>
          <w:i/>
          <w:sz w:val="22"/>
          <w:szCs w:val="22"/>
        </w:rPr>
        <w:t xml:space="preserve">, sobre presuntos hechos de corrupción, </w:t>
      </w:r>
      <w:r w:rsidRPr="009F524E">
        <w:rPr>
          <w:rFonts w:ascii="Palatino Linotype" w:eastAsia="Palatino Linotype" w:hAnsi="Palatino Linotype" w:cs="Palatino Linotype"/>
          <w:b/>
          <w:i/>
          <w:sz w:val="22"/>
          <w:szCs w:val="22"/>
        </w:rPr>
        <w:t xml:space="preserve">acordes a lo señalado en la Ley de Responsabilidades Administrativas del Estado de México y Municipios. </w:t>
      </w:r>
    </w:p>
    <w:p w14:paraId="2FDC988B" w14:textId="77777777" w:rsidR="00367AE1" w:rsidRPr="009F524E" w:rsidRDefault="00215203">
      <w:pPr>
        <w:ind w:left="851" w:right="89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Las funciones del Órgano Interno de Control estarán a cargo de un titular denominado Contralor Municipal.</w:t>
      </w:r>
    </w:p>
    <w:p w14:paraId="3CD4D481" w14:textId="77777777" w:rsidR="00367AE1" w:rsidRPr="009F524E" w:rsidRDefault="00215203">
      <w:pP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La Contraloría Municipal del Ayuntamiento de Nicolás Romero, es la encargada de la investigación, substanciación, resolución y sanción de las faltas administrativas y de aquellos presuntos hechos de corrupción, con lo cual se acredita que dentro de los archivos de la Contraloría Municipal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deben constar los documentos que contienen los procedimientos por las presuntas faltas administrativas de los Tesoreros Municipales desde el año 2016 al trece de febrero del año en curso, así como aquellos que contengan la investigación, substanciación, resolución y sanción de las mismas. </w:t>
      </w:r>
    </w:p>
    <w:p w14:paraId="4BE938B2" w14:textId="77777777" w:rsidR="00367AE1" w:rsidRPr="009F524E" w:rsidRDefault="00215203">
      <w:pPr>
        <w:spacing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Por consiguiente, la respuesta careció de los principios de congruencia y exhaustividad, como refuerzo de lo anterior</w:t>
      </w:r>
      <w:r w:rsidRPr="009F524E">
        <w:rPr>
          <w:rFonts w:ascii="Palatino Linotype" w:eastAsia="Palatino Linotype" w:hAnsi="Palatino Linotype" w:cs="Palatino Linotype"/>
          <w:u w:val="single"/>
        </w:rPr>
        <w:t xml:space="preserve">, resulta crucial el Criterio 02/17, emitido por el Pleno del </w:t>
      </w:r>
      <w:r w:rsidRPr="009F524E">
        <w:rPr>
          <w:rFonts w:ascii="Palatino Linotype" w:eastAsia="Palatino Linotype" w:hAnsi="Palatino Linotype" w:cs="Palatino Linotype"/>
        </w:rPr>
        <w:t>Instituto Nacional de Transparencia y Acceso a la Información y Protección de Datos Personales, de título y texto siguientes:</w:t>
      </w:r>
    </w:p>
    <w:p w14:paraId="4D30EAB7" w14:textId="77777777" w:rsidR="00367AE1" w:rsidRPr="009F524E" w:rsidRDefault="00215203">
      <w:pPr>
        <w:spacing w:before="240" w:after="240"/>
        <w:ind w:left="567" w:right="90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F524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F524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9F524E">
        <w:rPr>
          <w:rFonts w:ascii="Palatino Linotype" w:eastAsia="Palatino Linotype" w:hAnsi="Palatino Linotype" w:cs="Palatino Linotype"/>
          <w:i/>
          <w:sz w:val="22"/>
          <w:szCs w:val="22"/>
        </w:rPr>
        <w:t xml:space="preserve">; mientras que </w:t>
      </w:r>
      <w:r w:rsidRPr="009F524E">
        <w:rPr>
          <w:rFonts w:ascii="Palatino Linotype" w:eastAsia="Palatino Linotype" w:hAnsi="Palatino Linotype" w:cs="Palatino Linotype"/>
          <w:b/>
          <w:i/>
          <w:sz w:val="22"/>
          <w:szCs w:val="22"/>
        </w:rPr>
        <w:t>la exhaustividad significa que dicha respuesta se refiera expresamente a cada uno de los puntos solicitados</w:t>
      </w:r>
      <w:r w:rsidRPr="009F524E">
        <w:rPr>
          <w:rFonts w:ascii="Palatino Linotype" w:eastAsia="Palatino Linotype" w:hAnsi="Palatino Linotype" w:cs="Palatino Linotype"/>
          <w:i/>
          <w:sz w:val="22"/>
          <w:szCs w:val="22"/>
        </w:rPr>
        <w:t xml:space="preserve">. Por lo anterior, los sujetos obligados </w:t>
      </w:r>
      <w:r w:rsidRPr="009F524E">
        <w:rPr>
          <w:rFonts w:ascii="Palatino Linotype" w:eastAsia="Palatino Linotype" w:hAnsi="Palatino Linotype" w:cs="Palatino Linotype"/>
          <w:i/>
          <w:sz w:val="22"/>
          <w:szCs w:val="22"/>
        </w:rPr>
        <w:lastRenderedPageBreak/>
        <w:t>cumplirán con los principios de congruencia y exhaustividad, cuando las respuestas que emitan guarden una relación lógica con lo solicitado y atiendan de manera puntual y expresa, cada uno de los contenidos de información.” (Sic)</w:t>
      </w:r>
    </w:p>
    <w:p w14:paraId="68A95774" w14:textId="77777777" w:rsidR="00367AE1" w:rsidRPr="009F524E" w:rsidRDefault="00367AE1">
      <w:pPr>
        <w:spacing w:line="360" w:lineRule="auto"/>
        <w:ind w:right="51"/>
        <w:jc w:val="both"/>
        <w:rPr>
          <w:rFonts w:ascii="Palatino Linotype" w:eastAsia="Palatino Linotype" w:hAnsi="Palatino Linotype" w:cs="Palatino Linotype"/>
        </w:rPr>
      </w:pPr>
    </w:p>
    <w:p w14:paraId="438CE956" w14:textId="77777777" w:rsidR="00367AE1" w:rsidRPr="009F524E" w:rsidRDefault="00215203">
      <w:pPr>
        <w:spacing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rPr>
        <w:t>En ese sentido es importante, referir que la Ley de Responsabilidades Administrativas del Estado de México y Municipios, señala como faltas administrativas graves y no graves, lo siguiente:</w:t>
      </w:r>
    </w:p>
    <w:p w14:paraId="0FE06D2D" w14:textId="77777777" w:rsidR="00367AE1" w:rsidRPr="009F524E" w:rsidRDefault="00367AE1">
      <w:pPr>
        <w:spacing w:line="360" w:lineRule="auto"/>
        <w:ind w:right="49"/>
        <w:jc w:val="both"/>
        <w:rPr>
          <w:rFonts w:ascii="Palatino Linotype" w:eastAsia="Palatino Linotype" w:hAnsi="Palatino Linotype" w:cs="Palatino Linotype"/>
        </w:rPr>
      </w:pPr>
    </w:p>
    <w:p w14:paraId="2FC8FE29" w14:textId="77777777" w:rsidR="00367AE1" w:rsidRPr="009F524E" w:rsidRDefault="00215203">
      <w:pPr>
        <w:ind w:left="567" w:right="61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“Artículo 3. Para los efectos de la presente Ley, se entenderá por:</w:t>
      </w:r>
      <w:r w:rsidRPr="009F524E">
        <w:rPr>
          <w:rFonts w:ascii="Palatino Linotype" w:eastAsia="Palatino Linotype" w:hAnsi="Palatino Linotype" w:cs="Palatino Linotype"/>
          <w:i/>
          <w:sz w:val="22"/>
          <w:szCs w:val="22"/>
        </w:rPr>
        <w:br/>
        <w:t>...</w:t>
      </w:r>
    </w:p>
    <w:p w14:paraId="4CCB482E" w14:textId="77777777" w:rsidR="00367AE1" w:rsidRPr="009F524E" w:rsidRDefault="00215203">
      <w:pPr>
        <w:ind w:left="567" w:right="61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XIII. </w:t>
      </w:r>
      <w:r w:rsidRPr="009F524E">
        <w:rPr>
          <w:rFonts w:ascii="Palatino Linotype" w:eastAsia="Palatino Linotype" w:hAnsi="Palatino Linotype" w:cs="Palatino Linotype"/>
          <w:b/>
          <w:i/>
          <w:sz w:val="22"/>
          <w:szCs w:val="22"/>
        </w:rPr>
        <w:t>Falta administrativa no grave</w:t>
      </w:r>
      <w:r w:rsidRPr="009F524E">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2D9CEC05" w14:textId="77777777" w:rsidR="00367AE1" w:rsidRPr="009F524E" w:rsidRDefault="00215203">
      <w:pPr>
        <w:ind w:left="567" w:right="61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XIV. </w:t>
      </w:r>
      <w:r w:rsidRPr="009F524E">
        <w:rPr>
          <w:rFonts w:ascii="Palatino Linotype" w:eastAsia="Palatino Linotype" w:hAnsi="Palatino Linotype" w:cs="Palatino Linotype"/>
          <w:b/>
          <w:i/>
          <w:sz w:val="22"/>
          <w:szCs w:val="22"/>
        </w:rPr>
        <w:t>Falta administrativa grave</w:t>
      </w:r>
      <w:r w:rsidRPr="009F524E">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w:t>
      </w:r>
    </w:p>
    <w:p w14:paraId="78175773" w14:textId="77777777" w:rsidR="00367AE1" w:rsidRPr="009F524E" w:rsidRDefault="00215203">
      <w:pPr>
        <w:ind w:left="567" w:right="61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3282DC9A" w14:textId="77777777" w:rsidR="00367AE1" w:rsidRPr="009F524E" w:rsidRDefault="00215203">
      <w:pPr>
        <w:ind w:left="567" w:right="618"/>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 xml:space="preserve">XIV. Falta administrativa </w:t>
      </w:r>
      <w:r w:rsidRPr="009F524E">
        <w:rPr>
          <w:rFonts w:ascii="Palatino Linotype" w:eastAsia="Palatino Linotype" w:hAnsi="Palatino Linotype" w:cs="Palatino Linotype"/>
          <w:b/>
          <w:i/>
          <w:sz w:val="22"/>
          <w:szCs w:val="22"/>
          <w:u w:val="single"/>
        </w:rPr>
        <w:t>grave:</w:t>
      </w:r>
      <w:r w:rsidRPr="009F524E">
        <w:rPr>
          <w:rFonts w:ascii="Palatino Linotype" w:eastAsia="Palatino Linotype" w:hAnsi="Palatino Linotype" w:cs="Palatino Linotype"/>
          <w:b/>
          <w:i/>
          <w:sz w:val="22"/>
          <w:szCs w:val="22"/>
        </w:rPr>
        <w:t xml:space="preserve"> </w:t>
      </w:r>
      <w:r w:rsidRPr="009F524E">
        <w:rPr>
          <w:rFonts w:ascii="Palatino Linotype" w:eastAsia="Palatino Linotype" w:hAnsi="Palatino Linotype" w:cs="Palatino Linotype"/>
          <w:i/>
          <w:sz w:val="22"/>
          <w:szCs w:val="22"/>
        </w:rPr>
        <w:t xml:space="preserve">A las faltas administrativas de los servidores públicos catalogadas como graves en los términos de la presente Ley, </w:t>
      </w:r>
      <w:r w:rsidRPr="009F524E">
        <w:rPr>
          <w:rFonts w:ascii="Palatino Linotype" w:eastAsia="Palatino Linotype" w:hAnsi="Palatino Linotype" w:cs="Palatino Linotype"/>
          <w:b/>
          <w:i/>
          <w:sz w:val="22"/>
          <w:szCs w:val="22"/>
        </w:rPr>
        <w:t>cuya sanción corresponde al Tribunal de Justicia Administrativa del Estado de México…</w:t>
      </w:r>
      <w:r w:rsidRPr="009F524E">
        <w:rPr>
          <w:rFonts w:ascii="Palatino Linotype" w:eastAsia="Palatino Linotype" w:hAnsi="Palatino Linotype" w:cs="Palatino Linotype"/>
          <w:i/>
          <w:sz w:val="22"/>
          <w:szCs w:val="22"/>
        </w:rPr>
        <w:t>" (Sic)</w:t>
      </w:r>
    </w:p>
    <w:p w14:paraId="6155C34E" w14:textId="77777777" w:rsidR="00367AE1" w:rsidRPr="009F524E" w:rsidRDefault="00367AE1">
      <w:pPr>
        <w:spacing w:line="360" w:lineRule="auto"/>
        <w:jc w:val="both"/>
        <w:rPr>
          <w:rFonts w:ascii="Palatino Linotype" w:eastAsia="Palatino Linotype" w:hAnsi="Palatino Linotype" w:cs="Palatino Linotype"/>
        </w:rPr>
      </w:pPr>
    </w:p>
    <w:p w14:paraId="32326C7E" w14:textId="77777777" w:rsidR="00367AE1" w:rsidRPr="009F524E" w:rsidRDefault="00215203">
      <w:pPr>
        <w:spacing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La Ley de mérito, también refiere que son sujetos de la misma, los servidores públicos de la administración estatal y municipal, aquellas personas que habiendo fungido como servidores públicos se encuentran en alguno de los supuestos de la Ley; asimismo, la legislación referida establece en sus artículos 50, 51 y 52, las faltas administrativas no graves y graves, respectivamente, en que pueden incurrir los servidores públicos, a saber:</w:t>
      </w:r>
    </w:p>
    <w:p w14:paraId="5378D97E" w14:textId="77777777" w:rsidR="00367AE1" w:rsidRPr="009F524E" w:rsidRDefault="00215203">
      <w:pPr>
        <w:pBdr>
          <w:top w:val="nil"/>
          <w:left w:val="nil"/>
          <w:bottom w:val="nil"/>
          <w:right w:val="nil"/>
          <w:between w:val="nil"/>
        </w:pBdr>
        <w:spacing w:before="280"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Artículo 50. Incurre en falta administrativa no grave</w:t>
      </w:r>
      <w:r w:rsidRPr="009F524E">
        <w:rPr>
          <w:rFonts w:ascii="Palatino Linotype" w:eastAsia="Palatino Linotype" w:hAnsi="Palatino Linotype" w:cs="Palatino Linotype"/>
          <w:i/>
          <w:sz w:val="22"/>
          <w:szCs w:val="22"/>
        </w:rPr>
        <w:t xml:space="preserve">, el servidor público que con sus actos u omisiones, incumpla o transgreda las obligaciones siguientes: </w:t>
      </w:r>
    </w:p>
    <w:p w14:paraId="5E3C87B2"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lastRenderedPageBreak/>
        <w:t>I.</w:t>
      </w:r>
      <w:r w:rsidRPr="009F524E">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532E9819"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II.</w:t>
      </w:r>
      <w:r w:rsidRPr="009F524E">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14:paraId="3D8DC828"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III.</w:t>
      </w:r>
      <w:r w:rsidRPr="009F524E">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w:t>
      </w:r>
    </w:p>
    <w:p w14:paraId="03446E8B"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caso de recibir instrucción o encomienda contraria a dichas disposiciones, deberá denunciar esta circunstancia en términos del artículo 95 de la presente Ley.</w:t>
      </w:r>
    </w:p>
    <w:p w14:paraId="73516CF6"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IV.</w:t>
      </w:r>
      <w:r w:rsidRPr="009F524E">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14:paraId="15CE087E"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w:t>
      </w:r>
      <w:r w:rsidRPr="009F524E">
        <w:rPr>
          <w:rFonts w:ascii="Palatino Linotype" w:eastAsia="Palatino Linotype" w:hAnsi="Palatino Linotype" w:cs="Palatino Linotype"/>
          <w:i/>
          <w:sz w:val="22"/>
          <w:szCs w:val="22"/>
        </w:rPr>
        <w:t xml:space="preserve"> Rendir cuentas sobre el ejercicio de las funciones, en términos de las normas aplicables. </w:t>
      </w:r>
    </w:p>
    <w:p w14:paraId="1C287C34"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w:t>
      </w:r>
      <w:r w:rsidRPr="009F524E">
        <w:rPr>
          <w:rFonts w:ascii="Palatino Linotype" w:eastAsia="Palatino Linotype" w:hAnsi="Palatino Linotype" w:cs="Palatino Linotype"/>
          <w:i/>
          <w:sz w:val="22"/>
          <w:szCs w:val="22"/>
        </w:rPr>
        <w:t xml:space="preserve"> Colaborar en los procedimientos judiciales y administrativos en los que sea parte. </w:t>
      </w:r>
    </w:p>
    <w:p w14:paraId="583193BB"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w:t>
      </w:r>
      <w:r w:rsidRPr="009F524E">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00FD59A9"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w:t>
      </w:r>
    </w:p>
    <w:p w14:paraId="12654B04"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w:t>
      </w:r>
      <w:r w:rsidRPr="009F524E">
        <w:rPr>
          <w:rFonts w:ascii="Palatino Linotype" w:eastAsia="Palatino Linotype" w:hAnsi="Palatino Linotype" w:cs="Palatino Linotype"/>
          <w:i/>
          <w:sz w:val="22"/>
          <w:szCs w:val="22"/>
        </w:rPr>
        <w:lastRenderedPageBreak/>
        <w:t xml:space="preserve">administración o por cualquier otro medio tengan facultades de tomar las decisiones fundamentales de dichas personas jurídicas colectivas. </w:t>
      </w:r>
    </w:p>
    <w:p w14:paraId="52FB88C8"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VIII.</w:t>
      </w:r>
      <w:r w:rsidRPr="009F524E">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16BB4C12"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IX.</w:t>
      </w:r>
      <w:r w:rsidRPr="009F524E">
        <w:rPr>
          <w:rFonts w:ascii="Palatino Linotype" w:eastAsia="Palatino Linotype" w:hAnsi="Palatino Linotype" w:cs="Palatino Linotype"/>
          <w:i/>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2A61FD72"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w:t>
      </w:r>
      <w:r w:rsidRPr="009F524E">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14:paraId="0C44CD04"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w:t>
      </w:r>
      <w:r w:rsidRPr="009F524E">
        <w:rPr>
          <w:rFonts w:ascii="Palatino Linotype" w:eastAsia="Palatino Linotype" w:hAnsi="Palatino Linotype" w:cs="Palatino Linotype"/>
          <w:i/>
          <w:sz w:val="22"/>
          <w:szCs w:val="22"/>
        </w:rPr>
        <w:t xml:space="preserve"> Observar un trato respetuoso con sus subalternos. </w:t>
      </w:r>
    </w:p>
    <w:p w14:paraId="4679DAAF"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XII.</w:t>
      </w:r>
      <w:r w:rsidRPr="009F524E">
        <w:rPr>
          <w:rFonts w:ascii="Palatino Linotype" w:eastAsia="Palatino Linotype" w:hAnsi="Palatino Linotype" w:cs="Palatino Linotype"/>
          <w:i/>
          <w:sz w:val="22"/>
          <w:szCs w:val="22"/>
        </w:rPr>
        <w:t xml:space="preserve"> Supervisar que los servidores públicos sujetos a su dirección, cumplan con las disposiciones de esta Ley. </w:t>
      </w:r>
    </w:p>
    <w:p w14:paraId="4BC7494F"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XIII.</w:t>
      </w:r>
      <w:r w:rsidRPr="009F524E">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37543E75"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XIV.</w:t>
      </w:r>
      <w:r w:rsidRPr="009F524E">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35ECD16A"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XV.</w:t>
      </w:r>
      <w:r w:rsidRPr="009F524E">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592AB137"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XVI.</w:t>
      </w:r>
      <w:r w:rsidRPr="009F524E">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 </w:t>
      </w:r>
    </w:p>
    <w:p w14:paraId="55DD5F6C"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XVII.</w:t>
      </w:r>
      <w:r w:rsidRPr="009F524E">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14:paraId="28A2A746"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XVIII.</w:t>
      </w:r>
      <w:r w:rsidRPr="009F524E">
        <w:rPr>
          <w:rFonts w:ascii="Palatino Linotype" w:eastAsia="Palatino Linotype" w:hAnsi="Palatino Linotype" w:cs="Palatino Linotype"/>
          <w:i/>
          <w:sz w:val="22"/>
          <w:szCs w:val="22"/>
        </w:rPr>
        <w:t xml:space="preserve"> Cumplir oportunamente con los laudos que dicte el Tribunal Estatal de Conciliación y Arbitraje o cualquier de las Salas Auxiliares del mismo, así como pagar el monto de las indemnizaciones y demás prestaciones a que tenga derecho el servidor público, y </w:t>
      </w:r>
    </w:p>
    <w:p w14:paraId="02F7F7A2"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XIX.</w:t>
      </w:r>
      <w:r w:rsidRPr="009F524E">
        <w:rPr>
          <w:rFonts w:ascii="Palatino Linotype" w:eastAsia="Palatino Linotype" w:hAnsi="Palatino Linotype" w:cs="Palatino Linotype"/>
          <w:i/>
          <w:sz w:val="22"/>
          <w:szCs w:val="22"/>
        </w:rPr>
        <w:t xml:space="preserve"> Las demás que le impongan las leyes, reglamentos o disposiciones administrativas aplicables. </w:t>
      </w:r>
    </w:p>
    <w:p w14:paraId="7DE3B519" w14:textId="77777777" w:rsidR="00367AE1" w:rsidRPr="009F524E" w:rsidRDefault="00367AE1">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p>
    <w:p w14:paraId="23A78994"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51.</w:t>
      </w:r>
      <w:r w:rsidRPr="009F524E">
        <w:rPr>
          <w:rFonts w:ascii="Palatino Linotype" w:eastAsia="Palatino Linotype" w:hAnsi="Palatino Linotype" w:cs="Palatino Linotype"/>
          <w:i/>
          <w:sz w:val="22"/>
          <w:szCs w:val="22"/>
        </w:rPr>
        <w:t xml:space="preserve"> También se considerará </w:t>
      </w:r>
      <w:r w:rsidRPr="009F524E">
        <w:rPr>
          <w:rFonts w:ascii="Palatino Linotype" w:eastAsia="Palatino Linotype" w:hAnsi="Palatino Linotype" w:cs="Palatino Linotype"/>
          <w:b/>
          <w:i/>
          <w:sz w:val="22"/>
          <w:szCs w:val="22"/>
        </w:rPr>
        <w:t>falta administrativa no grave</w:t>
      </w:r>
      <w:r w:rsidRPr="009F524E">
        <w:rPr>
          <w:rFonts w:ascii="Palatino Linotype" w:eastAsia="Palatino Linotype" w:hAnsi="Palatino Linotype" w:cs="Palatino Linotype"/>
          <w:i/>
          <w:sz w:val="22"/>
          <w:szCs w:val="22"/>
        </w:rPr>
        <w:t xml:space="preserve">, los daños y perjuicios que, de manera culposa o negligente y sin incurrir en alguna de las faltas administrativas graves señaladas en el Capítulo siguiente, cause un servidor público a la Hacienda Pública o al patrimonio de un ente público. </w:t>
      </w:r>
    </w:p>
    <w:p w14:paraId="6D55C928"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14:paraId="0F12EDEF"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14:paraId="643E9A9A"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La autoridad resolutora podrá abstenerse de imponer la sanción que corresponda conforme al artículo 79 de esta Ley cuando el daño o perjuicio a la Hacienda Pública Estatal o Municipal o al patrimonio de los entes públicos no exceda de dos mil veces el valor diario de la unidad de medida y actualización y el daño haya sido resarcido o recuperado.</w:t>
      </w:r>
    </w:p>
    <w:p w14:paraId="50BDE94D" w14:textId="77777777" w:rsidR="00367AE1" w:rsidRPr="009F524E" w:rsidRDefault="00367AE1">
      <w:pPr>
        <w:pBdr>
          <w:top w:val="nil"/>
          <w:left w:val="nil"/>
          <w:bottom w:val="nil"/>
          <w:right w:val="nil"/>
          <w:between w:val="nil"/>
        </w:pBdr>
        <w:spacing w:line="276" w:lineRule="auto"/>
        <w:ind w:left="851" w:right="567"/>
        <w:jc w:val="both"/>
        <w:rPr>
          <w:rFonts w:ascii="Palatino Linotype" w:eastAsia="Palatino Linotype" w:hAnsi="Palatino Linotype" w:cs="Palatino Linotype"/>
          <w:b/>
          <w:i/>
          <w:sz w:val="22"/>
          <w:szCs w:val="22"/>
        </w:rPr>
      </w:pPr>
    </w:p>
    <w:p w14:paraId="20AC0345"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52.</w:t>
      </w:r>
      <w:r w:rsidRPr="009F524E">
        <w:rPr>
          <w:rFonts w:ascii="Palatino Linotype" w:eastAsia="Palatino Linotype" w:hAnsi="Palatino Linotype" w:cs="Palatino Linotype"/>
          <w:i/>
          <w:sz w:val="22"/>
          <w:szCs w:val="22"/>
        </w:rPr>
        <w:t xml:space="preserve"> Para efectos de la presente Ley, se consideran </w:t>
      </w:r>
      <w:r w:rsidRPr="009F524E">
        <w:rPr>
          <w:rFonts w:ascii="Palatino Linotype" w:eastAsia="Palatino Linotype" w:hAnsi="Palatino Linotype" w:cs="Palatino Linotype"/>
          <w:b/>
          <w:i/>
          <w:sz w:val="22"/>
          <w:szCs w:val="22"/>
        </w:rPr>
        <w:t>faltas administrativas graves</w:t>
      </w:r>
      <w:r w:rsidRPr="009F524E">
        <w:rPr>
          <w:rFonts w:ascii="Palatino Linotype" w:eastAsia="Palatino Linotype" w:hAnsi="Palatino Linotype" w:cs="Palatino Linotype"/>
          <w:i/>
          <w:sz w:val="22"/>
          <w:szCs w:val="22"/>
        </w:rPr>
        <w:t xml:space="preserve"> de los servidores públicos, mediante cualquier acto u omisión, las siguientes: </w:t>
      </w:r>
    </w:p>
    <w:p w14:paraId="02062ECF"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w:t>
      </w:r>
      <w:r w:rsidRPr="009F524E">
        <w:rPr>
          <w:rFonts w:ascii="Palatino Linotype" w:eastAsia="Palatino Linotype" w:hAnsi="Palatino Linotype" w:cs="Palatino Linotype"/>
          <w:i/>
          <w:sz w:val="22"/>
          <w:szCs w:val="22"/>
        </w:rPr>
        <w:t xml:space="preserve"> El cohecho. </w:t>
      </w:r>
    </w:p>
    <w:p w14:paraId="423E6C47"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II.</w:t>
      </w:r>
      <w:r w:rsidRPr="009F524E">
        <w:rPr>
          <w:rFonts w:ascii="Palatino Linotype" w:eastAsia="Palatino Linotype" w:hAnsi="Palatino Linotype" w:cs="Palatino Linotype"/>
          <w:i/>
          <w:sz w:val="22"/>
          <w:szCs w:val="22"/>
        </w:rPr>
        <w:t xml:space="preserve"> El peculado. </w:t>
      </w:r>
    </w:p>
    <w:p w14:paraId="6FCCB8A8"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III.</w:t>
      </w:r>
      <w:r w:rsidRPr="009F524E">
        <w:rPr>
          <w:rFonts w:ascii="Palatino Linotype" w:eastAsia="Palatino Linotype" w:hAnsi="Palatino Linotype" w:cs="Palatino Linotype"/>
          <w:i/>
          <w:sz w:val="22"/>
          <w:szCs w:val="22"/>
        </w:rPr>
        <w:t xml:space="preserve"> El desvío de recursos públicos. </w:t>
      </w:r>
    </w:p>
    <w:p w14:paraId="1BD50636"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IV.</w:t>
      </w:r>
      <w:r w:rsidRPr="009F524E">
        <w:rPr>
          <w:rFonts w:ascii="Palatino Linotype" w:eastAsia="Palatino Linotype" w:hAnsi="Palatino Linotype" w:cs="Palatino Linotype"/>
          <w:i/>
          <w:sz w:val="22"/>
          <w:szCs w:val="22"/>
        </w:rPr>
        <w:t xml:space="preserve"> La utilización indebida de información. </w:t>
      </w:r>
    </w:p>
    <w:p w14:paraId="565BFEC9"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w:t>
      </w:r>
      <w:r w:rsidRPr="009F524E">
        <w:rPr>
          <w:rFonts w:ascii="Palatino Linotype" w:eastAsia="Palatino Linotype" w:hAnsi="Palatino Linotype" w:cs="Palatino Linotype"/>
          <w:i/>
          <w:sz w:val="22"/>
          <w:szCs w:val="22"/>
        </w:rPr>
        <w:t xml:space="preserve"> El abuso de funciones. </w:t>
      </w:r>
    </w:p>
    <w:p w14:paraId="224A5590"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w:t>
      </w:r>
      <w:r w:rsidRPr="009F524E">
        <w:rPr>
          <w:rFonts w:ascii="Palatino Linotype" w:eastAsia="Palatino Linotype" w:hAnsi="Palatino Linotype" w:cs="Palatino Linotype"/>
          <w:i/>
          <w:sz w:val="22"/>
          <w:szCs w:val="22"/>
        </w:rPr>
        <w:t xml:space="preserve"> Cometer o tolerar conductas de hostigamiento y acoso sexual. </w:t>
      </w:r>
    </w:p>
    <w:p w14:paraId="18C14869"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w:t>
      </w:r>
      <w:r w:rsidRPr="009F524E">
        <w:rPr>
          <w:rFonts w:ascii="Palatino Linotype" w:eastAsia="Palatino Linotype" w:hAnsi="Palatino Linotype" w:cs="Palatino Linotype"/>
          <w:i/>
          <w:sz w:val="22"/>
          <w:szCs w:val="22"/>
        </w:rPr>
        <w:t xml:space="preserve"> El actuar bajo conflicto de interés. </w:t>
      </w:r>
    </w:p>
    <w:p w14:paraId="4A03A87B"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VIII.</w:t>
      </w:r>
      <w:r w:rsidRPr="009F524E">
        <w:rPr>
          <w:rFonts w:ascii="Palatino Linotype" w:eastAsia="Palatino Linotype" w:hAnsi="Palatino Linotype" w:cs="Palatino Linotype"/>
          <w:i/>
          <w:sz w:val="22"/>
          <w:szCs w:val="22"/>
        </w:rPr>
        <w:t xml:space="preserve"> La contratación indebida. </w:t>
      </w:r>
    </w:p>
    <w:p w14:paraId="09634357"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IX.</w:t>
      </w:r>
      <w:r w:rsidRPr="009F524E">
        <w:rPr>
          <w:rFonts w:ascii="Palatino Linotype" w:eastAsia="Palatino Linotype" w:hAnsi="Palatino Linotype" w:cs="Palatino Linotype"/>
          <w:i/>
          <w:sz w:val="22"/>
          <w:szCs w:val="22"/>
        </w:rPr>
        <w:t xml:space="preserve"> El enriquecimiento oculto u ocultamiento de conflicto de interés. </w:t>
      </w:r>
    </w:p>
    <w:p w14:paraId="401B0D1D"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w:t>
      </w:r>
      <w:r w:rsidRPr="009F524E">
        <w:rPr>
          <w:rFonts w:ascii="Palatino Linotype" w:eastAsia="Palatino Linotype" w:hAnsi="Palatino Linotype" w:cs="Palatino Linotype"/>
          <w:i/>
          <w:sz w:val="22"/>
          <w:szCs w:val="22"/>
        </w:rPr>
        <w:t xml:space="preserve"> El tráfico de influencias. </w:t>
      </w:r>
    </w:p>
    <w:p w14:paraId="68D2E753"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w:t>
      </w:r>
      <w:r w:rsidRPr="009F524E">
        <w:rPr>
          <w:rFonts w:ascii="Palatino Linotype" w:eastAsia="Palatino Linotype" w:hAnsi="Palatino Linotype" w:cs="Palatino Linotype"/>
          <w:i/>
          <w:sz w:val="22"/>
          <w:szCs w:val="22"/>
        </w:rPr>
        <w:t xml:space="preserve"> El encubrimiento. </w:t>
      </w:r>
    </w:p>
    <w:p w14:paraId="7E015A87" w14:textId="77777777" w:rsidR="00367AE1" w:rsidRPr="009F524E" w:rsidRDefault="00215203">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XII.</w:t>
      </w:r>
      <w:r w:rsidRPr="009F524E">
        <w:rPr>
          <w:rFonts w:ascii="Palatino Linotype" w:eastAsia="Palatino Linotype" w:hAnsi="Palatino Linotype" w:cs="Palatino Linotype"/>
          <w:i/>
          <w:sz w:val="22"/>
          <w:szCs w:val="22"/>
        </w:rPr>
        <w:t xml:space="preserve"> El desacato. </w:t>
      </w:r>
    </w:p>
    <w:p w14:paraId="14FAE528" w14:textId="77777777" w:rsidR="00367AE1" w:rsidRPr="009F524E" w:rsidRDefault="00215203">
      <w:pPr>
        <w:pBdr>
          <w:top w:val="nil"/>
          <w:left w:val="nil"/>
          <w:bottom w:val="nil"/>
          <w:right w:val="nil"/>
          <w:between w:val="nil"/>
        </w:pBdr>
        <w:spacing w:after="280" w:line="276" w:lineRule="auto"/>
        <w:ind w:left="851" w:right="567"/>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XIII.</w:t>
      </w:r>
      <w:r w:rsidRPr="009F524E">
        <w:rPr>
          <w:rFonts w:ascii="Palatino Linotype" w:eastAsia="Palatino Linotype" w:hAnsi="Palatino Linotype" w:cs="Palatino Linotype"/>
          <w:i/>
          <w:sz w:val="22"/>
          <w:szCs w:val="22"/>
        </w:rPr>
        <w:t xml:space="preserve"> La obstrucción de la Justicia</w:t>
      </w:r>
    </w:p>
    <w:p w14:paraId="7835E999"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Con lo anterior ha quedado demostrado que el Ayuntamiento de Nicolás Romero a través de su Contraloría Municipal, es competente para conocer la información de mérito, en caso de haberse generado, sin embargo no debe perderse de vista que la información que se solicita lo e</w:t>
      </w:r>
      <w:r w:rsidRPr="009F524E">
        <w:rPr>
          <w:rFonts w:ascii="Palatino Linotype" w:eastAsia="Palatino Linotype" w:hAnsi="Palatino Linotype" w:cs="Palatino Linotype"/>
          <w:b/>
        </w:rPr>
        <w:t>s específicamente de Tesoreros Municipales,</w:t>
      </w:r>
      <w:r w:rsidRPr="009F524E">
        <w:rPr>
          <w:rFonts w:ascii="Palatino Linotype" w:eastAsia="Palatino Linotype" w:hAnsi="Palatino Linotype" w:cs="Palatino Linotype"/>
        </w:rPr>
        <w:t xml:space="preserve"> por lo que es necesario analizar si procede entregar el pronunciamiento respecto a la existencia o no de presuntas faltas administrativas, conforme a lo siguiente:</w:t>
      </w:r>
    </w:p>
    <w:p w14:paraId="474F8A05" w14:textId="77777777" w:rsidR="00367AE1" w:rsidRPr="009F524E" w:rsidRDefault="0021520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Ahora bien, de un análisis de la solicitud de acceso a la información pública se advierte que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solicita información de procedimiento en trámite en los que aún no ha quedado firme la determinación de la responsabilidad, ya que pide información sobre presunta responsabilidad. </w:t>
      </w:r>
    </w:p>
    <w:p w14:paraId="516EA9F9" w14:textId="77777777" w:rsidR="00367AE1" w:rsidRPr="009F524E" w:rsidRDefault="00367AE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1D7B8C3A"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efecto, como se advierte del contenido de la solicitud de información la particular pretende acceder a información relacionada con procedimientos administrativos en trámite, pues pide conocer las </w:t>
      </w:r>
      <w:r w:rsidRPr="009F524E">
        <w:rPr>
          <w:rFonts w:ascii="Palatino Linotype" w:eastAsia="Palatino Linotype" w:hAnsi="Palatino Linotype" w:cs="Palatino Linotype"/>
          <w:b/>
          <w:u w:val="single"/>
        </w:rPr>
        <w:t>presuntas faltas</w:t>
      </w:r>
      <w:r w:rsidRPr="009F524E">
        <w:rPr>
          <w:rFonts w:ascii="Palatino Linotype" w:eastAsia="Palatino Linotype" w:hAnsi="Palatino Linotype" w:cs="Palatino Linotype"/>
        </w:rPr>
        <w:t xml:space="preserve"> administrativas cometidas por los Tesoreros Municipales desde el primero de enero del año dos mil dieciséis al trece de febrero del año dos mil veintitrés, lo que hace identificable a los mismos dependiendo la administración pública que correspondió el Ayuntamiento de Nicolás Romero como lo fue 2016-2018, 2019-2021 y lo que va del año dos mil veintitrés la correspondiente al 2022-2024, como se observa en las siguientes imágenes sustraídas de la página oficial de la Información Pública de Oficio Mexiquense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que se insertan a continuación de manera de ejemplo:</w:t>
      </w:r>
    </w:p>
    <w:p w14:paraId="27BF4D96" w14:textId="77777777" w:rsidR="00367AE1" w:rsidRPr="009F524E" w:rsidRDefault="00367AE1">
      <w:pPr>
        <w:spacing w:line="360" w:lineRule="auto"/>
        <w:ind w:right="51"/>
        <w:jc w:val="both"/>
      </w:pPr>
    </w:p>
    <w:p w14:paraId="71103607"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noProof/>
          <w:lang w:val="es-MX"/>
        </w:rPr>
        <w:lastRenderedPageBreak/>
        <w:drawing>
          <wp:inline distT="0" distB="0" distL="0" distR="0" wp14:anchorId="0DDF0D3D" wp14:editId="410B8FE3">
            <wp:extent cx="5507000" cy="2239016"/>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498" t="34122" r="38109" b="22668"/>
                    <a:stretch>
                      <a:fillRect/>
                    </a:stretch>
                  </pic:blipFill>
                  <pic:spPr>
                    <a:xfrm>
                      <a:off x="0" y="0"/>
                      <a:ext cx="5507000" cy="2239016"/>
                    </a:xfrm>
                    <a:prstGeom prst="rect">
                      <a:avLst/>
                    </a:prstGeom>
                    <a:ln/>
                  </pic:spPr>
                </pic:pic>
              </a:graphicData>
            </a:graphic>
          </wp:inline>
        </w:drawing>
      </w:r>
    </w:p>
    <w:p w14:paraId="15F58FC6" w14:textId="77777777" w:rsidR="00367AE1" w:rsidRPr="009F524E" w:rsidRDefault="00367AE1">
      <w:pPr>
        <w:spacing w:line="360" w:lineRule="auto"/>
        <w:ind w:right="51"/>
        <w:jc w:val="both"/>
        <w:rPr>
          <w:rFonts w:ascii="Palatino Linotype" w:eastAsia="Palatino Linotype" w:hAnsi="Palatino Linotype" w:cs="Palatino Linotype"/>
        </w:rPr>
      </w:pPr>
    </w:p>
    <w:p w14:paraId="089961B2" w14:textId="77777777" w:rsidR="00367AE1" w:rsidRPr="009F524E" w:rsidRDefault="00367AE1">
      <w:pPr>
        <w:spacing w:line="360" w:lineRule="auto"/>
        <w:ind w:right="51"/>
        <w:jc w:val="both"/>
      </w:pPr>
    </w:p>
    <w:p w14:paraId="7F459711"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noProof/>
          <w:lang w:val="es-MX"/>
        </w:rPr>
        <w:drawing>
          <wp:inline distT="0" distB="0" distL="0" distR="0" wp14:anchorId="739BD02D" wp14:editId="3B8E50F3">
            <wp:extent cx="5512689" cy="278237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0096" t="25947" r="37223" b="12364"/>
                    <a:stretch>
                      <a:fillRect/>
                    </a:stretch>
                  </pic:blipFill>
                  <pic:spPr>
                    <a:xfrm>
                      <a:off x="0" y="0"/>
                      <a:ext cx="5512689" cy="2782375"/>
                    </a:xfrm>
                    <a:prstGeom prst="rect">
                      <a:avLst/>
                    </a:prstGeom>
                    <a:ln/>
                  </pic:spPr>
                </pic:pic>
              </a:graphicData>
            </a:graphic>
          </wp:inline>
        </w:drawing>
      </w:r>
    </w:p>
    <w:p w14:paraId="2BC16A3A" w14:textId="77777777" w:rsidR="00367AE1" w:rsidRPr="009F524E" w:rsidRDefault="00367AE1">
      <w:pPr>
        <w:spacing w:line="360" w:lineRule="auto"/>
        <w:ind w:right="51"/>
        <w:jc w:val="both"/>
        <w:rPr>
          <w:rFonts w:ascii="Palatino Linotype" w:eastAsia="Palatino Linotype" w:hAnsi="Palatino Linotype" w:cs="Palatino Linotype"/>
        </w:rPr>
      </w:pPr>
    </w:p>
    <w:p w14:paraId="36150112" w14:textId="77777777" w:rsidR="00367AE1" w:rsidRPr="009F524E" w:rsidRDefault="00215203">
      <w:pPr>
        <w:spacing w:line="360" w:lineRule="auto"/>
        <w:ind w:right="51"/>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En este sentido, se procede al análisis </w:t>
      </w:r>
      <w:r w:rsidRPr="009F524E">
        <w:rPr>
          <w:rFonts w:ascii="Palatino Linotype" w:eastAsia="Palatino Linotype" w:hAnsi="Palatino Linotype" w:cs="Palatino Linotype"/>
          <w:b/>
        </w:rPr>
        <w:t>del procedimiento de responsabilidad en trámite:</w:t>
      </w:r>
    </w:p>
    <w:p w14:paraId="5ED6ECC0"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principio es de señalar que de la interpretación de la solicitud de información se advierte que la persona solicitante requiere información de los procedimientos </w:t>
      </w:r>
      <w:r w:rsidRPr="009F524E">
        <w:rPr>
          <w:rFonts w:ascii="Palatino Linotype" w:eastAsia="Palatino Linotype" w:hAnsi="Palatino Linotype" w:cs="Palatino Linotype"/>
        </w:rPr>
        <w:lastRenderedPageBreak/>
        <w:t xml:space="preserve">pendientes, es decir, aquellos que no han concluido o no han quedado firmes, siendo necesario mencionar que el realizar un pronunciamiento sobre la existencia de un procedimiento de posibles responsabilidades en trámite, podría afectar a los posibles responsables identificados en el presente caso, </w:t>
      </w:r>
      <w:r w:rsidRPr="009F524E">
        <w:rPr>
          <w:rFonts w:ascii="Palatino Linotype" w:eastAsia="Palatino Linotype" w:hAnsi="Palatino Linotype" w:cs="Palatino Linotype"/>
          <w:b/>
          <w:u w:val="single"/>
        </w:rPr>
        <w:t>ya que se daría a conocer la existencia de una investigación en su contra, lo cual, generaría una percepción negativa de estos, sin que se hubiere probado su responsabilidad o culpabilidad, lo cual dañaría, su honor y su derecho a la presunción inocencia e inclusive su actividad profesional, pues aún no se juntan los elementos necesarios para iniciar la segunda etapa del procedimiento</w:t>
      </w:r>
      <w:r w:rsidRPr="009F524E">
        <w:rPr>
          <w:rFonts w:ascii="Palatino Linotype" w:eastAsia="Palatino Linotype" w:hAnsi="Palatino Linotype" w:cs="Palatino Linotype"/>
        </w:rPr>
        <w:t>.</w:t>
      </w:r>
    </w:p>
    <w:p w14:paraId="76455A16"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14:paraId="5D9E041D"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Respecto del </w:t>
      </w:r>
      <w:r w:rsidRPr="009F524E">
        <w:rPr>
          <w:rFonts w:ascii="Palatino Linotype" w:eastAsia="Palatino Linotype" w:hAnsi="Palatino Linotype" w:cs="Palatino Linotype"/>
          <w:b/>
        </w:rPr>
        <w:t>derecho a la privacidad</w:t>
      </w:r>
      <w:r w:rsidRPr="009F524E">
        <w:rPr>
          <w:rFonts w:ascii="Palatino Linotype" w:eastAsia="Palatino Linotype" w:hAnsi="Palatino Linotype" w:cs="Palatino Linotype"/>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1210ABC6" w14:textId="77777777" w:rsidR="00367AE1" w:rsidRPr="009F524E" w:rsidRDefault="00215203">
      <w:pPr>
        <w:tabs>
          <w:tab w:val="left" w:pos="3962"/>
        </w:tabs>
        <w:spacing w:before="120" w:after="120"/>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9F524E">
        <w:rPr>
          <w:rFonts w:ascii="Palatino Linotype" w:eastAsia="Palatino Linotype" w:hAnsi="Palatino Linotype" w:cs="Palatino Linotype"/>
          <w:i/>
          <w:sz w:val="22"/>
          <w:szCs w:val="22"/>
        </w:rPr>
        <w:t xml:space="preserve">. Dicho numeral establece, en general, la garantía de seguridad jurídica de todo gobernado a no ser molestado en su persona, familia, papeles o posesiones, sino cuando medie mandato de autoridad competente debidamente fundado y motivado, de lo que </w:t>
      </w:r>
      <w:r w:rsidRPr="009F524E">
        <w:rPr>
          <w:rFonts w:ascii="Palatino Linotype" w:eastAsia="Palatino Linotype" w:hAnsi="Palatino Linotype" w:cs="Palatino Linotype"/>
          <w:i/>
          <w:sz w:val="22"/>
          <w:szCs w:val="22"/>
        </w:rPr>
        <w:lastRenderedPageBreak/>
        <w:t>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249A793D"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5529D660"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41120A13" w14:textId="77777777" w:rsidR="00367AE1" w:rsidRPr="009F524E" w:rsidRDefault="00215203">
      <w:pPr>
        <w:tabs>
          <w:tab w:val="left" w:pos="3962"/>
        </w:tabs>
        <w:spacing w:line="360" w:lineRule="auto"/>
        <w:jc w:val="both"/>
        <w:rPr>
          <w:rFonts w:ascii="Palatino Linotype" w:eastAsia="Palatino Linotype" w:hAnsi="Palatino Linotype" w:cs="Palatino Linotype"/>
          <w:sz w:val="22"/>
          <w:szCs w:val="22"/>
        </w:rPr>
      </w:pPr>
      <w:r w:rsidRPr="009F524E">
        <w:rPr>
          <w:rFonts w:ascii="Palatino Linotype" w:eastAsia="Palatino Linotype" w:hAnsi="Palatino Linotype" w:cs="Palatino Linotype"/>
        </w:rPr>
        <w:t xml:space="preserve">Por lo que hace al </w:t>
      </w:r>
      <w:r w:rsidRPr="009F524E">
        <w:rPr>
          <w:rFonts w:ascii="Palatino Linotype" w:eastAsia="Palatino Linotype" w:hAnsi="Palatino Linotype" w:cs="Palatino Linotype"/>
          <w:b/>
        </w:rPr>
        <w:t>derecho al honor</w:t>
      </w:r>
      <w:r w:rsidRPr="009F524E">
        <w:rPr>
          <w:rFonts w:ascii="Palatino Linotype" w:eastAsia="Palatino Linotype" w:hAnsi="Palatino Linotype" w:cs="Palatino Linotype"/>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6C1955A3" w14:textId="77777777" w:rsidR="00367AE1" w:rsidRPr="009F524E" w:rsidRDefault="00215203">
      <w:pPr>
        <w:spacing w:before="120" w:after="120"/>
        <w:ind w:left="851" w:right="902"/>
        <w:jc w:val="both"/>
        <w:rPr>
          <w:rFonts w:ascii="Palatino Linotype" w:eastAsia="Palatino Linotype" w:hAnsi="Palatino Linotype" w:cs="Palatino Linotype"/>
          <w:i/>
        </w:rPr>
      </w:pPr>
      <w:r w:rsidRPr="009F524E">
        <w:rPr>
          <w:rFonts w:ascii="Palatino Linotype" w:eastAsia="Palatino Linotype" w:hAnsi="Palatino Linotype" w:cs="Palatino Linotype"/>
          <w:b/>
          <w:i/>
          <w:sz w:val="22"/>
          <w:szCs w:val="22"/>
        </w:rPr>
        <w:lastRenderedPageBreak/>
        <w:t xml:space="preserve">“DERECHO FUNDAMENTAL AL HONOR. SU DIMENSIÓN SUBJETIVA Y OBJETIVA. </w:t>
      </w:r>
      <w:r w:rsidRPr="009F524E">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9F524E">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9F524E">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22F74D25"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Como se observa, el honor es el concepto que la persona tiene de sí misma o que los demás se han formado de ella, en virtud de su proceder o de la expresión de su calidad ética y social. </w:t>
      </w:r>
    </w:p>
    <w:p w14:paraId="045752E5"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9F524E">
        <w:rPr>
          <w:rFonts w:ascii="Palatino Linotype" w:eastAsia="Palatino Linotype" w:hAnsi="Palatino Linotype" w:cs="Palatino Linotype"/>
          <w:b/>
        </w:rPr>
        <w:t>En el aspecto objetivo, el honor es lesionado por todo aquello que afecta a la reputación que la persona merece.</w:t>
      </w:r>
    </w:p>
    <w:p w14:paraId="2513D57D"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04F1DC07" w14:textId="77777777" w:rsidR="00367AE1" w:rsidRPr="009F524E" w:rsidRDefault="00215203">
      <w:pPr>
        <w:tabs>
          <w:tab w:val="left" w:pos="7938"/>
        </w:tabs>
        <w:spacing w:before="120" w:after="120" w:line="276" w:lineRule="auto"/>
        <w:ind w:left="851" w:right="902"/>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9F524E">
        <w:rPr>
          <w:rFonts w:ascii="Palatino Linotype" w:eastAsia="Palatino Linotype" w:hAnsi="Palatino Linotype" w:cs="Palatino Linotype"/>
          <w:i/>
          <w:sz w:val="22"/>
          <w:szCs w:val="22"/>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9F524E">
        <w:rPr>
          <w:rFonts w:ascii="Palatino Linotype" w:eastAsia="Palatino Linotype" w:hAnsi="Palatino Linotype" w:cs="Palatino Linotype"/>
          <w:i/>
          <w:sz w:val="22"/>
          <w:szCs w:val="22"/>
        </w:rPr>
        <w:t>personae</w:t>
      </w:r>
      <w:proofErr w:type="spellEnd"/>
      <w:r w:rsidRPr="009F524E">
        <w:rPr>
          <w:rFonts w:ascii="Palatino Linotype" w:eastAsia="Palatino Linotype" w:hAnsi="Palatino Linotype" w:cs="Palatino Linotype"/>
          <w:i/>
          <w:sz w:val="22"/>
          <w:szCs w:val="22"/>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w:t>
      </w:r>
      <w:r w:rsidRPr="009F524E">
        <w:rPr>
          <w:rFonts w:ascii="Palatino Linotype" w:eastAsia="Palatino Linotype" w:hAnsi="Palatino Linotype" w:cs="Palatino Linotype"/>
          <w:i/>
          <w:sz w:val="22"/>
          <w:szCs w:val="22"/>
        </w:rPr>
        <w:lastRenderedPageBreak/>
        <w:t>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4D92B42F"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Tocante a la </w:t>
      </w:r>
      <w:r w:rsidRPr="009F524E">
        <w:rPr>
          <w:rFonts w:ascii="Palatino Linotype" w:eastAsia="Palatino Linotype" w:hAnsi="Palatino Linotype" w:cs="Palatino Linotype"/>
          <w:b/>
        </w:rPr>
        <w:t xml:space="preserve">presunción de inocencia, </w:t>
      </w:r>
      <w:r w:rsidRPr="009F524E">
        <w:rPr>
          <w:rFonts w:ascii="Palatino Linotype" w:eastAsia="Palatino Linotype" w:hAnsi="Palatino Linotype" w:cs="Palatino Linotype"/>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14:paraId="10175F65"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6BB363E1" w14:textId="77777777" w:rsidR="00367AE1" w:rsidRPr="009F524E" w:rsidRDefault="00215203">
      <w:pPr>
        <w:tabs>
          <w:tab w:val="left" w:pos="3962"/>
        </w:tabs>
        <w:spacing w:before="240" w:after="240"/>
        <w:ind w:left="993" w:right="90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PRESUNCIÓN DE INOCENCIA COMO REGLA DE TRATO PROCESAL</w:t>
      </w:r>
      <w:r w:rsidRPr="009F524E">
        <w:rPr>
          <w:rFonts w:ascii="Palatino Linotype" w:eastAsia="Palatino Linotype" w:hAnsi="Palatino Linotype" w:cs="Palatino Linotype"/>
          <w:i/>
          <w:sz w:val="22"/>
          <w:szCs w:val="22"/>
        </w:rPr>
        <w:t xml:space="preserve">.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w:t>
      </w:r>
      <w:r w:rsidRPr="009F524E">
        <w:rPr>
          <w:rFonts w:ascii="Palatino Linotype" w:eastAsia="Palatino Linotype" w:hAnsi="Palatino Linotype" w:cs="Palatino Linotype"/>
          <w:i/>
          <w:sz w:val="22"/>
          <w:szCs w:val="22"/>
        </w:rPr>
        <w:lastRenderedPageBreak/>
        <w:t>que impliquen una equiparación de hecho entre imputado y culpable, es decir, conlleva la prohibición de cualquier tipo de resolución judicial que suponga la anticipación de la pena.”</w:t>
      </w:r>
    </w:p>
    <w:p w14:paraId="5C0BA5CC"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De la jurisprudencia transcrita deviene que la presunción de inocencia se traduce en el derecho de toda persona a ser tratado como inocente en tanto no se declare su culpabilidad por virtud de una sentencia condenatoria. Dicha manifestación, 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45E47513"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686C3E4E" w14:textId="77777777" w:rsidR="00367AE1" w:rsidRPr="009F524E" w:rsidRDefault="00215203">
      <w:pPr>
        <w:spacing w:before="120" w:after="120"/>
        <w:ind w:left="851" w:right="113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 xml:space="preserve">“PRESUNCIÓN DE INOCENCIA. ALCANCES DE ESE PRINCIPIO CONSTITUCIONAL. </w:t>
      </w:r>
      <w:r w:rsidRPr="009F524E">
        <w:rPr>
          <w:rFonts w:ascii="Palatino Linotype" w:eastAsia="Palatino Linotype" w:hAnsi="Palatino Linotype" w:cs="Palatino Linotype"/>
          <w:i/>
          <w:sz w:val="22"/>
          <w:szCs w:val="22"/>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1B9F1F76"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4286C5A3"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b/>
          <w:u w:val="single"/>
        </w:rPr>
      </w:pPr>
      <w:r w:rsidRPr="009F524E">
        <w:rPr>
          <w:rFonts w:ascii="Palatino Linotype" w:eastAsia="Palatino Linotype" w:hAnsi="Palatino Linotype" w:cs="Palatino Linotype"/>
        </w:rPr>
        <w:t xml:space="preserve">Conforme a lo expuesto, </w:t>
      </w:r>
      <w:r w:rsidRPr="009F524E">
        <w:rPr>
          <w:rFonts w:ascii="Palatino Linotype" w:eastAsia="Palatino Linotype" w:hAnsi="Palatino Linotype" w:cs="Palatino Linotype"/>
          <w:b/>
          <w:u w:val="single"/>
        </w:rPr>
        <w:t>pronunciarse sobre la existencia de un procedimiento en trámite de probable responsabilidad, generaría un juicio a priori o un juicio negativo en contra de los servidores públicos referidos en la solicitud por parte de la sociedad, sin que se hayan reunido los elementos para establecer si son o no responsables, vulnerando así la protección de su intimidad, su honor, la buena imagen y su Derecho a la presunción de inocencia.</w:t>
      </w:r>
    </w:p>
    <w:p w14:paraId="4758DAE7" w14:textId="77777777" w:rsidR="00367AE1" w:rsidRPr="009F524E" w:rsidRDefault="00215203">
      <w:pPr>
        <w:tabs>
          <w:tab w:val="left" w:pos="3962"/>
        </w:tabs>
        <w:spacing w:before="240" w:after="240" w:line="360" w:lineRule="auto"/>
        <w:jc w:val="both"/>
        <w:rPr>
          <w:rFonts w:ascii="Palatino Linotype" w:eastAsia="Palatino Linotype" w:hAnsi="Palatino Linotype" w:cs="Palatino Linotype"/>
          <w:b/>
          <w:u w:val="single"/>
        </w:rPr>
      </w:pPr>
      <w:r w:rsidRPr="009F524E">
        <w:rPr>
          <w:rFonts w:ascii="Palatino Linotype" w:eastAsia="Palatino Linotype" w:hAnsi="Palatino Linotype" w:cs="Palatino Linotype"/>
        </w:rPr>
        <w:t>Bajo lo previo, se considera que</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b/>
          <w:u w:val="single"/>
        </w:rPr>
        <w:t>el pronunciamiento en sentido afirmativo o negativo, sobre la existencia de algún procedimiento en trámite de responsabilidad por faltas graves o no graves que se hubiera iniciado en contra de los servidores públicos referidos, deberá clasificarse en términos del artículo 143, fracción I, de la Ley de Transparencia y Acceso a la Información Pública del Estado de México y Municipios</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rPr>
        <w:t>que es del tenor literal siguiente:</w:t>
      </w:r>
    </w:p>
    <w:p w14:paraId="36D29DD8" w14:textId="77777777" w:rsidR="00367AE1" w:rsidRPr="009F524E" w:rsidRDefault="00215203">
      <w:pPr>
        <w:tabs>
          <w:tab w:val="left" w:pos="3962"/>
        </w:tabs>
        <w:spacing w:before="120" w:after="120"/>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Artículo 143</w:t>
      </w:r>
      <w:r w:rsidRPr="009F524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8FE3DB6" w14:textId="77777777" w:rsidR="00367AE1" w:rsidRPr="009F524E" w:rsidRDefault="00215203">
      <w:pPr>
        <w:tabs>
          <w:tab w:val="left" w:pos="3962"/>
        </w:tabs>
        <w:spacing w:before="120" w:after="120"/>
        <w:ind w:left="1134"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w:t>
      </w:r>
      <w:r w:rsidRPr="009F524E">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9F524E">
        <w:rPr>
          <w:rFonts w:ascii="Palatino Linotype" w:eastAsia="Palatino Linotype" w:hAnsi="Palatino Linotype" w:cs="Palatino Linotype"/>
          <w:i/>
          <w:sz w:val="22"/>
          <w:szCs w:val="22"/>
        </w:rPr>
        <w:t>jurídico</w:t>
      </w:r>
      <w:proofErr w:type="gramEnd"/>
      <w:r w:rsidRPr="009F524E">
        <w:rPr>
          <w:rFonts w:ascii="Palatino Linotype" w:eastAsia="Palatino Linotype" w:hAnsi="Palatino Linotype" w:cs="Palatino Linotype"/>
          <w:i/>
          <w:sz w:val="22"/>
          <w:szCs w:val="22"/>
        </w:rPr>
        <w:t xml:space="preserve"> colectiva identificada o identificable;”(Sic)</w:t>
      </w:r>
    </w:p>
    <w:p w14:paraId="5C924B94"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 xml:space="preserve">Por otra parte, se estima necesario traer a colación el contenido del artículo 142, fracción IV, de la Ley de Transparencia y Acceso a la Información Pública del Estado de México y Municipios, a saber: </w:t>
      </w:r>
    </w:p>
    <w:p w14:paraId="736A4C26" w14:textId="77777777" w:rsidR="00367AE1" w:rsidRPr="009F524E" w:rsidRDefault="00215203">
      <w:pPr>
        <w:spacing w:before="120" w:after="120"/>
        <w:ind w:left="1134" w:right="90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142.</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 xml:space="preserve">Bajo ninguna circunstancia podrá invocarse el carácter de reservado </w:t>
      </w:r>
      <w:r w:rsidRPr="009F524E">
        <w:rPr>
          <w:rFonts w:ascii="Palatino Linotype" w:eastAsia="Palatino Linotype" w:hAnsi="Palatino Linotype" w:cs="Palatino Linotype"/>
          <w:i/>
          <w:sz w:val="22"/>
          <w:szCs w:val="22"/>
        </w:rPr>
        <w:t xml:space="preserve">cuando: </w:t>
      </w:r>
    </w:p>
    <w:p w14:paraId="4FF83069" w14:textId="77777777" w:rsidR="00367AE1" w:rsidRPr="009F524E" w:rsidRDefault="00215203">
      <w:pPr>
        <w:spacing w:before="120" w:after="120"/>
        <w:ind w:left="1134" w:right="90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7F66077B" w14:textId="77777777" w:rsidR="00367AE1" w:rsidRPr="009F524E" w:rsidRDefault="00215203">
      <w:pPr>
        <w:spacing w:before="120" w:after="120"/>
        <w:ind w:left="1134" w:right="90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IV</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 xml:space="preserve">Se trate de información </w:t>
      </w:r>
      <w:r w:rsidRPr="009F524E">
        <w:rPr>
          <w:rFonts w:ascii="Palatino Linotype" w:eastAsia="Palatino Linotype" w:hAnsi="Palatino Linotype" w:cs="Palatino Linotype"/>
          <w:b/>
          <w:i/>
          <w:sz w:val="22"/>
          <w:szCs w:val="22"/>
          <w:u w:val="single"/>
        </w:rPr>
        <w:t>relacionada con actos de corrupción</w:t>
      </w:r>
      <w:r w:rsidRPr="009F524E">
        <w:rPr>
          <w:rFonts w:ascii="Palatino Linotype" w:eastAsia="Palatino Linotype" w:hAnsi="Palatino Linotype" w:cs="Palatino Linotype"/>
          <w:i/>
          <w:sz w:val="22"/>
          <w:szCs w:val="22"/>
        </w:rPr>
        <w:t xml:space="preserve"> de conformidad con las disposiciones jurídicas aplicables.”(Sic)</w:t>
      </w:r>
    </w:p>
    <w:p w14:paraId="0839E3A3"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14:paraId="2FDE91B3"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9F524E">
        <w:rPr>
          <w:rFonts w:ascii="Palatino Linotype" w:eastAsia="Palatino Linotype" w:hAnsi="Palatino Linotype" w:cs="Palatino Linotype"/>
          <w:b/>
        </w:rPr>
        <w:t>cuando esta se relacione con actos de corrupción,</w:t>
      </w:r>
      <w:r w:rsidRPr="009F524E">
        <w:rPr>
          <w:rFonts w:ascii="Palatino Linotype" w:eastAsia="Palatino Linotype" w:hAnsi="Palatino Linotype" w:cs="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14:paraId="08883D53"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Dicho lo anterior, cobra relevancia señalar que México ha participado, firmado y ratificado tres convenciones internacionales de combate contra la corrupción, a saber: la Convención Interamericana contra la Corrupción (OEA 1997), la </w:t>
      </w:r>
      <w:r w:rsidRPr="009F524E">
        <w:rPr>
          <w:rFonts w:ascii="Palatino Linotype" w:eastAsia="Palatino Linotype" w:hAnsi="Palatino Linotype" w:cs="Palatino Linotype"/>
        </w:rPr>
        <w:lastRenderedPageBreak/>
        <w:t>Convención para Combatir el Cohecho de Servidores Públicos en Transacciones Comerciales Internacionales (OCDE 1999) y la Convención de las Naciones Unidas contra la Corrupción (ONU 2004).</w:t>
      </w:r>
    </w:p>
    <w:p w14:paraId="6DA53C97"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En ese sentido, la Convención Interamericana contra la Corrupción, señala que </w:t>
      </w:r>
      <w:r w:rsidRPr="009F524E">
        <w:rPr>
          <w:rFonts w:ascii="Palatino Linotype" w:eastAsia="Palatino Linotype" w:hAnsi="Palatino Linotype" w:cs="Palatino Linotype"/>
          <w:b/>
          <w:u w:val="single"/>
        </w:rPr>
        <w:t>la corrupción socava la legitimidad de las instituciones públicas, atenta contra la sociedad, el orden moral y la justicia, así como contra el desarrollo integral de los pueblos</w:t>
      </w:r>
      <w:r w:rsidRPr="009F524E">
        <w:rPr>
          <w:rFonts w:ascii="Palatino Linotype" w:eastAsia="Palatino Linotype" w:hAnsi="Palatino Linotype" w:cs="Palatino Linotype"/>
        </w:rPr>
        <w:t>; asimismo, considera que el combate contra la corrupción fortalece las instituciones democráticas, evita distorsiones de la economía, vicios en la gestión pública y el deterioro de la moral social.</w:t>
      </w:r>
    </w:p>
    <w:p w14:paraId="771269D5"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específico, en el artículo VI de dicha Convención se señalan las siguientes conductas como actos de corrupción:</w:t>
      </w:r>
    </w:p>
    <w:p w14:paraId="18730FAF" w14:textId="77777777" w:rsidR="00367AE1" w:rsidRPr="009F524E" w:rsidRDefault="00215203">
      <w:pPr>
        <w:spacing w:before="240" w:after="240" w:line="360" w:lineRule="auto"/>
        <w:ind w:left="284"/>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112D776E" w14:textId="77777777" w:rsidR="00367AE1" w:rsidRPr="009F524E" w:rsidRDefault="00215203">
      <w:pPr>
        <w:spacing w:before="240" w:after="240" w:line="360" w:lineRule="auto"/>
        <w:ind w:left="284"/>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b. El ofrecimiento o el otorgamiento, directa o indirectamente, a un funcionario público o a una persona que ejerza funciones públicas, de cualquier objeto de valor pecuniario u otros beneficios como dádivas, favores, promesas o ventajas para ese funcionario público o para otra persona o entidad a cambio de la realización u omisión de cualquier acto en el ejercicio de sus funciones públicas; </w:t>
      </w:r>
    </w:p>
    <w:p w14:paraId="184B7C0C" w14:textId="77777777" w:rsidR="00367AE1" w:rsidRPr="009F524E" w:rsidRDefault="00215203">
      <w:pPr>
        <w:spacing w:before="240" w:after="240" w:line="360" w:lineRule="auto"/>
        <w:ind w:left="284"/>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c. La realización por parte de un funcionario público o una persona que ejerza funciones públicas de cualquier acto u omisión en el ejercicio de sus funciones, con el fin de obtener ilícitamente beneficios para sí mismo o para un tercero;</w:t>
      </w:r>
    </w:p>
    <w:p w14:paraId="22E29DF8" w14:textId="77777777" w:rsidR="00367AE1" w:rsidRPr="009F524E" w:rsidRDefault="00215203">
      <w:pPr>
        <w:spacing w:before="240" w:after="240" w:line="360" w:lineRule="auto"/>
        <w:ind w:left="284"/>
        <w:jc w:val="both"/>
        <w:rPr>
          <w:rFonts w:ascii="Palatino Linotype" w:eastAsia="Palatino Linotype" w:hAnsi="Palatino Linotype" w:cs="Palatino Linotype"/>
        </w:rPr>
      </w:pPr>
      <w:r w:rsidRPr="009F524E">
        <w:rPr>
          <w:rFonts w:ascii="Palatino Linotype" w:eastAsia="Palatino Linotype" w:hAnsi="Palatino Linotype" w:cs="Palatino Linotype"/>
        </w:rPr>
        <w:t>d. El aprovechamiento doloso u ocultación de bienes provenientes de cualesquiera de los actos a los que se refiere el presente artículo; y</w:t>
      </w:r>
    </w:p>
    <w:p w14:paraId="6AD3031D" w14:textId="77777777" w:rsidR="00367AE1" w:rsidRPr="009F524E" w:rsidRDefault="00215203">
      <w:pPr>
        <w:spacing w:before="240" w:after="240" w:line="360" w:lineRule="auto"/>
        <w:ind w:left="284"/>
        <w:jc w:val="both"/>
        <w:rPr>
          <w:rFonts w:ascii="Palatino Linotype" w:eastAsia="Palatino Linotype" w:hAnsi="Palatino Linotype" w:cs="Palatino Linotype"/>
        </w:rPr>
      </w:pPr>
      <w:r w:rsidRPr="009F524E">
        <w:rPr>
          <w:rFonts w:ascii="Palatino Linotype" w:eastAsia="Palatino Linotype" w:hAnsi="Palatino Linotype" w:cs="Palatino Linotype"/>
        </w:rPr>
        <w:t>e. La participación como autor, coautor, instigador, cómplice, encubridor o en cualquier otra forma en la comisión, tentativa de comisión, asociación o confabulación para la comisión de cualquiera de los actos a los que se refiere el presente artículo.</w:t>
      </w:r>
    </w:p>
    <w:p w14:paraId="3C2B6F70" w14:textId="77777777" w:rsidR="00367AE1" w:rsidRPr="009F524E" w:rsidRDefault="00215203">
      <w:pPr>
        <w:spacing w:before="240" w:after="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En ese orden de ideas, es posible reflexionar que </w:t>
      </w:r>
      <w:r w:rsidRPr="009F524E">
        <w:rPr>
          <w:rFonts w:ascii="Palatino Linotype" w:eastAsia="Palatino Linotype" w:hAnsi="Palatino Linotype" w:cs="Palatino Linotype"/>
          <w:b/>
        </w:rPr>
        <w:t>la corrupción no solo es un fenómeno que debilita a las instituciones democráticas y a la gobernabilidad, sino que también, fomenta la impunidad, socava el Estado de derecho y exacerba la desigualdad, además de que afecta a los derechos humanos</w:t>
      </w:r>
      <w:r w:rsidRPr="009F524E">
        <w:rPr>
          <w:rFonts w:ascii="Palatino Linotype" w:eastAsia="Palatino Linotype" w:hAnsi="Palatino Linotype" w:cs="Palatino Linotype"/>
        </w:rPr>
        <w:t xml:space="preserve">, por lo que, </w:t>
      </w:r>
      <w:r w:rsidRPr="009F524E">
        <w:rPr>
          <w:rFonts w:ascii="Palatino Linotype" w:eastAsia="Palatino Linotype" w:hAnsi="Palatino Linotype" w:cs="Palatino Linotype"/>
          <w:b/>
        </w:rPr>
        <w:t>cobra una relevancia social la rendición de cuentas respecto a información o hechos que estén vinculados o relacionados con actos de corrupción.</w:t>
      </w:r>
    </w:p>
    <w:p w14:paraId="695EF7EC" w14:textId="77777777" w:rsidR="00367AE1" w:rsidRPr="009F524E" w:rsidRDefault="00215203">
      <w:pPr>
        <w:spacing w:before="240" w:after="240" w:line="360" w:lineRule="auto"/>
        <w:jc w:val="both"/>
        <w:rPr>
          <w:rFonts w:ascii="Palatino Linotype" w:eastAsia="Palatino Linotype" w:hAnsi="Palatino Linotype" w:cs="Palatino Linotype"/>
          <w:b/>
          <w:u w:val="single"/>
        </w:rPr>
      </w:pPr>
      <w:r w:rsidRPr="009F524E">
        <w:rPr>
          <w:rFonts w:ascii="Palatino Linotype" w:eastAsia="Palatino Linotype" w:hAnsi="Palatino Linotype" w:cs="Palatino Linotype"/>
        </w:rPr>
        <w:t xml:space="preserve">Tomando en cuenta lo anterior, y conforme a la definición de servidor público que establece tanto el artículo 108 de nuestra Constitución como el artículo 212 del Código Penal Federal reformado, es posible considerar como </w:t>
      </w:r>
      <w:r w:rsidRPr="009F524E">
        <w:rPr>
          <w:rFonts w:ascii="Palatino Linotype" w:eastAsia="Palatino Linotype" w:hAnsi="Palatino Linotype" w:cs="Palatino Linotype"/>
          <w:b/>
          <w:i/>
        </w:rPr>
        <w:t>acto de corrupción</w:t>
      </w:r>
      <w:r w:rsidRPr="009F524E">
        <w:rPr>
          <w:rFonts w:ascii="Palatino Linotype" w:eastAsia="Palatino Linotype" w:hAnsi="Palatino Linotype" w:cs="Palatino Linotype"/>
        </w:rPr>
        <w:t xml:space="preserve">, la </w:t>
      </w:r>
      <w:r w:rsidRPr="009F524E">
        <w:rPr>
          <w:rFonts w:ascii="Palatino Linotype" w:eastAsia="Palatino Linotype" w:hAnsi="Palatino Linotype" w:cs="Palatino Linotype"/>
          <w:b/>
        </w:rPr>
        <w:t xml:space="preserve">acción u omisión que llevé a cabo una persona que desempeñe un empleo, cargo o comisión en las instituciones gubernamentales, así como por particulares con funciones públicas, en la cual, en pleno ejercicio de sus funciones, </w:t>
      </w:r>
      <w:r w:rsidRPr="009F524E">
        <w:rPr>
          <w:rFonts w:ascii="Palatino Linotype" w:eastAsia="Palatino Linotype" w:hAnsi="Palatino Linotype" w:cs="Palatino Linotype"/>
          <w:b/>
          <w:u w:val="single"/>
        </w:rPr>
        <w:t>obtenga un beneficio o una ventaja de cualquier naturaleza para sí o un tercero</w:t>
      </w:r>
      <w:r w:rsidRPr="009F524E">
        <w:rPr>
          <w:rFonts w:ascii="Palatino Linotype" w:eastAsia="Palatino Linotype" w:hAnsi="Palatino Linotype" w:cs="Palatino Linotype"/>
          <w:b/>
        </w:rPr>
        <w:t xml:space="preserve"> sobre algún </w:t>
      </w:r>
      <w:r w:rsidRPr="009F524E">
        <w:rPr>
          <w:rFonts w:ascii="Palatino Linotype" w:eastAsia="Palatino Linotype" w:hAnsi="Palatino Linotype" w:cs="Palatino Linotype"/>
          <w:b/>
        </w:rPr>
        <w:lastRenderedPageBreak/>
        <w:t xml:space="preserve">hecho que no sea permisible en las normas vigentes, </w:t>
      </w:r>
      <w:r w:rsidRPr="009F524E">
        <w:rPr>
          <w:rFonts w:ascii="Palatino Linotype" w:eastAsia="Palatino Linotype" w:hAnsi="Palatino Linotype" w:cs="Palatino Linotype"/>
          <w:b/>
          <w:u w:val="single"/>
        </w:rPr>
        <w:t>o bien, incurra en una conducta catalogada por la Ley como acto de corrupción.</w:t>
      </w:r>
    </w:p>
    <w:p w14:paraId="7B5A0993"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Mientras que el Código Penal Federal establece en su Título Decimo “Delitos por hechos de corrupción” a los siguientes: </w:t>
      </w:r>
    </w:p>
    <w:p w14:paraId="482E3B5F" w14:textId="77777777" w:rsidR="00367AE1" w:rsidRPr="009F524E" w:rsidRDefault="00215203">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Ejercicio ilícito de servicio público (artículo 214)</w:t>
      </w:r>
    </w:p>
    <w:p w14:paraId="30A885CD"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Abuso de autoridad (artículo 215)</w:t>
      </w:r>
    </w:p>
    <w:p w14:paraId="4C21DE97"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Coalición de servidores públicos (artículo 216)</w:t>
      </w:r>
    </w:p>
    <w:p w14:paraId="4A652DE2"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Uso ilícito de atribuciones y facultades (artículo 217) </w:t>
      </w:r>
    </w:p>
    <w:p w14:paraId="269E0794"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Del pago y recibo indebido de remuneraciones de los servidores públicos (artículo 217 Ter) </w:t>
      </w:r>
    </w:p>
    <w:p w14:paraId="17956F64"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Concusión (artículo 218) </w:t>
      </w:r>
    </w:p>
    <w:p w14:paraId="5ADF12C3"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Intimidación (artículo 219) </w:t>
      </w:r>
    </w:p>
    <w:p w14:paraId="3ADFAEF6"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Ejercicio abusivo de funciones (artículo 220) </w:t>
      </w:r>
    </w:p>
    <w:p w14:paraId="3247F154"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Tráfico de Influencia (artículo 221)</w:t>
      </w:r>
    </w:p>
    <w:p w14:paraId="0D01F4D1"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Cohecho (artículo 222)</w:t>
      </w:r>
    </w:p>
    <w:p w14:paraId="1F19AC7A"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Cohecho a servidores públicos extranjeros (artículo 222 bis) </w:t>
      </w:r>
    </w:p>
    <w:p w14:paraId="36FA80CA" w14:textId="77777777" w:rsidR="00367AE1" w:rsidRPr="009F524E" w:rsidRDefault="002152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Peculado (artículo 223) </w:t>
      </w:r>
    </w:p>
    <w:p w14:paraId="432B8F43" w14:textId="77777777" w:rsidR="00367AE1" w:rsidRPr="009F524E" w:rsidRDefault="00215203">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Enriquecimiento Ilícito (artículo 224)</w:t>
      </w:r>
    </w:p>
    <w:p w14:paraId="7923DAEC"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w:t>
      </w:r>
      <w:r w:rsidRPr="009F524E">
        <w:rPr>
          <w:rFonts w:ascii="Palatino Linotype" w:eastAsia="Palatino Linotype" w:hAnsi="Palatino Linotype" w:cs="Palatino Linotype"/>
        </w:rPr>
        <w:lastRenderedPageBreak/>
        <w:t>la recaudación de contribuciones, derechos, impuestos, etcétera, lo cual afecta no sólo al ente público sino a toda la sociedad en general.</w:t>
      </w:r>
    </w:p>
    <w:p w14:paraId="6F928AEA"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14:paraId="63E82486" w14:textId="77777777" w:rsidR="00367AE1" w:rsidRPr="009F524E" w:rsidRDefault="0021520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3.</w:t>
      </w:r>
      <w:r w:rsidRPr="009F524E">
        <w:rPr>
          <w:rFonts w:ascii="Palatino Linotype" w:eastAsia="Palatino Linotype" w:hAnsi="Palatino Linotype" w:cs="Palatino Linotype"/>
          <w:i/>
          <w:sz w:val="22"/>
          <w:szCs w:val="22"/>
        </w:rPr>
        <w:t xml:space="preserve"> Para los efectos de la presente Ley se entenderá por:</w:t>
      </w:r>
    </w:p>
    <w:p w14:paraId="5BCE09B6" w14:textId="77777777" w:rsidR="00367AE1" w:rsidRPr="009F524E" w:rsidRDefault="0021520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0A576D94" w14:textId="77777777" w:rsidR="00367AE1" w:rsidRPr="009F524E" w:rsidRDefault="00215203">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XXII. Información de interés público:</w:t>
      </w:r>
      <w:r w:rsidRPr="009F524E">
        <w:rPr>
          <w:rFonts w:ascii="Palatino Linotype" w:eastAsia="Palatino Linotype" w:hAnsi="Palatino Linotype" w:cs="Palatino Linotype"/>
          <w:i/>
          <w:sz w:val="22"/>
          <w:szCs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57136DCD" w14:textId="77777777" w:rsidR="00367AE1" w:rsidRPr="009F524E" w:rsidRDefault="0021520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1F6843AA" w14:textId="77777777" w:rsidR="00367AE1" w:rsidRPr="009F524E" w:rsidRDefault="0021520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9.</w:t>
      </w:r>
      <w:r w:rsidRPr="009F524E">
        <w:rPr>
          <w:rFonts w:ascii="Palatino Linotype" w:eastAsia="Palatino Linotype" w:hAnsi="Palatino Linotype" w:cs="Palatino Linotype"/>
          <w:i/>
          <w:sz w:val="22"/>
          <w:szCs w:val="22"/>
        </w:rPr>
        <w:t xml:space="preserve"> El Instituto deberá regir su funcionamiento de acuerdo a los siguientes principios:</w:t>
      </w:r>
    </w:p>
    <w:p w14:paraId="7DF8A3B3" w14:textId="77777777" w:rsidR="00367AE1" w:rsidRPr="009F524E" w:rsidRDefault="0021520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46AD0D27" w14:textId="77777777" w:rsidR="00367AE1" w:rsidRPr="009F524E" w:rsidRDefault="0021520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 Máxima Publicidad:</w:t>
      </w:r>
      <w:r w:rsidRPr="009F524E">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roofErr w:type="gramStart"/>
      <w:r w:rsidRPr="009F524E">
        <w:rPr>
          <w:rFonts w:ascii="Palatino Linotype" w:eastAsia="Palatino Linotype" w:hAnsi="Palatino Linotype" w:cs="Palatino Linotype"/>
          <w:i/>
          <w:sz w:val="22"/>
          <w:szCs w:val="22"/>
        </w:rPr>
        <w:t>”(</w:t>
      </w:r>
      <w:proofErr w:type="gramEnd"/>
      <w:r w:rsidRPr="009F524E">
        <w:rPr>
          <w:rFonts w:ascii="Palatino Linotype" w:eastAsia="Palatino Linotype" w:hAnsi="Palatino Linotype" w:cs="Palatino Linotype"/>
          <w:i/>
          <w:sz w:val="22"/>
          <w:szCs w:val="22"/>
        </w:rPr>
        <w:t>Sic)</w:t>
      </w:r>
    </w:p>
    <w:p w14:paraId="77DE6635" w14:textId="77777777" w:rsidR="00367AE1" w:rsidRPr="009F524E" w:rsidRDefault="00215203">
      <w:pPr>
        <w:spacing w:before="240" w:after="240" w:line="360" w:lineRule="auto"/>
        <w:jc w:val="both"/>
        <w:rPr>
          <w:rFonts w:ascii="Palatino Linotype" w:eastAsia="Palatino Linotype" w:hAnsi="Palatino Linotype" w:cs="Palatino Linotype"/>
          <w:sz w:val="22"/>
          <w:szCs w:val="22"/>
        </w:rPr>
      </w:pPr>
      <w:r w:rsidRPr="009F524E">
        <w:rPr>
          <w:rFonts w:ascii="Palatino Linotype" w:eastAsia="Palatino Linotype" w:hAnsi="Palatino Linotype" w:cs="Palatino Linotype"/>
        </w:rPr>
        <w:t xml:space="preserve">De lo anterior, se colige que, el interés público está relacionado con el principio de máxima publicidad y las excepciones a la clasificación de la información; pues existe un interés general de la sociedad de conocer sobre los posibles actos de corrupción </w:t>
      </w:r>
      <w:r w:rsidRPr="009F524E">
        <w:rPr>
          <w:rFonts w:ascii="Palatino Linotype" w:eastAsia="Palatino Linotype" w:hAnsi="Palatino Linotype" w:cs="Palatino Linotype"/>
        </w:rPr>
        <w:lastRenderedPageBreak/>
        <w:t>al no ser afectaciones que se dan en lo individual, sino que existe un detrimento en un grupo o en la población en general.</w:t>
      </w:r>
    </w:p>
    <w:p w14:paraId="2A0405AD" w14:textId="77777777" w:rsidR="00367AE1" w:rsidRPr="009F524E" w:rsidRDefault="00215203">
      <w:pPr>
        <w:spacing w:before="240" w:after="240" w:line="360" w:lineRule="auto"/>
        <w:jc w:val="both"/>
        <w:rPr>
          <w:rFonts w:ascii="Palatino Linotype" w:eastAsia="Palatino Linotype" w:hAnsi="Palatino Linotype" w:cs="Palatino Linotype"/>
          <w:b/>
          <w:u w:val="single"/>
        </w:rPr>
      </w:pPr>
      <w:bookmarkStart w:id="4" w:name="_heading=h.1fob9te" w:colFirst="0" w:colLast="0"/>
      <w:bookmarkEnd w:id="4"/>
      <w:r w:rsidRPr="009F524E">
        <w:rPr>
          <w:rFonts w:ascii="Palatino Linotype" w:eastAsia="Palatino Linotype" w:hAnsi="Palatino Linotype" w:cs="Palatino Linotype"/>
        </w:rPr>
        <w:t xml:space="preserve">Por tal motivo, se considera para el caso de que existiera algún procedimiento relacionado con faltas administrativas en trámite, en contra de los servidores públicos referidos en la solicitud de acceso a la información pública, y que estén relacionados con alguna excepción de las establecidas en el artículo 142 de la Ley de Transparencia y Acceso a la Información Pública del Estado de México y Municipios, tales como actos de corrupción, se </w:t>
      </w:r>
      <w:r w:rsidRPr="009F524E">
        <w:rPr>
          <w:rFonts w:ascii="Palatino Linotype" w:eastAsia="Palatino Linotype" w:hAnsi="Palatino Linotype" w:cs="Palatino Linotype"/>
          <w:b/>
          <w:u w:val="single"/>
        </w:rPr>
        <w:t>deberá entregar el soporte documental correspondiente que dé cuenta de la existencia de dichos procedimientos y el estado que guardan, en versión pública de ser necesario, conforme al considerando quinto del presente fallo.</w:t>
      </w:r>
    </w:p>
    <w:p w14:paraId="775A9297" w14:textId="77777777" w:rsidR="00367AE1" w:rsidRPr="009F524E" w:rsidRDefault="00215203">
      <w:pPr>
        <w:spacing w:before="240" w:after="240" w:line="360" w:lineRule="auto"/>
        <w:jc w:val="both"/>
        <w:rPr>
          <w:rFonts w:ascii="Palatino Linotype" w:eastAsia="Palatino Linotype" w:hAnsi="Palatino Linotype" w:cs="Palatino Linotype"/>
          <w:b/>
          <w:u w:val="single"/>
        </w:rPr>
      </w:pPr>
      <w:r w:rsidRPr="009F524E">
        <w:rPr>
          <w:rFonts w:ascii="Palatino Linotype" w:eastAsia="Palatino Linotype" w:hAnsi="Palatino Linotype" w:cs="Palatino Linotype"/>
        </w:rPr>
        <w:t xml:space="preserve">Siendo importante mencionar que si bien entregar el pronunciamiento respecto a la existencia de un procedimiento de sanción administrativa, podría generar una percepción negativa de éste, ocasionando un perjuicio en su </w:t>
      </w:r>
      <w:r w:rsidRPr="009F524E">
        <w:rPr>
          <w:rFonts w:ascii="Palatino Linotype" w:eastAsia="Palatino Linotype" w:hAnsi="Palatino Linotype" w:cs="Palatino Linotype"/>
          <w:b/>
        </w:rPr>
        <w:t xml:space="preserve">honor, intimidad, buena imagen y nombre, así como a su vida privada, </w:t>
      </w:r>
      <w:r w:rsidRPr="009F524E">
        <w:rPr>
          <w:rFonts w:ascii="Palatino Linotype" w:eastAsia="Palatino Linotype" w:hAnsi="Palatino Linotype" w:cs="Palatino Linotype"/>
        </w:rPr>
        <w:t xml:space="preserve">también lo es, que </w:t>
      </w:r>
      <w:r w:rsidRPr="009F524E">
        <w:rPr>
          <w:rFonts w:ascii="Palatino Linotype" w:eastAsia="Palatino Linotype" w:hAnsi="Palatino Linotype" w:cs="Palatino Linotype"/>
          <w:b/>
          <w:u w:val="single"/>
        </w:rPr>
        <w:t>tratándose de asuntos relacionados con actos de corrupción, se trataría de una falta grave</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b/>
          <w:u w:val="single"/>
        </w:rPr>
        <w:t>por lo que tales prerrogativas quedan supeditadas al interés mayor de conocer tales eventualidades y por lo tanto no precede su clasificación en términos del artículo 143, fracción I de la Ley de la materia.</w:t>
      </w:r>
    </w:p>
    <w:p w14:paraId="68B69567"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Respecto de nombre de los servidores públicos, en atención al análisis realizado, cierto es que toda persona tiene derecho a la presunción de inocencia hasta en tanto se demuestre lo contrario, sin embargo, en el caso de actos de corrupción nos encontramos ante un caso de trascendencia social e interés público, sobreviniendo </w:t>
      </w:r>
      <w:r w:rsidRPr="009F524E">
        <w:rPr>
          <w:rFonts w:ascii="Palatino Linotype" w:eastAsia="Palatino Linotype" w:hAnsi="Palatino Linotype" w:cs="Palatino Linotype"/>
        </w:rPr>
        <w:lastRenderedPageBreak/>
        <w:t>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14:paraId="3F8E75A5" w14:textId="77777777" w:rsidR="00367AE1" w:rsidRPr="009F524E" w:rsidRDefault="00215203">
      <w:pPr>
        <w:spacing w:before="240" w:after="240" w:line="360" w:lineRule="auto"/>
        <w:jc w:val="both"/>
        <w:rPr>
          <w:rFonts w:ascii="Palatino Linotype" w:eastAsia="Palatino Linotype" w:hAnsi="Palatino Linotype" w:cs="Palatino Linotype"/>
          <w:b/>
        </w:rPr>
      </w:pPr>
      <w:r w:rsidRPr="009F524E">
        <w:rPr>
          <w:rFonts w:ascii="Palatino Linotype" w:eastAsia="Palatino Linotype" w:hAnsi="Palatino Linotype" w:cs="Palatino Linotype"/>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9F524E">
        <w:rPr>
          <w:rFonts w:ascii="Palatino Linotype" w:eastAsia="Palatino Linotype" w:hAnsi="Palatino Linotype" w:cs="Palatino Linotype"/>
          <w:b/>
        </w:rPr>
        <w:t>existe una preferencia social mayor que trasciende para dar a conocer, precisamente los nombres de los servidores o ex servidores que enfrentan acusaciones sobre este caso, debiendo por tanto darse a conocer dicho dato, en caso de actualizarse la excepción a la excepción, prevista en el artículo 142 dela Ley de la materia.</w:t>
      </w:r>
    </w:p>
    <w:p w14:paraId="574423FD" w14:textId="77777777" w:rsidR="00367AE1" w:rsidRPr="009F524E" w:rsidRDefault="00215203">
      <w:pPr>
        <w:spacing w:before="240" w:after="240"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14:paraId="6C259413" w14:textId="77777777" w:rsidR="00367AE1" w:rsidRPr="009F524E" w:rsidRDefault="00215203">
      <w:pPr>
        <w:spacing w:before="120"/>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ANÁLISIS DE INTERÉS PÚBLICO</w:t>
      </w:r>
    </w:p>
    <w:p w14:paraId="78AE7DB5" w14:textId="77777777" w:rsidR="00367AE1" w:rsidRPr="009F524E" w:rsidRDefault="00215203">
      <w:pPr>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p>
    <w:p w14:paraId="59197CAB" w14:textId="77777777" w:rsidR="00367AE1" w:rsidRPr="009F524E" w:rsidRDefault="00215203">
      <w:pPr>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w:t>
      </w:r>
      <w:r w:rsidRPr="009F524E">
        <w:rPr>
          <w:rFonts w:ascii="Palatino Linotype" w:eastAsia="Palatino Linotype" w:hAnsi="Palatino Linotype" w:cs="Palatino Linotype"/>
          <w:i/>
          <w:sz w:val="22"/>
          <w:szCs w:val="22"/>
        </w:rPr>
        <w:lastRenderedPageBreak/>
        <w:t xml:space="preserve">con base en elementos de idoneidad, necesidad y proporcionalidad. Para estos efectos, se entenderá por: </w:t>
      </w:r>
    </w:p>
    <w:p w14:paraId="41D085F6" w14:textId="77777777" w:rsidR="00367AE1" w:rsidRPr="009F524E" w:rsidRDefault="00215203">
      <w:pPr>
        <w:ind w:left="851" w:right="474"/>
        <w:jc w:val="both"/>
        <w:rPr>
          <w:rFonts w:ascii="Palatino Linotype" w:eastAsia="Palatino Linotype" w:hAnsi="Palatino Linotype" w:cs="Palatino Linotype"/>
          <w:i/>
          <w:sz w:val="22"/>
          <w:szCs w:val="22"/>
        </w:rPr>
      </w:pPr>
      <w:r w:rsidRPr="009F524E">
        <w:rPr>
          <w:rFonts w:ascii="Symbol" w:eastAsia="Symbol" w:hAnsi="Symbol" w:cs="Symbol"/>
          <w:i/>
          <w:sz w:val="22"/>
          <w:szCs w:val="22"/>
        </w:rPr>
        <w:t>∙</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Idoneidad:</w:t>
      </w:r>
      <w:r w:rsidRPr="009F524E">
        <w:rPr>
          <w:rFonts w:ascii="Palatino Linotype" w:eastAsia="Palatino Linotype" w:hAnsi="Palatino Linotype" w:cs="Palatino Linotype"/>
          <w:i/>
          <w:sz w:val="22"/>
          <w:szCs w:val="22"/>
        </w:rPr>
        <w:t xml:space="preserve"> La legitimidad del derecho adoptado como preferente, que sea el adecuado para el logro de un fin constitucionalmente válido o apto para conseguir el fin pretendido; </w:t>
      </w:r>
    </w:p>
    <w:p w14:paraId="77B00009" w14:textId="77777777" w:rsidR="00367AE1" w:rsidRPr="009F524E" w:rsidRDefault="00215203">
      <w:pPr>
        <w:ind w:left="851" w:right="474"/>
        <w:jc w:val="both"/>
        <w:rPr>
          <w:rFonts w:ascii="Palatino Linotype" w:eastAsia="Palatino Linotype" w:hAnsi="Palatino Linotype" w:cs="Palatino Linotype"/>
          <w:i/>
          <w:sz w:val="22"/>
          <w:szCs w:val="22"/>
        </w:rPr>
      </w:pPr>
      <w:r w:rsidRPr="009F524E">
        <w:rPr>
          <w:rFonts w:ascii="Symbol" w:eastAsia="Symbol" w:hAnsi="Symbol" w:cs="Symbol"/>
          <w:i/>
          <w:sz w:val="22"/>
          <w:szCs w:val="22"/>
        </w:rPr>
        <w:t>∙</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Necesidad:</w:t>
      </w:r>
      <w:r w:rsidRPr="009F524E">
        <w:rPr>
          <w:rFonts w:ascii="Palatino Linotype" w:eastAsia="Palatino Linotype" w:hAnsi="Palatino Linotype" w:cs="Palatino Linotype"/>
          <w:i/>
          <w:sz w:val="22"/>
          <w:szCs w:val="22"/>
        </w:rPr>
        <w:t xml:space="preserve"> La falta de un medio alternativo menos lesivo a la apertura de la información, para satisfacer el interés público, y </w:t>
      </w:r>
    </w:p>
    <w:p w14:paraId="35FE5906" w14:textId="77777777" w:rsidR="00367AE1" w:rsidRPr="009F524E" w:rsidRDefault="00215203">
      <w:pPr>
        <w:ind w:left="851" w:right="474"/>
        <w:jc w:val="both"/>
        <w:rPr>
          <w:rFonts w:ascii="Palatino Linotype" w:eastAsia="Palatino Linotype" w:hAnsi="Palatino Linotype" w:cs="Palatino Linotype"/>
          <w:i/>
          <w:sz w:val="22"/>
          <w:szCs w:val="22"/>
        </w:rPr>
      </w:pPr>
      <w:r w:rsidRPr="009F524E">
        <w:rPr>
          <w:rFonts w:ascii="Symbol" w:eastAsia="Symbol" w:hAnsi="Symbol" w:cs="Symbol"/>
          <w:i/>
          <w:sz w:val="22"/>
          <w:szCs w:val="22"/>
        </w:rPr>
        <w:t>∙</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Proporcionalidad:</w:t>
      </w:r>
      <w:r w:rsidRPr="009F524E">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w:t>
      </w:r>
    </w:p>
    <w:p w14:paraId="79AA097A"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el mismo sentido, resulta aplicable la tesis I.4o.A.70 K, emitida por Tribunales Colegiados de Circuito, publicada en el Semanario Judicial de la Federación y su Gaceta, Tomo XXIV, página 2346, de agosto de 2006, Novena Época, materia común: </w:t>
      </w:r>
    </w:p>
    <w:p w14:paraId="0B3A8668" w14:textId="77777777" w:rsidR="00367AE1" w:rsidRPr="009F524E" w:rsidRDefault="00215203">
      <w:pPr>
        <w:ind w:left="851" w:right="902"/>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subprincipios siguientes: a) idoneidad</w:t>
      </w:r>
      <w:r w:rsidRPr="009F524E">
        <w:rPr>
          <w:rFonts w:ascii="Palatino Linotype" w:eastAsia="Palatino Linotype" w:hAnsi="Palatino Linotype" w:cs="Palatino Linotype"/>
          <w:i/>
          <w:sz w:val="22"/>
          <w:szCs w:val="22"/>
        </w:rPr>
        <w:t xml:space="preserve">, la cual es la legitimidad constitucional del principio adoptado como preferente, por resultar ser el adecuado para el logro de un fin constitucionalmente válido o apto para conseguir el objetivo pretendido; </w:t>
      </w:r>
      <w:r w:rsidRPr="009F524E">
        <w:rPr>
          <w:rFonts w:ascii="Palatino Linotype" w:eastAsia="Palatino Linotype" w:hAnsi="Palatino Linotype" w:cs="Palatino Linotype"/>
          <w:b/>
          <w:i/>
          <w:sz w:val="22"/>
          <w:szCs w:val="22"/>
        </w:rPr>
        <w:t>b) necesidad</w:t>
      </w:r>
      <w:r w:rsidRPr="009F524E">
        <w:rPr>
          <w:rFonts w:ascii="Palatino Linotype" w:eastAsia="Palatino Linotype" w:hAnsi="Palatino Linotype" w:cs="Palatino Linotype"/>
          <w:i/>
          <w:sz w:val="22"/>
          <w:szCs w:val="22"/>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9F524E">
        <w:rPr>
          <w:rFonts w:ascii="Palatino Linotype" w:eastAsia="Palatino Linotype" w:hAnsi="Palatino Linotype" w:cs="Palatino Linotype"/>
          <w:b/>
          <w:i/>
          <w:sz w:val="22"/>
          <w:szCs w:val="22"/>
        </w:rPr>
        <w:t>c) el mandato de proporcionalidad entre medios y fines implica que al elegir entre un perjuicio y un beneficio a favor de dos bienes tutelados, el principio satisfecho o que resulta privilegiado lo sea en mayor proporción que el sacrificado</w:t>
      </w:r>
      <w:r w:rsidRPr="009F524E">
        <w:rPr>
          <w:rFonts w:ascii="Palatino Linotype" w:eastAsia="Palatino Linotype" w:hAnsi="Palatino Linotype" w:cs="Palatino Linotype"/>
          <w:i/>
          <w:sz w:val="22"/>
          <w:szCs w:val="22"/>
        </w:rPr>
        <w:t xml:space="preserve">.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w:t>
      </w:r>
      <w:r w:rsidRPr="009F524E">
        <w:rPr>
          <w:rFonts w:ascii="Palatino Linotype" w:eastAsia="Palatino Linotype" w:hAnsi="Palatino Linotype" w:cs="Palatino Linotype"/>
          <w:i/>
          <w:sz w:val="22"/>
          <w:szCs w:val="22"/>
        </w:rPr>
        <w:lastRenderedPageBreak/>
        <w:t>ser aquel que cause un menor daño y el que resulta indispensable privilegiarse, o sea, el que evidentemente conlleve a un mayor beneficio.”</w:t>
      </w:r>
    </w:p>
    <w:p w14:paraId="5F430BA3"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Como se aprecia de la tesis citada, cuando dos derechos fundamentales entran en colisión, el problema se debe resolver atendiendo a las características y naturaleza del caso concreto, conforme al criterio de proporcionalidad, ponderando los elementos o subprincipios de idoneidad, necesidad y proporcionalidad, antes descritos.</w:t>
      </w:r>
    </w:p>
    <w:p w14:paraId="2A224D79" w14:textId="77777777" w:rsidR="00367AE1" w:rsidRPr="009F524E" w:rsidRDefault="00215203">
      <w:pPr>
        <w:spacing w:after="120"/>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0102EBF5" w14:textId="77777777" w:rsidR="00367AE1" w:rsidRPr="009F524E" w:rsidRDefault="00215203">
      <w:pPr>
        <w:numPr>
          <w:ilvl w:val="0"/>
          <w:numId w:val="4"/>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u w:val="single"/>
        </w:rPr>
        <w:t>IDONEIDAD</w:t>
      </w:r>
      <w:r w:rsidRPr="009F524E">
        <w:rPr>
          <w:rFonts w:ascii="Palatino Linotype" w:eastAsia="Palatino Linotype" w:hAnsi="Palatino Linotype" w:cs="Palatino Linotype"/>
          <w:b/>
          <w:i/>
          <w:sz w:val="22"/>
          <w:szCs w:val="22"/>
        </w:rPr>
        <w:t>.</w:t>
      </w:r>
      <w:r w:rsidRPr="009F524E">
        <w:rPr>
          <w:rFonts w:ascii="Palatino Linotype" w:eastAsia="Palatino Linotype" w:hAnsi="Palatino Linotype" w:cs="Palatino Linotype"/>
          <w:i/>
          <w:sz w:val="22"/>
          <w:szCs w:val="22"/>
        </w:rPr>
        <w:t xml:space="preserve"> La legitimidad del derecho adoptado como preferente, que sea el adecuado para el logro de una finalidad constitucionalmente válida o apta para conseguir el fin pretendido. </w:t>
      </w:r>
    </w:p>
    <w:p w14:paraId="6822D70A" w14:textId="77777777" w:rsidR="00367AE1" w:rsidRPr="009F524E" w:rsidRDefault="00215203">
      <w:pPr>
        <w:spacing w:before="120"/>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BA08DF3"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14:paraId="7972771E" w14:textId="77777777" w:rsidR="00367AE1" w:rsidRPr="009F524E" w:rsidRDefault="00215203">
      <w:pPr>
        <w:ind w:left="851" w:right="476"/>
        <w:jc w:val="both"/>
        <w:rPr>
          <w:rFonts w:ascii="Palatino Linotype" w:eastAsia="Palatino Linotype" w:hAnsi="Palatino Linotype" w:cs="Palatino Linotype"/>
          <w:i/>
          <w:sz w:val="22"/>
          <w:szCs w:val="22"/>
        </w:rPr>
      </w:pPr>
      <w:r w:rsidRPr="009F524E">
        <w:rPr>
          <w:rFonts w:ascii="Symbol" w:eastAsia="Symbol" w:hAnsi="Symbol" w:cs="Symbol"/>
          <w:i/>
          <w:sz w:val="22"/>
          <w:szCs w:val="22"/>
        </w:rPr>
        <w:t>∙</w:t>
      </w:r>
      <w:r w:rsidRPr="009F524E">
        <w:rPr>
          <w:rFonts w:ascii="Palatino Linotype" w:eastAsia="Palatino Linotype" w:hAnsi="Palatino Linotype" w:cs="Palatino Linotype"/>
          <w:i/>
          <w:sz w:val="22"/>
          <w:szCs w:val="22"/>
        </w:rPr>
        <w:t xml:space="preserve"> En aspecto individual, maximiza el campo de la autonomía personal, posibilita el ejercicio de la libertad de expresión en un contexto diversidad de datos, voces y opiniones. </w:t>
      </w:r>
    </w:p>
    <w:p w14:paraId="3750C3EB" w14:textId="77777777" w:rsidR="00367AE1" w:rsidRPr="009F524E" w:rsidRDefault="00215203">
      <w:pPr>
        <w:ind w:left="851" w:right="476"/>
        <w:jc w:val="both"/>
        <w:rPr>
          <w:rFonts w:ascii="Palatino Linotype" w:eastAsia="Palatino Linotype" w:hAnsi="Palatino Linotype" w:cs="Palatino Linotype"/>
          <w:i/>
          <w:sz w:val="22"/>
          <w:szCs w:val="22"/>
        </w:rPr>
      </w:pPr>
      <w:r w:rsidRPr="009F524E">
        <w:rPr>
          <w:rFonts w:ascii="Symbol" w:eastAsia="Symbol" w:hAnsi="Symbol" w:cs="Symbol"/>
          <w:i/>
          <w:sz w:val="22"/>
          <w:szCs w:val="22"/>
        </w:rPr>
        <w:t>∙</w:t>
      </w:r>
      <w:r w:rsidRPr="009F524E">
        <w:rPr>
          <w:rFonts w:ascii="Palatino Linotype" w:eastAsia="Palatino Linotype" w:hAnsi="Palatino Linotype" w:cs="Palatino Linotype"/>
          <w:i/>
          <w:sz w:val="22"/>
          <w:szCs w:val="22"/>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14:paraId="3078D854"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14:paraId="270FCCB5"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Al respecto, el interés de conocer los nombres de los servidores públicos que enfrentan acusaciones sobre estos casos evidencia el ejercicio del derecho de acceso a la información, </w:t>
      </w:r>
      <w:r w:rsidRPr="009F524E">
        <w:rPr>
          <w:rFonts w:ascii="Palatino Linotype" w:eastAsia="Palatino Linotype" w:hAnsi="Palatino Linotype" w:cs="Palatino Linotype"/>
          <w:i/>
          <w:sz w:val="22"/>
          <w:szCs w:val="22"/>
        </w:rPr>
        <w:lastRenderedPageBreak/>
        <w:t xml:space="preserve">en virtud de que se trata de un caso relacionado con presuntos hechos de corrupción cometidos con recursos públicos. </w:t>
      </w:r>
    </w:p>
    <w:p w14:paraId="242D0C74" w14:textId="77777777" w:rsidR="00367AE1" w:rsidRPr="009F524E" w:rsidRDefault="00215203">
      <w:pPr>
        <w:ind w:left="425" w:right="476"/>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i/>
          <w:sz w:val="22"/>
          <w:szCs w:val="22"/>
        </w:rPr>
        <w:t xml:space="preserve">En ese orden, </w:t>
      </w:r>
      <w:r w:rsidRPr="009F524E">
        <w:rPr>
          <w:rFonts w:ascii="Palatino Linotype" w:eastAsia="Palatino Linotype" w:hAnsi="Palatino Linotype" w:cs="Palatino Linotype"/>
          <w:b/>
          <w:i/>
          <w:sz w:val="22"/>
          <w:szCs w:val="22"/>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9F524E">
        <w:rPr>
          <w:rFonts w:ascii="Palatino Linotype" w:eastAsia="Palatino Linotype" w:hAnsi="Palatino Linotype" w:cs="Palatino Linotype"/>
          <w:i/>
          <w:sz w:val="22"/>
          <w:szCs w:val="22"/>
        </w:rPr>
        <w:t xml:space="preserve"> federal a través de los recursos públicos destinados al Servicio de Administración Tributaria que dejaron de ingresar con las que </w:t>
      </w:r>
      <w:r w:rsidRPr="009F524E">
        <w:rPr>
          <w:rFonts w:ascii="Palatino Linotype" w:eastAsia="Palatino Linotype" w:hAnsi="Palatino Linotype" w:cs="Palatino Linotype"/>
          <w:b/>
          <w:i/>
          <w:sz w:val="22"/>
          <w:szCs w:val="22"/>
        </w:rPr>
        <w:t>se presume obtuvieron un beneficio personal</w:t>
      </w:r>
      <w:r w:rsidRPr="009F524E">
        <w:rPr>
          <w:rFonts w:ascii="Palatino Linotype" w:eastAsia="Palatino Linotype" w:hAnsi="Palatino Linotype" w:cs="Palatino Linotype"/>
          <w:i/>
          <w:sz w:val="22"/>
          <w:szCs w:val="22"/>
        </w:rPr>
        <w:t xml:space="preserve">, luego entonces </w:t>
      </w:r>
      <w:r w:rsidRPr="009F524E">
        <w:rPr>
          <w:rFonts w:ascii="Palatino Linotype" w:eastAsia="Palatino Linotype" w:hAnsi="Palatino Linotype" w:cs="Palatino Linotype"/>
          <w:b/>
          <w:i/>
          <w:sz w:val="22"/>
          <w:szCs w:val="22"/>
        </w:rPr>
        <w:t xml:space="preserve">existe una preferencia social mayor que trasciende para dar a conocer, precisamente los nombres de los servidores que enfrentan acusaciones sobre este caso. </w:t>
      </w:r>
    </w:p>
    <w:p w14:paraId="6F4389AA" w14:textId="77777777" w:rsidR="00367AE1" w:rsidRPr="009F524E" w:rsidRDefault="00215203">
      <w:pPr>
        <w:spacing w:after="120"/>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14:paraId="0D05428F" w14:textId="77777777" w:rsidR="00367AE1" w:rsidRPr="009F524E" w:rsidRDefault="00215203">
      <w:pPr>
        <w:numPr>
          <w:ilvl w:val="0"/>
          <w:numId w:val="4"/>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u w:val="single"/>
        </w:rPr>
        <w:t>NECESIDAD</w:t>
      </w:r>
      <w:r w:rsidRPr="009F524E">
        <w:rPr>
          <w:rFonts w:ascii="Palatino Linotype" w:eastAsia="Palatino Linotype" w:hAnsi="Palatino Linotype" w:cs="Palatino Linotype"/>
          <w:i/>
          <w:sz w:val="22"/>
          <w:szCs w:val="22"/>
        </w:rPr>
        <w:t xml:space="preserve">. La falta de un medio alternativo menos lesivo a la apertura de la información, para satisfacer el interés público. </w:t>
      </w:r>
    </w:p>
    <w:p w14:paraId="1DD72EE9" w14:textId="77777777" w:rsidR="00367AE1" w:rsidRPr="009F524E" w:rsidRDefault="00215203">
      <w:pPr>
        <w:spacing w:before="120"/>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14:paraId="632F54A5"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Esto es, </w:t>
      </w:r>
      <w:r w:rsidRPr="009F524E">
        <w:rPr>
          <w:rFonts w:ascii="Palatino Linotype" w:eastAsia="Palatino Linotype" w:hAnsi="Palatino Linotype" w:cs="Palatino Linotype"/>
          <w:b/>
          <w:i/>
          <w:sz w:val="22"/>
          <w:szCs w:val="22"/>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9F524E">
        <w:rPr>
          <w:rFonts w:ascii="Palatino Linotype" w:eastAsia="Palatino Linotype" w:hAnsi="Palatino Linotype" w:cs="Palatino Linotype"/>
          <w:i/>
          <w:sz w:val="22"/>
          <w:szCs w:val="22"/>
        </w:rPr>
        <w:t xml:space="preserve">, tales como cohecho, peculado y enriquecimiento ilícito, catalogados como actos de corrupción en el Código Penal Federal, así como en la Convención Interamericana contra la Corrupción. </w:t>
      </w:r>
    </w:p>
    <w:p w14:paraId="29CF1A08" w14:textId="77777777" w:rsidR="00367AE1" w:rsidRPr="009F524E" w:rsidRDefault="00215203">
      <w:pPr>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w:t>
      </w:r>
      <w:r w:rsidRPr="009F524E">
        <w:rPr>
          <w:rFonts w:ascii="Palatino Linotype" w:eastAsia="Palatino Linotype" w:hAnsi="Palatino Linotype" w:cs="Palatino Linotype"/>
          <w:i/>
          <w:sz w:val="22"/>
          <w:szCs w:val="22"/>
        </w:rPr>
        <w:lastRenderedPageBreak/>
        <w:t xml:space="preserve">indudablemente repercute en la economía del país, así como el nombre de cualquier otra persona involucrada en los hechos. </w:t>
      </w:r>
    </w:p>
    <w:p w14:paraId="09266174" w14:textId="77777777" w:rsidR="00367AE1" w:rsidRPr="009F524E" w:rsidRDefault="00215203">
      <w:pPr>
        <w:spacing w:after="120"/>
        <w:ind w:left="425" w:right="476"/>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RPr="009F524E">
        <w:rPr>
          <w:rFonts w:ascii="Palatino Linotype" w:eastAsia="Palatino Linotype" w:hAnsi="Palatino Linotype" w:cs="Palatino Linotype"/>
          <w:b/>
          <w:i/>
          <w:sz w:val="22"/>
          <w:szCs w:val="22"/>
        </w:rPr>
        <w:t xml:space="preserve"> </w:t>
      </w:r>
    </w:p>
    <w:p w14:paraId="207549A1" w14:textId="77777777" w:rsidR="00367AE1" w:rsidRPr="009F524E" w:rsidRDefault="00215203">
      <w:pPr>
        <w:numPr>
          <w:ilvl w:val="0"/>
          <w:numId w:val="4"/>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u w:val="single"/>
        </w:rPr>
        <w:t>PROPORCIONALIDAD</w:t>
      </w:r>
      <w:r w:rsidRPr="009F524E">
        <w:rPr>
          <w:rFonts w:ascii="Palatino Linotype" w:eastAsia="Palatino Linotype" w:hAnsi="Palatino Linotype" w:cs="Palatino Linotype"/>
          <w:i/>
          <w:sz w:val="22"/>
          <w:szCs w:val="22"/>
          <w:u w:val="single"/>
        </w:rPr>
        <w:t>.</w:t>
      </w:r>
      <w:r w:rsidRPr="009F524E">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 </w:t>
      </w:r>
    </w:p>
    <w:p w14:paraId="4E965897" w14:textId="77777777" w:rsidR="00367AE1" w:rsidRPr="009F524E" w:rsidRDefault="00215203">
      <w:pPr>
        <w:spacing w:before="240"/>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Conforme a lo expuesto, </w:t>
      </w:r>
      <w:r w:rsidRPr="009F524E">
        <w:rPr>
          <w:rFonts w:ascii="Palatino Linotype" w:eastAsia="Palatino Linotype" w:hAnsi="Palatino Linotype" w:cs="Palatino Linotype"/>
          <w:b/>
          <w:i/>
          <w:sz w:val="22"/>
          <w:szCs w:val="22"/>
        </w:rPr>
        <w:t>si bien se causa un perjuicio a la intimidad, honor, imagen y presunción de inocencia, de los servidores y ex servidores públicos que enfrentan acusaciones sobre diversos casos</w:t>
      </w:r>
      <w:r w:rsidRPr="009F524E">
        <w:rPr>
          <w:rFonts w:ascii="Palatino Linotype" w:eastAsia="Palatino Linotype" w:hAnsi="Palatino Linotype" w:cs="Palatino Linotype"/>
          <w:i/>
          <w:sz w:val="22"/>
          <w:szCs w:val="22"/>
        </w:rPr>
        <w:t xml:space="preserve">, lo cierto es que, </w:t>
      </w:r>
      <w:r w:rsidRPr="009F524E">
        <w:rPr>
          <w:rFonts w:ascii="Palatino Linotype" w:eastAsia="Palatino Linotype" w:hAnsi="Palatino Linotype" w:cs="Palatino Linotype"/>
          <w:b/>
          <w:i/>
          <w:sz w:val="22"/>
          <w:szCs w:val="22"/>
        </w:rPr>
        <w:t>divulgar sus nombres representa un beneficio mayor para la sociedad puesto que rinde cuentas sobre quiénes están probablemente implicados en conductas relacionadas con hechos de corrupción</w:t>
      </w:r>
      <w:r w:rsidRPr="009F524E">
        <w:rPr>
          <w:rFonts w:ascii="Palatino Linotype" w:eastAsia="Palatino Linotype" w:hAnsi="Palatino Linotype" w:cs="Palatino Linotype"/>
          <w:i/>
          <w:sz w:val="22"/>
          <w:szCs w:val="22"/>
        </w:rPr>
        <w:t xml:space="preserve">. </w:t>
      </w:r>
    </w:p>
    <w:p w14:paraId="78D16E0C" w14:textId="77777777" w:rsidR="00367AE1" w:rsidRPr="009F524E" w:rsidRDefault="00215203">
      <w:pPr>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Sumado a lo anterior, debemos recordar que uno de los señalamientos de la Convención Interamericana contra la Corrupción, lo cual ha sido ratificado por México, es que la corrupción atenta contra la sociedad, el orden moral y la justicia. </w:t>
      </w:r>
    </w:p>
    <w:p w14:paraId="1577B05B" w14:textId="77777777" w:rsidR="00367AE1" w:rsidRPr="009F524E" w:rsidRDefault="00215203">
      <w:pPr>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De manera que, si la Fiscalía General de la República </w:t>
      </w:r>
      <w:proofErr w:type="spellStart"/>
      <w:r w:rsidRPr="009F524E">
        <w:rPr>
          <w:rFonts w:ascii="Palatino Linotype" w:eastAsia="Palatino Linotype" w:hAnsi="Palatino Linotype" w:cs="Palatino Linotype"/>
          <w:i/>
          <w:sz w:val="22"/>
          <w:szCs w:val="22"/>
        </w:rPr>
        <w:t>aperturó</w:t>
      </w:r>
      <w:proofErr w:type="spellEnd"/>
      <w:r w:rsidRPr="009F524E">
        <w:rPr>
          <w:rFonts w:ascii="Palatino Linotype" w:eastAsia="Palatino Linotype" w:hAnsi="Palatino Linotype" w:cs="Palatino Linotype"/>
          <w:i/>
          <w:sz w:val="22"/>
          <w:szCs w:val="22"/>
        </w:rPr>
        <w:t xml:space="preserve">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14:paraId="2BB55F69" w14:textId="77777777" w:rsidR="00367AE1" w:rsidRPr="009F524E" w:rsidRDefault="00215203">
      <w:pPr>
        <w:ind w:left="426" w:right="474"/>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14:paraId="681A1C81" w14:textId="77777777" w:rsidR="00367AE1" w:rsidRPr="009F524E" w:rsidRDefault="00215203">
      <w:pPr>
        <w:ind w:left="426" w:right="474"/>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i/>
          <w:sz w:val="22"/>
          <w:szCs w:val="22"/>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RPr="009F524E">
        <w:rPr>
          <w:rFonts w:ascii="Palatino Linotype" w:eastAsia="Palatino Linotype" w:hAnsi="Palatino Linotype" w:cs="Palatino Linotype"/>
          <w:b/>
          <w:i/>
          <w:sz w:val="22"/>
          <w:szCs w:val="22"/>
        </w:rPr>
        <w:t>no es posible clasificarla en términos del artículo 113, fracción I de la Ley de la materia.”(Sic)</w:t>
      </w:r>
    </w:p>
    <w:p w14:paraId="4CC46724" w14:textId="77777777" w:rsidR="00367AE1" w:rsidRPr="009F524E" w:rsidRDefault="00367AE1">
      <w:pPr>
        <w:ind w:left="426" w:right="474"/>
        <w:jc w:val="both"/>
        <w:rPr>
          <w:rFonts w:ascii="Palatino Linotype" w:eastAsia="Palatino Linotype" w:hAnsi="Palatino Linotype" w:cs="Palatino Linotype"/>
          <w:b/>
          <w:i/>
          <w:sz w:val="22"/>
          <w:szCs w:val="22"/>
        </w:rPr>
      </w:pPr>
    </w:p>
    <w:p w14:paraId="25B5A799" w14:textId="77777777" w:rsidR="00367AE1" w:rsidRPr="009F524E" w:rsidRDefault="00215203">
      <w:pPr>
        <w:spacing w:after="240"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De lo hasta aquí expuesto, se concluye que los motivos de inconformidad de la parte </w:t>
      </w:r>
      <w:r w:rsidRPr="009F524E">
        <w:rPr>
          <w:rFonts w:ascii="Palatino Linotype" w:eastAsia="Palatino Linotype" w:hAnsi="Palatino Linotype" w:cs="Palatino Linotype"/>
          <w:b/>
        </w:rPr>
        <w:t xml:space="preserve">RECURRENTE </w:t>
      </w:r>
      <w:r w:rsidRPr="009F524E">
        <w:rPr>
          <w:rFonts w:ascii="Palatino Linotype" w:eastAsia="Palatino Linotype" w:hAnsi="Palatino Linotype" w:cs="Palatino Linotype"/>
        </w:rPr>
        <w:t xml:space="preserve">devienen fundados, siendo procedente </w:t>
      </w:r>
      <w:r w:rsidRPr="009F524E">
        <w:rPr>
          <w:rFonts w:ascii="Palatino Linotype" w:eastAsia="Palatino Linotype" w:hAnsi="Palatino Linotype" w:cs="Palatino Linotype"/>
          <w:i/>
        </w:rPr>
        <w:t xml:space="preserve">Ordenar </w:t>
      </w:r>
      <w:r w:rsidRPr="009F524E">
        <w:rPr>
          <w:rFonts w:ascii="Palatino Linotype" w:eastAsia="Palatino Linotype" w:hAnsi="Palatino Linotype" w:cs="Palatino Linotype"/>
        </w:rPr>
        <w:t xml:space="preserve">al </w:t>
      </w:r>
      <w:r w:rsidRPr="009F524E">
        <w:rPr>
          <w:rFonts w:ascii="Palatino Linotype" w:eastAsia="Palatino Linotype" w:hAnsi="Palatino Linotype" w:cs="Palatino Linotype"/>
          <w:b/>
        </w:rPr>
        <w:t xml:space="preserve">SUJETO OBLIGADO </w:t>
      </w:r>
      <w:r w:rsidRPr="009F524E">
        <w:rPr>
          <w:rFonts w:ascii="Palatino Linotype" w:eastAsia="Palatino Linotype" w:hAnsi="Palatino Linotype" w:cs="Palatino Linotype"/>
        </w:rPr>
        <w:t>la entrega de la información</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rPr>
        <w:t xml:space="preserve">en términos del artículo 186 fracción IV </w:t>
      </w:r>
      <w:r w:rsidRPr="009F524E">
        <w:rPr>
          <w:rFonts w:ascii="Palatino Linotype" w:eastAsia="Palatino Linotype" w:hAnsi="Palatino Linotype" w:cs="Palatino Linotype"/>
        </w:rPr>
        <w:lastRenderedPageBreak/>
        <w:t>de la Ley de Transparencia y Acceso a la Información Pública del Estado de México y Municipios.</w:t>
      </w:r>
    </w:p>
    <w:p w14:paraId="44EB520D" w14:textId="77777777" w:rsidR="00367AE1" w:rsidRPr="009F524E" w:rsidRDefault="00215203">
      <w:pPr>
        <w:spacing w:before="240" w:after="240" w:line="360" w:lineRule="auto"/>
        <w:ind w:right="49"/>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Quinto. Versión Pública. </w:t>
      </w:r>
      <w:r w:rsidRPr="009F524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sin menoscabar el derecho a la protección de los datos personales de terceros.</w:t>
      </w:r>
    </w:p>
    <w:p w14:paraId="12B7A2C7" w14:textId="77777777" w:rsidR="00367AE1" w:rsidRPr="009F524E" w:rsidRDefault="00367AE1">
      <w:pPr>
        <w:spacing w:line="360" w:lineRule="auto"/>
        <w:jc w:val="both"/>
        <w:rPr>
          <w:rFonts w:ascii="Palatino Linotype" w:eastAsia="Palatino Linotype" w:hAnsi="Palatino Linotype" w:cs="Palatino Linotype"/>
        </w:rPr>
      </w:pPr>
    </w:p>
    <w:p w14:paraId="29EC6EE8" w14:textId="77777777" w:rsidR="00367AE1" w:rsidRPr="009F524E" w:rsidRDefault="00215203">
      <w:pPr>
        <w:spacing w:after="240" w:line="360" w:lineRule="auto"/>
        <w:ind w:right="50"/>
        <w:jc w:val="both"/>
        <w:rPr>
          <w:rFonts w:ascii="Palatino Linotype" w:eastAsia="Palatino Linotype" w:hAnsi="Palatino Linotype" w:cs="Palatino Linotype"/>
        </w:rPr>
      </w:pPr>
      <w:r w:rsidRPr="009F524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E67801D" w14:textId="77777777" w:rsidR="00367AE1" w:rsidRPr="009F524E" w:rsidRDefault="00215203">
      <w:pPr>
        <w:ind w:left="993" w:right="1041"/>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 xml:space="preserve"> “Artículo 3. Para los efectos de la presente Ley se entenderá por:</w:t>
      </w:r>
    </w:p>
    <w:p w14:paraId="13AABD77"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IX. Datos personales:</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La información concerniente a una persona, identificada o identificable</w:t>
      </w:r>
      <w:r w:rsidRPr="009F524E">
        <w:rPr>
          <w:rFonts w:ascii="Palatino Linotype" w:eastAsia="Palatino Linotype" w:hAnsi="Palatino Linotype" w:cs="Palatino Linotype"/>
          <w:i/>
          <w:sz w:val="22"/>
          <w:szCs w:val="22"/>
        </w:rPr>
        <w:t xml:space="preserve"> según lo dispuesto por la Ley de Protección de Datos Personales del Estado de México;</w:t>
      </w:r>
    </w:p>
    <w:p w14:paraId="18334B7C"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XX. Información clasificada:</w:t>
      </w:r>
      <w:r w:rsidRPr="009F524E">
        <w:rPr>
          <w:rFonts w:ascii="Palatino Linotype" w:eastAsia="Palatino Linotype" w:hAnsi="Palatino Linotype" w:cs="Palatino Linotype"/>
          <w:i/>
          <w:sz w:val="22"/>
          <w:szCs w:val="22"/>
        </w:rPr>
        <w:t xml:space="preserve"> Aquella considerada por la presente Ley como reservada o confidencial;</w:t>
      </w:r>
    </w:p>
    <w:p w14:paraId="02E391F1"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XXXII. Protección de Datos Personales:</w:t>
      </w:r>
      <w:r w:rsidRPr="009F524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F627F5F"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XLV. Versión pública</w:t>
      </w:r>
      <w:r w:rsidRPr="009F524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BD61E4" w14:textId="77777777" w:rsidR="00367AE1" w:rsidRPr="009F524E" w:rsidRDefault="00367AE1">
      <w:pPr>
        <w:ind w:left="993" w:right="1041"/>
        <w:jc w:val="both"/>
        <w:rPr>
          <w:rFonts w:ascii="Palatino Linotype" w:eastAsia="Palatino Linotype" w:hAnsi="Palatino Linotype" w:cs="Palatino Linotype"/>
          <w:i/>
          <w:sz w:val="22"/>
          <w:szCs w:val="22"/>
        </w:rPr>
      </w:pPr>
    </w:p>
    <w:p w14:paraId="6C61347A"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lastRenderedPageBreak/>
        <w:t>“Artículo 6.</w:t>
      </w:r>
      <w:r w:rsidRPr="009F524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827258D" w14:textId="77777777" w:rsidR="00367AE1" w:rsidRPr="009F524E" w:rsidRDefault="00367AE1">
      <w:pPr>
        <w:ind w:left="993" w:right="1041"/>
        <w:jc w:val="both"/>
        <w:rPr>
          <w:rFonts w:ascii="Palatino Linotype" w:eastAsia="Palatino Linotype" w:hAnsi="Palatino Linotype" w:cs="Palatino Linotype"/>
          <w:i/>
          <w:sz w:val="22"/>
          <w:szCs w:val="22"/>
        </w:rPr>
      </w:pPr>
    </w:p>
    <w:p w14:paraId="40D88E87" w14:textId="77777777" w:rsidR="00367AE1" w:rsidRPr="009F524E" w:rsidRDefault="00215203">
      <w:pPr>
        <w:ind w:left="993" w:right="1041"/>
        <w:jc w:val="both"/>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“Artículo 137.</w:t>
      </w:r>
      <w:r w:rsidRPr="009F524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E0B7FE" w14:textId="77777777" w:rsidR="00367AE1" w:rsidRPr="009F524E" w:rsidRDefault="00367AE1">
      <w:pPr>
        <w:ind w:left="993" w:right="1041"/>
        <w:jc w:val="both"/>
        <w:rPr>
          <w:rFonts w:ascii="Palatino Linotype" w:eastAsia="Palatino Linotype" w:hAnsi="Palatino Linotype" w:cs="Palatino Linotype"/>
          <w:b/>
          <w:i/>
          <w:sz w:val="22"/>
          <w:szCs w:val="22"/>
        </w:rPr>
      </w:pPr>
    </w:p>
    <w:p w14:paraId="1DFF7B25"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143</w:t>
      </w:r>
      <w:r w:rsidRPr="009F524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D23F52F"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w:t>
      </w:r>
      <w:r w:rsidRPr="009F524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781F580"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FB3F8DA" w14:textId="77777777" w:rsidR="00367AE1" w:rsidRPr="009F524E" w:rsidRDefault="00215203">
      <w:pPr>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65EBCBA" w14:textId="77777777" w:rsidR="00367AE1" w:rsidRPr="009F524E" w:rsidRDefault="00367AE1">
      <w:pPr>
        <w:ind w:left="993" w:right="1041"/>
        <w:jc w:val="both"/>
        <w:rPr>
          <w:rFonts w:ascii="Palatino Linotype" w:eastAsia="Palatino Linotype" w:hAnsi="Palatino Linotype" w:cs="Palatino Linotype"/>
          <w:i/>
          <w:sz w:val="22"/>
          <w:szCs w:val="22"/>
        </w:rPr>
      </w:pPr>
    </w:p>
    <w:p w14:paraId="5B7B1D63"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9F524E">
        <w:rPr>
          <w:rFonts w:ascii="Palatino Linotype" w:eastAsia="Palatino Linotype" w:hAnsi="Palatino Linotype" w:cs="Palatino Linotype"/>
          <w:b/>
        </w:rPr>
        <w:t>RECURRENTE</w:t>
      </w:r>
      <w:r w:rsidRPr="009F524E">
        <w:rPr>
          <w:rFonts w:ascii="Palatino Linotype" w:eastAsia="Palatino Linotype" w:hAnsi="Palatino Linotype" w:cs="Palatino Linotype"/>
        </w:rPr>
        <w:t xml:space="preserve">, esto es, los datos concernientes a una persona identificada o identificable, o aquellos </w:t>
      </w:r>
      <w:r w:rsidRPr="009F524E">
        <w:rPr>
          <w:rFonts w:ascii="Palatino Linotype" w:eastAsia="Palatino Linotype" w:hAnsi="Palatino Linotype" w:cs="Palatino Linotype"/>
        </w:rPr>
        <w:lastRenderedPageBreak/>
        <w:t>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D23356F" w14:textId="77777777" w:rsidR="00367AE1" w:rsidRPr="009F524E" w:rsidRDefault="00367AE1">
      <w:pPr>
        <w:spacing w:line="360" w:lineRule="auto"/>
        <w:ind w:right="51"/>
        <w:jc w:val="both"/>
        <w:rPr>
          <w:rFonts w:ascii="Palatino Linotype" w:eastAsia="Palatino Linotype" w:hAnsi="Palatino Linotype" w:cs="Palatino Linotype"/>
        </w:rPr>
      </w:pPr>
    </w:p>
    <w:p w14:paraId="6AC5AE53" w14:textId="77777777" w:rsidR="00367AE1" w:rsidRPr="009F524E" w:rsidRDefault="00215203">
      <w:pPr>
        <w:spacing w:line="360" w:lineRule="auto"/>
        <w:ind w:right="50"/>
        <w:jc w:val="both"/>
        <w:rPr>
          <w:rFonts w:ascii="Palatino Linotype" w:eastAsia="Palatino Linotype" w:hAnsi="Palatino Linotype" w:cs="Palatino Linotype"/>
        </w:rPr>
      </w:pPr>
      <w:r w:rsidRPr="009F524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CBD9F89" w14:textId="77777777" w:rsidR="00367AE1" w:rsidRPr="009F524E" w:rsidRDefault="00367AE1">
      <w:pPr>
        <w:spacing w:line="360" w:lineRule="auto"/>
        <w:ind w:right="51"/>
        <w:jc w:val="both"/>
        <w:rPr>
          <w:rFonts w:ascii="Palatino Linotype" w:eastAsia="Palatino Linotype" w:hAnsi="Palatino Linotype" w:cs="Palatino Linotype"/>
        </w:rPr>
      </w:pPr>
    </w:p>
    <w:p w14:paraId="519E2E80"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3C6AB546" w14:textId="77777777" w:rsidR="00367AE1" w:rsidRPr="009F524E" w:rsidRDefault="00367AE1">
      <w:pPr>
        <w:spacing w:line="360" w:lineRule="auto"/>
        <w:ind w:right="51"/>
        <w:jc w:val="both"/>
        <w:rPr>
          <w:rFonts w:ascii="Palatino Linotype" w:eastAsia="Palatino Linotype" w:hAnsi="Palatino Linotype" w:cs="Palatino Linotype"/>
        </w:rPr>
      </w:pPr>
    </w:p>
    <w:p w14:paraId="64B910EC"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49.</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Los Comités de Transparencia</w:t>
      </w:r>
      <w:r w:rsidRPr="009F524E">
        <w:rPr>
          <w:rFonts w:ascii="Palatino Linotype" w:eastAsia="Palatino Linotype" w:hAnsi="Palatino Linotype" w:cs="Palatino Linotype"/>
          <w:i/>
          <w:sz w:val="22"/>
          <w:szCs w:val="22"/>
        </w:rPr>
        <w:t xml:space="preserve"> tendrán las siguientes atribuciones:</w:t>
      </w:r>
    </w:p>
    <w:p w14:paraId="2ACB2D6A"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VIII. Aprobar, modificar o revocar la clasificación de la información</w:t>
      </w:r>
      <w:r w:rsidRPr="009F524E">
        <w:rPr>
          <w:rFonts w:ascii="Palatino Linotype" w:eastAsia="Palatino Linotype" w:hAnsi="Palatino Linotype" w:cs="Palatino Linotype"/>
          <w:i/>
          <w:sz w:val="22"/>
          <w:szCs w:val="22"/>
        </w:rPr>
        <w:t>…”</w:t>
      </w:r>
    </w:p>
    <w:p w14:paraId="4F9A02C4"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Artículo 53.</w:t>
      </w:r>
      <w:r w:rsidRPr="009F524E">
        <w:rPr>
          <w:rFonts w:ascii="Palatino Linotype" w:eastAsia="Palatino Linotype" w:hAnsi="Palatino Linotype" w:cs="Palatino Linotype"/>
          <w:i/>
          <w:sz w:val="22"/>
          <w:szCs w:val="22"/>
        </w:rPr>
        <w:t xml:space="preserve"> Las </w:t>
      </w:r>
      <w:r w:rsidRPr="009F524E">
        <w:rPr>
          <w:rFonts w:ascii="Palatino Linotype" w:eastAsia="Palatino Linotype" w:hAnsi="Palatino Linotype" w:cs="Palatino Linotype"/>
          <w:b/>
          <w:i/>
          <w:sz w:val="22"/>
          <w:szCs w:val="22"/>
        </w:rPr>
        <w:t>Unidades de Transparencia</w:t>
      </w:r>
      <w:r w:rsidRPr="009F524E">
        <w:rPr>
          <w:rFonts w:ascii="Palatino Linotype" w:eastAsia="Palatino Linotype" w:hAnsi="Palatino Linotype" w:cs="Palatino Linotype"/>
          <w:i/>
          <w:sz w:val="22"/>
          <w:szCs w:val="22"/>
        </w:rPr>
        <w:t xml:space="preserve"> tendrán las siguientes </w:t>
      </w:r>
      <w:r w:rsidRPr="009F524E">
        <w:rPr>
          <w:rFonts w:ascii="Palatino Linotype" w:eastAsia="Palatino Linotype" w:hAnsi="Palatino Linotype" w:cs="Palatino Linotype"/>
          <w:b/>
          <w:i/>
          <w:sz w:val="22"/>
          <w:szCs w:val="22"/>
        </w:rPr>
        <w:t>funciones</w:t>
      </w:r>
      <w:r w:rsidRPr="009F524E">
        <w:rPr>
          <w:rFonts w:ascii="Palatino Linotype" w:eastAsia="Palatino Linotype" w:hAnsi="Palatino Linotype" w:cs="Palatino Linotype"/>
          <w:i/>
          <w:sz w:val="22"/>
          <w:szCs w:val="22"/>
        </w:rPr>
        <w:t>:</w:t>
      </w:r>
    </w:p>
    <w:p w14:paraId="6268E913"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X. Presentar ante el Comité, el proyecto de clasificación de información</w:t>
      </w:r>
      <w:r w:rsidRPr="009F524E">
        <w:rPr>
          <w:rFonts w:ascii="Palatino Linotype" w:eastAsia="Palatino Linotype" w:hAnsi="Palatino Linotype" w:cs="Palatino Linotype"/>
          <w:i/>
          <w:sz w:val="22"/>
          <w:szCs w:val="22"/>
        </w:rPr>
        <w:t xml:space="preserve">…” </w:t>
      </w:r>
    </w:p>
    <w:p w14:paraId="6DC26FDE"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“Artículo 59.</w:t>
      </w:r>
      <w:r w:rsidRPr="009F524E">
        <w:rPr>
          <w:rFonts w:ascii="Palatino Linotype" w:eastAsia="Palatino Linotype" w:hAnsi="Palatino Linotype" w:cs="Palatino Linotype"/>
          <w:i/>
          <w:sz w:val="22"/>
          <w:szCs w:val="22"/>
        </w:rPr>
        <w:t xml:space="preserve"> Los </w:t>
      </w:r>
      <w:r w:rsidRPr="009F524E">
        <w:rPr>
          <w:rFonts w:ascii="Palatino Linotype" w:eastAsia="Palatino Linotype" w:hAnsi="Palatino Linotype" w:cs="Palatino Linotype"/>
          <w:b/>
          <w:i/>
          <w:sz w:val="22"/>
          <w:szCs w:val="22"/>
        </w:rPr>
        <w:t>servidores públicos habilitados</w:t>
      </w:r>
      <w:r w:rsidRPr="009F524E">
        <w:rPr>
          <w:rFonts w:ascii="Palatino Linotype" w:eastAsia="Palatino Linotype" w:hAnsi="Palatino Linotype" w:cs="Palatino Linotype"/>
          <w:i/>
          <w:sz w:val="22"/>
          <w:szCs w:val="22"/>
        </w:rPr>
        <w:t xml:space="preserve"> tendrán las </w:t>
      </w:r>
      <w:r w:rsidRPr="009F524E">
        <w:rPr>
          <w:rFonts w:ascii="Palatino Linotype" w:eastAsia="Palatino Linotype" w:hAnsi="Palatino Linotype" w:cs="Palatino Linotype"/>
          <w:b/>
          <w:i/>
          <w:sz w:val="22"/>
          <w:szCs w:val="22"/>
        </w:rPr>
        <w:t>funciones</w:t>
      </w:r>
      <w:r w:rsidRPr="009F524E">
        <w:rPr>
          <w:rFonts w:ascii="Palatino Linotype" w:eastAsia="Palatino Linotype" w:hAnsi="Palatino Linotype" w:cs="Palatino Linotype"/>
          <w:i/>
          <w:sz w:val="22"/>
          <w:szCs w:val="22"/>
        </w:rPr>
        <w:t xml:space="preserve"> siguientes:</w:t>
      </w:r>
    </w:p>
    <w:p w14:paraId="574A7C0D" w14:textId="77777777" w:rsidR="00367AE1" w:rsidRPr="009F524E" w:rsidRDefault="00215203">
      <w:pPr>
        <w:ind w:left="992" w:right="1043"/>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9F524E">
        <w:rPr>
          <w:rFonts w:ascii="Palatino Linotype" w:eastAsia="Palatino Linotype" w:hAnsi="Palatino Linotype" w:cs="Palatino Linotype"/>
          <w:i/>
          <w:sz w:val="22"/>
          <w:szCs w:val="22"/>
        </w:rPr>
        <w:t>, la cual tendrá los fundamentos y argumentos en que se basa dicha propuesta…” (Sic)</w:t>
      </w:r>
    </w:p>
    <w:p w14:paraId="5F85E7D8" w14:textId="77777777" w:rsidR="00367AE1" w:rsidRPr="009F524E" w:rsidRDefault="00367AE1">
      <w:pPr>
        <w:ind w:left="992" w:right="1043"/>
        <w:jc w:val="both"/>
        <w:rPr>
          <w:rFonts w:ascii="Palatino Linotype" w:eastAsia="Palatino Linotype" w:hAnsi="Palatino Linotype" w:cs="Palatino Linotype"/>
          <w:i/>
          <w:sz w:val="22"/>
          <w:szCs w:val="22"/>
        </w:rPr>
      </w:pPr>
    </w:p>
    <w:p w14:paraId="2F1C439A"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5A47A1" w14:textId="77777777" w:rsidR="00367AE1" w:rsidRPr="009F524E" w:rsidRDefault="00367AE1">
      <w:pPr>
        <w:spacing w:line="360" w:lineRule="auto"/>
        <w:jc w:val="both"/>
        <w:rPr>
          <w:rFonts w:ascii="Palatino Linotype" w:eastAsia="Palatino Linotype" w:hAnsi="Palatino Linotype" w:cs="Palatino Linotype"/>
        </w:rPr>
      </w:pPr>
    </w:p>
    <w:p w14:paraId="247ADFC7"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8E7AB8A" w14:textId="77777777" w:rsidR="00367AE1" w:rsidRPr="009F524E" w:rsidRDefault="00215203">
      <w:pPr>
        <w:spacing w:after="240"/>
        <w:ind w:left="993" w:right="1041"/>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Artículo 149.</w:t>
      </w:r>
      <w:r w:rsidRPr="009F524E">
        <w:rPr>
          <w:rFonts w:ascii="Palatino Linotype" w:eastAsia="Palatino Linotype" w:hAnsi="Palatino Linotype" w:cs="Palatino Linotype"/>
          <w:i/>
          <w:sz w:val="22"/>
          <w:szCs w:val="22"/>
        </w:rPr>
        <w:t xml:space="preserve"> El </w:t>
      </w:r>
      <w:r w:rsidRPr="009F524E">
        <w:rPr>
          <w:rFonts w:ascii="Palatino Linotype" w:eastAsia="Palatino Linotype" w:hAnsi="Palatino Linotype" w:cs="Palatino Linotype"/>
          <w:b/>
          <w:i/>
          <w:sz w:val="22"/>
          <w:szCs w:val="22"/>
        </w:rPr>
        <w:t>acuerdo que clasifique la información como confidencial</w:t>
      </w:r>
      <w:r w:rsidRPr="009F524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AAC833C" w14:textId="77777777" w:rsidR="00367AE1" w:rsidRPr="009F524E" w:rsidRDefault="00367AE1">
      <w:pPr>
        <w:spacing w:before="240" w:line="360" w:lineRule="auto"/>
        <w:ind w:right="51"/>
        <w:jc w:val="both"/>
        <w:rPr>
          <w:rFonts w:ascii="Palatino Linotype" w:eastAsia="Palatino Linotype" w:hAnsi="Palatino Linotype" w:cs="Palatino Linotype"/>
          <w:i/>
          <w:sz w:val="22"/>
          <w:szCs w:val="22"/>
        </w:rPr>
      </w:pPr>
    </w:p>
    <w:p w14:paraId="17334DD2" w14:textId="77777777" w:rsidR="00367AE1" w:rsidRPr="009F524E" w:rsidRDefault="00215203">
      <w:pPr>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Es decir,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9F524E">
        <w:rPr>
          <w:rFonts w:ascii="Palatino Linotype" w:eastAsia="Palatino Linotype" w:hAnsi="Palatino Linotype" w:cs="Palatino Linotype"/>
        </w:rPr>
        <w:lastRenderedPageBreak/>
        <w:t>tachado; en otras palabras si no se exponen de manera puntual las razones de la versión pública de la documentación entregada se estaría violentando el derecho de acceso a la información de la parte solicitante.</w:t>
      </w:r>
    </w:p>
    <w:p w14:paraId="263D2D89" w14:textId="77777777" w:rsidR="00367AE1" w:rsidRPr="009F524E" w:rsidRDefault="00367AE1">
      <w:pPr>
        <w:spacing w:line="360" w:lineRule="auto"/>
        <w:jc w:val="both"/>
        <w:rPr>
          <w:rFonts w:ascii="Palatino Linotype" w:eastAsia="Palatino Linotype" w:hAnsi="Palatino Linotype" w:cs="Palatino Linotype"/>
        </w:rPr>
      </w:pPr>
    </w:p>
    <w:p w14:paraId="140895BF"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Al respecto, se destaca que la versión pública que elabore 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9F524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9F524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286583F9" w14:textId="77777777" w:rsidR="00367AE1" w:rsidRPr="009F524E" w:rsidRDefault="00367AE1">
      <w:pPr>
        <w:ind w:left="709" w:right="709"/>
        <w:jc w:val="both"/>
        <w:rPr>
          <w:rFonts w:ascii="Palatino Linotype" w:eastAsia="Palatino Linotype" w:hAnsi="Palatino Linotype" w:cs="Palatino Linotype"/>
          <w:b/>
          <w:i/>
          <w:sz w:val="22"/>
          <w:szCs w:val="22"/>
        </w:rPr>
      </w:pPr>
    </w:p>
    <w:p w14:paraId="5984BB27"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40C9CE3"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w:t>
      </w:r>
      <w:r w:rsidRPr="009F524E">
        <w:rPr>
          <w:rFonts w:ascii="Palatino Linotype" w:eastAsia="Palatino Linotype" w:hAnsi="Palatino Linotype" w:cs="Palatino Linotype"/>
          <w:b/>
          <w:i/>
          <w:sz w:val="22"/>
          <w:szCs w:val="22"/>
        </w:rPr>
        <w:t>Segundo.-</w:t>
      </w:r>
      <w:r w:rsidRPr="009F524E">
        <w:rPr>
          <w:rFonts w:ascii="Palatino Linotype" w:eastAsia="Palatino Linotype" w:hAnsi="Palatino Linotype" w:cs="Palatino Linotype"/>
          <w:i/>
          <w:sz w:val="22"/>
          <w:szCs w:val="22"/>
        </w:rPr>
        <w:t xml:space="preserve"> Para efectos de los presentes Lineamientos Generales, se entenderá por:</w:t>
      </w:r>
    </w:p>
    <w:p w14:paraId="02EB8284"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XVIII.</w:t>
      </w:r>
      <w:r w:rsidRPr="009F524E">
        <w:rPr>
          <w:rFonts w:ascii="Palatino Linotype" w:eastAsia="Palatino Linotype" w:hAnsi="Palatino Linotype" w:cs="Palatino Linotype"/>
          <w:i/>
          <w:sz w:val="22"/>
          <w:szCs w:val="22"/>
        </w:rPr>
        <w:t xml:space="preserve"> </w:t>
      </w:r>
      <w:r w:rsidRPr="009F524E">
        <w:rPr>
          <w:rFonts w:ascii="Palatino Linotype" w:eastAsia="Palatino Linotype" w:hAnsi="Palatino Linotype" w:cs="Palatino Linotype"/>
          <w:b/>
          <w:i/>
          <w:sz w:val="22"/>
          <w:szCs w:val="22"/>
        </w:rPr>
        <w:t>Versión pública:</w:t>
      </w:r>
      <w:r w:rsidRPr="009F524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9F524E">
        <w:rPr>
          <w:rFonts w:ascii="Palatino Linotype" w:eastAsia="Palatino Linotype" w:hAnsi="Palatino Linotype" w:cs="Palatino Linotype"/>
          <w:b/>
          <w:i/>
          <w:sz w:val="22"/>
          <w:szCs w:val="22"/>
          <w:u w:val="single"/>
        </w:rPr>
        <w:t>fundando y motivando la</w:t>
      </w:r>
      <w:r w:rsidRPr="009F524E">
        <w:rPr>
          <w:rFonts w:ascii="Palatino Linotype" w:eastAsia="Palatino Linotype" w:hAnsi="Palatino Linotype" w:cs="Palatino Linotype"/>
          <w:i/>
          <w:sz w:val="22"/>
          <w:szCs w:val="22"/>
        </w:rPr>
        <w:t xml:space="preserve"> reserva o </w:t>
      </w:r>
      <w:r w:rsidRPr="009F524E">
        <w:rPr>
          <w:rFonts w:ascii="Palatino Linotype" w:eastAsia="Palatino Linotype" w:hAnsi="Palatino Linotype" w:cs="Palatino Linotype"/>
          <w:b/>
          <w:i/>
          <w:sz w:val="22"/>
          <w:szCs w:val="22"/>
          <w:u w:val="single"/>
        </w:rPr>
        <w:t>confidencialidad</w:t>
      </w:r>
      <w:r w:rsidRPr="009F524E">
        <w:rPr>
          <w:rFonts w:ascii="Palatino Linotype" w:eastAsia="Palatino Linotype" w:hAnsi="Palatino Linotype" w:cs="Palatino Linotype"/>
          <w:i/>
          <w:sz w:val="22"/>
          <w:szCs w:val="22"/>
        </w:rPr>
        <w:t>, a través de la resolución que para tal efecto emita el Comité de Transparencia.</w:t>
      </w:r>
    </w:p>
    <w:p w14:paraId="1FFAB176"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Cuarto.</w:t>
      </w:r>
      <w:r w:rsidRPr="009F524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w:t>
      </w:r>
      <w:r w:rsidRPr="009F524E">
        <w:rPr>
          <w:rFonts w:ascii="Palatino Linotype" w:eastAsia="Palatino Linotype" w:hAnsi="Palatino Linotype" w:cs="Palatino Linotype"/>
          <w:i/>
          <w:sz w:val="22"/>
          <w:szCs w:val="22"/>
        </w:rPr>
        <w:lastRenderedPageBreak/>
        <w:t>presentes lineamientos, así como en aquellas disposiciones legales aplicables a la materia en el ámbito de sus respectivas competencias, en tanto estas últimas no contravengan lo dispuesto en la Ley General.</w:t>
      </w:r>
    </w:p>
    <w:p w14:paraId="6F76B57D"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81D610A"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Quinto.</w:t>
      </w:r>
      <w:r w:rsidRPr="009F524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A20945F"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w:t>
      </w:r>
    </w:p>
    <w:p w14:paraId="2EE8F540"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Séptimo.</w:t>
      </w:r>
      <w:r w:rsidRPr="009F524E">
        <w:rPr>
          <w:rFonts w:ascii="Palatino Linotype" w:eastAsia="Palatino Linotype" w:hAnsi="Palatino Linotype" w:cs="Palatino Linotype"/>
          <w:i/>
          <w:sz w:val="22"/>
          <w:szCs w:val="22"/>
        </w:rPr>
        <w:t xml:space="preserve"> La clasificación de la información se llevará a cabo en el momento en que:</w:t>
      </w:r>
    </w:p>
    <w:p w14:paraId="3A1571F1"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I.</w:t>
      </w:r>
      <w:r w:rsidRPr="009F524E">
        <w:rPr>
          <w:rFonts w:ascii="Palatino Linotype" w:eastAsia="Palatino Linotype" w:hAnsi="Palatino Linotype" w:cs="Palatino Linotype"/>
          <w:i/>
          <w:sz w:val="22"/>
          <w:szCs w:val="22"/>
        </w:rPr>
        <w:t xml:space="preserve"> Se reciba una solicitud de acceso a la información;</w:t>
      </w:r>
    </w:p>
    <w:p w14:paraId="63C0EE49" w14:textId="77777777" w:rsidR="00367AE1" w:rsidRPr="009F524E" w:rsidRDefault="0021520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II.</w:t>
      </w:r>
      <w:r w:rsidRPr="009F524E">
        <w:rPr>
          <w:rFonts w:ascii="Palatino Linotype" w:eastAsia="Palatino Linotype" w:hAnsi="Palatino Linotype" w:cs="Palatino Linotype"/>
          <w:i/>
          <w:sz w:val="22"/>
          <w:szCs w:val="22"/>
        </w:rPr>
        <w:t xml:space="preserve"> Se  determine mediante resolución del Comité de Transparencia, el órgano garante </w:t>
      </w:r>
    </w:p>
    <w:p w14:paraId="7B824826"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competente, o en cumplimiento a una sentencia del Poder Judicial; o</w:t>
      </w:r>
    </w:p>
    <w:p w14:paraId="5016CDA5"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III.</w:t>
      </w:r>
      <w:r w:rsidRPr="009F524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5DC05E4"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4DAB23A"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Octavo.</w:t>
      </w:r>
      <w:r w:rsidRPr="009F524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4F42FF7"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6E0E8DA" w14:textId="77777777" w:rsidR="00367AE1" w:rsidRPr="009F524E" w:rsidRDefault="0021520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D51D008"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t>Noveno.</w:t>
      </w:r>
      <w:r w:rsidRPr="009F524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A69EC5"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b/>
          <w:i/>
          <w:sz w:val="22"/>
          <w:szCs w:val="22"/>
        </w:rPr>
        <w:lastRenderedPageBreak/>
        <w:t>Décimo.</w:t>
      </w:r>
      <w:r w:rsidRPr="009F524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125B991"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F4CCCE2" w14:textId="77777777" w:rsidR="00367AE1" w:rsidRPr="009F524E" w:rsidRDefault="0021520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Décimo primero.</w:t>
      </w:r>
      <w:r w:rsidRPr="009F524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05CF8CE" w14:textId="77777777" w:rsidR="00367AE1" w:rsidRPr="009F524E" w:rsidRDefault="00367AE1">
      <w:pPr>
        <w:pBdr>
          <w:top w:val="nil"/>
          <w:left w:val="nil"/>
          <w:bottom w:val="nil"/>
          <w:right w:val="nil"/>
          <w:between w:val="nil"/>
        </w:pBdr>
        <w:ind w:right="709"/>
        <w:jc w:val="both"/>
      </w:pPr>
    </w:p>
    <w:p w14:paraId="49C1D6AB" w14:textId="77777777" w:rsidR="00367AE1" w:rsidRPr="009F524E" w:rsidRDefault="00215203">
      <w:pPr>
        <w:pBdr>
          <w:top w:val="nil"/>
          <w:left w:val="nil"/>
          <w:bottom w:val="nil"/>
          <w:right w:val="nil"/>
          <w:between w:val="nil"/>
        </w:pBdr>
        <w:ind w:left="709" w:right="709"/>
        <w:jc w:val="both"/>
      </w:pPr>
      <w:r w:rsidRPr="009F524E">
        <w:rPr>
          <w:rFonts w:ascii="Palatino Linotype" w:eastAsia="Palatino Linotype" w:hAnsi="Palatino Linotype" w:cs="Palatino Linotype"/>
          <w:i/>
          <w:sz w:val="22"/>
          <w:szCs w:val="22"/>
        </w:rPr>
        <w:t>[…]</w:t>
      </w:r>
    </w:p>
    <w:p w14:paraId="2C55442D" w14:textId="77777777" w:rsidR="00367AE1" w:rsidRPr="009F524E" w:rsidRDefault="00215203">
      <w:pPr>
        <w:pBdr>
          <w:top w:val="nil"/>
          <w:left w:val="nil"/>
          <w:bottom w:val="nil"/>
          <w:right w:val="nil"/>
          <w:between w:val="nil"/>
        </w:pBdr>
        <w:ind w:left="709" w:right="709"/>
        <w:jc w:val="center"/>
      </w:pPr>
      <w:r w:rsidRPr="009F524E">
        <w:rPr>
          <w:rFonts w:ascii="Palatino Linotype" w:eastAsia="Palatino Linotype" w:hAnsi="Palatino Linotype" w:cs="Palatino Linotype"/>
          <w:b/>
          <w:i/>
          <w:sz w:val="22"/>
          <w:szCs w:val="22"/>
        </w:rPr>
        <w:t>CAPÍTULO VIII</w:t>
      </w:r>
    </w:p>
    <w:p w14:paraId="5E2534F5" w14:textId="77777777" w:rsidR="00367AE1" w:rsidRPr="009F524E" w:rsidRDefault="00215203">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9F524E">
        <w:rPr>
          <w:rFonts w:ascii="Palatino Linotype" w:eastAsia="Palatino Linotype" w:hAnsi="Palatino Linotype" w:cs="Palatino Linotype"/>
          <w:b/>
          <w:i/>
          <w:sz w:val="22"/>
          <w:szCs w:val="22"/>
        </w:rPr>
        <w:t>DE LOS ELEMENTOS PARA LA CLASIFICACIÓN</w:t>
      </w:r>
    </w:p>
    <w:p w14:paraId="546D8733"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Quincuagésimo</w:t>
      </w:r>
      <w:r w:rsidRPr="009F524E">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8E89476"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Quincuagésimo primero</w:t>
      </w:r>
      <w:r w:rsidRPr="009F524E">
        <w:rPr>
          <w:rFonts w:ascii="Palatino Linotype" w:eastAsia="Palatino Linotype" w:hAnsi="Palatino Linotype" w:cs="Palatino Linotype"/>
          <w:i/>
          <w:sz w:val="22"/>
          <w:szCs w:val="22"/>
        </w:rPr>
        <w:t>. Toda acta del Comité de Transparencia deberá contener:</w:t>
      </w:r>
    </w:p>
    <w:p w14:paraId="5D9419AE"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I. El número de sesión y fecha; </w:t>
      </w:r>
    </w:p>
    <w:p w14:paraId="15AA0580"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 El nombre del área que solicitó la clasificación de información;</w:t>
      </w:r>
    </w:p>
    <w:p w14:paraId="36A1B872"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III. La fundamentación legal y motivación correspondiente;</w:t>
      </w:r>
    </w:p>
    <w:p w14:paraId="752DC90C"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IV. La resolución o resoluciones aprobadas; y</w:t>
      </w:r>
    </w:p>
    <w:p w14:paraId="7886D72E"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V. La rúbrica o firma digital de cada integrante del Comité de Transparencia. </w:t>
      </w:r>
    </w:p>
    <w:p w14:paraId="67F9E96F"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97D2C8D"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 Los motivos y razonamientos que sustenten la confirmación o modificación de la prueba de daño;</w:t>
      </w:r>
    </w:p>
    <w:p w14:paraId="52230645"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 Descripción de las partes o secciones reservadas, en caso de clasificación parcial;</w:t>
      </w:r>
    </w:p>
    <w:p w14:paraId="24B47862"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III. El periodo por el que mantendrá su clasificación y fecha de expiración; y</w:t>
      </w:r>
    </w:p>
    <w:p w14:paraId="3A7B0FFC"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lastRenderedPageBreak/>
        <w:t>IV. El nombre del titular y área encargada de realizar la versión pública del documento, en su caso.</w:t>
      </w:r>
    </w:p>
    <w:p w14:paraId="1E20FBDC"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6ADB12"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8632B91"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b/>
          <w:i/>
          <w:sz w:val="22"/>
          <w:szCs w:val="22"/>
        </w:rPr>
        <w:t>Quincuagésimo segundo</w:t>
      </w:r>
      <w:r w:rsidRPr="009F524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F8B0E0D"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4A6E149"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11DA22F"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8E3B7DF"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III. Señalar las personas o instancias autorizadas a acceder a la información clasificada.</w:t>
      </w:r>
    </w:p>
    <w:p w14:paraId="4311B4D6"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95352E1" w14:textId="77777777" w:rsidR="00367AE1" w:rsidRPr="009F524E" w:rsidRDefault="00215203">
      <w:pPr>
        <w:pBdr>
          <w:top w:val="nil"/>
          <w:left w:val="nil"/>
          <w:bottom w:val="nil"/>
          <w:right w:val="nil"/>
          <w:between w:val="nil"/>
        </w:pBdr>
        <w:spacing w:after="160"/>
        <w:ind w:left="709" w:right="709"/>
        <w:jc w:val="both"/>
      </w:pPr>
      <w:r w:rsidRPr="009F524E">
        <w:rPr>
          <w:rFonts w:ascii="Palatino Linotype" w:eastAsia="Palatino Linotype" w:hAnsi="Palatino Linotype" w:cs="Palatino Linotype"/>
          <w:b/>
          <w:i/>
          <w:sz w:val="22"/>
          <w:szCs w:val="22"/>
        </w:rPr>
        <w:t xml:space="preserve">Quincuagésimo tercero. </w:t>
      </w:r>
      <w:r w:rsidRPr="009F524E">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9F524E">
        <w:rPr>
          <w:rFonts w:ascii="Palatino Linotype" w:eastAsia="Palatino Linotype" w:hAnsi="Palatino Linotype" w:cs="Palatino Linotype"/>
          <w:b/>
          <w:i/>
          <w:sz w:val="22"/>
          <w:szCs w:val="22"/>
          <w:u w:val="single"/>
        </w:rPr>
        <w:t>:</w:t>
      </w:r>
      <w:r w:rsidRPr="009F524E">
        <w:rPr>
          <w:rFonts w:ascii="Palatino Linotype" w:eastAsia="Palatino Linotype" w:hAnsi="Palatino Linotype" w:cs="Palatino Linotype"/>
          <w:i/>
          <w:sz w:val="22"/>
          <w:szCs w:val="22"/>
        </w:rPr>
        <w:t>:</w:t>
      </w:r>
      <w:proofErr w:type="gramEnd"/>
    </w:p>
    <w:tbl>
      <w:tblPr>
        <w:tblStyle w:val="a7"/>
        <w:tblW w:w="8833" w:type="dxa"/>
        <w:jc w:val="center"/>
        <w:tblInd w:w="0" w:type="dxa"/>
        <w:tblLayout w:type="fixed"/>
        <w:tblLook w:val="0400" w:firstRow="0" w:lastRow="0" w:firstColumn="0" w:lastColumn="0" w:noHBand="0" w:noVBand="1"/>
      </w:tblPr>
      <w:tblGrid>
        <w:gridCol w:w="1660"/>
        <w:gridCol w:w="1980"/>
        <w:gridCol w:w="5193"/>
      </w:tblGrid>
      <w:tr w:rsidR="009F524E" w:rsidRPr="009F524E" w14:paraId="2B223E94"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C9F531D" w14:textId="77777777" w:rsidR="00367AE1" w:rsidRPr="009F524E" w:rsidRDefault="00367AE1"/>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43D0C"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6FA6F"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b/>
                <w:i/>
              </w:rPr>
              <w:t>Dónde:</w:t>
            </w:r>
          </w:p>
        </w:tc>
      </w:tr>
      <w:tr w:rsidR="009F524E" w:rsidRPr="009F524E" w14:paraId="0C5A083D"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78DD4"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8E498"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6683F"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Se anotará la fecha en la que el Comité de Transparencia confirmó la clasificación del documento o expediente, en su caso.</w:t>
            </w:r>
          </w:p>
        </w:tc>
      </w:tr>
      <w:tr w:rsidR="009F524E" w:rsidRPr="009F524E" w14:paraId="77B386C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ACD58"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A4AA38"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30CEC"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Se señalará el nombre del área del cual es titular quien clasifica.</w:t>
            </w:r>
          </w:p>
        </w:tc>
      </w:tr>
      <w:tr w:rsidR="009F524E" w:rsidRPr="009F524E" w14:paraId="1F067C8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45B630"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B3710"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C42AB"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 xml:space="preserve">Se indicarán las partes o páginas del documento que se clasifican como reservadas, o, en su caso, se </w:t>
            </w:r>
            <w:r w:rsidRPr="009F524E">
              <w:rPr>
                <w:rFonts w:ascii="Palatino Linotype" w:eastAsia="Palatino Linotype" w:hAnsi="Palatino Linotype" w:cs="Palatino Linotype"/>
                <w:i/>
              </w:rPr>
              <w:lastRenderedPageBreak/>
              <w:t>precisará que se ha reservado el documento o expediente en su totalidad.</w:t>
            </w:r>
          </w:p>
        </w:tc>
      </w:tr>
      <w:tr w:rsidR="009F524E" w:rsidRPr="009F524E" w14:paraId="0AA0DC9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E3274B"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75E8E"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36686"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9F524E" w:rsidRPr="009F524E" w14:paraId="56D5971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3BC314"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B7CCE2"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B9BD2"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Se señalará el nombre del ordenamiento, el o los artículos, fracción(es), párrafo(s) con base en los cuales se sustente la reserva.</w:t>
            </w:r>
          </w:p>
        </w:tc>
      </w:tr>
      <w:tr w:rsidR="009F524E" w:rsidRPr="009F524E" w14:paraId="4D00663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1211FD"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8FF6F"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C2E14"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9F524E" w:rsidRPr="009F524E" w14:paraId="0D31A94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5D5718"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2FFC5"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B106A"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Rúbrica autógrafa o firma digital de quien clasifica.</w:t>
            </w:r>
          </w:p>
        </w:tc>
      </w:tr>
      <w:tr w:rsidR="009F524E" w:rsidRPr="009F524E" w14:paraId="66B0BF1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379229"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EFD6A"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7CD980"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Se anotará la fecha en que se desclasifica el documento.</w:t>
            </w:r>
          </w:p>
        </w:tc>
      </w:tr>
      <w:tr w:rsidR="009F524E" w:rsidRPr="009F524E" w14:paraId="285322A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9ED887" w14:textId="77777777" w:rsidR="00367AE1" w:rsidRPr="009F524E" w:rsidRDefault="00367AE1">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5755A" w14:textId="77777777" w:rsidR="00367AE1" w:rsidRPr="009F524E" w:rsidRDefault="00215203">
            <w:pPr>
              <w:pBdr>
                <w:top w:val="nil"/>
                <w:left w:val="nil"/>
                <w:bottom w:val="nil"/>
                <w:right w:val="nil"/>
                <w:between w:val="nil"/>
              </w:pBdr>
              <w:jc w:val="center"/>
            </w:pPr>
            <w:r w:rsidRPr="009F524E">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3F462" w14:textId="77777777" w:rsidR="00367AE1" w:rsidRPr="009F524E" w:rsidRDefault="00215203">
            <w:pPr>
              <w:pBdr>
                <w:top w:val="nil"/>
                <w:left w:val="nil"/>
                <w:bottom w:val="nil"/>
                <w:right w:val="nil"/>
                <w:between w:val="nil"/>
              </w:pBdr>
              <w:jc w:val="both"/>
            </w:pPr>
            <w:r w:rsidRPr="009F524E">
              <w:rPr>
                <w:rFonts w:ascii="Palatino Linotype" w:eastAsia="Palatino Linotype" w:hAnsi="Palatino Linotype" w:cs="Palatino Linotype"/>
                <w:i/>
              </w:rPr>
              <w:t>Rúbrica autógrafa o firma digital de quien desclasifica.</w:t>
            </w:r>
          </w:p>
        </w:tc>
      </w:tr>
      <w:tr w:rsidR="009F524E" w:rsidRPr="009F524E" w14:paraId="7C631756"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52C59" w14:textId="77777777" w:rsidR="00367AE1" w:rsidRPr="009F524E" w:rsidRDefault="00367AE1">
            <w:pPr>
              <w:widowControl w:val="0"/>
              <w:pBdr>
                <w:top w:val="nil"/>
                <w:left w:val="nil"/>
                <w:bottom w:val="nil"/>
                <w:right w:val="nil"/>
                <w:between w:val="nil"/>
              </w:pBdr>
              <w:spacing w:line="276" w:lineRule="auto"/>
            </w:pPr>
          </w:p>
        </w:tc>
      </w:tr>
    </w:tbl>
    <w:p w14:paraId="0083499D" w14:textId="77777777" w:rsidR="00367AE1" w:rsidRPr="009F524E" w:rsidRDefault="0021520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9F524E">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7ABB9D1" w14:textId="77777777" w:rsidR="00367AE1" w:rsidRPr="009F524E" w:rsidRDefault="00215203">
      <w:pPr>
        <w:pBdr>
          <w:top w:val="nil"/>
          <w:left w:val="nil"/>
          <w:bottom w:val="nil"/>
          <w:right w:val="nil"/>
          <w:between w:val="nil"/>
        </w:pBdr>
        <w:spacing w:after="160"/>
        <w:ind w:left="709" w:right="709"/>
        <w:jc w:val="both"/>
      </w:pPr>
      <w:r w:rsidRPr="009F524E">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9F524E">
        <w:rPr>
          <w:rFonts w:ascii="Palatino Linotype" w:eastAsia="Palatino Linotype" w:hAnsi="Palatino Linotype" w:cs="Palatino Linotype"/>
          <w:i/>
          <w:sz w:val="22"/>
          <w:szCs w:val="22"/>
        </w:rPr>
        <w:t>testado</w:t>
      </w:r>
      <w:proofErr w:type="spellEnd"/>
      <w:r w:rsidRPr="009F524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2046018" w14:textId="77777777" w:rsidR="00367AE1" w:rsidRPr="009F524E" w:rsidRDefault="00367AE1">
      <w:pPr>
        <w:jc w:val="both"/>
      </w:pPr>
    </w:p>
    <w:p w14:paraId="1CE73D81"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E2F4DF6" w14:textId="77777777" w:rsidR="00367AE1" w:rsidRPr="009F524E" w:rsidRDefault="00215203">
      <w:pPr>
        <w:pBdr>
          <w:top w:val="nil"/>
          <w:left w:val="nil"/>
          <w:bottom w:val="nil"/>
          <w:right w:val="nil"/>
          <w:between w:val="nil"/>
        </w:pBdr>
        <w:tabs>
          <w:tab w:val="left" w:pos="0"/>
        </w:tabs>
        <w:spacing w:before="240" w:after="240"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w:t>
      </w:r>
    </w:p>
    <w:p w14:paraId="27CEB6E0"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En consecuencia y en mérito de lo expuesto en líneas anteriores, resultan fundadas las razones o motivos de inconformidad hechos valer por el</w:t>
      </w:r>
      <w:r w:rsidRPr="009F524E">
        <w:rPr>
          <w:rFonts w:ascii="Palatino Linotype" w:eastAsia="Palatino Linotype" w:hAnsi="Palatino Linotype" w:cs="Palatino Linotype"/>
          <w:b/>
        </w:rPr>
        <w:t xml:space="preserve"> RECURRENTE</w:t>
      </w:r>
      <w:r w:rsidRPr="009F524E">
        <w:rPr>
          <w:rFonts w:ascii="Palatino Linotype" w:eastAsia="Palatino Linotype" w:hAnsi="Palatino Linotype" w:cs="Palatino Linotype"/>
        </w:rPr>
        <w:t xml:space="preserve"> dentro del recurso de revisión </w:t>
      </w:r>
      <w:r w:rsidRPr="009F524E">
        <w:rPr>
          <w:rFonts w:ascii="Palatino Linotype" w:eastAsia="Palatino Linotype" w:hAnsi="Palatino Linotype" w:cs="Palatino Linotype"/>
          <w:b/>
        </w:rPr>
        <w:t>01354/INFOEM/IP/RR/2023</w:t>
      </w:r>
      <w:r w:rsidRPr="009F524E">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9F524E">
        <w:rPr>
          <w:rFonts w:ascii="Palatino Linotype" w:eastAsia="Palatino Linotype" w:hAnsi="Palatino Linotype" w:cs="Palatino Linotype"/>
          <w:b/>
        </w:rPr>
        <w:t>REVOCA</w:t>
      </w:r>
      <w:r w:rsidRPr="009F524E">
        <w:rPr>
          <w:rFonts w:ascii="Palatino Linotype" w:eastAsia="Palatino Linotype" w:hAnsi="Palatino Linotype" w:cs="Palatino Linotype"/>
        </w:rPr>
        <w:t xml:space="preserve"> la respuesta a la solicitud de información número </w:t>
      </w:r>
      <w:r w:rsidRPr="009F524E">
        <w:rPr>
          <w:rFonts w:ascii="Palatino Linotype" w:eastAsia="Palatino Linotype" w:hAnsi="Palatino Linotype" w:cs="Palatino Linotype"/>
          <w:b/>
        </w:rPr>
        <w:t>00030/NICOROM/IP/2023.</w:t>
      </w:r>
    </w:p>
    <w:p w14:paraId="404A876B" w14:textId="77777777" w:rsidR="00367AE1" w:rsidRPr="009F524E" w:rsidRDefault="00367AE1">
      <w:pPr>
        <w:spacing w:line="360" w:lineRule="auto"/>
        <w:jc w:val="both"/>
        <w:rPr>
          <w:rFonts w:ascii="Palatino Linotype" w:eastAsia="Palatino Linotype" w:hAnsi="Palatino Linotype" w:cs="Palatino Linotype"/>
        </w:rPr>
      </w:pPr>
    </w:p>
    <w:p w14:paraId="0639D7C3" w14:textId="77777777" w:rsidR="00367AE1" w:rsidRPr="009F524E" w:rsidRDefault="00215203">
      <w:pPr>
        <w:pBdr>
          <w:top w:val="nil"/>
          <w:left w:val="nil"/>
          <w:bottom w:val="nil"/>
          <w:right w:val="nil"/>
          <w:between w:val="nil"/>
        </w:pBd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416F6AE" w14:textId="77777777" w:rsidR="00367AE1" w:rsidRPr="009F524E" w:rsidRDefault="00367AE1">
      <w:pPr>
        <w:pBdr>
          <w:top w:val="nil"/>
          <w:left w:val="nil"/>
          <w:bottom w:val="nil"/>
          <w:right w:val="nil"/>
          <w:between w:val="nil"/>
        </w:pBdr>
        <w:spacing w:line="360" w:lineRule="auto"/>
        <w:jc w:val="both"/>
        <w:rPr>
          <w:rFonts w:ascii="Palatino Linotype" w:eastAsia="Palatino Linotype" w:hAnsi="Palatino Linotype" w:cs="Palatino Linotype"/>
        </w:rPr>
      </w:pPr>
    </w:p>
    <w:p w14:paraId="30025CCF" w14:textId="77777777" w:rsidR="00367AE1" w:rsidRPr="009F524E" w:rsidRDefault="00215203">
      <w:pPr>
        <w:widowControl w:val="0"/>
        <w:spacing w:line="360" w:lineRule="auto"/>
        <w:jc w:val="center"/>
        <w:rPr>
          <w:rFonts w:ascii="Palatino Linotype" w:eastAsia="Palatino Linotype" w:hAnsi="Palatino Linotype" w:cs="Palatino Linotype"/>
          <w:b/>
        </w:rPr>
      </w:pPr>
      <w:r w:rsidRPr="009F524E">
        <w:rPr>
          <w:rFonts w:ascii="Palatino Linotype" w:eastAsia="Palatino Linotype" w:hAnsi="Palatino Linotype" w:cs="Palatino Linotype"/>
          <w:b/>
        </w:rPr>
        <w:t>III. R E S U E L V E:</w:t>
      </w:r>
    </w:p>
    <w:p w14:paraId="65AF44BE" w14:textId="77777777" w:rsidR="00367AE1" w:rsidRPr="009F524E" w:rsidRDefault="00367AE1">
      <w:pPr>
        <w:widowControl w:val="0"/>
        <w:spacing w:line="360" w:lineRule="auto"/>
        <w:jc w:val="center"/>
        <w:rPr>
          <w:rFonts w:ascii="Palatino Linotype" w:eastAsia="Palatino Linotype" w:hAnsi="Palatino Linotype" w:cs="Palatino Linotype"/>
          <w:b/>
        </w:rPr>
      </w:pPr>
    </w:p>
    <w:p w14:paraId="0FED1B2C"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PRIMERO. </w:t>
      </w:r>
      <w:r w:rsidRPr="009F524E">
        <w:rPr>
          <w:rFonts w:ascii="Palatino Linotype" w:eastAsia="Palatino Linotype" w:hAnsi="Palatino Linotype" w:cs="Palatino Linotype"/>
        </w:rPr>
        <w:t>Se</w:t>
      </w:r>
      <w:r w:rsidRPr="009F524E">
        <w:t xml:space="preserve"> </w:t>
      </w:r>
      <w:r w:rsidRPr="009F524E">
        <w:rPr>
          <w:rFonts w:ascii="Palatino Linotype" w:eastAsia="Palatino Linotype" w:hAnsi="Palatino Linotype" w:cs="Palatino Linotype"/>
          <w:b/>
        </w:rPr>
        <w:t xml:space="preserve">REVOCA </w:t>
      </w:r>
      <w:r w:rsidRPr="009F524E">
        <w:rPr>
          <w:rFonts w:ascii="Palatino Linotype" w:eastAsia="Palatino Linotype" w:hAnsi="Palatino Linotype" w:cs="Palatino Linotype"/>
        </w:rPr>
        <w:t xml:space="preserve">la respuesta entregada por </w:t>
      </w:r>
      <w:r w:rsidRPr="009F524E">
        <w:rPr>
          <w:rFonts w:ascii="Palatino Linotype" w:eastAsia="Palatino Linotype" w:hAnsi="Palatino Linotype" w:cs="Palatino Linotype"/>
          <w:b/>
        </w:rPr>
        <w:t xml:space="preserve">EL SUJETO OBLIGADO </w:t>
      </w:r>
      <w:r w:rsidRPr="009F524E">
        <w:rPr>
          <w:rFonts w:ascii="Palatino Linotype" w:eastAsia="Palatino Linotype" w:hAnsi="Palatino Linotype" w:cs="Palatino Linotype"/>
        </w:rPr>
        <w:t xml:space="preserve">a la solicitud de información </w:t>
      </w:r>
      <w:r w:rsidRPr="009F524E">
        <w:rPr>
          <w:rFonts w:ascii="Palatino Linotype" w:eastAsia="Palatino Linotype" w:hAnsi="Palatino Linotype" w:cs="Palatino Linotype"/>
          <w:b/>
        </w:rPr>
        <w:t>00030/NICOROM/IP/2023</w:t>
      </w:r>
      <w:r w:rsidRPr="009F524E">
        <w:rPr>
          <w:rFonts w:ascii="Palatino Linotype" w:eastAsia="Palatino Linotype" w:hAnsi="Palatino Linotype" w:cs="Palatino Linotype"/>
        </w:rPr>
        <w:t>,</w:t>
      </w:r>
      <w:r w:rsidRPr="009F524E">
        <w:rPr>
          <w:rFonts w:ascii="Palatino Linotype" w:eastAsia="Palatino Linotype" w:hAnsi="Palatino Linotype" w:cs="Palatino Linotype"/>
          <w:b/>
        </w:rPr>
        <w:t xml:space="preserve"> </w:t>
      </w:r>
      <w:r w:rsidRPr="009F524E">
        <w:rPr>
          <w:rFonts w:ascii="Palatino Linotype" w:eastAsia="Palatino Linotype" w:hAnsi="Palatino Linotype" w:cs="Palatino Linotype"/>
        </w:rPr>
        <w:t>por resultar fundadas las razones o motivos de inconformidad hechos valer por la parte</w:t>
      </w:r>
      <w:r w:rsidRPr="009F524E">
        <w:rPr>
          <w:rFonts w:ascii="Palatino Linotype" w:eastAsia="Palatino Linotype" w:hAnsi="Palatino Linotype" w:cs="Palatino Linotype"/>
          <w:b/>
        </w:rPr>
        <w:t xml:space="preserve"> RECURRENTE, </w:t>
      </w:r>
      <w:r w:rsidRPr="009F524E">
        <w:rPr>
          <w:rFonts w:ascii="Palatino Linotype" w:eastAsia="Palatino Linotype" w:hAnsi="Palatino Linotype" w:cs="Palatino Linotype"/>
        </w:rPr>
        <w:t xml:space="preserve">en el recurso de revisión </w:t>
      </w:r>
      <w:r w:rsidRPr="009F524E">
        <w:rPr>
          <w:rFonts w:ascii="Palatino Linotype" w:eastAsia="Palatino Linotype" w:hAnsi="Palatino Linotype" w:cs="Palatino Linotype"/>
          <w:b/>
        </w:rPr>
        <w:t>01354/INFOEM/IP/RR/2023</w:t>
      </w:r>
      <w:r w:rsidRPr="009F524E">
        <w:rPr>
          <w:rFonts w:ascii="Palatino Linotype" w:eastAsia="Palatino Linotype" w:hAnsi="Palatino Linotype" w:cs="Palatino Linotype"/>
        </w:rPr>
        <w:t xml:space="preserve">, en términos del considerando </w:t>
      </w:r>
      <w:r w:rsidRPr="009F524E">
        <w:rPr>
          <w:rFonts w:ascii="Palatino Linotype" w:eastAsia="Palatino Linotype" w:hAnsi="Palatino Linotype" w:cs="Palatino Linotype"/>
          <w:b/>
        </w:rPr>
        <w:t>Cuarto</w:t>
      </w:r>
      <w:r w:rsidRPr="009F524E">
        <w:rPr>
          <w:rFonts w:ascii="Palatino Linotype" w:eastAsia="Palatino Linotype" w:hAnsi="Palatino Linotype" w:cs="Palatino Linotype"/>
        </w:rPr>
        <w:t xml:space="preserve"> de la presente Resolución.</w:t>
      </w:r>
    </w:p>
    <w:p w14:paraId="16381AEA" w14:textId="77777777" w:rsidR="00367AE1" w:rsidRPr="009F524E" w:rsidRDefault="00367AE1">
      <w:pPr>
        <w:spacing w:line="360" w:lineRule="auto"/>
        <w:jc w:val="both"/>
        <w:rPr>
          <w:rFonts w:ascii="Palatino Linotype" w:eastAsia="Palatino Linotype" w:hAnsi="Palatino Linotype" w:cs="Palatino Linotype"/>
          <w:b/>
        </w:rPr>
      </w:pPr>
    </w:p>
    <w:p w14:paraId="016D31C4" w14:textId="77777777" w:rsidR="00367AE1" w:rsidRPr="009F524E" w:rsidRDefault="00215203">
      <w:pPr>
        <w:spacing w:line="360" w:lineRule="auto"/>
        <w:ind w:right="-93"/>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SEGUNDO. </w:t>
      </w:r>
      <w:r w:rsidRPr="009F524E">
        <w:rPr>
          <w:rFonts w:ascii="Palatino Linotype" w:eastAsia="Palatino Linotype" w:hAnsi="Palatino Linotype" w:cs="Palatino Linotype"/>
        </w:rPr>
        <w:t xml:space="preserve">Se </w:t>
      </w:r>
      <w:r w:rsidRPr="009F524E">
        <w:rPr>
          <w:rFonts w:ascii="Palatino Linotype" w:eastAsia="Palatino Linotype" w:hAnsi="Palatino Linotype" w:cs="Palatino Linotype"/>
          <w:b/>
        </w:rPr>
        <w:t xml:space="preserve">ORDENA </w:t>
      </w:r>
      <w:r w:rsidRPr="009F524E">
        <w:rPr>
          <w:rFonts w:ascii="Palatino Linotype" w:eastAsia="Palatino Linotype" w:hAnsi="Palatino Linotype" w:cs="Palatino Linotype"/>
        </w:rPr>
        <w:t xml:space="preserve">al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xml:space="preserve">, en términos del Considerando </w:t>
      </w:r>
      <w:r w:rsidRPr="009F524E">
        <w:rPr>
          <w:rFonts w:ascii="Palatino Linotype" w:eastAsia="Palatino Linotype" w:hAnsi="Palatino Linotype" w:cs="Palatino Linotype"/>
          <w:b/>
        </w:rPr>
        <w:t xml:space="preserve">Cuarto y Quinto </w:t>
      </w:r>
      <w:r w:rsidRPr="009F524E">
        <w:rPr>
          <w:rFonts w:ascii="Palatino Linotype" w:eastAsia="Palatino Linotype" w:hAnsi="Palatino Linotype" w:cs="Palatino Linotype"/>
        </w:rPr>
        <w:t xml:space="preserve">de esta resolución, haga entrega, vía SAIMEX, lo siguiente: </w:t>
      </w:r>
    </w:p>
    <w:p w14:paraId="551AECDE" w14:textId="77777777" w:rsidR="00367AE1" w:rsidRPr="009F524E" w:rsidRDefault="00367AE1">
      <w:pPr>
        <w:spacing w:line="360" w:lineRule="auto"/>
        <w:ind w:right="-93"/>
        <w:jc w:val="both"/>
        <w:rPr>
          <w:rFonts w:ascii="Palatino Linotype" w:eastAsia="Palatino Linotype" w:hAnsi="Palatino Linotype" w:cs="Palatino Linotype"/>
        </w:rPr>
      </w:pPr>
    </w:p>
    <w:p w14:paraId="04FDD120" w14:textId="77777777" w:rsidR="00367AE1" w:rsidRPr="009F524E" w:rsidRDefault="0021520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9F524E">
        <w:rPr>
          <w:rFonts w:ascii="Palatino Linotype" w:eastAsia="Palatino Linotype" w:hAnsi="Palatino Linotype" w:cs="Palatino Linotype"/>
        </w:rPr>
        <w:t xml:space="preserve">Acuerdo a través del cual se clasifique como confidencial el pronunciamiento en sentido afirmativo o negativo en términos de los artículos 49, fracción II, 132, fracción II, 143, fracción I y 149 de la Ley de Transparencia y Acceso a la Información Pública del Estado de México y Municipios; respecto de las </w:t>
      </w:r>
      <w:r w:rsidRPr="009F524E">
        <w:rPr>
          <w:rFonts w:ascii="Palatino Linotype" w:eastAsia="Palatino Linotype" w:hAnsi="Palatino Linotype" w:cs="Palatino Linotype"/>
          <w:b/>
        </w:rPr>
        <w:t>presuntas faltas administrativas</w:t>
      </w:r>
      <w:r w:rsidRPr="009F524E">
        <w:rPr>
          <w:rFonts w:ascii="Palatino Linotype" w:eastAsia="Palatino Linotype" w:hAnsi="Palatino Linotype" w:cs="Palatino Linotype"/>
        </w:rPr>
        <w:t xml:space="preserve"> realizadas por los Tesoreros Municipales del primero de enero del año dos mil dieciséis al trece de febrero del año dos mil veintitrés, de los procedimientos en trámite. </w:t>
      </w:r>
    </w:p>
    <w:p w14:paraId="184C7AB7" w14:textId="77777777" w:rsidR="00367AE1" w:rsidRPr="009F524E" w:rsidRDefault="00367AE1">
      <w:pPr>
        <w:pBdr>
          <w:top w:val="nil"/>
          <w:left w:val="nil"/>
          <w:bottom w:val="nil"/>
          <w:right w:val="nil"/>
          <w:between w:val="nil"/>
        </w:pBdr>
        <w:spacing w:line="276" w:lineRule="auto"/>
        <w:ind w:left="720" w:right="49"/>
        <w:jc w:val="both"/>
        <w:rPr>
          <w:rFonts w:ascii="Palatino Linotype" w:eastAsia="Palatino Linotype" w:hAnsi="Palatino Linotype" w:cs="Palatino Linotype"/>
          <w:i/>
        </w:rPr>
      </w:pPr>
    </w:p>
    <w:p w14:paraId="490C79E6" w14:textId="77777777" w:rsidR="00367AE1" w:rsidRPr="009F524E" w:rsidRDefault="00215203">
      <w:pPr>
        <w:numPr>
          <w:ilvl w:val="0"/>
          <w:numId w:val="2"/>
        </w:numPr>
        <w:pBdr>
          <w:top w:val="nil"/>
          <w:left w:val="nil"/>
          <w:bottom w:val="nil"/>
          <w:right w:val="nil"/>
          <w:between w:val="nil"/>
        </w:pBdr>
        <w:tabs>
          <w:tab w:val="left" w:pos="3962"/>
        </w:tabs>
        <w:spacing w:line="360" w:lineRule="auto"/>
        <w:ind w:right="51"/>
        <w:jc w:val="both"/>
        <w:rPr>
          <w:rFonts w:ascii="Palatino Linotype" w:eastAsia="Palatino Linotype" w:hAnsi="Palatino Linotype" w:cs="Palatino Linotype"/>
        </w:rPr>
      </w:pPr>
      <w:r w:rsidRPr="009F524E">
        <w:rPr>
          <w:rFonts w:ascii="Palatino Linotype" w:eastAsia="Palatino Linotype" w:hAnsi="Palatino Linotype" w:cs="Palatino Linotype"/>
        </w:rPr>
        <w:t xml:space="preserve">Versión pública del documento que dé cuenta de las presuntas faltas administrativas, realizadas por los Tesoreros Municipales del primero de enero del año dos mil dieciséis al trece de febrero del año dos mil veintitrés, para el caso de que </w:t>
      </w:r>
      <w:r w:rsidRPr="009F524E">
        <w:rPr>
          <w:rFonts w:ascii="Palatino Linotype" w:eastAsia="Palatino Linotype" w:hAnsi="Palatino Linotype" w:cs="Palatino Linotype"/>
          <w:b/>
          <w:u w:val="single"/>
        </w:rPr>
        <w:t>los procedimientos en trámite se relacionen con actos de corrupción</w:t>
      </w:r>
      <w:r w:rsidRPr="009F524E">
        <w:rPr>
          <w:rFonts w:ascii="Palatino Linotype" w:eastAsia="Palatino Linotype" w:hAnsi="Palatino Linotype" w:cs="Palatino Linotype"/>
        </w:rPr>
        <w:t>, de conformidad con el artículo 142 de la Ley de la materia.</w:t>
      </w:r>
    </w:p>
    <w:p w14:paraId="7EAD47F7" w14:textId="77777777" w:rsidR="00367AE1" w:rsidRPr="009F524E" w:rsidRDefault="00367AE1">
      <w:pPr>
        <w:pBdr>
          <w:top w:val="nil"/>
          <w:left w:val="nil"/>
          <w:bottom w:val="nil"/>
          <w:right w:val="nil"/>
          <w:between w:val="nil"/>
        </w:pBdr>
        <w:ind w:left="720"/>
        <w:rPr>
          <w:rFonts w:ascii="Palatino Linotype" w:eastAsia="Palatino Linotype" w:hAnsi="Palatino Linotype" w:cs="Palatino Linotype"/>
        </w:rPr>
      </w:pPr>
    </w:p>
    <w:p w14:paraId="58AEBFA5" w14:textId="77777777" w:rsidR="00367AE1" w:rsidRPr="009F524E" w:rsidRDefault="00215203">
      <w:pPr>
        <w:pBdr>
          <w:top w:val="nil"/>
          <w:left w:val="nil"/>
          <w:bottom w:val="nil"/>
          <w:right w:val="nil"/>
          <w:between w:val="nil"/>
        </w:pBdr>
        <w:spacing w:line="276" w:lineRule="auto"/>
        <w:ind w:left="360" w:right="49"/>
        <w:jc w:val="both"/>
        <w:rPr>
          <w:rFonts w:ascii="Palatino Linotype" w:eastAsia="Palatino Linotype" w:hAnsi="Palatino Linotype" w:cs="Palatino Linotype"/>
          <w:i/>
        </w:rPr>
      </w:pPr>
      <w:r w:rsidRPr="009F524E">
        <w:rPr>
          <w:rFonts w:ascii="Palatino Linotype" w:eastAsia="Palatino Linotype" w:hAnsi="Palatino Linotype" w:cs="Palatino Linotype"/>
          <w:i/>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F524E">
        <w:rPr>
          <w:rFonts w:ascii="Palatino Linotype" w:eastAsia="Palatino Linotype" w:hAnsi="Palatino Linotype" w:cs="Palatino Linotype"/>
          <w:b/>
          <w:i/>
        </w:rPr>
        <w:t>RECURRENTE</w:t>
      </w:r>
      <w:r w:rsidRPr="009F524E">
        <w:rPr>
          <w:rFonts w:ascii="Palatino Linotype" w:eastAsia="Palatino Linotype" w:hAnsi="Palatino Linotype" w:cs="Palatino Linotype"/>
          <w:i/>
        </w:rPr>
        <w:t>.</w:t>
      </w:r>
    </w:p>
    <w:p w14:paraId="42FB12F4" w14:textId="77777777" w:rsidR="00367AE1" w:rsidRPr="009F524E" w:rsidRDefault="00367AE1">
      <w:pPr>
        <w:pBdr>
          <w:top w:val="nil"/>
          <w:left w:val="nil"/>
          <w:bottom w:val="nil"/>
          <w:right w:val="nil"/>
          <w:between w:val="nil"/>
        </w:pBdr>
        <w:spacing w:line="276" w:lineRule="auto"/>
        <w:ind w:left="720" w:right="49"/>
        <w:jc w:val="both"/>
        <w:rPr>
          <w:rFonts w:ascii="Palatino Linotype" w:eastAsia="Palatino Linotype" w:hAnsi="Palatino Linotype" w:cs="Palatino Linotype"/>
          <w:i/>
        </w:rPr>
      </w:pPr>
    </w:p>
    <w:p w14:paraId="3512F7B4" w14:textId="77777777" w:rsidR="00367AE1" w:rsidRPr="009F524E" w:rsidRDefault="00367AE1">
      <w:pPr>
        <w:pBdr>
          <w:top w:val="nil"/>
          <w:left w:val="nil"/>
          <w:bottom w:val="nil"/>
          <w:right w:val="nil"/>
          <w:between w:val="nil"/>
        </w:pBdr>
        <w:spacing w:line="276" w:lineRule="auto"/>
        <w:ind w:left="720" w:right="49"/>
        <w:jc w:val="both"/>
        <w:rPr>
          <w:rFonts w:ascii="Palatino Linotype" w:eastAsia="Palatino Linotype" w:hAnsi="Palatino Linotype" w:cs="Palatino Linotype"/>
        </w:rPr>
      </w:pPr>
    </w:p>
    <w:p w14:paraId="33B57ECC" w14:textId="77777777" w:rsidR="00367AE1" w:rsidRPr="009F524E" w:rsidRDefault="00215203">
      <w:pPr>
        <w:spacing w:line="360" w:lineRule="auto"/>
        <w:ind w:right="-93"/>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TERCERO. Notifíquese </w:t>
      </w:r>
      <w:r w:rsidRPr="009F524E">
        <w:rPr>
          <w:rFonts w:ascii="Palatino Linotype" w:eastAsia="Palatino Linotype" w:hAnsi="Palatino Linotype" w:cs="Palatino Linotype"/>
        </w:rPr>
        <w:t>la presente resolución al T</w:t>
      </w:r>
      <w:r w:rsidRPr="009F524E">
        <w:rPr>
          <w:rFonts w:ascii="Palatino Linotype" w:eastAsia="Palatino Linotype" w:hAnsi="Palatino Linotype" w:cs="Palatino Linotype"/>
          <w:b/>
        </w:rPr>
        <w:t xml:space="preserve">itular de la Unidad de Transparencia </w:t>
      </w:r>
      <w:r w:rsidRPr="009F524E">
        <w:rPr>
          <w:rFonts w:ascii="Palatino Linotype" w:eastAsia="Palatino Linotype" w:hAnsi="Palatino Linotype" w:cs="Palatino Linotype"/>
        </w:rPr>
        <w:t xml:space="preserve">del </w:t>
      </w:r>
      <w:r w:rsidRPr="009F524E">
        <w:rPr>
          <w:rFonts w:ascii="Palatino Linotype" w:eastAsia="Palatino Linotype" w:hAnsi="Palatino Linotype" w:cs="Palatino Linotype"/>
          <w:b/>
        </w:rPr>
        <w:t>SUJETO OBLIGADO</w:t>
      </w:r>
      <w:r w:rsidRPr="009F524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CE19BF" w14:textId="77777777" w:rsidR="00367AE1" w:rsidRPr="009F524E" w:rsidRDefault="00367AE1">
      <w:pPr>
        <w:spacing w:line="360" w:lineRule="auto"/>
        <w:ind w:right="-93"/>
        <w:jc w:val="both"/>
        <w:rPr>
          <w:rFonts w:ascii="Palatino Linotype" w:eastAsia="Palatino Linotype" w:hAnsi="Palatino Linotype" w:cs="Palatino Linotype"/>
        </w:rPr>
      </w:pPr>
    </w:p>
    <w:p w14:paraId="01BE92BA" w14:textId="77777777" w:rsidR="00367AE1" w:rsidRPr="009F524E" w:rsidRDefault="00215203">
      <w:pPr>
        <w:spacing w:line="360" w:lineRule="auto"/>
        <w:jc w:val="both"/>
        <w:rPr>
          <w:rFonts w:ascii="Palatino Linotype" w:eastAsia="Palatino Linotype" w:hAnsi="Palatino Linotype" w:cs="Palatino Linotype"/>
        </w:rPr>
      </w:pPr>
      <w:r w:rsidRPr="009F524E">
        <w:rPr>
          <w:rFonts w:ascii="Palatino Linotype" w:eastAsia="Palatino Linotype" w:hAnsi="Palatino Linotype" w:cs="Palatino Linotype"/>
          <w:b/>
        </w:rPr>
        <w:t xml:space="preserve">CUARTO. </w:t>
      </w:r>
      <w:r w:rsidRPr="009F524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9F524E">
        <w:rPr>
          <w:rFonts w:ascii="Palatino Linotype" w:eastAsia="Palatino Linotype" w:hAnsi="Palatino Linotype" w:cs="Palatino Linotype"/>
          <w:b/>
        </w:rPr>
        <w:t>EL SUJETO OBLIGADO</w:t>
      </w:r>
      <w:r w:rsidRPr="009F524E">
        <w:rPr>
          <w:rFonts w:ascii="Palatino Linotype" w:eastAsia="Palatino Linotype" w:hAnsi="Palatino Linotype" w:cs="Palatino Linotype"/>
        </w:rPr>
        <w:t xml:space="preserve"> de manera fundada y motivada, podrá solicitar una ampliación de plazo para el cumplimiento de la presente resolución.</w:t>
      </w:r>
    </w:p>
    <w:p w14:paraId="070F90FD" w14:textId="77777777" w:rsidR="00367AE1" w:rsidRPr="009F524E" w:rsidRDefault="00367AE1">
      <w:pPr>
        <w:spacing w:line="360" w:lineRule="auto"/>
        <w:jc w:val="both"/>
        <w:rPr>
          <w:rFonts w:ascii="Palatino Linotype" w:eastAsia="Palatino Linotype" w:hAnsi="Palatino Linotype" w:cs="Palatino Linotype"/>
          <w:b/>
        </w:rPr>
      </w:pPr>
    </w:p>
    <w:p w14:paraId="7B39DBDA" w14:textId="77777777" w:rsidR="00367AE1" w:rsidRPr="009F524E" w:rsidRDefault="00215203">
      <w:pPr>
        <w:tabs>
          <w:tab w:val="left" w:pos="142"/>
        </w:tabs>
        <w:spacing w:line="360" w:lineRule="auto"/>
        <w:jc w:val="both"/>
        <w:rPr>
          <w:rFonts w:ascii="Palatino Linotype" w:eastAsia="Palatino Linotype" w:hAnsi="Palatino Linotype" w:cs="Palatino Linotype"/>
        </w:rPr>
      </w:pPr>
      <w:bookmarkStart w:id="5" w:name="_heading=h.2et92p0" w:colFirst="0" w:colLast="0"/>
      <w:bookmarkEnd w:id="5"/>
      <w:r w:rsidRPr="009F524E">
        <w:rPr>
          <w:rFonts w:ascii="Palatino Linotype" w:eastAsia="Palatino Linotype" w:hAnsi="Palatino Linotype" w:cs="Palatino Linotype"/>
          <w:b/>
        </w:rPr>
        <w:t>QUINTO.   Notifíquese</w:t>
      </w:r>
      <w:r w:rsidRPr="009F524E">
        <w:rPr>
          <w:rFonts w:ascii="Palatino Linotype" w:eastAsia="Palatino Linotype" w:hAnsi="Palatino Linotype" w:cs="Palatino Linotype"/>
        </w:rPr>
        <w:t xml:space="preserve"> vía</w:t>
      </w:r>
      <w:r w:rsidRPr="009F524E">
        <w:rPr>
          <w:rFonts w:ascii="Palatino Linotype" w:eastAsia="Palatino Linotype" w:hAnsi="Palatino Linotype" w:cs="Palatino Linotype"/>
          <w:b/>
        </w:rPr>
        <w:t xml:space="preserve"> SAIMEX</w:t>
      </w:r>
      <w:r w:rsidRPr="009F524E">
        <w:rPr>
          <w:rFonts w:ascii="Palatino Linotype" w:eastAsia="Palatino Linotype" w:hAnsi="Palatino Linotype" w:cs="Palatino Linotype"/>
        </w:rPr>
        <w:t xml:space="preserve">, a la parte </w:t>
      </w:r>
      <w:r w:rsidRPr="009F524E">
        <w:rPr>
          <w:rFonts w:ascii="Palatino Linotype" w:eastAsia="Palatino Linotype" w:hAnsi="Palatino Linotype" w:cs="Palatino Linotype"/>
          <w:b/>
        </w:rPr>
        <w:t xml:space="preserve">RECURRENTE </w:t>
      </w:r>
      <w:r w:rsidRPr="009F524E">
        <w:rPr>
          <w:rFonts w:ascii="Palatino Linotype" w:eastAsia="Palatino Linotype" w:hAnsi="Palatino Linotype" w:cs="Palatino Linotype"/>
        </w:rPr>
        <w:t xml:space="preserve">la presente resolución, así como, que de conformidad con lo establecido en los artículos 159 y </w:t>
      </w:r>
      <w:r w:rsidRPr="009F524E">
        <w:rPr>
          <w:rFonts w:ascii="Palatino Linotype" w:eastAsia="Palatino Linotype" w:hAnsi="Palatino Linotype" w:cs="Palatino Linotype"/>
        </w:rPr>
        <w:lastRenderedPageBreak/>
        <w:t>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RPr="009F524E">
        <w:rPr>
          <w:rFonts w:ascii="Palatino Linotype" w:eastAsia="Palatino Linotype" w:hAnsi="Palatino Linotype" w:cs="Palatino Linotype"/>
          <w:b/>
        </w:rPr>
        <w:t>.</w:t>
      </w:r>
    </w:p>
    <w:p w14:paraId="75B435E4" w14:textId="77777777" w:rsidR="00367AE1" w:rsidRPr="009F524E" w:rsidRDefault="00367AE1">
      <w:pPr>
        <w:pBdr>
          <w:top w:val="nil"/>
          <w:left w:val="nil"/>
          <w:bottom w:val="nil"/>
          <w:right w:val="nil"/>
          <w:between w:val="nil"/>
        </w:pBdr>
        <w:spacing w:line="360" w:lineRule="auto"/>
        <w:jc w:val="both"/>
        <w:rPr>
          <w:rFonts w:ascii="Palatino Linotype" w:eastAsia="Palatino Linotype" w:hAnsi="Palatino Linotype" w:cs="Palatino Linotype"/>
        </w:rPr>
      </w:pPr>
    </w:p>
    <w:p w14:paraId="1D84588D" w14:textId="77777777" w:rsidR="00367AE1" w:rsidRPr="009F524E" w:rsidRDefault="00215203">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9F524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TRIGÉSIMA TERCERA SESIÓN ORDINARIA CELEBRADA EL TRECE DE SEPTIEMBRE DE DOS MIL VEINTITRÉS, ANTE EL SECRETARIO TÉCNICO DEL PLENO ALEXIS TAPIA RAMÍREZ.</w:t>
      </w:r>
    </w:p>
    <w:p w14:paraId="7945E246" w14:textId="0DC20889" w:rsidR="00367AE1" w:rsidRDefault="00367AE1">
      <w:pPr>
        <w:spacing w:before="240" w:after="240" w:line="360" w:lineRule="auto"/>
        <w:jc w:val="both"/>
        <w:rPr>
          <w:rFonts w:ascii="Palatino Linotype" w:eastAsia="Palatino Linotype" w:hAnsi="Palatino Linotype" w:cs="Palatino Linotype"/>
        </w:rPr>
      </w:pPr>
    </w:p>
    <w:p w14:paraId="67CE2890" w14:textId="6AF71060" w:rsidR="00F53961" w:rsidRDefault="00F53961">
      <w:pPr>
        <w:spacing w:before="240" w:after="240" w:line="360" w:lineRule="auto"/>
        <w:jc w:val="both"/>
        <w:rPr>
          <w:rFonts w:ascii="Palatino Linotype" w:eastAsia="Palatino Linotype" w:hAnsi="Palatino Linotype" w:cs="Palatino Linotype"/>
        </w:rPr>
      </w:pPr>
    </w:p>
    <w:p w14:paraId="233C1A94" w14:textId="53D4623A" w:rsidR="00F53961" w:rsidRDefault="00F53961">
      <w:pPr>
        <w:spacing w:before="240" w:after="240" w:line="360" w:lineRule="auto"/>
        <w:jc w:val="both"/>
        <w:rPr>
          <w:rFonts w:ascii="Palatino Linotype" w:eastAsia="Palatino Linotype" w:hAnsi="Palatino Linotype" w:cs="Palatino Linotype"/>
        </w:rPr>
      </w:pPr>
    </w:p>
    <w:p w14:paraId="15C92955" w14:textId="614368AF" w:rsidR="00F53961" w:rsidRDefault="00F53961">
      <w:pPr>
        <w:spacing w:before="240" w:after="240" w:line="360" w:lineRule="auto"/>
        <w:jc w:val="both"/>
        <w:rPr>
          <w:rFonts w:ascii="Palatino Linotype" w:eastAsia="Palatino Linotype" w:hAnsi="Palatino Linotype" w:cs="Palatino Linotype"/>
        </w:rPr>
      </w:pPr>
    </w:p>
    <w:p w14:paraId="7213F45D" w14:textId="0292781E" w:rsidR="00F53961" w:rsidRDefault="00F53961">
      <w:pPr>
        <w:spacing w:before="240" w:after="240" w:line="360" w:lineRule="auto"/>
        <w:jc w:val="both"/>
        <w:rPr>
          <w:rFonts w:ascii="Palatino Linotype" w:eastAsia="Palatino Linotype" w:hAnsi="Palatino Linotype" w:cs="Palatino Linotype"/>
        </w:rPr>
      </w:pPr>
    </w:p>
    <w:p w14:paraId="4816D2C4" w14:textId="2EA08811" w:rsidR="00F53961" w:rsidRDefault="00F53961">
      <w:pPr>
        <w:spacing w:before="240" w:after="240" w:line="360" w:lineRule="auto"/>
        <w:jc w:val="both"/>
        <w:rPr>
          <w:rFonts w:ascii="Palatino Linotype" w:eastAsia="Palatino Linotype" w:hAnsi="Palatino Linotype" w:cs="Palatino Linotype"/>
        </w:rPr>
      </w:pPr>
    </w:p>
    <w:p w14:paraId="5F90BD01" w14:textId="4EAFBE7B" w:rsidR="00F53961" w:rsidRDefault="00F53961">
      <w:pPr>
        <w:spacing w:before="240" w:after="240" w:line="360" w:lineRule="auto"/>
        <w:jc w:val="both"/>
        <w:rPr>
          <w:rFonts w:ascii="Palatino Linotype" w:eastAsia="Palatino Linotype" w:hAnsi="Palatino Linotype" w:cs="Palatino Linotype"/>
        </w:rPr>
      </w:pPr>
    </w:p>
    <w:p w14:paraId="472B5CD5" w14:textId="659543A6" w:rsidR="00F53961" w:rsidRDefault="00F53961">
      <w:pPr>
        <w:spacing w:before="240" w:after="240" w:line="360" w:lineRule="auto"/>
        <w:jc w:val="both"/>
        <w:rPr>
          <w:rFonts w:ascii="Palatino Linotype" w:eastAsia="Palatino Linotype" w:hAnsi="Palatino Linotype" w:cs="Palatino Linotype"/>
        </w:rPr>
      </w:pPr>
    </w:p>
    <w:p w14:paraId="2A512334" w14:textId="05C04AF3" w:rsidR="00F53961" w:rsidRDefault="00F53961">
      <w:pPr>
        <w:spacing w:before="240" w:after="240" w:line="360" w:lineRule="auto"/>
        <w:jc w:val="both"/>
        <w:rPr>
          <w:rFonts w:ascii="Palatino Linotype" w:eastAsia="Palatino Linotype" w:hAnsi="Palatino Linotype" w:cs="Palatino Linotype"/>
        </w:rPr>
      </w:pPr>
    </w:p>
    <w:p w14:paraId="3D080393" w14:textId="777DFA30" w:rsidR="00F53961" w:rsidRDefault="00F53961">
      <w:pPr>
        <w:spacing w:before="240" w:after="240" w:line="360" w:lineRule="auto"/>
        <w:jc w:val="both"/>
        <w:rPr>
          <w:rFonts w:ascii="Palatino Linotype" w:eastAsia="Palatino Linotype" w:hAnsi="Palatino Linotype" w:cs="Palatino Linotype"/>
        </w:rPr>
      </w:pPr>
    </w:p>
    <w:p w14:paraId="36F3F0D5" w14:textId="77777777" w:rsidR="00F53961" w:rsidRPr="009F524E" w:rsidRDefault="00F53961">
      <w:pPr>
        <w:spacing w:before="240" w:after="240" w:line="360" w:lineRule="auto"/>
        <w:jc w:val="both"/>
        <w:rPr>
          <w:rFonts w:ascii="Palatino Linotype" w:eastAsia="Palatino Linotype" w:hAnsi="Palatino Linotype" w:cs="Palatino Linotype"/>
        </w:rPr>
      </w:pPr>
    </w:p>
    <w:sectPr w:rsidR="00F53961" w:rsidRPr="009F524E">
      <w:headerReference w:type="default" r:id="rId11"/>
      <w:footerReference w:type="default" r:id="rId12"/>
      <w:headerReference w:type="first" r:id="rId13"/>
      <w:footerReference w:type="first" r:id="rId14"/>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01D05" w14:textId="77777777" w:rsidR="00BF3F31" w:rsidRDefault="00BF3F31">
      <w:r>
        <w:separator/>
      </w:r>
    </w:p>
  </w:endnote>
  <w:endnote w:type="continuationSeparator" w:id="0">
    <w:p w14:paraId="7D99C3B2" w14:textId="77777777" w:rsidR="00BF3F31" w:rsidRDefault="00BF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6861B" w14:textId="77777777" w:rsidR="00367AE1" w:rsidRDefault="0021520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10D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10DE">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63439C56" w14:textId="77777777" w:rsidR="00367AE1" w:rsidRDefault="00367AE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1B3B2" w14:textId="77777777" w:rsidR="00367AE1" w:rsidRDefault="0021520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10D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10DE">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14:paraId="6637A2EE" w14:textId="77777777" w:rsidR="00367AE1" w:rsidRDefault="00367AE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E4C36" w14:textId="77777777" w:rsidR="00BF3F31" w:rsidRDefault="00BF3F31">
      <w:r>
        <w:separator/>
      </w:r>
    </w:p>
  </w:footnote>
  <w:footnote w:type="continuationSeparator" w:id="0">
    <w:p w14:paraId="480600E7" w14:textId="77777777" w:rsidR="00BF3F31" w:rsidRDefault="00BF3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6BC69" w14:textId="77777777" w:rsidR="00367AE1" w:rsidRDefault="0021520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8646130" wp14:editId="5DF1376B">
          <wp:simplePos x="0" y="0"/>
          <wp:positionH relativeFrom="column">
            <wp:posOffset>-1080131</wp:posOffset>
          </wp:positionH>
          <wp:positionV relativeFrom="paragraph">
            <wp:posOffset>-488311</wp:posOffset>
          </wp:positionV>
          <wp:extent cx="7809865" cy="1016571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367AE1" w14:paraId="50C46055" w14:textId="77777777">
      <w:tc>
        <w:tcPr>
          <w:tcW w:w="2489" w:type="dxa"/>
          <w:shd w:val="clear" w:color="auto" w:fill="auto"/>
        </w:tcPr>
        <w:p w14:paraId="45D6B03B"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833A817" w14:textId="77777777" w:rsidR="00367AE1" w:rsidRDefault="0021520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01354/INFOEM/IP/RR/2023</w:t>
          </w:r>
        </w:p>
      </w:tc>
    </w:tr>
    <w:tr w:rsidR="00367AE1" w14:paraId="1F4AB16D" w14:textId="77777777">
      <w:trPr>
        <w:trHeight w:val="228"/>
      </w:trPr>
      <w:tc>
        <w:tcPr>
          <w:tcW w:w="2489" w:type="dxa"/>
          <w:shd w:val="clear" w:color="auto" w:fill="auto"/>
          <w:vAlign w:val="center"/>
        </w:tcPr>
        <w:p w14:paraId="18B07EE3"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600946B" w14:textId="77777777" w:rsidR="00367AE1" w:rsidRDefault="00215203">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367AE1" w14:paraId="0C837A27" w14:textId="77777777">
      <w:tc>
        <w:tcPr>
          <w:tcW w:w="2489" w:type="dxa"/>
          <w:shd w:val="clear" w:color="auto" w:fill="auto"/>
          <w:vAlign w:val="center"/>
        </w:tcPr>
        <w:p w14:paraId="0F85734C" w14:textId="77777777" w:rsidR="00367AE1" w:rsidRDefault="0021520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DA4F624" w14:textId="77777777" w:rsidR="00367AE1" w:rsidRDefault="0021520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F1F10D" w14:textId="77777777" w:rsidR="00367AE1" w:rsidRDefault="0021520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70388" w14:textId="77777777" w:rsidR="00367AE1" w:rsidRDefault="00367AE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367AE1" w14:paraId="3283DED5" w14:textId="77777777">
      <w:tc>
        <w:tcPr>
          <w:tcW w:w="2551" w:type="dxa"/>
          <w:shd w:val="clear" w:color="auto" w:fill="auto"/>
          <w:vAlign w:val="center"/>
        </w:tcPr>
        <w:p w14:paraId="0A3F255E"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3893A07" w14:textId="77777777" w:rsidR="00367AE1" w:rsidRDefault="0021520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01354/INFOEM/IP/RR/2023</w:t>
          </w:r>
        </w:p>
      </w:tc>
    </w:tr>
    <w:tr w:rsidR="00367AE1" w14:paraId="58ECD05F" w14:textId="77777777">
      <w:trPr>
        <w:trHeight w:val="130"/>
      </w:trPr>
      <w:tc>
        <w:tcPr>
          <w:tcW w:w="2551" w:type="dxa"/>
          <w:shd w:val="clear" w:color="auto" w:fill="auto"/>
          <w:vAlign w:val="center"/>
        </w:tcPr>
        <w:p w14:paraId="08086561"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525DF1A" w14:textId="77777777" w:rsidR="00367AE1" w:rsidRDefault="00367AE1">
          <w:pPr>
            <w:ind w:left="-45" w:right="-533"/>
            <w:jc w:val="both"/>
            <w:rPr>
              <w:rFonts w:ascii="Palatino Linotype" w:eastAsia="Palatino Linotype" w:hAnsi="Palatino Linotype" w:cs="Palatino Linotype"/>
              <w:b/>
              <w:sz w:val="22"/>
              <w:szCs w:val="22"/>
            </w:rPr>
          </w:pPr>
        </w:p>
      </w:tc>
    </w:tr>
    <w:tr w:rsidR="00367AE1" w14:paraId="04CBF526" w14:textId="77777777">
      <w:trPr>
        <w:trHeight w:val="228"/>
      </w:trPr>
      <w:tc>
        <w:tcPr>
          <w:tcW w:w="2551" w:type="dxa"/>
          <w:shd w:val="clear" w:color="auto" w:fill="auto"/>
          <w:vAlign w:val="center"/>
        </w:tcPr>
        <w:p w14:paraId="1002A3E2"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055C0A2" w14:textId="77777777" w:rsidR="00367AE1" w:rsidRDefault="00215203">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367AE1" w14:paraId="37F76E6A" w14:textId="77777777">
      <w:tc>
        <w:tcPr>
          <w:tcW w:w="2551" w:type="dxa"/>
          <w:shd w:val="clear" w:color="auto" w:fill="auto"/>
          <w:vAlign w:val="center"/>
        </w:tcPr>
        <w:p w14:paraId="1F8874AB" w14:textId="77777777" w:rsidR="00367AE1" w:rsidRDefault="0021520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0F090FF" w14:textId="77777777" w:rsidR="00367AE1" w:rsidRDefault="0021520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53A1F0" w14:textId="77777777" w:rsidR="00367AE1" w:rsidRDefault="00215203">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9E7DA91" wp14:editId="1EB8A639">
          <wp:simplePos x="0" y="0"/>
          <wp:positionH relativeFrom="column">
            <wp:posOffset>-1089656</wp:posOffset>
          </wp:positionH>
          <wp:positionV relativeFrom="paragraph">
            <wp:posOffset>-1169666</wp:posOffset>
          </wp:positionV>
          <wp:extent cx="7809865" cy="1016571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46F8C"/>
    <w:multiLevelType w:val="multilevel"/>
    <w:tmpl w:val="43464EA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D2B51B3"/>
    <w:multiLevelType w:val="multilevel"/>
    <w:tmpl w:val="2DBC1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B5B2B72"/>
    <w:multiLevelType w:val="multilevel"/>
    <w:tmpl w:val="BCBACFD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66D65AB7"/>
    <w:multiLevelType w:val="multilevel"/>
    <w:tmpl w:val="B8D2D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9660042"/>
    <w:multiLevelType w:val="multilevel"/>
    <w:tmpl w:val="08FE787A"/>
    <w:lvl w:ilvl="0">
      <w:start w:val="1"/>
      <w:numFmt w:val="decimal"/>
      <w:pStyle w:val="Listaconvietas3"/>
      <w:lvlText w:val="%1."/>
      <w:lvlJc w:val="left"/>
      <w:pPr>
        <w:ind w:left="720" w:hanging="360"/>
      </w:pPr>
      <w:rPr>
        <w:rFonts w:ascii="Palatino Linotype" w:eastAsia="Palatino Linotype" w:hAnsi="Palatino Linotype" w:cs="Palatino Linotype"/>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E1"/>
    <w:rsid w:val="001410DE"/>
    <w:rsid w:val="00215203"/>
    <w:rsid w:val="00367AE1"/>
    <w:rsid w:val="009F524E"/>
    <w:rsid w:val="00AE1DDC"/>
    <w:rsid w:val="00BF3F31"/>
    <w:rsid w:val="00E45AF6"/>
    <w:rsid w:val="00F53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797A3"/>
  <w15:docId w15:val="{1E2708F2-FF64-4F28-A9AF-BEF9C9C0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Wj8A3zM4NWzuNk2IO0+3gaK3A==">CgMxLjAyCGguZ2pkZ3hzMgloLjMwajB6bGwyCGgudHlqY3d0MgloLjFmb2I5dGUyCWguMmV0OTJwMDIJaC4zem55c2g3OAByITFHdHUxQ0xRVEV6N285UDZCYXMwQTlCWFE1V0RleHV0YQ==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15209</Words>
  <Characters>83654</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2023-09-15T19:48:00Z</cp:lastPrinted>
  <dcterms:created xsi:type="dcterms:W3CDTF">2023-09-21T23:37:00Z</dcterms:created>
  <dcterms:modified xsi:type="dcterms:W3CDTF">2023-09-21T23:37:00Z</dcterms:modified>
</cp:coreProperties>
</file>