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824" w:rsidRPr="003D5361" w:rsidRDefault="00A74AF5">
      <w:pPr>
        <w:spacing w:before="240" w:after="240" w:line="360" w:lineRule="auto"/>
        <w:jc w:val="both"/>
        <w:rPr>
          <w:rFonts w:ascii="Palatino Linotype" w:eastAsia="Palatino Linotype" w:hAnsi="Palatino Linotype" w:cs="Palatino Linotype"/>
        </w:rPr>
      </w:pPr>
      <w:bookmarkStart w:id="0" w:name="_GoBack"/>
      <w:bookmarkEnd w:id="0"/>
      <w:r w:rsidRPr="003D536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mayo de dos mil veintitrés. </w:t>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VISTO</w:t>
      </w:r>
      <w:r w:rsidRPr="003D5361">
        <w:rPr>
          <w:rFonts w:ascii="Palatino Linotype" w:eastAsia="Palatino Linotype" w:hAnsi="Palatino Linotype" w:cs="Palatino Linotype"/>
        </w:rPr>
        <w:t xml:space="preserve"> el expediente formado con motivo del recurso de revisión </w:t>
      </w:r>
      <w:r w:rsidRPr="003D5361">
        <w:rPr>
          <w:rFonts w:ascii="Palatino Linotype" w:eastAsia="Palatino Linotype" w:hAnsi="Palatino Linotype" w:cs="Palatino Linotype"/>
          <w:b/>
        </w:rPr>
        <w:t>01054/INFOEM/IP/RR/2023</w:t>
      </w:r>
      <w:r w:rsidRPr="003D5361">
        <w:rPr>
          <w:rFonts w:ascii="Palatino Linotype" w:eastAsia="Palatino Linotype" w:hAnsi="Palatino Linotype" w:cs="Palatino Linotype"/>
        </w:rPr>
        <w:t xml:space="preserve">, interpuesto por </w:t>
      </w:r>
      <w:r w:rsidRPr="003D5361">
        <w:rPr>
          <w:rFonts w:ascii="Palatino Linotype" w:eastAsia="Palatino Linotype" w:hAnsi="Palatino Linotype" w:cs="Palatino Linotype"/>
          <w:b/>
        </w:rPr>
        <w:t>un particular que no proporcionó su nombre,</w:t>
      </w:r>
      <w:r w:rsidRPr="003D5361">
        <w:rPr>
          <w:rFonts w:ascii="Palatino Linotype" w:eastAsia="Palatino Linotype" w:hAnsi="Palatino Linotype" w:cs="Palatino Linotype"/>
        </w:rPr>
        <w:t xml:space="preserve"> en lo sucesivo el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xml:space="preserve"> en contra de la respuesta a su solicitud por parte del </w:t>
      </w:r>
      <w:r w:rsidRPr="003D5361">
        <w:rPr>
          <w:rFonts w:ascii="Palatino Linotype" w:eastAsia="Palatino Linotype" w:hAnsi="Palatino Linotype" w:cs="Palatino Linotype"/>
          <w:b/>
        </w:rPr>
        <w:t xml:space="preserve">Ayuntamiento de Zinacantepec, </w:t>
      </w:r>
      <w:r w:rsidRPr="003D5361">
        <w:rPr>
          <w:rFonts w:ascii="Palatino Linotype" w:eastAsia="Palatino Linotype" w:hAnsi="Palatino Linotype" w:cs="Palatino Linotype"/>
        </w:rPr>
        <w:t xml:space="preserve">en lo sucesivo el </w:t>
      </w:r>
      <w:r w:rsidRPr="003D5361">
        <w:rPr>
          <w:rFonts w:ascii="Palatino Linotype" w:eastAsia="Palatino Linotype" w:hAnsi="Palatino Linotype" w:cs="Palatino Linotype"/>
          <w:b/>
        </w:rPr>
        <w:t xml:space="preserve">SUJETO OBLIGADO, </w:t>
      </w:r>
      <w:r w:rsidRPr="003D5361">
        <w:rPr>
          <w:rFonts w:ascii="Palatino Linotype" w:eastAsia="Palatino Linotype" w:hAnsi="Palatino Linotype" w:cs="Palatino Linotype"/>
        </w:rPr>
        <w:t xml:space="preserve">se procede a dictar la presente resolución con base en los siguientes: </w:t>
      </w:r>
    </w:p>
    <w:p w:rsidR="00C16824" w:rsidRPr="003D5361" w:rsidRDefault="00A74AF5">
      <w:pPr>
        <w:spacing w:before="240" w:after="240" w:line="360" w:lineRule="auto"/>
        <w:jc w:val="center"/>
        <w:rPr>
          <w:rFonts w:ascii="Palatino Linotype" w:eastAsia="Palatino Linotype" w:hAnsi="Palatino Linotype" w:cs="Palatino Linotype"/>
          <w:b/>
        </w:rPr>
      </w:pPr>
      <w:r w:rsidRPr="003D5361">
        <w:rPr>
          <w:rFonts w:ascii="Palatino Linotype" w:eastAsia="Palatino Linotype" w:hAnsi="Palatino Linotype" w:cs="Palatino Linotype"/>
          <w:b/>
        </w:rPr>
        <w:t>I. A N T E C E D E N T E S</w:t>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1. Solicitud de acceso a la información.</w:t>
      </w:r>
      <w:r w:rsidRPr="003D5361">
        <w:rPr>
          <w:rFonts w:ascii="Palatino Linotype" w:eastAsia="Palatino Linotype" w:hAnsi="Palatino Linotype" w:cs="Palatino Linotype"/>
        </w:rPr>
        <w:t xml:space="preserve"> Con fecha </w:t>
      </w:r>
      <w:r w:rsidRPr="003D5361">
        <w:rPr>
          <w:rFonts w:ascii="Palatino Linotype" w:eastAsia="Palatino Linotype" w:hAnsi="Palatino Linotype" w:cs="Palatino Linotype"/>
          <w:b/>
        </w:rPr>
        <w:t>veintitrés de enero de dos mil veintitrés,</w:t>
      </w:r>
      <w:r w:rsidRPr="003D5361">
        <w:rPr>
          <w:rFonts w:ascii="Palatino Linotype" w:eastAsia="Palatino Linotype" w:hAnsi="Palatino Linotype" w:cs="Palatino Linotype"/>
        </w:rPr>
        <w:t xml:space="preserve"> la parte </w:t>
      </w:r>
      <w:r w:rsidRPr="003D5361">
        <w:rPr>
          <w:rFonts w:ascii="Palatino Linotype" w:eastAsia="Palatino Linotype" w:hAnsi="Palatino Linotype" w:cs="Palatino Linotype"/>
          <w:b/>
        </w:rPr>
        <w:t xml:space="preserve">RECURRENTE </w:t>
      </w:r>
      <w:r w:rsidRPr="003D5361">
        <w:rPr>
          <w:rFonts w:ascii="Palatino Linotype" w:eastAsia="Palatino Linotype" w:hAnsi="Palatino Linotype" w:cs="Palatino Linotype"/>
        </w:rPr>
        <w:t xml:space="preserve">presentó, a través del Sistema de Acceso a la Información Mexiquense, en lo subsecuente el </w:t>
      </w:r>
      <w:r w:rsidRPr="003D5361">
        <w:rPr>
          <w:rFonts w:ascii="Palatino Linotype" w:eastAsia="Palatino Linotype" w:hAnsi="Palatino Linotype" w:cs="Palatino Linotype"/>
          <w:b/>
        </w:rPr>
        <w:t>SAIMEX,</w:t>
      </w:r>
      <w:r w:rsidRPr="003D5361">
        <w:rPr>
          <w:rFonts w:ascii="Palatino Linotype" w:eastAsia="Palatino Linotype" w:hAnsi="Palatino Linotype" w:cs="Palatino Linotype"/>
        </w:rPr>
        <w:t xml:space="preserve"> ante 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la solicitud de acceso a la información pública, a la que se le asignó el número</w:t>
      </w:r>
      <w:r w:rsidRPr="003D5361">
        <w:rPr>
          <w:rFonts w:ascii="Palatino Linotype" w:eastAsia="Palatino Linotype" w:hAnsi="Palatino Linotype" w:cs="Palatino Linotype"/>
          <w:b/>
        </w:rPr>
        <w:t xml:space="preserve"> 00124/ZINACANT/IP/2023, </w:t>
      </w:r>
      <w:r w:rsidRPr="003D5361">
        <w:rPr>
          <w:rFonts w:ascii="Palatino Linotype" w:eastAsia="Palatino Linotype" w:hAnsi="Palatino Linotype" w:cs="Palatino Linotype"/>
        </w:rPr>
        <w:t xml:space="preserve">mediante la cual requirió la información siguiente: </w:t>
      </w:r>
    </w:p>
    <w:p w:rsidR="00C16824" w:rsidRPr="003D5361" w:rsidRDefault="00A74AF5">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3D5361">
        <w:rPr>
          <w:rFonts w:ascii="Palatino Linotype" w:eastAsia="Palatino Linotype" w:hAnsi="Palatino Linotype" w:cs="Palatino Linotype"/>
          <w:i/>
          <w:sz w:val="22"/>
          <w:szCs w:val="22"/>
        </w:rPr>
        <w:t>“SOLICITO TODOS LOS ESTADOS BANCARIOS DE TODAS LAS CUENTAS QUE OBREN EN EL AYUNTAMIENTO DEL MES DE DICIEMBRE 2022” (Sic)</w:t>
      </w:r>
    </w:p>
    <w:p w:rsidR="00C16824" w:rsidRPr="003D5361" w:rsidRDefault="00C16824">
      <w:pPr>
        <w:spacing w:before="240"/>
        <w:ind w:left="851" w:right="902"/>
        <w:jc w:val="both"/>
        <w:rPr>
          <w:rFonts w:ascii="Palatino Linotype" w:eastAsia="Palatino Linotype" w:hAnsi="Palatino Linotype" w:cs="Palatino Linotype"/>
          <w:i/>
          <w:sz w:val="22"/>
          <w:szCs w:val="22"/>
        </w:rPr>
      </w:pPr>
    </w:p>
    <w:p w:rsidR="00C16824" w:rsidRPr="003D5361" w:rsidRDefault="00A74AF5">
      <w:pPr>
        <w:spacing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Modalidad de Entrega:</w:t>
      </w:r>
      <w:r w:rsidRPr="003D5361">
        <w:rPr>
          <w:rFonts w:ascii="Palatino Linotype" w:eastAsia="Palatino Linotype" w:hAnsi="Palatino Linotype" w:cs="Palatino Linotype"/>
        </w:rPr>
        <w:t xml:space="preserve"> A través de SAIMEX.</w:t>
      </w:r>
    </w:p>
    <w:p w:rsidR="00C16824" w:rsidRPr="003D5361" w:rsidRDefault="00C16824">
      <w:pPr>
        <w:spacing w:line="360" w:lineRule="auto"/>
        <w:jc w:val="both"/>
        <w:rPr>
          <w:rFonts w:ascii="Palatino Linotype" w:eastAsia="Palatino Linotype" w:hAnsi="Palatino Linotype" w:cs="Palatino Linotype"/>
        </w:rPr>
      </w:pPr>
    </w:p>
    <w:p w:rsidR="00C16824" w:rsidRPr="003D5361" w:rsidRDefault="00A74AF5">
      <w:pPr>
        <w:spacing w:after="240" w:line="360" w:lineRule="auto"/>
        <w:jc w:val="both"/>
        <w:rPr>
          <w:rFonts w:ascii="Palatino Linotype" w:eastAsia="Palatino Linotype" w:hAnsi="Palatino Linotype" w:cs="Palatino Linotype"/>
          <w:b/>
        </w:rPr>
      </w:pPr>
      <w:r w:rsidRPr="003D5361">
        <w:rPr>
          <w:rFonts w:ascii="Palatino Linotype" w:eastAsia="Palatino Linotype" w:hAnsi="Palatino Linotype" w:cs="Palatino Linotype"/>
          <w:b/>
        </w:rPr>
        <w:lastRenderedPageBreak/>
        <w:t xml:space="preserve">2. Solicitud de Aclaración, </w:t>
      </w:r>
      <w:r w:rsidRPr="003D5361">
        <w:rPr>
          <w:rFonts w:ascii="Palatino Linotype" w:eastAsia="Palatino Linotype" w:hAnsi="Palatino Linotype" w:cs="Palatino Linotype"/>
        </w:rPr>
        <w:t xml:space="preserve">Con fecha treinta de enero del dos mil veintitrés 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requirió al particular que complemente y/o aclare su solicitud, la cual versa como sigue:</w:t>
      </w:r>
    </w:p>
    <w:p w:rsidR="00C16824" w:rsidRPr="003D5361" w:rsidRDefault="00A74AF5">
      <w:pPr>
        <w:ind w:left="851" w:right="900"/>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 xml:space="preserve">“Con fundamento en el </w:t>
      </w:r>
      <w:proofErr w:type="spellStart"/>
      <w:r w:rsidRPr="003D5361">
        <w:rPr>
          <w:rFonts w:ascii="Palatino Linotype" w:eastAsia="Palatino Linotype" w:hAnsi="Palatino Linotype" w:cs="Palatino Linotype"/>
          <w:i/>
          <w:sz w:val="22"/>
          <w:szCs w:val="22"/>
        </w:rPr>
        <w:t>articulo</w:t>
      </w:r>
      <w:proofErr w:type="spellEnd"/>
      <w:r w:rsidRPr="003D5361">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C16824" w:rsidRPr="003D5361" w:rsidRDefault="00A74AF5">
      <w:pPr>
        <w:ind w:left="851" w:right="900"/>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C16824" w:rsidRPr="003D5361" w:rsidRDefault="00A74AF5">
      <w:pPr>
        <w:ind w:left="851" w:right="900"/>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16824" w:rsidRPr="003D5361" w:rsidRDefault="00A74AF5">
      <w:pPr>
        <w:ind w:left="851" w:right="900"/>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ATENTAMENTE</w:t>
      </w:r>
    </w:p>
    <w:p w:rsidR="00C16824" w:rsidRPr="003D5361" w:rsidRDefault="00A74AF5">
      <w:pPr>
        <w:ind w:left="851" w:right="900"/>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ING. JESUS EMMANUEL ENCASTIN RENDON” (Sic)</w:t>
      </w:r>
    </w:p>
    <w:p w:rsidR="00C16824" w:rsidRPr="003D5361" w:rsidRDefault="00C16824">
      <w:pPr>
        <w:ind w:left="851" w:right="900"/>
        <w:jc w:val="both"/>
        <w:rPr>
          <w:rFonts w:ascii="Palatino Linotype" w:eastAsia="Palatino Linotype" w:hAnsi="Palatino Linotype" w:cs="Palatino Linotype"/>
          <w:i/>
          <w:sz w:val="22"/>
          <w:szCs w:val="22"/>
        </w:rPr>
      </w:pPr>
    </w:p>
    <w:p w:rsidR="00C16824" w:rsidRPr="003D5361" w:rsidRDefault="00A74AF5">
      <w:pPr>
        <w:spacing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 xml:space="preserve">3. Aclaración de Solicitud. </w:t>
      </w:r>
      <w:r w:rsidRPr="003D5361">
        <w:rPr>
          <w:rFonts w:ascii="Palatino Linotype" w:eastAsia="Palatino Linotype" w:hAnsi="Palatino Linotype" w:cs="Palatino Linotype"/>
        </w:rPr>
        <w:t>De las constancias que obran en el expediente electrónico del SAIMEX, se advierte que el solicitante en fecha treinta de enero del año dos mil veintitrés, desahogó su aclaración en los siguientes términos:</w:t>
      </w:r>
    </w:p>
    <w:p w:rsidR="00C16824" w:rsidRPr="003D5361" w:rsidRDefault="00C16824">
      <w:pPr>
        <w:spacing w:line="360" w:lineRule="auto"/>
        <w:jc w:val="both"/>
        <w:rPr>
          <w:rFonts w:ascii="Palatino Linotype" w:eastAsia="Palatino Linotype" w:hAnsi="Palatino Linotype" w:cs="Palatino Linotype"/>
        </w:rPr>
      </w:pPr>
    </w:p>
    <w:p w:rsidR="00C16824" w:rsidRPr="003D5361" w:rsidRDefault="00A74AF5">
      <w:pPr>
        <w:ind w:left="851" w:right="900"/>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“QUE HAY QUE ACLARAR</w:t>
      </w:r>
      <w:proofErr w:type="gramStart"/>
      <w:r w:rsidRPr="003D5361">
        <w:rPr>
          <w:rFonts w:ascii="Palatino Linotype" w:eastAsia="Palatino Linotype" w:hAnsi="Palatino Linotype" w:cs="Palatino Linotype"/>
          <w:i/>
          <w:sz w:val="22"/>
          <w:szCs w:val="22"/>
        </w:rPr>
        <w:t>?</w:t>
      </w:r>
      <w:proofErr w:type="gramEnd"/>
      <w:r w:rsidRPr="003D5361">
        <w:rPr>
          <w:rFonts w:ascii="Palatino Linotype" w:eastAsia="Palatino Linotype" w:hAnsi="Palatino Linotype" w:cs="Palatino Linotype"/>
          <w:i/>
          <w:sz w:val="22"/>
          <w:szCs w:val="22"/>
        </w:rPr>
        <w:t xml:space="preserve"> ES MUY ESPECÍFICA LA SOLICITUD” (Sic)</w:t>
      </w:r>
    </w:p>
    <w:p w:rsidR="00C16824" w:rsidRPr="003D5361" w:rsidRDefault="00C16824">
      <w:pPr>
        <w:spacing w:before="240" w:after="240" w:line="360" w:lineRule="auto"/>
        <w:jc w:val="both"/>
        <w:rPr>
          <w:rFonts w:ascii="Palatino Linotype" w:eastAsia="Palatino Linotype" w:hAnsi="Palatino Linotype" w:cs="Palatino Linotype"/>
          <w:b/>
        </w:rPr>
      </w:pPr>
    </w:p>
    <w:p w:rsidR="00C16824" w:rsidRPr="003D5361" w:rsidRDefault="00A74AF5">
      <w:pPr>
        <w:spacing w:after="240" w:line="360" w:lineRule="auto"/>
        <w:jc w:val="both"/>
        <w:rPr>
          <w:rFonts w:ascii="Palatino Linotype" w:eastAsia="Palatino Linotype" w:hAnsi="Palatino Linotype" w:cs="Palatino Linotype"/>
          <w:b/>
        </w:rPr>
      </w:pPr>
      <w:r w:rsidRPr="003D5361">
        <w:rPr>
          <w:rFonts w:ascii="Palatino Linotype" w:eastAsia="Palatino Linotype" w:hAnsi="Palatino Linotype" w:cs="Palatino Linotype"/>
          <w:b/>
        </w:rPr>
        <w:lastRenderedPageBreak/>
        <w:t xml:space="preserve">4. Respuesta. </w:t>
      </w:r>
      <w:r w:rsidRPr="003D5361">
        <w:rPr>
          <w:rFonts w:ascii="Palatino Linotype" w:eastAsia="Palatino Linotype" w:hAnsi="Palatino Linotype" w:cs="Palatino Linotype"/>
        </w:rPr>
        <w:t xml:space="preserve">Con fecha </w:t>
      </w:r>
      <w:r w:rsidRPr="003D5361">
        <w:rPr>
          <w:rFonts w:ascii="Palatino Linotype" w:eastAsia="Palatino Linotype" w:hAnsi="Palatino Linotype" w:cs="Palatino Linotype"/>
          <w:b/>
        </w:rPr>
        <w:t>veintidós de febrero de dos mil veintitrés</w:t>
      </w:r>
      <w:r w:rsidRPr="003D5361">
        <w:rPr>
          <w:rFonts w:ascii="Palatino Linotype" w:eastAsia="Palatino Linotype" w:hAnsi="Palatino Linotype" w:cs="Palatino Linotype"/>
        </w:rPr>
        <w:t xml:space="preserve">, el </w:t>
      </w:r>
      <w:r w:rsidRPr="003D5361">
        <w:rPr>
          <w:rFonts w:ascii="Palatino Linotype" w:eastAsia="Palatino Linotype" w:hAnsi="Palatino Linotype" w:cs="Palatino Linotype"/>
          <w:b/>
        </w:rPr>
        <w:t xml:space="preserve">SUJETO OBLIGADO </w:t>
      </w:r>
      <w:r w:rsidRPr="003D5361">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C16824" w:rsidRPr="003D5361" w:rsidRDefault="00A74AF5">
      <w:pPr>
        <w:spacing w:before="240" w:after="240"/>
        <w:ind w:left="851" w:right="902"/>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“…Se adjunta la respuesta a la solicitud interpuesta a través de esta plataforma digital.​...” (Sic)</w:t>
      </w:r>
    </w:p>
    <w:p w:rsidR="00C16824" w:rsidRPr="003D5361" w:rsidRDefault="00A74AF5">
      <w:pPr>
        <w:spacing w:before="240" w:after="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b/>
        </w:rPr>
        <w:t xml:space="preserve">El SUJETO OBLIGADO, </w:t>
      </w:r>
      <w:r w:rsidRPr="003D5361">
        <w:rPr>
          <w:rFonts w:ascii="Palatino Linotype" w:eastAsia="Palatino Linotype" w:hAnsi="Palatino Linotype" w:cs="Palatino Linotype"/>
        </w:rPr>
        <w:t>adjuntó a su respuesta los archivos electrónicos denominados:</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8">
        <w:r w:rsidRPr="003D5361">
          <w:rPr>
            <w:rFonts w:ascii="Palatino Linotype" w:eastAsia="Palatino Linotype" w:hAnsi="Palatino Linotype" w:cs="Palatino Linotype"/>
          </w:rPr>
          <w:t>Anexo 1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01720132744109, constante de cuatro fojas</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9">
        <w:r w:rsidRPr="003D5361">
          <w:rPr>
            <w:rFonts w:ascii="Palatino Linotype" w:eastAsia="Palatino Linotype" w:hAnsi="Palatino Linotype" w:cs="Palatino Linotype"/>
          </w:rPr>
          <w:t>Anexo 2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01720132743962, constante de cuatro fojas.</w:t>
      </w:r>
    </w:p>
    <w:p w:rsidR="00C16824" w:rsidRPr="003D5361" w:rsidRDefault="00A74AF5">
      <w:pPr>
        <w:widowControl w:val="0"/>
        <w:spacing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10">
        <w:r w:rsidRPr="003D5361">
          <w:rPr>
            <w:rFonts w:ascii="Palatino Linotype" w:eastAsia="Palatino Linotype" w:hAnsi="Palatino Linotype" w:cs="Palatino Linotype"/>
          </w:rPr>
          <w:t>Anexo 5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Santander, del mes de diciembre 2022, constante de dos fojas</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11">
        <w:r w:rsidRPr="003D5361">
          <w:rPr>
            <w:rFonts w:ascii="Palatino Linotype" w:eastAsia="Palatino Linotype" w:hAnsi="Palatino Linotype" w:cs="Palatino Linotype"/>
          </w:rPr>
          <w:t>Anexo 3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01720132744243, constante de cuatro fojas.</w:t>
      </w:r>
    </w:p>
    <w:p w:rsidR="00C16824" w:rsidRPr="003D5361" w:rsidRDefault="00A74AF5">
      <w:pPr>
        <w:spacing w:before="240" w:after="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lastRenderedPageBreak/>
        <w:t>“</w:t>
      </w:r>
      <w:hyperlink r:id="rId12">
        <w:r w:rsidRPr="003D5361">
          <w:rPr>
            <w:rFonts w:ascii="Palatino Linotype" w:eastAsia="Palatino Linotype" w:hAnsi="Palatino Linotype" w:cs="Palatino Linotype"/>
          </w:rPr>
          <w:t>respuesta de solicitud 00124-23.pdf</w:t>
        </w:r>
      </w:hyperlink>
      <w:r w:rsidRPr="003D5361">
        <w:rPr>
          <w:rFonts w:ascii="Palatino Linotype" w:eastAsia="Palatino Linotype" w:hAnsi="Palatino Linotype" w:cs="Palatino Linotype"/>
        </w:rPr>
        <w:t xml:space="preserve">”, el cual contiene la respuesta de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por medio del cual informó que anexaba las copias de los estados de cuenta bancarios de todas las cuentas, a nombre del Municipio de Zinacantepec.</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13">
        <w:r w:rsidRPr="003D5361">
          <w:rPr>
            <w:rFonts w:ascii="Palatino Linotype" w:eastAsia="Palatino Linotype" w:hAnsi="Palatino Linotype" w:cs="Palatino Linotype"/>
          </w:rPr>
          <w:t>Anexo 4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01720132744153, constante de cuatro fojas</w:t>
      </w:r>
    </w:p>
    <w:p w:rsidR="00C16824" w:rsidRPr="003D5361" w:rsidRDefault="00A74AF5">
      <w:pPr>
        <w:spacing w:before="240" w:after="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b/>
        </w:rPr>
        <w:t xml:space="preserve">5. Interposición del recurso de revisión. </w:t>
      </w:r>
      <w:r w:rsidRPr="003D5361">
        <w:rPr>
          <w:rFonts w:ascii="Palatino Linotype" w:eastAsia="Palatino Linotype" w:hAnsi="Palatino Linotype" w:cs="Palatino Linotype"/>
        </w:rPr>
        <w:t xml:space="preserve">Inconforme con los términos de la respuesta emitida por parte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xml:space="preserve">, el </w:t>
      </w:r>
      <w:r w:rsidRPr="003D5361">
        <w:rPr>
          <w:rFonts w:ascii="Palatino Linotype" w:eastAsia="Palatino Linotype" w:hAnsi="Palatino Linotype" w:cs="Palatino Linotype"/>
          <w:b/>
        </w:rPr>
        <w:t>veintidós de febrero del dos mil veintitrés,</w:t>
      </w:r>
      <w:r w:rsidRPr="003D5361">
        <w:rPr>
          <w:rFonts w:ascii="Palatino Linotype" w:eastAsia="Palatino Linotype" w:hAnsi="Palatino Linotype" w:cs="Palatino Linotype"/>
        </w:rPr>
        <w:t xml:space="preserve"> la parte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xml:space="preserve"> interpuso el recurso de revisión a través de </w:t>
      </w:r>
      <w:r w:rsidRPr="003D5361">
        <w:rPr>
          <w:rFonts w:ascii="Palatino Linotype" w:eastAsia="Palatino Linotype" w:hAnsi="Palatino Linotype" w:cs="Palatino Linotype"/>
          <w:b/>
        </w:rPr>
        <w:t xml:space="preserve">SAIMEX, </w:t>
      </w:r>
      <w:r w:rsidRPr="003D5361">
        <w:rPr>
          <w:rFonts w:ascii="Palatino Linotype" w:eastAsia="Palatino Linotype" w:hAnsi="Palatino Linotype" w:cs="Palatino Linotype"/>
        </w:rPr>
        <w:t>en donde se manifestó de la siguiente manera:</w:t>
      </w:r>
    </w:p>
    <w:p w:rsidR="00C16824" w:rsidRPr="003D5361" w:rsidRDefault="00A74AF5">
      <w:pPr>
        <w:tabs>
          <w:tab w:val="left" w:pos="2745"/>
        </w:tabs>
        <w:spacing w:before="240" w:after="240" w:line="360" w:lineRule="auto"/>
        <w:jc w:val="both"/>
        <w:rPr>
          <w:rFonts w:ascii="Palatino Linotype" w:eastAsia="Palatino Linotype" w:hAnsi="Palatino Linotype" w:cs="Palatino Linotype"/>
          <w:b/>
        </w:rPr>
      </w:pPr>
      <w:r w:rsidRPr="003D5361">
        <w:rPr>
          <w:rFonts w:ascii="Palatino Linotype" w:eastAsia="Palatino Linotype" w:hAnsi="Palatino Linotype" w:cs="Palatino Linotype"/>
          <w:b/>
        </w:rPr>
        <w:t xml:space="preserve">Acto impugnado: </w:t>
      </w:r>
      <w:r w:rsidRPr="003D5361">
        <w:rPr>
          <w:rFonts w:ascii="Palatino Linotype" w:eastAsia="Palatino Linotype" w:hAnsi="Palatino Linotype" w:cs="Palatino Linotype"/>
          <w:b/>
        </w:rPr>
        <w:tab/>
      </w:r>
    </w:p>
    <w:p w:rsidR="00C16824" w:rsidRPr="003D5361" w:rsidRDefault="00A74AF5">
      <w:pPr>
        <w:spacing w:line="276" w:lineRule="auto"/>
        <w:ind w:left="851" w:right="900"/>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“NO ENTREGA LA TOTALIDAD DE LA INFORMACIÓN” (Sic)</w:t>
      </w:r>
    </w:p>
    <w:p w:rsidR="00C16824" w:rsidRPr="003D5361" w:rsidRDefault="00C16824">
      <w:pPr>
        <w:spacing w:line="276" w:lineRule="auto"/>
        <w:ind w:left="851" w:right="900"/>
        <w:jc w:val="both"/>
        <w:rPr>
          <w:rFonts w:ascii="Palatino Linotype" w:eastAsia="Palatino Linotype" w:hAnsi="Palatino Linotype" w:cs="Palatino Linotype"/>
          <w:i/>
          <w:sz w:val="22"/>
          <w:szCs w:val="22"/>
        </w:rPr>
      </w:pPr>
    </w:p>
    <w:p w:rsidR="00C16824" w:rsidRPr="003D5361" w:rsidRDefault="00A74AF5">
      <w:pPr>
        <w:spacing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Y Razones o motivos de inconformidad</w:t>
      </w:r>
      <w:r w:rsidRPr="003D5361">
        <w:rPr>
          <w:rFonts w:ascii="Palatino Linotype" w:eastAsia="Palatino Linotype" w:hAnsi="Palatino Linotype" w:cs="Palatino Linotype"/>
        </w:rPr>
        <w:t>:</w:t>
      </w:r>
    </w:p>
    <w:p w:rsidR="00C16824" w:rsidRPr="003D5361" w:rsidRDefault="00A74AF5">
      <w:pPr>
        <w:spacing w:line="276" w:lineRule="auto"/>
        <w:ind w:left="851" w:right="900"/>
        <w:jc w:val="both"/>
        <w:rPr>
          <w:rFonts w:ascii="Palatino Linotype" w:eastAsia="Palatino Linotype" w:hAnsi="Palatino Linotype" w:cs="Palatino Linotype"/>
          <w:i/>
          <w:sz w:val="22"/>
          <w:szCs w:val="22"/>
        </w:rPr>
      </w:pPr>
      <w:bookmarkStart w:id="2" w:name="_heading=h.30j0zll" w:colFirst="0" w:colLast="0"/>
      <w:bookmarkEnd w:id="2"/>
      <w:r w:rsidRPr="003D5361">
        <w:rPr>
          <w:rFonts w:ascii="Palatino Linotype" w:eastAsia="Palatino Linotype" w:hAnsi="Palatino Linotype" w:cs="Palatino Linotype"/>
          <w:i/>
          <w:sz w:val="22"/>
          <w:szCs w:val="22"/>
        </w:rPr>
        <w:t xml:space="preserve"> “EL TITULAR DE TRANSPARENCIA PIENSA QUE NO SE REVISAN LAS SOLICITUDES, EVIDENTEMENTE ENTREGA ESTADOS DE CUENTA BANCARIOS SIN SALDO, CUANDO </w:t>
      </w:r>
      <w:r w:rsidRPr="003D5361">
        <w:rPr>
          <w:rFonts w:ascii="Palatino Linotype" w:eastAsia="Palatino Linotype" w:hAnsi="Palatino Linotype" w:cs="Palatino Linotype"/>
          <w:b/>
          <w:i/>
          <w:sz w:val="22"/>
          <w:szCs w:val="22"/>
        </w:rPr>
        <w:t>NO COINCIDEN LOS ESTADOS DE CUENTA CON LOS EGRESOS..</w:t>
      </w:r>
      <w:r w:rsidRPr="003D5361">
        <w:rPr>
          <w:rFonts w:ascii="Palatino Linotype" w:eastAsia="Palatino Linotype" w:hAnsi="Palatino Linotype" w:cs="Palatino Linotype"/>
          <w:i/>
          <w:sz w:val="22"/>
          <w:szCs w:val="22"/>
        </w:rPr>
        <w:t xml:space="preserve">. </w:t>
      </w:r>
      <w:r w:rsidRPr="003D5361">
        <w:rPr>
          <w:rFonts w:ascii="Palatino Linotype" w:eastAsia="Palatino Linotype" w:hAnsi="Palatino Linotype" w:cs="Palatino Linotype"/>
          <w:b/>
          <w:i/>
          <w:sz w:val="22"/>
          <w:szCs w:val="22"/>
        </w:rPr>
        <w:t>SERA QUE ESTAN LAVANDO DINERO O PORQUE NO REPORTAN EGRESOS</w:t>
      </w:r>
      <w:proofErr w:type="gramStart"/>
      <w:r w:rsidRPr="003D5361">
        <w:rPr>
          <w:rFonts w:ascii="Palatino Linotype" w:eastAsia="Palatino Linotype" w:hAnsi="Palatino Linotype" w:cs="Palatino Linotype"/>
          <w:b/>
          <w:i/>
          <w:sz w:val="22"/>
          <w:szCs w:val="22"/>
        </w:rPr>
        <w:t>?</w:t>
      </w:r>
      <w:proofErr w:type="gramEnd"/>
      <w:r w:rsidRPr="003D5361">
        <w:rPr>
          <w:rFonts w:ascii="Palatino Linotype" w:eastAsia="Palatino Linotype" w:hAnsi="Palatino Linotype" w:cs="Palatino Linotype"/>
          <w:i/>
          <w:sz w:val="22"/>
          <w:szCs w:val="22"/>
        </w:rPr>
        <w:t xml:space="preserve"> DE DONDE SALE EL DINERO PARA PAGAR NOMINAS, PROVEEDORES, </w:t>
      </w:r>
      <w:proofErr w:type="gramStart"/>
      <w:r w:rsidRPr="003D5361">
        <w:rPr>
          <w:rFonts w:ascii="Palatino Linotype" w:eastAsia="Palatino Linotype" w:hAnsi="Palatino Linotype" w:cs="Palatino Linotype"/>
          <w:i/>
          <w:sz w:val="22"/>
          <w:szCs w:val="22"/>
        </w:rPr>
        <w:t>ETC..”</w:t>
      </w:r>
      <w:proofErr w:type="gramEnd"/>
      <w:r w:rsidRPr="003D5361">
        <w:rPr>
          <w:rFonts w:ascii="Palatino Linotype" w:eastAsia="Palatino Linotype" w:hAnsi="Palatino Linotype" w:cs="Palatino Linotype"/>
          <w:i/>
          <w:sz w:val="22"/>
          <w:szCs w:val="22"/>
        </w:rPr>
        <w:t xml:space="preserve"> (Sic)</w:t>
      </w:r>
    </w:p>
    <w:p w:rsidR="00C16824" w:rsidRPr="003D5361" w:rsidRDefault="00C16824">
      <w:pPr>
        <w:spacing w:line="276" w:lineRule="auto"/>
        <w:ind w:left="851" w:right="900"/>
        <w:jc w:val="both"/>
        <w:rPr>
          <w:rFonts w:ascii="Palatino Linotype" w:eastAsia="Palatino Linotype" w:hAnsi="Palatino Linotype" w:cs="Palatino Linotype"/>
          <w:i/>
          <w:sz w:val="22"/>
          <w:szCs w:val="22"/>
        </w:rPr>
      </w:pPr>
    </w:p>
    <w:p w:rsidR="00C16824" w:rsidRPr="003D5361" w:rsidRDefault="00A74AF5">
      <w:pPr>
        <w:spacing w:line="360" w:lineRule="auto"/>
        <w:ind w:right="51"/>
        <w:jc w:val="both"/>
        <w:rPr>
          <w:rFonts w:ascii="Palatino Linotype" w:eastAsia="Palatino Linotype" w:hAnsi="Palatino Linotype" w:cs="Palatino Linotype"/>
        </w:rPr>
      </w:pPr>
      <w:r w:rsidRPr="003D5361">
        <w:rPr>
          <w:rFonts w:ascii="Palatino Linotype" w:eastAsia="Palatino Linotype" w:hAnsi="Palatino Linotype" w:cs="Palatino Linotype"/>
          <w:b/>
        </w:rPr>
        <w:t xml:space="preserve">6. Turno. </w:t>
      </w:r>
      <w:r w:rsidRPr="003D536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3D5361">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3D5361">
        <w:rPr>
          <w:rFonts w:ascii="Palatino Linotype" w:eastAsia="Palatino Linotype" w:hAnsi="Palatino Linotype" w:cs="Palatino Linotype"/>
          <w:b/>
        </w:rPr>
        <w:t xml:space="preserve">Guadalupe Ramírez Peña, </w:t>
      </w:r>
      <w:r w:rsidRPr="003D5361">
        <w:rPr>
          <w:rFonts w:ascii="Palatino Linotype" w:eastAsia="Palatino Linotype" w:hAnsi="Palatino Linotype" w:cs="Palatino Linotype"/>
        </w:rPr>
        <w:t xml:space="preserve">a efecto de que analizara sobre su admisión o su </w:t>
      </w:r>
      <w:proofErr w:type="spellStart"/>
      <w:r w:rsidRPr="003D5361">
        <w:rPr>
          <w:rFonts w:ascii="Palatino Linotype" w:eastAsia="Palatino Linotype" w:hAnsi="Palatino Linotype" w:cs="Palatino Linotype"/>
        </w:rPr>
        <w:t>desechamiento</w:t>
      </w:r>
      <w:proofErr w:type="spellEnd"/>
      <w:r w:rsidRPr="003D5361">
        <w:rPr>
          <w:rFonts w:ascii="Palatino Linotype" w:eastAsia="Palatino Linotype" w:hAnsi="Palatino Linotype" w:cs="Palatino Linotype"/>
        </w:rPr>
        <w:t>.</w:t>
      </w:r>
    </w:p>
    <w:p w:rsidR="00C16824" w:rsidRPr="003D5361" w:rsidRDefault="00C16824">
      <w:pPr>
        <w:spacing w:line="360" w:lineRule="auto"/>
        <w:ind w:right="51"/>
        <w:jc w:val="both"/>
        <w:rPr>
          <w:rFonts w:ascii="Palatino Linotype" w:eastAsia="Palatino Linotype" w:hAnsi="Palatino Linotype" w:cs="Palatino Linotype"/>
        </w:rPr>
      </w:pPr>
    </w:p>
    <w:p w:rsidR="00C16824" w:rsidRPr="003D5361" w:rsidRDefault="00A74AF5">
      <w:pPr>
        <w:spacing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7. Admisión del Recurso de revisión.</w:t>
      </w:r>
      <w:r w:rsidRPr="003D5361">
        <w:rPr>
          <w:rFonts w:ascii="Palatino Linotype" w:eastAsia="Palatino Linotype" w:hAnsi="Palatino Linotype" w:cs="Palatino Linotype"/>
        </w:rPr>
        <w:t xml:space="preserve"> Con </w:t>
      </w:r>
      <w:r w:rsidRPr="003D5361">
        <w:rPr>
          <w:rFonts w:ascii="Palatino Linotype" w:eastAsia="Palatino Linotype" w:hAnsi="Palatino Linotype" w:cs="Palatino Linotype"/>
          <w:b/>
        </w:rPr>
        <w:t xml:space="preserve">fecha veintisiete de febrero de dos mil veintitrés, </w:t>
      </w:r>
      <w:r w:rsidRPr="003D536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D5361">
        <w:rPr>
          <w:rFonts w:ascii="Palatino Linotype" w:eastAsia="Palatino Linotype" w:hAnsi="Palatino Linotype" w:cs="Palatino Linotype"/>
          <w:b/>
        </w:rPr>
        <w:t xml:space="preserve">SUJETO OBLIGADO </w:t>
      </w:r>
      <w:r w:rsidRPr="003D5361">
        <w:rPr>
          <w:rFonts w:ascii="Palatino Linotype" w:eastAsia="Palatino Linotype" w:hAnsi="Palatino Linotype" w:cs="Palatino Linotype"/>
        </w:rPr>
        <w:t>presentara su informe justificado.</w:t>
      </w:r>
    </w:p>
    <w:p w:rsidR="00C16824" w:rsidRPr="003D5361" w:rsidRDefault="00A74AF5">
      <w:pPr>
        <w:widowControl w:val="0"/>
        <w:spacing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b/>
        </w:rPr>
        <w:t>8. Manifestaciones</w:t>
      </w:r>
      <w:r w:rsidRPr="003D5361">
        <w:rPr>
          <w:rFonts w:ascii="Palatino Linotype" w:eastAsia="Palatino Linotype" w:hAnsi="Palatino Linotype" w:cs="Palatino Linotype"/>
        </w:rPr>
        <w:t xml:space="preserve">. De constancias del expediente electrónico del SAIMEX, se observa que </w:t>
      </w:r>
      <w:r w:rsidRPr="003D5361">
        <w:rPr>
          <w:rFonts w:ascii="Palatino Linotype" w:eastAsia="Palatino Linotype" w:hAnsi="Palatino Linotype" w:cs="Palatino Linotype"/>
          <w:b/>
        </w:rPr>
        <w:t>la parte RECURRENTE</w:t>
      </w:r>
      <w:r w:rsidRPr="003D5361">
        <w:rPr>
          <w:rFonts w:ascii="Palatino Linotype" w:eastAsia="Palatino Linotype" w:hAnsi="Palatino Linotype" w:cs="Palatino Linotype"/>
        </w:rPr>
        <w:t xml:space="preserve"> fue omisa en emitir pronunciamientos, ofrecer pruebas o alegatos, por lo que se tiene por </w:t>
      </w:r>
      <w:proofErr w:type="spellStart"/>
      <w:r w:rsidRPr="003D5361">
        <w:rPr>
          <w:rFonts w:ascii="Palatino Linotype" w:eastAsia="Palatino Linotype" w:hAnsi="Palatino Linotype" w:cs="Palatino Linotype"/>
        </w:rPr>
        <w:t>precluido</w:t>
      </w:r>
      <w:proofErr w:type="spellEnd"/>
      <w:r w:rsidRPr="003D5361">
        <w:rPr>
          <w:rFonts w:ascii="Palatino Linotype" w:eastAsia="Palatino Linotype" w:hAnsi="Palatino Linotype" w:cs="Palatino Linotype"/>
        </w:rPr>
        <w:t xml:space="preserve"> su derecho.</w:t>
      </w:r>
    </w:p>
    <w:p w:rsidR="00C16824" w:rsidRPr="003D5361" w:rsidRDefault="00C16824">
      <w:pPr>
        <w:widowControl w:val="0"/>
        <w:spacing w:line="360" w:lineRule="auto"/>
        <w:ind w:right="49"/>
        <w:jc w:val="both"/>
        <w:rPr>
          <w:rFonts w:ascii="Palatino Linotype" w:eastAsia="Palatino Linotype" w:hAnsi="Palatino Linotype" w:cs="Palatino Linotype"/>
        </w:rPr>
      </w:pPr>
    </w:p>
    <w:p w:rsidR="00C16824" w:rsidRPr="003D5361" w:rsidRDefault="00A74AF5">
      <w:pPr>
        <w:widowControl w:val="0"/>
        <w:spacing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Por su parte 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en fecha diez de marzo del año dos mil veintitrés remitió los siguientes archivos electrónicos:</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14">
        <w:r w:rsidRPr="003D5361">
          <w:rPr>
            <w:rFonts w:ascii="Palatino Linotype" w:eastAsia="Palatino Linotype" w:hAnsi="Palatino Linotype" w:cs="Palatino Linotype"/>
          </w:rPr>
          <w:t>Anexo 3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01720132744243, constante de cuatro fojas.</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lastRenderedPageBreak/>
        <w:t>“</w:t>
      </w:r>
      <w:hyperlink r:id="rId15">
        <w:r w:rsidRPr="003D5361">
          <w:rPr>
            <w:rFonts w:ascii="Palatino Linotype" w:eastAsia="Palatino Linotype" w:hAnsi="Palatino Linotype" w:cs="Palatino Linotype"/>
          </w:rPr>
          <w:t>Anexo 1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01720132744109, constante de cuatro fojas</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16">
        <w:r w:rsidRPr="003D5361">
          <w:rPr>
            <w:rFonts w:ascii="Palatino Linotype" w:eastAsia="Palatino Linotype" w:hAnsi="Palatino Linotype" w:cs="Palatino Linotype"/>
          </w:rPr>
          <w:t>Anexo 2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01720132743962, constante de cuatro fojas.</w:t>
      </w:r>
    </w:p>
    <w:p w:rsidR="00C16824" w:rsidRPr="003D5361" w:rsidRDefault="00C16824">
      <w:pPr>
        <w:widowControl w:val="0"/>
        <w:spacing w:line="360" w:lineRule="auto"/>
        <w:ind w:right="49"/>
        <w:jc w:val="both"/>
        <w:rPr>
          <w:rFonts w:ascii="Palatino Linotype" w:eastAsia="Palatino Linotype" w:hAnsi="Palatino Linotype" w:cs="Palatino Linotype"/>
        </w:rPr>
      </w:pPr>
    </w:p>
    <w:p w:rsidR="00C16824" w:rsidRPr="003D5361" w:rsidRDefault="00A74AF5">
      <w:pPr>
        <w:widowControl w:val="0"/>
        <w:spacing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17">
        <w:r w:rsidRPr="003D5361">
          <w:rPr>
            <w:rFonts w:ascii="Palatino Linotype" w:eastAsia="Palatino Linotype" w:hAnsi="Palatino Linotype" w:cs="Palatino Linotype"/>
          </w:rPr>
          <w:t>Anexo 5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Santander, del mes de diciembre 2022, constante de dos fojas</w:t>
      </w:r>
    </w:p>
    <w:p w:rsidR="00C16824" w:rsidRPr="003D5361" w:rsidRDefault="00A74AF5">
      <w:pPr>
        <w:spacing w:before="240" w:after="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18">
        <w:r w:rsidRPr="003D5361">
          <w:rPr>
            <w:rFonts w:ascii="Palatino Linotype" w:eastAsia="Palatino Linotype" w:hAnsi="Palatino Linotype" w:cs="Palatino Linotype"/>
          </w:rPr>
          <w:t>respuesta de solicitud 124-23.pdf</w:t>
        </w:r>
      </w:hyperlink>
      <w:r w:rsidRPr="003D5361">
        <w:rPr>
          <w:rFonts w:ascii="Palatino Linotype" w:eastAsia="Palatino Linotype" w:hAnsi="Palatino Linotype" w:cs="Palatino Linotype"/>
        </w:rPr>
        <w:t xml:space="preserve">”, el cual contiene la respuesta de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por medio del cual informó que anexaba las copias de los estados de cuenta bancarios de todas las cuentas, a nombre del Municipio de Zinacantepec.</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19">
        <w:r w:rsidRPr="003D5361">
          <w:rPr>
            <w:rFonts w:ascii="Palatino Linotype" w:eastAsia="Palatino Linotype" w:hAnsi="Palatino Linotype" w:cs="Palatino Linotype"/>
          </w:rPr>
          <w:t>Anexo 4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01720132744153, constante de cuatro fojas</w:t>
      </w:r>
    </w:p>
    <w:p w:rsidR="00C16824" w:rsidRPr="003D5361" w:rsidRDefault="00C16824">
      <w:pPr>
        <w:spacing w:before="240" w:line="360" w:lineRule="auto"/>
        <w:ind w:right="49"/>
        <w:jc w:val="both"/>
        <w:rPr>
          <w:rFonts w:ascii="Palatino Linotype" w:eastAsia="Palatino Linotype" w:hAnsi="Palatino Linotype" w:cs="Palatino Linotype"/>
        </w:rPr>
      </w:pPr>
    </w:p>
    <w:p w:rsidR="00C16824" w:rsidRPr="003D5361" w:rsidRDefault="00A74AF5">
      <w:pPr>
        <w:spacing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Archivos que corresponde a los remitidos en respuesta, además que se pusieron a la vista de la parte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xml:space="preserve">, en términos de la fracción III del artículo 185 de la </w:t>
      </w:r>
      <w:r w:rsidRPr="003D5361">
        <w:rPr>
          <w:rFonts w:ascii="Palatino Linotype" w:eastAsia="Palatino Linotype" w:hAnsi="Palatino Linotype" w:cs="Palatino Linotype"/>
        </w:rPr>
        <w:lastRenderedPageBreak/>
        <w:t xml:space="preserve">Ley de Transparencia y Acceso a la Información Pública del Estado de México y Municipios; para que en el término de tres días manifestara lo que a su derecho convenga; sin que la parte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xml:space="preserve"> hiciera manifestación alguna.</w:t>
      </w:r>
    </w:p>
    <w:p w:rsidR="00C16824" w:rsidRPr="003D5361" w:rsidRDefault="00C16824">
      <w:pPr>
        <w:widowControl w:val="0"/>
        <w:spacing w:line="360" w:lineRule="auto"/>
        <w:jc w:val="both"/>
        <w:rPr>
          <w:rFonts w:ascii="Palatino Linotype" w:eastAsia="Palatino Linotype" w:hAnsi="Palatino Linotype" w:cs="Palatino Linotype"/>
          <w:b/>
        </w:rPr>
      </w:pPr>
    </w:p>
    <w:p w:rsidR="00C16824" w:rsidRPr="003D5361" w:rsidRDefault="00A74AF5">
      <w:pPr>
        <w:widowControl w:val="0"/>
        <w:spacing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9.</w:t>
      </w:r>
      <w:r w:rsidRPr="003D5361">
        <w:rPr>
          <w:rFonts w:ascii="Palatino Linotype" w:eastAsia="Palatino Linotype" w:hAnsi="Palatino Linotype" w:cs="Palatino Linotype"/>
        </w:rPr>
        <w:t xml:space="preserve"> </w:t>
      </w:r>
      <w:r w:rsidRPr="003D5361">
        <w:rPr>
          <w:rFonts w:ascii="Palatino Linotype" w:eastAsia="Palatino Linotype" w:hAnsi="Palatino Linotype" w:cs="Palatino Linotype"/>
          <w:b/>
        </w:rPr>
        <w:t>Ampliación del plazo.</w:t>
      </w:r>
      <w:r w:rsidRPr="003D5361">
        <w:rPr>
          <w:rFonts w:ascii="Palatino Linotype" w:eastAsia="Palatino Linotype" w:hAnsi="Palatino Linotype" w:cs="Palatino Linotype"/>
        </w:rPr>
        <w:t xml:space="preserve"> En fecha veinticinco de abril del dos mil veintitrés, con fundamento en el artículo 181, párrafo tercero de la Ley de Transparencia y Acceso a la Información Pública del Estado de México y Municipios, se acordó la ampliación del plazo para su resolución.</w:t>
      </w:r>
    </w:p>
    <w:p w:rsidR="00C16824" w:rsidRPr="003D5361" w:rsidRDefault="00C16824">
      <w:pPr>
        <w:widowControl w:val="0"/>
        <w:spacing w:line="360" w:lineRule="auto"/>
        <w:jc w:val="both"/>
        <w:rPr>
          <w:rFonts w:ascii="Palatino Linotype" w:eastAsia="Palatino Linotype" w:hAnsi="Palatino Linotype" w:cs="Palatino Linotype"/>
        </w:rPr>
      </w:pPr>
    </w:p>
    <w:p w:rsidR="00C16824" w:rsidRPr="003D5361" w:rsidRDefault="00A74AF5">
      <w:pPr>
        <w:spacing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 xml:space="preserve">10. Cierre de instrucción. </w:t>
      </w:r>
      <w:r w:rsidRPr="003D5361">
        <w:rPr>
          <w:rFonts w:ascii="Palatino Linotype" w:eastAsia="Palatino Linotype" w:hAnsi="Palatino Linotype" w:cs="Palatino Linotype"/>
        </w:rPr>
        <w:t>Una vez transcurrido el periodo otorgado a las partes para realizar sus manifestaciones y no habiendo documentos que integrar al expediente, con fecha dos de mayo del dos mil veintitrés, la Comisionada Ponente determinó el cierre de instrucción en términos de la fracción VI del artículo 185 de la Ley de Transparencia y Acceso a la Información Pública del Estado de México y Municipios.</w:t>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C16824" w:rsidRPr="003D5361" w:rsidRDefault="00A74AF5">
      <w:pPr>
        <w:widowControl w:val="0"/>
        <w:spacing w:line="360" w:lineRule="auto"/>
        <w:jc w:val="center"/>
        <w:rPr>
          <w:rFonts w:ascii="Palatino Linotype" w:eastAsia="Palatino Linotype" w:hAnsi="Palatino Linotype" w:cs="Palatino Linotype"/>
          <w:b/>
        </w:rPr>
      </w:pPr>
      <w:r w:rsidRPr="003D5361">
        <w:rPr>
          <w:rFonts w:ascii="Palatino Linotype" w:eastAsia="Palatino Linotype" w:hAnsi="Palatino Linotype" w:cs="Palatino Linotype"/>
          <w:b/>
        </w:rPr>
        <w:t>II. C O N S I D E R A N D O S</w:t>
      </w:r>
    </w:p>
    <w:p w:rsidR="00C16824" w:rsidRPr="003D5361" w:rsidRDefault="00C16824">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rsidR="00C16824" w:rsidRPr="003D5361" w:rsidRDefault="00A74AF5">
      <w:pPr>
        <w:spacing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Primero. Competencia.</w:t>
      </w:r>
      <w:r w:rsidRPr="003D536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3D5361">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C16824" w:rsidRPr="003D5361" w:rsidRDefault="00A74AF5">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3D5361">
        <w:rPr>
          <w:rFonts w:ascii="Palatino Linotype" w:eastAsia="Palatino Linotype" w:hAnsi="Palatino Linotype" w:cs="Palatino Linotype"/>
          <w:b/>
        </w:rPr>
        <w:t xml:space="preserve">Segundo. Oportunidad y </w:t>
      </w:r>
      <w:proofErr w:type="spellStart"/>
      <w:r w:rsidRPr="003D5361">
        <w:rPr>
          <w:rFonts w:ascii="Palatino Linotype" w:eastAsia="Palatino Linotype" w:hAnsi="Palatino Linotype" w:cs="Palatino Linotype"/>
          <w:b/>
        </w:rPr>
        <w:t>Procedibilidad</w:t>
      </w:r>
      <w:proofErr w:type="spellEnd"/>
      <w:r w:rsidRPr="003D5361">
        <w:rPr>
          <w:rFonts w:ascii="Palatino Linotype" w:eastAsia="Palatino Linotype" w:hAnsi="Palatino Linotype" w:cs="Palatino Linotype"/>
          <w:b/>
        </w:rPr>
        <w:t xml:space="preserve"> del Recurso de Revisión. </w:t>
      </w:r>
      <w:r w:rsidRPr="003D5361">
        <w:rPr>
          <w:rFonts w:ascii="Palatino Linotype" w:eastAsia="Palatino Linotype" w:hAnsi="Palatino Linotype" w:cs="Palatino Linotype"/>
        </w:rPr>
        <w:t xml:space="preserve">De conformidad con los requisitos de Oportunidad y </w:t>
      </w:r>
      <w:proofErr w:type="spellStart"/>
      <w:r w:rsidRPr="003D5361">
        <w:rPr>
          <w:rFonts w:ascii="Palatino Linotype" w:eastAsia="Palatino Linotype" w:hAnsi="Palatino Linotype" w:cs="Palatino Linotype"/>
        </w:rPr>
        <w:t>Procedibilidad</w:t>
      </w:r>
      <w:proofErr w:type="spellEnd"/>
      <w:r w:rsidRPr="003D5361">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xml:space="preserve"> emitió su respuesta a la solicitud planteada por la solicitante el veintidós de febrero del año dos mil veintitrés la parte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xml:space="preserve"> presentó su recurso de revisión el mismo día hábil en que tuvo conocimiento de la respuesta impugnada.</w:t>
      </w:r>
    </w:p>
    <w:p w:rsidR="00C16824" w:rsidRPr="003D5361" w:rsidRDefault="00A74AF5">
      <w:pPr>
        <w:spacing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En este sentido, al considerar la fecha en que se formuló la solicitud y la fecha en que respondió a esta 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C16824" w:rsidRPr="003D5361" w:rsidRDefault="00A74AF5">
      <w:pPr>
        <w:spacing w:before="120" w:after="120"/>
        <w:ind w:left="851" w:right="902"/>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3D5361">
        <w:rPr>
          <w:rFonts w:ascii="Palatino Linotype" w:eastAsia="Palatino Linotype" w:hAnsi="Palatino Linotype" w:cs="Palatino Linotype"/>
          <w:i/>
          <w:sz w:val="22"/>
          <w:szCs w:val="22"/>
        </w:rPr>
        <w:t>.</w:t>
      </w:r>
    </w:p>
    <w:p w:rsidR="00C16824" w:rsidRPr="003D5361" w:rsidRDefault="00A74AF5">
      <w:pPr>
        <w:spacing w:before="120" w:after="120"/>
        <w:ind w:left="851" w:right="902"/>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rsidR="00C16824" w:rsidRPr="003D5361" w:rsidRDefault="00C16824">
      <w:pPr>
        <w:pBdr>
          <w:top w:val="nil"/>
          <w:left w:val="nil"/>
          <w:bottom w:val="nil"/>
          <w:right w:val="nil"/>
          <w:between w:val="nil"/>
        </w:pBdr>
        <w:spacing w:line="360" w:lineRule="auto"/>
        <w:ind w:right="-147"/>
        <w:jc w:val="both"/>
        <w:rPr>
          <w:rFonts w:ascii="Palatino Linotype" w:eastAsia="Palatino Linotype" w:hAnsi="Palatino Linotype" w:cs="Palatino Linotype"/>
        </w:rPr>
      </w:pPr>
    </w:p>
    <w:p w:rsidR="00C16824" w:rsidRPr="003D5361" w:rsidRDefault="00A74AF5">
      <w:pPr>
        <w:spacing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Al mismo tiempo, tras la revisión del formato de interposición del recurso, es de suma importancia señalar que la parte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xml:space="preserve"> no proporcionó su nombre como se advierte en el detalle de seguimiento del SAIMEX, no obstante lo anterior, no proporcionar el nombre no es motivo para archivar la solicitud de acceso a la información pública como concluida, conforme a lo previsto en el artículo 155, </w:t>
      </w:r>
      <w:r w:rsidRPr="003D5361">
        <w:rPr>
          <w:rFonts w:ascii="Palatino Linotype" w:eastAsia="Palatino Linotype" w:hAnsi="Palatino Linotype" w:cs="Palatino Linotype"/>
        </w:rPr>
        <w:lastRenderedPageBreak/>
        <w:t>penúltimo párrafo de la Ley de Transparencia y Acceso a la Información Pública del Estado de México y Municipios que establece lo siguiente:</w:t>
      </w:r>
    </w:p>
    <w:p w:rsidR="00C16824" w:rsidRPr="003D5361" w:rsidRDefault="00C16824">
      <w:pPr>
        <w:ind w:left="567" w:right="474"/>
        <w:jc w:val="both"/>
        <w:rPr>
          <w:rFonts w:ascii="Palatino Linotype" w:eastAsia="Palatino Linotype" w:hAnsi="Palatino Linotype" w:cs="Palatino Linotype"/>
          <w:i/>
        </w:rPr>
      </w:pPr>
    </w:p>
    <w:p w:rsidR="00C16824" w:rsidRPr="003D5361" w:rsidRDefault="00A74AF5">
      <w:pPr>
        <w:spacing w:after="240"/>
        <w:ind w:left="567" w:right="474"/>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w:t>
      </w:r>
      <w:r w:rsidRPr="003D5361">
        <w:rPr>
          <w:rFonts w:ascii="Palatino Linotype" w:eastAsia="Palatino Linotype" w:hAnsi="Palatino Linotype" w:cs="Palatino Linotype"/>
          <w:b/>
          <w:i/>
          <w:sz w:val="22"/>
          <w:szCs w:val="22"/>
        </w:rPr>
        <w:t>Las solicitudes anónimas</w:t>
      </w:r>
      <w:r w:rsidRPr="003D5361">
        <w:rPr>
          <w:rFonts w:ascii="Palatino Linotype" w:eastAsia="Palatino Linotype" w:hAnsi="Palatino Linotype" w:cs="Palatino Linotype"/>
          <w:i/>
          <w:sz w:val="22"/>
          <w:szCs w:val="22"/>
        </w:rPr>
        <w:t xml:space="preserve">, con nombre incompleto o seudónimo </w:t>
      </w:r>
      <w:r w:rsidRPr="003D5361">
        <w:rPr>
          <w:rFonts w:ascii="Palatino Linotype" w:eastAsia="Palatino Linotype" w:hAnsi="Palatino Linotype" w:cs="Palatino Linotype"/>
          <w:b/>
          <w:i/>
          <w:sz w:val="22"/>
          <w:szCs w:val="22"/>
        </w:rPr>
        <w:t>serán procedentes para su trámite por parte del sujeto obligado ante quien se presente</w:t>
      </w:r>
      <w:r w:rsidRPr="003D5361">
        <w:rPr>
          <w:rFonts w:ascii="Palatino Linotype" w:eastAsia="Palatino Linotype" w:hAnsi="Palatino Linotype" w:cs="Palatino Linotype"/>
          <w:i/>
          <w:sz w:val="22"/>
          <w:szCs w:val="22"/>
        </w:rPr>
        <w:t>. No podrá requerirse información adicional con motivo del nombre proporcionado por el solicitante."(Sic)</w:t>
      </w:r>
    </w:p>
    <w:p w:rsidR="00C16824" w:rsidRPr="003D5361" w:rsidRDefault="00A74AF5">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Además, por cuanto hace a la </w:t>
      </w:r>
      <w:proofErr w:type="spellStart"/>
      <w:r w:rsidRPr="003D5361">
        <w:rPr>
          <w:rFonts w:ascii="Palatino Linotype" w:eastAsia="Palatino Linotype" w:hAnsi="Palatino Linotype" w:cs="Palatino Linotype"/>
        </w:rPr>
        <w:t>procedibilidad</w:t>
      </w:r>
      <w:proofErr w:type="spellEnd"/>
      <w:r w:rsidRPr="003D5361">
        <w:rPr>
          <w:rFonts w:ascii="Palatino Linotype" w:eastAsia="Palatino Linotype" w:hAnsi="Palatino Linotype" w:cs="Palatino Linotype"/>
        </w:rPr>
        <w:t xml:space="preserve">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D5361">
        <w:rPr>
          <w:rFonts w:ascii="Palatino Linotype" w:eastAsia="Palatino Linotype" w:hAnsi="Palatino Linotype" w:cs="Palatino Linotype"/>
          <w:b/>
        </w:rPr>
        <w:t>EL</w:t>
      </w:r>
      <w:r w:rsidRPr="003D5361">
        <w:rPr>
          <w:rFonts w:ascii="Palatino Linotype" w:eastAsia="Palatino Linotype" w:hAnsi="Palatino Linotype" w:cs="Palatino Linotype"/>
        </w:rPr>
        <w:t xml:space="preserve"> </w:t>
      </w:r>
      <w:r w:rsidRPr="003D5361">
        <w:rPr>
          <w:rFonts w:ascii="Palatino Linotype" w:eastAsia="Palatino Linotype" w:hAnsi="Palatino Linotype" w:cs="Palatino Linotype"/>
          <w:b/>
        </w:rPr>
        <w:t>SAIMEX</w:t>
      </w:r>
      <w:r w:rsidRPr="003D5361">
        <w:rPr>
          <w:rFonts w:ascii="Palatino Linotype" w:eastAsia="Palatino Linotype" w:hAnsi="Palatino Linotype" w:cs="Palatino Linotype"/>
        </w:rPr>
        <w:t>.</w:t>
      </w:r>
    </w:p>
    <w:p w:rsidR="00C16824" w:rsidRPr="003D5361" w:rsidRDefault="00A74AF5">
      <w:pPr>
        <w:spacing w:before="240" w:line="360" w:lineRule="auto"/>
        <w:ind w:right="62"/>
        <w:jc w:val="both"/>
        <w:rPr>
          <w:rFonts w:ascii="Palatino Linotype" w:eastAsia="Palatino Linotype" w:hAnsi="Palatino Linotype" w:cs="Palatino Linotype"/>
        </w:rPr>
      </w:pPr>
      <w:r w:rsidRPr="003D5361">
        <w:rPr>
          <w:rFonts w:ascii="Palatino Linotype" w:eastAsia="Palatino Linotype" w:hAnsi="Palatino Linotype" w:cs="Palatino Linotype"/>
          <w:b/>
        </w:rPr>
        <w:t>Tercero. Análisis de las causales de improcedencia y sobreseimiento</w:t>
      </w:r>
      <w:r w:rsidRPr="003D5361">
        <w:rPr>
          <w:rFonts w:ascii="Palatino Linotype" w:eastAsia="Palatino Linotype" w:hAnsi="Palatino Linotype" w:cs="Palatino Linotype"/>
        </w:rPr>
        <w:t xml:space="preserve"> Es menester resaltar que en el procedimiento de acceso a la información pública y de los medios de impugnación de la materia, se advierten diversos supuestos de </w:t>
      </w:r>
      <w:proofErr w:type="spellStart"/>
      <w:r w:rsidRPr="003D5361">
        <w:rPr>
          <w:rFonts w:ascii="Palatino Linotype" w:eastAsia="Palatino Linotype" w:hAnsi="Palatino Linotype" w:cs="Palatino Linotype"/>
        </w:rPr>
        <w:t>procedibilidad</w:t>
      </w:r>
      <w:proofErr w:type="spellEnd"/>
      <w:r w:rsidRPr="003D5361">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16824" w:rsidRPr="003D5361" w:rsidRDefault="00C16824">
      <w:pPr>
        <w:spacing w:line="360" w:lineRule="auto"/>
        <w:ind w:right="62"/>
        <w:jc w:val="both"/>
        <w:rPr>
          <w:rFonts w:ascii="Palatino Linotype" w:eastAsia="Palatino Linotype" w:hAnsi="Palatino Linotype" w:cs="Palatino Linotype"/>
        </w:rPr>
      </w:pPr>
    </w:p>
    <w:p w:rsidR="00C16824" w:rsidRPr="003D5361" w:rsidRDefault="00A74AF5">
      <w:pPr>
        <w:spacing w:line="360" w:lineRule="auto"/>
        <w:ind w:right="62"/>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w:t>
      </w:r>
      <w:r w:rsidRPr="003D5361">
        <w:rPr>
          <w:rFonts w:ascii="Palatino Linotype" w:eastAsia="Palatino Linotype" w:hAnsi="Palatino Linotype" w:cs="Palatino Linotype"/>
        </w:rPr>
        <w:lastRenderedPageBreak/>
        <w:t xml:space="preserve">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 </w:t>
      </w:r>
    </w:p>
    <w:p w:rsidR="00C16824" w:rsidRPr="003D5361" w:rsidRDefault="00C16824">
      <w:pPr>
        <w:spacing w:line="360" w:lineRule="auto"/>
        <w:ind w:right="62"/>
        <w:jc w:val="both"/>
        <w:rPr>
          <w:rFonts w:ascii="Palatino Linotype" w:eastAsia="Palatino Linotype" w:hAnsi="Palatino Linotype" w:cs="Palatino Linotype"/>
        </w:rPr>
      </w:pPr>
    </w:p>
    <w:p w:rsidR="00C16824" w:rsidRPr="003D5361" w:rsidRDefault="00A74AF5">
      <w:pPr>
        <w:spacing w:line="360" w:lineRule="auto"/>
        <w:ind w:right="62"/>
        <w:jc w:val="both"/>
        <w:rPr>
          <w:rFonts w:ascii="Palatino Linotype" w:eastAsia="Palatino Linotype" w:hAnsi="Palatino Linotype" w:cs="Palatino Linotype"/>
        </w:rPr>
      </w:pPr>
      <w:r w:rsidRPr="003D5361">
        <w:rPr>
          <w:rFonts w:ascii="Palatino Linotype" w:eastAsia="Palatino Linotype" w:hAnsi="Palatino Linotype" w:cs="Palatino Linotype"/>
        </w:rPr>
        <w:t>De manera preliminar en el caso concreto conviene analizar si se actualiza alguna de las causales de sobreseimiento del recurso de revisión.</w:t>
      </w:r>
    </w:p>
    <w:p w:rsidR="00C16824" w:rsidRPr="003D5361" w:rsidRDefault="00C16824">
      <w:pPr>
        <w:spacing w:line="360" w:lineRule="auto"/>
        <w:ind w:right="62"/>
        <w:jc w:val="both"/>
        <w:rPr>
          <w:rFonts w:ascii="Palatino Linotype" w:eastAsia="Palatino Linotype" w:hAnsi="Palatino Linotype" w:cs="Palatino Linotype"/>
        </w:rPr>
      </w:pPr>
    </w:p>
    <w:p w:rsidR="00C16824" w:rsidRPr="003D5361" w:rsidRDefault="00A74AF5">
      <w:pPr>
        <w:spacing w:line="360" w:lineRule="auto"/>
        <w:ind w:right="51"/>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xml:space="preserve"> le proporcione información consistente en lo siguiente:</w:t>
      </w:r>
    </w:p>
    <w:p w:rsidR="00C16824" w:rsidRPr="003D5361" w:rsidRDefault="00C16824">
      <w:pPr>
        <w:spacing w:line="360" w:lineRule="auto"/>
        <w:ind w:right="51"/>
        <w:jc w:val="both"/>
        <w:rPr>
          <w:rFonts w:ascii="Palatino Linotype" w:eastAsia="Palatino Linotype" w:hAnsi="Palatino Linotype" w:cs="Palatino Linotype"/>
        </w:rPr>
      </w:pPr>
    </w:p>
    <w:p w:rsidR="00C16824" w:rsidRPr="003D5361" w:rsidRDefault="00A74AF5">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3D5361">
        <w:rPr>
          <w:rFonts w:ascii="Palatino Linotype" w:eastAsia="Palatino Linotype" w:hAnsi="Palatino Linotype" w:cs="Palatino Linotype"/>
        </w:rPr>
        <w:t>TODOS LOS ESTADOS BANCARIOS DE TODAS LAS CUENTAS QUE OBREN EN EL AYUNTAMIENTO DEL MES DE DICIEMBRE 2022.</w:t>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En respuesta, el </w:t>
      </w:r>
      <w:r w:rsidRPr="003D5361">
        <w:rPr>
          <w:rFonts w:ascii="Palatino Linotype" w:eastAsia="Palatino Linotype" w:hAnsi="Palatino Linotype" w:cs="Palatino Linotype"/>
          <w:b/>
        </w:rPr>
        <w:t xml:space="preserve">SUJETO OBLIGADO </w:t>
      </w:r>
      <w:r w:rsidRPr="003D5361">
        <w:rPr>
          <w:rFonts w:ascii="Palatino Linotype" w:eastAsia="Palatino Linotype" w:hAnsi="Palatino Linotype" w:cs="Palatino Linotype"/>
        </w:rPr>
        <w:t>entregó los estados bancarios del mes de diciembre del año 2022, a través de los siguientes archivos electrónicos:</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20">
        <w:r w:rsidRPr="003D5361">
          <w:rPr>
            <w:rFonts w:ascii="Palatino Linotype" w:eastAsia="Palatino Linotype" w:hAnsi="Palatino Linotype" w:cs="Palatino Linotype"/>
          </w:rPr>
          <w:t>Anexo 1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01720132744109, constante de cuatro fojas.</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lastRenderedPageBreak/>
        <w:t>“</w:t>
      </w:r>
      <w:hyperlink r:id="rId21">
        <w:r w:rsidRPr="003D5361">
          <w:rPr>
            <w:rFonts w:ascii="Palatino Linotype" w:eastAsia="Palatino Linotype" w:hAnsi="Palatino Linotype" w:cs="Palatino Linotype"/>
          </w:rPr>
          <w:t>Anexo 2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01720132743962, constante de cuatro fojas.</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 “</w:t>
      </w:r>
      <w:hyperlink r:id="rId22">
        <w:r w:rsidRPr="003D5361">
          <w:rPr>
            <w:rFonts w:ascii="Palatino Linotype" w:eastAsia="Palatino Linotype" w:hAnsi="Palatino Linotype" w:cs="Palatino Linotype"/>
          </w:rPr>
          <w:t>Anexo 3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01720132744243, constante de cuatro fojas.</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 “</w:t>
      </w:r>
      <w:hyperlink r:id="rId23">
        <w:r w:rsidRPr="003D5361">
          <w:rPr>
            <w:rFonts w:ascii="Palatino Linotype" w:eastAsia="Palatino Linotype" w:hAnsi="Palatino Linotype" w:cs="Palatino Linotype"/>
          </w:rPr>
          <w:t>Anexo 4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Banco Azteca, del mes de diciembre 2022 con número de cuenta 01720132744153, constante de cuatro fojas.</w:t>
      </w:r>
    </w:p>
    <w:p w:rsidR="00C16824" w:rsidRPr="003D5361" w:rsidRDefault="00C16824">
      <w:pPr>
        <w:widowControl w:val="0"/>
        <w:spacing w:line="360" w:lineRule="auto"/>
        <w:ind w:right="49"/>
        <w:jc w:val="both"/>
        <w:rPr>
          <w:rFonts w:ascii="Palatino Linotype" w:eastAsia="Palatino Linotype" w:hAnsi="Palatino Linotype" w:cs="Palatino Linotype"/>
        </w:rPr>
      </w:pPr>
    </w:p>
    <w:p w:rsidR="00C16824" w:rsidRPr="003D5361" w:rsidRDefault="00A74AF5">
      <w:pPr>
        <w:widowControl w:val="0"/>
        <w:spacing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w:t>
      </w:r>
      <w:hyperlink r:id="rId24">
        <w:r w:rsidRPr="003D5361">
          <w:rPr>
            <w:rFonts w:ascii="Palatino Linotype" w:eastAsia="Palatino Linotype" w:hAnsi="Palatino Linotype" w:cs="Palatino Linotype"/>
          </w:rPr>
          <w:t>Anexo 5 Solicitud 124.pdf</w:t>
        </w:r>
      </w:hyperlink>
      <w:r w:rsidRPr="003D5361">
        <w:rPr>
          <w:rFonts w:ascii="Palatino Linotype" w:eastAsia="Palatino Linotype" w:hAnsi="Palatino Linotype" w:cs="Palatino Linotype"/>
        </w:rPr>
        <w:t xml:space="preserve">”, el cual contiene el estado de cuenta bancaria a nombre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expedido por la institución bancaria denominada Santander, del mes de diciembre 2022, constante de dos fojas.</w:t>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Como se advierte en la siguiente imagen que se inserta a continuación de manera de ejemplo: </w:t>
      </w:r>
      <w:r w:rsidRPr="003D5361">
        <w:rPr>
          <w:noProof/>
          <w:lang w:val="es-MX"/>
        </w:rPr>
        <mc:AlternateContent>
          <mc:Choice Requires="wpg">
            <w:drawing>
              <wp:anchor distT="0" distB="0" distL="114300" distR="114300" simplePos="0" relativeHeight="251658240" behindDoc="0" locked="0" layoutInCell="1" hidden="0" allowOverlap="1" wp14:anchorId="17288C33" wp14:editId="09972E16">
                <wp:simplePos x="0" y="0"/>
                <wp:positionH relativeFrom="column">
                  <wp:posOffset>-12699</wp:posOffset>
                </wp:positionH>
                <wp:positionV relativeFrom="paragraph">
                  <wp:posOffset>762000</wp:posOffset>
                </wp:positionV>
                <wp:extent cx="5537200" cy="1612900"/>
                <wp:effectExtent l="0" t="0" r="0" b="0"/>
                <wp:wrapNone/>
                <wp:docPr id="32" name="Conector recto de flecha 32"/>
                <wp:cNvGraphicFramePr/>
                <a:graphic xmlns:a="http://schemas.openxmlformats.org/drawingml/2006/main">
                  <a:graphicData uri="http://schemas.microsoft.com/office/word/2010/wordprocessingShape">
                    <wps:wsp>
                      <wps:cNvCnPr/>
                      <wps:spPr>
                        <a:xfrm>
                          <a:off x="2590100" y="2986250"/>
                          <a:ext cx="5511800" cy="158750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762000</wp:posOffset>
                </wp:positionV>
                <wp:extent cx="5537200" cy="1612900"/>
                <wp:effectExtent b="0" l="0" r="0" t="0"/>
                <wp:wrapNone/>
                <wp:docPr id="32"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5537200" cy="1612900"/>
                        </a:xfrm>
                        <a:prstGeom prst="rect"/>
                        <a:ln/>
                      </pic:spPr>
                    </pic:pic>
                  </a:graphicData>
                </a:graphic>
              </wp:anchor>
            </w:drawing>
          </mc:Fallback>
        </mc:AlternateContent>
      </w:r>
    </w:p>
    <w:p w:rsidR="00C16824" w:rsidRPr="003D5361" w:rsidRDefault="00C16824">
      <w:pPr>
        <w:spacing w:before="240" w:line="360" w:lineRule="auto"/>
        <w:ind w:right="49"/>
        <w:jc w:val="both"/>
        <w:rPr>
          <w:rFonts w:ascii="Palatino Linotype" w:eastAsia="Palatino Linotype" w:hAnsi="Palatino Linotype" w:cs="Palatino Linotype"/>
        </w:rPr>
      </w:pPr>
    </w:p>
    <w:p w:rsidR="00C16824" w:rsidRPr="003D5361" w:rsidRDefault="00C16824">
      <w:pPr>
        <w:spacing w:before="240" w:after="240" w:line="360" w:lineRule="auto"/>
        <w:jc w:val="both"/>
        <w:rPr>
          <w:rFonts w:ascii="Palatino Linotype" w:eastAsia="Palatino Linotype" w:hAnsi="Palatino Linotype" w:cs="Palatino Linotype"/>
        </w:rPr>
      </w:pPr>
    </w:p>
    <w:p w:rsidR="00C16824" w:rsidRPr="003D5361" w:rsidRDefault="00C16824">
      <w:pPr>
        <w:spacing w:before="240" w:after="240" w:line="360" w:lineRule="auto"/>
        <w:jc w:val="both"/>
        <w:rPr>
          <w:rFonts w:ascii="Palatino Linotype" w:eastAsia="Palatino Linotype" w:hAnsi="Palatino Linotype" w:cs="Palatino Linotype"/>
        </w:rPr>
      </w:pPr>
    </w:p>
    <w:p w:rsidR="00C16824" w:rsidRPr="003D5361" w:rsidRDefault="00A74AF5">
      <w:pPr>
        <w:spacing w:before="240" w:after="240" w:line="360" w:lineRule="auto"/>
        <w:jc w:val="both"/>
        <w:rPr>
          <w:rFonts w:ascii="Palatino Linotype" w:eastAsia="Palatino Linotype" w:hAnsi="Palatino Linotype" w:cs="Palatino Linotype"/>
        </w:rPr>
      </w:pPr>
      <w:r w:rsidRPr="003D5361">
        <w:rPr>
          <w:noProof/>
          <w:lang w:val="es-MX"/>
        </w:rPr>
        <w:lastRenderedPageBreak/>
        <w:drawing>
          <wp:inline distT="0" distB="0" distL="0" distR="0" wp14:anchorId="07CFC641" wp14:editId="48F5714C">
            <wp:extent cx="5429250" cy="4279900"/>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l="37225" t="14684" r="22154" b="13499"/>
                    <a:stretch>
                      <a:fillRect/>
                    </a:stretch>
                  </pic:blipFill>
                  <pic:spPr>
                    <a:xfrm>
                      <a:off x="0" y="0"/>
                      <a:ext cx="5429250" cy="4279900"/>
                    </a:xfrm>
                    <a:prstGeom prst="rect">
                      <a:avLst/>
                    </a:prstGeom>
                    <a:ln/>
                  </pic:spPr>
                </pic:pic>
              </a:graphicData>
            </a:graphic>
          </wp:inline>
        </w:drawing>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Ante la respuesta el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se inconformó en los motivos de inconformidad, de lo siguiente:</w:t>
      </w:r>
    </w:p>
    <w:p w:rsidR="00C16824" w:rsidRPr="003D5361" w:rsidRDefault="00A74AF5">
      <w:pPr>
        <w:ind w:left="851" w:right="567"/>
        <w:jc w:val="both"/>
        <w:rPr>
          <w:rFonts w:ascii="Palatino Linotype" w:eastAsia="Palatino Linotype" w:hAnsi="Palatino Linotype" w:cs="Palatino Linotype"/>
          <w:i/>
        </w:rPr>
      </w:pPr>
      <w:r w:rsidRPr="003D5361">
        <w:rPr>
          <w:rFonts w:ascii="Palatino Linotype" w:eastAsia="Palatino Linotype" w:hAnsi="Palatino Linotype" w:cs="Palatino Linotype"/>
          <w:i/>
        </w:rPr>
        <w:t xml:space="preserve">“EL TITULAR DE TRANSPARENCIA PIENSA QUE NO SE REVISAN LAS SOLICITUDES, EVIDENTEMENTE ENTREGA ESTADOS DE CUENTA BANCARIOS SIN SALDO, </w:t>
      </w:r>
      <w:r w:rsidRPr="003D5361">
        <w:rPr>
          <w:rFonts w:ascii="Palatino Linotype" w:eastAsia="Palatino Linotype" w:hAnsi="Palatino Linotype" w:cs="Palatino Linotype"/>
          <w:b/>
          <w:i/>
          <w:u w:val="single"/>
        </w:rPr>
        <w:t>CUANDO NO COINCIDEN LOS ESTADOS DE CUENTA CON LOS EGRESOS</w:t>
      </w:r>
      <w:r w:rsidRPr="003D5361">
        <w:rPr>
          <w:rFonts w:ascii="Palatino Linotype" w:eastAsia="Palatino Linotype" w:hAnsi="Palatino Linotype" w:cs="Palatino Linotype"/>
          <w:i/>
        </w:rPr>
        <w:t>... SERA QUE ESTAN LAVANDO DINERO O PORQUE NO REPORTAN EGRESOS</w:t>
      </w:r>
      <w:proofErr w:type="gramStart"/>
      <w:r w:rsidRPr="003D5361">
        <w:rPr>
          <w:rFonts w:ascii="Palatino Linotype" w:eastAsia="Palatino Linotype" w:hAnsi="Palatino Linotype" w:cs="Palatino Linotype"/>
          <w:i/>
        </w:rPr>
        <w:t>?</w:t>
      </w:r>
      <w:proofErr w:type="gramEnd"/>
      <w:r w:rsidRPr="003D5361">
        <w:rPr>
          <w:rFonts w:ascii="Palatino Linotype" w:eastAsia="Palatino Linotype" w:hAnsi="Palatino Linotype" w:cs="Palatino Linotype"/>
          <w:i/>
        </w:rPr>
        <w:t xml:space="preserve"> DE DONDE SALE EL DINERO PARA PAGAR NOMINAS, PROVEEDORES, ETC.” (Sic)</w:t>
      </w:r>
    </w:p>
    <w:p w:rsidR="00C16824" w:rsidRPr="003D5361" w:rsidRDefault="00C16824">
      <w:pPr>
        <w:spacing w:line="360" w:lineRule="auto"/>
        <w:ind w:left="851" w:right="62"/>
        <w:jc w:val="both"/>
        <w:rPr>
          <w:rFonts w:ascii="Palatino Linotype" w:eastAsia="Palatino Linotype" w:hAnsi="Palatino Linotype" w:cs="Palatino Linotype"/>
        </w:rPr>
      </w:pPr>
    </w:p>
    <w:p w:rsidR="00C16824" w:rsidRPr="003D5361" w:rsidRDefault="00A74AF5">
      <w:pPr>
        <w:spacing w:line="360" w:lineRule="auto"/>
        <w:ind w:right="51"/>
        <w:jc w:val="both"/>
        <w:rPr>
          <w:rFonts w:ascii="Palatino Linotype" w:eastAsia="Palatino Linotype" w:hAnsi="Palatino Linotype" w:cs="Palatino Linotype"/>
        </w:rPr>
      </w:pPr>
      <w:r w:rsidRPr="003D5361">
        <w:rPr>
          <w:rFonts w:ascii="Palatino Linotype" w:eastAsia="Palatino Linotype" w:hAnsi="Palatino Linotype" w:cs="Palatino Linotype"/>
        </w:rPr>
        <w:lastRenderedPageBreak/>
        <w:t>Ahora bien, sobre los motivos de inconformidad en donde señala: “</w:t>
      </w:r>
      <w:r w:rsidRPr="003D5361">
        <w:rPr>
          <w:rFonts w:ascii="Palatino Linotype" w:eastAsia="Palatino Linotype" w:hAnsi="Palatino Linotype" w:cs="Palatino Linotype"/>
          <w:i/>
        </w:rPr>
        <w:t>EVIDENTEMENTE ENTREGA ESTADOS DE CUENTA BANCARIOS SIN SALDO, CUANDO NO COINCIDEN LOS ESTADOS DE CUENTA CON LOS EGRESOS... SERA QUE ESTAN LAVANDO DINERO O PORQUE NO REPORTAN EGRESOS</w:t>
      </w:r>
      <w:proofErr w:type="gramStart"/>
      <w:r w:rsidRPr="003D5361">
        <w:rPr>
          <w:rFonts w:ascii="Palatino Linotype" w:eastAsia="Palatino Linotype" w:hAnsi="Palatino Linotype" w:cs="Palatino Linotype"/>
          <w:i/>
        </w:rPr>
        <w:t>?</w:t>
      </w:r>
      <w:proofErr w:type="gramEnd"/>
      <w:r w:rsidRPr="003D5361">
        <w:rPr>
          <w:rFonts w:ascii="Palatino Linotype" w:eastAsia="Palatino Linotype" w:hAnsi="Palatino Linotype" w:cs="Palatino Linotype"/>
          <w:i/>
        </w:rPr>
        <w:t xml:space="preserve">...”(Sic) </w:t>
      </w:r>
    </w:p>
    <w:p w:rsidR="00C16824" w:rsidRPr="003D5361" w:rsidRDefault="00C16824">
      <w:pPr>
        <w:spacing w:line="360" w:lineRule="auto"/>
        <w:ind w:right="51"/>
        <w:jc w:val="both"/>
        <w:rPr>
          <w:rFonts w:ascii="Palatino Linotype" w:eastAsia="Palatino Linotype" w:hAnsi="Palatino Linotype" w:cs="Palatino Linotype"/>
        </w:rPr>
      </w:pPr>
    </w:p>
    <w:p w:rsidR="00C16824" w:rsidRPr="003D5361" w:rsidRDefault="00A74AF5">
      <w:pPr>
        <w:spacing w:line="360" w:lineRule="auto"/>
        <w:ind w:right="51"/>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En primer plano se advierte, que la persona solicitante combate la autenticidad o veracidad de la información proporcionada por el </w:t>
      </w:r>
      <w:r w:rsidRPr="003D5361">
        <w:rPr>
          <w:rFonts w:ascii="Palatino Linotype" w:eastAsia="Palatino Linotype" w:hAnsi="Palatino Linotype" w:cs="Palatino Linotype"/>
          <w:b/>
        </w:rPr>
        <w:t xml:space="preserve">SUJETO OBLIGADO, </w:t>
      </w:r>
      <w:r w:rsidRPr="003D5361">
        <w:rPr>
          <w:rFonts w:ascii="Palatino Linotype" w:eastAsia="Palatino Linotype" w:hAnsi="Palatino Linotype" w:cs="Palatino Linotype"/>
        </w:rPr>
        <w:t>al señalar que al no contar los estados de cuenta con saldo no coincide con los egresos, será que están lavando dinero o porque no reportar egresos, por lo que se considera improcedente este motivo de inconformidad, ya que este Organismo Garante no facultado para dudar de la veracidad de los documentos aportados en respuesta por los Sujetos Obligados, en apego a lo contemplado en el criterio de interpretación SO/031/2010 emitido por el INAI, que a la letra contempla:</w:t>
      </w:r>
    </w:p>
    <w:p w:rsidR="00C16824" w:rsidRPr="003D5361" w:rsidRDefault="00C16824">
      <w:pPr>
        <w:spacing w:line="360" w:lineRule="auto"/>
      </w:pPr>
    </w:p>
    <w:p w:rsidR="00C16824" w:rsidRPr="003D5361" w:rsidRDefault="00A74AF5">
      <w:pPr>
        <w:spacing w:before="240" w:after="240"/>
        <w:ind w:left="851" w:right="900"/>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3D5361">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w:t>
      </w:r>
      <w:r w:rsidRPr="003D5361">
        <w:rPr>
          <w:rFonts w:ascii="Palatino Linotype" w:eastAsia="Palatino Linotype" w:hAnsi="Palatino Linotype" w:cs="Palatino Linotype"/>
          <w:i/>
          <w:sz w:val="22"/>
          <w:szCs w:val="22"/>
        </w:rPr>
        <w:lastRenderedPageBreak/>
        <w:t>a la Información y Protección de Datos conocer, vía recurso revisión, al respecto.” (Sic)</w:t>
      </w:r>
    </w:p>
    <w:p w:rsidR="00C16824" w:rsidRPr="003D5361" w:rsidRDefault="00C16824">
      <w:pPr>
        <w:spacing w:line="360" w:lineRule="auto"/>
      </w:pPr>
    </w:p>
    <w:p w:rsidR="00C16824" w:rsidRPr="003D5361" w:rsidRDefault="00A74AF5">
      <w:pPr>
        <w:spacing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En segundo plano, se advierte que requiere documentos no fueron solicitados (</w:t>
      </w:r>
      <w:r w:rsidRPr="003D5361">
        <w:rPr>
          <w:rFonts w:ascii="Palatino Linotype" w:eastAsia="Palatino Linotype" w:hAnsi="Palatino Linotype" w:cs="Palatino Linotype"/>
          <w:i/>
        </w:rPr>
        <w:t>DE DONDE SALE EL DINERO PARA PAGAR NOMINAS, PROVEEDORES, ETC)</w:t>
      </w:r>
      <w:r w:rsidRPr="003D5361">
        <w:rPr>
          <w:rFonts w:ascii="Palatino Linotype" w:eastAsia="Palatino Linotype" w:hAnsi="Palatino Linotype" w:cs="Palatino Linotype"/>
        </w:rPr>
        <w:t xml:space="preserve">, como se desprende del antecedente marcado con el numeral 1 de la presente resolución, por lo que constituyen en su totalidad nuevos requerimientos de información, configurándose así lo que se conoce como </w:t>
      </w:r>
      <w:r w:rsidRPr="003D5361">
        <w:rPr>
          <w:rFonts w:ascii="Palatino Linotype" w:eastAsia="Palatino Linotype" w:hAnsi="Palatino Linotype" w:cs="Palatino Linotype"/>
          <w:i/>
        </w:rPr>
        <w:t xml:space="preserve">plus </w:t>
      </w:r>
      <w:proofErr w:type="spellStart"/>
      <w:r w:rsidRPr="003D5361">
        <w:rPr>
          <w:rFonts w:ascii="Palatino Linotype" w:eastAsia="Palatino Linotype" w:hAnsi="Palatino Linotype" w:cs="Palatino Linotype"/>
          <w:i/>
        </w:rPr>
        <w:t>petitio</w:t>
      </w:r>
      <w:proofErr w:type="spellEnd"/>
      <w:r w:rsidRPr="003D5361">
        <w:rPr>
          <w:rFonts w:ascii="Palatino Linotype" w:eastAsia="Palatino Linotype" w:hAnsi="Palatino Linotype" w:cs="Palatino Linotype"/>
          <w:b/>
          <w:i/>
        </w:rPr>
        <w:t xml:space="preserve">, </w:t>
      </w:r>
      <w:r w:rsidRPr="003D5361">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el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xml:space="preserve"> amplíe su solicitud en el Recurso de Revisión, </w:t>
      </w:r>
      <w:r w:rsidRPr="003D5361">
        <w:rPr>
          <w:rFonts w:ascii="Palatino Linotype" w:eastAsia="Palatino Linotype" w:hAnsi="Palatino Linotype" w:cs="Palatino Linotype"/>
          <w:b/>
          <w:u w:val="single"/>
        </w:rPr>
        <w:t xml:space="preserve">únicamente respecto de los nuevos contenidos; </w:t>
      </w:r>
      <w:r w:rsidRPr="003D5361">
        <w:rPr>
          <w:rFonts w:ascii="Palatino Linotype" w:eastAsia="Palatino Linotype" w:hAnsi="Palatino Linotype" w:cs="Palatino Linotype"/>
        </w:rPr>
        <w:t xml:space="preserve">cuestión que tuvo lugar en el presente caso, pues la parte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w:t>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En este tenor, es posible determinar que para el caso que nos ocupa, los argumentos formulados como motivos o razones de inconformidad referidos, son una ampliación a la solicitud inicial y corresponden a nuevos requerimientos de información, que no se encuentran relacionados con lo solicitado en un primer momento; 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lastRenderedPageBreak/>
        <w:t>En este orden de ideas, una vez formulada su solicitud inicial,</w:t>
      </w:r>
      <w:r w:rsidRPr="003D5361">
        <w:rPr>
          <w:rFonts w:ascii="Palatino Linotype" w:eastAsia="Palatino Linotype" w:hAnsi="Palatino Linotype" w:cs="Palatino Linotype"/>
          <w:i/>
        </w:rPr>
        <w:t xml:space="preserve"> </w:t>
      </w:r>
      <w:r w:rsidRPr="003D5361">
        <w:rPr>
          <w:rFonts w:ascii="Palatino Linotype" w:eastAsia="Palatino Linotype" w:hAnsi="Palatino Linotype" w:cs="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C16824" w:rsidRPr="003D5361" w:rsidRDefault="00A74AF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rsidR="00C16824" w:rsidRPr="003D5361" w:rsidRDefault="00A74AF5">
      <w:pPr>
        <w:spacing w:before="240" w:after="240"/>
        <w:ind w:left="851" w:right="900"/>
        <w:jc w:val="both"/>
        <w:rPr>
          <w:rFonts w:ascii="Palatino Linotype" w:eastAsia="Palatino Linotype" w:hAnsi="Palatino Linotype" w:cs="Palatino Linotype"/>
        </w:rPr>
      </w:pPr>
      <w:r w:rsidRPr="003D5361">
        <w:rPr>
          <w:rFonts w:ascii="Palatino Linotype" w:eastAsia="Palatino Linotype" w:hAnsi="Palatino Linotype" w:cs="Palatino Linotype"/>
          <w:i/>
          <w:sz w:val="22"/>
          <w:szCs w:val="22"/>
        </w:rPr>
        <w:t>“</w:t>
      </w:r>
      <w:r w:rsidRPr="003D5361">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3D5361">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3D5361">
        <w:rPr>
          <w:rFonts w:ascii="Palatino Linotype" w:eastAsia="Palatino Linotype" w:hAnsi="Palatino Linotype" w:cs="Palatino Linotype"/>
          <w:b/>
          <w:i/>
          <w:sz w:val="22"/>
          <w:szCs w:val="22"/>
        </w:rPr>
        <w:t>.</w:t>
      </w:r>
      <w:r w:rsidRPr="003D5361">
        <w:rPr>
          <w:rFonts w:ascii="Palatino Linotype" w:eastAsia="Palatino Linotype" w:hAnsi="Palatino Linotype" w:cs="Palatino Linotype"/>
          <w:i/>
          <w:sz w:val="22"/>
          <w:szCs w:val="22"/>
        </w:rPr>
        <w:t>”</w:t>
      </w:r>
    </w:p>
    <w:p w:rsidR="00C16824" w:rsidRPr="003D5361" w:rsidRDefault="00A74AF5">
      <w:pPr>
        <w:spacing w:before="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Por lo tanto, en términos de todo lo anterior, resulta aplicable al caso concreto el contenido de los artículos 186, 191 fracciones V y VII, y 192, de la de la Ley de Transparencia y Acceso a la Información Pública del Estado de México y Municipios, que disponen lo siguiente:</w:t>
      </w:r>
    </w:p>
    <w:p w:rsidR="00C16824" w:rsidRPr="003D5361" w:rsidRDefault="00C16824">
      <w:pPr>
        <w:spacing w:line="360" w:lineRule="auto"/>
        <w:ind w:right="49"/>
        <w:jc w:val="both"/>
        <w:rPr>
          <w:rFonts w:ascii="Palatino Linotype" w:eastAsia="Palatino Linotype" w:hAnsi="Palatino Linotype" w:cs="Palatino Linotype"/>
        </w:rPr>
      </w:pPr>
    </w:p>
    <w:p w:rsidR="00C16824" w:rsidRPr="003D5361" w:rsidRDefault="00A74AF5">
      <w:pPr>
        <w:spacing w:after="120"/>
        <w:ind w:left="851" w:right="902"/>
        <w:jc w:val="both"/>
        <w:rPr>
          <w:rFonts w:ascii="Palatino Linotype" w:eastAsia="Palatino Linotype" w:hAnsi="Palatino Linotype" w:cs="Palatino Linotype"/>
          <w:i/>
        </w:rPr>
      </w:pPr>
      <w:bookmarkStart w:id="4" w:name="_heading=h.1fob9te" w:colFirst="0" w:colLast="0"/>
      <w:bookmarkEnd w:id="4"/>
      <w:r w:rsidRPr="003D5361">
        <w:rPr>
          <w:rFonts w:ascii="Palatino Linotype" w:eastAsia="Palatino Linotype" w:hAnsi="Palatino Linotype" w:cs="Palatino Linotype"/>
          <w:b/>
          <w:i/>
        </w:rPr>
        <w:t xml:space="preserve">“Artículo 186. </w:t>
      </w:r>
      <w:r w:rsidRPr="003D5361">
        <w:rPr>
          <w:rFonts w:ascii="Palatino Linotype" w:eastAsia="Palatino Linotype" w:hAnsi="Palatino Linotype" w:cs="Palatino Linotype"/>
          <w:i/>
        </w:rPr>
        <w:t>Las resoluciones del Instituto podrán:</w:t>
      </w:r>
    </w:p>
    <w:p w:rsidR="00C16824" w:rsidRPr="003D5361" w:rsidRDefault="00A74AF5">
      <w:pPr>
        <w:spacing w:before="120" w:after="120"/>
        <w:ind w:left="1134" w:right="902"/>
        <w:jc w:val="both"/>
        <w:rPr>
          <w:rFonts w:ascii="Palatino Linotype" w:eastAsia="Palatino Linotype" w:hAnsi="Palatino Linotype" w:cs="Palatino Linotype"/>
          <w:b/>
          <w:i/>
        </w:rPr>
      </w:pPr>
      <w:r w:rsidRPr="003D5361">
        <w:rPr>
          <w:rFonts w:ascii="Palatino Linotype" w:eastAsia="Palatino Linotype" w:hAnsi="Palatino Linotype" w:cs="Palatino Linotype"/>
          <w:b/>
          <w:i/>
        </w:rPr>
        <w:t>I. Desechar o sobreseer el recurso;</w:t>
      </w:r>
    </w:p>
    <w:p w:rsidR="00C16824" w:rsidRPr="003D5361" w:rsidRDefault="00A74AF5">
      <w:pPr>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lastRenderedPageBreak/>
        <w:t xml:space="preserve">II. </w:t>
      </w:r>
      <w:r w:rsidRPr="003D5361">
        <w:rPr>
          <w:rFonts w:ascii="Palatino Linotype" w:eastAsia="Palatino Linotype" w:hAnsi="Palatino Linotype" w:cs="Palatino Linotype"/>
          <w:i/>
        </w:rPr>
        <w:t>Confirmar la respuesta del sujeto obligado;</w:t>
      </w:r>
    </w:p>
    <w:p w:rsidR="00C16824" w:rsidRPr="003D5361" w:rsidRDefault="00A74AF5">
      <w:pPr>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III. </w:t>
      </w:r>
      <w:r w:rsidRPr="003D5361">
        <w:rPr>
          <w:rFonts w:ascii="Palatino Linotype" w:eastAsia="Palatino Linotype" w:hAnsi="Palatino Linotype" w:cs="Palatino Linotype"/>
          <w:i/>
        </w:rPr>
        <w:t>Revocar o modificar la respuesta del sujeto obligado; y</w:t>
      </w:r>
    </w:p>
    <w:p w:rsidR="00C16824" w:rsidRPr="003D5361" w:rsidRDefault="00A74AF5">
      <w:pPr>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IV. </w:t>
      </w:r>
      <w:r w:rsidRPr="003D5361">
        <w:rPr>
          <w:rFonts w:ascii="Palatino Linotype" w:eastAsia="Palatino Linotype" w:hAnsi="Palatino Linotype" w:cs="Palatino Linotype"/>
          <w:i/>
        </w:rPr>
        <w:t>Ordenar la entrega de la información…”</w:t>
      </w:r>
    </w:p>
    <w:p w:rsidR="00C16824" w:rsidRPr="003D5361" w:rsidRDefault="00A74AF5">
      <w:pPr>
        <w:spacing w:before="120" w:after="120"/>
        <w:ind w:left="851" w:right="902"/>
        <w:jc w:val="both"/>
        <w:rPr>
          <w:rFonts w:ascii="Palatino Linotype" w:eastAsia="Palatino Linotype" w:hAnsi="Palatino Linotype" w:cs="Palatino Linotype"/>
          <w:b/>
          <w:i/>
        </w:rPr>
      </w:pPr>
      <w:r w:rsidRPr="003D5361">
        <w:rPr>
          <w:rFonts w:ascii="Palatino Linotype" w:eastAsia="Palatino Linotype" w:hAnsi="Palatino Linotype" w:cs="Palatino Linotype"/>
          <w:b/>
          <w:i/>
        </w:rPr>
        <w:t>...</w:t>
      </w:r>
    </w:p>
    <w:p w:rsidR="00C16824" w:rsidRPr="003D5361" w:rsidRDefault="00A74AF5">
      <w:pPr>
        <w:spacing w:before="120" w:after="120"/>
        <w:ind w:left="851"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Artículo 191. </w:t>
      </w:r>
      <w:r w:rsidRPr="003D5361">
        <w:rPr>
          <w:rFonts w:ascii="Palatino Linotype" w:eastAsia="Palatino Linotype" w:hAnsi="Palatino Linotype" w:cs="Palatino Linotype"/>
          <w:i/>
        </w:rPr>
        <w:t>El recurso será desechado por improcedente cuando:</w:t>
      </w:r>
    </w:p>
    <w:p w:rsidR="00C16824" w:rsidRPr="003D5361" w:rsidRDefault="00A74AF5">
      <w:pPr>
        <w:tabs>
          <w:tab w:val="left" w:pos="1276"/>
        </w:tabs>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I. </w:t>
      </w:r>
      <w:r w:rsidRPr="003D5361">
        <w:rPr>
          <w:rFonts w:ascii="Palatino Linotype" w:eastAsia="Palatino Linotype" w:hAnsi="Palatino Linotype" w:cs="Palatino Linotype"/>
          <w:i/>
        </w:rPr>
        <w:t>Sea extemporáneo por haber transcurrido el plazo establecido en la presente Ley, a partir de la respuesta;</w:t>
      </w:r>
    </w:p>
    <w:p w:rsidR="00C16824" w:rsidRPr="003D5361" w:rsidRDefault="00A74AF5">
      <w:pPr>
        <w:tabs>
          <w:tab w:val="left" w:pos="1276"/>
        </w:tabs>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II. </w:t>
      </w:r>
      <w:r w:rsidRPr="003D5361">
        <w:rPr>
          <w:rFonts w:ascii="Palatino Linotype" w:eastAsia="Palatino Linotype" w:hAnsi="Palatino Linotype" w:cs="Palatino Linotype"/>
          <w:i/>
        </w:rPr>
        <w:t>Se esté tramitando ante el Poder Judicial de la Federación algún recurso o medio de defensa interpuesto por el recurrente;</w:t>
      </w:r>
    </w:p>
    <w:p w:rsidR="00C16824" w:rsidRPr="003D5361" w:rsidRDefault="00A74AF5">
      <w:pPr>
        <w:tabs>
          <w:tab w:val="left" w:pos="1276"/>
        </w:tabs>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III. </w:t>
      </w:r>
      <w:r w:rsidRPr="003D5361">
        <w:rPr>
          <w:rFonts w:ascii="Palatino Linotype" w:eastAsia="Palatino Linotype" w:hAnsi="Palatino Linotype" w:cs="Palatino Linotype"/>
          <w:i/>
        </w:rPr>
        <w:t>No actualice alguno de los supuestos previstos en la presente Ley;</w:t>
      </w:r>
    </w:p>
    <w:p w:rsidR="00C16824" w:rsidRPr="003D5361" w:rsidRDefault="00A74AF5">
      <w:pPr>
        <w:tabs>
          <w:tab w:val="left" w:pos="1276"/>
        </w:tabs>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IV. </w:t>
      </w:r>
      <w:r w:rsidRPr="003D5361">
        <w:rPr>
          <w:rFonts w:ascii="Palatino Linotype" w:eastAsia="Palatino Linotype" w:hAnsi="Palatino Linotype" w:cs="Palatino Linotype"/>
          <w:i/>
        </w:rPr>
        <w:t>No se haya desahogado la prevención en los términos establecidos en la presente Ley;</w:t>
      </w:r>
    </w:p>
    <w:p w:rsidR="00C16824" w:rsidRPr="003D5361" w:rsidRDefault="00A74AF5">
      <w:pPr>
        <w:tabs>
          <w:tab w:val="left" w:pos="1276"/>
        </w:tabs>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V. Se impugne la veracidad de la información proporcionada;</w:t>
      </w:r>
    </w:p>
    <w:p w:rsidR="00C16824" w:rsidRPr="003D5361" w:rsidRDefault="00A74AF5">
      <w:pPr>
        <w:tabs>
          <w:tab w:val="left" w:pos="1276"/>
        </w:tabs>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VI. </w:t>
      </w:r>
      <w:r w:rsidRPr="003D5361">
        <w:rPr>
          <w:rFonts w:ascii="Palatino Linotype" w:eastAsia="Palatino Linotype" w:hAnsi="Palatino Linotype" w:cs="Palatino Linotype"/>
          <w:i/>
        </w:rPr>
        <w:t>Se trate de una consulta, o trámite en específico; y</w:t>
      </w:r>
    </w:p>
    <w:p w:rsidR="00C16824" w:rsidRPr="003D5361" w:rsidRDefault="00A74AF5">
      <w:pPr>
        <w:tabs>
          <w:tab w:val="left" w:pos="1276"/>
        </w:tabs>
        <w:spacing w:before="120" w:after="120"/>
        <w:ind w:left="1134" w:right="902"/>
        <w:jc w:val="both"/>
        <w:rPr>
          <w:rFonts w:ascii="Palatino Linotype" w:eastAsia="Palatino Linotype" w:hAnsi="Palatino Linotype" w:cs="Palatino Linotype"/>
          <w:b/>
          <w:i/>
        </w:rPr>
      </w:pPr>
      <w:r w:rsidRPr="003D5361">
        <w:rPr>
          <w:rFonts w:ascii="Palatino Linotype" w:eastAsia="Palatino Linotype" w:hAnsi="Palatino Linotype" w:cs="Palatino Linotype"/>
          <w:b/>
          <w:i/>
        </w:rPr>
        <w:t>VII. El recurrente amplíe su solicitud en el recurso de revisión, únicamente respecto de los nuevos contenidos.”</w:t>
      </w:r>
    </w:p>
    <w:p w:rsidR="00C16824" w:rsidRPr="003D5361" w:rsidRDefault="00A74AF5">
      <w:pPr>
        <w:spacing w:before="120" w:after="120"/>
        <w:ind w:left="851"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Artículo 192. </w:t>
      </w:r>
      <w:r w:rsidRPr="003D5361">
        <w:rPr>
          <w:rFonts w:ascii="Palatino Linotype" w:eastAsia="Palatino Linotype" w:hAnsi="Palatino Linotype" w:cs="Palatino Linotype"/>
          <w:i/>
        </w:rPr>
        <w:t>El recurso será sobreseído, en todo o en parte, cuando una vez admitido, se actualicen alguno de los siguientes supuestos:</w:t>
      </w:r>
    </w:p>
    <w:p w:rsidR="00C16824" w:rsidRPr="003D5361" w:rsidRDefault="00A74AF5">
      <w:pPr>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I. </w:t>
      </w:r>
      <w:r w:rsidRPr="003D5361">
        <w:rPr>
          <w:rFonts w:ascii="Palatino Linotype" w:eastAsia="Palatino Linotype" w:hAnsi="Palatino Linotype" w:cs="Palatino Linotype"/>
          <w:i/>
        </w:rPr>
        <w:t>El recurrente se desista expresamente del recurso;</w:t>
      </w:r>
    </w:p>
    <w:p w:rsidR="00C16824" w:rsidRPr="003D5361" w:rsidRDefault="00A74AF5">
      <w:pPr>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II. </w:t>
      </w:r>
      <w:r w:rsidRPr="003D5361">
        <w:rPr>
          <w:rFonts w:ascii="Palatino Linotype" w:eastAsia="Palatino Linotype" w:hAnsi="Palatino Linotype" w:cs="Palatino Linotype"/>
          <w:i/>
        </w:rPr>
        <w:t>El recurrente fallezca o, tratándose de personas jurídicas colectivas, se disuelva;</w:t>
      </w:r>
    </w:p>
    <w:p w:rsidR="00C16824" w:rsidRPr="003D5361" w:rsidRDefault="00A74AF5">
      <w:pPr>
        <w:spacing w:before="120" w:after="120"/>
        <w:ind w:left="1134" w:right="902"/>
        <w:jc w:val="both"/>
        <w:rPr>
          <w:rFonts w:ascii="Palatino Linotype" w:eastAsia="Palatino Linotype" w:hAnsi="Palatino Linotype" w:cs="Palatino Linotype"/>
          <w:i/>
        </w:rPr>
      </w:pPr>
      <w:r w:rsidRPr="003D5361">
        <w:rPr>
          <w:rFonts w:ascii="Palatino Linotype" w:eastAsia="Palatino Linotype" w:hAnsi="Palatino Linotype" w:cs="Palatino Linotype"/>
          <w:b/>
          <w:i/>
        </w:rPr>
        <w:t xml:space="preserve">III. </w:t>
      </w:r>
      <w:r w:rsidRPr="003D5361">
        <w:rPr>
          <w:rFonts w:ascii="Palatino Linotype" w:eastAsia="Palatino Linotype" w:hAnsi="Palatino Linotype" w:cs="Palatino Linotype"/>
          <w:i/>
        </w:rPr>
        <w:t>El sujeto obligado responsable del acto lo modifique o revoque de tal manera que el recurso de revisión quede sin materia;</w:t>
      </w:r>
    </w:p>
    <w:p w:rsidR="00C16824" w:rsidRPr="003D5361" w:rsidRDefault="00A74AF5">
      <w:pPr>
        <w:spacing w:before="120" w:after="120"/>
        <w:ind w:left="1134" w:right="902"/>
        <w:jc w:val="both"/>
        <w:rPr>
          <w:rFonts w:ascii="Palatino Linotype" w:eastAsia="Palatino Linotype" w:hAnsi="Palatino Linotype" w:cs="Palatino Linotype"/>
          <w:b/>
          <w:i/>
        </w:rPr>
      </w:pPr>
      <w:r w:rsidRPr="003D5361">
        <w:rPr>
          <w:rFonts w:ascii="Palatino Linotype" w:eastAsia="Palatino Linotype" w:hAnsi="Palatino Linotype" w:cs="Palatino Linotype"/>
          <w:b/>
          <w:i/>
        </w:rPr>
        <w:t>IV. Admitido el recurso de revisión, aparezca alguna causal de improcedencia en los términos de la presente Ley; y</w:t>
      </w:r>
    </w:p>
    <w:p w:rsidR="00C16824" w:rsidRPr="003D5361" w:rsidRDefault="00A74AF5">
      <w:pPr>
        <w:spacing w:before="120" w:after="120"/>
        <w:ind w:left="1134" w:right="902"/>
        <w:jc w:val="both"/>
        <w:rPr>
          <w:rFonts w:ascii="Palatino Linotype" w:eastAsia="Palatino Linotype" w:hAnsi="Palatino Linotype" w:cs="Palatino Linotype"/>
        </w:rPr>
      </w:pPr>
      <w:r w:rsidRPr="003D5361">
        <w:rPr>
          <w:rFonts w:ascii="Palatino Linotype" w:eastAsia="Palatino Linotype" w:hAnsi="Palatino Linotype" w:cs="Palatino Linotype"/>
          <w:b/>
          <w:i/>
        </w:rPr>
        <w:t xml:space="preserve">V. </w:t>
      </w:r>
      <w:r w:rsidRPr="003D5361">
        <w:rPr>
          <w:rFonts w:ascii="Palatino Linotype" w:eastAsia="Palatino Linotype" w:hAnsi="Palatino Linotype" w:cs="Palatino Linotype"/>
          <w:i/>
        </w:rPr>
        <w:t>Cuando por cualquier motivo quede sin materia el recurso</w:t>
      </w:r>
      <w:r w:rsidRPr="003D5361">
        <w:rPr>
          <w:rFonts w:ascii="Palatino Linotype" w:eastAsia="Palatino Linotype" w:hAnsi="Palatino Linotype" w:cs="Palatino Linotype"/>
        </w:rPr>
        <w:t>.”</w:t>
      </w:r>
    </w:p>
    <w:p w:rsidR="00C16824" w:rsidRPr="003D5361" w:rsidRDefault="00C16824">
      <w:pPr>
        <w:spacing w:before="120" w:after="120"/>
        <w:ind w:left="1134" w:right="902"/>
        <w:jc w:val="both"/>
        <w:rPr>
          <w:rFonts w:ascii="Palatino Linotype" w:eastAsia="Palatino Linotype" w:hAnsi="Palatino Linotype" w:cs="Palatino Linotype"/>
        </w:rPr>
      </w:pPr>
    </w:p>
    <w:p w:rsidR="00C16824" w:rsidRPr="003D5361" w:rsidRDefault="00A74AF5">
      <w:pPr>
        <w:spacing w:before="12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lastRenderedPageBreak/>
        <w:t xml:space="preserve">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3D5361">
        <w:rPr>
          <w:rFonts w:ascii="Palatino Linotype" w:eastAsia="Palatino Linotype" w:hAnsi="Palatino Linotype" w:cs="Palatino Linotype"/>
        </w:rPr>
        <w:t>procedibilidad</w:t>
      </w:r>
      <w:proofErr w:type="spellEnd"/>
      <w:r w:rsidRPr="003D5361">
        <w:rPr>
          <w:rFonts w:ascii="Palatino Linotype" w:eastAsia="Palatino Linotype" w:hAnsi="Palatino Linotype" w:cs="Palatino Linotype"/>
        </w:rPr>
        <w:t xml:space="preserve"> previstos en el artículo 179 de la Ley en la Materia.</w:t>
      </w:r>
    </w:p>
    <w:p w:rsidR="00C16824" w:rsidRPr="003D5361" w:rsidRDefault="00C16824">
      <w:pPr>
        <w:spacing w:line="360" w:lineRule="auto"/>
        <w:ind w:right="49"/>
        <w:jc w:val="both"/>
        <w:rPr>
          <w:rFonts w:ascii="Palatino Linotype" w:eastAsia="Palatino Linotype" w:hAnsi="Palatino Linotype" w:cs="Palatino Linotype"/>
        </w:rPr>
      </w:pPr>
    </w:p>
    <w:p w:rsidR="00C16824" w:rsidRPr="003D5361" w:rsidRDefault="00A74AF5">
      <w:pPr>
        <w:spacing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Dentro de este orden de ideas, es evidente que no se puede invocar el precepto legal 191 de la Ley en cita ulteriormente a que ha sido admitido, determinando la actualización de un </w:t>
      </w:r>
      <w:proofErr w:type="spellStart"/>
      <w:r w:rsidRPr="003D5361">
        <w:rPr>
          <w:rFonts w:ascii="Palatino Linotype" w:eastAsia="Palatino Linotype" w:hAnsi="Palatino Linotype" w:cs="Palatino Linotype"/>
        </w:rPr>
        <w:t>desechamiento</w:t>
      </w:r>
      <w:proofErr w:type="spellEnd"/>
      <w:r w:rsidRPr="003D5361">
        <w:rPr>
          <w:rFonts w:ascii="Palatino Linotype" w:eastAsia="Palatino Linotype" w:hAnsi="Palatino Linotype" w:cs="Palatino Linotype"/>
          <w:vertAlign w:val="superscript"/>
        </w:rPr>
        <w:footnoteReference w:id="1"/>
      </w:r>
      <w:r w:rsidRPr="003D5361">
        <w:rPr>
          <w:rFonts w:ascii="Palatino Linotype" w:eastAsia="Palatino Linotype" w:hAnsi="Palatino Linotype" w:cs="Palatino Linotype"/>
        </w:rPr>
        <w:t>, porque está ya sería posterior a la etapa procedimental en la que debió desecharse.</w:t>
      </w:r>
    </w:p>
    <w:p w:rsidR="00C16824" w:rsidRPr="003D5361" w:rsidRDefault="00C16824">
      <w:pPr>
        <w:spacing w:line="360" w:lineRule="auto"/>
        <w:ind w:right="49"/>
        <w:jc w:val="both"/>
        <w:rPr>
          <w:rFonts w:ascii="Palatino Linotype" w:eastAsia="Palatino Linotype" w:hAnsi="Palatino Linotype" w:cs="Palatino Linotype"/>
        </w:rPr>
      </w:pPr>
    </w:p>
    <w:p w:rsidR="00C16824" w:rsidRPr="003D5361" w:rsidRDefault="00A74AF5">
      <w:pPr>
        <w:spacing w:after="240"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Cobrando aplicación lo previsto en la fracción IV del artículo 192, en razón a que al haber sido admitido el recurso de revisión y al actualizarse una causal de improcedencia establecida en la fracción V y VII del artículo 191 de la misma Ley, éste debe ser </w:t>
      </w:r>
      <w:r w:rsidRPr="003D5361">
        <w:rPr>
          <w:rFonts w:ascii="Palatino Linotype" w:eastAsia="Palatino Linotype" w:hAnsi="Palatino Linotype" w:cs="Palatino Linotype"/>
          <w:i/>
        </w:rPr>
        <w:t>sobreseído</w:t>
      </w:r>
      <w:r w:rsidRPr="003D5361">
        <w:rPr>
          <w:rFonts w:ascii="Palatino Linotype" w:eastAsia="Palatino Linotype" w:hAnsi="Palatino Linotype" w:cs="Palatino Linotype"/>
        </w:rPr>
        <w:t xml:space="preserve">. </w:t>
      </w:r>
    </w:p>
    <w:p w:rsidR="00C16824" w:rsidRPr="003D5361" w:rsidRDefault="00A74AF5">
      <w:pPr>
        <w:spacing w:before="240" w:after="240" w:line="360" w:lineRule="auto"/>
        <w:jc w:val="both"/>
        <w:rPr>
          <w:rFonts w:ascii="Palatino Linotype" w:eastAsia="Palatino Linotype" w:hAnsi="Palatino Linotype" w:cs="Palatino Linotype"/>
          <w:b/>
        </w:rPr>
      </w:pPr>
      <w:r w:rsidRPr="003D5361">
        <w:rPr>
          <w:rFonts w:ascii="Palatino Linotype" w:eastAsia="Palatino Linotype" w:hAnsi="Palatino Linotype" w:cs="Palatino Linotype"/>
        </w:rPr>
        <w:t xml:space="preserve">Atento a los razonamientos lógico jurídicos que han quedado precisados y toda vez que el  </w:t>
      </w:r>
      <w:r w:rsidRPr="003D5361">
        <w:rPr>
          <w:rFonts w:ascii="Palatino Linotype" w:eastAsia="Palatino Linotype" w:hAnsi="Palatino Linotype" w:cs="Palatino Linotype"/>
          <w:i/>
        </w:rPr>
        <w:t xml:space="preserve">sobreseimiento </w:t>
      </w:r>
      <w:r w:rsidRPr="003D5361">
        <w:rPr>
          <w:rFonts w:ascii="Palatino Linotype" w:eastAsia="Palatino Linotype" w:hAnsi="Palatino Linotype" w:cs="Palatino Linotype"/>
        </w:rPr>
        <w:t xml:space="preserve">es un acto que da por terminado el procedimiento administrativo de impugnación por alguna causa que sobreviniente en el juicio de </w:t>
      </w:r>
      <w:r w:rsidRPr="003D5361">
        <w:rPr>
          <w:rFonts w:ascii="Palatino Linotype" w:eastAsia="Palatino Linotype" w:hAnsi="Palatino Linotype" w:cs="Palatino Linotype"/>
        </w:rPr>
        <w:lastRenderedPageBreak/>
        <w:t xml:space="preserve">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3D5361">
        <w:rPr>
          <w:rFonts w:ascii="Palatino Linotype" w:eastAsia="Palatino Linotype" w:hAnsi="Palatino Linotype" w:cs="Palatino Linotype"/>
          <w:b/>
        </w:rPr>
        <w:t>SOBRESEIMIENTO, NO PERMITE ENTRAR AL ESTUDIO DE LAS CUESTIONES DE FONDO</w:t>
      </w:r>
      <w:r w:rsidRPr="003D5361">
        <w:rPr>
          <w:rFonts w:ascii="Palatino Linotype" w:eastAsia="Palatino Linotype" w:hAnsi="Palatino Linotype" w:cs="Palatino Linotype"/>
          <w:vertAlign w:val="superscript"/>
        </w:rPr>
        <w:footnoteReference w:id="2"/>
      </w:r>
      <w:r w:rsidRPr="003D5361">
        <w:rPr>
          <w:rFonts w:ascii="Palatino Linotype" w:eastAsia="Palatino Linotype" w:hAnsi="Palatino Linotype" w:cs="Palatino Linotype"/>
          <w:b/>
        </w:rPr>
        <w:t>.</w:t>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C16824" w:rsidRPr="003D5361" w:rsidRDefault="00A74AF5">
      <w:pPr>
        <w:spacing w:before="120" w:after="120"/>
        <w:ind w:left="851" w:right="902"/>
        <w:jc w:val="both"/>
        <w:rPr>
          <w:rFonts w:ascii="Palatino Linotype" w:eastAsia="Palatino Linotype" w:hAnsi="Palatino Linotype" w:cs="Palatino Linotype"/>
          <w:b/>
          <w:i/>
          <w:sz w:val="22"/>
          <w:szCs w:val="22"/>
        </w:rPr>
      </w:pPr>
      <w:r w:rsidRPr="003D5361">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C16824" w:rsidRPr="003D5361" w:rsidRDefault="00A74AF5">
      <w:pPr>
        <w:spacing w:before="120" w:after="120"/>
        <w:ind w:left="851" w:right="902"/>
        <w:jc w:val="both"/>
        <w:rPr>
          <w:rFonts w:ascii="Palatino Linotype" w:eastAsia="Palatino Linotype" w:hAnsi="Palatino Linotype" w:cs="Palatino Linotype"/>
          <w:i/>
          <w:sz w:val="22"/>
          <w:szCs w:val="22"/>
        </w:rPr>
      </w:pPr>
      <w:r w:rsidRPr="003D5361">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3D5361">
        <w:rPr>
          <w:rFonts w:ascii="Palatino Linotype" w:eastAsia="Palatino Linotype" w:hAnsi="Palatino Linotype" w:cs="Palatino Linotype"/>
          <w:i/>
          <w:sz w:val="22"/>
          <w:szCs w:val="22"/>
        </w:rPr>
        <w:t>promovente</w:t>
      </w:r>
      <w:proofErr w:type="spellEnd"/>
      <w:r w:rsidRPr="003D5361">
        <w:rPr>
          <w:rFonts w:ascii="Palatino Linotype" w:eastAsia="Palatino Linotype" w:hAnsi="Palatino Linotype" w:cs="Palatino Linotype"/>
          <w:i/>
          <w:sz w:val="22"/>
          <w:szCs w:val="22"/>
        </w:rPr>
        <w:t xml:space="preserve">, no obstante sea desfavorable, al no poder negar que se da respuesta a la petición de amparo, con independencia de que no comparta el sentido de la resolución, dado que de esa forma quien imparte justicia se </w:t>
      </w:r>
      <w:r w:rsidRPr="003D5361">
        <w:rPr>
          <w:rFonts w:ascii="Palatino Linotype" w:eastAsia="Palatino Linotype" w:hAnsi="Palatino Linotype" w:cs="Palatino Linotype"/>
          <w:i/>
          <w:sz w:val="22"/>
          <w:szCs w:val="22"/>
        </w:rPr>
        <w:lastRenderedPageBreak/>
        <w:t>pronuncia sobre la acción, diciendo así el derecho y permitiendo que impere el orden jurídico.” (Sic)</w:t>
      </w:r>
      <w:r w:rsidRPr="003D5361">
        <w:rPr>
          <w:rFonts w:ascii="Palatino Linotype" w:eastAsia="Palatino Linotype" w:hAnsi="Palatino Linotype" w:cs="Palatino Linotype"/>
        </w:rPr>
        <w:tab/>
      </w:r>
    </w:p>
    <w:p w:rsidR="00C16824" w:rsidRPr="003D5361" w:rsidRDefault="00C16824">
      <w:pPr>
        <w:spacing w:line="360" w:lineRule="auto"/>
        <w:ind w:right="49"/>
        <w:jc w:val="both"/>
        <w:rPr>
          <w:rFonts w:ascii="Palatino Linotype" w:eastAsia="Palatino Linotype" w:hAnsi="Palatino Linotype" w:cs="Palatino Linotype"/>
        </w:rPr>
      </w:pPr>
    </w:p>
    <w:p w:rsidR="00C16824" w:rsidRPr="003D5361" w:rsidRDefault="00A74AF5">
      <w:pPr>
        <w:spacing w:line="360" w:lineRule="auto"/>
        <w:ind w:right="49"/>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Así, de las constancias que obran en el expediente de mérito, se advierte que se actualiza la causal de sobreseimiento enunciada en la fracción IV del artículo 192 de la Ley de Transparencia Local, en relación directa con la fracción V y VII del artículo 191 de la misma Ley, toda vez que la parte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xml:space="preserve"> pone en tela de juicio la veracidad de la información proporcionada.</w:t>
      </w:r>
    </w:p>
    <w:p w:rsidR="00C16824" w:rsidRPr="003D5361" w:rsidRDefault="00C16824">
      <w:pPr>
        <w:spacing w:line="360" w:lineRule="auto"/>
        <w:ind w:right="49"/>
        <w:jc w:val="both"/>
        <w:rPr>
          <w:rFonts w:ascii="Palatino Linotype" w:eastAsia="Palatino Linotype" w:hAnsi="Palatino Linotype" w:cs="Palatino Linotype"/>
        </w:rPr>
      </w:pPr>
    </w:p>
    <w:p w:rsidR="00C16824" w:rsidRPr="003D5361" w:rsidRDefault="00A74AF5">
      <w:pPr>
        <w:spacing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Siendo necesario precisar que este Organismo Garante no está facultado para manifestarse sobre la veracidad de lo manifestado por 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pues no existe precepto legal alguno en la Ley de la materia que lo faculte para ello, lo anterior se sustenta con lo plasmado en el criterio 31-10 emitido por el ahora Instituto Nacional de Transparencia, Acceso a la Información y Protección de Datos Personales, ya citado.</w:t>
      </w:r>
    </w:p>
    <w:p w:rsidR="00C16824" w:rsidRPr="003D5361" w:rsidRDefault="00C16824">
      <w:pPr>
        <w:spacing w:line="360" w:lineRule="auto"/>
        <w:jc w:val="both"/>
        <w:rPr>
          <w:rFonts w:ascii="Palatino Linotype" w:eastAsia="Palatino Linotype" w:hAnsi="Palatino Linotype" w:cs="Palatino Linotype"/>
        </w:rPr>
      </w:pPr>
    </w:p>
    <w:p w:rsidR="00C16824" w:rsidRPr="003D5361" w:rsidRDefault="00A74AF5">
      <w:pPr>
        <w:spacing w:line="360" w:lineRule="auto"/>
        <w:ind w:right="51"/>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No obstante, de lo anterior, se dejan a salvo los derechos de la persona solicitante, para que, en caso de considerar conveniente a sus intereses, ingrese una nueva solicitud de información ante 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w:t>
      </w:r>
    </w:p>
    <w:p w:rsidR="00C16824" w:rsidRPr="003D5361" w:rsidRDefault="00C16824">
      <w:pPr>
        <w:spacing w:line="360" w:lineRule="auto"/>
        <w:ind w:right="51"/>
        <w:jc w:val="both"/>
        <w:rPr>
          <w:rFonts w:ascii="Palatino Linotype" w:eastAsia="Palatino Linotype" w:hAnsi="Palatino Linotype" w:cs="Palatino Linotype"/>
        </w:rPr>
      </w:pPr>
    </w:p>
    <w:p w:rsidR="00C16824" w:rsidRPr="003D5361" w:rsidRDefault="00A74AF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w:t>
      </w:r>
      <w:r w:rsidRPr="003D5361">
        <w:rPr>
          <w:rFonts w:ascii="Palatino Linotype" w:eastAsia="Palatino Linotype" w:hAnsi="Palatino Linotype" w:cs="Palatino Linotype"/>
        </w:rPr>
        <w:lastRenderedPageBreak/>
        <w:t>fracción II de la Ley de Transparencia y Acceso a la Información Pública del Estado de México y Municipios, este Pleno:</w:t>
      </w:r>
    </w:p>
    <w:p w:rsidR="00C16824" w:rsidRPr="003D5361" w:rsidRDefault="00C16824">
      <w:pPr>
        <w:pBdr>
          <w:top w:val="nil"/>
          <w:left w:val="nil"/>
          <w:bottom w:val="nil"/>
          <w:right w:val="nil"/>
          <w:between w:val="nil"/>
        </w:pBdr>
        <w:spacing w:line="360" w:lineRule="auto"/>
        <w:ind w:right="96"/>
        <w:jc w:val="both"/>
        <w:rPr>
          <w:rFonts w:ascii="Palatino Linotype" w:eastAsia="Palatino Linotype" w:hAnsi="Palatino Linotype" w:cs="Palatino Linotype"/>
        </w:rPr>
      </w:pPr>
    </w:p>
    <w:p w:rsidR="00C16824" w:rsidRPr="003D5361" w:rsidRDefault="00A74AF5">
      <w:pPr>
        <w:pBdr>
          <w:top w:val="nil"/>
          <w:left w:val="nil"/>
          <w:bottom w:val="nil"/>
          <w:right w:val="nil"/>
          <w:between w:val="nil"/>
        </w:pBdr>
        <w:spacing w:after="240" w:line="360" w:lineRule="auto"/>
        <w:jc w:val="center"/>
        <w:rPr>
          <w:rFonts w:ascii="Palatino Linotype" w:eastAsia="Palatino Linotype" w:hAnsi="Palatino Linotype" w:cs="Palatino Linotype"/>
          <w:b/>
        </w:rPr>
      </w:pPr>
      <w:r w:rsidRPr="003D5361">
        <w:rPr>
          <w:rFonts w:ascii="Palatino Linotype" w:eastAsia="Palatino Linotype" w:hAnsi="Palatino Linotype" w:cs="Palatino Linotype"/>
          <w:b/>
        </w:rPr>
        <w:t>III. R E S U E L V E:</w:t>
      </w:r>
    </w:p>
    <w:p w:rsidR="00C16824" w:rsidRPr="003D5361" w:rsidRDefault="00A74AF5">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3D5361">
        <w:rPr>
          <w:rFonts w:ascii="Palatino Linotype" w:eastAsia="Palatino Linotype" w:hAnsi="Palatino Linotype" w:cs="Palatino Linotype"/>
          <w:b/>
        </w:rPr>
        <w:t xml:space="preserve">Primero. </w:t>
      </w:r>
      <w:r w:rsidRPr="003D5361">
        <w:rPr>
          <w:rFonts w:ascii="Palatino Linotype" w:eastAsia="Palatino Linotype" w:hAnsi="Palatino Linotype" w:cs="Palatino Linotype"/>
        </w:rPr>
        <w:t>Se</w:t>
      </w:r>
      <w:r w:rsidRPr="003D5361">
        <w:rPr>
          <w:rFonts w:ascii="Palatino Linotype" w:eastAsia="Palatino Linotype" w:hAnsi="Palatino Linotype" w:cs="Palatino Linotype"/>
          <w:b/>
        </w:rPr>
        <w:t xml:space="preserve"> Sobresee </w:t>
      </w:r>
      <w:r w:rsidRPr="003D5361">
        <w:rPr>
          <w:rFonts w:ascii="Palatino Linotype" w:eastAsia="Palatino Linotype" w:hAnsi="Palatino Linotype" w:cs="Palatino Linotype"/>
        </w:rPr>
        <w:t xml:space="preserve">el recurso de revisión número </w:t>
      </w:r>
      <w:r w:rsidRPr="003D5361">
        <w:rPr>
          <w:rFonts w:ascii="Palatino Linotype" w:eastAsia="Palatino Linotype" w:hAnsi="Palatino Linotype" w:cs="Palatino Linotype"/>
          <w:b/>
        </w:rPr>
        <w:t xml:space="preserve">01054/INFOEM/IP/RR/2023, </w:t>
      </w:r>
      <w:r w:rsidRPr="003D5361">
        <w:rPr>
          <w:rFonts w:ascii="Palatino Linotype" w:eastAsia="Palatino Linotype" w:hAnsi="Palatino Linotype" w:cs="Palatino Linotype"/>
        </w:rPr>
        <w:t xml:space="preserve">en términos del </w:t>
      </w:r>
      <w:r w:rsidRPr="003D5361">
        <w:rPr>
          <w:rFonts w:ascii="Palatino Linotype" w:eastAsia="Palatino Linotype" w:hAnsi="Palatino Linotype" w:cs="Palatino Linotype"/>
          <w:b/>
        </w:rPr>
        <w:t>Considerando Tercero</w:t>
      </w:r>
      <w:r w:rsidRPr="003D5361">
        <w:rPr>
          <w:rFonts w:ascii="Palatino Linotype" w:eastAsia="Palatino Linotype" w:hAnsi="Palatino Linotype" w:cs="Palatino Linotype"/>
        </w:rPr>
        <w:t xml:space="preserve"> de la presente Resolución, por improcedente, de conformidad con el artículo 192, fracción IV de la Ley de Transparencia y Acceso a la Información Pública del Estado de México y Municipios. </w:t>
      </w:r>
    </w:p>
    <w:p w:rsidR="00C16824" w:rsidRPr="003D5361" w:rsidRDefault="00A74AF5">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 xml:space="preserve">Segundo. Notifíquese, </w:t>
      </w:r>
      <w:r w:rsidRPr="003D5361">
        <w:rPr>
          <w:rFonts w:ascii="Palatino Linotype" w:eastAsia="Palatino Linotype" w:hAnsi="Palatino Linotype" w:cs="Palatino Linotype"/>
        </w:rPr>
        <w:t xml:space="preserve">al Titular de la Unidad de Transparencia del </w:t>
      </w:r>
      <w:r w:rsidRPr="003D5361">
        <w:rPr>
          <w:rFonts w:ascii="Palatino Linotype" w:eastAsia="Palatino Linotype" w:hAnsi="Palatino Linotype" w:cs="Palatino Linotype"/>
          <w:b/>
        </w:rPr>
        <w:t>Sujeto Obligado</w:t>
      </w:r>
      <w:r w:rsidRPr="003D5361">
        <w:rPr>
          <w:rFonts w:ascii="Palatino Linotype" w:eastAsia="Palatino Linotype" w:hAnsi="Palatino Linotype" w:cs="Palatino Linotype"/>
        </w:rPr>
        <w:t xml:space="preserve"> la presente resolución, para su conocimiento.</w:t>
      </w:r>
    </w:p>
    <w:p w:rsidR="00C16824" w:rsidRPr="003D5361"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b/>
        </w:rPr>
        <w:t xml:space="preserve">Tercero. Notifíquese, </w:t>
      </w:r>
      <w:r w:rsidRPr="003D5361">
        <w:rPr>
          <w:rFonts w:ascii="Palatino Linotype" w:eastAsia="Palatino Linotype" w:hAnsi="Palatino Linotype" w:cs="Palatino Linotype"/>
        </w:rPr>
        <w:t>vía</w:t>
      </w:r>
      <w:r w:rsidRPr="003D5361">
        <w:rPr>
          <w:rFonts w:ascii="Palatino Linotype" w:eastAsia="Palatino Linotype" w:hAnsi="Palatino Linotype" w:cs="Palatino Linotype"/>
          <w:b/>
        </w:rPr>
        <w:t xml:space="preserve"> SAIMEX</w:t>
      </w:r>
      <w:r w:rsidRPr="003D5361">
        <w:rPr>
          <w:rFonts w:ascii="Palatino Linotype" w:eastAsia="Palatino Linotype" w:hAnsi="Palatino Linotype" w:cs="Palatino Linotype"/>
        </w:rPr>
        <w:t>, a</w:t>
      </w:r>
      <w:r w:rsidRPr="003D5361">
        <w:rPr>
          <w:rFonts w:ascii="Palatino Linotype" w:eastAsia="Palatino Linotype" w:hAnsi="Palatino Linotype" w:cs="Palatino Linotype"/>
          <w:b/>
        </w:rPr>
        <w:t xml:space="preserve"> </w:t>
      </w:r>
      <w:r w:rsidRPr="003D5361">
        <w:rPr>
          <w:rFonts w:ascii="Palatino Linotype" w:eastAsia="Palatino Linotype" w:hAnsi="Palatino Linotype" w:cs="Palatino Linotype"/>
        </w:rPr>
        <w:t xml:space="preserve">la parte </w:t>
      </w:r>
      <w:r w:rsidRPr="003D5361">
        <w:rPr>
          <w:rFonts w:ascii="Palatino Linotype" w:eastAsia="Palatino Linotype" w:hAnsi="Palatino Linotype" w:cs="Palatino Linotype"/>
          <w:b/>
        </w:rPr>
        <w:t>Recurrente</w:t>
      </w:r>
      <w:r w:rsidRPr="003D536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C16824" w:rsidRDefault="00A74AF5">
      <w:pPr>
        <w:spacing w:before="240" w:after="240" w:line="360" w:lineRule="auto"/>
        <w:jc w:val="both"/>
        <w:rPr>
          <w:rFonts w:ascii="Palatino Linotype" w:eastAsia="Palatino Linotype" w:hAnsi="Palatino Linotype" w:cs="Palatino Linotype"/>
        </w:rPr>
      </w:pPr>
      <w:r w:rsidRPr="003D536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w:t>
      </w:r>
      <w:r w:rsidRPr="003D5361">
        <w:rPr>
          <w:rFonts w:ascii="Palatino Linotype" w:eastAsia="Palatino Linotype" w:hAnsi="Palatino Linotype" w:cs="Palatino Linotype"/>
        </w:rPr>
        <w:lastRenderedPageBreak/>
        <w:t xml:space="preserve">EL DIECISIETE DE MAYO DE DOS MIL VEINTITRÉS, ANTE EL SECRETARIO TÉCNICO DEL PLENO ALEXIS TAPIA RAMÍREZ. </w:t>
      </w: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15122</wp:posOffset>
                </wp:positionV>
                <wp:extent cx="4933507" cy="5273749"/>
                <wp:effectExtent l="0" t="0" r="19685" b="22225"/>
                <wp:wrapNone/>
                <wp:docPr id="1" name="Conector recto 1"/>
                <wp:cNvGraphicFramePr/>
                <a:graphic xmlns:a="http://schemas.openxmlformats.org/drawingml/2006/main">
                  <a:graphicData uri="http://schemas.microsoft.com/office/word/2010/wordprocessingShape">
                    <wps:wsp>
                      <wps:cNvCnPr/>
                      <wps:spPr>
                        <a:xfrm>
                          <a:off x="0" y="0"/>
                          <a:ext cx="4933507" cy="5273749"/>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BF5C362" id="Conector recto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2pt" to="388.45pt,4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" strokecolor="#f68c36 [3049]">
                <w10:wrap anchorx="margin"/>
              </v:line>
            </w:pict>
          </mc:Fallback>
        </mc:AlternateContent>
      </w: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Default="005A0811">
      <w:pPr>
        <w:spacing w:before="240" w:after="240" w:line="360" w:lineRule="auto"/>
        <w:jc w:val="both"/>
        <w:rPr>
          <w:rFonts w:ascii="Palatino Linotype" w:eastAsia="Palatino Linotype" w:hAnsi="Palatino Linotype" w:cs="Palatino Linotype"/>
        </w:rPr>
      </w:pPr>
    </w:p>
    <w:p w:rsidR="005A0811" w:rsidRPr="003D5361" w:rsidRDefault="005A0811">
      <w:pPr>
        <w:spacing w:before="240" w:after="240" w:line="360" w:lineRule="auto"/>
        <w:jc w:val="both"/>
        <w:rPr>
          <w:rFonts w:ascii="Palatino Linotype" w:eastAsia="Palatino Linotype" w:hAnsi="Palatino Linotype" w:cs="Palatino Linotype"/>
        </w:rPr>
      </w:pPr>
    </w:p>
    <w:sectPr w:rsidR="005A0811" w:rsidRPr="003D5361">
      <w:headerReference w:type="default" r:id="rId27"/>
      <w:footerReference w:type="default" r:id="rId28"/>
      <w:headerReference w:type="first" r:id="rId29"/>
      <w:footerReference w:type="first" r:id="rId3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7B7" w:rsidRDefault="001437B7">
      <w:r>
        <w:separator/>
      </w:r>
    </w:p>
  </w:endnote>
  <w:endnote w:type="continuationSeparator" w:id="0">
    <w:p w:rsidR="001437B7" w:rsidRDefault="0014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24" w:rsidRDefault="00A74A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6DF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6DF3">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C16824" w:rsidRDefault="00C1682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24" w:rsidRDefault="00A74A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6DF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6DF3">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C16824" w:rsidRDefault="00C1682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7B7" w:rsidRDefault="001437B7">
      <w:r>
        <w:separator/>
      </w:r>
    </w:p>
  </w:footnote>
  <w:footnote w:type="continuationSeparator" w:id="0">
    <w:p w:rsidR="001437B7" w:rsidRDefault="001437B7">
      <w:r>
        <w:continuationSeparator/>
      </w:r>
    </w:p>
  </w:footnote>
  <w:footnote w:id="1">
    <w:p w:rsidR="00C16824" w:rsidRDefault="00A74AF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 xml:space="preserve">DESISTIMIENTO DE LA DEMANDA DE AMPARO. CORRESPONDE PROVEER RESPECTO DE ÉL AL JUEZ DE DISTRITO CUANDO SE PLANTEA ESTANDO PENDIENTE LA RESOLUCIÓN DEL RECURSO DE REVISIÓN Y ÉSTE SE DESECHA. El </w:t>
      </w:r>
      <w:proofErr w:type="spellStart"/>
      <w:r>
        <w:rPr>
          <w:rFonts w:ascii="Palatino Linotype" w:eastAsia="Palatino Linotype" w:hAnsi="Palatino Linotype" w:cs="Palatino Linotype"/>
          <w:i/>
          <w:color w:val="000000"/>
          <w:sz w:val="16"/>
          <w:szCs w:val="16"/>
        </w:rPr>
        <w:t>desechamiento</w:t>
      </w:r>
      <w:proofErr w:type="spellEnd"/>
      <w:r>
        <w:rPr>
          <w:rFonts w:ascii="Palatino Linotype" w:eastAsia="Palatino Linotype" w:hAnsi="Palatino Linotype" w:cs="Palatino Linotype"/>
          <w:i/>
          <w:color w:val="000000"/>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rsidR="00C16824" w:rsidRDefault="00C16824">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rsidR="00C16824" w:rsidRDefault="00A74AF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C16824" w:rsidRDefault="00A74AF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24" w:rsidRDefault="00A74AF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-684501</wp:posOffset>
          </wp:positionH>
          <wp:positionV relativeFrom="paragraph">
            <wp:posOffset>-77696</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C16824">
      <w:tc>
        <w:tcPr>
          <w:tcW w:w="2489" w:type="dxa"/>
          <w:shd w:val="clear" w:color="auto" w:fill="auto"/>
        </w:tcPr>
        <w:p w:rsidR="00C16824" w:rsidRDefault="00A74A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C16824" w:rsidRDefault="00A74A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01054/INFOEM/IP/RR/2023</w:t>
          </w:r>
        </w:p>
      </w:tc>
    </w:tr>
    <w:tr w:rsidR="00C16824">
      <w:trPr>
        <w:trHeight w:val="228"/>
      </w:trPr>
      <w:tc>
        <w:tcPr>
          <w:tcW w:w="2489" w:type="dxa"/>
          <w:shd w:val="clear" w:color="auto" w:fill="auto"/>
          <w:vAlign w:val="center"/>
        </w:tcPr>
        <w:p w:rsidR="00C16824" w:rsidRDefault="00A74A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C16824" w:rsidRDefault="00A74A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16824">
      <w:tc>
        <w:tcPr>
          <w:tcW w:w="2489" w:type="dxa"/>
          <w:shd w:val="clear" w:color="auto" w:fill="auto"/>
          <w:vAlign w:val="center"/>
        </w:tcPr>
        <w:p w:rsidR="00C16824" w:rsidRDefault="00A74AF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C16824" w:rsidRDefault="00A74A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16824" w:rsidRDefault="00A74AF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24" w:rsidRDefault="00C1682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C16824">
      <w:tc>
        <w:tcPr>
          <w:tcW w:w="2551" w:type="dxa"/>
          <w:shd w:val="clear" w:color="auto" w:fill="auto"/>
          <w:vAlign w:val="center"/>
        </w:tcPr>
        <w:p w:rsidR="00C16824" w:rsidRDefault="00A74A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C16824" w:rsidRDefault="00A74AF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01054/INFOEM/IP/RR/2023</w:t>
          </w:r>
        </w:p>
      </w:tc>
    </w:tr>
    <w:tr w:rsidR="00C16824">
      <w:trPr>
        <w:trHeight w:val="130"/>
      </w:trPr>
      <w:tc>
        <w:tcPr>
          <w:tcW w:w="2551" w:type="dxa"/>
          <w:shd w:val="clear" w:color="auto" w:fill="auto"/>
          <w:vAlign w:val="center"/>
        </w:tcPr>
        <w:p w:rsidR="00C16824" w:rsidRDefault="00A74A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C16824" w:rsidRDefault="00C16824">
          <w:pPr>
            <w:tabs>
              <w:tab w:val="left" w:pos="3153"/>
            </w:tabs>
            <w:ind w:left="-45"/>
            <w:jc w:val="both"/>
            <w:rPr>
              <w:rFonts w:ascii="Palatino Linotype" w:eastAsia="Palatino Linotype" w:hAnsi="Palatino Linotype" w:cs="Palatino Linotype"/>
              <w:b/>
              <w:sz w:val="22"/>
              <w:szCs w:val="22"/>
            </w:rPr>
          </w:pPr>
        </w:p>
      </w:tc>
    </w:tr>
    <w:tr w:rsidR="00C16824">
      <w:trPr>
        <w:trHeight w:val="228"/>
      </w:trPr>
      <w:tc>
        <w:tcPr>
          <w:tcW w:w="2551" w:type="dxa"/>
          <w:shd w:val="clear" w:color="auto" w:fill="auto"/>
          <w:vAlign w:val="center"/>
        </w:tcPr>
        <w:p w:rsidR="00C16824" w:rsidRDefault="00A74A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C16824" w:rsidRDefault="00A74AF5">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16824">
      <w:tc>
        <w:tcPr>
          <w:tcW w:w="2551" w:type="dxa"/>
          <w:shd w:val="clear" w:color="auto" w:fill="auto"/>
          <w:vAlign w:val="center"/>
        </w:tcPr>
        <w:p w:rsidR="00C16824" w:rsidRDefault="00A74A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C16824" w:rsidRDefault="00A74AF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16824" w:rsidRDefault="00A74AF5">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-781949</wp:posOffset>
          </wp:positionH>
          <wp:positionV relativeFrom="paragraph">
            <wp:posOffset>-2083434</wp:posOffset>
          </wp:positionV>
          <wp:extent cx="7809865" cy="1016571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E4680"/>
    <w:multiLevelType w:val="multilevel"/>
    <w:tmpl w:val="E4123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6410DC5"/>
    <w:multiLevelType w:val="multilevel"/>
    <w:tmpl w:val="F696711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24"/>
    <w:rsid w:val="001437B7"/>
    <w:rsid w:val="001F6DF3"/>
    <w:rsid w:val="002F11BD"/>
    <w:rsid w:val="003D5361"/>
    <w:rsid w:val="005A0811"/>
    <w:rsid w:val="00A74AF5"/>
    <w:rsid w:val="00C16824"/>
    <w:rsid w:val="00E544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BBC7D-6696-4B9E-8DB4-4CD40F71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16003.page" TargetMode="External"/><Relationship Id="rId13" Type="http://schemas.openxmlformats.org/officeDocument/2006/relationships/hyperlink" Target="https://saimex.org.mx/saimex/solicitud/downloadAttach/1716008.page" TargetMode="External"/><Relationship Id="rId18" Type="http://schemas.openxmlformats.org/officeDocument/2006/relationships/hyperlink" Target="https://saimex.org.mx/saimex/solicitud/downloadAttach/1729081.page"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saimex.org.mx/saimex/solicitud/downloadAttach/1716004.page" TargetMode="External"/><Relationship Id="rId7" Type="http://schemas.openxmlformats.org/officeDocument/2006/relationships/endnotes" Target="endnotes.xml"/><Relationship Id="rId12" Type="http://schemas.openxmlformats.org/officeDocument/2006/relationships/hyperlink" Target="https://saimex.org.mx/saimex/solicitud/downloadAttach/1716007.page" TargetMode="External"/><Relationship Id="rId17" Type="http://schemas.openxmlformats.org/officeDocument/2006/relationships/hyperlink" Target="https://saimex.org.mx/saimex/solicitud/downloadAttach/1729080.page"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saimex.org.mx/saimex/solicitud/downloadAttach/1729079.page" TargetMode="External"/><Relationship Id="rId20" Type="http://schemas.openxmlformats.org/officeDocument/2006/relationships/hyperlink" Target="https://saimex.org.mx/saimex/solicitud/downloadAttach/1716003.pag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16006.page" TargetMode="External"/><Relationship Id="rId24" Type="http://schemas.openxmlformats.org/officeDocument/2006/relationships/hyperlink" Target="https://saimex.org.mx/saimex/solicitud/downloadAttach/1716005.pa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729078.page" TargetMode="External"/><Relationship Id="rId23" Type="http://schemas.openxmlformats.org/officeDocument/2006/relationships/hyperlink" Target="https://saimex.org.mx/saimex/solicitud/downloadAttach/1716008.page" TargetMode="External"/><Relationship Id="rId28" Type="http://schemas.openxmlformats.org/officeDocument/2006/relationships/footer" Target="footer1.xml"/><Relationship Id="rId10" Type="http://schemas.openxmlformats.org/officeDocument/2006/relationships/hyperlink" Target="https://saimex.org.mx/saimex/solicitud/downloadAttach/1716005.page" TargetMode="External"/><Relationship Id="rId19" Type="http://schemas.openxmlformats.org/officeDocument/2006/relationships/hyperlink" Target="https://saimex.org.mx/saimex/solicitud/downloadAttach/1729082.pa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716004.page" TargetMode="External"/><Relationship Id="rId14" Type="http://schemas.openxmlformats.org/officeDocument/2006/relationships/hyperlink" Target="https://saimex.org.mx/saimex/solicitud/downloadAttach/1729077.page" TargetMode="External"/><Relationship Id="rId22" Type="http://schemas.openxmlformats.org/officeDocument/2006/relationships/hyperlink" Target="https://saimex.org.mx/saimex/solicitud/downloadAttach/1716006.page"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QnOU0sTNetuVWpt6sMvnlDPOPw==">AMUW2mVzOW0YVl5gwe46z3R3TP6JWC5CwLTcQIoP/g+upbDJQQtnaIy3wHy65rtGCUW178An2w7GGoViN0urjKzNzAsyLIYq8f4ExnY96DgPRun7iU9soBCnMgzM2E75qCirOP+lR1yIb+dTueI58LcPGEeQTj+K84eYZvDptYORZgw0pn9eSy4=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4932</Words>
  <Characters>27130</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2023-05-19T16:17:00Z</cp:lastPrinted>
  <dcterms:created xsi:type="dcterms:W3CDTF">2023-05-24T18:57:00Z</dcterms:created>
  <dcterms:modified xsi:type="dcterms:W3CDTF">2023-05-24T18:57:00Z</dcterms:modified>
</cp:coreProperties>
</file>