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7FDB309E"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DA1B90">
        <w:rPr>
          <w:rFonts w:eastAsia="Calibri" w:cs="Tahoma"/>
          <w:lang w:val="es-ES"/>
        </w:rPr>
        <w:t>veintinueve</w:t>
      </w:r>
      <w:r w:rsidR="00EA102B">
        <w:rPr>
          <w:rFonts w:eastAsia="Calibri" w:cs="Tahoma"/>
          <w:lang w:val="es-ES"/>
        </w:rPr>
        <w:t xml:space="preserve"> de marzo</w:t>
      </w:r>
      <w:r w:rsidR="00955848">
        <w:rPr>
          <w:rFonts w:eastAsia="Calibri" w:cs="Tahoma"/>
          <w:lang w:val="es-ES"/>
        </w:rPr>
        <w:t xml:space="preserve"> de dos mil veintitrés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5BD9F43B"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967D91" w:rsidRPr="00E009E7">
        <w:rPr>
          <w:rFonts w:eastAsia="Calibri" w:cs="Tahoma"/>
          <w:b/>
        </w:rPr>
        <w:t>0</w:t>
      </w:r>
      <w:r w:rsidR="00EA102B" w:rsidRPr="00E009E7">
        <w:rPr>
          <w:rFonts w:eastAsia="Calibri" w:cs="Tahoma"/>
          <w:b/>
        </w:rPr>
        <w:t>101</w:t>
      </w:r>
      <w:r w:rsidR="005B7041" w:rsidRPr="00E009E7">
        <w:rPr>
          <w:rFonts w:eastAsia="Calibri" w:cs="Tahoma"/>
          <w:b/>
        </w:rPr>
        <w:t>1</w:t>
      </w:r>
      <w:r w:rsidR="00967D91" w:rsidRPr="00E009E7">
        <w:rPr>
          <w:rFonts w:eastAsia="Calibri" w:cs="Tahoma"/>
          <w:b/>
        </w:rPr>
        <w:t>/INFOEM/IP/RR/2023</w:t>
      </w:r>
      <w:r w:rsidRPr="002D0AC7">
        <w:rPr>
          <w:rFonts w:eastAsia="Calibri" w:cs="Tahoma"/>
        </w:rPr>
        <w:t xml:space="preserve">, interpuesto </w:t>
      </w:r>
      <w:r w:rsidR="000C006D">
        <w:rPr>
          <w:rFonts w:eastAsia="Calibri" w:cs="Tahoma"/>
        </w:rPr>
        <w:t>por</w:t>
      </w:r>
      <w:r w:rsidR="00CE3521">
        <w:rPr>
          <w:rFonts w:eastAsia="Calibri" w:cs="Tahoma"/>
        </w:rPr>
        <w:t xml:space="preserve"> </w:t>
      </w:r>
      <w:r w:rsidR="00645086">
        <w:rPr>
          <w:rFonts w:eastAsia="Calibri" w:cs="Tahoma"/>
        </w:rPr>
        <w:t>un particular que en lo sucesivo se le denominará</w:t>
      </w:r>
      <w:r w:rsidRPr="002D0AC7">
        <w:rPr>
          <w:rFonts w:cs="Tahoma"/>
          <w:color w:val="0D0D0D" w:themeColor="text1" w:themeTint="F2"/>
        </w:rPr>
        <w:t xml:space="preserve"> Recurrente o Particular, en contra de la falta de respuesta del Sujeto Obligado, </w:t>
      </w:r>
      <w:r w:rsidR="005B7041" w:rsidRPr="005B7041">
        <w:rPr>
          <w:rFonts w:cs="Tahoma"/>
          <w:color w:val="0D0D0D" w:themeColor="text1" w:themeTint="F2"/>
        </w:rPr>
        <w:t xml:space="preserve">Ayuntamiento de </w:t>
      </w:r>
      <w:r w:rsidR="00775E06" w:rsidRPr="00775E06">
        <w:rPr>
          <w:rFonts w:cs="Tahoma"/>
          <w:color w:val="0D0D0D" w:themeColor="text1" w:themeTint="F2"/>
        </w:rPr>
        <w:t>Tepetlixpa</w:t>
      </w:r>
      <w:r w:rsidRPr="002D0AC7">
        <w:rPr>
          <w:rFonts w:cs="Tahoma"/>
          <w:color w:val="0D0D0D" w:themeColor="text1" w:themeTint="F2"/>
        </w:rPr>
        <w:t>, a la solicitud de acceso a la información pública</w:t>
      </w:r>
      <w:r w:rsidRPr="002D0AC7">
        <w:rPr>
          <w:b/>
          <w:bCs/>
          <w:color w:val="FF0000"/>
        </w:rPr>
        <w:t> </w:t>
      </w:r>
      <w:r w:rsidR="00775E06" w:rsidRPr="00775E06">
        <w:t>00055/TEPETLIX/IP/2023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6F669C65" w:rsidR="00EC77D9" w:rsidRPr="002D0AC7" w:rsidRDefault="00EC77D9" w:rsidP="00DA4C87">
      <w:pPr>
        <w:spacing w:after="0" w:line="360" w:lineRule="auto"/>
        <w:rPr>
          <w:rFonts w:cs="Tahoma"/>
        </w:rPr>
      </w:pPr>
      <w:r w:rsidRPr="002D0AC7">
        <w:rPr>
          <w:rFonts w:eastAsia="Calibri" w:cs="Tahoma"/>
          <w:lang w:val="es-ES"/>
        </w:rPr>
        <w:t xml:space="preserve">Con fecha </w:t>
      </w:r>
      <w:r w:rsidR="00777B4B">
        <w:rPr>
          <w:rFonts w:eastAsia="Calibri" w:cs="Tahoma"/>
          <w:lang w:val="es-ES"/>
        </w:rPr>
        <w:t>veinticinco de enero de dos mil veintitrés</w:t>
      </w:r>
      <w:r w:rsidRPr="002D0AC7">
        <w:rPr>
          <w:rFonts w:eastAsia="Calibri" w:cs="Tahoma"/>
          <w:lang w:val="es-ES"/>
        </w:rPr>
        <w:t xml:space="preserve">, se </w:t>
      </w:r>
      <w:r w:rsidR="00B0253B">
        <w:rPr>
          <w:rFonts w:eastAsia="Calibri" w:cs="Tahoma"/>
          <w:lang w:val="es-ES"/>
        </w:rPr>
        <w:t>presentó</w:t>
      </w:r>
      <w:r w:rsidRPr="002D0AC7">
        <w:rPr>
          <w:rFonts w:eastAsia="Calibri" w:cs="Tahoma"/>
          <w:lang w:val="es-ES"/>
        </w:rPr>
        <w:t xml:space="preserve"> una solicitud de información del </w:t>
      </w:r>
      <w:r w:rsidR="005B7041">
        <w:rPr>
          <w:rFonts w:eastAsia="Calibri" w:cs="Tahoma"/>
          <w:lang w:val="es-ES"/>
        </w:rPr>
        <w:t xml:space="preserve">Recurrente o </w:t>
      </w:r>
      <w:r w:rsidRPr="002D0AC7">
        <w:rPr>
          <w:rFonts w:eastAsia="Calibri" w:cs="Tahoma"/>
          <w:lang w:val="es-ES"/>
        </w:rPr>
        <w:t>Particular, a través del Sistema de Acceso a la Información Mexiquense (SAIMEX), ante el</w:t>
      </w:r>
      <w:r w:rsidR="005B78CE">
        <w:rPr>
          <w:color w:val="000000"/>
        </w:rPr>
        <w:t xml:space="preserve"> </w:t>
      </w:r>
      <w:r w:rsidR="005B7041" w:rsidRPr="005B7041">
        <w:rPr>
          <w:rFonts w:cs="Tahoma"/>
          <w:color w:val="0D0D0D" w:themeColor="text1" w:themeTint="F2"/>
        </w:rPr>
        <w:t xml:space="preserve">Ayuntamiento de </w:t>
      </w:r>
      <w:r w:rsidR="00777B4B">
        <w:rPr>
          <w:rFonts w:cs="Tahoma"/>
          <w:color w:val="0D0D0D" w:themeColor="text1" w:themeTint="F2"/>
        </w:rPr>
        <w:t>Tepetlixpa</w:t>
      </w:r>
      <w:r w:rsidR="003D0090">
        <w:rPr>
          <w:rFonts w:eastAsia="Calibri" w:cs="Tahoma"/>
        </w:rPr>
        <w:t xml:space="preserve">, </w:t>
      </w:r>
      <w:r w:rsidRPr="002D0AC7">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7B5ABC3E" w:rsidR="00EC77D9" w:rsidRPr="003D0090" w:rsidRDefault="00EA102B" w:rsidP="00A2050F">
      <w:pPr>
        <w:spacing w:after="0" w:line="360" w:lineRule="auto"/>
        <w:ind w:left="567" w:right="567"/>
        <w:rPr>
          <w:rFonts w:eastAsia="Times New Roman" w:cs="Arial"/>
          <w:bCs/>
          <w:i/>
          <w:iCs/>
          <w:sz w:val="20"/>
          <w:szCs w:val="20"/>
          <w:lang w:eastAsia="es-ES"/>
        </w:rPr>
      </w:pPr>
      <w:r w:rsidRPr="00EA102B">
        <w:rPr>
          <w:i/>
          <w:iCs/>
          <w:color w:val="000000"/>
          <w:sz w:val="20"/>
          <w:szCs w:val="20"/>
        </w:rPr>
        <w:t>desglose que llego al municipio por parte del estado de recurso asignado al instituto de la mujer del municipio. del ejercicio fiscal 2022 asi como todas las acciones que compruebe su gasto</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15B37E12" w:rsidR="00EC77D9" w:rsidRPr="009019A4" w:rsidRDefault="00777B4B" w:rsidP="00DA4C87">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A través del SAIMEX</w:t>
      </w:r>
      <w:r w:rsidR="00EC77D9" w:rsidRPr="009019A4">
        <w:rPr>
          <w:rFonts w:eastAsia="Times New Roman" w:cs="Arial"/>
          <w:bCs/>
          <w:i/>
          <w:iCs/>
          <w:color w:val="auto"/>
          <w:sz w:val="20"/>
          <w:szCs w:val="20"/>
          <w:lang w:eastAsia="es-ES"/>
        </w:rPr>
        <w:t>”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61F19FD5" w14:textId="67E5F82E" w:rsidR="00967D91" w:rsidRPr="002D0AC7" w:rsidRDefault="00967D91" w:rsidP="00645086">
      <w:pPr>
        <w:tabs>
          <w:tab w:val="left" w:pos="4667"/>
        </w:tabs>
        <w:spacing w:after="0" w:line="360" w:lineRule="auto"/>
        <w:ind w:right="567"/>
        <w:rPr>
          <w:rFonts w:eastAsia="Calibri" w:cs="Tahoma"/>
          <w:b/>
          <w:bCs/>
          <w:lang w:val="es-ES"/>
        </w:rPr>
      </w:pPr>
      <w:r>
        <w:rPr>
          <w:rFonts w:eastAsia="Calibri" w:cs="Tahoma"/>
          <w:b/>
          <w:bCs/>
        </w:rPr>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14:paraId="5FFE230B" w14:textId="77777777" w:rsidR="00EC77D9" w:rsidRPr="002D0AC7" w:rsidRDefault="00EC77D9" w:rsidP="00DA4C87">
      <w:pPr>
        <w:spacing w:after="0" w:line="360" w:lineRule="auto"/>
        <w:rPr>
          <w:rFonts w:eastAsia="Calibri" w:cs="Tahoma"/>
          <w:b/>
          <w:bCs/>
        </w:rPr>
      </w:pPr>
    </w:p>
    <w:p w14:paraId="339339D5" w14:textId="24A9E6EB"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5B7041" w:rsidRPr="005B7041">
        <w:rPr>
          <w:color w:val="000000"/>
        </w:rPr>
        <w:t xml:space="preserve">Ayuntamiento de </w:t>
      </w:r>
      <w:r w:rsidR="00777B4B">
        <w:rPr>
          <w:color w:val="000000"/>
        </w:rPr>
        <w:t>Tepetlixpa</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329AEF27" w:rsidR="00EC77D9" w:rsidRPr="002D0AC7" w:rsidRDefault="006E2079" w:rsidP="00DA4C87">
      <w:pPr>
        <w:autoSpaceDE w:val="0"/>
        <w:autoSpaceDN w:val="0"/>
        <w:adjustRightInd w:val="0"/>
        <w:spacing w:after="0" w:line="360" w:lineRule="auto"/>
        <w:rPr>
          <w:rFonts w:eastAsia="Calibri" w:cs="Tahoma"/>
          <w:b/>
          <w:color w:val="000000"/>
        </w:rPr>
      </w:pPr>
      <w:r>
        <w:rPr>
          <w:rFonts w:eastAsia="Calibri" w:cs="Tahoma"/>
          <w:b/>
          <w:color w:val="000000"/>
        </w:rPr>
        <w:t>I</w:t>
      </w:r>
      <w:r w:rsidR="00645086">
        <w:rPr>
          <w:rFonts w:eastAsia="Calibri" w:cs="Tahoma"/>
          <w:b/>
          <w:color w:val="000000"/>
        </w:rPr>
        <w:t>II</w:t>
      </w:r>
      <w:r w:rsidR="00955848">
        <w:rPr>
          <w:rFonts w:eastAsia="Calibri" w:cs="Tahoma"/>
          <w:b/>
          <w:color w:val="000000"/>
        </w:rPr>
        <w:t>.</w:t>
      </w:r>
      <w:r w:rsidR="00EC77D9"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043BFAD4" w14:textId="43B73D00" w:rsidR="00686C69" w:rsidRPr="00722BC9" w:rsidRDefault="00EC77D9" w:rsidP="00DA4C87">
      <w:pPr>
        <w:spacing w:after="0" w:line="360" w:lineRule="auto"/>
        <w:rPr>
          <w:bCs/>
        </w:rPr>
      </w:pPr>
      <w:r w:rsidRPr="002D0AC7">
        <w:rPr>
          <w:rFonts w:eastAsia="Times New Roman" w:cs="Tahoma"/>
          <w:bCs/>
          <w:color w:val="auto"/>
          <w:lang w:val="es-ES" w:eastAsia="es-ES"/>
        </w:rPr>
        <w:t xml:space="preserve">Con fecha </w:t>
      </w:r>
      <w:r w:rsidR="00D10868">
        <w:rPr>
          <w:rFonts w:eastAsia="Times New Roman" w:cs="Tahoma"/>
          <w:bCs/>
          <w:color w:val="auto"/>
          <w:lang w:val="es-ES" w:eastAsia="es-ES"/>
        </w:rPr>
        <w:t>veintidós de febrero</w:t>
      </w:r>
      <w:r w:rsidR="00967D91">
        <w:rPr>
          <w:rFonts w:eastAsia="Times New Roman" w:cs="Tahoma"/>
          <w:bCs/>
          <w:color w:val="auto"/>
          <w:lang w:val="es-ES" w:eastAsia="es-ES"/>
        </w:rPr>
        <w:t xml:space="preserve">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00686C69" w:rsidRPr="00722BC9">
        <w:rPr>
          <w:rFonts w:cs="Tahoma"/>
          <w:b/>
          <w:lang w:eastAsia="es-ES"/>
        </w:rPr>
        <w:t xml:space="preserve"> </w:t>
      </w:r>
      <w:r w:rsidR="00686C69" w:rsidRPr="00722BC9">
        <w:rPr>
          <w:rFonts w:cs="Tahoma"/>
          <w:lang w:eastAsia="es-ES"/>
        </w:rPr>
        <w:t>en los siguientes términos:</w:t>
      </w:r>
    </w:p>
    <w:p w14:paraId="24595562" w14:textId="77777777" w:rsidR="00EC77D9" w:rsidRPr="002D0AC7" w:rsidRDefault="00EC77D9"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04B3CBD6" w:rsidR="00EC77D9" w:rsidRPr="009019A4" w:rsidRDefault="00D10868" w:rsidP="00DA4C87">
      <w:pPr>
        <w:spacing w:after="0" w:line="360" w:lineRule="auto"/>
        <w:ind w:left="567" w:right="567"/>
        <w:rPr>
          <w:rFonts w:eastAsia="Times New Roman" w:cs="Tahoma"/>
          <w:bCs/>
          <w:i/>
          <w:iCs/>
          <w:color w:val="auto"/>
          <w:sz w:val="20"/>
          <w:szCs w:val="20"/>
          <w:lang w:eastAsia="es-ES"/>
        </w:rPr>
      </w:pPr>
      <w:r w:rsidRPr="00D10868">
        <w:rPr>
          <w:i/>
          <w:iCs/>
          <w:color w:val="000000"/>
          <w:sz w:val="20"/>
          <w:szCs w:val="20"/>
        </w:rPr>
        <w:t>NEGAR LA INFORMACION COMO MARCA LA LEY DE TRANSPARENCIA</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08000B07" w:rsidR="00EC77D9" w:rsidRPr="009019A4" w:rsidRDefault="00D10868" w:rsidP="00DA4C87">
      <w:pPr>
        <w:spacing w:after="0" w:line="360" w:lineRule="auto"/>
        <w:ind w:left="567" w:right="567"/>
        <w:rPr>
          <w:rFonts w:eastAsia="Times New Roman" w:cs="Tahoma"/>
          <w:bCs/>
          <w:color w:val="auto"/>
          <w:sz w:val="20"/>
          <w:szCs w:val="20"/>
          <w:lang w:eastAsia="es-ES"/>
        </w:rPr>
      </w:pPr>
      <w:r w:rsidRPr="00D10868">
        <w:rPr>
          <w:i/>
          <w:iCs/>
          <w:color w:val="000000"/>
          <w:sz w:val="20"/>
          <w:szCs w:val="20"/>
        </w:rPr>
        <w:t>NEGAR LA INFORMACION COMO MARCA LA LEY DE TRANSPARENCIA</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0C685907" w:rsidR="00EC77D9" w:rsidRPr="002D0AC7" w:rsidRDefault="00645086" w:rsidP="00DA4C87">
      <w:pPr>
        <w:spacing w:after="0" w:line="360" w:lineRule="auto"/>
        <w:rPr>
          <w:rFonts w:eastAsia="Batang" w:cs="Tahoma"/>
          <w:b/>
          <w:bCs/>
          <w:color w:val="000000"/>
        </w:rPr>
      </w:pPr>
      <w:r>
        <w:rPr>
          <w:rFonts w:eastAsia="Calibri" w:cs="Tahoma"/>
          <w:b/>
          <w:color w:val="000000"/>
        </w:rPr>
        <w:t>I</w:t>
      </w:r>
      <w:r w:rsidR="006E2079">
        <w:rPr>
          <w:rFonts w:eastAsia="Calibri" w:cs="Tahoma"/>
          <w:b/>
          <w:color w:val="000000"/>
        </w:rPr>
        <w:t>V</w:t>
      </w:r>
      <w:r w:rsidR="00EC77D9" w:rsidRPr="002D0AC7">
        <w:rPr>
          <w:rFonts w:eastAsia="Calibri" w:cs="Tahoma"/>
          <w:b/>
          <w:color w:val="000000"/>
        </w:rPr>
        <w:t xml:space="preserve">. </w:t>
      </w:r>
      <w:r w:rsidR="00EC77D9" w:rsidRPr="002D0AC7">
        <w:rPr>
          <w:rFonts w:eastAsia="Batang" w:cs="Tahoma"/>
          <w:b/>
          <w:bCs/>
          <w:color w:val="000000"/>
        </w:rPr>
        <w:t>Trámite del Recurso de Revisión</w:t>
      </w:r>
      <w:r w:rsidR="00EC77D9" w:rsidRPr="002D0AC7">
        <w:rPr>
          <w:rFonts w:eastAsia="Calibri" w:cs="Tahoma"/>
          <w:b/>
          <w:color w:val="000000"/>
        </w:rPr>
        <w:t xml:space="preserve"> </w:t>
      </w:r>
      <w:r w:rsidR="00EC77D9"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36D56AF4"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03117E">
        <w:rPr>
          <w:rFonts w:eastAsia="Batang" w:cs="Tahoma"/>
          <w:bCs/>
          <w:color w:val="000000"/>
        </w:rPr>
        <w:t>veintidós de febrero</w:t>
      </w:r>
      <w:r w:rsidR="00967D91">
        <w:rPr>
          <w:rFonts w:eastAsia="Batang" w:cs="Tahoma"/>
          <w:bCs/>
          <w:color w:val="000000"/>
        </w:rPr>
        <w:t xml:space="preserve"> de dos mil veinti</w:t>
      </w:r>
      <w:r w:rsidR="00645086">
        <w:rPr>
          <w:rFonts w:eastAsia="Batang" w:cs="Tahoma"/>
          <w:bCs/>
          <w:color w:val="000000"/>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967D91">
        <w:rPr>
          <w:rFonts w:eastAsia="Batang" w:cs="Tahoma"/>
          <w:color w:val="000000"/>
        </w:rPr>
        <w:t>0</w:t>
      </w:r>
      <w:r w:rsidR="0003117E">
        <w:rPr>
          <w:rFonts w:eastAsia="Batang" w:cs="Tahoma"/>
          <w:color w:val="000000"/>
        </w:rPr>
        <w:t>101</w:t>
      </w:r>
      <w:r w:rsidR="005B7041">
        <w:rPr>
          <w:rFonts w:eastAsia="Batang" w:cs="Tahoma"/>
          <w:color w:val="000000"/>
        </w:rPr>
        <w:t>1</w:t>
      </w:r>
      <w:r w:rsidR="00967D91">
        <w:rPr>
          <w:rFonts w:eastAsia="Batang" w:cs="Tahoma"/>
          <w:color w:val="000000"/>
        </w:rPr>
        <w:t>/INFOEM/IP/RR/2023</w:t>
      </w:r>
      <w:r w:rsidRPr="002D0AC7">
        <w:rPr>
          <w:rFonts w:eastAsia="Batang" w:cs="Tahoma"/>
          <w:bCs/>
          <w:color w:val="000000"/>
        </w:rPr>
        <w:t xml:space="preserve">, al Medio de Impugnación que nos ocupa, con base en el sistema </w:t>
      </w:r>
      <w:r w:rsidRPr="002D0AC7">
        <w:rPr>
          <w:rFonts w:eastAsia="Batang" w:cs="Tahoma"/>
          <w:bCs/>
          <w:color w:val="000000"/>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25CDA5E0"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03117E">
        <w:rPr>
          <w:rFonts w:eastAsia="Batang" w:cs="Tahoma"/>
          <w:bCs/>
          <w:color w:val="000000"/>
        </w:rPr>
        <w:t>veintisiete de febrero</w:t>
      </w:r>
      <w:r w:rsidR="00967D91">
        <w:rPr>
          <w:rFonts w:eastAsia="Batang" w:cs="Tahoma"/>
          <w:bCs/>
          <w:color w:val="000000"/>
        </w:rPr>
        <w:t xml:space="preserve"> de dos mil veinti</w:t>
      </w:r>
      <w:r w:rsidR="003B69FE">
        <w:rPr>
          <w:rFonts w:eastAsia="Batang" w:cs="Tahoma"/>
          <w:bCs/>
          <w:color w:val="000000"/>
        </w:rPr>
        <w:t>trés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Pr>
          <w:rFonts w:eastAsia="Times New Roman" w:cs="Tahoma"/>
          <w:bCs/>
          <w:color w:val="auto"/>
          <w:lang w:val="es-ES_tradnl" w:eastAsia="es-ES"/>
        </w:rPr>
        <w:t xml:space="preserve">las partes, </w:t>
      </w:r>
      <w:r w:rsidR="0003117E">
        <w:rPr>
          <w:rFonts w:eastAsia="Times New Roman" w:cs="Tahoma"/>
          <w:bCs/>
          <w:color w:val="auto"/>
          <w:lang w:val="es-ES_tradnl" w:eastAsia="es-ES"/>
        </w:rPr>
        <w:t>en misma fecha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967D91">
      <w:pPr>
        <w:spacing w:after="0" w:line="360" w:lineRule="auto"/>
        <w:rPr>
          <w:rFonts w:eastAsia="Times New Roman" w:cs="Tahoma"/>
          <w:b/>
          <w:color w:val="auto"/>
          <w:lang w:eastAsia="es-ES"/>
        </w:rPr>
      </w:pPr>
    </w:p>
    <w:p w14:paraId="35AAACA3" w14:textId="48928537" w:rsidR="00EC77D9" w:rsidRDefault="00EC77D9" w:rsidP="00967D91">
      <w:pPr>
        <w:spacing w:after="0" w:line="360" w:lineRule="auto"/>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03117E">
        <w:rPr>
          <w:rFonts w:eastAsia="Times New Roman" w:cs="Tahoma"/>
          <w:color w:val="auto"/>
          <w:lang w:eastAsia="es-ES"/>
        </w:rPr>
        <w:t>catorce de marzo</w:t>
      </w:r>
      <w:r w:rsidRPr="002D0AC7">
        <w:rPr>
          <w:rFonts w:eastAsia="Times New Roman" w:cs="Tahoma"/>
          <w:color w:val="auto"/>
          <w:lang w:eastAsia="es-ES"/>
        </w:rPr>
        <w:t xml:space="preserve"> de dos mil veinti</w:t>
      </w:r>
      <w:r w:rsidR="0003117E">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4335717B" w14:textId="77777777" w:rsidR="00955848" w:rsidRDefault="00955848" w:rsidP="00DA4C87">
      <w:pPr>
        <w:widowControl w:val="0"/>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DA4C87">
      <w:pPr>
        <w:spacing w:after="0" w:line="360" w:lineRule="auto"/>
        <w:rPr>
          <w:rFonts w:eastAsia="Times New Roman" w:cs="Tahoma"/>
          <w:bCs/>
          <w:iCs/>
          <w:color w:val="auto"/>
          <w:lang w:val="es-ES" w:eastAsia="es-ES"/>
        </w:rPr>
      </w:pPr>
    </w:p>
    <w:p w14:paraId="4B442488" w14:textId="480FADE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C8F26BA" w14:textId="77777777" w:rsidR="008863F4" w:rsidRPr="002D0AC7" w:rsidRDefault="008863F4"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2D0AC7">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2D0AC7" w:rsidRDefault="008C7A9D" w:rsidP="00DA4C87">
      <w:pPr>
        <w:spacing w:after="0" w:line="360" w:lineRule="auto"/>
        <w:rPr>
          <w:rFonts w:eastAsia="Times New Roman" w:cs="Tahoma"/>
          <w:bCs/>
          <w:color w:val="auto"/>
          <w:lang w:val="es-ES" w:eastAsia="es-ES"/>
        </w:rPr>
      </w:pPr>
    </w:p>
    <w:p w14:paraId="7B14536E" w14:textId="2C26E3C2"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6AFC4F28" w14:textId="77777777" w:rsidR="006E2079" w:rsidRDefault="006E2079" w:rsidP="00DA4C87">
      <w:pPr>
        <w:spacing w:after="0" w:line="360" w:lineRule="auto"/>
        <w:rPr>
          <w:rFonts w:eastAsia="Times New Roman" w:cs="Tahoma"/>
          <w:b/>
          <w:bCs/>
          <w:color w:val="0D0D0D" w:themeColor="text1" w:themeTint="F2"/>
          <w:lang w:eastAsia="es-ES"/>
        </w:rPr>
      </w:pPr>
    </w:p>
    <w:p w14:paraId="63CB641D" w14:textId="77777777"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lastRenderedPageBreak/>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6E77203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1E8CEFD3" w14:textId="5DFEEE38" w:rsidR="0003117E" w:rsidRDefault="00A2050F" w:rsidP="006E2079">
      <w:pPr>
        <w:spacing w:after="0" w:line="360" w:lineRule="auto"/>
        <w:rPr>
          <w:rFonts w:cs="Tahoma"/>
        </w:rPr>
      </w:pPr>
      <w:r>
        <w:rPr>
          <w:rFonts w:cs="Tahoma"/>
        </w:rPr>
        <w:t>Con el objetivo de ilustrar la controversia planteada, resulta conveniente precisar, que una vez realizado el estudio de las constancias que integran el expediente en el que se actúa, se desprende que el Particular requirió</w:t>
      </w:r>
      <w:r w:rsidR="005B7041">
        <w:rPr>
          <w:rFonts w:cs="Tahoma"/>
        </w:rPr>
        <w:t xml:space="preserve"> los documentos que den cuenta de</w:t>
      </w:r>
      <w:r w:rsidR="0003117E">
        <w:rPr>
          <w:rFonts w:cs="Tahoma"/>
        </w:rPr>
        <w:t>l</w:t>
      </w:r>
      <w:r w:rsidR="005B7041">
        <w:rPr>
          <w:rFonts w:cs="Tahoma"/>
        </w:rPr>
        <w:t xml:space="preserve"> </w:t>
      </w:r>
      <w:r w:rsidR="0003117E" w:rsidRPr="0003117E">
        <w:rPr>
          <w:rFonts w:cs="Tahoma"/>
        </w:rPr>
        <w:t>recurso asignado al</w:t>
      </w:r>
      <w:r w:rsidR="0003117E">
        <w:rPr>
          <w:rFonts w:cs="Tahoma"/>
        </w:rPr>
        <w:t xml:space="preserve"> Municipio para el</w:t>
      </w:r>
      <w:r w:rsidR="0003117E" w:rsidRPr="0003117E">
        <w:rPr>
          <w:rFonts w:cs="Tahoma"/>
        </w:rPr>
        <w:t xml:space="preserve"> </w:t>
      </w:r>
      <w:r w:rsidR="0003117E">
        <w:rPr>
          <w:rFonts w:cs="Tahoma"/>
        </w:rPr>
        <w:t>I</w:t>
      </w:r>
      <w:r w:rsidR="0003117E" w:rsidRPr="0003117E">
        <w:rPr>
          <w:rFonts w:cs="Tahoma"/>
        </w:rPr>
        <w:t xml:space="preserve">nstituto de la </w:t>
      </w:r>
      <w:r w:rsidR="0003117E">
        <w:rPr>
          <w:rFonts w:cs="Tahoma"/>
        </w:rPr>
        <w:t>M</w:t>
      </w:r>
      <w:r w:rsidR="0003117E" w:rsidRPr="0003117E">
        <w:rPr>
          <w:rFonts w:cs="Tahoma"/>
        </w:rPr>
        <w:t>ujer del ejercicio fiscal 2022</w:t>
      </w:r>
      <w:r w:rsidR="0003117E">
        <w:rPr>
          <w:rFonts w:cs="Tahoma"/>
        </w:rPr>
        <w:t>,</w:t>
      </w:r>
      <w:r w:rsidR="0003117E" w:rsidRPr="0003117E">
        <w:rPr>
          <w:rFonts w:cs="Tahoma"/>
        </w:rPr>
        <w:t xml:space="preserve"> así como todas las acciones que compruebe su gasto</w:t>
      </w:r>
      <w:r w:rsidR="0003117E">
        <w:rPr>
          <w:rFonts w:cs="Tahoma"/>
        </w:rPr>
        <w:t>.</w:t>
      </w:r>
    </w:p>
    <w:p w14:paraId="6A0A624B" w14:textId="77777777" w:rsidR="0003117E" w:rsidRDefault="0003117E" w:rsidP="006E2079">
      <w:pPr>
        <w:spacing w:after="0" w:line="360" w:lineRule="auto"/>
        <w:rPr>
          <w:rFonts w:cs="Tahoma"/>
        </w:rPr>
      </w:pPr>
    </w:p>
    <w:p w14:paraId="6BB249AF" w14:textId="4503B7F5" w:rsidR="00EC77D9" w:rsidRPr="002D0AC7"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sidR="003B69FE">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69C71D1C"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Pr>
          <w:color w:val="000000"/>
        </w:rPr>
        <w:t xml:space="preserve">Ayuntamiento de </w:t>
      </w:r>
      <w:r w:rsidR="00E27788">
        <w:rPr>
          <w:color w:val="000000"/>
        </w:rPr>
        <w:t>Tepetlixpa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2D0AC7">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68CDB196" w14:textId="69344559" w:rsidR="00EC77D9" w:rsidRPr="00695D3F"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95D3F" w:rsidRDefault="0093261A" w:rsidP="00DA4C87">
      <w:pPr>
        <w:spacing w:after="0" w:line="360" w:lineRule="auto"/>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ECFB204" w:rsidR="00B61BF0" w:rsidRDefault="00B61BF0" w:rsidP="00DA4C87">
      <w:pPr>
        <w:spacing w:after="0" w:line="360" w:lineRule="auto"/>
        <w:rPr>
          <w:rFonts w:eastAsia="Calibri" w:cs="Tahoma"/>
        </w:rPr>
      </w:pPr>
    </w:p>
    <w:p w14:paraId="60F87A85" w14:textId="610988D8"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Pr>
          <w:bCs/>
          <w:color w:val="000000"/>
        </w:rPr>
        <w:t xml:space="preserve">Ayuntamiento de </w:t>
      </w:r>
      <w:r w:rsidR="00E27788">
        <w:rPr>
          <w:bCs/>
          <w:color w:val="000000"/>
        </w:rPr>
        <w:t>Tepetlixpa</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E27788">
        <w:rPr>
          <w:rFonts w:eastAsia="Calibri" w:cs="Tahoma"/>
        </w:rPr>
        <w:t xml:space="preserve">veinticinco </w:t>
      </w:r>
      <w:r w:rsidR="00F13747">
        <w:rPr>
          <w:rFonts w:eastAsia="Calibri" w:cs="Tahoma"/>
        </w:rPr>
        <w:t>de enero</w:t>
      </w:r>
      <w:r w:rsidR="003868E6">
        <w:rPr>
          <w:rFonts w:eastAsia="Calibri" w:cs="Tahoma"/>
        </w:rPr>
        <w:t xml:space="preserve"> de dos mil veinti</w:t>
      </w:r>
      <w:r w:rsidR="00F13747">
        <w:rPr>
          <w:rFonts w:eastAsia="Calibri" w:cs="Tahoma"/>
        </w:rPr>
        <w:t>trés</w:t>
      </w:r>
      <w:r w:rsidRPr="000F5705">
        <w:rPr>
          <w:rFonts w:eastAsia="Calibri" w:cs="Tahoma"/>
        </w:rPr>
        <w:t>.</w:t>
      </w:r>
      <w:r w:rsidR="008C0FBF" w:rsidRPr="008C0FBF">
        <w:rPr>
          <w:rFonts w:eastAsia="Calibri" w:cs="Tahoma"/>
          <w:iCs/>
        </w:rPr>
        <w:t xml:space="preserve"> </w:t>
      </w:r>
    </w:p>
    <w:p w14:paraId="37813AFA" w14:textId="0BD36A15" w:rsidR="000F5705" w:rsidRPr="000F5705" w:rsidRDefault="000F5705" w:rsidP="00DA4C87">
      <w:pPr>
        <w:spacing w:after="0" w:line="360" w:lineRule="auto"/>
        <w:rPr>
          <w:rFonts w:eastAsia="Calibri" w:cs="Tahoma"/>
        </w:rPr>
      </w:pPr>
    </w:p>
    <w:p w14:paraId="7981DDE6" w14:textId="504CE045" w:rsidR="00A50DDF" w:rsidRDefault="00A50DDF" w:rsidP="00A50DDF">
      <w:pPr>
        <w:spacing w:after="0" w:line="360" w:lineRule="auto"/>
        <w:rPr>
          <w:rFonts w:eastAsia="Calibri" w:cs="Tahoma"/>
          <w:b/>
          <w:bCs/>
          <w:color w:val="000000"/>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E27788">
        <w:rPr>
          <w:rFonts w:eastAsia="Calibri" w:cs="Tahoma"/>
          <w:b/>
          <w:bCs/>
          <w:color w:val="000000"/>
        </w:rPr>
        <w:t>veintiséis de enero</w:t>
      </w:r>
      <w:r>
        <w:rPr>
          <w:rFonts w:eastAsia="Calibri" w:cs="Tahoma"/>
          <w:b/>
          <w:bCs/>
          <w:color w:val="000000"/>
        </w:rPr>
        <w:t xml:space="preserve"> y feneció </w:t>
      </w:r>
      <w:r w:rsidR="008863F4">
        <w:rPr>
          <w:rFonts w:eastAsia="Calibri" w:cs="Tahoma"/>
          <w:b/>
          <w:bCs/>
          <w:color w:val="000000"/>
        </w:rPr>
        <w:t xml:space="preserve">el </w:t>
      </w:r>
      <w:r w:rsidR="00E27788">
        <w:rPr>
          <w:rFonts w:eastAsia="Calibri" w:cs="Tahoma"/>
          <w:b/>
          <w:bCs/>
          <w:color w:val="000000"/>
        </w:rPr>
        <w:t>quince de febrero, estos del dos mil veintitrés</w:t>
      </w:r>
      <w:r>
        <w:rPr>
          <w:rFonts w:eastAsia="Calibri" w:cs="Tahoma"/>
          <w:color w:val="000000"/>
        </w:rPr>
        <w:t>; lo anterior, sin contar los días,</w:t>
      </w:r>
      <w:r w:rsidR="00F13747">
        <w:rPr>
          <w:rFonts w:eastAsia="Calibri" w:cs="Tahoma"/>
          <w:color w:val="000000"/>
        </w:rPr>
        <w:t xml:space="preserve"> </w:t>
      </w:r>
      <w:r w:rsidR="00E27788">
        <w:rPr>
          <w:rFonts w:eastAsia="Calibri" w:cs="Tahoma"/>
          <w:color w:val="000000"/>
        </w:rPr>
        <w:t>veintiocho y  veintinueve, estos respecto al mes de enero, cuatro, cinco, seis, once y doce, del mes de febrero</w:t>
      </w:r>
      <w:r w:rsidR="00F13747">
        <w:rPr>
          <w:rFonts w:eastAsia="Calibri" w:cs="Tahoma"/>
          <w:color w:val="000000"/>
        </w:rPr>
        <w:t>, todos estos de dos mil veinti</w:t>
      </w:r>
      <w:r w:rsidR="00E27788">
        <w:rPr>
          <w:rFonts w:eastAsia="Calibri" w:cs="Tahoma"/>
          <w:color w:val="000000"/>
        </w:rPr>
        <w:t>trés</w:t>
      </w:r>
      <w:r w:rsidR="00F13747">
        <w:rPr>
          <w:rFonts w:eastAsia="Calibri" w:cs="Tahoma"/>
          <w:color w:val="000000"/>
        </w:rPr>
        <w:t>,</w:t>
      </w:r>
      <w:r>
        <w:rPr>
          <w:rFonts w:eastAsia="Calibri" w:cs="Tahoma"/>
          <w:color w:val="000000"/>
        </w:rPr>
        <w:t xml:space="preserve"> al ser inhábiles, </w:t>
      </w:r>
      <w:r>
        <w:rPr>
          <w:rFonts w:eastAsia="Batang" w:cs="Tahoma"/>
          <w:bCs/>
        </w:rPr>
        <w:t xml:space="preserve">de conformidad con los artículos 3°, fracción X, y 159 de la Ley de Transparencia y Acceso a la Información Pública del Estado de México y Municipios y </w:t>
      </w:r>
      <w:bookmarkStart w:id="1" w:name="_Hlk65786947"/>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w:t>
      </w:r>
      <w:r w:rsidR="002E494B">
        <w:rPr>
          <w:rFonts w:eastAsia="Batang" w:cs="Tahoma"/>
          <w:lang w:val="es-ES"/>
        </w:rPr>
        <w:t>los</w:t>
      </w:r>
      <w:r>
        <w:rPr>
          <w:rFonts w:eastAsia="Batang" w:cs="Tahoma"/>
          <w:lang w:val="es-ES"/>
        </w:rPr>
        <w:t xml:space="preserve"> laborales de este Instituto, para el año dos mil veintidós y dos </w:t>
      </w:r>
      <w:bookmarkEnd w:id="1"/>
      <w:r>
        <w:rPr>
          <w:rFonts w:eastAsia="Batang" w:cs="Tahoma"/>
          <w:lang w:val="es-ES"/>
        </w:rPr>
        <w:t>mil veintitrés.</w:t>
      </w:r>
    </w:p>
    <w:p w14:paraId="3E70D2AC" w14:textId="13ADAD4F" w:rsidR="00F13747" w:rsidRDefault="00F13747" w:rsidP="00047686">
      <w:pPr>
        <w:spacing w:after="0" w:line="360" w:lineRule="auto"/>
        <w:rPr>
          <w:rFonts w:eastAsia="Calibri" w:cs="Tahoma"/>
        </w:rPr>
      </w:pPr>
    </w:p>
    <w:p w14:paraId="03D8A6AE" w14:textId="16AFD7B3"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w:t>
      </w:r>
      <w:r w:rsidR="00E009E7">
        <w:rPr>
          <w:rFonts w:eastAsia="Calibri" w:cs="Tahoma"/>
          <w:lang w:val="es-ES"/>
        </w:rPr>
        <w:t>.</w:t>
      </w:r>
    </w:p>
    <w:p w14:paraId="05F5C36F" w14:textId="72F29EE1" w:rsidR="00E27788" w:rsidRDefault="00E27788" w:rsidP="00E27788">
      <w:pPr>
        <w:spacing w:after="0" w:line="360" w:lineRule="auto"/>
        <w:jc w:val="center"/>
        <w:rPr>
          <w:rFonts w:eastAsia="Calibri" w:cs="Tahoma"/>
          <w:lang w:val="es-ES"/>
        </w:rPr>
      </w:pPr>
    </w:p>
    <w:p w14:paraId="3D28C3FF" w14:textId="13470EB6" w:rsidR="00047686" w:rsidRDefault="00047686" w:rsidP="00817C75">
      <w:pPr>
        <w:spacing w:after="0" w:line="360" w:lineRule="auto"/>
        <w:rPr>
          <w:rFonts w:eastAsia="Calibri" w:cs="Tahoma"/>
          <w:bCs/>
        </w:rPr>
      </w:pPr>
    </w:p>
    <w:p w14:paraId="2E0C5E60" w14:textId="36055B7C" w:rsidR="000F5705" w:rsidRPr="0097492D" w:rsidRDefault="000F5705" w:rsidP="00DA4C87">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sidR="000C006D">
        <w:rPr>
          <w:color w:val="000000"/>
        </w:rPr>
        <w:t xml:space="preserve">Ayuntamiento de </w:t>
      </w:r>
      <w:r w:rsidR="00E27788">
        <w:rPr>
          <w:color w:val="000000"/>
        </w:rPr>
        <w:t>Tepetlixpa</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E27788">
        <w:rPr>
          <w:rFonts w:eastAsia="Calibri" w:cs="Tahoma"/>
        </w:rPr>
        <w:t>dieciséis de febrero de dos mil veintitrés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B8D65F0" w14:textId="77777777" w:rsidR="000F5705" w:rsidRPr="000F5705" w:rsidRDefault="000F5705" w:rsidP="00DA4C87">
      <w:pPr>
        <w:spacing w:after="0" w:line="360" w:lineRule="auto"/>
        <w:rPr>
          <w:rFonts w:eastAsia="Calibri" w:cs="Tahoma"/>
          <w:bCs/>
        </w:rPr>
      </w:pPr>
    </w:p>
    <w:p w14:paraId="3414960A" w14:textId="2639533E" w:rsidR="003A5DD0" w:rsidRDefault="000F5705" w:rsidP="00DA4C87">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A5DD0">
        <w:rPr>
          <w:rFonts w:eastAsia="Calibri" w:cs="Tahoma"/>
          <w:bCs/>
        </w:rPr>
        <w:t xml:space="preserve">, </w:t>
      </w:r>
      <w:r w:rsidR="007C7448">
        <w:rPr>
          <w:rFonts w:eastAsia="Calibri" w:cs="Tahoma"/>
          <w:bCs/>
        </w:rPr>
        <w:t xml:space="preserve">es decir, </w:t>
      </w:r>
      <w:r w:rsidR="008F6BE3" w:rsidRPr="008F6BE3">
        <w:rPr>
          <w:rFonts w:eastAsia="Calibri" w:cs="Tahoma"/>
          <w:bCs/>
        </w:rPr>
        <w:t xml:space="preserve">los documentos que den cuenta </w:t>
      </w:r>
      <w:r w:rsidR="00264368" w:rsidRPr="00264368">
        <w:rPr>
          <w:rFonts w:eastAsia="Calibri" w:cs="Tahoma"/>
          <w:bCs/>
        </w:rPr>
        <w:t>del recurso asignado al Municipio para el Instituto de la Mujer del ejercicio fiscal 2022, así como todas las acciones que compruebe su gasto</w:t>
      </w:r>
      <w:r w:rsidR="008C0FBF">
        <w:rPr>
          <w:rFonts w:eastAsia="Calibri" w:cs="Tahoma"/>
          <w:bCs/>
        </w:rPr>
        <w:t>.</w:t>
      </w:r>
    </w:p>
    <w:p w14:paraId="003B351D" w14:textId="77777777" w:rsidR="00264368" w:rsidRDefault="00264368" w:rsidP="00DA4C87">
      <w:pPr>
        <w:spacing w:after="0" w:line="360" w:lineRule="auto"/>
        <w:rPr>
          <w:rFonts w:eastAsia="Calibri" w:cs="Tahoma"/>
          <w:bCs/>
        </w:rPr>
      </w:pPr>
    </w:p>
    <w:p w14:paraId="54484484" w14:textId="0BEB4820" w:rsidR="002C2D1F" w:rsidRPr="002C2D1F" w:rsidRDefault="002C2D1F" w:rsidP="002C2D1F">
      <w:pPr>
        <w:spacing w:after="0" w:line="360" w:lineRule="auto"/>
        <w:rPr>
          <w:rFonts w:eastAsia="Calibri" w:cs="Tahoma"/>
          <w:color w:val="000000"/>
          <w:szCs w:val="24"/>
          <w:lang w:val="es-ES" w:eastAsia="es-MX"/>
        </w:rPr>
      </w:pPr>
      <w:r w:rsidRPr="002C2D1F">
        <w:rPr>
          <w:rFonts w:eastAsia="Times New Roman" w:cs="Tahoma"/>
          <w:iCs/>
          <w:color w:val="auto"/>
          <w:lang w:val="es-ES" w:eastAsia="es-ES"/>
        </w:rPr>
        <w:t xml:space="preserve">Al respecto, </w:t>
      </w:r>
      <w:r w:rsidRPr="002C2D1F">
        <w:rPr>
          <w:rFonts w:eastAsia="Calibri" w:cs="Tahoma"/>
          <w:color w:val="000000"/>
          <w:szCs w:val="24"/>
          <w:lang w:val="es-ES" w:eastAsia="es-MX"/>
        </w:rPr>
        <w:t xml:space="preserve">es de señalar que se llevó a cabo la revisión del marco normativo aplicable al Sujeto </w:t>
      </w:r>
      <w:r>
        <w:rPr>
          <w:rFonts w:eastAsia="Calibri" w:cs="Tahoma"/>
          <w:color w:val="000000"/>
          <w:szCs w:val="24"/>
          <w:lang w:val="es-ES" w:eastAsia="es-MX"/>
        </w:rPr>
        <w:t>O</w:t>
      </w:r>
      <w:r w:rsidRPr="002C2D1F">
        <w:rPr>
          <w:rFonts w:eastAsia="Calibri" w:cs="Tahoma"/>
          <w:color w:val="000000"/>
          <w:szCs w:val="24"/>
          <w:lang w:val="es-ES" w:eastAsia="es-MX"/>
        </w:rPr>
        <w:t>bligado, como más adelante se agrega, sin que se observara</w:t>
      </w:r>
      <w:r w:rsidR="00DC349B">
        <w:rPr>
          <w:rFonts w:eastAsia="Calibri" w:cs="Tahoma"/>
          <w:color w:val="000000"/>
          <w:szCs w:val="24"/>
          <w:lang w:val="es-ES" w:eastAsia="es-MX"/>
        </w:rPr>
        <w:t xml:space="preserve"> la obligación de contar con lo solicitado, a decir, </w:t>
      </w:r>
      <w:r>
        <w:rPr>
          <w:rFonts w:eastAsia="Calibri" w:cs="Tahoma"/>
          <w:color w:val="000000"/>
          <w:szCs w:val="24"/>
          <w:lang w:val="es-ES" w:eastAsia="es-MX"/>
        </w:rPr>
        <w:t>“</w:t>
      </w:r>
      <w:r w:rsidRPr="002C2D1F">
        <w:rPr>
          <w:rFonts w:eastAsia="Calibri" w:cs="Tahoma"/>
          <w:i/>
          <w:iCs/>
          <w:color w:val="000000"/>
          <w:szCs w:val="24"/>
          <w:lang w:eastAsia="es-MX"/>
        </w:rPr>
        <w:t>desglose que llego al municipio por parte del estado de recurso asignado al instituto de la mujer del municipio. del ejercicio fiscal 2022 asi como todas las acciones que compruebe su gasto</w:t>
      </w:r>
      <w:r>
        <w:rPr>
          <w:rFonts w:eastAsia="Calibri" w:cs="Tahoma"/>
          <w:i/>
          <w:iCs/>
          <w:color w:val="000000"/>
          <w:szCs w:val="24"/>
          <w:lang w:eastAsia="es-MX"/>
        </w:rPr>
        <w:t>”(Sic)</w:t>
      </w:r>
      <w:r w:rsidR="00DC349B">
        <w:rPr>
          <w:rFonts w:eastAsia="Calibri" w:cs="Tahoma"/>
          <w:color w:val="000000"/>
          <w:szCs w:val="24"/>
          <w:lang w:val="es-ES" w:eastAsia="es-MX"/>
        </w:rPr>
        <w:t>;</w:t>
      </w:r>
      <w:r w:rsidRPr="002C2D1F">
        <w:rPr>
          <w:rFonts w:eastAsia="Calibri" w:cs="Tahoma"/>
          <w:color w:val="000000"/>
          <w:szCs w:val="24"/>
          <w:lang w:val="es-ES" w:eastAsia="es-MX"/>
        </w:rPr>
        <w:t xml:space="preserve"> por tal motivo, conviene precisar al Recurrente que el Ayuntamiento no está obligado a procesar la información de acuerdo con sus intereses, sino que procede ordenar la información tal y como obre en sus archivos, de acuerdo a lo establecido en los artículo 12 y 24 último párrafo de la Ley de Transparencia y Acceso a la Información Pública del Estado de México y Municipios.</w:t>
      </w:r>
    </w:p>
    <w:p w14:paraId="73796B4B" w14:textId="77777777" w:rsidR="002C2D1F" w:rsidRPr="002C2D1F" w:rsidRDefault="002C2D1F" w:rsidP="002C2D1F">
      <w:pPr>
        <w:spacing w:after="0" w:line="360" w:lineRule="auto"/>
        <w:rPr>
          <w:rFonts w:eastAsia="Calibri" w:cs="Tahoma"/>
          <w:color w:val="000000"/>
          <w:szCs w:val="24"/>
          <w:lang w:val="es-ES" w:eastAsia="es-MX"/>
        </w:rPr>
      </w:pPr>
    </w:p>
    <w:p w14:paraId="1416194E" w14:textId="4D4441CF" w:rsidR="002C2D1F" w:rsidRPr="002C2D1F" w:rsidRDefault="004D6600" w:rsidP="002C2D1F">
      <w:pPr>
        <w:spacing w:after="0" w:line="360" w:lineRule="auto"/>
      </w:pPr>
      <w:r>
        <w:rPr>
          <w:rFonts w:eastAsia="Calibri" w:cs="Tahoma"/>
          <w:color w:val="000000"/>
          <w:szCs w:val="24"/>
          <w:lang w:eastAsia="es-MX"/>
        </w:rPr>
        <w:t>Sobre el tema, los</w:t>
      </w:r>
      <w:r w:rsidR="008B52CB" w:rsidRPr="008B52CB">
        <w:rPr>
          <w:rFonts w:eastAsia="Calibri" w:cs="Tahoma"/>
          <w:color w:val="000000"/>
          <w:szCs w:val="24"/>
          <w:lang w:eastAsia="es-MX"/>
        </w:rPr>
        <w:t xml:space="preserve"> artículo</w:t>
      </w:r>
      <w:r>
        <w:rPr>
          <w:rFonts w:eastAsia="Calibri" w:cs="Tahoma"/>
          <w:color w:val="000000"/>
          <w:szCs w:val="24"/>
          <w:lang w:eastAsia="es-MX"/>
        </w:rPr>
        <w:t>s</w:t>
      </w:r>
      <w:r w:rsidR="008B52CB" w:rsidRPr="008B52CB">
        <w:rPr>
          <w:rFonts w:eastAsia="Calibri" w:cs="Tahoma"/>
          <w:color w:val="000000"/>
          <w:szCs w:val="24"/>
          <w:lang w:eastAsia="es-MX"/>
        </w:rPr>
        <w:t xml:space="preserve"> 31 fracciones XVIII y XIX</w:t>
      </w:r>
      <w:r>
        <w:rPr>
          <w:rFonts w:eastAsia="Calibri" w:cs="Tahoma"/>
          <w:color w:val="000000"/>
          <w:szCs w:val="24"/>
          <w:lang w:eastAsia="es-MX"/>
        </w:rPr>
        <w:t xml:space="preserve">, </w:t>
      </w:r>
      <w:r>
        <w:rPr>
          <w:rFonts w:eastAsia="Calibri" w:cs="Tahoma"/>
          <w:iCs/>
          <w:color w:val="000000"/>
          <w:szCs w:val="24"/>
          <w:lang w:val="es-ES" w:eastAsia="es-MX"/>
        </w:rPr>
        <w:t>53</w:t>
      </w:r>
      <w:r w:rsidRPr="004D6600">
        <w:rPr>
          <w:rFonts w:eastAsia="Calibri" w:cs="Tahoma"/>
          <w:iCs/>
          <w:color w:val="000000"/>
          <w:szCs w:val="24"/>
          <w:lang w:val="es-ES" w:eastAsia="es-MX"/>
        </w:rPr>
        <w:t xml:space="preserve"> fracción III, 93, 95, fracciones I, IV, </w:t>
      </w:r>
      <w:r w:rsidR="008B52CB" w:rsidRPr="008B52CB">
        <w:rPr>
          <w:rFonts w:eastAsia="Calibri" w:cs="Tahoma"/>
          <w:color w:val="000000"/>
          <w:szCs w:val="24"/>
          <w:lang w:eastAsia="es-MX"/>
        </w:rPr>
        <w:t xml:space="preserve"> de la Ley Orgánica Municipal del Estado de México, establecen que son atribuciones de los Ayuntamientos administrar su hacienda y controlar a través del Presidente y Síndico la </w:t>
      </w:r>
      <w:r w:rsidR="008B52CB" w:rsidRPr="008B52CB">
        <w:rPr>
          <w:rFonts w:eastAsia="Calibri" w:cs="Tahoma"/>
          <w:color w:val="000000"/>
          <w:szCs w:val="24"/>
          <w:lang w:eastAsia="es-MX"/>
        </w:rPr>
        <w:lastRenderedPageBreak/>
        <w:t xml:space="preserve">aplicación del presupuesto de egresos del </w:t>
      </w:r>
      <w:r w:rsidR="008B52CB">
        <w:rPr>
          <w:rFonts w:eastAsia="Calibri" w:cs="Tahoma"/>
          <w:color w:val="000000"/>
          <w:szCs w:val="24"/>
          <w:lang w:eastAsia="es-MX"/>
        </w:rPr>
        <w:t>M</w:t>
      </w:r>
      <w:r w:rsidR="008B52CB" w:rsidRPr="008B52CB">
        <w:rPr>
          <w:rFonts w:eastAsia="Calibri" w:cs="Tahoma"/>
          <w:color w:val="000000"/>
          <w:szCs w:val="24"/>
          <w:lang w:eastAsia="es-MX"/>
        </w:rPr>
        <w:t xml:space="preserve">unicipio, al aprobar su presupuesto de egresos, </w:t>
      </w:r>
      <w:r>
        <w:rPr>
          <w:rFonts w:eastAsia="Calibri" w:cs="Tahoma"/>
          <w:color w:val="000000"/>
          <w:szCs w:val="24"/>
          <w:lang w:eastAsia="es-MX"/>
        </w:rPr>
        <w:t>c</w:t>
      </w:r>
      <w:r w:rsidRPr="004D6600">
        <w:rPr>
          <w:rFonts w:eastAsia="Calibri" w:cs="Tahoma"/>
          <w:color w:val="000000"/>
          <w:szCs w:val="24"/>
          <w:lang w:eastAsia="es-MX"/>
        </w:rPr>
        <w:t>uidar que la aplicación de los gastos se haga llenando todos los requisitos legales y conforme al presupuesto respectivo</w:t>
      </w:r>
      <w:r>
        <w:rPr>
          <w:rFonts w:eastAsia="Calibri" w:cs="Tahoma"/>
          <w:color w:val="000000"/>
          <w:szCs w:val="24"/>
          <w:lang w:eastAsia="es-MX"/>
        </w:rPr>
        <w:t xml:space="preserve">, </w:t>
      </w:r>
      <w:r w:rsidRPr="004D6600">
        <w:rPr>
          <w:rFonts w:eastAsia="Calibri" w:cs="Tahoma"/>
          <w:color w:val="000000"/>
          <w:szCs w:val="24"/>
          <w:lang w:eastAsia="es-MX"/>
        </w:rPr>
        <w:t xml:space="preserve"> </w:t>
      </w:r>
      <w:r>
        <w:rPr>
          <w:rFonts w:eastAsia="Calibri" w:cs="Tahoma"/>
          <w:color w:val="000000"/>
          <w:szCs w:val="24"/>
          <w:lang w:eastAsia="es-MX"/>
        </w:rPr>
        <w:t>l</w:t>
      </w:r>
      <w:r w:rsidRPr="004D6600">
        <w:rPr>
          <w:rFonts w:eastAsia="Calibri" w:cs="Tahoma"/>
          <w:color w:val="000000"/>
          <w:szCs w:val="24"/>
          <w:lang w:eastAsia="es-MX"/>
        </w:rPr>
        <w:t>levar los registros contables, financieros y administrativos de los ingresos, egresos, e inventarios</w:t>
      </w:r>
      <w:r>
        <w:rPr>
          <w:rFonts w:eastAsia="Calibri" w:cs="Tahoma"/>
          <w:color w:val="000000"/>
          <w:szCs w:val="24"/>
          <w:lang w:eastAsia="es-MX"/>
        </w:rPr>
        <w:t>,</w:t>
      </w:r>
      <w:r w:rsidRPr="004D6600">
        <w:rPr>
          <w:rFonts w:eastAsia="Calibri" w:cs="Tahoma"/>
          <w:color w:val="000000"/>
          <w:szCs w:val="24"/>
          <w:lang w:eastAsia="es-MX"/>
        </w:rPr>
        <w:t xml:space="preserve"> </w:t>
      </w:r>
      <w:r w:rsidR="008B52CB">
        <w:rPr>
          <w:rFonts w:eastAsia="Calibri" w:cs="Tahoma"/>
          <w:color w:val="000000"/>
          <w:szCs w:val="24"/>
          <w:lang w:eastAsia="es-MX"/>
        </w:rPr>
        <w:t xml:space="preserve">así mismo, en relación </w:t>
      </w:r>
      <w:r w:rsidR="002C2D1F" w:rsidRPr="002C2D1F">
        <w:t>con el</w:t>
      </w:r>
      <w:r w:rsidR="008B52CB">
        <w:t xml:space="preserve"> artículo </w:t>
      </w:r>
      <w:r w:rsidR="002C2D1F" w:rsidRPr="002C2D1F">
        <w:t xml:space="preserve">285 del Código Financiero del Estado de México y Municipios, establece que los </w:t>
      </w:r>
      <w:r w:rsidR="002C2D1F" w:rsidRPr="002C2D1F">
        <w:rPr>
          <w:b/>
        </w:rPr>
        <w:t xml:space="preserve">Ayuntamientos serán los encargados de aprobar anualmente, el Presupuesto de Egresos, </w:t>
      </w:r>
      <w:r w:rsidR="008B52CB">
        <w:rPr>
          <w:b/>
        </w:rPr>
        <w:t xml:space="preserve">con </w:t>
      </w:r>
      <w:r w:rsidR="002C2D1F" w:rsidRPr="002C2D1F">
        <w:rPr>
          <w:b/>
        </w:rPr>
        <w:t>base a los ingresos presupuestados para el ejercicio que corresponda.</w:t>
      </w:r>
    </w:p>
    <w:p w14:paraId="2ED57EF5" w14:textId="77777777" w:rsidR="002C2D1F" w:rsidRPr="002C2D1F" w:rsidRDefault="002C2D1F" w:rsidP="002C2D1F">
      <w:pPr>
        <w:spacing w:after="0" w:line="360" w:lineRule="auto"/>
      </w:pPr>
    </w:p>
    <w:p w14:paraId="3DD71746" w14:textId="67360E3C" w:rsidR="00AA6390" w:rsidRDefault="00AA6390" w:rsidP="002C2D1F">
      <w:pPr>
        <w:spacing w:after="0" w:line="360" w:lineRule="auto"/>
      </w:pPr>
      <w:r>
        <w:t>Es de señalar</w:t>
      </w:r>
      <w:r w:rsidR="008B52CB">
        <w:t>,</w:t>
      </w:r>
      <w:r>
        <w:t xml:space="preserve"> que</w:t>
      </w:r>
      <w:r w:rsidRPr="00AA6390">
        <w:t xml:space="preserve"> el Presupuesto de Egresos Municipal es el instrumento jurídico de política económica y de gasto que aprueba el Cabildo, conforme a la propuesta que presenta el Presidente Municipal, en el cual se establece el ejercicio, control y evaluación del gasto público de las Dependencias Administrativas y Organismos Municipales Descentralizados, a través de los programas derivados del Plan de Desarrollo Municipal, del ejercicio fiscal correspondiente; lo anterior, de conformidad con el numeral I.2 del Manual para la Planeación, Programación y Presupuesto de Egresos Municipal para el Ejercicio Fiscal 2022, publicado en Periódico Oficial “Gaceta del Gobierno”, el catorce de octubre del dos mil veintiuno. </w:t>
      </w:r>
    </w:p>
    <w:p w14:paraId="3B5FE339" w14:textId="77777777" w:rsidR="002C2D1F" w:rsidRPr="002C2D1F" w:rsidRDefault="002C2D1F" w:rsidP="002C2D1F">
      <w:pPr>
        <w:spacing w:after="0" w:line="360" w:lineRule="auto"/>
      </w:pPr>
    </w:p>
    <w:p w14:paraId="689CC84A" w14:textId="77777777" w:rsidR="002C2D1F" w:rsidRPr="002C2D1F" w:rsidRDefault="002C2D1F" w:rsidP="002C2D1F">
      <w:pPr>
        <w:spacing w:after="0" w:line="360" w:lineRule="auto"/>
      </w:pPr>
      <w:r w:rsidRPr="002C2D1F">
        <w:t>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w:t>
      </w:r>
    </w:p>
    <w:p w14:paraId="61BC9CC4" w14:textId="77777777" w:rsidR="002C2D1F" w:rsidRPr="002C2D1F" w:rsidRDefault="002C2D1F" w:rsidP="002C2D1F">
      <w:pPr>
        <w:spacing w:after="0" w:line="360" w:lineRule="auto"/>
      </w:pPr>
    </w:p>
    <w:p w14:paraId="1BD6FBE6" w14:textId="77777777" w:rsidR="002C2D1F" w:rsidRPr="002C2D1F" w:rsidRDefault="002C2D1F" w:rsidP="002C2D1F">
      <w:pPr>
        <w:numPr>
          <w:ilvl w:val="0"/>
          <w:numId w:val="9"/>
        </w:numPr>
        <w:spacing w:after="0" w:line="360" w:lineRule="auto"/>
        <w:contextualSpacing/>
        <w:rPr>
          <w:rFonts w:eastAsia="Calibri" w:cs="Tahoma"/>
          <w:color w:val="000000"/>
          <w:szCs w:val="24"/>
          <w:lang w:val="es-ES" w:eastAsia="es-MX"/>
        </w:rPr>
      </w:pPr>
      <w:r w:rsidRPr="002C2D1F">
        <w:rPr>
          <w:rFonts w:eastAsia="Times New Roman" w:cs="Times New Roman"/>
          <w:szCs w:val="24"/>
          <w:lang w:eastAsia="es-ES"/>
        </w:rPr>
        <w:t xml:space="preserve">Prever los recursos financieros necesarios para la administración municipal; </w:t>
      </w:r>
    </w:p>
    <w:p w14:paraId="218A613A" w14:textId="77777777" w:rsidR="002C2D1F" w:rsidRPr="002C2D1F" w:rsidRDefault="002C2D1F" w:rsidP="002C2D1F">
      <w:pPr>
        <w:numPr>
          <w:ilvl w:val="0"/>
          <w:numId w:val="9"/>
        </w:numPr>
        <w:spacing w:after="0" w:line="360" w:lineRule="auto"/>
        <w:contextualSpacing/>
        <w:rPr>
          <w:rFonts w:eastAsia="Calibri" w:cs="Tahoma"/>
          <w:color w:val="000000"/>
          <w:szCs w:val="24"/>
          <w:lang w:val="es-ES" w:eastAsia="es-MX"/>
        </w:rPr>
      </w:pPr>
      <w:r w:rsidRPr="002C2D1F">
        <w:rPr>
          <w:rFonts w:eastAsia="Times New Roman" w:cs="Times New Roman"/>
          <w:szCs w:val="24"/>
          <w:lang w:eastAsia="es-ES"/>
        </w:rPr>
        <w:t xml:space="preserve">Llevar el control estricto de los gastos de la administración municipal, y </w:t>
      </w:r>
    </w:p>
    <w:p w14:paraId="54C0AA29" w14:textId="77777777" w:rsidR="002C2D1F" w:rsidRPr="002C2D1F" w:rsidRDefault="002C2D1F" w:rsidP="002C2D1F">
      <w:pPr>
        <w:numPr>
          <w:ilvl w:val="0"/>
          <w:numId w:val="9"/>
        </w:numPr>
        <w:spacing w:after="0" w:line="360" w:lineRule="auto"/>
        <w:contextualSpacing/>
        <w:rPr>
          <w:rFonts w:eastAsia="Calibri" w:cs="Tahoma"/>
          <w:color w:val="000000"/>
          <w:szCs w:val="24"/>
          <w:lang w:val="es-ES" w:eastAsia="es-MX"/>
        </w:rPr>
      </w:pPr>
      <w:r w:rsidRPr="002C2D1F">
        <w:rPr>
          <w:rFonts w:eastAsia="Times New Roman" w:cs="Times New Roman"/>
          <w:szCs w:val="24"/>
          <w:lang w:eastAsia="es-ES"/>
        </w:rPr>
        <w:t xml:space="preserve">Manejar adecuada y honestamente los fondos financieros del municipio. </w:t>
      </w:r>
    </w:p>
    <w:p w14:paraId="7E4CDAA8" w14:textId="77777777" w:rsidR="002C2D1F" w:rsidRPr="002C2D1F" w:rsidRDefault="002C2D1F" w:rsidP="002C2D1F">
      <w:pPr>
        <w:spacing w:after="0" w:line="360" w:lineRule="auto"/>
      </w:pPr>
    </w:p>
    <w:p w14:paraId="656D5138" w14:textId="77777777" w:rsidR="002C2D1F" w:rsidRPr="002C2D1F" w:rsidRDefault="002C2D1F" w:rsidP="002C2D1F">
      <w:pPr>
        <w:spacing w:after="0" w:line="360" w:lineRule="auto"/>
      </w:pPr>
      <w:r w:rsidRPr="002C2D1F">
        <w:lastRenderedPageBreak/>
        <w:t xml:space="preserve">Además, el punto 1.2 Marco Conceptual, en el apartado “Definición del Presupuesto”, de los Manuales mencionados, precisan que el Presupuesto es la estimación financiera anticipada de los ingresos y egresos del gobierno, necesarios para cumplir con los objetivos establecidos; además, que el mismo involucra planes, políticas, programas, proyectos, estrategias y objetivos del municipio. </w:t>
      </w:r>
    </w:p>
    <w:p w14:paraId="2DD1CAA7" w14:textId="77777777" w:rsidR="002C2D1F" w:rsidRPr="002C2D1F" w:rsidRDefault="002C2D1F" w:rsidP="002C2D1F">
      <w:pPr>
        <w:spacing w:after="0" w:line="360" w:lineRule="auto"/>
      </w:pPr>
    </w:p>
    <w:p w14:paraId="6458456D" w14:textId="77777777" w:rsidR="002C2D1F" w:rsidRPr="002C2D1F" w:rsidRDefault="002C2D1F" w:rsidP="002C2D1F">
      <w:pPr>
        <w:spacing w:after="0" w:line="360" w:lineRule="auto"/>
      </w:pPr>
      <w:r w:rsidRPr="002C2D1F">
        <w:t>En ese orden e ideas, conforme a los diversos 100 y 101, fracción II, de la Ley Orgánica Municipal del Estado de México, prevén que e</w:t>
      </w:r>
      <w:r w:rsidRPr="002C2D1F">
        <w:rPr>
          <w:b/>
        </w:rPr>
        <w:t>l Presupuesto de Egresos, deberá contener las previsiones de gasto público y se conformará, entre otras cosas, por los programas en que se señalen objetivos, metas y unidades responsables para su ejecución, así como la valuación estimada del programa.</w:t>
      </w:r>
      <w:r w:rsidRPr="002C2D1F">
        <w:t xml:space="preserve"> </w:t>
      </w:r>
    </w:p>
    <w:p w14:paraId="7304F355" w14:textId="77777777" w:rsidR="002C2D1F" w:rsidRDefault="002C2D1F" w:rsidP="00DA4C87">
      <w:pPr>
        <w:spacing w:after="0" w:line="360" w:lineRule="auto"/>
        <w:rPr>
          <w:rFonts w:eastAsia="Calibri" w:cs="Tahoma"/>
          <w:bCs/>
        </w:rPr>
      </w:pPr>
    </w:p>
    <w:p w14:paraId="4A4FC164" w14:textId="6C38945F" w:rsidR="00DC349B" w:rsidRPr="00E009E7" w:rsidRDefault="00DC349B" w:rsidP="00DC349B">
      <w:pPr>
        <w:spacing w:after="0" w:line="360" w:lineRule="auto"/>
        <w:rPr>
          <w:rFonts w:eastAsia="Times New Roman" w:cs="Tahoma"/>
          <w:color w:val="auto"/>
          <w:lang w:eastAsia="es-ES"/>
        </w:rPr>
      </w:pPr>
      <w:r>
        <w:rPr>
          <w:rFonts w:eastAsia="Calibri" w:cs="Tahoma"/>
          <w:bCs/>
        </w:rPr>
        <w:t xml:space="preserve">Ahora bien, respecto de los comprobantes de gasto, es necesario de manera enunciativa más no limitativa, señalar que </w:t>
      </w:r>
      <w:r w:rsidRPr="00E009E7">
        <w:rPr>
          <w:rFonts w:eastAsia="Calibri" w:cs="Tahoma"/>
          <w:bCs/>
        </w:rPr>
        <w:t xml:space="preserve">una </w:t>
      </w:r>
      <w:r w:rsidRPr="00E009E7">
        <w:rPr>
          <w:rFonts w:eastAsia="Times New Roman" w:cs="Tahoma"/>
          <w:color w:val="auto"/>
          <w:lang w:eastAsia="es-ES"/>
        </w:rPr>
        <w:t>póliza contable es un documento</w:t>
      </w:r>
      <w:r w:rsidRPr="00DC349B">
        <w:rPr>
          <w:rFonts w:eastAsia="Times New Roman" w:cs="Tahoma"/>
          <w:color w:val="auto"/>
          <w:lang w:eastAsia="es-ES"/>
        </w:rPr>
        <w:t xml:space="preserve"> en el que se asientan las operaciones desarrolladas, por el municipio y toda la información necesaria para su identificación, de </w:t>
      </w:r>
      <w:r w:rsidRPr="00E009E7">
        <w:rPr>
          <w:rFonts w:eastAsia="Times New Roman" w:cs="Tahoma"/>
          <w:color w:val="auto"/>
          <w:lang w:eastAsia="es-ES"/>
        </w:rPr>
        <w:t xml:space="preserve">conformidad con la Guía Técnica 8 “La Contabilidad y la Cuenta Pública Municipal” (consultado el ocho de marzo de dos mil veintitrés, a las once horas, en </w:t>
      </w:r>
      <w:hyperlink r:id="rId8" w:history="1">
        <w:r w:rsidRPr="00E009E7">
          <w:rPr>
            <w:rFonts w:eastAsia="Times New Roman" w:cs="Times New Roman"/>
            <w:color w:val="0563C1" w:themeColor="hyperlink"/>
            <w:u w:val="single"/>
            <w:lang w:eastAsia="es-ES"/>
          </w:rPr>
          <w:t>https://silo.tips/download/guia-tecnica-8-la-contabilidad-y-la-cuenta-publica-municipal</w:t>
        </w:r>
      </w:hyperlink>
      <w:r w:rsidRPr="00E009E7">
        <w:rPr>
          <w:rFonts w:eastAsia="Times New Roman" w:cs="Times New Roman"/>
          <w:color w:val="auto"/>
          <w:lang w:eastAsia="es-ES"/>
        </w:rPr>
        <w:t>)</w:t>
      </w:r>
      <w:r w:rsidRPr="00E009E7">
        <w:rPr>
          <w:rFonts w:eastAsia="Times New Roman" w:cs="Tahoma"/>
          <w:color w:val="auto"/>
          <w:lang w:eastAsia="es-ES"/>
        </w:rPr>
        <w:t>; además, dichas pólizas se dividen en las siguientes:</w:t>
      </w:r>
    </w:p>
    <w:p w14:paraId="70BAEA2C" w14:textId="77777777" w:rsidR="00DC349B" w:rsidRPr="00DC349B" w:rsidRDefault="00DC349B" w:rsidP="00DC349B">
      <w:pPr>
        <w:spacing w:after="0" w:line="360" w:lineRule="auto"/>
        <w:rPr>
          <w:rFonts w:eastAsia="Times New Roman" w:cs="Tahoma"/>
          <w:color w:val="auto"/>
          <w:lang w:eastAsia="es-ES"/>
        </w:rPr>
      </w:pPr>
    </w:p>
    <w:p w14:paraId="4DB699D0" w14:textId="77777777" w:rsidR="00DC349B" w:rsidRPr="00DC349B" w:rsidRDefault="00DC349B" w:rsidP="00DC349B">
      <w:pPr>
        <w:numPr>
          <w:ilvl w:val="0"/>
          <w:numId w:val="10"/>
        </w:numPr>
        <w:spacing w:after="0" w:line="360" w:lineRule="auto"/>
        <w:contextualSpacing/>
        <w:jc w:val="left"/>
        <w:rPr>
          <w:rFonts w:eastAsia="Times New Roman" w:cs="Tahoma"/>
          <w:b/>
          <w:color w:val="auto"/>
          <w:lang w:eastAsia="es-ES"/>
        </w:rPr>
      </w:pPr>
      <w:r w:rsidRPr="00DC349B">
        <w:rPr>
          <w:rFonts w:eastAsia="Times New Roman" w:cs="Tahoma"/>
          <w:b/>
          <w:color w:val="auto"/>
          <w:lang w:eastAsia="es-ES"/>
        </w:rPr>
        <w:t xml:space="preserve">Póliza de Ingresos: </w:t>
      </w:r>
      <w:r w:rsidRPr="00DC349B">
        <w:rPr>
          <w:rFonts w:eastAsia="Times New Roman" w:cs="Tahoma"/>
          <w:color w:val="auto"/>
          <w:lang w:eastAsia="es-ES"/>
        </w:rPr>
        <w:t>Es aquella donde se anotan las operaciones que representan ingresos, esto es, entradas de dinero para el municipio.</w:t>
      </w:r>
    </w:p>
    <w:p w14:paraId="7C7EBAD9" w14:textId="77777777" w:rsidR="00DC349B" w:rsidRPr="00DC349B" w:rsidRDefault="00DC349B" w:rsidP="00DC349B">
      <w:pPr>
        <w:numPr>
          <w:ilvl w:val="0"/>
          <w:numId w:val="10"/>
        </w:numPr>
        <w:spacing w:after="0" w:line="360" w:lineRule="auto"/>
        <w:contextualSpacing/>
        <w:jc w:val="left"/>
        <w:rPr>
          <w:rFonts w:eastAsia="Times New Roman" w:cs="Tahoma"/>
          <w:b/>
          <w:color w:val="auto"/>
          <w:lang w:eastAsia="es-ES"/>
        </w:rPr>
      </w:pPr>
      <w:r w:rsidRPr="00DC349B">
        <w:rPr>
          <w:rFonts w:eastAsia="Times New Roman" w:cs="Tahoma"/>
          <w:b/>
          <w:color w:val="auto"/>
          <w:lang w:eastAsia="es-ES"/>
        </w:rPr>
        <w:t xml:space="preserve">Póliza de Diario: </w:t>
      </w:r>
      <w:r w:rsidRPr="00DC349B">
        <w:rPr>
          <w:rFonts w:eastAsia="Times New Roman" w:cs="Tahoma"/>
          <w:color w:val="auto"/>
          <w:lang w:eastAsia="es-ES"/>
        </w:rPr>
        <w:t>Es la que se elabora cuando la operación que se está registrando no implica una entrada o una salida (ingreso o egreso) de dinero para el municipio.</w:t>
      </w:r>
    </w:p>
    <w:p w14:paraId="4DEBAB43" w14:textId="77777777" w:rsidR="00DC349B" w:rsidRPr="00DC349B" w:rsidRDefault="00DC349B" w:rsidP="00DC349B">
      <w:pPr>
        <w:numPr>
          <w:ilvl w:val="0"/>
          <w:numId w:val="10"/>
        </w:numPr>
        <w:spacing w:after="0" w:line="360" w:lineRule="auto"/>
        <w:contextualSpacing/>
        <w:jc w:val="left"/>
        <w:rPr>
          <w:rFonts w:eastAsia="Times New Roman" w:cs="Tahoma"/>
          <w:b/>
          <w:color w:val="auto"/>
          <w:lang w:eastAsia="es-ES"/>
        </w:rPr>
      </w:pPr>
      <w:r w:rsidRPr="00DC349B">
        <w:rPr>
          <w:rFonts w:eastAsia="Times New Roman" w:cs="Tahoma"/>
          <w:b/>
          <w:color w:val="auto"/>
          <w:lang w:eastAsia="es-ES"/>
        </w:rPr>
        <w:t xml:space="preserve">Póliza de Egresos: </w:t>
      </w:r>
      <w:r w:rsidRPr="00DC349B">
        <w:rPr>
          <w:rFonts w:eastAsia="Times New Roman" w:cs="Tahoma"/>
          <w:color w:val="auto"/>
          <w:u w:val="single"/>
          <w:lang w:eastAsia="es-ES"/>
        </w:rPr>
        <w:t>Corresponde a aquella donde se anotan las operaciones que implique egresos, es decir, la salida de dinero, en efectivo o transferencia, para el municipio.</w:t>
      </w:r>
    </w:p>
    <w:p w14:paraId="1922E646" w14:textId="77777777" w:rsidR="00DC349B" w:rsidRPr="00DC349B" w:rsidRDefault="00DC349B" w:rsidP="00DC349B">
      <w:pPr>
        <w:numPr>
          <w:ilvl w:val="0"/>
          <w:numId w:val="10"/>
        </w:numPr>
        <w:spacing w:after="0" w:line="360" w:lineRule="auto"/>
        <w:contextualSpacing/>
        <w:jc w:val="left"/>
        <w:rPr>
          <w:rFonts w:eastAsia="Times New Roman" w:cs="Tahoma"/>
          <w:b/>
          <w:color w:val="auto"/>
          <w:lang w:eastAsia="es-ES"/>
        </w:rPr>
      </w:pPr>
      <w:r w:rsidRPr="00DC349B">
        <w:rPr>
          <w:rFonts w:eastAsia="Times New Roman" w:cs="Tahoma"/>
          <w:b/>
          <w:color w:val="auto"/>
          <w:lang w:eastAsia="es-ES"/>
        </w:rPr>
        <w:lastRenderedPageBreak/>
        <w:t xml:space="preserve">Póliza Cheque: </w:t>
      </w:r>
      <w:r w:rsidRPr="00DC349B">
        <w:rPr>
          <w:rFonts w:eastAsia="Times New Roman" w:cs="Tahoma"/>
          <w:color w:val="auto"/>
          <w:u w:val="single"/>
          <w:lang w:eastAsia="es-ES"/>
        </w:rPr>
        <w:t>Es la que se elabora cuando la operación implique una salida de dinero del municipio, a través de un cheque.</w:t>
      </w:r>
    </w:p>
    <w:p w14:paraId="6AE8C1FA" w14:textId="77777777" w:rsidR="00DC349B" w:rsidRPr="00DC349B" w:rsidRDefault="00DC349B" w:rsidP="00DC349B">
      <w:pPr>
        <w:spacing w:after="0" w:line="360" w:lineRule="auto"/>
        <w:rPr>
          <w:rFonts w:eastAsia="Calibri" w:cs="Tahoma"/>
          <w:bCs/>
          <w:color w:val="auto"/>
        </w:rPr>
      </w:pPr>
    </w:p>
    <w:p w14:paraId="7E6676A6" w14:textId="77777777" w:rsidR="00DC349B" w:rsidRPr="00DC349B" w:rsidRDefault="00DC349B" w:rsidP="00DC349B">
      <w:pPr>
        <w:shd w:val="clear" w:color="auto" w:fill="FFFFFF"/>
        <w:spacing w:after="0" w:line="360" w:lineRule="auto"/>
        <w:rPr>
          <w:rFonts w:eastAsia="Calibri" w:cs="Tahoma"/>
          <w:bCs/>
          <w:color w:val="auto"/>
          <w:lang w:val="es-ES_tradnl"/>
        </w:rPr>
      </w:pPr>
      <w:r w:rsidRPr="00DC349B">
        <w:rPr>
          <w:rFonts w:eastAsia="Calibri" w:cs="Tahoma"/>
          <w:bCs/>
          <w:color w:val="auto"/>
        </w:rPr>
        <w:t xml:space="preserve">En ese contexto, los </w:t>
      </w:r>
      <w:r w:rsidRPr="00DC349B">
        <w:rPr>
          <w:rFonts w:eastAsia="Calibri" w:cs="Tahoma"/>
          <w:bCs/>
          <w:color w:val="auto"/>
          <w:lang w:val="es-ES_tradnl"/>
        </w:rPr>
        <w:t xml:space="preserve">Lineamientos para la Integración y Entrega del Informe Trimestral Municipal 2022, entre los criterios que maneja, se advierte que en el </w:t>
      </w:r>
      <w:r w:rsidRPr="00DC349B">
        <w:rPr>
          <w:rFonts w:eastAsia="Calibri" w:cs="Tahoma"/>
          <w:b/>
          <w:bCs/>
          <w:color w:val="auto"/>
          <w:lang w:val="es-ES_tradnl"/>
        </w:rPr>
        <w:t>Módulo 1</w:t>
      </w:r>
      <w:r w:rsidRPr="00DC349B">
        <w:rPr>
          <w:rFonts w:eastAsia="Calibri" w:cs="Tahoma"/>
          <w:bCs/>
          <w:color w:val="auto"/>
          <w:lang w:val="es-ES_tradnl"/>
        </w:rPr>
        <w:t xml:space="preserve">, referente a la </w:t>
      </w:r>
      <w:r w:rsidRPr="00DC349B">
        <w:rPr>
          <w:rFonts w:eastAsia="Calibri" w:cs="Tahoma"/>
          <w:b/>
          <w:bCs/>
          <w:color w:val="auto"/>
          <w:lang w:val="es-ES_tradnl"/>
        </w:rPr>
        <w:t xml:space="preserve">Información Contable y Financiera, </w:t>
      </w:r>
      <w:r w:rsidRPr="00DC349B">
        <w:rPr>
          <w:rFonts w:eastAsia="Calibri" w:cs="Tahoma"/>
          <w:bCs/>
          <w:color w:val="auto"/>
          <w:lang w:val="es-ES_tradnl"/>
        </w:rPr>
        <w:t xml:space="preserve">se integra por diversos documentos, entre los que se encuentran los </w:t>
      </w:r>
      <w:r w:rsidRPr="00DC349B">
        <w:rPr>
          <w:rFonts w:eastAsia="Calibri" w:cs="Tahoma"/>
          <w:b/>
          <w:bCs/>
          <w:color w:val="auto"/>
          <w:lang w:val="es-ES_tradnl"/>
        </w:rPr>
        <w:t xml:space="preserve">Póliza de Egresos y Pólizas de Cheque, con los documentos comprobatorios, </w:t>
      </w:r>
      <w:r w:rsidRPr="00DC349B">
        <w:rPr>
          <w:rFonts w:eastAsia="Calibri" w:cs="Tahoma"/>
          <w:bCs/>
          <w:color w:val="auto"/>
          <w:lang w:val="es-ES_tradnl"/>
        </w:rPr>
        <w:t>mismos que debe proporcionar el Ente Recurrido.</w:t>
      </w:r>
    </w:p>
    <w:p w14:paraId="067231D0" w14:textId="77777777" w:rsidR="00DC349B" w:rsidRPr="00DC349B" w:rsidRDefault="00DC349B" w:rsidP="00DC349B">
      <w:pPr>
        <w:shd w:val="clear" w:color="auto" w:fill="FFFFFF"/>
        <w:spacing w:after="0" w:line="360" w:lineRule="auto"/>
        <w:rPr>
          <w:rFonts w:eastAsia="Calibri" w:cs="Tahoma"/>
          <w:bCs/>
          <w:color w:val="auto"/>
        </w:rPr>
      </w:pPr>
    </w:p>
    <w:p w14:paraId="5C3AAAD9" w14:textId="3E251E1E" w:rsidR="00DC349B" w:rsidRDefault="00DC349B" w:rsidP="00DC349B">
      <w:pPr>
        <w:shd w:val="clear" w:color="auto" w:fill="FFFFFF"/>
        <w:spacing w:after="0" w:line="360" w:lineRule="auto"/>
        <w:rPr>
          <w:rFonts w:eastAsia="Calibri" w:cs="Tahoma"/>
          <w:bCs/>
        </w:rPr>
      </w:pPr>
      <w:r w:rsidRPr="00DC349B">
        <w:rPr>
          <w:rFonts w:eastAsia="Calibri" w:cs="Tahoma"/>
          <w:bCs/>
          <w:color w:val="auto"/>
        </w:rPr>
        <w:t xml:space="preserve">Además, en el apartado de </w:t>
      </w:r>
      <w:r w:rsidRPr="00DC349B">
        <w:rPr>
          <w:rFonts w:eastAsia="Calibri" w:cs="Tahoma"/>
          <w:b/>
          <w:bCs/>
          <w:color w:val="auto"/>
        </w:rPr>
        <w:t xml:space="preserve">“Aspectos a tomar en cuenta para la integración de las Pólizas contables y documentación comprobatoria”, </w:t>
      </w:r>
      <w:r w:rsidRPr="00DC349B">
        <w:rPr>
          <w:rFonts w:eastAsia="Calibri" w:cs="Tahoma"/>
          <w:bCs/>
          <w:color w:val="auto"/>
        </w:rPr>
        <w:t xml:space="preserve">se precisa que dichos documentos deberán contener las imágenes de la documentación comprobatoria y justificativa de los egresos y de las respectivas pólizas, de la entidad, los cuales incluyen los Comprobantes </w:t>
      </w:r>
      <w:r>
        <w:rPr>
          <w:rFonts w:eastAsia="Calibri" w:cs="Tahoma"/>
          <w:bCs/>
          <w:color w:val="auto"/>
        </w:rPr>
        <w:t xml:space="preserve">Fiscales Digitales por Internet. </w:t>
      </w:r>
      <w:r w:rsidRPr="00DC349B">
        <w:rPr>
          <w:rFonts w:eastAsia="Calibri" w:cs="Tahoma"/>
          <w:bCs/>
          <w:color w:val="auto"/>
          <w:lang w:val="es-ES"/>
        </w:rPr>
        <w:t xml:space="preserve">Conforme a lo anterior, se advierte que </w:t>
      </w:r>
      <w:r w:rsidRPr="00DC349B">
        <w:rPr>
          <w:rFonts w:eastAsia="Calibri" w:cs="Tahoma"/>
          <w:b/>
          <w:bCs/>
          <w:color w:val="auto"/>
          <w:u w:val="single"/>
          <w:lang w:val="es-ES"/>
        </w:rPr>
        <w:t xml:space="preserve">las Pólizas contables, con su respectiva documentación comprobatoria, </w:t>
      </w:r>
      <w:r w:rsidRPr="00DC349B">
        <w:rPr>
          <w:rFonts w:eastAsia="Calibri" w:cs="Tahoma"/>
          <w:b/>
          <w:bCs/>
          <w:color w:val="auto"/>
          <w:u w:val="single"/>
        </w:rPr>
        <w:t>de manera enunciativa mas no limitativa,</w:t>
      </w:r>
      <w:r w:rsidRPr="00DC349B">
        <w:rPr>
          <w:rFonts w:eastAsia="Calibri" w:cs="Tahoma"/>
          <w:b/>
          <w:bCs/>
          <w:color w:val="auto"/>
          <w:u w:val="single"/>
          <w:lang w:val="es-ES"/>
        </w:rPr>
        <w:t xml:space="preserve"> son documentos que pudieran atender las solicitudes de información, púes contienen los gastos erogados por el Ente Recurrido,</w:t>
      </w:r>
    </w:p>
    <w:p w14:paraId="51B91BA6" w14:textId="77777777" w:rsidR="00DC349B" w:rsidRDefault="00DC349B" w:rsidP="00DA4C87">
      <w:pPr>
        <w:spacing w:after="0" w:line="360" w:lineRule="auto"/>
        <w:rPr>
          <w:rFonts w:eastAsia="Calibri" w:cs="Tahoma"/>
          <w:bCs/>
        </w:rPr>
      </w:pPr>
    </w:p>
    <w:p w14:paraId="72A2E297" w14:textId="3240D22E" w:rsidR="004B0889" w:rsidRDefault="00DC349B" w:rsidP="00DA4C87">
      <w:pPr>
        <w:spacing w:after="0" w:line="360" w:lineRule="auto"/>
      </w:pPr>
      <w:r>
        <w:rPr>
          <w:rFonts w:eastAsia="Calibri" w:cs="Tahoma"/>
          <w:bCs/>
        </w:rPr>
        <w:t>En este contexto</w:t>
      </w:r>
      <w:r w:rsidR="008B52CB">
        <w:rPr>
          <w:rFonts w:eastAsia="Calibri" w:cs="Tahoma"/>
          <w:bCs/>
        </w:rPr>
        <w:t xml:space="preserve">, el Bando Municipal de Tepetlixpa 2022-2024, señala </w:t>
      </w:r>
      <w:r w:rsidR="004B0889">
        <w:rPr>
          <w:rFonts w:eastAsia="Calibri" w:cs="Tahoma"/>
          <w:bCs/>
        </w:rPr>
        <w:t xml:space="preserve">en su artículo 44 fracción IV inciso h), que para </w:t>
      </w:r>
      <w:r w:rsidR="004B0889" w:rsidRPr="004B0889">
        <w:rPr>
          <w:rFonts w:eastAsia="Calibri" w:cs="Tahoma"/>
          <w:bCs/>
        </w:rPr>
        <w:t xml:space="preserve">el ejercicio de sus atribuciones, tanto el Ayuntamiento como el presidente municipal, se auxiliarán de </w:t>
      </w:r>
      <w:r w:rsidR="004B0889">
        <w:rPr>
          <w:rFonts w:eastAsia="Calibri" w:cs="Tahoma"/>
          <w:bCs/>
        </w:rPr>
        <w:t>diversas</w:t>
      </w:r>
      <w:r w:rsidR="004B0889" w:rsidRPr="004B0889">
        <w:rPr>
          <w:rFonts w:eastAsia="Calibri" w:cs="Tahoma"/>
          <w:bCs/>
        </w:rPr>
        <w:t xml:space="preserve"> dependencias, las cuales estarán subordinadas</w:t>
      </w:r>
      <w:r w:rsidR="004B0889">
        <w:rPr>
          <w:rFonts w:eastAsia="Calibri" w:cs="Tahoma"/>
          <w:bCs/>
        </w:rPr>
        <w:t xml:space="preserve"> a él, entre las cuales encontramos a la Dirección del Instituto de la Mujer; por su parte el artículo 61 del mismo ordenamiento jurídico, señala que </w:t>
      </w:r>
      <w:r w:rsidR="004B0889" w:rsidRPr="004B0889">
        <w:rPr>
          <w:rFonts w:eastAsia="Calibri" w:cs="Tahoma"/>
          <w:b/>
          <w:bCs/>
          <w:u w:val="single"/>
        </w:rPr>
        <w:t>la Tesorería Municipal es la unidad administrativa encargada de la recaudación de los ingresos municipales y la administración de la hacienda pública municipal, responsable de realizar las erogaciones y funciones requeridas por el Ayuntamiento, el Presidente Municipal Constitucional y demás dependencias de la Administración Pública Municipal</w:t>
      </w:r>
      <w:r w:rsidR="004B0889" w:rsidRPr="004B0889">
        <w:rPr>
          <w:rFonts w:eastAsia="Calibri" w:cs="Tahoma"/>
          <w:bCs/>
        </w:rPr>
        <w:t xml:space="preserve">, </w:t>
      </w:r>
      <w:r w:rsidR="004B0889">
        <w:rPr>
          <w:rFonts w:eastAsia="Calibri" w:cs="Tahoma"/>
          <w:bCs/>
        </w:rPr>
        <w:t xml:space="preserve">además, </w:t>
      </w:r>
      <w:r w:rsidR="004B0889" w:rsidRPr="004D6600">
        <w:rPr>
          <w:b/>
          <w:u w:val="single"/>
        </w:rPr>
        <w:t xml:space="preserve">revisará, vigilará y </w:t>
      </w:r>
      <w:r w:rsidR="004B0889" w:rsidRPr="004D6600">
        <w:rPr>
          <w:b/>
          <w:u w:val="single"/>
        </w:rPr>
        <w:lastRenderedPageBreak/>
        <w:t>analizará los ingresos y egresos de la Administración Pública Municipal, con la finalidad de incrementar y acreditar la recaudación municipal</w:t>
      </w:r>
      <w:r w:rsidR="004B0889">
        <w:t>, informando al órgano de control interno sobre cualquier irregularidad para transparentar una sana cuenta hacendaria.</w:t>
      </w:r>
    </w:p>
    <w:p w14:paraId="00125B25" w14:textId="77777777" w:rsidR="004B0889" w:rsidRDefault="004B0889" w:rsidP="00DA4C87">
      <w:pPr>
        <w:spacing w:after="0" w:line="360" w:lineRule="auto"/>
      </w:pPr>
    </w:p>
    <w:p w14:paraId="5B3F563C" w14:textId="26BAB46C" w:rsidR="004B0889" w:rsidRDefault="004B0889" w:rsidP="00DA4C87">
      <w:pPr>
        <w:spacing w:after="0" w:line="360" w:lineRule="auto"/>
        <w:rPr>
          <w:rFonts w:eastAsia="Calibri" w:cs="Tahoma"/>
          <w:bCs/>
        </w:rPr>
      </w:pPr>
      <w:r>
        <w:t>No pasa desapercibido, que lo solicitado constituye una obligación común de transparencia contenida en el artículo 92</w:t>
      </w:r>
      <w:r w:rsidR="007746E8">
        <w:t>,</w:t>
      </w:r>
      <w:r>
        <w:t xml:space="preserve"> </w:t>
      </w:r>
      <w:r w:rsidR="007746E8">
        <w:t>fraccio</w:t>
      </w:r>
      <w:r>
        <w:t>n</w:t>
      </w:r>
      <w:r w:rsidR="007746E8">
        <w:t>es</w:t>
      </w:r>
      <w:r>
        <w:t xml:space="preserve"> XXV</w:t>
      </w:r>
      <w:r w:rsidR="007746E8">
        <w:t xml:space="preserve"> y XLVII</w:t>
      </w:r>
      <w:r>
        <w:t>, que señala que l</w:t>
      </w:r>
      <w:r w:rsidRPr="004B0889">
        <w:t>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007746E8">
        <w:t xml:space="preserve">, entre los cuales se encuentra la </w:t>
      </w:r>
      <w:r w:rsidRPr="004B0889">
        <w:t>información financiera sobre el presupuesto asignado, así como los informes del ejercicio trimestral del gasto, en términos de la Ley General de Contabilidad Gubernamental y demás dis</w:t>
      </w:r>
      <w:r w:rsidR="007746E8">
        <w:t xml:space="preserve">posiciones jurídicas aplicables, así como, los </w:t>
      </w:r>
      <w:r w:rsidR="007746E8" w:rsidRPr="007746E8">
        <w:t>ingresos recibidos por cualquier concepto señalando el nombre de los responsables de recibirlos, administrarlos y ejercerlos, indicando el destino de cada uno de ellos</w:t>
      </w:r>
      <w:r w:rsidR="007746E8">
        <w:t>.</w:t>
      </w:r>
    </w:p>
    <w:p w14:paraId="4F6E21E7" w14:textId="77777777" w:rsidR="00AA7612" w:rsidRDefault="00AA7612" w:rsidP="004B0889">
      <w:pPr>
        <w:spacing w:after="0" w:line="360" w:lineRule="auto"/>
        <w:rPr>
          <w:rFonts w:eastAsia="Times New Roman" w:cs="Tahoma"/>
          <w:bCs/>
          <w:color w:val="auto"/>
          <w:lang w:val="es-ES_tradnl" w:eastAsia="es-ES"/>
        </w:rPr>
      </w:pPr>
    </w:p>
    <w:p w14:paraId="427814F6" w14:textId="57861F5D" w:rsidR="004B0889" w:rsidRPr="004B0889" w:rsidRDefault="004B0889" w:rsidP="004B0889">
      <w:pPr>
        <w:spacing w:after="0" w:line="360" w:lineRule="auto"/>
        <w:rPr>
          <w:rFonts w:eastAsia="Times New Roman" w:cs="Tahoma"/>
          <w:bCs/>
          <w:color w:val="auto"/>
          <w:lang w:val="es-ES_tradnl" w:eastAsia="es-ES"/>
        </w:rPr>
      </w:pPr>
      <w:r w:rsidRPr="004B0889">
        <w:rPr>
          <w:rFonts w:eastAsia="Times New Roman" w:cs="Tahoma"/>
          <w:bCs/>
          <w:color w:val="auto"/>
          <w:lang w:val="es-ES_tradnl" w:eastAsia="es-ES"/>
        </w:rPr>
        <w:t xml:space="preserve">Así, se colige que el Sujeto Obligado cuenta con atribuciones para pronunciarse de la información solicitada, pues debe presentar un Proyecto de </w:t>
      </w:r>
      <w:r>
        <w:rPr>
          <w:rFonts w:eastAsia="Times New Roman" w:cs="Tahoma"/>
          <w:bCs/>
          <w:color w:val="auto"/>
          <w:lang w:val="es-ES_tradnl" w:eastAsia="es-ES"/>
        </w:rPr>
        <w:t>P</w:t>
      </w:r>
      <w:r w:rsidRPr="004B0889">
        <w:rPr>
          <w:rFonts w:eastAsia="Times New Roman" w:cs="Tahoma"/>
          <w:bCs/>
          <w:color w:val="auto"/>
          <w:lang w:val="es-ES_tradnl" w:eastAsia="es-ES"/>
        </w:rPr>
        <w:t xml:space="preserve">resupuesto de </w:t>
      </w:r>
      <w:r>
        <w:rPr>
          <w:rFonts w:eastAsia="Times New Roman" w:cs="Tahoma"/>
          <w:bCs/>
          <w:color w:val="auto"/>
          <w:lang w:val="es-ES_tradnl" w:eastAsia="es-ES"/>
        </w:rPr>
        <w:t>E</w:t>
      </w:r>
      <w:r w:rsidRPr="004B0889">
        <w:rPr>
          <w:rFonts w:eastAsia="Times New Roman" w:cs="Tahoma"/>
          <w:bCs/>
          <w:color w:val="auto"/>
          <w:lang w:val="es-ES_tradnl" w:eastAsia="es-ES"/>
        </w:rPr>
        <w:t>gresos anualmente</w:t>
      </w:r>
      <w:r w:rsidRPr="004B0889">
        <w:rPr>
          <w:rFonts w:eastAsia="Calibri" w:cs="Tahoma"/>
          <w:bCs/>
          <w:color w:val="000000"/>
        </w:rPr>
        <w:t xml:space="preserve">; por lo que, </w:t>
      </w:r>
      <w:r w:rsidRPr="004B0889">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4B0889">
        <w:rPr>
          <w:rFonts w:eastAsia="Calibri" w:cs="Tahoma"/>
          <w:bCs/>
        </w:rPr>
        <w:t xml:space="preserve"> a efecto de que dé la respuesta que a derecho corresponda y, en su caso, proporcione los documentos que den cuenta de la información solicitada.</w:t>
      </w:r>
    </w:p>
    <w:p w14:paraId="13C907A6" w14:textId="77777777" w:rsidR="004B0889" w:rsidRPr="004B0889" w:rsidRDefault="004B0889" w:rsidP="004B0889">
      <w:pPr>
        <w:spacing w:after="0" w:line="360" w:lineRule="auto"/>
        <w:rPr>
          <w:rFonts w:eastAsia="Calibri" w:cs="Tahoma"/>
          <w:iCs/>
          <w:color w:val="auto"/>
          <w:lang w:val="es-ES" w:eastAsia="es-MX"/>
        </w:rPr>
      </w:pPr>
    </w:p>
    <w:p w14:paraId="22371C76" w14:textId="77777777" w:rsidR="004B0889" w:rsidRPr="004B0889" w:rsidRDefault="004B0889" w:rsidP="004B0889">
      <w:pPr>
        <w:spacing w:after="0" w:line="360" w:lineRule="auto"/>
        <w:rPr>
          <w:rFonts w:eastAsia="Times New Roman" w:cs="Tahoma"/>
          <w:bCs/>
          <w:iCs/>
          <w:lang w:val="es-ES" w:eastAsia="es-ES"/>
        </w:rPr>
      </w:pPr>
      <w:r w:rsidRPr="004B0889">
        <w:rPr>
          <w:rFonts w:eastAsia="Times New Roman" w:cs="Tahoma"/>
          <w:bCs/>
          <w:iCs/>
          <w:lang w:val="es-ES_tradnl" w:eastAsia="es-ES"/>
        </w:rPr>
        <w:t>No pasa desapercibido para este Instituto que los documentos que den cuenta de lo solicitado, pudieran contener datos o información clasificada; a</w:t>
      </w:r>
      <w:r w:rsidRPr="004B0889">
        <w:rPr>
          <w:rFonts w:eastAsia="Times New Roman" w:cs="Tahoma"/>
          <w:bCs/>
          <w:iCs/>
          <w:lang w:val="es-ES" w:eastAsia="es-ES"/>
        </w:rPr>
        <w:t xml:space="preserve">l respecto, conforme al artículo 3°, fracción XLV, relacionado con el 137, ambos de la Ley de Transparencia y Acceso </w:t>
      </w:r>
      <w:r w:rsidRPr="004B0889">
        <w:rPr>
          <w:rFonts w:eastAsia="Times New Roman" w:cs="Tahoma"/>
          <w:bCs/>
          <w:iCs/>
          <w:lang w:val="es-ES" w:eastAsia="es-ES"/>
        </w:rPr>
        <w:lastRenderedPageBreak/>
        <w:t xml:space="preserve">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74B9457" w14:textId="77777777" w:rsidR="004B0889" w:rsidRPr="004B0889" w:rsidRDefault="004B0889" w:rsidP="004B0889">
      <w:pPr>
        <w:spacing w:after="0" w:line="360" w:lineRule="auto"/>
        <w:rPr>
          <w:rFonts w:eastAsia="Times New Roman" w:cs="Tahoma"/>
          <w:bCs/>
          <w:iCs/>
          <w:lang w:val="es-ES" w:eastAsia="es-ES"/>
        </w:rPr>
      </w:pPr>
    </w:p>
    <w:p w14:paraId="69868D4B" w14:textId="77777777" w:rsidR="004B0889" w:rsidRPr="004B0889" w:rsidRDefault="004B0889" w:rsidP="004B0889">
      <w:pPr>
        <w:spacing w:after="0" w:line="360" w:lineRule="auto"/>
        <w:rPr>
          <w:rFonts w:eastAsia="Calibri" w:cs="Times New Roman"/>
        </w:rPr>
      </w:pPr>
      <w:r w:rsidRPr="004B088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25AF10" w14:textId="14F62863" w:rsidR="00365F46" w:rsidRDefault="00365F46" w:rsidP="004B0889">
      <w:pPr>
        <w:spacing w:after="0" w:line="360" w:lineRule="auto"/>
        <w:rPr>
          <w:rFonts w:eastAsia="Calibri" w:cs="Tahoma"/>
          <w:b/>
          <w:color w:val="000000"/>
        </w:rPr>
      </w:pPr>
    </w:p>
    <w:p w14:paraId="2D636013" w14:textId="77777777" w:rsidR="00EC77D9" w:rsidRPr="002D0AC7"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DA4C87">
      <w:pPr>
        <w:spacing w:after="0" w:line="360" w:lineRule="auto"/>
        <w:rPr>
          <w:rFonts w:eastAsia="Times New Roman" w:cs="Tahoma"/>
          <w:color w:val="auto"/>
          <w:lang w:eastAsia="es-ES"/>
        </w:rPr>
      </w:pPr>
    </w:p>
    <w:p w14:paraId="6174FFA1" w14:textId="71F95C74"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264417" w:rsidRPr="00264417">
        <w:t>00055/TEPETLIX/IP/2023</w:t>
      </w:r>
      <w:r w:rsidRPr="002D0AC7">
        <w:rPr>
          <w:rFonts w:eastAsia="Times New Roman" w:cs="Tahoma"/>
          <w:b/>
          <w:bCs/>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61A172CF"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Pr>
          <w:color w:val="000000"/>
          <w:lang w:val="es-ES"/>
        </w:rPr>
        <w:t xml:space="preserve">Ayuntamiento de </w:t>
      </w:r>
      <w:r w:rsidR="00264417">
        <w:rPr>
          <w:color w:val="000000"/>
          <w:lang w:val="es-ES"/>
        </w:rPr>
        <w:t xml:space="preserve">Tepetlixpa, </w:t>
      </w:r>
      <w:r w:rsidRPr="002D0AC7">
        <w:rPr>
          <w:rFonts w:eastAsia="Calibri" w:cs="Tahoma"/>
          <w:bCs/>
          <w:iCs/>
          <w:color w:val="auto"/>
          <w:lang w:val="es-ES"/>
        </w:rPr>
        <w:t xml:space="preserve">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ACD75E1" w14:textId="77777777" w:rsidR="00985D8F" w:rsidRDefault="00985D8F" w:rsidP="00DA4C87">
      <w:pPr>
        <w:spacing w:after="0" w:line="360" w:lineRule="auto"/>
        <w:rPr>
          <w:rFonts w:eastAsia="Calibri" w:cs="Tahoma"/>
          <w:bCs/>
          <w:iCs/>
          <w:color w:val="auto"/>
          <w:lang w:val="es-ES" w:eastAsia="es-ES_tradnl"/>
        </w:rPr>
      </w:pPr>
    </w:p>
    <w:p w14:paraId="67DB853E" w14:textId="77777777" w:rsidR="00985D8F"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2D0AC7">
        <w:rPr>
          <w:rFonts w:eastAsia="Calibri" w:cs="Tahoma"/>
          <w:bCs/>
          <w:iCs/>
          <w:color w:val="auto"/>
          <w:lang w:val="es-ES" w:eastAsia="es-ES_tradnl"/>
        </w:rPr>
        <w:lastRenderedPageBreak/>
        <w:t xml:space="preserve">y Municipios, tiene derecho a interponer nuevamente Recurso de Revisión ante este Instituto, por la respuesta que dé el Sujeto Obligado, en cumplimiento a esta Resolución. </w:t>
      </w:r>
    </w:p>
    <w:p w14:paraId="1385DCE6" w14:textId="77777777" w:rsidR="00985D8F" w:rsidRDefault="00985D8F" w:rsidP="00DA4C87">
      <w:pPr>
        <w:spacing w:after="0" w:line="360" w:lineRule="auto"/>
        <w:rPr>
          <w:rFonts w:eastAsia="Calibri" w:cs="Tahoma"/>
          <w:bCs/>
          <w:iCs/>
          <w:color w:val="auto"/>
          <w:lang w:val="es-ES" w:eastAsia="es-ES_tradnl"/>
        </w:rPr>
      </w:pPr>
    </w:p>
    <w:p w14:paraId="348A2D28" w14:textId="2476DA57" w:rsidR="00B24607" w:rsidRDefault="00B24607" w:rsidP="00DA4C87">
      <w:pPr>
        <w:spacing w:after="0" w:line="360" w:lineRule="auto"/>
        <w:rPr>
          <w:rFonts w:eastAsia="Calibri" w:cs="Tahoma"/>
          <w:bCs/>
          <w:iCs/>
          <w:color w:val="auto"/>
        </w:rPr>
      </w:pPr>
      <w:r>
        <w:rPr>
          <w:rFonts w:eastAsia="Calibri" w:cs="Tahoma"/>
          <w:bCs/>
          <w:iCs/>
          <w:color w:val="auto"/>
        </w:rPr>
        <w:t>Finalmente, la labor del Instituto</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7EC174E0" w14:textId="77777777" w:rsidR="004E4727" w:rsidRPr="002D0AC7" w:rsidRDefault="004E4727" w:rsidP="00DA4C87">
      <w:pPr>
        <w:spacing w:after="0" w:line="360" w:lineRule="auto"/>
        <w:rPr>
          <w:rFonts w:eastAsia="Times New Roman" w:cs="Tahoma"/>
          <w:bCs/>
          <w:iCs/>
          <w:color w:val="auto"/>
          <w:lang w:eastAsia="es-ES"/>
        </w:rPr>
      </w:pPr>
    </w:p>
    <w:p w14:paraId="32689D9D" w14:textId="5C839532"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al Órgano </w:t>
      </w:r>
      <w:r w:rsidR="00A04A3E">
        <w:rPr>
          <w:rFonts w:eastAsia="Times New Roman" w:cs="Tahoma"/>
          <w:b/>
          <w:bCs/>
          <w:iCs/>
          <w:color w:val="auto"/>
          <w:lang w:eastAsia="es-ES"/>
        </w:rPr>
        <w:t xml:space="preserve">Interno </w:t>
      </w:r>
      <w:r w:rsidRPr="002D0AC7">
        <w:rPr>
          <w:rFonts w:eastAsia="Times New Roman" w:cs="Tahoma"/>
          <w:b/>
          <w:bCs/>
          <w:iCs/>
          <w:color w:val="auto"/>
          <w:lang w:eastAsia="es-ES"/>
        </w:rPr>
        <w:t xml:space="preserve">de Control. </w:t>
      </w:r>
    </w:p>
    <w:p w14:paraId="6F14302B" w14:textId="77777777" w:rsidR="00365F46" w:rsidRDefault="00365F46" w:rsidP="00DA4C87">
      <w:pPr>
        <w:spacing w:after="0" w:line="360" w:lineRule="auto"/>
        <w:rPr>
          <w:rFonts w:eastAsia="Times New Roman" w:cs="Tahoma"/>
          <w:bCs/>
          <w:color w:val="auto"/>
          <w:lang w:eastAsia="es-ES"/>
        </w:rPr>
      </w:pPr>
    </w:p>
    <w:p w14:paraId="478C326A" w14:textId="269264ED"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0C006D">
        <w:rPr>
          <w:color w:val="000000"/>
        </w:rPr>
        <w:t xml:space="preserve">Ayuntamiento de </w:t>
      </w:r>
      <w:r w:rsidR="00264417">
        <w:rPr>
          <w:color w:val="000000"/>
        </w:rPr>
        <w:t>Tepetlixpa</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33F9DB4F" w14:textId="77777777" w:rsidR="004E4727" w:rsidRDefault="004E4727" w:rsidP="00DA4C87">
      <w:pPr>
        <w:spacing w:after="0" w:line="360" w:lineRule="auto"/>
        <w:rPr>
          <w:rFonts w:eastAsia="Times New Roman" w:cs="Tahoma"/>
          <w:bCs/>
          <w:color w:val="auto"/>
          <w:lang w:eastAsia="es-ES"/>
        </w:rPr>
      </w:pPr>
    </w:p>
    <w:p w14:paraId="493A8702" w14:textId="6876E346" w:rsidR="00985D8F"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Default="00985D8F" w:rsidP="00DA4C87">
      <w:pPr>
        <w:spacing w:after="0" w:line="360" w:lineRule="auto"/>
        <w:rPr>
          <w:rFonts w:eastAsia="Times New Roman" w:cs="Tahoma"/>
          <w:bCs/>
          <w:color w:val="auto"/>
          <w:lang w:eastAsia="es-ES"/>
        </w:rPr>
      </w:pPr>
    </w:p>
    <w:p w14:paraId="4932E39B" w14:textId="655A2161" w:rsidR="00365F46"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3B8E2D02" w14:textId="77777777" w:rsidR="00365F46" w:rsidRDefault="00365F46" w:rsidP="00DA4C87">
      <w:pPr>
        <w:spacing w:after="0" w:line="360" w:lineRule="auto"/>
        <w:rPr>
          <w:rFonts w:eastAsia="Times New Roman" w:cs="Tahoma"/>
          <w:bCs/>
          <w:color w:val="auto"/>
          <w:lang w:eastAsia="es-ES"/>
        </w:rPr>
      </w:pPr>
    </w:p>
    <w:p w14:paraId="44976B06" w14:textId="77777777"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5B5DA3B" w14:textId="77777777" w:rsidR="004E4727" w:rsidRDefault="004E4727" w:rsidP="00DA4C87">
      <w:pPr>
        <w:spacing w:after="0" w:line="360" w:lineRule="auto"/>
        <w:rPr>
          <w:rFonts w:eastAsia="Times New Roman" w:cs="Tahoma"/>
          <w:bCs/>
          <w:color w:val="auto"/>
          <w:lang w:eastAsia="es-ES"/>
        </w:rPr>
      </w:pPr>
    </w:p>
    <w:p w14:paraId="48C807E7" w14:textId="67442071"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 xml:space="preserve">al </w:t>
      </w:r>
      <w:r w:rsidR="002F744C">
        <w:rPr>
          <w:rFonts w:eastAsia="Times New Roman" w:cs="Tahoma"/>
          <w:bCs/>
          <w:color w:val="auto"/>
          <w:lang w:val="es-ES_tradnl" w:eastAsia="es-ES"/>
        </w:rPr>
        <w:t>Órgano Interno de Control</w:t>
      </w:r>
      <w:r w:rsidRPr="002D0AC7">
        <w:rPr>
          <w:rFonts w:eastAsia="Times New Roman" w:cs="Tahoma"/>
          <w:bCs/>
          <w:color w:val="auto"/>
          <w:lang w:val="es-ES_tradnl" w:eastAsia="es-ES"/>
        </w:rPr>
        <w:t xml:space="preserve"> d</w:t>
      </w:r>
      <w:bookmarkStart w:id="2" w:name="_GoBack"/>
      <w:bookmarkEnd w:id="2"/>
      <w:r w:rsidRPr="002D0AC7">
        <w:rPr>
          <w:rFonts w:eastAsia="Times New Roman" w:cs="Tahoma"/>
          <w:bCs/>
          <w:color w:val="auto"/>
          <w:lang w:val="es-ES_tradnl" w:eastAsia="es-ES"/>
        </w:rPr>
        <w:t>e este Instituto</w:t>
      </w:r>
      <w:r w:rsidRPr="002D0AC7">
        <w:rPr>
          <w:rFonts w:eastAsia="Times New Roman" w:cs="Tahoma"/>
          <w:bCs/>
          <w:color w:val="auto"/>
          <w:lang w:eastAsia="es-ES"/>
        </w:rPr>
        <w:t>.</w:t>
      </w:r>
    </w:p>
    <w:p w14:paraId="3CE3F712" w14:textId="63D2A7A7" w:rsidR="00EC77D9" w:rsidRDefault="00EC77D9" w:rsidP="00DA4C87">
      <w:pPr>
        <w:spacing w:after="0" w:line="360" w:lineRule="auto"/>
        <w:rPr>
          <w:rFonts w:eastAsia="Times New Roman" w:cs="Tahoma"/>
          <w:bCs/>
          <w:color w:val="auto"/>
          <w:lang w:eastAsia="es-ES"/>
        </w:rPr>
      </w:pPr>
    </w:p>
    <w:p w14:paraId="108A3254" w14:textId="77777777" w:rsidR="00EC77D9"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1203A270" w14:textId="77777777" w:rsidR="00487009" w:rsidRDefault="00487009"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DA4C87">
      <w:pPr>
        <w:spacing w:after="0" w:line="360" w:lineRule="auto"/>
        <w:ind w:right="113"/>
        <w:rPr>
          <w:rFonts w:eastAsia="Times New Roman" w:cs="Arial"/>
          <w:b/>
          <w:color w:val="auto"/>
          <w:lang w:eastAsia="es-ES"/>
        </w:rPr>
      </w:pPr>
    </w:p>
    <w:p w14:paraId="32043534" w14:textId="2882D250"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967D91" w:rsidRPr="00E009E7">
        <w:rPr>
          <w:rFonts w:eastAsia="Calibri" w:cs="Tahoma"/>
          <w:b/>
        </w:rPr>
        <w:t>0</w:t>
      </w:r>
      <w:r w:rsidR="00264417" w:rsidRPr="00E009E7">
        <w:rPr>
          <w:rFonts w:eastAsia="Calibri" w:cs="Tahoma"/>
          <w:b/>
        </w:rPr>
        <w:t>101</w:t>
      </w:r>
      <w:r w:rsidR="0089262A" w:rsidRPr="00E009E7">
        <w:rPr>
          <w:rFonts w:eastAsia="Calibri" w:cs="Tahoma"/>
          <w:b/>
        </w:rPr>
        <w:t>1</w:t>
      </w:r>
      <w:r w:rsidR="00967D91" w:rsidRPr="00E009E7">
        <w:rPr>
          <w:rFonts w:eastAsia="Calibri" w:cs="Tahoma"/>
          <w:b/>
        </w:rPr>
        <w:t>/INFOEM/IP/RR/2023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en términos de</w:t>
      </w:r>
      <w:r w:rsidR="00F91C5A">
        <w:rPr>
          <w:rFonts w:eastAsia="Calibri" w:cs="Tahoma"/>
          <w:bCs/>
          <w:color w:val="auto"/>
        </w:rPr>
        <w:t xml:space="preserve"> los</w:t>
      </w:r>
      <w:r w:rsidRPr="002D0AC7">
        <w:rPr>
          <w:rFonts w:eastAsia="Calibri" w:cs="Tahoma"/>
          <w:bCs/>
          <w:color w:val="auto"/>
        </w:rPr>
        <w:t xml:space="preserve"> </w:t>
      </w:r>
      <w:r w:rsidRPr="00172038">
        <w:rPr>
          <w:rFonts w:eastAsia="Calibri" w:cs="Tahoma"/>
          <w:bCs/>
          <w:color w:val="auto"/>
        </w:rPr>
        <w:t>considerando</w:t>
      </w:r>
      <w:r w:rsidR="00F91C5A">
        <w:rPr>
          <w:rFonts w:eastAsia="Calibri" w:cs="Tahoma"/>
          <w:bCs/>
          <w:color w:val="auto"/>
        </w:rPr>
        <w:t>s</w:t>
      </w:r>
      <w:r w:rsidRPr="00172038">
        <w:rPr>
          <w:rFonts w:eastAsia="Calibri" w:cs="Tahoma"/>
          <w:bCs/>
          <w:color w:val="auto"/>
        </w:rPr>
        <w:t xml:space="preserve">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507DA220"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264417" w:rsidRPr="00264417">
        <w:t>00055/TEPETLIX/IP/2023</w:t>
      </w:r>
      <w:r w:rsidR="00264417">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4D5633D0" w:rsidR="00EC77D9" w:rsidRPr="002D0AC7" w:rsidRDefault="00747C89" w:rsidP="00DA4C87">
      <w:pPr>
        <w:spacing w:after="0" w:line="360" w:lineRule="auto"/>
        <w:ind w:right="-93"/>
        <w:rPr>
          <w:rFonts w:eastAsia="Calibri" w:cs="Tahoma"/>
          <w:bCs/>
          <w:color w:val="auto"/>
        </w:rPr>
      </w:pPr>
      <w:r>
        <w:rPr>
          <w:rFonts w:eastAsia="Calibri" w:cs="Tahoma"/>
          <w:bCs/>
          <w:color w:val="auto"/>
        </w:rPr>
        <w:t xml:space="preserve"> </w:t>
      </w: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2D0AC7">
        <w:rPr>
          <w:rFonts w:eastAsia="Times New Roman" w:cs="Tahoma"/>
          <w:color w:val="auto"/>
          <w:lang w:eastAsia="es-ES"/>
        </w:rPr>
        <w:lastRenderedPageBreak/>
        <w:t>a este Instituto en un plazo de tres días hábiles siguientes sobre el cumplimiento dado a la presente.</w:t>
      </w:r>
    </w:p>
    <w:p w14:paraId="06981049" w14:textId="77777777" w:rsidR="0065265A" w:rsidRPr="002D0AC7" w:rsidRDefault="0065265A" w:rsidP="00DA4C87">
      <w:pPr>
        <w:spacing w:after="0" w:line="360" w:lineRule="auto"/>
        <w:rPr>
          <w:rFonts w:eastAsia="Calibri" w:cs="Tahoma"/>
          <w:color w:val="auto"/>
          <w:lang w:eastAsia="es-MX"/>
        </w:rPr>
      </w:pPr>
    </w:p>
    <w:p w14:paraId="357CF708" w14:textId="7F0E9ADC"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sidR="00487009">
        <w:rPr>
          <w:rFonts w:eastAsia="Times New Roman" w:cs="Tahoma"/>
          <w:bCs/>
          <w:color w:val="auto"/>
          <w:lang w:eastAsia="es-ES"/>
        </w:rPr>
        <w:t>currente la presente Resolución</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41E567DB"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Órgano </w:t>
      </w:r>
      <w:r w:rsidR="000B6657">
        <w:rPr>
          <w:rFonts w:eastAsia="Calibri" w:cs="Tahoma"/>
          <w:bCs/>
          <w:color w:val="auto"/>
        </w:rPr>
        <w:t xml:space="preserve">Interno </w:t>
      </w:r>
      <w:r w:rsidRPr="002D0AC7">
        <w:rPr>
          <w:rFonts w:eastAsia="Calibri" w:cs="Tahoma"/>
          <w:bCs/>
          <w:color w:val="auto"/>
        </w:rPr>
        <w:t xml:space="preserve">de Control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6E8943C8" w:rsidR="00EC77D9" w:rsidRPr="002D0AC7" w:rsidRDefault="00EC77D9" w:rsidP="00DA4C87">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4417">
        <w:rPr>
          <w:rFonts w:eastAsia="Calibri" w:cs="Tahoma"/>
          <w:lang w:val="es-ES" w:eastAsia="es-ES_tradnl"/>
        </w:rPr>
        <w:t xml:space="preserve">DÉCIMA </w:t>
      </w:r>
      <w:r w:rsidR="00DA1B90">
        <w:rPr>
          <w:rFonts w:eastAsia="Calibri" w:cs="Tahoma"/>
          <w:lang w:val="es-ES" w:eastAsia="es-ES_tradnl"/>
        </w:rPr>
        <w:t>SEGUNDA</w:t>
      </w:r>
      <w:r w:rsidR="004265F9">
        <w:rPr>
          <w:rFonts w:eastAsia="Calibri" w:cs="Tahoma"/>
          <w:lang w:val="es-ES" w:eastAsia="es-ES_tradnl"/>
        </w:rPr>
        <w:t xml:space="preserve"> </w:t>
      </w:r>
      <w:r w:rsidRPr="002D0AC7">
        <w:rPr>
          <w:rFonts w:eastAsia="Calibri" w:cs="Tahoma"/>
          <w:lang w:val="es-ES" w:eastAsia="es-ES_tradnl"/>
        </w:rPr>
        <w:t xml:space="preserve">SESIÓN ORDINARIA, CELEBRADA EL </w:t>
      </w:r>
      <w:r w:rsidR="00264417">
        <w:rPr>
          <w:rFonts w:eastAsia="Calibri" w:cs="Tahoma"/>
          <w:lang w:val="es-ES" w:eastAsia="es-ES_tradnl"/>
        </w:rPr>
        <w:t>VEINTI</w:t>
      </w:r>
      <w:r w:rsidR="00DA1B90">
        <w:rPr>
          <w:rFonts w:eastAsia="Calibri" w:cs="Tahoma"/>
          <w:lang w:val="es-ES" w:eastAsia="es-ES_tradnl"/>
        </w:rPr>
        <w:t>NUEVE</w:t>
      </w:r>
      <w:r w:rsidR="00264417">
        <w:rPr>
          <w:rFonts w:eastAsia="Calibri" w:cs="Tahoma"/>
          <w:lang w:val="es-ES" w:eastAsia="es-ES_tradnl"/>
        </w:rPr>
        <w:t xml:space="preserve"> DE MARZO</w:t>
      </w:r>
      <w:r w:rsidR="00365F46">
        <w:rPr>
          <w:rFonts w:eastAsia="Calibri" w:cs="Tahoma"/>
          <w:lang w:val="es-ES" w:eastAsia="es-ES_tradnl"/>
        </w:rPr>
        <w:t xml:space="preserve"> DE DOS MIL VEINTITRÉS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9E095" w14:textId="77777777" w:rsidR="00D863C6" w:rsidRDefault="00D863C6" w:rsidP="00EC77D9">
      <w:pPr>
        <w:spacing w:after="0" w:line="240" w:lineRule="auto"/>
      </w:pPr>
      <w:r>
        <w:separator/>
      </w:r>
    </w:p>
  </w:endnote>
  <w:endnote w:type="continuationSeparator" w:id="0">
    <w:p w14:paraId="29B5E615" w14:textId="77777777" w:rsidR="00D863C6" w:rsidRDefault="00D863C6"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744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744C">
              <w:rPr>
                <w:b/>
                <w:bCs/>
                <w:noProof/>
              </w:rPr>
              <w:t>21</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74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744C">
              <w:rPr>
                <w:b/>
                <w:bCs/>
                <w:noProof/>
              </w:rPr>
              <w:t>21</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3F7D7" w14:textId="77777777" w:rsidR="00D863C6" w:rsidRDefault="00D863C6" w:rsidP="00EC77D9">
      <w:pPr>
        <w:spacing w:after="0" w:line="240" w:lineRule="auto"/>
      </w:pPr>
      <w:r>
        <w:separator/>
      </w:r>
    </w:p>
  </w:footnote>
  <w:footnote w:type="continuationSeparator" w:id="0">
    <w:p w14:paraId="164A8EDF" w14:textId="77777777" w:rsidR="00D863C6" w:rsidRDefault="00D863C6"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D863C6">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143083EF" w:rsidR="001963CE" w:rsidRPr="00051642" w:rsidRDefault="00967D91" w:rsidP="00775E06">
          <w:pPr>
            <w:tabs>
              <w:tab w:val="right" w:pos="8838"/>
            </w:tabs>
            <w:ind w:right="-32"/>
            <w:rPr>
              <w:rFonts w:eastAsia="Calibri" w:cs="Tahoma"/>
            </w:rPr>
          </w:pPr>
          <w:r>
            <w:rPr>
              <w:rFonts w:eastAsia="Calibri" w:cs="Tahoma"/>
              <w:lang w:val="es-MX"/>
            </w:rPr>
            <w:t>0</w:t>
          </w:r>
          <w:r w:rsidR="00775E06">
            <w:rPr>
              <w:rFonts w:eastAsia="Calibri" w:cs="Tahoma"/>
              <w:lang w:val="es-MX"/>
            </w:rPr>
            <w:t>101</w:t>
          </w:r>
          <w:r w:rsidR="005B7041">
            <w:rPr>
              <w:rFonts w:eastAsia="Calibri" w:cs="Tahoma"/>
              <w:lang w:val="es-MX"/>
            </w:rPr>
            <w:t>1</w:t>
          </w:r>
          <w:r>
            <w:rPr>
              <w:rFonts w:eastAsia="Calibri" w:cs="Tahoma"/>
              <w:lang w:val="es-MX"/>
            </w:rPr>
            <w:t>/INFOEM/IP/RR/2023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03F9F0B4" w:rsidR="009E6F8A" w:rsidRPr="00051642" w:rsidRDefault="000C006D" w:rsidP="005B7041">
          <w:pPr>
            <w:tabs>
              <w:tab w:val="right" w:pos="8838"/>
            </w:tabs>
            <w:ind w:left="-28" w:right="-32"/>
            <w:rPr>
              <w:rFonts w:eastAsia="Calibri" w:cs="Tahoma"/>
              <w:lang w:val="es-MX"/>
            </w:rPr>
          </w:pPr>
          <w:r>
            <w:rPr>
              <w:color w:val="000000"/>
            </w:rPr>
            <w:t xml:space="preserve">Ayuntamiento de </w:t>
          </w:r>
          <w:r w:rsidR="00775E06" w:rsidRPr="00775E06">
            <w:rPr>
              <w:color w:val="000000"/>
            </w:rPr>
            <w:t>Tepetlixpa</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D863C6"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006E2079">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7164E19E" w:rsidR="001963CE" w:rsidRPr="00051642" w:rsidRDefault="005B7041" w:rsidP="00775E06">
          <w:pPr>
            <w:tabs>
              <w:tab w:val="right" w:pos="8838"/>
            </w:tabs>
            <w:ind w:left="-111" w:right="-32"/>
            <w:rPr>
              <w:rFonts w:eastAsia="Calibri" w:cs="Tahoma"/>
            </w:rPr>
          </w:pPr>
          <w:r>
            <w:rPr>
              <w:rFonts w:eastAsia="Calibri" w:cs="Tahoma"/>
              <w:lang w:val="es-MX"/>
            </w:rPr>
            <w:t>0</w:t>
          </w:r>
          <w:r w:rsidR="00775E06">
            <w:rPr>
              <w:rFonts w:eastAsia="Calibri" w:cs="Tahoma"/>
              <w:lang w:val="es-MX"/>
            </w:rPr>
            <w:t>101</w:t>
          </w:r>
          <w:r>
            <w:rPr>
              <w:rFonts w:eastAsia="Calibri" w:cs="Tahoma"/>
              <w:lang w:val="es-MX"/>
            </w:rPr>
            <w:t>1</w:t>
          </w:r>
          <w:r w:rsidR="00967D91">
            <w:rPr>
              <w:rFonts w:eastAsia="Calibri" w:cs="Tahoma"/>
              <w:lang w:val="es-MX"/>
            </w:rPr>
            <w:t>/INFOEM/IP/RR/2023</w:t>
          </w:r>
        </w:p>
      </w:tc>
    </w:tr>
    <w:tr w:rsidR="001963CE" w:rsidRPr="00E152D8" w14:paraId="5E1FE5FD" w14:textId="77777777" w:rsidTr="006E2079">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8D8C802"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6E2079">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5D22EEE2" w:rsidR="001963CE" w:rsidRPr="00463532" w:rsidRDefault="000C006D" w:rsidP="005B7041">
          <w:pPr>
            <w:tabs>
              <w:tab w:val="right" w:pos="8838"/>
            </w:tabs>
            <w:ind w:left="-111" w:right="-32"/>
            <w:rPr>
              <w:rFonts w:eastAsia="Calibri" w:cs="Tahoma"/>
              <w:lang w:val="es-MX"/>
            </w:rPr>
          </w:pPr>
          <w:r>
            <w:rPr>
              <w:color w:val="000000"/>
            </w:rPr>
            <w:t xml:space="preserve">Ayuntamiento de </w:t>
          </w:r>
          <w:r w:rsidR="00775E06" w:rsidRPr="00775E06">
            <w:rPr>
              <w:color w:val="000000"/>
            </w:rPr>
            <w:t>Tepetlixpa</w:t>
          </w:r>
        </w:p>
      </w:tc>
    </w:tr>
    <w:tr w:rsidR="001963CE" w:rsidRPr="00E152D8" w14:paraId="3EC166B6" w14:textId="77777777" w:rsidTr="006E2079">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D863C6"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03B7677"/>
    <w:multiLevelType w:val="hybridMultilevel"/>
    <w:tmpl w:val="2D568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9"/>
  </w:num>
  <w:num w:numId="6">
    <w:abstractNumId w:val="0"/>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5655"/>
    <w:rsid w:val="000144E2"/>
    <w:rsid w:val="00020AB8"/>
    <w:rsid w:val="0003117E"/>
    <w:rsid w:val="00047686"/>
    <w:rsid w:val="00077B14"/>
    <w:rsid w:val="00081C90"/>
    <w:rsid w:val="000823E5"/>
    <w:rsid w:val="000B6657"/>
    <w:rsid w:val="000C006D"/>
    <w:rsid w:val="000D30AB"/>
    <w:rsid w:val="000E18DA"/>
    <w:rsid w:val="000E465E"/>
    <w:rsid w:val="000F5705"/>
    <w:rsid w:val="00107737"/>
    <w:rsid w:val="00122140"/>
    <w:rsid w:val="0013258E"/>
    <w:rsid w:val="001448D9"/>
    <w:rsid w:val="00152D29"/>
    <w:rsid w:val="00172038"/>
    <w:rsid w:val="001756F2"/>
    <w:rsid w:val="00182C11"/>
    <w:rsid w:val="001928BD"/>
    <w:rsid w:val="001952CF"/>
    <w:rsid w:val="001963CE"/>
    <w:rsid w:val="00196794"/>
    <w:rsid w:val="001B0790"/>
    <w:rsid w:val="001F55A5"/>
    <w:rsid w:val="00206B4A"/>
    <w:rsid w:val="00264368"/>
    <w:rsid w:val="00264417"/>
    <w:rsid w:val="00265B53"/>
    <w:rsid w:val="002762F3"/>
    <w:rsid w:val="00295EEF"/>
    <w:rsid w:val="002A5660"/>
    <w:rsid w:val="002C2D1F"/>
    <w:rsid w:val="002D1602"/>
    <w:rsid w:val="002D2283"/>
    <w:rsid w:val="002E494B"/>
    <w:rsid w:val="002F744C"/>
    <w:rsid w:val="003044BA"/>
    <w:rsid w:val="00311C91"/>
    <w:rsid w:val="00341982"/>
    <w:rsid w:val="00356A74"/>
    <w:rsid w:val="003573E6"/>
    <w:rsid w:val="00363848"/>
    <w:rsid w:val="00365A89"/>
    <w:rsid w:val="00365F46"/>
    <w:rsid w:val="003868E6"/>
    <w:rsid w:val="003A2D05"/>
    <w:rsid w:val="003A5DD0"/>
    <w:rsid w:val="003B69FE"/>
    <w:rsid w:val="003D0090"/>
    <w:rsid w:val="003E3B2A"/>
    <w:rsid w:val="003F6D2C"/>
    <w:rsid w:val="004061A3"/>
    <w:rsid w:val="004265F9"/>
    <w:rsid w:val="00430E8A"/>
    <w:rsid w:val="004433D1"/>
    <w:rsid w:val="00451C54"/>
    <w:rsid w:val="00454CCA"/>
    <w:rsid w:val="00463532"/>
    <w:rsid w:val="00465182"/>
    <w:rsid w:val="00487009"/>
    <w:rsid w:val="00494A1F"/>
    <w:rsid w:val="00494ADB"/>
    <w:rsid w:val="004B0889"/>
    <w:rsid w:val="004B54D0"/>
    <w:rsid w:val="004C60E1"/>
    <w:rsid w:val="004D6600"/>
    <w:rsid w:val="004D7869"/>
    <w:rsid w:val="004E3BF4"/>
    <w:rsid w:val="004E44D2"/>
    <w:rsid w:val="004E4727"/>
    <w:rsid w:val="004F0B89"/>
    <w:rsid w:val="004F1F79"/>
    <w:rsid w:val="00522200"/>
    <w:rsid w:val="0054037C"/>
    <w:rsid w:val="00541CD3"/>
    <w:rsid w:val="005439B3"/>
    <w:rsid w:val="00563865"/>
    <w:rsid w:val="0058579C"/>
    <w:rsid w:val="005B18B6"/>
    <w:rsid w:val="005B7041"/>
    <w:rsid w:val="005B78CE"/>
    <w:rsid w:val="005D1AB8"/>
    <w:rsid w:val="005E621D"/>
    <w:rsid w:val="005F71FE"/>
    <w:rsid w:val="005F7AB9"/>
    <w:rsid w:val="006237A9"/>
    <w:rsid w:val="00636809"/>
    <w:rsid w:val="00645086"/>
    <w:rsid w:val="0065265A"/>
    <w:rsid w:val="00657F1C"/>
    <w:rsid w:val="006607EA"/>
    <w:rsid w:val="006724BD"/>
    <w:rsid w:val="00683E00"/>
    <w:rsid w:val="00686C69"/>
    <w:rsid w:val="00687A5B"/>
    <w:rsid w:val="00695D3F"/>
    <w:rsid w:val="006A271A"/>
    <w:rsid w:val="006C291D"/>
    <w:rsid w:val="006C35BB"/>
    <w:rsid w:val="006C5476"/>
    <w:rsid w:val="006D2E71"/>
    <w:rsid w:val="006E2079"/>
    <w:rsid w:val="006E4CE6"/>
    <w:rsid w:val="006F011A"/>
    <w:rsid w:val="007202EE"/>
    <w:rsid w:val="007415D5"/>
    <w:rsid w:val="00747C89"/>
    <w:rsid w:val="007505E8"/>
    <w:rsid w:val="00765091"/>
    <w:rsid w:val="007746E8"/>
    <w:rsid w:val="00775E06"/>
    <w:rsid w:val="00777B4B"/>
    <w:rsid w:val="00782DF8"/>
    <w:rsid w:val="007A3765"/>
    <w:rsid w:val="007C744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262A"/>
    <w:rsid w:val="00894760"/>
    <w:rsid w:val="008A0647"/>
    <w:rsid w:val="008A3936"/>
    <w:rsid w:val="008B52CB"/>
    <w:rsid w:val="008C0FBF"/>
    <w:rsid w:val="008C1A3E"/>
    <w:rsid w:val="008C7A9D"/>
    <w:rsid w:val="008F6BE3"/>
    <w:rsid w:val="00911580"/>
    <w:rsid w:val="0093261A"/>
    <w:rsid w:val="00933BDE"/>
    <w:rsid w:val="0093576C"/>
    <w:rsid w:val="00955848"/>
    <w:rsid w:val="00960B9D"/>
    <w:rsid w:val="00967D91"/>
    <w:rsid w:val="0097492D"/>
    <w:rsid w:val="00975E93"/>
    <w:rsid w:val="00985D8F"/>
    <w:rsid w:val="009E6F8A"/>
    <w:rsid w:val="00A04A3E"/>
    <w:rsid w:val="00A2050F"/>
    <w:rsid w:val="00A3160A"/>
    <w:rsid w:val="00A50DDF"/>
    <w:rsid w:val="00A6387F"/>
    <w:rsid w:val="00A64BAC"/>
    <w:rsid w:val="00A9167D"/>
    <w:rsid w:val="00AA0825"/>
    <w:rsid w:val="00AA4DA6"/>
    <w:rsid w:val="00AA6390"/>
    <w:rsid w:val="00AA7612"/>
    <w:rsid w:val="00AB2B19"/>
    <w:rsid w:val="00AB6B13"/>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422E3"/>
    <w:rsid w:val="00C47955"/>
    <w:rsid w:val="00C50842"/>
    <w:rsid w:val="00C555B3"/>
    <w:rsid w:val="00C60547"/>
    <w:rsid w:val="00C63854"/>
    <w:rsid w:val="00C71C92"/>
    <w:rsid w:val="00C867B6"/>
    <w:rsid w:val="00C92269"/>
    <w:rsid w:val="00CB14D9"/>
    <w:rsid w:val="00CB7980"/>
    <w:rsid w:val="00CD06FB"/>
    <w:rsid w:val="00CE0477"/>
    <w:rsid w:val="00CE3521"/>
    <w:rsid w:val="00CF5BEA"/>
    <w:rsid w:val="00D00E7E"/>
    <w:rsid w:val="00D01379"/>
    <w:rsid w:val="00D10868"/>
    <w:rsid w:val="00D26876"/>
    <w:rsid w:val="00D47421"/>
    <w:rsid w:val="00D806B5"/>
    <w:rsid w:val="00D84796"/>
    <w:rsid w:val="00D863C6"/>
    <w:rsid w:val="00DA1B90"/>
    <w:rsid w:val="00DA4C87"/>
    <w:rsid w:val="00DC349B"/>
    <w:rsid w:val="00DC3802"/>
    <w:rsid w:val="00DC6ABD"/>
    <w:rsid w:val="00DD322B"/>
    <w:rsid w:val="00DD6E79"/>
    <w:rsid w:val="00DE492D"/>
    <w:rsid w:val="00E003E9"/>
    <w:rsid w:val="00E009E7"/>
    <w:rsid w:val="00E075E2"/>
    <w:rsid w:val="00E27788"/>
    <w:rsid w:val="00E36E12"/>
    <w:rsid w:val="00E40057"/>
    <w:rsid w:val="00E511FA"/>
    <w:rsid w:val="00E538D1"/>
    <w:rsid w:val="00E62EAF"/>
    <w:rsid w:val="00E6326B"/>
    <w:rsid w:val="00E84FAD"/>
    <w:rsid w:val="00EA0E69"/>
    <w:rsid w:val="00EA102B"/>
    <w:rsid w:val="00EB31FC"/>
    <w:rsid w:val="00EB6538"/>
    <w:rsid w:val="00EC77D9"/>
    <w:rsid w:val="00EE0509"/>
    <w:rsid w:val="00F10CB5"/>
    <w:rsid w:val="00F13747"/>
    <w:rsid w:val="00F27576"/>
    <w:rsid w:val="00F67477"/>
    <w:rsid w:val="00F84FF3"/>
    <w:rsid w:val="00F91C5A"/>
    <w:rsid w:val="00FA29C4"/>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customStyle="1" w:styleId="Tablaconcuadrcula3">
    <w:name w:val="Tabla con cuadrícula3"/>
    <w:basedOn w:val="Tablanormal"/>
    <w:next w:val="Tablaconcuadrcula"/>
    <w:uiPriority w:val="59"/>
    <w:rsid w:val="00DD322B"/>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o.tips/download/guia-tecnica-8-la-contabilidad-y-la-cuenta-publica-municip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D701-E4DB-4E95-A8F9-B87200A1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5306</Words>
  <Characters>29186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2023-03-27T23:19:00Z</dcterms:created>
  <dcterms:modified xsi:type="dcterms:W3CDTF">2023-03-27T23:19:00Z</dcterms:modified>
</cp:coreProperties>
</file>