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4020" w:rsidRPr="0098686D" w:rsidRDefault="00164A65">
      <w:pPr>
        <w:spacing w:before="240" w:after="0" w:line="360" w:lineRule="auto"/>
        <w:ind w:right="49"/>
        <w:jc w:val="both"/>
        <w:rPr>
          <w:rFonts w:ascii="Palatino Linotype" w:eastAsia="Palatino Linotype" w:hAnsi="Palatino Linotype" w:cs="Palatino Linotype"/>
          <w:sz w:val="24"/>
          <w:szCs w:val="24"/>
        </w:rPr>
      </w:pPr>
      <w:bookmarkStart w:id="0" w:name="_GoBack"/>
      <w:bookmarkEnd w:id="0"/>
      <w:r w:rsidRPr="0098686D">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5E7DAB" w:rsidRPr="0098686D">
        <w:rPr>
          <w:rFonts w:ascii="Palatino Linotype" w:eastAsia="Palatino Linotype" w:hAnsi="Palatino Linotype" w:cs="Palatino Linotype"/>
          <w:sz w:val="24"/>
          <w:szCs w:val="24"/>
        </w:rPr>
        <w:t>catorce</w:t>
      </w:r>
      <w:r w:rsidRPr="0098686D">
        <w:rPr>
          <w:rFonts w:ascii="Palatino Linotype" w:eastAsia="Palatino Linotype" w:hAnsi="Palatino Linotype" w:cs="Palatino Linotype"/>
          <w:sz w:val="24"/>
          <w:szCs w:val="24"/>
        </w:rPr>
        <w:t xml:space="preserve"> de </w:t>
      </w:r>
      <w:r w:rsidR="005E7DAB" w:rsidRPr="0098686D">
        <w:rPr>
          <w:rFonts w:ascii="Palatino Linotype" w:eastAsia="Palatino Linotype" w:hAnsi="Palatino Linotype" w:cs="Palatino Linotype"/>
          <w:sz w:val="24"/>
          <w:szCs w:val="24"/>
        </w:rPr>
        <w:t>juni</w:t>
      </w:r>
      <w:r w:rsidRPr="0098686D">
        <w:rPr>
          <w:rFonts w:ascii="Palatino Linotype" w:eastAsia="Palatino Linotype" w:hAnsi="Palatino Linotype" w:cs="Palatino Linotype"/>
          <w:sz w:val="24"/>
          <w:szCs w:val="24"/>
        </w:rPr>
        <w:t>o de dos mil veintitrés.</w:t>
      </w:r>
    </w:p>
    <w:p w:rsidR="00E74020" w:rsidRPr="0098686D" w:rsidRDefault="00E74020"/>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Visto </w:t>
      </w:r>
      <w:r w:rsidRPr="0098686D">
        <w:rPr>
          <w:rFonts w:ascii="Palatino Linotype" w:eastAsia="Palatino Linotype" w:hAnsi="Palatino Linotype" w:cs="Palatino Linotype"/>
          <w:sz w:val="24"/>
          <w:szCs w:val="24"/>
        </w:rPr>
        <w:t xml:space="preserve">el expediente relativo a los recursos de revisión número </w:t>
      </w:r>
      <w:r w:rsidRPr="0098686D">
        <w:rPr>
          <w:rFonts w:ascii="Palatino Linotype" w:eastAsia="Palatino Linotype" w:hAnsi="Palatino Linotype" w:cs="Palatino Linotype"/>
          <w:b/>
          <w:sz w:val="24"/>
          <w:szCs w:val="24"/>
        </w:rPr>
        <w:t xml:space="preserve">15624/INFOEM/IP/RR/2022 15625/INFOEM/IP/RR/2022, 15626/INFOEM/IP/RR/2022, 15627/INFOEM/IP/RR/2022 </w:t>
      </w:r>
      <w:r w:rsidRPr="0098686D">
        <w:rPr>
          <w:rFonts w:ascii="Palatino Linotype" w:eastAsia="Palatino Linotype" w:hAnsi="Palatino Linotype" w:cs="Palatino Linotype"/>
          <w:sz w:val="24"/>
          <w:szCs w:val="24"/>
        </w:rPr>
        <w:t xml:space="preserve">y </w:t>
      </w:r>
      <w:r w:rsidRPr="0098686D">
        <w:rPr>
          <w:rFonts w:ascii="Palatino Linotype" w:eastAsia="Palatino Linotype" w:hAnsi="Palatino Linotype" w:cs="Palatino Linotype"/>
          <w:b/>
          <w:sz w:val="24"/>
          <w:szCs w:val="24"/>
        </w:rPr>
        <w:t>15628/INFOEM/IP/RR/2022</w:t>
      </w:r>
      <w:r w:rsidRPr="0098686D">
        <w:rPr>
          <w:rFonts w:ascii="Palatino Linotype" w:eastAsia="Palatino Linotype" w:hAnsi="Palatino Linotype" w:cs="Palatino Linotype"/>
        </w:rPr>
        <w:t xml:space="preserve"> </w:t>
      </w:r>
      <w:r w:rsidRPr="0098686D">
        <w:rPr>
          <w:rFonts w:ascii="Palatino Linotype" w:eastAsia="Palatino Linotype" w:hAnsi="Palatino Linotype" w:cs="Palatino Linotype"/>
          <w:sz w:val="24"/>
          <w:szCs w:val="24"/>
        </w:rPr>
        <w:t xml:space="preserve">interpuestos por un particular de manera anónima, al cual en lo sucesivo se le denominara </w:t>
      </w:r>
      <w:r w:rsidR="00245641" w:rsidRPr="0098686D">
        <w:rPr>
          <w:rFonts w:ascii="Palatino Linotype" w:eastAsia="Palatino Linotype" w:hAnsi="Palatino Linotype" w:cs="Palatino Linotype"/>
          <w:b/>
          <w:sz w:val="24"/>
          <w:szCs w:val="24"/>
        </w:rPr>
        <w:t>LA PARTE</w:t>
      </w:r>
      <w:r w:rsidRPr="0098686D">
        <w:rPr>
          <w:rFonts w:ascii="Palatino Linotype" w:eastAsia="Palatino Linotype" w:hAnsi="Palatino Linotype" w:cs="Palatino Linotype"/>
          <w:b/>
          <w:sz w:val="24"/>
          <w:szCs w:val="24"/>
        </w:rPr>
        <w:t xml:space="preserve"> RECURRENTE</w:t>
      </w:r>
      <w:r w:rsidRPr="0098686D">
        <w:rPr>
          <w:rFonts w:ascii="Palatino Linotype" w:eastAsia="Palatino Linotype" w:hAnsi="Palatino Linotype" w:cs="Palatino Linotype"/>
          <w:sz w:val="24"/>
          <w:szCs w:val="24"/>
        </w:rPr>
        <w:t xml:space="preserve">, en contra de las respuestas a la solicitudes de información con número de folio </w:t>
      </w:r>
      <w:r w:rsidRPr="0098686D">
        <w:rPr>
          <w:rFonts w:ascii="Palatino Linotype" w:eastAsia="Palatino Linotype" w:hAnsi="Palatino Linotype" w:cs="Palatino Linotype"/>
          <w:b/>
          <w:sz w:val="24"/>
          <w:szCs w:val="24"/>
        </w:rPr>
        <w:t>00444/SF/IP/2022,  00440/SF/IP/2022</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00439/SF/IP/2022</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sz w:val="24"/>
          <w:szCs w:val="24"/>
        </w:rPr>
        <w:tab/>
      </w:r>
      <w:r w:rsidRPr="0098686D">
        <w:rPr>
          <w:rFonts w:ascii="Palatino Linotype" w:eastAsia="Palatino Linotype" w:hAnsi="Palatino Linotype" w:cs="Palatino Linotype"/>
          <w:b/>
          <w:sz w:val="24"/>
          <w:szCs w:val="24"/>
        </w:rPr>
        <w:t>00438/SF/IP/2022</w:t>
      </w:r>
      <w:r w:rsidRPr="0098686D">
        <w:rPr>
          <w:rFonts w:ascii="Palatino Linotype" w:eastAsia="Palatino Linotype" w:hAnsi="Palatino Linotype" w:cs="Palatino Linotype"/>
          <w:sz w:val="24"/>
          <w:szCs w:val="24"/>
        </w:rPr>
        <w:t xml:space="preserve"> y </w:t>
      </w:r>
      <w:r w:rsidRPr="0098686D">
        <w:rPr>
          <w:rFonts w:ascii="Palatino Linotype" w:eastAsia="Palatino Linotype" w:hAnsi="Palatino Linotype" w:cs="Palatino Linotype"/>
          <w:sz w:val="24"/>
          <w:szCs w:val="24"/>
        </w:rPr>
        <w:tab/>
        <w:t xml:space="preserve"> </w:t>
      </w:r>
      <w:r w:rsidRPr="0098686D">
        <w:rPr>
          <w:rFonts w:ascii="Palatino Linotype" w:eastAsia="Palatino Linotype" w:hAnsi="Palatino Linotype" w:cs="Palatino Linotype"/>
          <w:b/>
          <w:sz w:val="24"/>
          <w:szCs w:val="24"/>
        </w:rPr>
        <w:t>00436/SF/IP/2022</w:t>
      </w:r>
      <w:r w:rsidRPr="0098686D">
        <w:rPr>
          <w:rFonts w:ascii="Palatino Linotype" w:eastAsia="Palatino Linotype" w:hAnsi="Palatino Linotype" w:cs="Palatino Linotype"/>
          <w:sz w:val="24"/>
          <w:szCs w:val="24"/>
        </w:rPr>
        <w:t xml:space="preserve"> por parte de la Secretaría de Finanzas, en lo sucesivo </w:t>
      </w:r>
      <w:r w:rsidRPr="0098686D">
        <w:rPr>
          <w:rFonts w:ascii="Palatino Linotype" w:eastAsia="Palatino Linotype" w:hAnsi="Palatino Linotype" w:cs="Palatino Linotype"/>
          <w:b/>
          <w:sz w:val="24"/>
          <w:szCs w:val="24"/>
        </w:rPr>
        <w:t>EL</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 xml:space="preserve">SUJETO OBLIGADO; </w:t>
      </w:r>
      <w:r w:rsidRPr="0098686D">
        <w:rPr>
          <w:rFonts w:ascii="Palatino Linotype" w:eastAsia="Palatino Linotype" w:hAnsi="Palatino Linotype" w:cs="Palatino Linotype"/>
          <w:sz w:val="24"/>
          <w:szCs w:val="24"/>
        </w:rPr>
        <w:t>se procede a dictar la presente resolución, con base en lo siguiente.</w:t>
      </w:r>
    </w:p>
    <w:p w:rsidR="00E74020" w:rsidRPr="0098686D" w:rsidRDefault="00E74020"/>
    <w:p w:rsidR="00E74020" w:rsidRPr="0098686D" w:rsidRDefault="00164A65">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r w:rsidRPr="0098686D">
        <w:rPr>
          <w:rFonts w:ascii="Palatino Linotype" w:eastAsia="Palatino Linotype" w:hAnsi="Palatino Linotype" w:cs="Palatino Linotype"/>
          <w:b/>
        </w:rPr>
        <w:t>A N T E C E D E N T E S:</w:t>
      </w:r>
    </w:p>
    <w:p w:rsidR="00E74020" w:rsidRPr="0098686D" w:rsidRDefault="00E74020">
      <w:pPr>
        <w:pBdr>
          <w:top w:val="nil"/>
          <w:left w:val="nil"/>
          <w:bottom w:val="nil"/>
          <w:right w:val="nil"/>
          <w:between w:val="nil"/>
        </w:pBdr>
        <w:spacing w:after="0" w:line="360" w:lineRule="auto"/>
        <w:ind w:left="1077"/>
        <w:jc w:val="center"/>
        <w:rPr>
          <w:rFonts w:ascii="Palatino Linotype" w:eastAsia="Palatino Linotype" w:hAnsi="Palatino Linotype" w:cs="Palatino Linotype"/>
          <w:b/>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1.</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 xml:space="preserve">SOLICITUD DE INFORMACIÓN. </w:t>
      </w:r>
      <w:r w:rsidR="00A3622B" w:rsidRPr="0098686D">
        <w:rPr>
          <w:rFonts w:ascii="Palatino Linotype" w:eastAsia="Palatino Linotype" w:hAnsi="Palatino Linotype" w:cs="Palatino Linotype"/>
          <w:sz w:val="24"/>
          <w:szCs w:val="24"/>
        </w:rPr>
        <w:t xml:space="preserve">El </w:t>
      </w:r>
      <w:r w:rsidR="00A3622B" w:rsidRPr="0098686D">
        <w:rPr>
          <w:rFonts w:ascii="Palatino Linotype" w:eastAsia="Palatino Linotype" w:hAnsi="Palatino Linotype" w:cs="Palatino Linotype"/>
          <w:b/>
          <w:sz w:val="24"/>
          <w:szCs w:val="24"/>
        </w:rPr>
        <w:t xml:space="preserve">veinte </w:t>
      </w:r>
      <w:r w:rsidRPr="0098686D">
        <w:rPr>
          <w:rFonts w:ascii="Palatino Linotype" w:eastAsia="Palatino Linotype" w:hAnsi="Palatino Linotype" w:cs="Palatino Linotype"/>
          <w:b/>
          <w:sz w:val="24"/>
          <w:szCs w:val="24"/>
        </w:rPr>
        <w:t>de septiembre de dos mil veintidós</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EL</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RECURRENTE</w:t>
      </w:r>
      <w:r w:rsidRPr="0098686D">
        <w:rPr>
          <w:rFonts w:ascii="Palatino Linotype" w:eastAsia="Palatino Linotype" w:hAnsi="Palatino Linotype" w:cs="Palatino Linotype"/>
          <w:sz w:val="24"/>
          <w:szCs w:val="24"/>
        </w:rPr>
        <w:t xml:space="preserve"> formuló solicitudes de acceso a información pública a través del </w:t>
      </w:r>
      <w:r w:rsidRPr="0098686D">
        <w:rPr>
          <w:rFonts w:ascii="Palatino Linotype" w:eastAsia="Palatino Linotype" w:hAnsi="Palatino Linotype" w:cs="Palatino Linotype"/>
          <w:b/>
          <w:sz w:val="24"/>
          <w:szCs w:val="24"/>
        </w:rPr>
        <w:t>SAIMEX,</w:t>
      </w:r>
      <w:r w:rsidRPr="0098686D">
        <w:rPr>
          <w:rFonts w:ascii="Palatino Linotype" w:eastAsia="Palatino Linotype" w:hAnsi="Palatino Linotype" w:cs="Palatino Linotype"/>
          <w:sz w:val="24"/>
          <w:szCs w:val="24"/>
        </w:rPr>
        <w:t xml:space="preserve"> en las que requirió lo siguiente:</w:t>
      </w:r>
    </w:p>
    <w:p w:rsidR="00E74020" w:rsidRPr="0098686D" w:rsidRDefault="00E74020">
      <w:pPr>
        <w:spacing w:line="360" w:lineRule="auto"/>
        <w:jc w:val="both"/>
        <w:rPr>
          <w:rFonts w:ascii="Palatino Linotype" w:eastAsia="Palatino Linotype" w:hAnsi="Palatino Linotype" w:cs="Palatino Linotype"/>
        </w:rPr>
      </w:pPr>
    </w:p>
    <w:tbl>
      <w:tblPr>
        <w:tblStyle w:val="a"/>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98686D" w:rsidRPr="0098686D">
        <w:tc>
          <w:tcPr>
            <w:tcW w:w="3256" w:type="dxa"/>
            <w:shd w:val="clear" w:color="auto" w:fill="D9D9D9"/>
          </w:tcPr>
          <w:p w:rsidR="00E74020" w:rsidRPr="0098686D" w:rsidRDefault="00164A65">
            <w:pPr>
              <w:spacing w:line="360" w:lineRule="auto"/>
              <w:jc w:val="both"/>
              <w:rPr>
                <w:rFonts w:ascii="Palatino Linotype" w:eastAsia="Palatino Linotype" w:hAnsi="Palatino Linotype" w:cs="Palatino Linotype"/>
                <w:b/>
                <w:i/>
              </w:rPr>
            </w:pPr>
            <w:bookmarkStart w:id="1" w:name="_heading=h.1fob9te" w:colFirst="0" w:colLast="0"/>
            <w:bookmarkEnd w:id="1"/>
            <w:r w:rsidRPr="0098686D">
              <w:rPr>
                <w:rFonts w:ascii="Palatino Linotype" w:eastAsia="Palatino Linotype" w:hAnsi="Palatino Linotype" w:cs="Palatino Linotype"/>
                <w:b/>
                <w:i/>
              </w:rPr>
              <w:t>Número de solicitud</w:t>
            </w:r>
          </w:p>
        </w:tc>
        <w:tc>
          <w:tcPr>
            <w:tcW w:w="5670" w:type="dxa"/>
            <w:shd w:val="clear" w:color="auto" w:fill="D9D9D9"/>
          </w:tcPr>
          <w:p w:rsidR="00E74020" w:rsidRPr="0098686D" w:rsidRDefault="00164A65">
            <w:pPr>
              <w:spacing w:line="360" w:lineRule="auto"/>
              <w:jc w:val="center"/>
              <w:rPr>
                <w:rFonts w:ascii="Palatino Linotype" w:eastAsia="Palatino Linotype" w:hAnsi="Palatino Linotype" w:cs="Palatino Linotype"/>
                <w:b/>
                <w:i/>
              </w:rPr>
            </w:pPr>
            <w:r w:rsidRPr="0098686D">
              <w:rPr>
                <w:rFonts w:ascii="Palatino Linotype" w:eastAsia="Palatino Linotype" w:hAnsi="Palatino Linotype" w:cs="Palatino Linotype"/>
                <w:b/>
                <w:i/>
              </w:rPr>
              <w:t>Información requerida.</w:t>
            </w:r>
          </w:p>
        </w:tc>
      </w:tr>
      <w:tr w:rsidR="0098686D" w:rsidRPr="0098686D">
        <w:tc>
          <w:tcPr>
            <w:tcW w:w="3256" w:type="dxa"/>
          </w:tcPr>
          <w:p w:rsidR="00E74020" w:rsidRPr="0098686D" w:rsidRDefault="00164A65">
            <w:pPr>
              <w:spacing w:line="360" w:lineRule="auto"/>
              <w:jc w:val="both"/>
              <w:rPr>
                <w:rFonts w:ascii="Palatino Linotype" w:eastAsia="Palatino Linotype" w:hAnsi="Palatino Linotype" w:cs="Palatino Linotype"/>
                <w:b/>
                <w:i/>
              </w:rPr>
            </w:pPr>
            <w:bookmarkStart w:id="2" w:name="_heading=h.3znysh7" w:colFirst="0" w:colLast="0"/>
            <w:bookmarkEnd w:id="2"/>
            <w:r w:rsidRPr="0098686D">
              <w:rPr>
                <w:rFonts w:ascii="Palatino Linotype" w:eastAsia="Palatino Linotype" w:hAnsi="Palatino Linotype" w:cs="Palatino Linotype"/>
                <w:b/>
                <w:i/>
              </w:rPr>
              <w:lastRenderedPageBreak/>
              <w:t>00444/SF/IP/2022</w:t>
            </w:r>
            <w:r w:rsidRPr="0098686D">
              <w:rPr>
                <w:rFonts w:ascii="Palatino Linotype" w:eastAsia="Palatino Linotype" w:hAnsi="Palatino Linotype" w:cs="Palatino Linotype"/>
                <w:b/>
                <w:i/>
              </w:rPr>
              <w:tab/>
            </w:r>
          </w:p>
        </w:tc>
        <w:tc>
          <w:tcPr>
            <w:tcW w:w="5670" w:type="dxa"/>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SE SOLICITA QUE EL SUJETO OBLIGADO SECRETARÍA DE FINANZAS INFORME SOBRE LA CANTIDAD TOTAL RECAUDADA Y EL DESTINO OTORGADO A LOS RECURSOS ESTATALES PROVENIENTES DE LAS CONTRIBUCIONES QUE REALIZARON LOS DESARROLLADORES INMOBILIARIOS POR CONCEPTO DE APORTACIONES DE MEJORAS PARA OBRAS DE IMPACTO DURANTE LOS PERÍODOS COMPRENDIDOS ENTRE EL 1 DE ENERO AL 31 DE DICIEMBRE DEL AÑO 2020 ENTRE EL 1 DE ENERO AL 31 DE DICIEMBRE DEL AÑO 2021; ENTRE EL 1 DE ENERO AL 20 DE SEPTEMBRE DEL AÑO 2022; Y SI LO RECURSOS FUERON ENTREGADOS O NO DURANTE ESOS AÑOS Y/O PERIODO EN CURSO Y EL MONTO TOTAL A CADA UNO DE LOS SIGUIENTES MUNICIPIOS DEL ESTADO DE MÉXICO: TECÁMAC, ECATEPEC, TONANITLA, VALLE DE CHALCO SOLIDARIDAD, SOYANIQUILPAN, TULTITLÁN, COACALCO, METEPEC, TEOTIHUACÁN, SAN MARTÍN DE LAS PIRÁMIDES, VILLA DEL CARBÓN, ZINACANTEPEC, SAN JOSÉ DEL RINCÓN, NAUCALPAN, ATIZAPÁN DE ZARAGOZA Y TLALNEPANTLA CONFORME LO ESTABLECIDO EN LOS ARTÍCULOS ARTÍCULO 216 A Y 216 F DEL CÓDIGO FINANCIERO DEL ESTADO DE MÉXICO Y MUNICIPIOS VIGENTE EN CADA AÑO SEÑALADO.</w:t>
            </w:r>
          </w:p>
        </w:tc>
      </w:tr>
      <w:tr w:rsidR="0098686D" w:rsidRPr="0098686D">
        <w:tc>
          <w:tcPr>
            <w:tcW w:w="3256" w:type="dxa"/>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00440/SF/IP/2022</w:t>
            </w:r>
          </w:p>
        </w:tc>
        <w:tc>
          <w:tcPr>
            <w:tcW w:w="5670" w:type="dxa"/>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SE SOLICITA QUE EL SUJETO OBLIGADO SECRETARÍA DE FINANZAS INFORME SOBRE LA CANTIDAD TOTAL RECAUDADA Y EL DESTINO OTORGADO A LOS RECURSOS ESTATALES PROVENIENTES DE LAS CONTRIBUCIONES QUE REALIZARON LOS DESARROLLADORES </w:t>
            </w:r>
            <w:r w:rsidRPr="0098686D">
              <w:rPr>
                <w:rFonts w:ascii="Palatino Linotype" w:eastAsia="Palatino Linotype" w:hAnsi="Palatino Linotype" w:cs="Palatino Linotype"/>
                <w:i/>
              </w:rPr>
              <w:lastRenderedPageBreak/>
              <w:t>INMOBILIARIOS POR CONCEPTO DE APORTACIONES DE MEJORAS PARA OBRAS DE IMPACTO DURANTE LOS PERÍODOS COMPRENDIDOS ENTRE EL 1 DE ENERO AL 31 DE DICIEMBRE DEL AÑO 2015 ENTRE EL 1 DE ENERO AL 31 DE DICIEMBRE DEL AÑO 2016; ENTRE EL 1 DE ENERO AL 31 DE DICIEMBRE DEL AÑO 2017; ENTRE EL 1 DE ENERO AL 31 DE DICIEMBRE DEL AÑO 2018; ENTRE EL 1 DE ENERO AL 31 DE DICIEMBRE DEL AÑO 2019 Y SI LO RECURSOS FUERON ENTREGADOS O NO DURANTE ESOS AÑOS Y EL MONTO TOTAL A CADA UNO DE LOS SIGUIENTES MUNICIPIOS DEL ESTADO DE MÉXICO: TECÁMAC, ECATEPEC, TONANITLA, VALLE DE CHALCO SOLIDARIDAD, SOYANIQUILPAN, TULTITLÁN, COACALCO, METEPEC, TEOTIHUACÁN, SAN MARTÍN DE LAS PIRÁMIDES, VILLA DEL CARBÓN, ZINACANTEPEC, SAN JOSÉ DEL RINCÓN, NAUCALPAN, ATIZAPÁN DE ZARAGOZA Y TLALNEPANTLA CONFORME LO ESTABLECIDO EN LOS ARTÍCULOS ARTÍCULO 216 A Y 216 F DEL CÓDIGO FINANCIERO DEL ESTADO DE MÉXICO Y MUNICIPIOS VIGENTE EN CADA AÑO SEÑALADO.</w:t>
            </w:r>
          </w:p>
        </w:tc>
      </w:tr>
      <w:tr w:rsidR="0098686D" w:rsidRPr="0098686D">
        <w:tc>
          <w:tcPr>
            <w:tcW w:w="3256"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lastRenderedPageBreak/>
              <w:t>00439/SF/IP/2022</w:t>
            </w:r>
          </w:p>
        </w:tc>
        <w:tc>
          <w:tcPr>
            <w:tcW w:w="5670" w:type="dxa"/>
            <w:tcBorders>
              <w:top w:val="single" w:sz="4" w:space="0" w:color="000000"/>
              <w:left w:val="single" w:sz="4" w:space="0" w:color="000000"/>
              <w:bottom w:val="single" w:sz="4" w:space="0" w:color="000000"/>
              <w:right w:val="single" w:sz="4" w:space="0" w:color="000000"/>
            </w:tcBorders>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SE SOLICITA QUE EL SUJETO OBLIGADO SECRETARÍA DE FINANZAS INFORME SOBRE LA CANTIDAD TOTAL RECAUDADA Y EL DESTINO OTORGADO A LOS RECURSOS ESTATALES PROVENIENTES DE LAS CONTRIBUCIONES QUE REALIZARON LOS DESARROLLADORES INMOBILIARIOS POR CONCEPTO DE APORTACIONES DE MEJORAS PARA OBRAS DE IMPACTO DURANTE LOS PERÍODOS COMPRENDIDOS ENTRE EL 1 DE ENERO AL 31 DE </w:t>
            </w:r>
            <w:r w:rsidRPr="0098686D">
              <w:rPr>
                <w:rFonts w:ascii="Palatino Linotype" w:eastAsia="Palatino Linotype" w:hAnsi="Palatino Linotype" w:cs="Palatino Linotype"/>
                <w:i/>
              </w:rPr>
              <w:lastRenderedPageBreak/>
              <w:t>DICIEMBRE DEL AÑO 2010 ENTRE EL 1 DE ENERO AL 31 DE DICIEMBRE DEL AÑO 2011; ENTRE EL 1 DE ENERO AL 31 DE DICIEMBRE DEL AÑO 2012; ENTRE EL 1 DE ENERO AL 31 DE DICIEMBRE DEL AÑO 2013; ENTRE EL 1 DE ENERO AL 31 DE DICIEMBRE DEL AÑO 2014 Y SI LO RECURSOS FUERON ENTREGADOS O NO DURANTE ESOS AÑOS Y EL MONTO TOTAL A CADA UNO DE LOS SIGUIENTES MUNICIPIOS DEL ESTADO DE MÉXICO: TECÁMAC, ECATEPEC, TONANITLA, VALLE DE CHALCO SOLIDARIDAD, SOYANIQUILPAN, TULTITLÁN, COACALCO, METEPEC, TEOTIHUACÁN, SAN MARTÍN DE LAS PIRÁMIDES, VILLA DEL CARBÓN, ZINACANTEPEC, SAN JOSÉ DEL RINCÓN, NAUCALPAN, ATIZAPÁN DE ZARAGOZA Y TLALNEPANTLA CONFORME LO ESTABLECIDO EN EL ARTÍCULO 216 F DEL CÓDIGO FINANCIERO DEL ESTADO DE MÉXICO Y MUNICIPIOS VIGENTE EN CADA AÑO SEÑALADO.</w:t>
            </w:r>
          </w:p>
        </w:tc>
      </w:tr>
      <w:tr w:rsidR="0098686D" w:rsidRPr="0098686D">
        <w:tc>
          <w:tcPr>
            <w:tcW w:w="3256"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lastRenderedPageBreak/>
              <w:t>00438/SF/IP/2022</w:t>
            </w:r>
          </w:p>
        </w:tc>
        <w:tc>
          <w:tcPr>
            <w:tcW w:w="5670" w:type="dxa"/>
            <w:tcBorders>
              <w:top w:val="single" w:sz="4" w:space="0" w:color="000000"/>
              <w:left w:val="single" w:sz="4" w:space="0" w:color="000000"/>
              <w:bottom w:val="single" w:sz="4" w:space="0" w:color="000000"/>
              <w:right w:val="single" w:sz="4" w:space="0" w:color="000000"/>
            </w:tcBorders>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SE SOLICITA QUE EL SUJETO OBLIGADO SECRETARÍA DE FINANZAS INFORME SOBRE LA CANTIDAD TOTAL RECAUDADA Y EL DESTINO OTORGADO A LOS RECURSOS ESTATALES PROVENIENTES DE LAS CONTRIBUCIONES QUE REALIZARON LOS DESARROLLADORES INMOBILIARIOS POR CONCEPTO DE APORTACIONES DE MEJORAS PARA OBRAS DE IMPACTO DURANTE LOS PERÍODOS COMPRENDIDOS ENTRE EL 1 DE ENERO AL 31 DE DICIEMBRE DEL AÑO 2007; ENTRE EL 1 DE ENERO AL 31 DE DICIEMBRE DEL AÑO 2008; ENTRE EL 1 DE ENERO AL 31 DE DICIEMBRE DEL AÑO 2009; ENTRE EL 1 DE ENERO AL 31 DE DICIEMBRE DEL AÑO 20010 </w:t>
            </w:r>
            <w:r w:rsidRPr="0098686D">
              <w:rPr>
                <w:rFonts w:ascii="Palatino Linotype" w:eastAsia="Palatino Linotype" w:hAnsi="Palatino Linotype" w:cs="Palatino Linotype"/>
                <w:i/>
              </w:rPr>
              <w:lastRenderedPageBreak/>
              <w:t>Y SI LO RECURSOS FUERON ENTREGADOS O NO DURANTE ESOS AÑOS Y EL MONTO TOTAL A CADA UNO DE LOS SIGUIENTES MUNICIPIOS DEL ESTADO DE MÉXICO: TECÁMAC, ECATEPEC, TONANITLA, VALLE DE CHALCO SOLIDARIDAD, SOYANIQUILPAN, TULTITLÁN, COACALCO, METEPEC, TEOTIHUACÁN, SAN MARTÍN DE LAS PIRÁMIDES, VILLA DEL CARBÓN, ZINACANTEPEC, SAN JOSÉ DEL RINCÓN, NAUCALPAN, ATIZAPÁN DE ZARAGOZA Y TLANEPANTLA A LO ESTABLECIDO EN EL ARTÍCULO 216 F DEL CÓDIGO FINANCIERO DEL ESTADO DE MÉXICO Y MUNICIPIOS VIGENTE EN CADA AÑO SEÑALADO</w:t>
            </w:r>
          </w:p>
        </w:tc>
      </w:tr>
      <w:tr w:rsidR="0098686D" w:rsidRPr="0098686D">
        <w:tc>
          <w:tcPr>
            <w:tcW w:w="3256"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lastRenderedPageBreak/>
              <w:t>00436/SF/IP/2022</w:t>
            </w:r>
          </w:p>
        </w:tc>
        <w:tc>
          <w:tcPr>
            <w:tcW w:w="5670" w:type="dxa"/>
            <w:tcBorders>
              <w:top w:val="single" w:sz="4" w:space="0" w:color="000000"/>
              <w:left w:val="single" w:sz="4" w:space="0" w:color="000000"/>
              <w:bottom w:val="single" w:sz="4" w:space="0" w:color="000000"/>
              <w:right w:val="single" w:sz="4" w:space="0" w:color="000000"/>
            </w:tcBorders>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SE SOLICITA QUE EL SUJETO OBLIGADO SECRETARÍA DE FINANZAS INFORME SOBRE LA CANTIDAD TOTAL RECAUDADA Y EL DESTINO OTORGADO A LOS RECURSOS ESTATALES PROVENIENTES DE LAS CONTRIBUCIONES QUE REALIZARON LOS DESARROLLADORES INMOBILIARIOS POR CONCEPTO DE APORTACIONES DE MEJORAS PARA OBRAS DE IMPACTO DURANTE LOS PERÍODOS COMPRENDIDOS ENTRE EL 1 DE ENERO AL 31 DE DICIEMBRE DEL AÑO 2003; ENTRE EL 1 DE ENERO AL 31 DE DICIEMBRE DEL AÑO 2004; ENTRE EL 1 DE ENERO AL 31 DE DICIEMBRE DEL AÑO 2005; ENTRE EL 1 DE ENERO AL 31 DE DICIEMBRE DEL AÑO 2006 Y SI LO RECURSOS FUERON ENTREGADOS O NO DURANTE ESOS AÑOS Y EL MONTO TOTAL A CADA UNO DE LOS SIGUIENTES MUNICIPIOS DEL ESTADO DE MÉXICO: TECÁMAC, ECATEPEC, TONANITLA, VALLE DE CHALCO SOLIDARIDAD, SOYANIQUILPAN, TULTITLÁN, COACALCO, </w:t>
            </w:r>
            <w:r w:rsidRPr="0098686D">
              <w:rPr>
                <w:rFonts w:ascii="Palatino Linotype" w:eastAsia="Palatino Linotype" w:hAnsi="Palatino Linotype" w:cs="Palatino Linotype"/>
                <w:i/>
              </w:rPr>
              <w:lastRenderedPageBreak/>
              <w:t>METEPEC, TEOTIHUACÁN, SAN MARTÍN DE LAS PIRÁMIDES, VILLA DEL CARBÓN, ZINACANTEPEC, SAN JOSÉ DEL RINCÓN, NAUCALPAN, ATIZAPÁN DE ZARAGOZA Y TLANEPANTLA A LO ESTABLECIDO EN EL ARTÍCULO 216 F DEL CÓDIGO FINANCIERO DEL ESTADO DE MÉXICO Y MUNICIPIOS VIGENTE EN CADA AÑO SEÑALADO.</w:t>
            </w:r>
          </w:p>
        </w:tc>
      </w:tr>
    </w:tbl>
    <w:p w:rsidR="00E74020" w:rsidRPr="0098686D" w:rsidRDefault="00E74020"/>
    <w:p w:rsidR="00E74020" w:rsidRPr="0098686D" w:rsidRDefault="00164A65">
      <w:pPr>
        <w:spacing w:line="360" w:lineRule="auto"/>
        <w:jc w:val="both"/>
        <w:rPr>
          <w:rFonts w:ascii="Palatino Linotype" w:eastAsia="Palatino Linotype" w:hAnsi="Palatino Linotype" w:cs="Palatino Linotype"/>
        </w:rPr>
      </w:pPr>
      <w:r w:rsidRPr="0098686D">
        <w:rPr>
          <w:rFonts w:ascii="Palatino Linotype" w:eastAsia="Palatino Linotype" w:hAnsi="Palatino Linotype" w:cs="Palatino Linotype"/>
          <w:b/>
          <w:sz w:val="24"/>
          <w:szCs w:val="24"/>
        </w:rPr>
        <w:t xml:space="preserve">2. RESPUESTAS. </w:t>
      </w:r>
      <w:r w:rsidRPr="0098686D">
        <w:rPr>
          <w:rFonts w:ascii="Palatino Linotype" w:eastAsia="Palatino Linotype" w:hAnsi="Palatino Linotype" w:cs="Palatino Linotype"/>
          <w:sz w:val="24"/>
          <w:szCs w:val="24"/>
        </w:rPr>
        <w:t xml:space="preserve">De las constancias que obran en </w:t>
      </w:r>
      <w:r w:rsidRPr="0098686D">
        <w:rPr>
          <w:rFonts w:ascii="Palatino Linotype" w:eastAsia="Palatino Linotype" w:hAnsi="Palatino Linotype" w:cs="Palatino Linotype"/>
          <w:b/>
          <w:sz w:val="24"/>
          <w:szCs w:val="24"/>
        </w:rPr>
        <w:t>SAIMEX</w:t>
      </w:r>
      <w:r w:rsidRPr="0098686D">
        <w:rPr>
          <w:rFonts w:ascii="Palatino Linotype" w:eastAsia="Palatino Linotype" w:hAnsi="Palatino Linotype" w:cs="Palatino Linotype"/>
          <w:sz w:val="24"/>
          <w:szCs w:val="24"/>
        </w:rPr>
        <w:t>, se observa que el</w:t>
      </w:r>
      <w:r w:rsidRPr="0098686D">
        <w:rPr>
          <w:rFonts w:ascii="Palatino Linotype" w:eastAsia="Palatino Linotype" w:hAnsi="Palatino Linotype" w:cs="Palatino Linotype"/>
          <w:b/>
          <w:sz w:val="24"/>
          <w:szCs w:val="24"/>
        </w:rPr>
        <w:t xml:space="preserve"> SUJETO OBLIGADO </w:t>
      </w:r>
      <w:r w:rsidRPr="0098686D">
        <w:rPr>
          <w:rFonts w:ascii="Palatino Linotype" w:eastAsia="Palatino Linotype" w:hAnsi="Palatino Linotype" w:cs="Palatino Linotype"/>
          <w:sz w:val="24"/>
          <w:szCs w:val="24"/>
        </w:rPr>
        <w:t xml:space="preserve">en fecha </w:t>
      </w:r>
      <w:r w:rsidRPr="0098686D">
        <w:rPr>
          <w:rFonts w:ascii="Palatino Linotype" w:eastAsia="Palatino Linotype" w:hAnsi="Palatino Linotype" w:cs="Palatino Linotype"/>
          <w:b/>
          <w:sz w:val="24"/>
          <w:szCs w:val="24"/>
        </w:rPr>
        <w:t>once de octubre de dos mil veintidós</w:t>
      </w:r>
      <w:r w:rsidRPr="0098686D">
        <w:rPr>
          <w:rFonts w:ascii="Palatino Linotype" w:eastAsia="Palatino Linotype" w:hAnsi="Palatino Linotype" w:cs="Palatino Linotype"/>
          <w:sz w:val="24"/>
          <w:szCs w:val="24"/>
        </w:rPr>
        <w:t>, respondió a las solicitudes de información en los siguientes términos:</w:t>
      </w:r>
      <w:r w:rsidRPr="0098686D">
        <w:rPr>
          <w:rFonts w:ascii="Palatino Linotype" w:eastAsia="Palatino Linotype" w:hAnsi="Palatino Linotype" w:cs="Palatino Linotype"/>
        </w:rPr>
        <w:t xml:space="preserve"> </w:t>
      </w:r>
    </w:p>
    <w:tbl>
      <w:tblPr>
        <w:tblStyle w:val="a0"/>
        <w:tblW w:w="89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670"/>
      </w:tblGrid>
      <w:tr w:rsidR="0098686D" w:rsidRPr="0098686D">
        <w:tc>
          <w:tcPr>
            <w:tcW w:w="3256" w:type="dxa"/>
            <w:shd w:val="clear" w:color="auto" w:fill="D9D9D9"/>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Número de solicitud</w:t>
            </w:r>
          </w:p>
        </w:tc>
        <w:tc>
          <w:tcPr>
            <w:tcW w:w="5670" w:type="dxa"/>
            <w:shd w:val="clear" w:color="auto" w:fill="D9D9D9"/>
          </w:tcPr>
          <w:p w:rsidR="00E74020" w:rsidRPr="0098686D" w:rsidRDefault="00164A65">
            <w:pPr>
              <w:spacing w:line="360" w:lineRule="auto"/>
              <w:jc w:val="center"/>
              <w:rPr>
                <w:rFonts w:ascii="Palatino Linotype" w:eastAsia="Palatino Linotype" w:hAnsi="Palatino Linotype" w:cs="Palatino Linotype"/>
                <w:b/>
                <w:i/>
              </w:rPr>
            </w:pPr>
            <w:r w:rsidRPr="0098686D">
              <w:rPr>
                <w:rFonts w:ascii="Palatino Linotype" w:eastAsia="Palatino Linotype" w:hAnsi="Palatino Linotype" w:cs="Palatino Linotype"/>
                <w:b/>
                <w:i/>
              </w:rPr>
              <w:t>Respuesta</w:t>
            </w:r>
          </w:p>
        </w:tc>
      </w:tr>
      <w:tr w:rsidR="0098686D" w:rsidRPr="0098686D">
        <w:tc>
          <w:tcPr>
            <w:tcW w:w="3256" w:type="dxa"/>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00444/SF/IP/2022</w:t>
            </w:r>
          </w:p>
        </w:tc>
        <w:tc>
          <w:tcPr>
            <w:tcW w:w="5670" w:type="dxa"/>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 Oficio de fecha seis de octubre de dos mil veintidós, signado por el Subdirector de Normas y </w:t>
            </w:r>
            <w:proofErr w:type="spellStart"/>
            <w:r w:rsidRPr="0098686D">
              <w:rPr>
                <w:rFonts w:ascii="Palatino Linotype" w:eastAsia="Palatino Linotype" w:hAnsi="Palatino Linotype" w:cs="Palatino Linotype"/>
                <w:i/>
              </w:rPr>
              <w:t>Procediemientos</w:t>
            </w:r>
            <w:proofErr w:type="spellEnd"/>
            <w:r w:rsidRPr="0098686D">
              <w:rPr>
                <w:rFonts w:ascii="Palatino Linotype" w:eastAsia="Palatino Linotype" w:hAnsi="Palatino Linotype" w:cs="Palatino Linotype"/>
                <w:i/>
              </w:rPr>
              <w:t xml:space="preserve">, de la Dirección General de Recaudación, mediante el cual menciona que la información puede ser consultada en una liga electrónica, debiendo seleccionar la opción de “cuenta pública” y el año que desea consultar. </w:t>
            </w:r>
          </w:p>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En relación con el destino otorgado a los recursos estatales provenientes de las contribuciones que se realizaron los desarrolladores inmobiliarios, por concepto de aportaciones de  mejora para obras de impacto vial, sugiriendo </w:t>
            </w:r>
            <w:proofErr w:type="spellStart"/>
            <w:r w:rsidRPr="0098686D">
              <w:rPr>
                <w:rFonts w:ascii="Palatino Linotype" w:eastAsia="Palatino Linotype" w:hAnsi="Palatino Linotype" w:cs="Palatino Linotype"/>
                <w:i/>
              </w:rPr>
              <w:t>diriga</w:t>
            </w:r>
            <w:proofErr w:type="spellEnd"/>
            <w:r w:rsidRPr="0098686D">
              <w:rPr>
                <w:rFonts w:ascii="Palatino Linotype" w:eastAsia="Palatino Linotype" w:hAnsi="Palatino Linotype" w:cs="Palatino Linotype"/>
                <w:i/>
              </w:rPr>
              <w:t xml:space="preserve"> su solicitud a la Secretaria de </w:t>
            </w:r>
            <w:proofErr w:type="spellStart"/>
            <w:r w:rsidRPr="0098686D">
              <w:rPr>
                <w:rFonts w:ascii="Palatino Linotype" w:eastAsia="Palatino Linotype" w:hAnsi="Palatino Linotype" w:cs="Palatino Linotype"/>
                <w:i/>
              </w:rPr>
              <w:t>Moviloidad</w:t>
            </w:r>
            <w:proofErr w:type="spellEnd"/>
            <w:r w:rsidRPr="0098686D">
              <w:rPr>
                <w:rFonts w:ascii="Palatino Linotype" w:eastAsia="Palatino Linotype" w:hAnsi="Palatino Linotype" w:cs="Palatino Linotype"/>
                <w:i/>
              </w:rPr>
              <w:t xml:space="preserve">, ya que es la encargada de dar seguimiento al ingreso y vigilar el comportamiento de las aportaciones de impacto vial.  </w:t>
            </w:r>
          </w:p>
        </w:tc>
      </w:tr>
      <w:tr w:rsidR="0098686D" w:rsidRPr="0098686D">
        <w:tc>
          <w:tcPr>
            <w:tcW w:w="3256" w:type="dxa"/>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00440/SF/IP/2022</w:t>
            </w:r>
          </w:p>
        </w:tc>
        <w:tc>
          <w:tcPr>
            <w:tcW w:w="5670" w:type="dxa"/>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 Oficio de fecha seis de octubre de dos mil veintidós, signado por el Subdirector de Normas y </w:t>
            </w:r>
            <w:proofErr w:type="spellStart"/>
            <w:r w:rsidRPr="0098686D">
              <w:rPr>
                <w:rFonts w:ascii="Palatino Linotype" w:eastAsia="Palatino Linotype" w:hAnsi="Palatino Linotype" w:cs="Palatino Linotype"/>
                <w:i/>
              </w:rPr>
              <w:t>Procediemientos</w:t>
            </w:r>
            <w:proofErr w:type="spellEnd"/>
            <w:r w:rsidRPr="0098686D">
              <w:rPr>
                <w:rFonts w:ascii="Palatino Linotype" w:eastAsia="Palatino Linotype" w:hAnsi="Palatino Linotype" w:cs="Palatino Linotype"/>
                <w:i/>
              </w:rPr>
              <w:t xml:space="preserve">, de la Dirección General de Recaudación, mediante el cual menciona que la información puede ser consultada en una liga </w:t>
            </w:r>
            <w:r w:rsidRPr="0098686D">
              <w:rPr>
                <w:rFonts w:ascii="Palatino Linotype" w:eastAsia="Palatino Linotype" w:hAnsi="Palatino Linotype" w:cs="Palatino Linotype"/>
                <w:i/>
              </w:rPr>
              <w:lastRenderedPageBreak/>
              <w:t xml:space="preserve">electrónica, debiendo seleccionar la opción de “cuenta pública” y el año que desea consultar. </w:t>
            </w:r>
          </w:p>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En relación con el destino otorgado a los recursos estatales provenientes de las contribuciones que se realizaron los desarrolladores inmobiliarios, por concepto de aportaciones de  mejora para obras de impacto vial, sugiriendo </w:t>
            </w:r>
            <w:proofErr w:type="spellStart"/>
            <w:r w:rsidRPr="0098686D">
              <w:rPr>
                <w:rFonts w:ascii="Palatino Linotype" w:eastAsia="Palatino Linotype" w:hAnsi="Palatino Linotype" w:cs="Palatino Linotype"/>
                <w:i/>
              </w:rPr>
              <w:t>diriga</w:t>
            </w:r>
            <w:proofErr w:type="spellEnd"/>
            <w:r w:rsidRPr="0098686D">
              <w:rPr>
                <w:rFonts w:ascii="Palatino Linotype" w:eastAsia="Palatino Linotype" w:hAnsi="Palatino Linotype" w:cs="Palatino Linotype"/>
                <w:i/>
              </w:rPr>
              <w:t xml:space="preserve"> su solicitud a la Secretaria de </w:t>
            </w:r>
            <w:proofErr w:type="spellStart"/>
            <w:r w:rsidRPr="0098686D">
              <w:rPr>
                <w:rFonts w:ascii="Palatino Linotype" w:eastAsia="Palatino Linotype" w:hAnsi="Palatino Linotype" w:cs="Palatino Linotype"/>
                <w:i/>
              </w:rPr>
              <w:t>Moviloidad</w:t>
            </w:r>
            <w:proofErr w:type="spellEnd"/>
            <w:r w:rsidRPr="0098686D">
              <w:rPr>
                <w:rFonts w:ascii="Palatino Linotype" w:eastAsia="Palatino Linotype" w:hAnsi="Palatino Linotype" w:cs="Palatino Linotype"/>
                <w:i/>
              </w:rPr>
              <w:t xml:space="preserve">, ya que es la encargada de dar seguimiento al ingreso y vigilar el comportamiento de las aportaciones de impacto vial.  </w:t>
            </w:r>
          </w:p>
        </w:tc>
      </w:tr>
      <w:tr w:rsidR="0098686D" w:rsidRPr="0098686D">
        <w:tc>
          <w:tcPr>
            <w:tcW w:w="3256"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lastRenderedPageBreak/>
              <w:t>00439/SF/IP/2022</w:t>
            </w:r>
          </w:p>
        </w:tc>
        <w:tc>
          <w:tcPr>
            <w:tcW w:w="5670" w:type="dxa"/>
            <w:tcBorders>
              <w:top w:val="single" w:sz="4" w:space="0" w:color="000000"/>
              <w:left w:val="single" w:sz="4" w:space="0" w:color="000000"/>
              <w:bottom w:val="single" w:sz="4" w:space="0" w:color="000000"/>
              <w:right w:val="single" w:sz="4" w:space="0" w:color="000000"/>
            </w:tcBorders>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 Oficio de fecha seis de octubre de dos mil veintidós, signado por el Subdirector de Normas y </w:t>
            </w:r>
            <w:proofErr w:type="spellStart"/>
            <w:r w:rsidRPr="0098686D">
              <w:rPr>
                <w:rFonts w:ascii="Palatino Linotype" w:eastAsia="Palatino Linotype" w:hAnsi="Palatino Linotype" w:cs="Palatino Linotype"/>
                <w:i/>
              </w:rPr>
              <w:t>Procediemientos</w:t>
            </w:r>
            <w:proofErr w:type="spellEnd"/>
            <w:r w:rsidRPr="0098686D">
              <w:rPr>
                <w:rFonts w:ascii="Palatino Linotype" w:eastAsia="Palatino Linotype" w:hAnsi="Palatino Linotype" w:cs="Palatino Linotype"/>
                <w:i/>
              </w:rPr>
              <w:t xml:space="preserve">, de la Dirección General de Recaudación, mediante el cual menciona que la información puede ser consultada en una liga electrónica, debiendo seleccionar la opción de “cuenta pública” y el año que desea consultar. </w:t>
            </w:r>
          </w:p>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En relación con el destino otorgado a los recursos estatales provenientes de las contribuciones que se realizaron los desarrolladores inmobiliarios, por concepto de aportaciones de  mejora para obras de impacto vial, sugiriendo </w:t>
            </w:r>
            <w:proofErr w:type="spellStart"/>
            <w:r w:rsidRPr="0098686D">
              <w:rPr>
                <w:rFonts w:ascii="Palatino Linotype" w:eastAsia="Palatino Linotype" w:hAnsi="Palatino Linotype" w:cs="Palatino Linotype"/>
                <w:i/>
              </w:rPr>
              <w:t>diriga</w:t>
            </w:r>
            <w:proofErr w:type="spellEnd"/>
            <w:r w:rsidRPr="0098686D">
              <w:rPr>
                <w:rFonts w:ascii="Palatino Linotype" w:eastAsia="Palatino Linotype" w:hAnsi="Palatino Linotype" w:cs="Palatino Linotype"/>
                <w:i/>
              </w:rPr>
              <w:t xml:space="preserve"> su solicitud a la Secretaria de </w:t>
            </w:r>
            <w:proofErr w:type="spellStart"/>
            <w:r w:rsidRPr="0098686D">
              <w:rPr>
                <w:rFonts w:ascii="Palatino Linotype" w:eastAsia="Palatino Linotype" w:hAnsi="Palatino Linotype" w:cs="Palatino Linotype"/>
                <w:i/>
              </w:rPr>
              <w:t>Moviloidad</w:t>
            </w:r>
            <w:proofErr w:type="spellEnd"/>
            <w:r w:rsidRPr="0098686D">
              <w:rPr>
                <w:rFonts w:ascii="Palatino Linotype" w:eastAsia="Palatino Linotype" w:hAnsi="Palatino Linotype" w:cs="Palatino Linotype"/>
                <w:i/>
              </w:rPr>
              <w:t xml:space="preserve">, ya que es la encargada de dar seguimiento al ingreso y vigilar el comportamiento de las aportaciones de impacto vial.  </w:t>
            </w:r>
          </w:p>
        </w:tc>
      </w:tr>
      <w:tr w:rsidR="0098686D" w:rsidRPr="0098686D">
        <w:tc>
          <w:tcPr>
            <w:tcW w:w="3256"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00438/SF/IP/2022</w:t>
            </w:r>
          </w:p>
        </w:tc>
        <w:tc>
          <w:tcPr>
            <w:tcW w:w="5670" w:type="dxa"/>
            <w:tcBorders>
              <w:top w:val="single" w:sz="4" w:space="0" w:color="000000"/>
              <w:left w:val="single" w:sz="4" w:space="0" w:color="000000"/>
              <w:bottom w:val="single" w:sz="4" w:space="0" w:color="000000"/>
              <w:right w:val="single" w:sz="4" w:space="0" w:color="000000"/>
            </w:tcBorders>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 Oficio de fecha seis de octubre de dos mil veintidós, signado por el Subdirector de Normas y </w:t>
            </w:r>
            <w:proofErr w:type="spellStart"/>
            <w:r w:rsidRPr="0098686D">
              <w:rPr>
                <w:rFonts w:ascii="Palatino Linotype" w:eastAsia="Palatino Linotype" w:hAnsi="Palatino Linotype" w:cs="Palatino Linotype"/>
                <w:i/>
              </w:rPr>
              <w:t>Procediemientos</w:t>
            </w:r>
            <w:proofErr w:type="spellEnd"/>
            <w:r w:rsidRPr="0098686D">
              <w:rPr>
                <w:rFonts w:ascii="Palatino Linotype" w:eastAsia="Palatino Linotype" w:hAnsi="Palatino Linotype" w:cs="Palatino Linotype"/>
                <w:i/>
              </w:rPr>
              <w:t xml:space="preserve">, de la Dirección General de Recaudación, mediante el cual menciona que la información puede ser consultada en una liga electrónica, debiendo seleccionar la opción de “cuenta pública” y el año que desea consultar. </w:t>
            </w:r>
          </w:p>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En relación con el destino otorgado a los recursos estatales provenientes de las contribuciones que se realizaron los desarrolladores inmobiliarios, por concepto de aportaciones de  </w:t>
            </w:r>
            <w:r w:rsidRPr="0098686D">
              <w:rPr>
                <w:rFonts w:ascii="Palatino Linotype" w:eastAsia="Palatino Linotype" w:hAnsi="Palatino Linotype" w:cs="Palatino Linotype"/>
                <w:i/>
              </w:rPr>
              <w:lastRenderedPageBreak/>
              <w:t xml:space="preserve">mejora para obras de impacto vial, sugiriendo </w:t>
            </w:r>
            <w:proofErr w:type="spellStart"/>
            <w:r w:rsidRPr="0098686D">
              <w:rPr>
                <w:rFonts w:ascii="Palatino Linotype" w:eastAsia="Palatino Linotype" w:hAnsi="Palatino Linotype" w:cs="Palatino Linotype"/>
                <w:i/>
              </w:rPr>
              <w:t>diriga</w:t>
            </w:r>
            <w:proofErr w:type="spellEnd"/>
            <w:r w:rsidRPr="0098686D">
              <w:rPr>
                <w:rFonts w:ascii="Palatino Linotype" w:eastAsia="Palatino Linotype" w:hAnsi="Palatino Linotype" w:cs="Palatino Linotype"/>
                <w:i/>
              </w:rPr>
              <w:t xml:space="preserve"> su solicitud a la Secretaria de </w:t>
            </w:r>
            <w:proofErr w:type="spellStart"/>
            <w:r w:rsidRPr="0098686D">
              <w:rPr>
                <w:rFonts w:ascii="Palatino Linotype" w:eastAsia="Palatino Linotype" w:hAnsi="Palatino Linotype" w:cs="Palatino Linotype"/>
                <w:i/>
              </w:rPr>
              <w:t>Moviloidad</w:t>
            </w:r>
            <w:proofErr w:type="spellEnd"/>
            <w:r w:rsidRPr="0098686D">
              <w:rPr>
                <w:rFonts w:ascii="Palatino Linotype" w:eastAsia="Palatino Linotype" w:hAnsi="Palatino Linotype" w:cs="Palatino Linotype"/>
                <w:i/>
              </w:rPr>
              <w:t xml:space="preserve">, ya que es la encargada de dar seguimiento al ingreso y vigilar el comportamiento de las aportaciones de impacto vial.  </w:t>
            </w:r>
          </w:p>
        </w:tc>
      </w:tr>
      <w:tr w:rsidR="0098686D" w:rsidRPr="0098686D">
        <w:tc>
          <w:tcPr>
            <w:tcW w:w="3256"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lastRenderedPageBreak/>
              <w:t>00436/SF/IP/2022</w:t>
            </w:r>
          </w:p>
        </w:tc>
        <w:tc>
          <w:tcPr>
            <w:tcW w:w="5670" w:type="dxa"/>
            <w:tcBorders>
              <w:top w:val="single" w:sz="4" w:space="0" w:color="000000"/>
              <w:left w:val="single" w:sz="4" w:space="0" w:color="000000"/>
              <w:bottom w:val="single" w:sz="4" w:space="0" w:color="000000"/>
              <w:right w:val="single" w:sz="4" w:space="0" w:color="000000"/>
            </w:tcBorders>
          </w:tcPr>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 Oficio de fecha seis de octubre de dos mil veintidós, signado por el Subdirector de Normas y </w:t>
            </w:r>
            <w:proofErr w:type="spellStart"/>
            <w:r w:rsidRPr="0098686D">
              <w:rPr>
                <w:rFonts w:ascii="Palatino Linotype" w:eastAsia="Palatino Linotype" w:hAnsi="Palatino Linotype" w:cs="Palatino Linotype"/>
                <w:i/>
              </w:rPr>
              <w:t>Procediemientos</w:t>
            </w:r>
            <w:proofErr w:type="spellEnd"/>
            <w:r w:rsidRPr="0098686D">
              <w:rPr>
                <w:rFonts w:ascii="Palatino Linotype" w:eastAsia="Palatino Linotype" w:hAnsi="Palatino Linotype" w:cs="Palatino Linotype"/>
                <w:i/>
              </w:rPr>
              <w:t xml:space="preserve">, de la Dirección General de Recaudación, mediante el cual menciona que la información puede ser consultada en una liga electrónica, debiendo seleccionar la opción de “cuenta pública” y el año que desea consultar. </w:t>
            </w:r>
          </w:p>
          <w:p w:rsidR="00E74020" w:rsidRPr="0098686D" w:rsidRDefault="00164A65">
            <w:pPr>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En relación con el destino otorgado a los recursos estatales provenientes de las contribuciones que se realizaron los desarrolladores inmobiliarios, por concepto de aportaciones de  mejora para obras de impacto vial, sugiriendo </w:t>
            </w:r>
            <w:proofErr w:type="spellStart"/>
            <w:r w:rsidRPr="0098686D">
              <w:rPr>
                <w:rFonts w:ascii="Palatino Linotype" w:eastAsia="Palatino Linotype" w:hAnsi="Palatino Linotype" w:cs="Palatino Linotype"/>
                <w:i/>
              </w:rPr>
              <w:t>diriga</w:t>
            </w:r>
            <w:proofErr w:type="spellEnd"/>
            <w:r w:rsidRPr="0098686D">
              <w:rPr>
                <w:rFonts w:ascii="Palatino Linotype" w:eastAsia="Palatino Linotype" w:hAnsi="Palatino Linotype" w:cs="Palatino Linotype"/>
                <w:i/>
              </w:rPr>
              <w:t xml:space="preserve"> su solicitud a la Secretaria de </w:t>
            </w:r>
            <w:proofErr w:type="spellStart"/>
            <w:r w:rsidRPr="0098686D">
              <w:rPr>
                <w:rFonts w:ascii="Palatino Linotype" w:eastAsia="Palatino Linotype" w:hAnsi="Palatino Linotype" w:cs="Palatino Linotype"/>
                <w:i/>
              </w:rPr>
              <w:t>Moviloidad</w:t>
            </w:r>
            <w:proofErr w:type="spellEnd"/>
            <w:r w:rsidRPr="0098686D">
              <w:rPr>
                <w:rFonts w:ascii="Palatino Linotype" w:eastAsia="Palatino Linotype" w:hAnsi="Palatino Linotype" w:cs="Palatino Linotype"/>
                <w:i/>
              </w:rPr>
              <w:t xml:space="preserve">, ya que es la encargada de dar seguimiento al ingreso y vigilar el comportamiento de las aportaciones de impacto vial.  </w:t>
            </w:r>
          </w:p>
        </w:tc>
      </w:tr>
    </w:tbl>
    <w:p w:rsidR="00E74020" w:rsidRPr="0098686D" w:rsidRDefault="00E74020"/>
    <w:p w:rsidR="00E74020" w:rsidRPr="0098686D" w:rsidRDefault="00164A65">
      <w:pPr>
        <w:spacing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3. INTERPOSICIÓN DE LOS RECURSOS DE REVISIÓN. </w:t>
      </w:r>
      <w:r w:rsidRPr="0098686D">
        <w:rPr>
          <w:rFonts w:ascii="Palatino Linotype" w:eastAsia="Palatino Linotype" w:hAnsi="Palatino Linotype" w:cs="Palatino Linotype"/>
          <w:sz w:val="24"/>
          <w:szCs w:val="24"/>
        </w:rPr>
        <w:t xml:space="preserve">Inconforme con las respuestas del Sujeto Obligado, en fechas </w:t>
      </w:r>
      <w:r w:rsidR="00A078D7" w:rsidRPr="0098686D">
        <w:rPr>
          <w:rFonts w:ascii="Palatino Linotype" w:eastAsia="Palatino Linotype" w:hAnsi="Palatino Linotype" w:cs="Palatino Linotype"/>
          <w:b/>
          <w:sz w:val="24"/>
          <w:szCs w:val="24"/>
        </w:rPr>
        <w:t>diecisiete</w:t>
      </w:r>
      <w:r w:rsidRPr="0098686D">
        <w:rPr>
          <w:rFonts w:ascii="Palatino Linotype" w:eastAsia="Palatino Linotype" w:hAnsi="Palatino Linotype" w:cs="Palatino Linotype"/>
          <w:b/>
          <w:sz w:val="24"/>
          <w:szCs w:val="24"/>
        </w:rPr>
        <w:t xml:space="preserve"> de octubre de dos mil veintidós</w:t>
      </w:r>
      <w:r w:rsidRPr="0098686D">
        <w:rPr>
          <w:rFonts w:ascii="Palatino Linotype" w:eastAsia="Palatino Linotype" w:hAnsi="Palatino Linotype" w:cs="Palatino Linotype"/>
          <w:sz w:val="24"/>
          <w:szCs w:val="24"/>
        </w:rPr>
        <w:t xml:space="preserve">, la parte </w:t>
      </w:r>
      <w:r w:rsidRPr="0098686D">
        <w:rPr>
          <w:rFonts w:ascii="Palatino Linotype" w:eastAsia="Palatino Linotype" w:hAnsi="Palatino Linotype" w:cs="Palatino Linotype"/>
          <w:b/>
          <w:sz w:val="24"/>
          <w:szCs w:val="24"/>
        </w:rPr>
        <w:t>RECURRENTE</w:t>
      </w:r>
      <w:r w:rsidRPr="0098686D">
        <w:rPr>
          <w:rFonts w:ascii="Palatino Linotype" w:eastAsia="Palatino Linotype" w:hAnsi="Palatino Linotype" w:cs="Palatino Linotype"/>
          <w:sz w:val="24"/>
          <w:szCs w:val="24"/>
        </w:rPr>
        <w:t xml:space="preserve"> interpuso los recursos de revisión en los que manifestó lo siguiente:</w:t>
      </w:r>
    </w:p>
    <w:tbl>
      <w:tblPr>
        <w:tblStyle w:val="a1"/>
        <w:tblW w:w="89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2977"/>
        <w:gridCol w:w="3021"/>
      </w:tblGrid>
      <w:tr w:rsidR="0098686D" w:rsidRPr="0098686D">
        <w:tc>
          <w:tcPr>
            <w:tcW w:w="2972" w:type="dxa"/>
            <w:shd w:val="clear" w:color="auto" w:fill="D9D9D9"/>
          </w:tcPr>
          <w:p w:rsidR="00E74020" w:rsidRPr="0098686D" w:rsidRDefault="00164A65">
            <w:pPr>
              <w:spacing w:line="360" w:lineRule="auto"/>
              <w:jc w:val="center"/>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t>Recurso de revisión</w:t>
            </w:r>
          </w:p>
        </w:tc>
        <w:tc>
          <w:tcPr>
            <w:tcW w:w="2977" w:type="dxa"/>
            <w:shd w:val="clear" w:color="auto" w:fill="D9D9D9"/>
          </w:tcPr>
          <w:p w:rsidR="00E74020" w:rsidRPr="0098686D" w:rsidRDefault="00164A65">
            <w:pPr>
              <w:spacing w:line="360" w:lineRule="auto"/>
              <w:jc w:val="center"/>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t>Acto impugnado.</w:t>
            </w:r>
          </w:p>
        </w:tc>
        <w:tc>
          <w:tcPr>
            <w:tcW w:w="3021" w:type="dxa"/>
            <w:shd w:val="clear" w:color="auto" w:fill="D9D9D9"/>
          </w:tcPr>
          <w:p w:rsidR="00E74020" w:rsidRPr="0098686D" w:rsidRDefault="00164A65">
            <w:pPr>
              <w:spacing w:line="360" w:lineRule="auto"/>
              <w:jc w:val="center"/>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t>Motivos de inconformidad.</w:t>
            </w:r>
          </w:p>
        </w:tc>
      </w:tr>
      <w:tr w:rsidR="0098686D" w:rsidRPr="0098686D">
        <w:tc>
          <w:tcPr>
            <w:tcW w:w="2972" w:type="dxa"/>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t>15624/INFOEM/IP/RR/2022</w:t>
            </w:r>
          </w:p>
        </w:tc>
        <w:tc>
          <w:tcPr>
            <w:tcW w:w="2977" w:type="dxa"/>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t xml:space="preserve">A LA RESPUESTA QUE EL SUJETO OBLIGADO SECRETARÍA DE FINANZAS PROPORCIONA A LA SOLICITUD DE INFORMACIÓN CON FOLIO </w:t>
            </w:r>
            <w:r w:rsidRPr="0098686D">
              <w:rPr>
                <w:rFonts w:ascii="Palatino Linotype" w:eastAsia="Palatino Linotype" w:hAnsi="Palatino Linotype" w:cs="Palatino Linotype"/>
                <w:i/>
                <w:sz w:val="20"/>
                <w:szCs w:val="20"/>
              </w:rPr>
              <w:lastRenderedPageBreak/>
              <w:t xml:space="preserve">00444/SF/IP/2022 MEDIANTE EL OFICIO NÚMERO 20703001030200L/325/2022 DE FECHA 6 DE OCTUBRE DE 2022 FIRMADO POR EL LIC. RICARDO ESPINOSA SOTO, SUBDIRECCTOR DE NORMAS Y PROCEDIMIENTOS Y SERVIDOR PÚBLICO HABILITADO SUPLENTE DE LA DIRECCIÓN GENERAL DE RECAUDACIÓN DE LA SUBSECRETARÍA DE INGRESOS DE LA SECRETARÍA DE FINANZAS DIRIGIDO AL LIC. RODOLFO ESTEBAN RIVADENEYRA HERNÁNDEZ, JEFE DE LA UIPPE Y TITULAR DE LA UNIDAD DE TRANSPARENCIA DE LA SECRETARÍA DE FINANZAS, DICHO DOCUMENTO FUE PRESENTADO A TRAVÉS DEL SISTEMA DE ACCESO A LA INFORMACIÓN MEXIQUENSE (SAIMEX) EL DÍA 11 DE OCTUBRE DE 2022, TODA VEZ QUE NO SE DA CUMPLIMIENTO A LO ESTABLECIDO EN LOS ARTÍCULOS 4, 11, 12, 18, 19 Y 177LA LEY DE TRANSPARENCIA Y ACCESO A LA INFORMACIÓN PÚBLICA DEL ESTADO DE </w:t>
            </w:r>
            <w:r w:rsidRPr="0098686D">
              <w:rPr>
                <w:rFonts w:ascii="Palatino Linotype" w:eastAsia="Palatino Linotype" w:hAnsi="Palatino Linotype" w:cs="Palatino Linotype"/>
                <w:i/>
                <w:sz w:val="20"/>
                <w:szCs w:val="20"/>
              </w:rPr>
              <w:lastRenderedPageBreak/>
              <w:t>MÉXICO Y MUNICIPIOS Y CON ELLO SE INCURRE EN LAS CAUSAS ESTABLECIDAS EN EL ARTÍCULO 179 FRACCIONES V, VI Y XIII DE LA LEY DE TRANSPARENCIA Y ACCESO A LA INFORMACIÓN PÚBLICA DEL ESTADO DE MÉXICO Y MUNICIPIOS</w:t>
            </w:r>
          </w:p>
        </w:tc>
        <w:tc>
          <w:tcPr>
            <w:tcW w:w="3021" w:type="dxa"/>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lastRenderedPageBreak/>
              <w:t xml:space="preserve">CON FUNDAMENTO EN LO SEÑALADO EN LOS ARTÍCULOS 176, 178 Y 179 DE LA LEY DE TRANSPARENCIA Y ACCESO A LA INFORMACIÓN PÚBLICA DEL </w:t>
            </w:r>
            <w:r w:rsidRPr="0098686D">
              <w:rPr>
                <w:rFonts w:ascii="Palatino Linotype" w:eastAsia="Palatino Linotype" w:hAnsi="Palatino Linotype" w:cs="Palatino Linotype"/>
                <w:i/>
                <w:sz w:val="20"/>
                <w:szCs w:val="20"/>
              </w:rPr>
              <w:lastRenderedPageBreak/>
              <w:t xml:space="preserve">ESTADO DE MÉXICO Y MUNICIPIOS SE INTERPONE EL PRESENTE RECURSO A LA RESPUESTA QUE EL SUJETO OBLIGADO SECRETARÍA DE FINANZAS PROPORCIONA A LA SOLICITUD DE INFORMACIÓN CON FOLIO 00444/SF/IP/2022 MEDIANTE EL OFICIO NÚMERO 20703001030200L/325/2022 DE FECHA 6 DE OCTUBRE DE 2022 FIRMADO POR EL LIC. RICARDO ESPINOSA SOTO, SUBDIRECCTOR DE NORMAS Y PROCEDIMIENTOS Y SERVIDOR PÚBLICO HABILITADO SUPLENTE DE LA DIRECCIÓN GENERAL DE RECAUDACIÓN DE LA SUBSECRETARÍA DE INGRESOS DE LA SECRETARÍA DE FINANZAS DIRIGIDO AL LIC. RODOLFO ESTEBAN RIVADENEYRA HERNÁNDEZ, JEFE DE LA UIPPE Y TITULAR DE LA UNIDAD DE TRANSPARENCIA DE LA SECRETARÍA DE FINANZAS Y PRESENTADO A TRAVÉS DEL SISTEMA DE ACCESO A LA INFORMACIÓN MEXIQUENSE (SAIMEX) EL DÍA 11 DE OCTUBRE DE 2022, TODA VEZ QUE NO SE DA CUMPLIMIENTO A LO </w:t>
            </w:r>
            <w:r w:rsidRPr="0098686D">
              <w:rPr>
                <w:rFonts w:ascii="Palatino Linotype" w:eastAsia="Palatino Linotype" w:hAnsi="Palatino Linotype" w:cs="Palatino Linotype"/>
                <w:i/>
                <w:sz w:val="20"/>
                <w:szCs w:val="20"/>
              </w:rPr>
              <w:lastRenderedPageBreak/>
              <w:t xml:space="preserve">ESTABLECIDO EN EL ARTÍCULO 4, 11, 12, 18, 19 Y 177 LA LEY DE TRANSPARENCIA Y ACCESO A LA INFORMACIÓN PÚBLICA DEL ESTADO DE MÉXICO Y MUNICIPIOS Y CON ELLO SE INCURRE EN LAS CAUSAS ESTABLECIDAS EN EL ARTÍCULO 179 FRACCIONES V, VI Y XIII DE LA LEY DE TRANSPARENCIA Y ACCESO A LA INFORMACIÓN PÚBLICA DEL ESTADO DE MÉXICO Y MUNICIPIOS YENDO EN CONTRA DEL PRINCIPIO DE MÁXIMA PUBLIDAD ESTABLECIDO EN LA LEY DE TRANSPARENCIA Y ACCESO A LA INFORMACIÓN PÚBLICA DEL ESTADO DE MÉXICO Y MUNICIPIOS YA QUE EL SUJETO OBLIGADO </w:t>
            </w:r>
            <w:r w:rsidRPr="0098686D">
              <w:rPr>
                <w:rFonts w:ascii="Palatino Linotype" w:eastAsia="Palatino Linotype" w:hAnsi="Palatino Linotype" w:cs="Palatino Linotype"/>
                <w:b/>
                <w:i/>
                <w:sz w:val="20"/>
                <w:szCs w:val="20"/>
                <w:u w:val="single"/>
              </w:rPr>
              <w:t xml:space="preserve">NO PROPORCIONA LA INFORMACIÓN SOLICITADA, LA INFORMACIÓN ES INCOMPLETA, LA INFORMACIÓN PRESENTADA POR EL SUJETO OBLIGADO NO CORRRESPONDE A LO SOLICITADO Y EXISTE UNA CLARA FALTA, DEFICIENCIA O INSUFICIENCIA DE LA FUNDAMENTACIÓN Y/O </w:t>
            </w:r>
            <w:r w:rsidRPr="0098686D">
              <w:rPr>
                <w:rFonts w:ascii="Palatino Linotype" w:eastAsia="Palatino Linotype" w:hAnsi="Palatino Linotype" w:cs="Palatino Linotype"/>
                <w:b/>
                <w:i/>
                <w:sz w:val="20"/>
                <w:szCs w:val="20"/>
                <w:u w:val="single"/>
              </w:rPr>
              <w:lastRenderedPageBreak/>
              <w:t>MOTIVACIÓN EN LA RESPUESTA DEL SUJETO OBLIGADO</w:t>
            </w:r>
          </w:p>
        </w:tc>
      </w:tr>
      <w:tr w:rsidR="0098686D" w:rsidRPr="0098686D">
        <w:tc>
          <w:tcPr>
            <w:tcW w:w="2972"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15625/INFOEM/IP/RR/2022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t xml:space="preserve">A LA RESPUESTA QUE EL SUJETO OBLIGADO SECRETARÍA DE FINANZAS PROPORCIONA A LA SOLICITUD DE INFORMACIÓN CON FOLIO 00440/SF/IP/2022 MEDIANTE EL OFICIO NÚMERO 20703001030200L/324/2022 DE FECHA 6 DE OCTUBRE DE 2022 FIRMADO POR EL LIC. RICARDO ESPINOSA SOTO, SUBDIRECTOR DE NORMAS Y PROCEDIMIENTOS Y SERVIDOR PÚBLICO HABILITADO SUPLENTE DE LA DIRECCIÓN GENERAL DE RECAUDACIÓN DE LA SUBSECRETARÍA DE INGRESOS DE LA SECRETARÍA DE FINANZAS, DIRIGIDO AL LIC. RODOLFO ESTEBAN RIVADENEYRA HERNÁNDEZ, JEFE DE LA UIPPE Y TITULAR DE LA UNIDAD DE TRANSPARENCIA DE LA SECRETARÍA DE FINANZAS, DICHO DOCUMENTO FUE PRESENTADO A TRAVÉS DEL SISTEMA DE ACCESO A LA INFORMACIÓN MEXIQUENSE (SAIMEX) EL DÍA 11 DE OCTUBRE DE 2022, </w:t>
            </w:r>
            <w:r w:rsidRPr="0098686D">
              <w:rPr>
                <w:rFonts w:ascii="Palatino Linotype" w:eastAsia="Palatino Linotype" w:hAnsi="Palatino Linotype" w:cs="Palatino Linotype"/>
                <w:i/>
                <w:sz w:val="20"/>
                <w:szCs w:val="20"/>
              </w:rPr>
              <w:lastRenderedPageBreak/>
              <w:t>TODA VEZ QUE NO SE DA CUMPLIMIENTO A LO ESTABLECIDO EN LOS ARTÍCULOS 4, 11, 12, 18, 19 Y 177 DE LA LEY DE TRANSPARENCIA Y ACCESO A LA INFORMACIÓN PÚBLICA DEL ESTADO DE MÉXICO Y MUNICIPIOS Y CON ELLO SE INCURRE EN LAS CAUSAS ESTABLECIDAS EN EL ARTÍCULO 179 FRACCIONES V, VI Y XIII DE LA LEY DE TRANSPARENCIA Y ACCESO A LA INFORMACIÓN PÚBLICA DEL ESTADO DE MÉXICO Y MUNICIPIOS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lastRenderedPageBreak/>
              <w:t xml:space="preserve">CON FUNDAMENTO EN LO SEÑALADO EN LOS ARTÍCULOS 176, 178 Y 179 DE LA LEY DE TRANSPARENCIA Y ACCESO A LA INFORMACIÓN PÚBLICA DEL ESTADO DE MÉXICO Y MUNICIPIOS SE INTERPONE EL PRESENTE RECURSO A LA RESPUESTA QUE EL SUJETO OBLIGADO SECRETARÍA DE FINANZAS PROPORCIONA A LA SOLICITUD DE INFORMACIÓN CON FOLIO 00440/SF/IP/2022 MEDIANTE EL OFICIO NÚMERO 20703001030200L/324/2022 DE FECHA 6 DE OCTUBRE DE 2022 FIRMADO POR EL LIC. RICARDO ESPINOSA SOTO, SUBDIRECTOR DE NORMAS Y PROCEDIMIENTOS Y SERVIDOR PÚBLICO HABILITADO SUPLENTE DE LA DIRECCIÓN GENERAL DE RECAUDACIÓN DE LA SUBSECRETARÍA DE INGRESOS DE LA SECRETARÍA DE FINANZAS, DIRIGIDO AL LIC. RODOLFO ESTEBAN RIVADENEYRA HERNÁNDEZ, JEFE DE LA UIPPE Y TITULAR DE LA UNIDAD DE </w:t>
            </w:r>
            <w:r w:rsidRPr="0098686D">
              <w:rPr>
                <w:rFonts w:ascii="Palatino Linotype" w:eastAsia="Palatino Linotype" w:hAnsi="Palatino Linotype" w:cs="Palatino Linotype"/>
                <w:i/>
                <w:sz w:val="20"/>
                <w:szCs w:val="20"/>
              </w:rPr>
              <w:lastRenderedPageBreak/>
              <w:t xml:space="preserve">TRANSPARENCIA DE LA SECRETARÍA DE FINANZAS Y PRESENTADO A TRAVÉS DEL SISTEMA DE ACCESO A LA INFORMACIÓN MEXIQUENSE (SAIMEX) EL DÍA 11 DE OCTUBRE DE 2022, TODA VEZ QUE NO SE DA CUMPLIMIENTO A LO ESTABLECIDO EN EL ARTÍCULO 4, 11, 12, 18, 19 Y 177 DE LA LEY DE TRANSPARENCIA Y ACCESO A LA INFORMACIÓN PÚBLICA DEL ESTADO DE MÉXICO Y MUNICIPIOS Y CON ELLO SE INCURRE EN LAS CAUSAS ESTABLECIDAS EN EL ARTÍCULO 179 FRACCIONES V, VI Y XIII DE LA LEY DE TRANSPARENCIA Y ACCESO A LA INFORMACIÓN PÚBLICA DEL ESTADO DE MÉXICO Y MUNICIPIOS YENDO EN CONTRA DEL PRINCIPIO DE MÁXIMA PUBLICIDAD ESTABLECIDO EN LA LEY DE TRANSPARENCIA Y ACCESO A LA INFORMACIÓN PÚBLICA DEL ESTADO DE MÉXICO Y MUNICIPIOS YA QUE EL SUJETO OBLIGADO NO PROPORCIONA LA INFORMACIÓN SOLICITADA, LA INFORMACIÓN ES INCOMPLETA, LA </w:t>
            </w:r>
            <w:r w:rsidRPr="0098686D">
              <w:rPr>
                <w:rFonts w:ascii="Palatino Linotype" w:eastAsia="Palatino Linotype" w:hAnsi="Palatino Linotype" w:cs="Palatino Linotype"/>
                <w:i/>
                <w:sz w:val="20"/>
                <w:szCs w:val="20"/>
              </w:rPr>
              <w:lastRenderedPageBreak/>
              <w:t>INFORMACIÓN PRESENTADA POR EL SUJETO OBLIGADO NO CORRESPONDE A LO SOLICITADO Y EXISTE UNA CLARA FALTA, DEFICIENCIA O INSUFICIENCIA DE LA FUNDAMENTACIÓN Y/O MOTIVACIÓN EN LA RESPUESTA DEL SUJETO OBLIGADO</w:t>
            </w:r>
          </w:p>
        </w:tc>
      </w:tr>
      <w:tr w:rsidR="0098686D" w:rsidRPr="0098686D">
        <w:tc>
          <w:tcPr>
            <w:tcW w:w="2972"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15626/INFOEM/IP/RR/2022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t xml:space="preserve">A LA RESPUESTA QUE EL SUJETO OBLIGADO SECRETARÍA DE FINANZAS PROPORCIONA A LA SOLICITUD DE INFORMACIÓN CON FOLIO 00439/SF/IP/2022 MEDIANTE EL OFICIO NÚMERO 20703001030200L/327/2022 DE FECHA 6 DE OCTUBRE DE 2022 FIRMADO POR EL LIC. RICARDO ESPINOSA SOTO, SUBDIRECTOR DE NORMAS Y PROCEDIMIENTOS Y SERVIDOR PÚBLICO HABILITADO SUPLENTE DE LA DIRECCIÓN GENERAL DE RECAUDACIÓN DE LA SUBSECRETARÍA DE INGRESOS DE LA SECRETARÍA DE FINANZAS, DIRIGIDO AL LIC. RODOLFO ESTEBAN RIVADENEYRA HERNÁNDEZ, JEFE DE LA UIPPE Y TITULAR DE LA UNIDAD DE </w:t>
            </w:r>
            <w:r w:rsidRPr="0098686D">
              <w:rPr>
                <w:rFonts w:ascii="Palatino Linotype" w:eastAsia="Palatino Linotype" w:hAnsi="Palatino Linotype" w:cs="Palatino Linotype"/>
                <w:i/>
                <w:sz w:val="20"/>
                <w:szCs w:val="20"/>
              </w:rPr>
              <w:lastRenderedPageBreak/>
              <w:t>TRANSPARENCIA DE LA SECRETARÍA DE FINANZAS, DICHO DOCUMENTO FUE PRESENTADO A TRAVÉS DEL SISTEMA DE ACCESO A LA INFORMACIÓN MEXIQUENSE (SAIMEX) EL DÍA 11 DE OCTUBRE DE 2022, TODA VEZ QUE NO SE DA CUMPLIMIENTO A LO ESTABLECIDO EN LOS ARTÍCULOS 4, 11, 12, 18, 19 Y 177 DE LA LEY DE TRANSPARENCIA Y ACCESO A LA INFORMACIÓN PÚBLICA DEL ESTADO DE MÉXICO Y MUNICIPIOS Y CON ELLO SE INCURRE EN LAS CAUSAS ESTABLECIDAS EN EL ARTÍCULO 179 FRACCIONES V, VI Y XIII DE LA LEY DE TRANSPARENCIA Y ACCESO A LA INFORMACIÓN PÚBLICA DEL ESTADO DE MÉXICO Y MUNICIPIOS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lastRenderedPageBreak/>
              <w:t xml:space="preserve">CON FUNDAMENTO EN LO SEÑALADO EN LOS ARTÍCULOS 176, 178 Y 179 DE LA LEY DE TRANSPARENCIA Y ACCESO A LA INFORMACIÓN PÚBLICA DEL ESTADO DE MÉXICO Y MUNICIPIOS SE INTERPONE EL PRESENTE RECURSO A LA RESPUESTA QUE EL SUJETO OBLIGADO SECRETARÍA DE FINANZAS PROPORCIONA A LA SOLICITUD DE INFORMACIÓN CON FOLIO 00439/SF/IP/2022 MEDIANTE EL OFICIO NÚMERO 20703001030200L/327/2022 DE FECHA 6 DE OCTUBRE DE 2022 FIRMADO POR EL LIC. RICARDO ESPINOSA SOTO, SUBDIRECTOR DE NORMAS Y PROCEDIMIENTOS Y SERVIDOR PÚBLICO HABILITADO SUPLENTE DE LA DIRECCIÓN GENERAL DE RECAUDACIÓN DE LA </w:t>
            </w:r>
            <w:r w:rsidRPr="0098686D">
              <w:rPr>
                <w:rFonts w:ascii="Palatino Linotype" w:eastAsia="Palatino Linotype" w:hAnsi="Palatino Linotype" w:cs="Palatino Linotype"/>
                <w:i/>
                <w:sz w:val="20"/>
                <w:szCs w:val="20"/>
              </w:rPr>
              <w:lastRenderedPageBreak/>
              <w:t xml:space="preserve">SUBSECRETARÍA DE INGRESOS DE LA SECRETARÍA DE FINANZAS, DIRIGIDO AL LIC. RODOLFO ESTEBAN RIVADENEYRA HERNÁNDEZ, JEFE DE LA UIPPE Y TITULAR DE LA UNIDAD DE TRANSPARENCIA DE LA SECRETARÍA DE FINANZAS Y PRESENTADO A TRAVÉS DEL SISTEMA DE ACCESO A LA INFORMACIÓN MEXIQUENSE (SAIMEX) EL DÍA 11 DE OCTUBRE DE 2022, TODA VEZ QUE NO SE DA CUMPLIMIENTO A LO ESTABLECIDO EN EL ARTÍCULO 4, 11, 12, 18, 19 Y 177 DE LA LEY DE TRANSPARENCIA Y ACCESO A LA INFORMACIÓN PÚBLICA DEL ESTADO DE MÉXICO Y MUNICIPIOS Y CON ELLO SE INCURRE EN LAS CAUSAS ESTABLECIDAS EN EL ARTÍCULO 179 FRACCIONES V, VI Y XIII DE LA LEY DE TRANSPARENCIA Y ACCESO A LA INFORMACIÓN PÚBLICA DEL ESTADO DE MÉXICO Y MUNICIPIOS YENDO EN CONTRA DEL PRINCIPIO DE MÁXIMA PUBLICIDAD ESTABLECIDO EN LA LEY DE TRANSPARENCIA Y ACCESO </w:t>
            </w:r>
            <w:r w:rsidRPr="0098686D">
              <w:rPr>
                <w:rFonts w:ascii="Palatino Linotype" w:eastAsia="Palatino Linotype" w:hAnsi="Palatino Linotype" w:cs="Palatino Linotype"/>
                <w:i/>
                <w:sz w:val="20"/>
                <w:szCs w:val="20"/>
              </w:rPr>
              <w:lastRenderedPageBreak/>
              <w:t>A LA INFORMACIÓN PÚBLICA DEL ESTADO DE MÉXICO Y MUNICIPIOS YA QUE EL SUJETO OBLIGADO NO PROPORCIONA LA INFORMACIÓN SOLICITADA, LA INFORMACIÓN ES INCOMPLETA, LA INFORMACIÓN PRESENTADA POR EL SUJETO OBLIGADO NO CORRESPONDE A LO SOLICITADO Y EXISTE UNA CLARA FALTA, DEFICIENCIA O INSUFICIENCIA DE LA FUNDAMENTACIÓN Y/O MOTIVACIÓN EN LA RESPUESTA DEL SUJETO OBLIGADO</w:t>
            </w:r>
          </w:p>
        </w:tc>
      </w:tr>
      <w:tr w:rsidR="0098686D" w:rsidRPr="0098686D">
        <w:tc>
          <w:tcPr>
            <w:tcW w:w="2972"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15627/INFOEM/IP/RR/2022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t xml:space="preserve">A LA RESPUESTA QUE EL SUJETO OBLIGADO SECRETARÍA DE FINANZAS PROPORCIONA A LA SOLICITUD DE INFORMACIÓN CON FOLIO 00438/SF/IP/2022 MEDIANTE EL OFICIO NÚMERO 20703001030200L/328/2022 DE FECHA 6 DE OCTUBRE DE 2022 FIRMADO POR EL LIC. RICARDO ESPINOSA SOTO, SUBDIRECTOR DE NORMAS Y PROCEDIMIENTOS Y SERVIDOR PÚBLICO HABILITADO SUPLENTE DE LA DIRECCIÓN GENERAL DE RECAUDACIÓN DE LA </w:t>
            </w:r>
            <w:r w:rsidRPr="0098686D">
              <w:rPr>
                <w:rFonts w:ascii="Palatino Linotype" w:eastAsia="Palatino Linotype" w:hAnsi="Palatino Linotype" w:cs="Palatino Linotype"/>
                <w:i/>
                <w:sz w:val="20"/>
                <w:szCs w:val="20"/>
              </w:rPr>
              <w:lastRenderedPageBreak/>
              <w:t>SUBSECRETARÍA DE INGRESOS DE LA SECRETARÍA DE FINANZAS, DIRIGIDO AL LIC. RODOLFO ESTEBAN RIVADENEYRA HERNÁNDEZ, JEFE DE LA UIPPE Y TITULAR DE LA UNIDAD DE TRANSPARENCIA DE LA SECRETARÍA DE FINANZAS, DICHO DOCUMENTO FUE PRESENTADO A TRAVÉS DEL SISTEMA DE ACCESO A LA INFORMACIÓN MEXIQUENSE (SAIMEX) EL DÍA 11 DE OCTUBRE DE 2022, TODA VEZ QUE NO SE DA CUMPLIMIENTO A LO ESTABLECIDO EN LOS ARTÍCULOS 4, 11, 12, 18, 19 Y 177 DE LA LEY DE TRANSPARENCIA Y ACCESO A LA INFORMACIÓN PÚBLICA DEL ESTADO DE MÉXICO Y MUNICIPIOS Y CON ELLO SE INCURRE EN LAS CAUSAS ESTABLECIDAS EN EL ARTÍCULO 179 FRACCIONES V, VI Y XIII DE LA LEY DE TRANSPARENCIA Y ACCESO A LA INFORMACIÓN PÚBLICA DEL ESTADO DE MÉXICO Y MUNICIPIOS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lastRenderedPageBreak/>
              <w:t xml:space="preserve">CON FUNDAMENTO EN LO SEÑALADO EN LOS ARTÍCULOS 176, 178 Y 179 DE LA LEY DE TRANSPARENCIA Y ACCESO A LA INFORMACIÓN PÚBLICA DEL ESTADO DE MÉXICO Y MUNICIPIOS SE INTERPONE EL PRESENTE RECURSO A LA RESPUESTA QUE EL SUJETO OBLIGADO SECRETARÍA DE FINANZAS PROPORCIONA A LA SOLICITUD DE INFORMACIÓN CON FOLIO 00438/SF/IP/2022 MEDIANTE EL OFICIO NÚMERO 20703001030200L/328/2022 DE FECHA 6 DE OCTUBRE DE </w:t>
            </w:r>
            <w:r w:rsidRPr="0098686D">
              <w:rPr>
                <w:rFonts w:ascii="Palatino Linotype" w:eastAsia="Palatino Linotype" w:hAnsi="Palatino Linotype" w:cs="Palatino Linotype"/>
                <w:i/>
                <w:sz w:val="20"/>
                <w:szCs w:val="20"/>
              </w:rPr>
              <w:lastRenderedPageBreak/>
              <w:t xml:space="preserve">2022 FIRMADO POR EL LIC. RICARDO ESPINOSA SOTO, SUBDIRECTOR DE NORMAS Y PROCEDIMIENTOS Y SERVIDOR PÚBLICO HABILITADO SUPLENTE DE LA DIRECCIÓN GENERAL DE RECAUDACIÓN DE LA SUBSECRETARÍA DE INGRESOS DE LA SECRETARÍA DE FINANZAS, DIRIGIDO AL LIC. RODOLFO ESTEBAN RIVADENEYRA HERNÁNDEZ, JEFE DE LA UIPPE Y TITULAR DE LA UNIDAD DE TRANSPARENCIA DE LA SECRETARÍA DE FINANZAS Y PRESENTADO A TRAVÉS DEL SISTEMA DE ACCESO A LA INFORMACIÓN MEXIQUENSE (SAIMEX) EL DÍA 11 DE OCTUBRE DE 2022, TODA VEZ QUE NO SE DA CUMPLIMIENTO A LO ESTABLECIDO EN EL ARTÍCULO 4, 11, 12, 18, 19 Y 177 DE LA LEY DE TRANSPARENCIA Y ACCESO A LA INFORMACIÓN PÚBLICA DEL ESTADO DE MÉXICO Y MUNICIPIOS Y CON ELLO SE INCURRE EN LAS CAUSAS ESTABLECIDAS EN EL ARTÍCULO 179 FRACCIONES V, VI Y XIII DE LA LEY DE TRANSPARENCIA </w:t>
            </w:r>
            <w:r w:rsidRPr="0098686D">
              <w:rPr>
                <w:rFonts w:ascii="Palatino Linotype" w:eastAsia="Palatino Linotype" w:hAnsi="Palatino Linotype" w:cs="Palatino Linotype"/>
                <w:i/>
                <w:sz w:val="20"/>
                <w:szCs w:val="20"/>
              </w:rPr>
              <w:lastRenderedPageBreak/>
              <w:t>Y ACCESO A LA INFORMACIÓN PÚBLICA DEL ESTADO DE MÉXICO Y MUNICIPIOS YENDO EN CONTRA DEL PRINCIPIO DE MÁXIMA PUBLICIDAD ESTABLECIDO EN LA LEY DE TRANSPARENCIA Y ACCESO A LA INFORMACIÓN PÚBLICA DEL ESTADO DE MÉXICO Y MUNICIPIOS YA QUE EL SUJETO OBLIGADO NO PROPORCIONA LA INFORMACIÓN SOLICITADA, LA INFORMACIÓN ES INCOMPLETA, LA INFORMACIÓN PRESENTADA POR EL SUJETO OBLIGADO NO CORRESPONDE A LO SOLICITADO Y EXISTE UNA CLARA FALTA, DEFICIENCIA O INSUFICIENCIA DE LA FUNDAMENTACIÓN Y/O MOTIVACIÓN EN LA RESPUESTA DEL SUJETO OBLIGADO</w:t>
            </w:r>
          </w:p>
        </w:tc>
      </w:tr>
      <w:tr w:rsidR="0098686D" w:rsidRPr="0098686D">
        <w:tc>
          <w:tcPr>
            <w:tcW w:w="2972"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15628/INFOEM/IP/RR/2022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t xml:space="preserve">A LA RESPUESTA QUE EL SUJETO OBLIGADO SECRETARÍA DE FINANZAS PROPORCIONA A LA SOLICITUD DE INFORMACIÓN CON FOLIO 00436/SF/IP/2022 MEDIANTE EL OFICIO NÚMERO 20703001030200L/326/2022 DE FECHA 6 DE OCTUBRE DE </w:t>
            </w:r>
            <w:r w:rsidRPr="0098686D">
              <w:rPr>
                <w:rFonts w:ascii="Palatino Linotype" w:eastAsia="Palatino Linotype" w:hAnsi="Palatino Linotype" w:cs="Palatino Linotype"/>
                <w:i/>
                <w:sz w:val="20"/>
                <w:szCs w:val="20"/>
              </w:rPr>
              <w:lastRenderedPageBreak/>
              <w:t xml:space="preserve">2022 FIRMADO POR EL LIC. RICARDO ESPINOSA SOTO, SUBDIRECTOR DE NORMAS Y PROCEDIMIENTOS Y SERVIDOR PÚBLICO HABILITADO SUPLENTE DE LA DIRECCIÓN GENERAL DE RECAUDACIÓN DE LA SUBSECRETARÍA DE INGRESOS DE LA SECRETARÍA DE FINANZAS, DIRIGIDO AL LIC. RODOLFO ESTEBAN RIVADENEYRA HERNÁNDEZ, JEFE DE LA UIPPE Y TITULAR DE LA UNIDAD DE TRANSPARENCIA DE LA SECRETARÍA DE FINANZAS, DICHO DOCUMENTO FUE PRESENTADO A TRAVÉS DEL SISTEMA DE ACCESO A LA INFORMACIÓN MEXIQUENSE (SAIMEX) EL DÍA 11 DE OCTUBRE DE 2022, TODA VEZ QUE NO SE DA CUMPLIMIENTO A LO ESTABLECIDO EN LOS ARTÍCULOS 4, 11, 12, 18, 19 Y 177 DE LA LEY DE TRANSPARENCIA Y ACCESO A LA INFORMACIÓN PÚBLICA DEL ESTADO DE MÉXICO Y MUNICIPIOS Y CON ELLO SE INCURRE EN LAS CAUSAS ESTABLECIDAS EN EL ARTÍCULO 179 FRACCIONES V, VI Y XIII DE </w:t>
            </w:r>
            <w:r w:rsidRPr="0098686D">
              <w:rPr>
                <w:rFonts w:ascii="Palatino Linotype" w:eastAsia="Palatino Linotype" w:hAnsi="Palatino Linotype" w:cs="Palatino Linotype"/>
                <w:i/>
                <w:sz w:val="20"/>
                <w:szCs w:val="20"/>
              </w:rPr>
              <w:lastRenderedPageBreak/>
              <w:t>LA LEY DE TRANSPARENCIA Y ACCESO A LA INFORMACIÓN PÚBLICA DEL ESTADO DE MÉXICO Y MUNICIPIOS</w:t>
            </w:r>
          </w:p>
        </w:tc>
        <w:tc>
          <w:tcPr>
            <w:tcW w:w="3021"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jc w:val="both"/>
              <w:rPr>
                <w:rFonts w:ascii="Palatino Linotype" w:eastAsia="Palatino Linotype" w:hAnsi="Palatino Linotype" w:cs="Palatino Linotype"/>
                <w:i/>
                <w:sz w:val="20"/>
                <w:szCs w:val="20"/>
              </w:rPr>
            </w:pPr>
            <w:r w:rsidRPr="0098686D">
              <w:rPr>
                <w:rFonts w:ascii="Palatino Linotype" w:eastAsia="Palatino Linotype" w:hAnsi="Palatino Linotype" w:cs="Palatino Linotype"/>
                <w:i/>
                <w:sz w:val="20"/>
                <w:szCs w:val="20"/>
              </w:rPr>
              <w:lastRenderedPageBreak/>
              <w:t xml:space="preserve">CON FUNDAMENTO EN LO SEÑALADO EN LOS ARTÍCULOS 176, 178 Y 179 DE LA LEY DE TRANSPARENCIA Y ACCESO A LA INFORMACIÓN PÚBLICA DEL ESTADO DE MÉXICO Y MUNICIPIOS SE INTERPONE EL PRESENTE RECURSO A LA RESPUESTA QUE EL SUJETO </w:t>
            </w:r>
            <w:r w:rsidRPr="0098686D">
              <w:rPr>
                <w:rFonts w:ascii="Palatino Linotype" w:eastAsia="Palatino Linotype" w:hAnsi="Palatino Linotype" w:cs="Palatino Linotype"/>
                <w:i/>
                <w:sz w:val="20"/>
                <w:szCs w:val="20"/>
              </w:rPr>
              <w:lastRenderedPageBreak/>
              <w:t xml:space="preserve">OBLIGADO SECRETARÍA DE FINANZAS PROPORCIONA A LA SOLICITUD DE INFORMACIÓN CON FOLIO 00436/SF/IP/2022 MEDIANTE EL OFICIO NÚMERO 20703001030200L/326/2022 DE FECHA 6 DE OCTUBRE DE 2022 FIRMADO POR EL LIC. RICARDO ESPINOSA SOTO, SUBDIRECTOR DE NORMAS Y PROCEDIMIENTOS Y SERVIDOR PÚBLICO HABILITADO SUPLENTE DE LA DIRECCIÓN GENERAL DE RECAUDACIÓN DE LA SUBSECRETARÍA DE INGRESOS DE LA SECRETARÍA DE FINANZAS, DIRIGIDO AL LIC. RODOLFO ESTEBAN RIVADENEYRA HERNÁNDEZ, JEFE DE LA UIPPE Y TITULAR DE LA UNIDAD DE TRANSPARENCIA DE LA SECRETARÍA DE FINANZAS Y PRESENTADO A TRAVÉS DEL SISTEMA DE ACCESO A LA INFORMACIÓN MEXIQUENSE (SAIMEX) EL DÍA 11 DE OCTUBRE DE 2022, TODA VEZ QUE NO SE DA CUMPLIMIENTO A LO ESTABLECIDO EN EL ARTÍCULO 4, 11, 12, 18, 19 Y 177 DE LA LEY DE TRANSPARENCIA Y ACCESO </w:t>
            </w:r>
            <w:r w:rsidRPr="0098686D">
              <w:rPr>
                <w:rFonts w:ascii="Palatino Linotype" w:eastAsia="Palatino Linotype" w:hAnsi="Palatino Linotype" w:cs="Palatino Linotype"/>
                <w:i/>
                <w:sz w:val="20"/>
                <w:szCs w:val="20"/>
              </w:rPr>
              <w:lastRenderedPageBreak/>
              <w:t>A LA INFORMACIÓN PÚBLICA DEL ESTADO DE MÉXICO Y MUNICIPIOS Y CON ELLO SE INCURRE EN LAS CAUSAS ESTABLECIDAS EN EL ARTÍCULO 179 FRACCIONES V, VI Y XIII DE LA LEY DE TRANSPARENCIA Y ACCESO A LA INFORMACIÓN PÚBLICA DEL ESTADO DE MÉXICO Y MUNICIPIOS YENDO EN CONTRA DEL PRINCIPIO DE MÁXIMA PUBLICIDAD ESTABLECIDO EN LA LEY DE TRANSPARENCIA Y ACCESO A LA INFORMACIÓN PÚBLICA DEL ESTADO DE MÉXICO Y MUNICIPIOS YA QUE EL SUJETO OBLIGADO NO PROPORCIONA LA INFORMACIÓN SOLICITADA, LA INFORMACIÓN ES INCOMPLETA, LA INFORMACIÓN PRESENTADA POR EL SUJETO OBLIGADO NO CORRESPONDE A LO SOLICITADO Y EXISTE UNA CLARA FALTA, DEFICIENCIA O INSUFICIENCIA DE LA FUNDAMENTACIÓN Y/O MOTIVACIÓN EN LA RESPUESTA DEL SUJETO OBLIGADO</w:t>
            </w:r>
          </w:p>
        </w:tc>
      </w:tr>
    </w:tbl>
    <w:p w:rsidR="00E74020" w:rsidRPr="0098686D" w:rsidRDefault="00E74020"/>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lastRenderedPageBreak/>
        <w:t xml:space="preserve">4. TURNO. </w:t>
      </w:r>
      <w:r w:rsidRPr="0098686D">
        <w:rPr>
          <w:rFonts w:ascii="Palatino Linotype" w:eastAsia="Palatino Linotype" w:hAnsi="Palatino Linotype" w:cs="Palatino Linotype"/>
          <w:sz w:val="24"/>
          <w:szCs w:val="24"/>
        </w:rPr>
        <w:t xml:space="preserve">De conformidad con el artículo 185 fracción I de la Ley Transparencia y Acceso a la Información Pública, el recurso de revisión número </w:t>
      </w:r>
      <w:r w:rsidRPr="0098686D">
        <w:rPr>
          <w:rFonts w:ascii="Palatino Linotype" w:eastAsia="Palatino Linotype" w:hAnsi="Palatino Linotype" w:cs="Palatino Linotype"/>
          <w:b/>
          <w:sz w:val="24"/>
          <w:szCs w:val="24"/>
        </w:rPr>
        <w:t xml:space="preserve">15624/INFOEM/IP/RR/2022, </w:t>
      </w:r>
      <w:r w:rsidRPr="0098686D">
        <w:rPr>
          <w:rFonts w:ascii="Palatino Linotype" w:eastAsia="Palatino Linotype" w:hAnsi="Palatino Linotype" w:cs="Palatino Linotype"/>
          <w:sz w:val="24"/>
          <w:szCs w:val="24"/>
        </w:rPr>
        <w:t xml:space="preserve">fue turnado a la Comisionada Guadalupe Ramírez Peña, el recurso </w:t>
      </w:r>
      <w:r w:rsidRPr="0098686D">
        <w:rPr>
          <w:rFonts w:ascii="Palatino Linotype" w:eastAsia="Palatino Linotype" w:hAnsi="Palatino Linotype" w:cs="Palatino Linotype"/>
          <w:b/>
          <w:sz w:val="24"/>
          <w:szCs w:val="24"/>
        </w:rPr>
        <w:t xml:space="preserve">15625/INFOEM/IP/RR/2022 </w:t>
      </w:r>
      <w:r w:rsidRPr="0098686D">
        <w:rPr>
          <w:rFonts w:ascii="Palatino Linotype" w:eastAsia="Palatino Linotype" w:hAnsi="Palatino Linotype" w:cs="Palatino Linotype"/>
          <w:sz w:val="24"/>
          <w:szCs w:val="24"/>
        </w:rPr>
        <w:t xml:space="preserve">fue turnado al Comisionado Presidente José Martínez Vilchis, el recurso </w:t>
      </w:r>
      <w:r w:rsidRPr="0098686D">
        <w:rPr>
          <w:rFonts w:ascii="Palatino Linotype" w:eastAsia="Palatino Linotype" w:hAnsi="Palatino Linotype" w:cs="Palatino Linotype"/>
          <w:b/>
          <w:sz w:val="24"/>
          <w:szCs w:val="24"/>
        </w:rPr>
        <w:t xml:space="preserve">15626/INFOEM/IP/RR/2022 </w:t>
      </w:r>
      <w:r w:rsidRPr="0098686D">
        <w:rPr>
          <w:rFonts w:ascii="Palatino Linotype" w:eastAsia="Palatino Linotype" w:hAnsi="Palatino Linotype" w:cs="Palatino Linotype"/>
          <w:sz w:val="24"/>
          <w:szCs w:val="24"/>
        </w:rPr>
        <w:t>al Comisionado</w:t>
      </w:r>
      <w:r w:rsidRPr="0098686D">
        <w:rPr>
          <w:rFonts w:ascii="Palatino Linotype" w:eastAsia="Palatino Linotype" w:hAnsi="Palatino Linotype" w:cs="Palatino Linotype"/>
          <w:b/>
          <w:sz w:val="24"/>
          <w:szCs w:val="24"/>
        </w:rPr>
        <w:t xml:space="preserve"> </w:t>
      </w:r>
      <w:r w:rsidRPr="0098686D">
        <w:rPr>
          <w:rFonts w:ascii="Palatino Linotype" w:eastAsia="Palatino Linotype" w:hAnsi="Palatino Linotype" w:cs="Palatino Linotype"/>
          <w:sz w:val="24"/>
          <w:szCs w:val="24"/>
        </w:rPr>
        <w:t>Luis Gustavo Parra Noriega,</w:t>
      </w:r>
      <w:r w:rsidRPr="0098686D">
        <w:rPr>
          <w:rFonts w:ascii="Palatino Linotype" w:eastAsia="Palatino Linotype" w:hAnsi="Palatino Linotype" w:cs="Palatino Linotype"/>
          <w:b/>
          <w:sz w:val="24"/>
          <w:szCs w:val="24"/>
        </w:rPr>
        <w:t xml:space="preserve"> </w:t>
      </w:r>
      <w:r w:rsidRPr="0098686D">
        <w:rPr>
          <w:rFonts w:ascii="Palatino Linotype" w:eastAsia="Palatino Linotype" w:hAnsi="Palatino Linotype" w:cs="Palatino Linotype"/>
          <w:sz w:val="24"/>
          <w:szCs w:val="24"/>
        </w:rPr>
        <w:t xml:space="preserve">el recurso </w:t>
      </w:r>
      <w:r w:rsidRPr="0098686D">
        <w:rPr>
          <w:rFonts w:ascii="Palatino Linotype" w:eastAsia="Palatino Linotype" w:hAnsi="Palatino Linotype" w:cs="Palatino Linotype"/>
          <w:b/>
          <w:sz w:val="24"/>
          <w:szCs w:val="24"/>
        </w:rPr>
        <w:t xml:space="preserve">15627/INFOEM/IP/RR/2022 </w:t>
      </w:r>
      <w:r w:rsidRPr="0098686D">
        <w:rPr>
          <w:rFonts w:ascii="Palatino Linotype" w:eastAsia="Palatino Linotype" w:hAnsi="Palatino Linotype" w:cs="Palatino Linotype"/>
          <w:sz w:val="24"/>
          <w:szCs w:val="24"/>
        </w:rPr>
        <w:t xml:space="preserve">a la Comisionada Sharon Cristina Morales Martínez y el Recurso </w:t>
      </w:r>
      <w:r w:rsidRPr="0098686D">
        <w:rPr>
          <w:rFonts w:ascii="Palatino Linotype" w:eastAsia="Palatino Linotype" w:hAnsi="Palatino Linotype" w:cs="Palatino Linotype"/>
          <w:b/>
          <w:sz w:val="24"/>
          <w:szCs w:val="24"/>
        </w:rPr>
        <w:t xml:space="preserve">15627/INFOEM/IP/RR/2022  a la Comisionada </w:t>
      </w:r>
      <w:r w:rsidRPr="0098686D">
        <w:rPr>
          <w:rFonts w:ascii="Palatino Linotype" w:eastAsia="Palatino Linotype" w:hAnsi="Palatino Linotype" w:cs="Palatino Linotype"/>
          <w:sz w:val="24"/>
          <w:szCs w:val="24"/>
        </w:rPr>
        <w:t>María Del Rosario Mejía Ayala a efecto de presentar al Pleno los proyectos de resolución correspondientes.</w:t>
      </w:r>
    </w:p>
    <w:p w:rsidR="00E74020" w:rsidRPr="0098686D" w:rsidRDefault="00E74020"/>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5. ADMISIÓN. </w:t>
      </w:r>
      <w:r w:rsidRPr="0098686D">
        <w:rPr>
          <w:rFonts w:ascii="Palatino Linotype" w:eastAsia="Palatino Linotype" w:hAnsi="Palatino Linotype" w:cs="Palatino Linotype"/>
          <w:sz w:val="24"/>
          <w:szCs w:val="24"/>
        </w:rPr>
        <w:t xml:space="preserve">En fecha </w:t>
      </w:r>
      <w:r w:rsidRPr="0098686D">
        <w:rPr>
          <w:rFonts w:ascii="Palatino Linotype" w:eastAsia="Palatino Linotype" w:hAnsi="Palatino Linotype" w:cs="Palatino Linotype"/>
          <w:b/>
          <w:sz w:val="24"/>
          <w:szCs w:val="24"/>
        </w:rPr>
        <w:t>veinte de octubre de dos mil veintidós</w:t>
      </w:r>
      <w:r w:rsidRPr="0098686D">
        <w:rPr>
          <w:rFonts w:ascii="Palatino Linotype" w:eastAsia="Palatino Linotype" w:hAnsi="Palatino Linotype" w:cs="Palatino Linotype"/>
          <w:sz w:val="24"/>
          <w:szCs w:val="24"/>
        </w:rPr>
        <w:t xml:space="preserve">, en términos de lo dispuesto en el artículo 185 fracciones I, II y IV de la Ley de Transparencia y Acceso a la Información Pública del Estado de México y Municipios, se admitieron a trámite los recurso de revisión </w:t>
      </w:r>
      <w:r w:rsidRPr="0098686D">
        <w:rPr>
          <w:rFonts w:ascii="Palatino Linotype" w:eastAsia="Palatino Linotype" w:hAnsi="Palatino Linotype" w:cs="Palatino Linotype"/>
          <w:b/>
          <w:sz w:val="24"/>
          <w:szCs w:val="24"/>
        </w:rPr>
        <w:t>15624/INFOEM/IP/RR/2022</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15625/INFOEM/IP/RR/2022</w:t>
      </w:r>
      <w:r w:rsidRPr="0098686D">
        <w:rPr>
          <w:rFonts w:ascii="Palatino Linotype" w:eastAsia="Palatino Linotype" w:hAnsi="Palatino Linotype" w:cs="Palatino Linotype"/>
          <w:sz w:val="24"/>
          <w:szCs w:val="24"/>
        </w:rPr>
        <w:t xml:space="preserve"> en el recurso de revisión </w:t>
      </w:r>
      <w:r w:rsidRPr="0098686D">
        <w:rPr>
          <w:rFonts w:ascii="Palatino Linotype" w:eastAsia="Palatino Linotype" w:hAnsi="Palatino Linotype" w:cs="Palatino Linotype"/>
          <w:b/>
          <w:sz w:val="24"/>
          <w:szCs w:val="24"/>
        </w:rPr>
        <w:t>15626/INFOEM/IP/RR/2022</w:t>
      </w:r>
      <w:r w:rsidRPr="0098686D">
        <w:rPr>
          <w:rFonts w:ascii="Palatino Linotype" w:eastAsia="Palatino Linotype" w:hAnsi="Palatino Linotype" w:cs="Palatino Linotype"/>
          <w:sz w:val="24"/>
          <w:szCs w:val="24"/>
        </w:rPr>
        <w:t xml:space="preserve"> en fecha veinticuatro de octubre de dos mil veintidós, el recurso de revisión </w:t>
      </w:r>
      <w:r w:rsidRPr="0098686D">
        <w:rPr>
          <w:rFonts w:ascii="Palatino Linotype" w:eastAsia="Palatino Linotype" w:hAnsi="Palatino Linotype" w:cs="Palatino Linotype"/>
          <w:b/>
          <w:sz w:val="24"/>
          <w:szCs w:val="24"/>
        </w:rPr>
        <w:t xml:space="preserve">15627/INFOEM/IP/RR/2022 </w:t>
      </w:r>
      <w:r w:rsidRPr="0098686D">
        <w:rPr>
          <w:rFonts w:ascii="Palatino Linotype" w:eastAsia="Palatino Linotype" w:hAnsi="Palatino Linotype" w:cs="Palatino Linotype"/>
          <w:sz w:val="24"/>
          <w:szCs w:val="24"/>
        </w:rPr>
        <w:t xml:space="preserve">en fecha dieciocho de octubre y el recurso de revisión </w:t>
      </w:r>
      <w:r w:rsidRPr="0098686D">
        <w:rPr>
          <w:rFonts w:ascii="Palatino Linotype" w:eastAsia="Palatino Linotype" w:hAnsi="Palatino Linotype" w:cs="Palatino Linotype"/>
          <w:b/>
          <w:sz w:val="24"/>
          <w:szCs w:val="24"/>
        </w:rPr>
        <w:t xml:space="preserve">15628/INFOEM/IP/RR/2022 </w:t>
      </w:r>
      <w:r w:rsidRPr="0098686D">
        <w:rPr>
          <w:rFonts w:ascii="Palatino Linotype" w:eastAsia="Palatino Linotype" w:hAnsi="Palatino Linotype" w:cs="Palatino Linotype"/>
          <w:sz w:val="24"/>
          <w:szCs w:val="24"/>
        </w:rPr>
        <w:t>en fecha veintiséis de octubre de dos mil veintidós.</w:t>
      </w:r>
    </w:p>
    <w:p w:rsidR="00E74020" w:rsidRPr="0098686D" w:rsidRDefault="00E74020"/>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6. ACUMULACIÓN. </w:t>
      </w:r>
      <w:r w:rsidRPr="0098686D">
        <w:rPr>
          <w:rFonts w:ascii="Palatino Linotype" w:eastAsia="Palatino Linotype" w:hAnsi="Palatino Linotype" w:cs="Palatino Linotype"/>
          <w:sz w:val="24"/>
          <w:szCs w:val="24"/>
        </w:rPr>
        <w:t xml:space="preserve">En la </w:t>
      </w:r>
      <w:r w:rsidRPr="0098686D">
        <w:rPr>
          <w:rFonts w:ascii="Palatino Linotype" w:eastAsia="Palatino Linotype" w:hAnsi="Palatino Linotype" w:cs="Palatino Linotype"/>
          <w:b/>
          <w:sz w:val="24"/>
          <w:szCs w:val="24"/>
        </w:rPr>
        <w:t>Trigésima Novena Sesión Ordinaria, celebrada el cuatro de noviembre de dos mil veintidós</w:t>
      </w:r>
      <w:r w:rsidRPr="0098686D">
        <w:rPr>
          <w:rFonts w:ascii="Palatino Linotype" w:eastAsia="Palatino Linotype" w:hAnsi="Palatino Linotype" w:cs="Palatino Linotype"/>
          <w:sz w:val="24"/>
          <w:szCs w:val="24"/>
        </w:rPr>
        <w:t xml:space="preserve"> al advertir la conexidad causa y con la finalidad de evitar que se dicten resoluciones contradictorias, de conformidad con el artículo 195 de la Ley de Transparencia y Acceso a la Información Pública del </w:t>
      </w:r>
      <w:r w:rsidRPr="0098686D">
        <w:rPr>
          <w:rFonts w:ascii="Palatino Linotype" w:eastAsia="Palatino Linotype" w:hAnsi="Palatino Linotype" w:cs="Palatino Linotype"/>
          <w:sz w:val="24"/>
          <w:szCs w:val="24"/>
        </w:rPr>
        <w:lastRenderedPageBreak/>
        <w:t xml:space="preserve">Estado de México y Municipios y artículo 18 del Código de Procedimientos Administrativos del Estado de México, se acordó la acumulación de los recursos antes señalados, acordando que fuera Ponente la Comisionada </w:t>
      </w:r>
      <w:r w:rsidRPr="0098686D">
        <w:rPr>
          <w:rFonts w:ascii="Palatino Linotype" w:eastAsia="Palatino Linotype" w:hAnsi="Palatino Linotype" w:cs="Palatino Linotype"/>
          <w:b/>
          <w:sz w:val="24"/>
          <w:szCs w:val="24"/>
        </w:rPr>
        <w:t>Guadalupe Ramírez Peña</w:t>
      </w:r>
      <w:r w:rsidRPr="0098686D">
        <w:rPr>
          <w:rFonts w:ascii="Palatino Linotype" w:eastAsia="Palatino Linotype" w:hAnsi="Palatino Linotype" w:cs="Palatino Linotype"/>
          <w:sz w:val="24"/>
          <w:szCs w:val="24"/>
        </w:rPr>
        <w:t>.</w:t>
      </w:r>
    </w:p>
    <w:p w:rsidR="00E74020" w:rsidRPr="0098686D" w:rsidRDefault="00E74020">
      <w:pPr>
        <w:spacing w:after="0" w:line="360" w:lineRule="auto"/>
        <w:jc w:val="both"/>
        <w:rPr>
          <w:rFonts w:ascii="Palatino Linotype" w:eastAsia="Palatino Linotype" w:hAnsi="Palatino Linotype" w:cs="Palatino Linotype"/>
          <w:b/>
          <w:sz w:val="24"/>
          <w:szCs w:val="24"/>
        </w:rPr>
      </w:pPr>
    </w:p>
    <w:p w:rsidR="00E74020" w:rsidRPr="0098686D" w:rsidRDefault="00164A65">
      <w:pPr>
        <w:widowControl w:val="0"/>
        <w:spacing w:line="276" w:lineRule="auto"/>
        <w:ind w:left="851" w:right="902"/>
        <w:jc w:val="center"/>
        <w:rPr>
          <w:rFonts w:ascii="Palatino Linotype" w:eastAsia="Palatino Linotype" w:hAnsi="Palatino Linotype" w:cs="Palatino Linotype"/>
          <w:b/>
          <w:i/>
        </w:rPr>
      </w:pPr>
      <w:r w:rsidRPr="0098686D">
        <w:rPr>
          <w:rFonts w:ascii="Palatino Linotype" w:eastAsia="Palatino Linotype" w:hAnsi="Palatino Linotype" w:cs="Palatino Linotype"/>
          <w:b/>
          <w:i/>
        </w:rPr>
        <w:t>Código de Procedimientos Administrativos del Estado de México</w:t>
      </w:r>
    </w:p>
    <w:p w:rsidR="00E74020" w:rsidRPr="0098686D" w:rsidRDefault="00E74020">
      <w:pPr>
        <w:widowControl w:val="0"/>
        <w:spacing w:line="276" w:lineRule="auto"/>
        <w:ind w:left="851" w:right="902"/>
        <w:jc w:val="both"/>
        <w:rPr>
          <w:rFonts w:ascii="Palatino Linotype" w:eastAsia="Palatino Linotype" w:hAnsi="Palatino Linotype" w:cs="Palatino Linotype"/>
          <w:b/>
          <w:i/>
        </w:rPr>
      </w:pPr>
    </w:p>
    <w:p w:rsidR="00E74020" w:rsidRPr="0098686D" w:rsidRDefault="00164A65">
      <w:pPr>
        <w:widowControl w:val="0"/>
        <w:spacing w:line="276" w:lineRule="auto"/>
        <w:ind w:left="851"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“Artículo 18.-</w:t>
      </w:r>
      <w:r w:rsidRPr="0098686D">
        <w:rPr>
          <w:rFonts w:ascii="Palatino Linotype" w:eastAsia="Palatino Linotype" w:hAnsi="Palatino Linotype" w:cs="Palatino Linotype"/>
          <w:i/>
        </w:rPr>
        <w:t xml:space="preserve"> </w:t>
      </w:r>
      <w:r w:rsidRPr="0098686D">
        <w:rPr>
          <w:rFonts w:ascii="Palatino Linotype" w:eastAsia="Palatino Linotype" w:hAnsi="Palatino Linotype" w:cs="Palatino Linotype"/>
          <w:b/>
          <w:i/>
        </w:rPr>
        <w:t>La autoridad administrativa o el Tribunal acordarán la acumulación de los expedientes del procedimiento y proceso administrativo que ante ellos se sigan, de oficio</w:t>
      </w:r>
      <w:r w:rsidRPr="0098686D">
        <w:rPr>
          <w:rFonts w:ascii="Palatino Linotype" w:eastAsia="Palatino Linotype" w:hAnsi="Palatino Linotype" w:cs="Palatino Linotype"/>
          <w:i/>
        </w:rPr>
        <w:t xml:space="preserve"> o a petición de parte, </w:t>
      </w:r>
      <w:r w:rsidRPr="0098686D">
        <w:rPr>
          <w:rFonts w:ascii="Palatino Linotype" w:eastAsia="Palatino Linotype" w:hAnsi="Palatino Linotype" w:cs="Palatino Linotype"/>
          <w:b/>
          <w:i/>
        </w:rPr>
        <w:t>cuando las partes</w:t>
      </w:r>
      <w:r w:rsidRPr="0098686D">
        <w:rPr>
          <w:rFonts w:ascii="Palatino Linotype" w:eastAsia="Palatino Linotype" w:hAnsi="Palatino Linotype" w:cs="Palatino Linotype"/>
          <w:i/>
        </w:rPr>
        <w:t xml:space="preserve"> o los actos administrativos sean iguales, se trate de actos conexos o </w:t>
      </w:r>
      <w:r w:rsidRPr="0098686D">
        <w:rPr>
          <w:rFonts w:ascii="Palatino Linotype" w:eastAsia="Palatino Linotype" w:hAnsi="Palatino Linotype" w:cs="Palatino Linotype"/>
          <w:b/>
          <w:i/>
        </w:rPr>
        <w:t>resulte conveniente el trámite unificado de los asuntos, para evitar la emisión de resoluciones contradictorias</w:t>
      </w:r>
      <w:r w:rsidRPr="0098686D">
        <w:rPr>
          <w:rFonts w:ascii="Palatino Linotype" w:eastAsia="Palatino Linotype" w:hAnsi="Palatino Linotype" w:cs="Palatino Linotype"/>
          <w:i/>
        </w:rPr>
        <w:t>. La misma regla se aplicará, en lo conducente, para la separación de los expedientes.”</w:t>
      </w:r>
    </w:p>
    <w:p w:rsidR="00E74020" w:rsidRPr="0098686D" w:rsidRDefault="00164A65">
      <w:pPr>
        <w:widowControl w:val="0"/>
        <w:spacing w:line="276" w:lineRule="auto"/>
        <w:ind w:left="851" w:right="902"/>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Ley de Transparencia y Acceso a la Información Pública del Estado de México y Municipios</w:t>
      </w:r>
    </w:p>
    <w:p w:rsidR="00E74020" w:rsidRPr="0098686D" w:rsidRDefault="00164A65">
      <w:pPr>
        <w:widowControl w:val="0"/>
        <w:spacing w:after="0" w:line="276" w:lineRule="auto"/>
        <w:ind w:left="851"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“Artículo 195.-</w:t>
      </w:r>
      <w:r w:rsidRPr="0098686D">
        <w:rPr>
          <w:rFonts w:ascii="Palatino Linotype" w:eastAsia="Palatino Linotype" w:hAnsi="Palatino Linotype" w:cs="Palatino Linotype"/>
          <w:i/>
        </w:rPr>
        <w:t xml:space="preserve"> En la tramitación del recurso de revisión se aplicará supletoriamente las disposiciones contenidas en el Código de Procedimientos Administrativos del Estado de México.”</w:t>
      </w:r>
    </w:p>
    <w:p w:rsidR="00E74020" w:rsidRPr="0098686D" w:rsidRDefault="00E74020"/>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7. MANIFESTACIONES. </w:t>
      </w:r>
      <w:r w:rsidR="00A078D7" w:rsidRPr="0098686D">
        <w:rPr>
          <w:rFonts w:ascii="Palatino Linotype" w:eastAsia="Palatino Linotype" w:hAnsi="Palatino Linotype" w:cs="Palatino Linotype"/>
          <w:sz w:val="24"/>
          <w:szCs w:val="24"/>
        </w:rPr>
        <w:t>En fecha</w:t>
      </w:r>
      <w:r w:rsidRPr="0098686D">
        <w:rPr>
          <w:rFonts w:ascii="Palatino Linotype" w:eastAsia="Palatino Linotype" w:hAnsi="Palatino Linotype" w:cs="Palatino Linotype"/>
          <w:sz w:val="24"/>
          <w:szCs w:val="24"/>
        </w:rPr>
        <w:t xml:space="preserve"> </w:t>
      </w:r>
      <w:r w:rsidR="00A078D7" w:rsidRPr="0098686D">
        <w:rPr>
          <w:rFonts w:ascii="Palatino Linotype" w:eastAsia="Palatino Linotype" w:hAnsi="Palatino Linotype" w:cs="Palatino Linotype"/>
          <w:b/>
          <w:sz w:val="24"/>
          <w:szCs w:val="24"/>
        </w:rPr>
        <w:t xml:space="preserve">treinta y uno </w:t>
      </w:r>
      <w:proofErr w:type="spellStart"/>
      <w:r w:rsidR="00A078D7" w:rsidRPr="0098686D">
        <w:rPr>
          <w:rFonts w:ascii="Palatino Linotype" w:eastAsia="Palatino Linotype" w:hAnsi="Palatino Linotype" w:cs="Palatino Linotype"/>
          <w:b/>
          <w:sz w:val="24"/>
          <w:szCs w:val="24"/>
        </w:rPr>
        <w:t>e</w:t>
      </w:r>
      <w:proofErr w:type="spellEnd"/>
      <w:r w:rsidR="00A078D7" w:rsidRPr="0098686D">
        <w:rPr>
          <w:rFonts w:ascii="Palatino Linotype" w:eastAsia="Palatino Linotype" w:hAnsi="Palatino Linotype" w:cs="Palatino Linotype"/>
          <w:b/>
          <w:sz w:val="24"/>
          <w:szCs w:val="24"/>
        </w:rPr>
        <w:t xml:space="preserve"> octubre</w:t>
      </w:r>
      <w:r w:rsidRPr="0098686D">
        <w:rPr>
          <w:rFonts w:ascii="Palatino Linotype" w:eastAsia="Palatino Linotype" w:hAnsi="Palatino Linotype" w:cs="Palatino Linotype"/>
          <w:b/>
          <w:sz w:val="24"/>
          <w:szCs w:val="24"/>
        </w:rPr>
        <w:t xml:space="preserve"> veinti</w:t>
      </w:r>
      <w:r w:rsidR="00A078D7" w:rsidRPr="0098686D">
        <w:rPr>
          <w:rFonts w:ascii="Palatino Linotype" w:eastAsia="Palatino Linotype" w:hAnsi="Palatino Linotype" w:cs="Palatino Linotype"/>
          <w:b/>
          <w:sz w:val="24"/>
          <w:szCs w:val="24"/>
        </w:rPr>
        <w:t>dós</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 xml:space="preserve">EL SUJETO OBLIGADO </w:t>
      </w:r>
      <w:r w:rsidRPr="0098686D">
        <w:rPr>
          <w:rFonts w:ascii="Palatino Linotype" w:eastAsia="Palatino Linotype" w:hAnsi="Palatino Linotype" w:cs="Palatino Linotype"/>
          <w:sz w:val="24"/>
          <w:szCs w:val="24"/>
        </w:rPr>
        <w:t xml:space="preserve">rindió sus informes justificados, al tenor de lo siguiente: </w:t>
      </w:r>
    </w:p>
    <w:p w:rsidR="00E74020" w:rsidRPr="0098686D" w:rsidRDefault="00E74020">
      <w:pPr>
        <w:spacing w:line="360" w:lineRule="auto"/>
        <w:jc w:val="both"/>
        <w:rPr>
          <w:rFonts w:ascii="Palatino Linotype" w:eastAsia="Palatino Linotype" w:hAnsi="Palatino Linotype" w:cs="Palatino Linotype"/>
          <w:sz w:val="24"/>
          <w:szCs w:val="24"/>
        </w:rPr>
      </w:pPr>
    </w:p>
    <w:tbl>
      <w:tblPr>
        <w:tblStyle w:val="a2"/>
        <w:tblW w:w="897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40"/>
      </w:tblGrid>
      <w:tr w:rsidR="0098686D" w:rsidRPr="0098686D">
        <w:tc>
          <w:tcPr>
            <w:tcW w:w="2830" w:type="dxa"/>
            <w:shd w:val="clear" w:color="auto" w:fill="D9D9D9"/>
          </w:tcPr>
          <w:p w:rsidR="00E74020" w:rsidRPr="0098686D" w:rsidRDefault="00164A65">
            <w:pPr>
              <w:spacing w:line="360" w:lineRule="auto"/>
              <w:jc w:val="center"/>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t>Recurso de revisión</w:t>
            </w:r>
          </w:p>
        </w:tc>
        <w:tc>
          <w:tcPr>
            <w:tcW w:w="6140" w:type="dxa"/>
            <w:shd w:val="clear" w:color="auto" w:fill="D9D9D9"/>
          </w:tcPr>
          <w:p w:rsidR="00E74020" w:rsidRPr="0098686D" w:rsidRDefault="00164A65">
            <w:pPr>
              <w:spacing w:line="360" w:lineRule="auto"/>
              <w:jc w:val="center"/>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t>INFORME JUSTIFICADO</w:t>
            </w:r>
          </w:p>
        </w:tc>
      </w:tr>
      <w:tr w:rsidR="0098686D" w:rsidRPr="0098686D">
        <w:tc>
          <w:tcPr>
            <w:tcW w:w="2830" w:type="dxa"/>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15624/INFOEM/IP/RR/2022</w:t>
            </w:r>
          </w:p>
        </w:tc>
        <w:tc>
          <w:tcPr>
            <w:tcW w:w="6140" w:type="dxa"/>
            <w:shd w:val="clear" w:color="auto" w:fill="auto"/>
          </w:tcPr>
          <w:p w:rsidR="00E74020" w:rsidRPr="0098686D" w:rsidRDefault="00164A65">
            <w:pPr>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 xml:space="preserve">Informe Justificado RR 15624-2022.pdf: </w:t>
            </w:r>
            <w:r w:rsidRPr="0098686D">
              <w:rPr>
                <w:rFonts w:ascii="Palatino Linotype" w:eastAsia="Palatino Linotype" w:hAnsi="Palatino Linotype" w:cs="Palatino Linotype"/>
                <w:sz w:val="24"/>
                <w:szCs w:val="24"/>
              </w:rPr>
              <w:t>Oficio dirigido por el Titular de la Unidad de Transparencia mediante el cual describe las constancias que obran en el SAIMEX, además de mencionar que el Comité de Transparencia aprobó la resolución CT-2022-0111 mediante el cual declara la incompetencia en el apartado de la solicitud L DESTINO OTORGADO A LOS RECURSOS ESTATALES PROVENIENTES DE LAS CONTRIBUCIONES QUE REALIZARON LOS DESARROLLADORES INMOBILIARIOS POR CONCEPTO DE APORTACIONES DE MEJORAS PARA OBRAS DE IMPACTO DURANTE LOS PERÍODOS COMPRENDIDOS ENTRE EL 1 DE ENERO AL 31 DE DICIEMBRE DEL AÑO 2020 ENTRE EL 1 DE ENERO AL 31 DE DICIEMBRE DEL AÑO 2021; ENTRE EL 1 DE ENERO AL 20 DE SEPTEMBRE DEL AÑO 2022; Y SI LO RECURSOS FUERON ENTREGADOS O NO DURANTE ESOS AÑOS Y/O PERIODO EN CURSO Y EL MONTO TOTAL A CADA UNO DE LOS SIGUIENTES MUNICIPIOS DEL ESTADO DE MÉXICO: TECÁMAC, ECATEPEC, TONANITLA, VALLE DE CHALCO SOLIDARIDAD, SOYANIQUILPAN, TULTITLÁN, COACALCO, METEPEC, TEOTIHUACÁN, SAN MARTÍN DE LAS PIRÁMIDES, VILLA DEL CARBÓN, ZINACANTEPEC, SAN JOSÉ DEL RINCÓN, NAUCALPAN, ATIZAPÁN DE ZARAGOZA Y TLALNEPANTLA CONFORME LO ESTABLECIDO EN LOS ARTÍCULOS ARTÍCULO 216 A Y 216 F DEL CÓDIGO FINANCIERO DEL ESTADO DE MÉXICO Y MUNICIPIOS VIGENTE EN CADA AÑO SEÑALADO.</w:t>
            </w:r>
          </w:p>
          <w:p w:rsidR="00E74020" w:rsidRPr="0098686D" w:rsidRDefault="00164A65">
            <w:pPr>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lastRenderedPageBreak/>
              <w:t xml:space="preserve">CT-2022-0107.pdf: </w:t>
            </w:r>
            <w:r w:rsidRPr="0098686D">
              <w:rPr>
                <w:rFonts w:ascii="Palatino Linotype" w:eastAsia="Palatino Linotype" w:hAnsi="Palatino Linotype" w:cs="Palatino Linotype"/>
                <w:sz w:val="24"/>
                <w:szCs w:val="24"/>
              </w:rPr>
              <w:t>Comité de Transparencia mediante el cual declara la incompetencia de la solicitud de la información.</w:t>
            </w:r>
          </w:p>
          <w:p w:rsidR="00E74020" w:rsidRPr="0098686D" w:rsidRDefault="00164A65">
            <w:pPr>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RR 15624-2022 DGR.pdf</w:t>
            </w:r>
            <w:r w:rsidRPr="0098686D">
              <w:rPr>
                <w:rFonts w:ascii="Palatino Linotype" w:eastAsia="Palatino Linotype" w:hAnsi="Palatino Linotype" w:cs="Palatino Linotype"/>
                <w:b/>
                <w:i/>
                <w:sz w:val="24"/>
                <w:szCs w:val="24"/>
              </w:rPr>
              <w:t xml:space="preserve">: </w:t>
            </w:r>
            <w:r w:rsidRPr="0098686D">
              <w:rPr>
                <w:rFonts w:ascii="Palatino Linotype" w:eastAsia="Palatino Linotype" w:hAnsi="Palatino Linotype" w:cs="Palatino Linotype"/>
                <w:sz w:val="24"/>
                <w:szCs w:val="24"/>
              </w:rPr>
              <w:t>Oficio signado por el Subdirector de Normas y Procedimientos en calidad de servidor público suplente de la Dirección de Recaudación, ratifica la respuesta inicial.</w:t>
            </w:r>
          </w:p>
          <w:p w:rsidR="00E74020" w:rsidRPr="0098686D" w:rsidRDefault="00E74020">
            <w:pPr>
              <w:jc w:val="both"/>
              <w:rPr>
                <w:rFonts w:ascii="Palatino Linotype" w:eastAsia="Palatino Linotype" w:hAnsi="Palatino Linotype" w:cs="Palatino Linotype"/>
                <w:sz w:val="24"/>
                <w:szCs w:val="24"/>
              </w:rPr>
            </w:pPr>
          </w:p>
          <w:p w:rsidR="00E74020" w:rsidRPr="0098686D" w:rsidRDefault="00164A65">
            <w:pPr>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lo que corresponde a </w:t>
            </w:r>
            <w:r w:rsidRPr="0098686D">
              <w:rPr>
                <w:rFonts w:ascii="Palatino Linotype" w:eastAsia="Palatino Linotype" w:hAnsi="Palatino Linotype" w:cs="Palatino Linotype"/>
                <w:b/>
                <w:sz w:val="24"/>
                <w:szCs w:val="24"/>
              </w:rPr>
              <w:t xml:space="preserve">LA PARTE RECURRENTE </w:t>
            </w:r>
            <w:r w:rsidRPr="0098686D">
              <w:rPr>
                <w:rFonts w:ascii="Palatino Linotype" w:eastAsia="Palatino Linotype" w:hAnsi="Palatino Linotype" w:cs="Palatino Linotype"/>
                <w:sz w:val="24"/>
                <w:szCs w:val="24"/>
              </w:rPr>
              <w:t>adjunta “</w:t>
            </w:r>
            <w:r w:rsidRPr="0098686D">
              <w:rPr>
                <w:rFonts w:ascii="Palatino Linotype" w:eastAsia="Palatino Linotype" w:hAnsi="Palatino Linotype" w:cs="Palatino Linotype"/>
                <w:b/>
                <w:i/>
                <w:sz w:val="24"/>
                <w:szCs w:val="24"/>
                <w:u w:val="single"/>
              </w:rPr>
              <w:t>MANIFESTACIONES ALEGATOS O PRUEBAS RECURSO 15624.docx</w:t>
            </w:r>
            <w:r w:rsidRPr="0098686D">
              <w:rPr>
                <w:rFonts w:ascii="Palatino Linotype" w:eastAsia="Palatino Linotype" w:hAnsi="Palatino Linotype" w:cs="Palatino Linotype"/>
                <w:sz w:val="24"/>
                <w:szCs w:val="24"/>
              </w:rPr>
              <w:t>” mediante el cual describe las constancias que obran en el SAIMEX además de reiterar que no indica en donde localizar la información.</w:t>
            </w:r>
          </w:p>
        </w:tc>
      </w:tr>
      <w:tr w:rsidR="0098686D" w:rsidRPr="0098686D">
        <w:tc>
          <w:tcPr>
            <w:tcW w:w="2830" w:type="dxa"/>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15625/INFOEM/IP/RR/2022</w:t>
            </w:r>
          </w:p>
        </w:tc>
        <w:tc>
          <w:tcPr>
            <w:tcW w:w="6140" w:type="dxa"/>
            <w:shd w:val="clear" w:color="auto" w:fill="auto"/>
          </w:tcPr>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 xml:space="preserve">Informe Justificado RR 15625-2022.pdf: </w:t>
            </w:r>
            <w:r w:rsidRPr="0098686D">
              <w:rPr>
                <w:rFonts w:ascii="Palatino Linotype" w:eastAsia="Palatino Linotype" w:hAnsi="Palatino Linotype" w:cs="Palatino Linotype"/>
                <w:sz w:val="24"/>
                <w:szCs w:val="24"/>
              </w:rPr>
              <w:t xml:space="preserve">Oficio dirigido por el Titular de la Unidad de Transparencia mediante el cual describe las constancias que obran en el SAIMEX, además de mencionar que el Comité de Transparencia aprobó la resolución CT-2022-0111 mediante el cual declara la incompetencia en el apartado de la solicitud DESTINO OTORGADO A LOS RECURSOS ESTATALES PROVENIENTES DE LAS CONTRIBUCIONES QUE REALIZARON LOS DESARROLLADORES INMOBILIARIOS POR CONCEPTO DE APORTACIONES DE MEJORAS PARA OBRAS DE IMPACTO DURANTE LOS PERÍODOS COMPRENDIDOS ENTRE EL 1 DE ENERO AL 31 DE DICIEMBRE DEL AÑO 2015 ENTRE EL 1 DE </w:t>
            </w:r>
            <w:r w:rsidRPr="0098686D">
              <w:rPr>
                <w:rFonts w:ascii="Palatino Linotype" w:eastAsia="Palatino Linotype" w:hAnsi="Palatino Linotype" w:cs="Palatino Linotype"/>
                <w:sz w:val="24"/>
                <w:szCs w:val="24"/>
              </w:rPr>
              <w:lastRenderedPageBreak/>
              <w:t>ENERO AL 31 DE DICIEMBRE DEL AÑO 2016; ENTRE EL 1 DE ENERO AL 31 DE DICIEMBRE DEL AÑO 2017; ENTRE EL 1 DE ENERO AL 31 DE DICIEMBRE DEL AÑO 2018; ENTRE EL 1 DE ENERO AL 31 DE DICIEMBRE DEL AÑO 2019 Y SI LO RECURSOS FUERON ENTREGADOS O NO DURANTE ESOS AÑOS Y EL MONTO TOTAL A CADA UNO DE LOS SIGUIENTES MUNICIPIOS DEL ESTADO DE MÉXICO: TECÁMAC, ECATEPEC, TONANITLA, VALLE DE CHALCO SOLIDARIDAD, SOYANIQUILPAN, TULTITLÁN, COACALCO, METEPEC, TEOTIHUACÁN, SAN MARTÍN DE LAS PIRÁMIDES, VILLA DEL CARBÓN, ZINACANTEPEC, SAN JOSÉ DEL RINCÓN, NAUCALPAN, ATIZAPÁN DE ZARAGOZA Y TLALNEPANTLA CONFORME LO ESTABLECIDO EN LOS ARTÍCULOS ARTÍCULO 216 A Y 216 F DEL CÓDIGO FINANCIERO DEL ESTADO DE MÉXICO Y MUNICIPIOS VIGENTE EN CADA AÑO SEÑALADO.</w:t>
            </w:r>
          </w:p>
          <w:p w:rsidR="00E74020" w:rsidRPr="0098686D" w:rsidRDefault="00164A65">
            <w:pPr>
              <w:spacing w:line="276" w:lineRule="auto"/>
              <w:jc w:val="both"/>
              <w:rPr>
                <w:rFonts w:ascii="Palatino Linotype" w:eastAsia="Palatino Linotype" w:hAnsi="Palatino Linotype" w:cs="Palatino Linotype"/>
                <w:b/>
                <w:i/>
                <w:sz w:val="24"/>
                <w:szCs w:val="24"/>
                <w:u w:val="single"/>
              </w:rPr>
            </w:pPr>
            <w:r w:rsidRPr="0098686D">
              <w:rPr>
                <w:rFonts w:ascii="Palatino Linotype" w:eastAsia="Palatino Linotype" w:hAnsi="Palatino Linotype" w:cs="Palatino Linotype"/>
                <w:b/>
                <w:i/>
                <w:sz w:val="24"/>
                <w:szCs w:val="24"/>
                <w:u w:val="single"/>
              </w:rPr>
              <w:t xml:space="preserve">CT-2022-0111.pdf: </w:t>
            </w:r>
            <w:r w:rsidRPr="0098686D">
              <w:rPr>
                <w:rFonts w:ascii="Palatino Linotype" w:eastAsia="Palatino Linotype" w:hAnsi="Palatino Linotype" w:cs="Palatino Linotype"/>
                <w:sz w:val="24"/>
                <w:szCs w:val="24"/>
              </w:rPr>
              <w:t>Comité de Transparencia mediante el cual declara la incompetencia de la solicitud de la información.</w:t>
            </w:r>
          </w:p>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 xml:space="preserve"> Informe Justificado RR 15625-2022.pdf</w:t>
            </w:r>
            <w:r w:rsidRPr="0098686D">
              <w:rPr>
                <w:rFonts w:ascii="Palatino Linotype" w:eastAsia="Palatino Linotype" w:hAnsi="Palatino Linotype" w:cs="Palatino Linotype"/>
                <w:sz w:val="24"/>
                <w:szCs w:val="24"/>
              </w:rPr>
              <w:t xml:space="preserve">: Oficio descrito en el primer archivo motivo por el que se considera innecesaria su descripción. </w:t>
            </w:r>
          </w:p>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lo que corresponde a </w:t>
            </w:r>
            <w:r w:rsidRPr="0098686D">
              <w:rPr>
                <w:rFonts w:ascii="Palatino Linotype" w:eastAsia="Palatino Linotype" w:hAnsi="Palatino Linotype" w:cs="Palatino Linotype"/>
                <w:b/>
                <w:sz w:val="24"/>
                <w:szCs w:val="24"/>
              </w:rPr>
              <w:t xml:space="preserve">LA PARTE RECURRENTE </w:t>
            </w:r>
            <w:r w:rsidRPr="0098686D">
              <w:rPr>
                <w:rFonts w:ascii="Palatino Linotype" w:eastAsia="Palatino Linotype" w:hAnsi="Palatino Linotype" w:cs="Palatino Linotype"/>
                <w:sz w:val="24"/>
                <w:szCs w:val="24"/>
              </w:rPr>
              <w:t>adjunta “</w:t>
            </w:r>
            <w:r w:rsidRPr="0098686D">
              <w:rPr>
                <w:rFonts w:ascii="Palatino Linotype" w:eastAsia="Palatino Linotype" w:hAnsi="Palatino Linotype" w:cs="Palatino Linotype"/>
                <w:b/>
                <w:i/>
                <w:sz w:val="24"/>
                <w:szCs w:val="24"/>
                <w:u w:val="single"/>
              </w:rPr>
              <w:t>MANIFESTACIONES ALEGATOS O PRUEBAS RECURSO 15625.docx</w:t>
            </w:r>
            <w:r w:rsidRPr="0098686D">
              <w:rPr>
                <w:rFonts w:ascii="Palatino Linotype" w:eastAsia="Palatino Linotype" w:hAnsi="Palatino Linotype" w:cs="Palatino Linotype"/>
                <w:sz w:val="24"/>
                <w:szCs w:val="24"/>
              </w:rPr>
              <w:t xml:space="preserve">” mediante el cual </w:t>
            </w:r>
            <w:r w:rsidRPr="0098686D">
              <w:rPr>
                <w:rFonts w:ascii="Palatino Linotype" w:eastAsia="Palatino Linotype" w:hAnsi="Palatino Linotype" w:cs="Palatino Linotype"/>
                <w:sz w:val="24"/>
                <w:szCs w:val="24"/>
              </w:rPr>
              <w:lastRenderedPageBreak/>
              <w:t>describe las constancias que obran en el SAIMEX además de reiterar que no indica en donde localizar la información.</w:t>
            </w:r>
          </w:p>
        </w:tc>
      </w:tr>
      <w:tr w:rsidR="0098686D" w:rsidRPr="0098686D">
        <w:tc>
          <w:tcPr>
            <w:tcW w:w="2830" w:type="dxa"/>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15626/INFOEM/IP/RR/2022</w:t>
            </w:r>
          </w:p>
        </w:tc>
        <w:tc>
          <w:tcPr>
            <w:tcW w:w="6140" w:type="dxa"/>
            <w:shd w:val="clear" w:color="auto" w:fill="auto"/>
          </w:tcPr>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 xml:space="preserve">Informe Justificado RR 15626-2022.pdf: </w:t>
            </w:r>
            <w:r w:rsidRPr="0098686D">
              <w:rPr>
                <w:rFonts w:ascii="Palatino Linotype" w:eastAsia="Palatino Linotype" w:hAnsi="Palatino Linotype" w:cs="Palatino Linotype"/>
                <w:sz w:val="24"/>
                <w:szCs w:val="24"/>
              </w:rPr>
              <w:t xml:space="preserve">Oficio dirigido por el Titular de la Unidad de Transparencia mediante el cual describe las constancias que obran en el SAIMEX, además de mencionar que el Comité de Transparencia aprobó la resolución CT-2022-0110 mediante el cual declara la incompetencia en el apartado de la solicitud DESTINO OTORGADO A LOS RECURSOS ESTATALES PROVENIENTES DE LAS CONTRIBUCIONES QUE REALIZARON LOS DESARROLLADORES INMOBILIARIOS POR CONCEPTO DE APORTACIONES DE MEJORAS PARA OBRAS DE IMPACTO DURANTE LOS PERÍODOS COMPRENDIDOS ENTRE EL 1 DE ENERO AL 31 DE DICIEMBRE DEL AÑO 2010 ENTRE EL 1 DE ENERO AL 31 DE DICIEMBRE DEL AÑO 2011; ENTRE EL 1 DE ENERO AL 31 DE DICIEMBRE DEL AÑO 2012; ENTRE EL 1 DE ENERO AL 31 DE DICIEMBRE DEL AÑO 2013; ENTRE EL 1 DE ENERO AL 31 DE DICIEMBRE DEL AÑO 2014 Y SI LO RECURSOS FUERON ENTREGADOS O NO DURANTE ESOS AÑOS Y EL MONTO TOTAL A CADA UNO DE LOS SIGUIENTES MUNICIPIOS DEL ESTADO DE MÉXICO: TECÁMAC, ECATEPEC, TONANITLA, VALLE DE CHALCO SOLIDARIDAD, SOYANIQUILPAN, TULTITLÁN, COACALCO, METEPEC, TEOTIHUACÁN, SAN MARTÍN DE LAS </w:t>
            </w:r>
            <w:r w:rsidRPr="0098686D">
              <w:rPr>
                <w:rFonts w:ascii="Palatino Linotype" w:eastAsia="Palatino Linotype" w:hAnsi="Palatino Linotype" w:cs="Palatino Linotype"/>
                <w:sz w:val="24"/>
                <w:szCs w:val="24"/>
              </w:rPr>
              <w:lastRenderedPageBreak/>
              <w:t>PIRÁMIDES, VILLA DEL CARBÓN, ZINACANTEPEC, SAN JOSÉ DEL RINCÓN, NAUCALPAN, ATIZAPÁN DE ZARAGOZA Y TLALNEPANTLA CONFORME LO ESTABLECIDO EN EL ARTÍCULO 216 F DEL CÓDIGO FINANCIERO DEL ESTADO DE MÉXICO Y MUNICIPIOS VIGENTE EN CADA AÑO SEÑALADO.</w:t>
            </w:r>
          </w:p>
          <w:p w:rsidR="00E74020" w:rsidRPr="0098686D" w:rsidRDefault="00164A65">
            <w:pPr>
              <w:spacing w:line="276" w:lineRule="auto"/>
              <w:jc w:val="both"/>
              <w:rPr>
                <w:rFonts w:ascii="Palatino Linotype" w:eastAsia="Palatino Linotype" w:hAnsi="Palatino Linotype" w:cs="Palatino Linotype"/>
                <w:b/>
                <w:i/>
                <w:sz w:val="24"/>
                <w:szCs w:val="24"/>
                <w:u w:val="single"/>
              </w:rPr>
            </w:pPr>
            <w:r w:rsidRPr="0098686D">
              <w:rPr>
                <w:rFonts w:ascii="Palatino Linotype" w:eastAsia="Palatino Linotype" w:hAnsi="Palatino Linotype" w:cs="Palatino Linotype"/>
                <w:b/>
                <w:i/>
                <w:sz w:val="24"/>
                <w:szCs w:val="24"/>
                <w:u w:val="single"/>
              </w:rPr>
              <w:t>RR 15626-2022 DGR.pdf:</w:t>
            </w:r>
            <w:r w:rsidRPr="0098686D">
              <w:rPr>
                <w:rFonts w:ascii="Palatino Linotype" w:eastAsia="Palatino Linotype" w:hAnsi="Palatino Linotype" w:cs="Palatino Linotype"/>
                <w:sz w:val="24"/>
                <w:szCs w:val="24"/>
              </w:rPr>
              <w:t xml:space="preserve"> Oficio signado por el Subdirector de Normas y Procedimientos en calidad de servidor público suplente de la Dirección de Recaudación, ratifica la respuesta inicial.</w:t>
            </w:r>
          </w:p>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 xml:space="preserve">CT-2022-0110.pdf: </w:t>
            </w:r>
            <w:r w:rsidRPr="0098686D">
              <w:rPr>
                <w:rFonts w:ascii="Palatino Linotype" w:eastAsia="Palatino Linotype" w:hAnsi="Palatino Linotype" w:cs="Palatino Linotype"/>
                <w:sz w:val="24"/>
                <w:szCs w:val="24"/>
              </w:rPr>
              <w:t>Comité de Transparencia mediante el cual declara la incompetencia de la solicitud de la información.</w:t>
            </w:r>
          </w:p>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lo que corresponde a </w:t>
            </w:r>
            <w:r w:rsidRPr="0098686D">
              <w:rPr>
                <w:rFonts w:ascii="Palatino Linotype" w:eastAsia="Palatino Linotype" w:hAnsi="Palatino Linotype" w:cs="Palatino Linotype"/>
                <w:b/>
                <w:sz w:val="24"/>
                <w:szCs w:val="24"/>
              </w:rPr>
              <w:t xml:space="preserve">LA PARTE RECURRENTE </w:t>
            </w:r>
            <w:r w:rsidRPr="0098686D">
              <w:rPr>
                <w:rFonts w:ascii="Palatino Linotype" w:eastAsia="Palatino Linotype" w:hAnsi="Palatino Linotype" w:cs="Palatino Linotype"/>
                <w:sz w:val="24"/>
                <w:szCs w:val="24"/>
              </w:rPr>
              <w:t>adjunta “</w:t>
            </w:r>
            <w:r w:rsidRPr="0098686D">
              <w:rPr>
                <w:rFonts w:ascii="Palatino Linotype" w:eastAsia="Palatino Linotype" w:hAnsi="Palatino Linotype" w:cs="Palatino Linotype"/>
                <w:b/>
                <w:i/>
                <w:sz w:val="24"/>
                <w:szCs w:val="24"/>
                <w:u w:val="single"/>
              </w:rPr>
              <w:t>MANIFESTACIONES ALEGATOS O PRUEBAS RECURSO 15626.docx</w:t>
            </w:r>
            <w:r w:rsidRPr="0098686D">
              <w:rPr>
                <w:rFonts w:ascii="Palatino Linotype" w:eastAsia="Palatino Linotype" w:hAnsi="Palatino Linotype" w:cs="Palatino Linotype"/>
                <w:sz w:val="24"/>
                <w:szCs w:val="24"/>
              </w:rPr>
              <w:t>” mediante el cual describe las constancias que obran en el SAIMEX además de reiterar que no indica en donde localizar la información.</w:t>
            </w:r>
          </w:p>
        </w:tc>
      </w:tr>
      <w:tr w:rsidR="0098686D" w:rsidRPr="0098686D">
        <w:tc>
          <w:tcPr>
            <w:tcW w:w="2830"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15627/INFOEM/IP/RR/2022</w:t>
            </w:r>
          </w:p>
        </w:tc>
        <w:tc>
          <w:tcPr>
            <w:tcW w:w="6140"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CT-2022-0109.pdf:</w:t>
            </w:r>
            <w:r w:rsidRPr="0098686D">
              <w:rPr>
                <w:rFonts w:ascii="Palatino Linotype" w:eastAsia="Palatino Linotype" w:hAnsi="Palatino Linotype" w:cs="Palatino Linotype"/>
                <w:b/>
                <w:i/>
                <w:sz w:val="24"/>
                <w:szCs w:val="24"/>
              </w:rPr>
              <w:t xml:space="preserve"> </w:t>
            </w:r>
            <w:r w:rsidRPr="0098686D">
              <w:rPr>
                <w:rFonts w:ascii="Palatino Linotype" w:eastAsia="Palatino Linotype" w:hAnsi="Palatino Linotype" w:cs="Palatino Linotype"/>
                <w:sz w:val="24"/>
                <w:szCs w:val="24"/>
              </w:rPr>
              <w:t>Comité de Transparencia mediante el cual declara la incompetencia de la solicitud de la información.</w:t>
            </w:r>
          </w:p>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 xml:space="preserve">15627 Informe Justificado.pdf: </w:t>
            </w:r>
            <w:r w:rsidRPr="0098686D">
              <w:rPr>
                <w:rFonts w:ascii="Palatino Linotype" w:eastAsia="Palatino Linotype" w:hAnsi="Palatino Linotype" w:cs="Palatino Linotype"/>
                <w:sz w:val="24"/>
                <w:szCs w:val="24"/>
              </w:rPr>
              <w:t xml:space="preserve">Oficio dirigido por el Titular de la Unidad de Transparencia mediante el cual describe las constancias que obran en el SAIMEX, además de mencionar que el Comité de Transparencia aprobó la resolución CT-2022-0109 mediante el cual </w:t>
            </w:r>
            <w:r w:rsidRPr="0098686D">
              <w:rPr>
                <w:rFonts w:ascii="Palatino Linotype" w:eastAsia="Palatino Linotype" w:hAnsi="Palatino Linotype" w:cs="Palatino Linotype"/>
                <w:sz w:val="24"/>
                <w:szCs w:val="24"/>
              </w:rPr>
              <w:lastRenderedPageBreak/>
              <w:t>declara la incompetencia en el apartado de la solicitud DESTINO OTORGADO A LOS RECURSOS ESTATALES PROVENIENTES DE LAS CONTRIBUCIONES QUE REALIZARON LOS DESARROLLADORES INMOBILIARIOS POR CONCEPTO DE APORTACIONES DE MEJORAS PARA OBRAS DE IMPACTO DURANTE LOS PERÍODOS COMPRENDIDOS ENTRE EL 1 DE ENERO AL 31 DE DICIEMBRE DEL AÑO 2007; ENTRE EL 1 DE ENERO AL 31 DE DICIEMBRE DEL AÑO 2008; ENTRE EL 1 DE ENERO AL 31 DE DICIEMBRE DEL AÑO 2009; ENTRE EL 1 DE ENERO AL 31 DE DICIEMBRE DEL AÑO 20010 Y SI LO RECURSOS FUERON ENTREGADOS O NO DURANTE ESOS AÑOS Y EL MONTO TOTAL A CADA UNO DE LOS SIGUIENTES MUNICIPIOS DEL ESTADO DE MÉXICO: TECÁMAC, ECATEPEC, TONANITLA, VALLE DE CHALCO SOLIDARIDAD, SOYANIQUILPAN, TULTITLÁN, COACALCO, METEPEC, TEOTIHUACÁN, SAN MARTÍN DE LAS PIRÁMIDES, VILLA DEL CARBÓN, ZINACANTEPEC, SAN JOSÉ DEL RINCÓN, NAUCALPAN, ATIZAPÁN DE ZARAGOZA Y TLANEPANTLA A LO ESTABLECIDO EN EL ARTÍCULO 216 F DEL CÓDIGO FINANCIERO DEL ESTADO DE MÉXICO Y MUNICIPIOS VIGENTE EN CADA AÑO SEÑALADO.</w:t>
            </w:r>
          </w:p>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RR 15627-2022 DGR.pdf:</w:t>
            </w:r>
            <w:r w:rsidRPr="0098686D">
              <w:rPr>
                <w:rFonts w:ascii="Palatino Linotype" w:eastAsia="Palatino Linotype" w:hAnsi="Palatino Linotype" w:cs="Palatino Linotype"/>
                <w:sz w:val="24"/>
                <w:szCs w:val="24"/>
              </w:rPr>
              <w:t xml:space="preserve"> Oficio signado por el Subdirector de Normas y Procedimientos en calidad de </w:t>
            </w:r>
            <w:r w:rsidRPr="0098686D">
              <w:rPr>
                <w:rFonts w:ascii="Palatino Linotype" w:eastAsia="Palatino Linotype" w:hAnsi="Palatino Linotype" w:cs="Palatino Linotype"/>
                <w:sz w:val="24"/>
                <w:szCs w:val="24"/>
              </w:rPr>
              <w:lastRenderedPageBreak/>
              <w:t>servidor público suplente de la Dirección de Recaudación, ratifica la respuesta inicial.</w:t>
            </w:r>
          </w:p>
          <w:p w:rsidR="00E74020" w:rsidRPr="0098686D" w:rsidRDefault="00164A65">
            <w:pPr>
              <w:spacing w:line="276" w:lineRule="auto"/>
              <w:jc w:val="both"/>
              <w:rPr>
                <w:rFonts w:ascii="Palatino Linotype" w:eastAsia="Palatino Linotype" w:hAnsi="Palatino Linotype" w:cs="Palatino Linotype"/>
                <w:b/>
                <w:i/>
                <w:sz w:val="24"/>
                <w:szCs w:val="24"/>
                <w:u w:val="single"/>
              </w:rPr>
            </w:pPr>
            <w:r w:rsidRPr="0098686D">
              <w:rPr>
                <w:rFonts w:ascii="Palatino Linotype" w:eastAsia="Palatino Linotype" w:hAnsi="Palatino Linotype" w:cs="Palatino Linotype"/>
                <w:sz w:val="24"/>
                <w:szCs w:val="24"/>
              </w:rPr>
              <w:t xml:space="preserve">Por lo que corresponde a </w:t>
            </w:r>
            <w:r w:rsidRPr="0098686D">
              <w:rPr>
                <w:rFonts w:ascii="Palatino Linotype" w:eastAsia="Palatino Linotype" w:hAnsi="Palatino Linotype" w:cs="Palatino Linotype"/>
                <w:b/>
                <w:sz w:val="24"/>
                <w:szCs w:val="24"/>
              </w:rPr>
              <w:t xml:space="preserve">LA PARTE RECURRENTE </w:t>
            </w:r>
            <w:r w:rsidRPr="0098686D">
              <w:rPr>
                <w:rFonts w:ascii="Palatino Linotype" w:eastAsia="Palatino Linotype" w:hAnsi="Palatino Linotype" w:cs="Palatino Linotype"/>
                <w:sz w:val="24"/>
                <w:szCs w:val="24"/>
              </w:rPr>
              <w:t>adjunta “</w:t>
            </w:r>
            <w:r w:rsidRPr="0098686D">
              <w:rPr>
                <w:rFonts w:ascii="Palatino Linotype" w:eastAsia="Palatino Linotype" w:hAnsi="Palatino Linotype" w:cs="Palatino Linotype"/>
                <w:b/>
                <w:i/>
                <w:sz w:val="24"/>
                <w:szCs w:val="24"/>
                <w:u w:val="single"/>
              </w:rPr>
              <w:t>MANIFESTACIONES ALEGATOS O PRUEBAS RECURSO 15627.docx</w:t>
            </w:r>
            <w:r w:rsidRPr="0098686D">
              <w:rPr>
                <w:rFonts w:ascii="Palatino Linotype" w:eastAsia="Palatino Linotype" w:hAnsi="Palatino Linotype" w:cs="Palatino Linotype"/>
                <w:sz w:val="24"/>
                <w:szCs w:val="24"/>
              </w:rPr>
              <w:t>” mediante el cual describe las constancias que obran en el SAIMEX además de reiterar que no indica en donde localizar la información.</w:t>
            </w:r>
          </w:p>
        </w:tc>
      </w:tr>
      <w:tr w:rsidR="0098686D" w:rsidRPr="0098686D">
        <w:tc>
          <w:tcPr>
            <w:tcW w:w="2830" w:type="dxa"/>
            <w:tcBorders>
              <w:top w:val="single" w:sz="4" w:space="0" w:color="000000"/>
              <w:left w:val="single" w:sz="4" w:space="0" w:color="000000"/>
              <w:bottom w:val="single" w:sz="4" w:space="0" w:color="000000"/>
              <w:right w:val="single" w:sz="4" w:space="0" w:color="000000"/>
            </w:tcBorders>
          </w:tcPr>
          <w:p w:rsidR="00E74020" w:rsidRPr="0098686D" w:rsidRDefault="00164A65">
            <w:pPr>
              <w:spacing w:line="360" w:lineRule="auto"/>
              <w:jc w:val="both"/>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lastRenderedPageBreak/>
              <w:t>15628/INFOEM/IP/RR/2022</w:t>
            </w:r>
          </w:p>
        </w:tc>
        <w:tc>
          <w:tcPr>
            <w:tcW w:w="6140" w:type="dxa"/>
            <w:tcBorders>
              <w:top w:val="single" w:sz="4" w:space="0" w:color="000000"/>
              <w:left w:val="single" w:sz="4" w:space="0" w:color="000000"/>
              <w:bottom w:val="single" w:sz="4" w:space="0" w:color="000000"/>
              <w:right w:val="single" w:sz="4" w:space="0" w:color="000000"/>
            </w:tcBorders>
            <w:shd w:val="clear" w:color="auto" w:fill="auto"/>
          </w:tcPr>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Informe Justificado RR 15628-2022.pdf</w:t>
            </w:r>
            <w:r w:rsidRPr="0098686D">
              <w:rPr>
                <w:rFonts w:ascii="Palatino Linotype" w:eastAsia="Palatino Linotype" w:hAnsi="Palatino Linotype" w:cs="Palatino Linotype"/>
                <w:sz w:val="24"/>
                <w:szCs w:val="24"/>
              </w:rPr>
              <w:t xml:space="preserve">: Oficio dirigido por el Titular de la Unidad de Transparencia mediante el cual describe las constancias que obran en el SAIMEX, además de mencionar que el Comité de Transparencia aprobó la resolución CT-2022-0108 mediante el cual declara la incompetencia en el apartado de la solicitud DESTINO OTORGADO A LOS RECURSOS ESTATALES PROVENIENTES DE LAS CONTRIBUCIONES QUE REALIZARON LOS DESARROLLADORES INMOBILIARIOS POR CONCEPTO DE APORTACIONES DE MEJORAS PARA OBRAS DE IMPACTO DURANTE LOS PERÍODOS COMPRENDIDOS ENTRE EL 1 DE ENERO AL 31 DE DICIEMBRE DEL AÑO 2003; ENTRE EL 1 DE ENERO AL 31 DE DICIEMBRE DEL AÑO 2004; ENTRE EL 1 DE ENERO AL 31 DE DICIEMBRE DEL AÑO 2005; ENTRE EL 1 DE ENERO AL 31 DE DICIEMBRE DEL AÑO 2006 Y SI LO RECURSOS FUERON ENTREGADOS O NO DURANTE ESOS AÑOS Y EL MONTO TOTAL A CADA UNO DE LOS SIGUIENTES </w:t>
            </w:r>
            <w:r w:rsidRPr="0098686D">
              <w:rPr>
                <w:rFonts w:ascii="Palatino Linotype" w:eastAsia="Palatino Linotype" w:hAnsi="Palatino Linotype" w:cs="Palatino Linotype"/>
                <w:sz w:val="24"/>
                <w:szCs w:val="24"/>
              </w:rPr>
              <w:lastRenderedPageBreak/>
              <w:t>MUNICIPIOS DEL ESTADO DE MÉXICO: TECÁMAC, ECATEPEC, TONANITLA, VALLE DE CHALCO SOLIDARIDAD, SOYANIQUILPAN, TULTITLÁN, COACALCO, METEPEC, TEOTIHUACÁN, SAN MARTÍN DE LAS PIRÁMIDES, VILLA DEL CARBÓN, ZINACANTEPEC, SAN JOSÉ DEL RINCÓN, NAUCALPAN, ATIZAPÁN DE ZARAGOZA Y TLANEPANTLA A LO ESTABLECIDO EN EL ARTÍCULO 216 F DEL CÓDIGO FINANCIERO DEL ESTADO DE MÉXICO Y MUNICIPIOS VIGENTE EN CADA AÑO SEÑALADO.</w:t>
            </w:r>
          </w:p>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CT-2022-0108.pdf</w:t>
            </w:r>
            <w:r w:rsidRPr="0098686D">
              <w:rPr>
                <w:rFonts w:ascii="Palatino Linotype" w:eastAsia="Palatino Linotype" w:hAnsi="Palatino Linotype" w:cs="Palatino Linotype"/>
                <w:sz w:val="24"/>
                <w:szCs w:val="24"/>
              </w:rPr>
              <w:t>: Comité de Transparencia mediante el cual declara la incompetencia de la solicitud de la información.</w:t>
            </w:r>
          </w:p>
          <w:p w:rsidR="00E74020" w:rsidRPr="0098686D" w:rsidRDefault="00164A65">
            <w:pPr>
              <w:spacing w:line="276"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i/>
                <w:sz w:val="24"/>
                <w:szCs w:val="24"/>
                <w:u w:val="single"/>
              </w:rPr>
              <w:t>RR 15628-2022 DGR.pdf</w:t>
            </w:r>
            <w:r w:rsidRPr="0098686D">
              <w:rPr>
                <w:rFonts w:ascii="Palatino Linotype" w:eastAsia="Palatino Linotype" w:hAnsi="Palatino Linotype" w:cs="Palatino Linotype"/>
                <w:sz w:val="24"/>
                <w:szCs w:val="24"/>
              </w:rPr>
              <w:t>: Oficio signado por el Subdirector de Normas y Procedimientos en calidad de servidor público suplente de la Dirección de Recaudación, ratifica la respuesta inicial.</w:t>
            </w:r>
          </w:p>
        </w:tc>
      </w:tr>
    </w:tbl>
    <w:p w:rsidR="00E74020" w:rsidRPr="0098686D" w:rsidRDefault="00E74020"/>
    <w:p w:rsidR="0008067B" w:rsidRPr="0098686D" w:rsidRDefault="0008067B" w:rsidP="0008067B">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lo que corresponde a </w:t>
      </w:r>
      <w:r w:rsidRPr="0098686D">
        <w:rPr>
          <w:rFonts w:ascii="Palatino Linotype" w:eastAsia="Palatino Linotype" w:hAnsi="Palatino Linotype" w:cs="Palatino Linotype"/>
          <w:b/>
          <w:sz w:val="24"/>
          <w:szCs w:val="24"/>
        </w:rPr>
        <w:t xml:space="preserve">LA PARTE RECURRENTE </w:t>
      </w:r>
      <w:r w:rsidRPr="0098686D">
        <w:rPr>
          <w:rFonts w:ascii="Palatino Linotype" w:eastAsia="Palatino Linotype" w:hAnsi="Palatino Linotype" w:cs="Palatino Linotype"/>
          <w:sz w:val="24"/>
          <w:szCs w:val="24"/>
        </w:rPr>
        <w:t xml:space="preserve">remitió sus manifestaciones, al tenor de lo siguiente: </w:t>
      </w:r>
    </w:p>
    <w:p w:rsidR="000260BB" w:rsidRPr="0098686D" w:rsidRDefault="000260BB" w:rsidP="0008067B">
      <w:pPr>
        <w:spacing w:after="0" w:line="360" w:lineRule="auto"/>
        <w:jc w:val="both"/>
        <w:rPr>
          <w:rFonts w:ascii="Palatino Linotype" w:eastAsia="Palatino Linotype" w:hAnsi="Palatino Linotype" w:cs="Palatino Linotype"/>
          <w:sz w:val="24"/>
          <w:szCs w:val="24"/>
        </w:rPr>
      </w:pPr>
    </w:p>
    <w:tbl>
      <w:tblPr>
        <w:tblStyle w:val="Tablaconcuadrcula"/>
        <w:tblW w:w="0" w:type="auto"/>
        <w:tblLook w:val="04A0" w:firstRow="1" w:lastRow="0" w:firstColumn="1" w:lastColumn="0" w:noHBand="0" w:noVBand="1"/>
      </w:tblPr>
      <w:tblGrid>
        <w:gridCol w:w="3126"/>
        <w:gridCol w:w="5702"/>
      </w:tblGrid>
      <w:tr w:rsidR="0098686D" w:rsidRPr="0098686D" w:rsidTr="00A078D7">
        <w:tc>
          <w:tcPr>
            <w:tcW w:w="3126" w:type="dxa"/>
            <w:shd w:val="clear" w:color="auto" w:fill="AEAAAA" w:themeFill="background2" w:themeFillShade="BF"/>
          </w:tcPr>
          <w:p w:rsidR="0008067B" w:rsidRPr="0098686D" w:rsidRDefault="0008067B" w:rsidP="0008067B">
            <w:pPr>
              <w:spacing w:line="360" w:lineRule="auto"/>
              <w:jc w:val="center"/>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t>Recurso de revisión</w:t>
            </w:r>
          </w:p>
        </w:tc>
        <w:tc>
          <w:tcPr>
            <w:tcW w:w="5702" w:type="dxa"/>
            <w:shd w:val="clear" w:color="auto" w:fill="AEAAAA" w:themeFill="background2" w:themeFillShade="BF"/>
          </w:tcPr>
          <w:p w:rsidR="0008067B" w:rsidRPr="0098686D" w:rsidRDefault="0008067B" w:rsidP="0008067B">
            <w:pPr>
              <w:spacing w:line="360" w:lineRule="auto"/>
              <w:jc w:val="center"/>
              <w:rPr>
                <w:rFonts w:ascii="Palatino Linotype" w:eastAsia="Palatino Linotype" w:hAnsi="Palatino Linotype" w:cs="Palatino Linotype"/>
                <w:b/>
                <w:i/>
                <w:sz w:val="20"/>
                <w:szCs w:val="20"/>
              </w:rPr>
            </w:pPr>
            <w:r w:rsidRPr="0098686D">
              <w:rPr>
                <w:rFonts w:ascii="Palatino Linotype" w:eastAsia="Palatino Linotype" w:hAnsi="Palatino Linotype" w:cs="Palatino Linotype"/>
                <w:b/>
                <w:i/>
                <w:sz w:val="20"/>
                <w:szCs w:val="20"/>
              </w:rPr>
              <w:t>MANIFESTACIONES</w:t>
            </w:r>
          </w:p>
        </w:tc>
      </w:tr>
      <w:tr w:rsidR="0098686D" w:rsidRPr="0098686D" w:rsidTr="00A078D7">
        <w:tc>
          <w:tcPr>
            <w:tcW w:w="3126" w:type="dxa"/>
          </w:tcPr>
          <w:p w:rsidR="0008067B" w:rsidRPr="0098686D" w:rsidRDefault="0008067B" w:rsidP="0008067B">
            <w:pPr>
              <w:widowControl w:val="0"/>
              <w:tabs>
                <w:tab w:val="left" w:pos="851"/>
              </w:tabs>
              <w:spacing w:line="360" w:lineRule="auto"/>
              <w:jc w:val="center"/>
              <w:rPr>
                <w:rFonts w:ascii="Palatino Linotype" w:eastAsia="Palatino Linotype" w:hAnsi="Palatino Linotype" w:cs="Palatino Linotype"/>
                <w:sz w:val="18"/>
                <w:szCs w:val="24"/>
              </w:rPr>
            </w:pPr>
            <w:r w:rsidRPr="0098686D">
              <w:rPr>
                <w:rFonts w:ascii="Palatino Linotype" w:eastAsia="Palatino Linotype" w:hAnsi="Palatino Linotype" w:cs="Palatino Linotype"/>
                <w:sz w:val="18"/>
                <w:szCs w:val="24"/>
              </w:rPr>
              <w:t>15624/INFOEM/IP/RR/2022</w:t>
            </w:r>
          </w:p>
        </w:tc>
        <w:tc>
          <w:tcPr>
            <w:tcW w:w="5702" w:type="dxa"/>
          </w:tcPr>
          <w:p w:rsidR="0008067B" w:rsidRPr="0098686D" w:rsidRDefault="00A078D7" w:rsidP="00A078D7">
            <w:pPr>
              <w:widowControl w:val="0"/>
              <w:tabs>
                <w:tab w:val="left" w:pos="851"/>
              </w:tabs>
              <w:spacing w:line="360" w:lineRule="auto"/>
              <w:jc w:val="both"/>
              <w:rPr>
                <w:rFonts w:ascii="Palatino Linotype" w:eastAsia="Palatino Linotype" w:hAnsi="Palatino Linotype" w:cs="Palatino Linotype"/>
                <w:szCs w:val="24"/>
              </w:rPr>
            </w:pPr>
            <w:r w:rsidRPr="0098686D">
              <w:rPr>
                <w:rFonts w:ascii="Palatino Linotype" w:eastAsia="Palatino Linotype" w:hAnsi="Palatino Linotype" w:cs="Palatino Linotype"/>
                <w:b/>
                <w:i/>
                <w:szCs w:val="24"/>
                <w:u w:val="single"/>
              </w:rPr>
              <w:t>MANIFESTACIONES ALEGATOS O PRUEBAS RECURSO 15624.docx</w:t>
            </w:r>
            <w:r w:rsidRPr="0098686D">
              <w:rPr>
                <w:rFonts w:ascii="Palatino Linotype" w:eastAsia="Palatino Linotype" w:hAnsi="Palatino Linotype" w:cs="Palatino Linotype"/>
                <w:szCs w:val="24"/>
              </w:rPr>
              <w:t xml:space="preserve"> Escrito mediante el cual ratifica sus motivos de inconformidad.</w:t>
            </w:r>
          </w:p>
          <w:p w:rsidR="00A3622B" w:rsidRPr="0098686D" w:rsidRDefault="00A3622B" w:rsidP="00A078D7">
            <w:pPr>
              <w:widowControl w:val="0"/>
              <w:tabs>
                <w:tab w:val="left" w:pos="851"/>
              </w:tabs>
              <w:spacing w:line="360" w:lineRule="auto"/>
              <w:jc w:val="both"/>
              <w:rPr>
                <w:rFonts w:ascii="Palatino Linotype" w:eastAsia="Palatino Linotype" w:hAnsi="Palatino Linotype" w:cs="Palatino Linotype"/>
                <w:szCs w:val="24"/>
              </w:rPr>
            </w:pPr>
            <w:r w:rsidRPr="0098686D">
              <w:rPr>
                <w:noProof/>
              </w:rPr>
              <w:lastRenderedPageBreak/>
              <w:drawing>
                <wp:inline distT="0" distB="0" distL="0" distR="0" wp14:anchorId="11DD04FB" wp14:editId="48C83E83">
                  <wp:extent cx="3362325" cy="26480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24" t="27761" r="27019" b="26373"/>
                          <a:stretch/>
                        </pic:blipFill>
                        <pic:spPr bwMode="auto">
                          <a:xfrm>
                            <a:off x="0" y="0"/>
                            <a:ext cx="3373751" cy="2657047"/>
                          </a:xfrm>
                          <a:prstGeom prst="rect">
                            <a:avLst/>
                          </a:prstGeom>
                          <a:ln>
                            <a:noFill/>
                          </a:ln>
                          <a:extLst>
                            <a:ext uri="{53640926-AAD7-44D8-BBD7-CCE9431645EC}">
                              <a14:shadowObscured xmlns:a14="http://schemas.microsoft.com/office/drawing/2010/main"/>
                            </a:ext>
                          </a:extLst>
                        </pic:spPr>
                      </pic:pic>
                    </a:graphicData>
                  </a:graphic>
                </wp:inline>
              </w:drawing>
            </w:r>
          </w:p>
        </w:tc>
      </w:tr>
      <w:tr w:rsidR="0098686D" w:rsidRPr="0098686D" w:rsidTr="00A078D7">
        <w:tc>
          <w:tcPr>
            <w:tcW w:w="3126" w:type="dxa"/>
          </w:tcPr>
          <w:p w:rsidR="0008067B" w:rsidRPr="0098686D" w:rsidRDefault="0008067B" w:rsidP="0008067B">
            <w:pPr>
              <w:widowControl w:val="0"/>
              <w:tabs>
                <w:tab w:val="left" w:pos="851"/>
              </w:tabs>
              <w:spacing w:line="360" w:lineRule="auto"/>
              <w:jc w:val="center"/>
              <w:rPr>
                <w:rFonts w:ascii="Palatino Linotype" w:eastAsia="Palatino Linotype" w:hAnsi="Palatino Linotype" w:cs="Palatino Linotype"/>
                <w:sz w:val="18"/>
                <w:szCs w:val="24"/>
              </w:rPr>
            </w:pPr>
            <w:r w:rsidRPr="0098686D">
              <w:rPr>
                <w:rFonts w:ascii="Palatino Linotype" w:eastAsia="Palatino Linotype" w:hAnsi="Palatino Linotype" w:cs="Palatino Linotype"/>
                <w:sz w:val="18"/>
                <w:szCs w:val="24"/>
              </w:rPr>
              <w:lastRenderedPageBreak/>
              <w:t>15625/INFOEM/IP/RR/2022</w:t>
            </w:r>
          </w:p>
        </w:tc>
        <w:tc>
          <w:tcPr>
            <w:tcW w:w="5702" w:type="dxa"/>
          </w:tcPr>
          <w:p w:rsidR="0008067B" w:rsidRPr="0098686D" w:rsidRDefault="00A078D7">
            <w:pPr>
              <w:widowControl w:val="0"/>
              <w:tabs>
                <w:tab w:val="left" w:pos="851"/>
              </w:tabs>
              <w:spacing w:line="360" w:lineRule="auto"/>
              <w:jc w:val="both"/>
              <w:rPr>
                <w:rFonts w:ascii="Palatino Linotype" w:eastAsia="Palatino Linotype" w:hAnsi="Palatino Linotype" w:cs="Palatino Linotype"/>
                <w:szCs w:val="24"/>
              </w:rPr>
            </w:pPr>
            <w:r w:rsidRPr="0098686D">
              <w:rPr>
                <w:rFonts w:ascii="Palatino Linotype" w:eastAsia="Palatino Linotype" w:hAnsi="Palatino Linotype" w:cs="Palatino Linotype"/>
                <w:b/>
                <w:i/>
                <w:szCs w:val="24"/>
                <w:u w:val="single"/>
              </w:rPr>
              <w:t>MANIFESTACIONES ALEGATOS O PRUEBAS RECURSO 15624.docx</w:t>
            </w:r>
            <w:r w:rsidRPr="0098686D">
              <w:rPr>
                <w:rFonts w:ascii="Palatino Linotype" w:eastAsia="Palatino Linotype" w:hAnsi="Palatino Linotype" w:cs="Palatino Linotype"/>
                <w:szCs w:val="24"/>
              </w:rPr>
              <w:t>: Escrito mediante el cual ratifica sus motivos de inconformidad.</w:t>
            </w:r>
          </w:p>
          <w:p w:rsidR="00A3622B" w:rsidRPr="0098686D" w:rsidRDefault="00A3622B">
            <w:pPr>
              <w:widowControl w:val="0"/>
              <w:tabs>
                <w:tab w:val="left" w:pos="851"/>
              </w:tabs>
              <w:spacing w:line="360" w:lineRule="auto"/>
              <w:jc w:val="both"/>
              <w:rPr>
                <w:rFonts w:ascii="Palatino Linotype" w:eastAsia="Palatino Linotype" w:hAnsi="Palatino Linotype" w:cs="Palatino Linotype"/>
                <w:b/>
                <w:szCs w:val="24"/>
              </w:rPr>
            </w:pPr>
            <w:r w:rsidRPr="0098686D">
              <w:rPr>
                <w:noProof/>
              </w:rPr>
              <w:drawing>
                <wp:inline distT="0" distB="0" distL="0" distR="0" wp14:anchorId="25177721" wp14:editId="1041E50A">
                  <wp:extent cx="3362325" cy="26480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24" t="27761" r="27019" b="26373"/>
                          <a:stretch/>
                        </pic:blipFill>
                        <pic:spPr bwMode="auto">
                          <a:xfrm>
                            <a:off x="0" y="0"/>
                            <a:ext cx="3373751" cy="2657047"/>
                          </a:xfrm>
                          <a:prstGeom prst="rect">
                            <a:avLst/>
                          </a:prstGeom>
                          <a:ln>
                            <a:noFill/>
                          </a:ln>
                          <a:extLst>
                            <a:ext uri="{53640926-AAD7-44D8-BBD7-CCE9431645EC}">
                              <a14:shadowObscured xmlns:a14="http://schemas.microsoft.com/office/drawing/2010/main"/>
                            </a:ext>
                          </a:extLst>
                        </pic:spPr>
                      </pic:pic>
                    </a:graphicData>
                  </a:graphic>
                </wp:inline>
              </w:drawing>
            </w:r>
          </w:p>
        </w:tc>
      </w:tr>
      <w:tr w:rsidR="0098686D" w:rsidRPr="0098686D" w:rsidTr="00A078D7">
        <w:tc>
          <w:tcPr>
            <w:tcW w:w="3126" w:type="dxa"/>
          </w:tcPr>
          <w:p w:rsidR="0008067B" w:rsidRPr="0098686D" w:rsidRDefault="0008067B" w:rsidP="0008067B">
            <w:pPr>
              <w:widowControl w:val="0"/>
              <w:tabs>
                <w:tab w:val="left" w:pos="851"/>
              </w:tabs>
              <w:spacing w:line="360" w:lineRule="auto"/>
              <w:jc w:val="center"/>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15626/INFOEM/IP/RR/2022</w:t>
            </w:r>
          </w:p>
        </w:tc>
        <w:tc>
          <w:tcPr>
            <w:tcW w:w="5702" w:type="dxa"/>
          </w:tcPr>
          <w:p w:rsidR="0008067B" w:rsidRPr="0098686D" w:rsidRDefault="00A078D7">
            <w:pPr>
              <w:widowControl w:val="0"/>
              <w:tabs>
                <w:tab w:val="left" w:pos="851"/>
              </w:tabs>
              <w:spacing w:line="360" w:lineRule="auto"/>
              <w:jc w:val="both"/>
              <w:rPr>
                <w:rFonts w:ascii="Palatino Linotype" w:eastAsia="Palatino Linotype" w:hAnsi="Palatino Linotype" w:cs="Palatino Linotype"/>
                <w:szCs w:val="24"/>
              </w:rPr>
            </w:pPr>
            <w:r w:rsidRPr="0098686D">
              <w:rPr>
                <w:rFonts w:ascii="Palatino Linotype" w:eastAsia="Palatino Linotype" w:hAnsi="Palatino Linotype" w:cs="Palatino Linotype"/>
                <w:b/>
                <w:i/>
                <w:szCs w:val="24"/>
                <w:u w:val="single"/>
              </w:rPr>
              <w:t>MANIFESTACIONES ALEGATOS O PRUEBAS RECURSO 15624.docx</w:t>
            </w:r>
            <w:r w:rsidRPr="0098686D">
              <w:rPr>
                <w:rFonts w:ascii="Palatino Linotype" w:eastAsia="Palatino Linotype" w:hAnsi="Palatino Linotype" w:cs="Palatino Linotype"/>
                <w:szCs w:val="24"/>
                <w:u w:val="single"/>
              </w:rPr>
              <w:t xml:space="preserve">: </w:t>
            </w:r>
            <w:r w:rsidRPr="0098686D">
              <w:rPr>
                <w:rFonts w:ascii="Palatino Linotype" w:eastAsia="Palatino Linotype" w:hAnsi="Palatino Linotype" w:cs="Palatino Linotype"/>
                <w:szCs w:val="24"/>
              </w:rPr>
              <w:t xml:space="preserve">Escrito mediante el cual ratifica </w:t>
            </w:r>
            <w:r w:rsidRPr="0098686D">
              <w:rPr>
                <w:rFonts w:ascii="Palatino Linotype" w:eastAsia="Palatino Linotype" w:hAnsi="Palatino Linotype" w:cs="Palatino Linotype"/>
                <w:szCs w:val="24"/>
              </w:rPr>
              <w:lastRenderedPageBreak/>
              <w:t>sus motivos de inconformidad.</w:t>
            </w:r>
          </w:p>
          <w:p w:rsidR="00A3622B" w:rsidRPr="0098686D" w:rsidRDefault="00A3622B">
            <w:pPr>
              <w:widowControl w:val="0"/>
              <w:tabs>
                <w:tab w:val="left" w:pos="851"/>
              </w:tabs>
              <w:spacing w:line="360" w:lineRule="auto"/>
              <w:jc w:val="both"/>
              <w:rPr>
                <w:rFonts w:ascii="Palatino Linotype" w:eastAsia="Palatino Linotype" w:hAnsi="Palatino Linotype" w:cs="Palatino Linotype"/>
                <w:szCs w:val="24"/>
              </w:rPr>
            </w:pPr>
            <w:r w:rsidRPr="0098686D">
              <w:rPr>
                <w:noProof/>
              </w:rPr>
              <w:drawing>
                <wp:inline distT="0" distB="0" distL="0" distR="0" wp14:anchorId="25177721" wp14:editId="1041E50A">
                  <wp:extent cx="3362325" cy="26480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24" t="27761" r="27019" b="26373"/>
                          <a:stretch/>
                        </pic:blipFill>
                        <pic:spPr bwMode="auto">
                          <a:xfrm>
                            <a:off x="0" y="0"/>
                            <a:ext cx="3373751" cy="2657047"/>
                          </a:xfrm>
                          <a:prstGeom prst="rect">
                            <a:avLst/>
                          </a:prstGeom>
                          <a:ln>
                            <a:noFill/>
                          </a:ln>
                          <a:extLst>
                            <a:ext uri="{53640926-AAD7-44D8-BBD7-CCE9431645EC}">
                              <a14:shadowObscured xmlns:a14="http://schemas.microsoft.com/office/drawing/2010/main"/>
                            </a:ext>
                          </a:extLst>
                        </pic:spPr>
                      </pic:pic>
                    </a:graphicData>
                  </a:graphic>
                </wp:inline>
              </w:drawing>
            </w:r>
          </w:p>
        </w:tc>
      </w:tr>
      <w:tr w:rsidR="0008067B" w:rsidRPr="0098686D" w:rsidTr="00A078D7">
        <w:tc>
          <w:tcPr>
            <w:tcW w:w="3126" w:type="dxa"/>
          </w:tcPr>
          <w:p w:rsidR="0008067B" w:rsidRPr="0098686D" w:rsidRDefault="0008067B" w:rsidP="0008067B">
            <w:pPr>
              <w:widowControl w:val="0"/>
              <w:tabs>
                <w:tab w:val="left" w:pos="851"/>
              </w:tabs>
              <w:spacing w:line="360" w:lineRule="auto"/>
              <w:jc w:val="center"/>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lastRenderedPageBreak/>
              <w:t>15627/INFOEM/IP/RR/2022</w:t>
            </w:r>
          </w:p>
        </w:tc>
        <w:tc>
          <w:tcPr>
            <w:tcW w:w="5702" w:type="dxa"/>
          </w:tcPr>
          <w:p w:rsidR="0008067B" w:rsidRPr="0098686D" w:rsidRDefault="00A078D7">
            <w:pPr>
              <w:widowControl w:val="0"/>
              <w:tabs>
                <w:tab w:val="left" w:pos="851"/>
              </w:tabs>
              <w:spacing w:line="360" w:lineRule="auto"/>
              <w:jc w:val="both"/>
              <w:rPr>
                <w:rFonts w:ascii="Palatino Linotype" w:eastAsia="Palatino Linotype" w:hAnsi="Palatino Linotype" w:cs="Palatino Linotype"/>
                <w:szCs w:val="24"/>
              </w:rPr>
            </w:pPr>
            <w:r w:rsidRPr="0098686D">
              <w:rPr>
                <w:rFonts w:ascii="Palatino Linotype" w:eastAsia="Palatino Linotype" w:hAnsi="Palatino Linotype" w:cs="Palatino Linotype"/>
                <w:b/>
                <w:i/>
                <w:szCs w:val="24"/>
                <w:u w:val="single"/>
              </w:rPr>
              <w:t>MANIFESTACIONES ALEGATOS O PRUEBAS RECURSO 15624.docx</w:t>
            </w:r>
            <w:r w:rsidRPr="0098686D">
              <w:rPr>
                <w:rFonts w:ascii="Palatino Linotype" w:eastAsia="Palatino Linotype" w:hAnsi="Palatino Linotype" w:cs="Palatino Linotype"/>
                <w:szCs w:val="24"/>
                <w:u w:val="single"/>
              </w:rPr>
              <w:t>:</w:t>
            </w:r>
            <w:r w:rsidRPr="0098686D">
              <w:rPr>
                <w:rFonts w:ascii="Palatino Linotype" w:eastAsia="Palatino Linotype" w:hAnsi="Palatino Linotype" w:cs="Palatino Linotype"/>
                <w:szCs w:val="24"/>
              </w:rPr>
              <w:t xml:space="preserve"> Escrito mediante el cual ratifica sus motivos de inconformidad.</w:t>
            </w:r>
          </w:p>
          <w:p w:rsidR="00A3622B" w:rsidRPr="0098686D" w:rsidRDefault="00A3622B">
            <w:pPr>
              <w:widowControl w:val="0"/>
              <w:tabs>
                <w:tab w:val="left" w:pos="851"/>
              </w:tabs>
              <w:spacing w:line="360" w:lineRule="auto"/>
              <w:jc w:val="both"/>
              <w:rPr>
                <w:rFonts w:ascii="Palatino Linotype" w:eastAsia="Palatino Linotype" w:hAnsi="Palatino Linotype" w:cs="Palatino Linotype"/>
                <w:szCs w:val="24"/>
              </w:rPr>
            </w:pPr>
            <w:r w:rsidRPr="0098686D">
              <w:rPr>
                <w:noProof/>
              </w:rPr>
              <w:drawing>
                <wp:inline distT="0" distB="0" distL="0" distR="0" wp14:anchorId="25177721" wp14:editId="1041E50A">
                  <wp:extent cx="3362325" cy="26480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224" t="27761" r="27019" b="26373"/>
                          <a:stretch/>
                        </pic:blipFill>
                        <pic:spPr bwMode="auto">
                          <a:xfrm>
                            <a:off x="0" y="0"/>
                            <a:ext cx="3373751" cy="2657047"/>
                          </a:xfrm>
                          <a:prstGeom prst="rect">
                            <a:avLst/>
                          </a:prstGeom>
                          <a:ln>
                            <a:noFill/>
                          </a:ln>
                          <a:extLst>
                            <a:ext uri="{53640926-AAD7-44D8-BBD7-CCE9431645EC}">
                              <a14:shadowObscured xmlns:a14="http://schemas.microsoft.com/office/drawing/2010/main"/>
                            </a:ext>
                          </a:extLst>
                        </pic:spPr>
                      </pic:pic>
                    </a:graphicData>
                  </a:graphic>
                </wp:inline>
              </w:drawing>
            </w:r>
          </w:p>
        </w:tc>
      </w:tr>
    </w:tbl>
    <w:p w:rsidR="00E74020" w:rsidRPr="0098686D" w:rsidRDefault="00E74020">
      <w:pPr>
        <w:widowControl w:val="0"/>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p>
    <w:p w:rsidR="00E74020" w:rsidRPr="0098686D" w:rsidRDefault="00164A65">
      <w:pPr>
        <w:widowControl w:val="0"/>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bookmarkStart w:id="3" w:name="_heading=h.gjdgxs" w:colFirst="0" w:colLast="0"/>
      <w:bookmarkEnd w:id="3"/>
      <w:r w:rsidRPr="0098686D">
        <w:rPr>
          <w:rFonts w:ascii="Palatino Linotype" w:eastAsia="Palatino Linotype" w:hAnsi="Palatino Linotype" w:cs="Palatino Linotype"/>
          <w:b/>
          <w:sz w:val="24"/>
          <w:szCs w:val="24"/>
        </w:rPr>
        <w:lastRenderedPageBreak/>
        <w:t xml:space="preserve">8. AMPLIACIÓN DEL PLAZO PARA EMITIR RESOLUCIÓN. </w:t>
      </w:r>
      <w:r w:rsidRPr="0098686D">
        <w:rPr>
          <w:rFonts w:ascii="Palatino Linotype" w:eastAsia="Palatino Linotype" w:hAnsi="Palatino Linotype" w:cs="Palatino Linotype"/>
          <w:sz w:val="24"/>
          <w:szCs w:val="24"/>
        </w:rPr>
        <w:t>El</w:t>
      </w:r>
      <w:r w:rsidRPr="0098686D">
        <w:rPr>
          <w:rFonts w:ascii="Palatino Linotype" w:eastAsia="Palatino Linotype" w:hAnsi="Palatino Linotype" w:cs="Palatino Linotype"/>
          <w:b/>
          <w:sz w:val="24"/>
          <w:szCs w:val="24"/>
        </w:rPr>
        <w:t xml:space="preserve"> veinticuatro de mayo de dos mil veintitrés</w:t>
      </w:r>
      <w:r w:rsidRPr="0098686D">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E74020" w:rsidRPr="0098686D" w:rsidRDefault="00E74020"/>
    <w:p w:rsidR="00E74020" w:rsidRPr="0098686D" w:rsidRDefault="00164A65">
      <w:pPr>
        <w:widowControl w:val="0"/>
        <w:pBdr>
          <w:top w:val="nil"/>
          <w:left w:val="nil"/>
          <w:bottom w:val="nil"/>
          <w:right w:val="nil"/>
          <w:between w:val="nil"/>
        </w:pBdr>
        <w:tabs>
          <w:tab w:val="left" w:pos="851"/>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Este organismo garante no pasa por alto justificar, que el plazo para emitir resolución en el presente asunto encuentra justificación en el alto número de recursos de revisión recibidos dentro del año dos mil veintidós y que se ha incrementado aproximadamente un 300%, circunstancia atípica que ha rebasado las capacidades técnicas y humanas del personal encargado de la proyección de las resoluciones a dichos medios de impugnación.</w:t>
      </w:r>
    </w:p>
    <w:p w:rsidR="00E74020" w:rsidRPr="0098686D" w:rsidRDefault="00E74020">
      <w:pPr>
        <w:widowControl w:val="0"/>
        <w:tabs>
          <w:tab w:val="left" w:pos="709"/>
        </w:tabs>
        <w:spacing w:after="0" w:line="360" w:lineRule="auto"/>
        <w:jc w:val="both"/>
        <w:rPr>
          <w:rFonts w:ascii="Palatino Linotype" w:eastAsia="Palatino Linotype" w:hAnsi="Palatino Linotype" w:cs="Palatino Linotype"/>
          <w:sz w:val="24"/>
          <w:szCs w:val="24"/>
        </w:rPr>
      </w:pP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E74020" w:rsidRPr="0098686D" w:rsidRDefault="00E74020">
      <w:pPr>
        <w:widowControl w:val="0"/>
        <w:tabs>
          <w:tab w:val="left" w:pos="709"/>
        </w:tabs>
        <w:spacing w:after="0" w:line="360" w:lineRule="auto"/>
        <w:jc w:val="both"/>
        <w:rPr>
          <w:rFonts w:ascii="Palatino Linotype" w:eastAsia="Palatino Linotype" w:hAnsi="Palatino Linotype" w:cs="Palatino Linotype"/>
          <w:sz w:val="24"/>
          <w:szCs w:val="24"/>
        </w:rPr>
      </w:pP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en el menor tiempo posible, tomando en consideración la dilación total del </w:t>
      </w:r>
      <w:r w:rsidRPr="0098686D">
        <w:rPr>
          <w:rFonts w:ascii="Palatino Linotype" w:eastAsia="Palatino Linotype" w:hAnsi="Palatino Linotype" w:cs="Palatino Linotype"/>
          <w:sz w:val="24"/>
          <w:szCs w:val="24"/>
        </w:rPr>
        <w:lastRenderedPageBreak/>
        <w:t>procedimiento; esto es, en un plazo razonable.</w:t>
      </w:r>
    </w:p>
    <w:p w:rsidR="00E74020" w:rsidRPr="0098686D" w:rsidRDefault="00E74020">
      <w:pPr>
        <w:widowControl w:val="0"/>
        <w:tabs>
          <w:tab w:val="left" w:pos="709"/>
        </w:tabs>
        <w:spacing w:after="0" w:line="360" w:lineRule="auto"/>
        <w:jc w:val="both"/>
        <w:rPr>
          <w:rFonts w:ascii="Palatino Linotype" w:eastAsia="Palatino Linotype" w:hAnsi="Palatino Linotype" w:cs="Palatino Linotype"/>
          <w:sz w:val="24"/>
          <w:szCs w:val="24"/>
        </w:rPr>
      </w:pP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 </w:t>
      </w: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E74020" w:rsidRPr="0098686D" w:rsidRDefault="00E74020">
      <w:pPr>
        <w:widowControl w:val="0"/>
        <w:tabs>
          <w:tab w:val="left" w:pos="709"/>
        </w:tabs>
        <w:spacing w:line="360" w:lineRule="auto"/>
        <w:jc w:val="both"/>
        <w:rPr>
          <w:rFonts w:ascii="Palatino Linotype" w:eastAsia="Palatino Linotype" w:hAnsi="Palatino Linotype" w:cs="Palatino Linotype"/>
          <w:sz w:val="24"/>
          <w:szCs w:val="24"/>
        </w:rPr>
      </w:pPr>
    </w:p>
    <w:p w:rsidR="00E74020" w:rsidRPr="0098686D" w:rsidRDefault="00164A65">
      <w:pPr>
        <w:widowControl w:val="0"/>
        <w:pBdr>
          <w:top w:val="nil"/>
          <w:left w:val="nil"/>
          <w:bottom w:val="nil"/>
          <w:right w:val="nil"/>
          <w:between w:val="nil"/>
        </w:pBdr>
        <w:tabs>
          <w:tab w:val="left" w:pos="993"/>
        </w:tabs>
        <w:spacing w:after="0" w:line="360" w:lineRule="auto"/>
        <w:ind w:left="567" w:right="56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a)      Complejidad del asunto:</w:t>
      </w:r>
      <w:r w:rsidRPr="0098686D">
        <w:rPr>
          <w:rFonts w:ascii="Palatino Linotype" w:eastAsia="Palatino Linotype" w:hAnsi="Palatino Linotype" w:cs="Palatino Linotype"/>
          <w:sz w:val="24"/>
          <w:szCs w:val="24"/>
        </w:rPr>
        <w:t xml:space="preserve"> La complejidad de la prueba, la pluralidad de sujetos procesales, el tiempo transcurrido, las características y contexto del recurso.</w:t>
      </w:r>
    </w:p>
    <w:p w:rsidR="00E74020" w:rsidRPr="0098686D" w:rsidRDefault="00164A65">
      <w:pPr>
        <w:widowControl w:val="0"/>
        <w:pBdr>
          <w:top w:val="nil"/>
          <w:left w:val="nil"/>
          <w:bottom w:val="nil"/>
          <w:right w:val="nil"/>
          <w:between w:val="nil"/>
        </w:pBdr>
        <w:tabs>
          <w:tab w:val="left" w:pos="993"/>
        </w:tabs>
        <w:spacing w:after="0" w:line="360" w:lineRule="auto"/>
        <w:ind w:left="567" w:right="56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b)     Actividad Procesal del interesado:</w:t>
      </w:r>
      <w:r w:rsidRPr="0098686D">
        <w:rPr>
          <w:rFonts w:ascii="Palatino Linotype" w:eastAsia="Palatino Linotype" w:hAnsi="Palatino Linotype" w:cs="Palatino Linotype"/>
          <w:sz w:val="24"/>
          <w:szCs w:val="24"/>
        </w:rPr>
        <w:t xml:space="preserve"> Acciones u omisiones del interesado.</w:t>
      </w:r>
    </w:p>
    <w:p w:rsidR="00E74020" w:rsidRPr="0098686D" w:rsidRDefault="00164A65">
      <w:pPr>
        <w:widowControl w:val="0"/>
        <w:pBdr>
          <w:top w:val="nil"/>
          <w:left w:val="nil"/>
          <w:bottom w:val="nil"/>
          <w:right w:val="nil"/>
          <w:between w:val="nil"/>
        </w:pBdr>
        <w:tabs>
          <w:tab w:val="left" w:pos="993"/>
        </w:tabs>
        <w:spacing w:after="0" w:line="360" w:lineRule="auto"/>
        <w:ind w:left="567" w:right="56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c)      Conducta de la Autoridad</w:t>
      </w:r>
      <w:r w:rsidRPr="0098686D">
        <w:rPr>
          <w:rFonts w:ascii="Palatino Linotype" w:eastAsia="Palatino Linotype" w:hAnsi="Palatino Linotype" w:cs="Palatino Linotype"/>
          <w:sz w:val="24"/>
          <w:szCs w:val="24"/>
        </w:rPr>
        <w:t>: Las Acciones u omisiones realizadas en el procedimiento. Así como si la autoridad actuó con la debida diligencia.</w:t>
      </w:r>
    </w:p>
    <w:p w:rsidR="00E74020" w:rsidRPr="0098686D" w:rsidRDefault="00164A65">
      <w:pPr>
        <w:widowControl w:val="0"/>
        <w:pBdr>
          <w:top w:val="nil"/>
          <w:left w:val="nil"/>
          <w:bottom w:val="nil"/>
          <w:right w:val="nil"/>
          <w:between w:val="nil"/>
        </w:pBdr>
        <w:tabs>
          <w:tab w:val="left" w:pos="993"/>
        </w:tabs>
        <w:spacing w:after="0" w:line="360" w:lineRule="auto"/>
        <w:ind w:left="567" w:right="56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d) La afectación generada en la situación jurídica de la persona involucrada en el proceso</w:t>
      </w:r>
      <w:r w:rsidRPr="0098686D">
        <w:rPr>
          <w:rFonts w:ascii="Palatino Linotype" w:eastAsia="Palatino Linotype" w:hAnsi="Palatino Linotype" w:cs="Palatino Linotype"/>
          <w:sz w:val="24"/>
          <w:szCs w:val="24"/>
        </w:rPr>
        <w:t>: Violación a sus derechos humanos.</w:t>
      </w:r>
    </w:p>
    <w:p w:rsidR="000260BB" w:rsidRPr="0098686D" w:rsidRDefault="000260BB">
      <w:pPr>
        <w:widowControl w:val="0"/>
        <w:tabs>
          <w:tab w:val="left" w:pos="709"/>
        </w:tabs>
        <w:spacing w:after="0" w:line="360" w:lineRule="auto"/>
        <w:jc w:val="both"/>
        <w:rPr>
          <w:rFonts w:ascii="Palatino Linotype" w:eastAsia="Palatino Linotype" w:hAnsi="Palatino Linotype" w:cs="Palatino Linotype"/>
          <w:sz w:val="24"/>
          <w:szCs w:val="24"/>
        </w:rPr>
      </w:pP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De modo que, cuando se trate de un asunto excepcional, por alguna o todas las </w:t>
      </w:r>
      <w:r w:rsidRPr="0098686D">
        <w:rPr>
          <w:rFonts w:ascii="Palatino Linotype" w:eastAsia="Palatino Linotype" w:hAnsi="Palatino Linotype" w:cs="Palatino Linotype"/>
          <w:sz w:val="24"/>
          <w:szCs w:val="24"/>
        </w:rPr>
        <w:lastRenderedPageBreak/>
        <w:t>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E74020" w:rsidRPr="0098686D" w:rsidRDefault="00E74020">
      <w:pPr>
        <w:widowControl w:val="0"/>
        <w:tabs>
          <w:tab w:val="left" w:pos="709"/>
        </w:tabs>
        <w:spacing w:after="0" w:line="360" w:lineRule="auto"/>
        <w:jc w:val="both"/>
        <w:rPr>
          <w:rFonts w:ascii="Palatino Linotype" w:eastAsia="Palatino Linotype" w:hAnsi="Palatino Linotype" w:cs="Palatino Linotype"/>
          <w:sz w:val="24"/>
          <w:szCs w:val="24"/>
        </w:rPr>
      </w:pP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Argumento que encuentra sustento en la jurisprudencia P</w:t>
      </w:r>
      <w:proofErr w:type="gramStart"/>
      <w:r w:rsidRPr="0098686D">
        <w:rPr>
          <w:rFonts w:ascii="Palatino Linotype" w:eastAsia="Palatino Linotype" w:hAnsi="Palatino Linotype" w:cs="Palatino Linotype"/>
          <w:sz w:val="24"/>
          <w:szCs w:val="24"/>
        </w:rPr>
        <w:t>./</w:t>
      </w:r>
      <w:proofErr w:type="gramEnd"/>
      <w:r w:rsidRPr="0098686D">
        <w:rPr>
          <w:rFonts w:ascii="Palatino Linotype" w:eastAsia="Palatino Linotype" w:hAnsi="Palatino Linotype" w:cs="Palatino Linotype"/>
          <w:sz w:val="24"/>
          <w:szCs w:val="24"/>
        </w:rPr>
        <w:t xml:space="preserve">J. 32/92 emitida por el Pleno de la Suprema Corte de Justicia de la Nación de rubro </w:t>
      </w:r>
      <w:r w:rsidRPr="0098686D">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98686D">
        <w:rPr>
          <w:rFonts w:ascii="Palatino Linotype" w:eastAsia="Palatino Linotype" w:hAnsi="Palatino Linotype" w:cs="Palatino Linotype"/>
          <w:sz w:val="24"/>
          <w:szCs w:val="24"/>
        </w:rPr>
        <w:t xml:space="preserve"> visible en la Gaceta del Seminario Judicial de la Federación con el registro digital 205635.</w:t>
      </w:r>
    </w:p>
    <w:p w:rsidR="00E74020" w:rsidRPr="0098686D" w:rsidRDefault="00E74020">
      <w:pPr>
        <w:widowControl w:val="0"/>
        <w:tabs>
          <w:tab w:val="left" w:pos="709"/>
        </w:tabs>
        <w:spacing w:after="0" w:line="360" w:lineRule="auto"/>
        <w:jc w:val="both"/>
        <w:rPr>
          <w:rFonts w:ascii="Palatino Linotype" w:eastAsia="Palatino Linotype" w:hAnsi="Palatino Linotype" w:cs="Palatino Linotype"/>
          <w:sz w:val="24"/>
          <w:szCs w:val="24"/>
        </w:rPr>
      </w:pP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w:t>
      </w:r>
      <w:r w:rsidRPr="0098686D">
        <w:rPr>
          <w:rFonts w:ascii="Palatino Linotype" w:eastAsia="Palatino Linotype" w:hAnsi="Palatino Linotype" w:cs="Palatino Linotype"/>
          <w:sz w:val="24"/>
          <w:szCs w:val="24"/>
        </w:rPr>
        <w:lastRenderedPageBreak/>
        <w:t>fuerza mayor.</w:t>
      </w:r>
    </w:p>
    <w:p w:rsidR="00E74020" w:rsidRPr="0098686D" w:rsidRDefault="00E74020">
      <w:pPr>
        <w:widowControl w:val="0"/>
        <w:tabs>
          <w:tab w:val="left" w:pos="709"/>
        </w:tabs>
        <w:spacing w:after="0" w:line="360" w:lineRule="auto"/>
        <w:jc w:val="both"/>
        <w:rPr>
          <w:rFonts w:ascii="Palatino Linotype" w:eastAsia="Palatino Linotype" w:hAnsi="Palatino Linotype" w:cs="Palatino Linotype"/>
          <w:sz w:val="24"/>
          <w:szCs w:val="24"/>
        </w:rPr>
      </w:pPr>
    </w:p>
    <w:p w:rsidR="00E74020" w:rsidRPr="0098686D" w:rsidRDefault="00164A65">
      <w:pPr>
        <w:widowControl w:val="0"/>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E74020" w:rsidRPr="0098686D" w:rsidRDefault="00E74020">
      <w:pPr>
        <w:widowControl w:val="0"/>
        <w:tabs>
          <w:tab w:val="left" w:pos="709"/>
        </w:tabs>
        <w:spacing w:line="360" w:lineRule="auto"/>
        <w:jc w:val="both"/>
        <w:rPr>
          <w:rFonts w:ascii="Palatino Linotype" w:eastAsia="Palatino Linotype" w:hAnsi="Palatino Linotype" w:cs="Palatino Linotype"/>
          <w:sz w:val="24"/>
          <w:szCs w:val="24"/>
        </w:rPr>
      </w:pPr>
    </w:p>
    <w:p w:rsidR="00E74020" w:rsidRPr="0098686D" w:rsidRDefault="00164A65">
      <w:pPr>
        <w:widowControl w:val="0"/>
        <w:pBdr>
          <w:top w:val="nil"/>
          <w:left w:val="nil"/>
          <w:bottom w:val="nil"/>
          <w:right w:val="nil"/>
          <w:between w:val="nil"/>
        </w:pBdr>
        <w:tabs>
          <w:tab w:val="left" w:pos="851"/>
        </w:tabs>
        <w:spacing w:after="0" w:line="276" w:lineRule="auto"/>
        <w:ind w:left="567" w:right="56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PLAZO RAZONABLE PARA RESOLVER. DIMENSIÓN Y EFECTOS DE ESTE CONCEPTO CUANDO SE ADUCE EXCESIVA CARGA DE TRABAJO</w:t>
      </w:r>
      <w:r w:rsidRPr="0098686D">
        <w:rPr>
          <w:rFonts w:ascii="Palatino Linotype" w:eastAsia="Palatino Linotype" w:hAnsi="Palatino Linotype" w:cs="Palatino Linotype"/>
          <w:sz w:val="24"/>
          <w:szCs w:val="24"/>
        </w:rPr>
        <w:t>.” consultable en el Seminario Judicial de la Federación y su gaceta, con el registro digital 2002351.</w:t>
      </w:r>
    </w:p>
    <w:p w:rsidR="00E74020" w:rsidRPr="0098686D" w:rsidRDefault="00164A65">
      <w:pPr>
        <w:widowControl w:val="0"/>
        <w:pBdr>
          <w:top w:val="nil"/>
          <w:left w:val="nil"/>
          <w:bottom w:val="nil"/>
          <w:right w:val="nil"/>
          <w:between w:val="nil"/>
        </w:pBdr>
        <w:tabs>
          <w:tab w:val="left" w:pos="851"/>
        </w:tabs>
        <w:spacing w:after="0" w:line="276" w:lineRule="auto"/>
        <w:ind w:left="567" w:right="56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w:t>
      </w:r>
      <w:r w:rsidRPr="0098686D">
        <w:rPr>
          <w:rFonts w:ascii="Palatino Linotype" w:eastAsia="Palatino Linotype" w:hAnsi="Palatino Linotype" w:cs="Palatino Linotype"/>
          <w:b/>
          <w:sz w:val="24"/>
          <w:szCs w:val="24"/>
        </w:rPr>
        <w:t>PLAZO RAZONABLE PARA RESOLVER. CONCEPTO Y ELEMENTOS QUE LO INTEGRAN A LA LUZ DEL DERECHO INTERNACIONAL DE LOS DERECHOS HUMANOS.”,</w:t>
      </w:r>
      <w:r w:rsidRPr="0098686D">
        <w:rPr>
          <w:rFonts w:ascii="Palatino Linotype" w:eastAsia="Palatino Linotype" w:hAnsi="Palatino Linotype" w:cs="Palatino Linotype"/>
          <w:sz w:val="24"/>
          <w:szCs w:val="24"/>
        </w:rPr>
        <w:t xml:space="preserve"> visible en el Seminario Judicial de la Federación y su gaceta, con el registro digital 2002350.</w:t>
      </w:r>
    </w:p>
    <w:p w:rsidR="00E74020" w:rsidRPr="0098686D" w:rsidRDefault="00E74020">
      <w:pPr>
        <w:widowControl w:val="0"/>
        <w:pBdr>
          <w:top w:val="nil"/>
          <w:left w:val="nil"/>
          <w:bottom w:val="nil"/>
          <w:right w:val="nil"/>
          <w:between w:val="nil"/>
        </w:pBdr>
        <w:tabs>
          <w:tab w:val="left" w:pos="851"/>
        </w:tabs>
        <w:spacing w:after="0" w:line="360" w:lineRule="auto"/>
        <w:ind w:left="567" w:right="567"/>
        <w:jc w:val="both"/>
        <w:rPr>
          <w:rFonts w:ascii="Palatino Linotype" w:eastAsia="Palatino Linotype" w:hAnsi="Palatino Linotype" w:cs="Palatino Linotype"/>
          <w:b/>
          <w:sz w:val="24"/>
          <w:szCs w:val="24"/>
        </w:rPr>
      </w:pPr>
    </w:p>
    <w:p w:rsidR="00E74020" w:rsidRPr="0098686D" w:rsidRDefault="00164A65">
      <w:pPr>
        <w:widowControl w:val="0"/>
        <w:pBdr>
          <w:top w:val="nil"/>
          <w:left w:val="nil"/>
          <w:bottom w:val="nil"/>
          <w:right w:val="nil"/>
          <w:between w:val="nil"/>
        </w:pBdr>
        <w:tabs>
          <w:tab w:val="left" w:pos="709"/>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E74020" w:rsidRPr="0098686D" w:rsidRDefault="00E74020"/>
    <w:p w:rsidR="00E74020" w:rsidRPr="0098686D" w:rsidRDefault="00164A65">
      <w:pPr>
        <w:widowControl w:val="0"/>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9. CIERRE DE INSTRUCCIÓN. </w:t>
      </w:r>
      <w:r w:rsidRPr="0098686D">
        <w:rPr>
          <w:rFonts w:ascii="Palatino Linotype" w:eastAsia="Palatino Linotype" w:hAnsi="Palatino Linotype" w:cs="Palatino Linotype"/>
          <w:sz w:val="24"/>
          <w:szCs w:val="24"/>
        </w:rPr>
        <w:t xml:space="preserve">El </w:t>
      </w:r>
      <w:r w:rsidR="005E7DAB" w:rsidRPr="0098686D">
        <w:rPr>
          <w:rFonts w:ascii="Palatino Linotype" w:eastAsia="Palatino Linotype" w:hAnsi="Palatino Linotype" w:cs="Palatino Linotype"/>
          <w:b/>
          <w:sz w:val="24"/>
          <w:szCs w:val="24"/>
        </w:rPr>
        <w:t>ocho</w:t>
      </w:r>
      <w:r w:rsidRPr="0098686D">
        <w:rPr>
          <w:rFonts w:ascii="Palatino Linotype" w:eastAsia="Palatino Linotype" w:hAnsi="Palatino Linotype" w:cs="Palatino Linotype"/>
          <w:b/>
          <w:sz w:val="24"/>
          <w:szCs w:val="24"/>
        </w:rPr>
        <w:t xml:space="preserve"> de </w:t>
      </w:r>
      <w:r w:rsidR="005E7DAB" w:rsidRPr="0098686D">
        <w:rPr>
          <w:rFonts w:ascii="Palatino Linotype" w:eastAsia="Palatino Linotype" w:hAnsi="Palatino Linotype" w:cs="Palatino Linotype"/>
          <w:b/>
          <w:sz w:val="24"/>
          <w:szCs w:val="24"/>
        </w:rPr>
        <w:t>juni</w:t>
      </w:r>
      <w:r w:rsidRPr="0098686D">
        <w:rPr>
          <w:rFonts w:ascii="Palatino Linotype" w:eastAsia="Palatino Linotype" w:hAnsi="Palatino Linotype" w:cs="Palatino Linotype"/>
          <w:b/>
          <w:sz w:val="24"/>
          <w:szCs w:val="24"/>
        </w:rPr>
        <w:t>o de dos mil veintitrés</w:t>
      </w:r>
      <w:r w:rsidRPr="0098686D">
        <w:rPr>
          <w:rFonts w:ascii="Palatino Linotype" w:eastAsia="Palatino Linotype" w:hAnsi="Palatino Linotype" w:cs="Palatino Linotype"/>
          <w:sz w:val="24"/>
          <w:szCs w:val="24"/>
        </w:rPr>
        <w:t xml:space="preserve">, con fundamento en lo establecido en los artículos 185, fracción VI de la Ley de Transparencia y Acceso a la Información Pública del Estado de México y Municipios, al no existir trámite pendiente por realizar y haber sido sustanciados los medios de </w:t>
      </w:r>
      <w:r w:rsidRPr="0098686D">
        <w:rPr>
          <w:rFonts w:ascii="Palatino Linotype" w:eastAsia="Palatino Linotype" w:hAnsi="Palatino Linotype" w:cs="Palatino Linotype"/>
          <w:sz w:val="24"/>
          <w:szCs w:val="24"/>
        </w:rPr>
        <w:lastRenderedPageBreak/>
        <w:t>impugnación se acordó el cierre de instrucción y se procede a formular la resolución que en derecho corresponda.</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Debido a que fueron debidamente sustanciados los expedientes electrónicos y no existe diligencia pendiente de desahogo, se emite la Resolución que conforme a Derecho proceda, de acuerdo con los siguientes: </w:t>
      </w:r>
    </w:p>
    <w:p w:rsidR="00E74020" w:rsidRPr="0098686D" w:rsidRDefault="00E74020"/>
    <w:p w:rsidR="00E74020" w:rsidRPr="0098686D" w:rsidRDefault="00164A65">
      <w:pPr>
        <w:widowControl w:val="0"/>
        <w:spacing w:after="0" w:line="360" w:lineRule="auto"/>
        <w:jc w:val="center"/>
        <w:rPr>
          <w:rFonts w:ascii="Palatino Linotype" w:eastAsia="Palatino Linotype" w:hAnsi="Palatino Linotype" w:cs="Palatino Linotype"/>
          <w:b/>
          <w:sz w:val="24"/>
          <w:szCs w:val="24"/>
        </w:rPr>
      </w:pPr>
      <w:r w:rsidRPr="0098686D">
        <w:rPr>
          <w:rFonts w:ascii="Palatino Linotype" w:eastAsia="Palatino Linotype" w:hAnsi="Palatino Linotype" w:cs="Palatino Linotype"/>
          <w:b/>
          <w:sz w:val="24"/>
          <w:szCs w:val="24"/>
        </w:rPr>
        <w:t>C O N S I D E R A N D O S</w:t>
      </w:r>
    </w:p>
    <w:p w:rsidR="00E74020" w:rsidRPr="0098686D" w:rsidRDefault="00E74020">
      <w:pPr>
        <w:spacing w:after="0" w:line="360" w:lineRule="auto"/>
        <w:jc w:val="both"/>
        <w:rPr>
          <w:rFonts w:ascii="Palatino Linotype" w:eastAsia="Palatino Linotype" w:hAnsi="Palatino Linotype" w:cs="Palatino Linotype"/>
          <w:b/>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PRIMERO. COMPETENCIA.</w:t>
      </w:r>
      <w:r w:rsidRPr="0098686D">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w:t>
      </w:r>
      <w:r w:rsidR="005E58C6" w:rsidRPr="0098686D">
        <w:rPr>
          <w:rFonts w:ascii="Palatino Linotype" w:eastAsia="Palatino Linotype" w:hAnsi="Palatino Linotype" w:cs="Palatino Linotype"/>
          <w:sz w:val="24"/>
          <w:szCs w:val="24"/>
        </w:rPr>
        <w:t xml:space="preserve">o y Municipios; 9, fracciones I, XXIII </w:t>
      </w:r>
      <w:r w:rsidRPr="0098686D">
        <w:rPr>
          <w:rFonts w:ascii="Palatino Linotype" w:eastAsia="Palatino Linotype" w:hAnsi="Palatino Linotype" w:cs="Palatino Linotype"/>
          <w:sz w:val="24"/>
          <w:szCs w:val="24"/>
        </w:rPr>
        <w:t>y XXIV y 11 del Reglamento Interior del Instituto de Transparencia, Acceso a la Información Pública y Protección de Datos Personales del Estado de México y Municipios.</w:t>
      </w:r>
    </w:p>
    <w:p w:rsidR="00E74020" w:rsidRPr="0098686D" w:rsidRDefault="00E74020"/>
    <w:p w:rsidR="00E74020" w:rsidRPr="0098686D" w:rsidRDefault="00164A65">
      <w:pPr>
        <w:spacing w:before="160" w:after="0" w:line="360" w:lineRule="auto"/>
        <w:ind w:right="-234"/>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lastRenderedPageBreak/>
        <w:t xml:space="preserve">SEGUNDO. OPORTUNIDAD Y PROCEDIBILIDAD DE LOS RECURSOS DE REVISIÓN.  </w:t>
      </w:r>
      <w:r w:rsidRPr="0098686D">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98686D">
        <w:rPr>
          <w:rFonts w:ascii="Palatino Linotype" w:eastAsia="Palatino Linotype" w:hAnsi="Palatino Linotype" w:cs="Palatino Linotype"/>
          <w:sz w:val="24"/>
          <w:szCs w:val="24"/>
        </w:rPr>
        <w:t>procedibilidad</w:t>
      </w:r>
      <w:proofErr w:type="spellEnd"/>
      <w:r w:rsidRPr="0098686D">
        <w:rPr>
          <w:rFonts w:ascii="Palatino Linotype" w:eastAsia="Palatino Linotype" w:hAnsi="Palatino Linotype" w:cs="Palatino Linotype"/>
          <w:sz w:val="24"/>
          <w:szCs w:val="24"/>
        </w:rPr>
        <w:t xml:space="preserve"> que deben reunir los recursos de revisión interpuestos, previstos en los artículos 178 y 180 de la Ley de Transparencia y Acceso a la Información Pública del Estado de México y Municipios.</w:t>
      </w:r>
    </w:p>
    <w:p w:rsidR="00E74020" w:rsidRPr="0098686D" w:rsidRDefault="00E74020">
      <w:pPr>
        <w:spacing w:after="0" w:line="360" w:lineRule="auto"/>
        <w:ind w:right="49"/>
        <w:jc w:val="both"/>
        <w:rPr>
          <w:rFonts w:ascii="Palatino Linotype" w:eastAsia="Palatino Linotype" w:hAnsi="Palatino Linotype" w:cs="Palatino Linotype"/>
          <w:sz w:val="24"/>
          <w:szCs w:val="24"/>
        </w:rPr>
      </w:pPr>
    </w:p>
    <w:p w:rsidR="00E74020" w:rsidRPr="0098686D" w:rsidRDefault="00A3622B">
      <w:pPr>
        <w:spacing w:after="0" w:line="360" w:lineRule="auto"/>
        <w:ind w:right="-234"/>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Los </w:t>
      </w:r>
      <w:r w:rsidR="00164A65" w:rsidRPr="0098686D">
        <w:rPr>
          <w:rFonts w:ascii="Palatino Linotype" w:eastAsia="Palatino Linotype" w:hAnsi="Palatino Linotype" w:cs="Palatino Linotype"/>
          <w:sz w:val="24"/>
          <w:szCs w:val="24"/>
        </w:rPr>
        <w:t>recurso</w:t>
      </w:r>
      <w:r w:rsidRPr="0098686D">
        <w:rPr>
          <w:rFonts w:ascii="Palatino Linotype" w:eastAsia="Palatino Linotype" w:hAnsi="Palatino Linotype" w:cs="Palatino Linotype"/>
          <w:sz w:val="24"/>
          <w:szCs w:val="24"/>
        </w:rPr>
        <w:t>s</w:t>
      </w:r>
      <w:r w:rsidR="00164A65" w:rsidRPr="0098686D">
        <w:rPr>
          <w:rFonts w:ascii="Palatino Linotype" w:eastAsia="Palatino Linotype" w:hAnsi="Palatino Linotype" w:cs="Palatino Linotype"/>
          <w:sz w:val="24"/>
          <w:szCs w:val="24"/>
        </w:rPr>
        <w:t xml:space="preserve"> de revisión fue</w:t>
      </w:r>
      <w:r w:rsidRPr="0098686D">
        <w:rPr>
          <w:rFonts w:ascii="Palatino Linotype" w:eastAsia="Palatino Linotype" w:hAnsi="Palatino Linotype" w:cs="Palatino Linotype"/>
          <w:sz w:val="24"/>
          <w:szCs w:val="24"/>
        </w:rPr>
        <w:t>ron</w:t>
      </w:r>
      <w:r w:rsidR="00164A65" w:rsidRPr="0098686D">
        <w:rPr>
          <w:rFonts w:ascii="Palatino Linotype" w:eastAsia="Palatino Linotype" w:hAnsi="Palatino Linotype" w:cs="Palatino Linotype"/>
          <w:sz w:val="24"/>
          <w:szCs w:val="24"/>
        </w:rPr>
        <w:t xml:space="preserve"> interpuesto</w:t>
      </w:r>
      <w:r w:rsidRPr="0098686D">
        <w:rPr>
          <w:rFonts w:ascii="Palatino Linotype" w:eastAsia="Palatino Linotype" w:hAnsi="Palatino Linotype" w:cs="Palatino Linotype"/>
          <w:sz w:val="24"/>
          <w:szCs w:val="24"/>
        </w:rPr>
        <w:t>s</w:t>
      </w:r>
      <w:r w:rsidR="005E58C6" w:rsidRPr="0098686D">
        <w:rPr>
          <w:rFonts w:ascii="Palatino Linotype" w:eastAsia="Palatino Linotype" w:hAnsi="Palatino Linotype" w:cs="Palatino Linotype"/>
          <w:sz w:val="24"/>
          <w:szCs w:val="24"/>
        </w:rPr>
        <w:t xml:space="preserve"> </w:t>
      </w:r>
      <w:r w:rsidR="00164A65" w:rsidRPr="0098686D">
        <w:rPr>
          <w:rFonts w:ascii="Palatino Linotype" w:eastAsia="Palatino Linotype" w:hAnsi="Palatino Linotype" w:cs="Palatino Linotype"/>
          <w:sz w:val="24"/>
          <w:szCs w:val="24"/>
        </w:rPr>
        <w:t>dentro del plazo de quince días hábiles previsto en el artículo 178 de la Ley de Transparencia y Acceso a la Información Pública del Estado de México y Municipios, contados a partir de la fecha en que</w:t>
      </w:r>
      <w:r w:rsidR="00164A65" w:rsidRPr="0098686D">
        <w:rPr>
          <w:rFonts w:ascii="Palatino Linotype" w:eastAsia="Palatino Linotype" w:hAnsi="Palatino Linotype" w:cs="Palatino Linotype"/>
          <w:b/>
          <w:sz w:val="24"/>
          <w:szCs w:val="24"/>
        </w:rPr>
        <w:t xml:space="preserve"> EL SUJETO OBLIGADO </w:t>
      </w:r>
      <w:r w:rsidR="00164A65" w:rsidRPr="0098686D">
        <w:rPr>
          <w:rFonts w:ascii="Palatino Linotype" w:eastAsia="Palatino Linotype" w:hAnsi="Palatino Linotype" w:cs="Palatino Linotype"/>
          <w:sz w:val="24"/>
          <w:szCs w:val="24"/>
        </w:rPr>
        <w:t>emitió las respuestas, toda vez que esta</w:t>
      </w:r>
      <w:r w:rsidR="005E58C6" w:rsidRPr="0098686D">
        <w:rPr>
          <w:rFonts w:ascii="Palatino Linotype" w:eastAsia="Palatino Linotype" w:hAnsi="Palatino Linotype" w:cs="Palatino Linotype"/>
          <w:sz w:val="24"/>
          <w:szCs w:val="24"/>
        </w:rPr>
        <w:t>s</w:t>
      </w:r>
      <w:r w:rsidR="00164A65" w:rsidRPr="0098686D">
        <w:rPr>
          <w:rFonts w:ascii="Palatino Linotype" w:eastAsia="Palatino Linotype" w:hAnsi="Palatino Linotype" w:cs="Palatino Linotype"/>
          <w:sz w:val="24"/>
          <w:szCs w:val="24"/>
        </w:rPr>
        <w:t xml:space="preserve"> fueron pronunciadas el día once de octubre de </w:t>
      </w:r>
      <w:r w:rsidRPr="0098686D">
        <w:rPr>
          <w:rFonts w:ascii="Palatino Linotype" w:eastAsia="Palatino Linotype" w:hAnsi="Palatino Linotype" w:cs="Palatino Linotype"/>
          <w:sz w:val="24"/>
          <w:szCs w:val="24"/>
        </w:rPr>
        <w:t xml:space="preserve">dos mil veintidós, mientras que </w:t>
      </w:r>
      <w:r w:rsidRPr="0098686D">
        <w:rPr>
          <w:rFonts w:ascii="Palatino Linotype" w:eastAsia="Palatino Linotype" w:hAnsi="Palatino Linotype" w:cs="Palatino Linotype"/>
          <w:b/>
          <w:sz w:val="24"/>
          <w:szCs w:val="24"/>
        </w:rPr>
        <w:t xml:space="preserve">LA PARTE </w:t>
      </w:r>
      <w:r w:rsidR="00164A65" w:rsidRPr="0098686D">
        <w:rPr>
          <w:rFonts w:ascii="Palatino Linotype" w:eastAsia="Palatino Linotype" w:hAnsi="Palatino Linotype" w:cs="Palatino Linotype"/>
          <w:b/>
          <w:sz w:val="24"/>
          <w:szCs w:val="24"/>
        </w:rPr>
        <w:t>RECURRENTE</w:t>
      </w:r>
      <w:r w:rsidR="00164A65" w:rsidRPr="0098686D">
        <w:rPr>
          <w:rFonts w:ascii="Palatino Linotype" w:eastAsia="Palatino Linotype" w:hAnsi="Palatino Linotype" w:cs="Palatino Linotype"/>
          <w:sz w:val="24"/>
          <w:szCs w:val="24"/>
        </w:rPr>
        <w:t xml:space="preserve"> interp</w:t>
      </w:r>
      <w:r w:rsidR="005E7DAB" w:rsidRPr="0098686D">
        <w:rPr>
          <w:rFonts w:ascii="Palatino Linotype" w:eastAsia="Palatino Linotype" w:hAnsi="Palatino Linotype" w:cs="Palatino Linotype"/>
          <w:sz w:val="24"/>
          <w:szCs w:val="24"/>
        </w:rPr>
        <w:t xml:space="preserve">uso </w:t>
      </w:r>
      <w:r w:rsidR="00164A65" w:rsidRPr="0098686D">
        <w:rPr>
          <w:rFonts w:ascii="Palatino Linotype" w:eastAsia="Palatino Linotype" w:hAnsi="Palatino Linotype" w:cs="Palatino Linotype"/>
          <w:sz w:val="24"/>
          <w:szCs w:val="24"/>
        </w:rPr>
        <w:t xml:space="preserve">los recursos de revisión el diecisiete de octubre de dos mil veintidós, esto es al cuarto día hábil de haber recibido la respuesta. </w:t>
      </w:r>
    </w:p>
    <w:p w:rsidR="00E74020" w:rsidRPr="0098686D" w:rsidRDefault="00E74020"/>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Al mismo tiempo, tras la revisión del formato de interposición de los recursos, es de suma importancia señalar que </w:t>
      </w:r>
      <w:r w:rsidR="00A3622B" w:rsidRPr="0098686D">
        <w:rPr>
          <w:rFonts w:ascii="Palatino Linotype" w:eastAsia="Palatino Linotype" w:hAnsi="Palatino Linotype" w:cs="Palatino Linotype"/>
          <w:b/>
          <w:sz w:val="24"/>
          <w:szCs w:val="24"/>
        </w:rPr>
        <w:t>LA PARTE</w:t>
      </w:r>
      <w:r w:rsidR="00A3622B"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RECURRENTE</w:t>
      </w:r>
      <w:r w:rsidRPr="0098686D">
        <w:rPr>
          <w:rFonts w:ascii="Palatino Linotype" w:eastAsia="Palatino Linotype" w:hAnsi="Palatino Linotype" w:cs="Palatino Linotype"/>
          <w:sz w:val="24"/>
          <w:szCs w:val="24"/>
        </w:rPr>
        <w:t xml:space="preserve"> no </w:t>
      </w:r>
      <w:r w:rsidRPr="0098686D">
        <w:rPr>
          <w:rFonts w:ascii="Palatino Linotype" w:eastAsia="Palatino Linotype" w:hAnsi="Palatino Linotype" w:cs="Palatino Linotype"/>
          <w:b/>
          <w:sz w:val="24"/>
          <w:szCs w:val="24"/>
        </w:rPr>
        <w:t xml:space="preserve">proporcionó un nombre </w:t>
      </w:r>
      <w:r w:rsidRPr="0098686D">
        <w:rPr>
          <w:rFonts w:ascii="Palatino Linotype" w:eastAsia="Palatino Linotype" w:hAnsi="Palatino Linotype" w:cs="Palatino Linotype"/>
          <w:sz w:val="24"/>
          <w:szCs w:val="24"/>
        </w:rPr>
        <w:t>como se advierte en el detalle de seguimiento del SAIMEX, no obstante lo anterior, no proporcionar el nombre no es motivo para archivar las solicitudes de acceso a la información pública como concluida, conforme a lo previsto en el artículo 155, penúltimo párrafo de la Ley de Transparencia y Acceso a la Información Pública del Estado de México y Municipios que establece lo siguiente:</w:t>
      </w:r>
    </w:p>
    <w:p w:rsidR="00E74020" w:rsidRPr="0098686D" w:rsidRDefault="00E74020">
      <w:pPr>
        <w:spacing w:after="0" w:line="276" w:lineRule="auto"/>
        <w:ind w:left="851" w:right="900"/>
        <w:jc w:val="both"/>
        <w:rPr>
          <w:rFonts w:ascii="Palatino Linotype" w:eastAsia="Palatino Linotype" w:hAnsi="Palatino Linotype" w:cs="Palatino Linotype"/>
          <w:i/>
        </w:rPr>
      </w:pPr>
    </w:p>
    <w:p w:rsidR="00E74020" w:rsidRPr="0098686D" w:rsidRDefault="00164A65">
      <w:pPr>
        <w:spacing w:after="0"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lastRenderedPageBreak/>
        <w:t>"</w:t>
      </w:r>
      <w:r w:rsidRPr="0098686D">
        <w:rPr>
          <w:rFonts w:ascii="Palatino Linotype" w:eastAsia="Palatino Linotype" w:hAnsi="Palatino Linotype" w:cs="Palatino Linotype"/>
          <w:b/>
          <w:i/>
        </w:rPr>
        <w:t>Las solicitudes anónimas</w:t>
      </w:r>
      <w:r w:rsidRPr="0098686D">
        <w:rPr>
          <w:rFonts w:ascii="Palatino Linotype" w:eastAsia="Palatino Linotype" w:hAnsi="Palatino Linotype" w:cs="Palatino Linotype"/>
          <w:i/>
        </w:rPr>
        <w:t xml:space="preserve">, con nombre incompleto o seudónimo </w:t>
      </w:r>
      <w:r w:rsidRPr="0098686D">
        <w:rPr>
          <w:rFonts w:ascii="Palatino Linotype" w:eastAsia="Palatino Linotype" w:hAnsi="Palatino Linotype" w:cs="Palatino Linotype"/>
          <w:b/>
          <w:i/>
        </w:rPr>
        <w:t>serán procedentes para su trámite por parte del sujeto obligado ante quien se presente</w:t>
      </w:r>
      <w:r w:rsidRPr="0098686D">
        <w:rPr>
          <w:rFonts w:ascii="Palatino Linotype" w:eastAsia="Palatino Linotype" w:hAnsi="Palatino Linotype" w:cs="Palatino Linotype"/>
          <w:i/>
        </w:rPr>
        <w:t>. No podrá requerirse información adicional con motivo del nombre proporcionado por el solicitante."</w:t>
      </w:r>
    </w:p>
    <w:p w:rsidR="00E74020" w:rsidRPr="0098686D" w:rsidRDefault="00E74020">
      <w:pPr>
        <w:spacing w:after="0" w:line="360" w:lineRule="auto"/>
        <w:ind w:right="-147"/>
        <w:jc w:val="both"/>
        <w:rPr>
          <w:rFonts w:ascii="Palatino Linotype" w:eastAsia="Palatino Linotype" w:hAnsi="Palatino Linotype" w:cs="Palatino Linotype"/>
          <w:sz w:val="24"/>
          <w:szCs w:val="24"/>
        </w:rPr>
      </w:pPr>
    </w:p>
    <w:p w:rsidR="00E74020" w:rsidRPr="0098686D" w:rsidRDefault="00164A65">
      <w:pPr>
        <w:spacing w:after="0" w:line="360" w:lineRule="auto"/>
        <w:ind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Además, por cuanto hace a la </w:t>
      </w:r>
      <w:proofErr w:type="spellStart"/>
      <w:r w:rsidRPr="0098686D">
        <w:rPr>
          <w:rFonts w:ascii="Palatino Linotype" w:eastAsia="Palatino Linotype" w:hAnsi="Palatino Linotype" w:cs="Palatino Linotype"/>
          <w:sz w:val="24"/>
          <w:szCs w:val="24"/>
        </w:rPr>
        <w:t>procedibilidad</w:t>
      </w:r>
      <w:proofErr w:type="spellEnd"/>
      <w:r w:rsidRPr="0098686D">
        <w:rPr>
          <w:rFonts w:ascii="Palatino Linotype" w:eastAsia="Palatino Linotype" w:hAnsi="Palatino Linotype" w:cs="Palatino Linotype"/>
          <w:sz w:val="24"/>
          <w:szCs w:val="24"/>
        </w:rPr>
        <w:t xml:space="preserve"> de los recursos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98686D">
        <w:rPr>
          <w:rFonts w:ascii="Palatino Linotype" w:eastAsia="Palatino Linotype" w:hAnsi="Palatino Linotype" w:cs="Palatino Linotype"/>
          <w:b/>
          <w:sz w:val="24"/>
          <w:szCs w:val="24"/>
        </w:rPr>
        <w:t>EL</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SAIMEX</w:t>
      </w:r>
      <w:r w:rsidRPr="0098686D">
        <w:rPr>
          <w:rFonts w:ascii="Palatino Linotype" w:eastAsia="Palatino Linotype" w:hAnsi="Palatino Linotype" w:cs="Palatino Linotype"/>
          <w:sz w:val="24"/>
          <w:szCs w:val="24"/>
        </w:rPr>
        <w:t>.</w:t>
      </w:r>
    </w:p>
    <w:p w:rsidR="00E74020" w:rsidRPr="0098686D" w:rsidRDefault="00E74020"/>
    <w:p w:rsidR="00E74020" w:rsidRPr="0098686D" w:rsidRDefault="00164A65">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Finalmente, resulta procedente la interposición de los recursos, según lo aducido por </w:t>
      </w:r>
      <w:r w:rsidR="00A3622B" w:rsidRPr="0098686D">
        <w:rPr>
          <w:rFonts w:ascii="Palatino Linotype" w:eastAsia="Palatino Linotype" w:hAnsi="Palatino Linotype" w:cs="Palatino Linotype"/>
          <w:b/>
          <w:sz w:val="24"/>
          <w:szCs w:val="24"/>
        </w:rPr>
        <w:t>LA PARTE</w:t>
      </w:r>
      <w:r w:rsidR="00A3622B"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RECURRENTE</w:t>
      </w:r>
      <w:r w:rsidRPr="0098686D">
        <w:rPr>
          <w:rFonts w:ascii="Palatino Linotype" w:eastAsia="Palatino Linotype" w:hAnsi="Palatino Linotype" w:cs="Palatino Linotype"/>
          <w:sz w:val="24"/>
          <w:szCs w:val="24"/>
        </w:rPr>
        <w:t xml:space="preserve"> en sus razones o motivos de inconformidad, de ac</w:t>
      </w:r>
      <w:r w:rsidR="00A3622B" w:rsidRPr="0098686D">
        <w:rPr>
          <w:rFonts w:ascii="Palatino Linotype" w:eastAsia="Palatino Linotype" w:hAnsi="Palatino Linotype" w:cs="Palatino Linotype"/>
          <w:sz w:val="24"/>
          <w:szCs w:val="24"/>
        </w:rPr>
        <w:t>uerdo al artículo 179, fracción I</w:t>
      </w:r>
      <w:r w:rsidRPr="0098686D">
        <w:rPr>
          <w:rFonts w:ascii="Palatino Linotype" w:eastAsia="Palatino Linotype" w:hAnsi="Palatino Linotype" w:cs="Palatino Linotype"/>
          <w:sz w:val="24"/>
          <w:szCs w:val="24"/>
        </w:rPr>
        <w:t>V de la Ley de Transparencia y Acceso a la Información Pública del Estado de México y Municipios; que a la letra dice:</w:t>
      </w:r>
    </w:p>
    <w:p w:rsidR="00E74020" w:rsidRPr="0098686D" w:rsidRDefault="00E74020">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E74020" w:rsidRPr="0098686D" w:rsidRDefault="00164A6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8686D">
        <w:rPr>
          <w:rFonts w:ascii="Palatino Linotype" w:eastAsia="Palatino Linotype" w:hAnsi="Palatino Linotype" w:cs="Palatino Linotype"/>
          <w:b/>
          <w:i/>
        </w:rPr>
        <w:t>“Artículo 179</w:t>
      </w:r>
      <w:r w:rsidRPr="0098686D">
        <w:rPr>
          <w:rFonts w:ascii="Palatino Linotype" w:eastAsia="Palatino Linotype" w:hAnsi="Palatino Linotype" w:cs="Palatino Linotype"/>
          <w:i/>
        </w:rPr>
        <w:t xml:space="preserve">. </w:t>
      </w:r>
      <w:r w:rsidRPr="0098686D">
        <w:rPr>
          <w:rFonts w:ascii="Palatino Linotype" w:eastAsia="Palatino Linotype" w:hAnsi="Palatino Linotype" w:cs="Palatino Linotype"/>
          <w:b/>
          <w:i/>
        </w:rPr>
        <w:t>El recurso de revisión</w:t>
      </w:r>
      <w:r w:rsidRPr="0098686D">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98686D">
        <w:rPr>
          <w:rFonts w:ascii="Palatino Linotype" w:eastAsia="Palatino Linotype" w:hAnsi="Palatino Linotype" w:cs="Palatino Linotype"/>
          <w:b/>
          <w:i/>
        </w:rPr>
        <w:t>, y procederá en contra de las siguientes causas</w:t>
      </w:r>
      <w:r w:rsidRPr="0098686D">
        <w:rPr>
          <w:rFonts w:ascii="Palatino Linotype" w:eastAsia="Palatino Linotype" w:hAnsi="Palatino Linotype" w:cs="Palatino Linotype"/>
          <w:i/>
        </w:rPr>
        <w:t>:</w:t>
      </w:r>
    </w:p>
    <w:p w:rsidR="00E74020" w:rsidRPr="0098686D" w:rsidRDefault="00164A6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 (…)</w:t>
      </w:r>
    </w:p>
    <w:p w:rsidR="00E74020" w:rsidRPr="0098686D" w:rsidRDefault="00164A65">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98686D">
        <w:rPr>
          <w:rFonts w:ascii="Palatino Linotype" w:eastAsia="Palatino Linotype" w:hAnsi="Palatino Linotype" w:cs="Palatino Linotype"/>
          <w:i/>
        </w:rPr>
        <w:t>IV. La declaración de incompetencia por el sujeto obligado;”</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ind w:right="-234"/>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TERCERO. MATERIA DE LA REVISIÓN. </w:t>
      </w:r>
      <w:r w:rsidRPr="0098686D">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w:t>
      </w:r>
      <w:r w:rsidRPr="0098686D">
        <w:rPr>
          <w:rFonts w:ascii="Palatino Linotype" w:eastAsia="Palatino Linotype" w:hAnsi="Palatino Linotype" w:cs="Palatino Linotype"/>
          <w:sz w:val="24"/>
          <w:szCs w:val="24"/>
        </w:rPr>
        <w:lastRenderedPageBreak/>
        <w:t xml:space="preserve">pronunciará será: verificar si la respuesta e informe justificado otorgado por 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es adecuada y suficiente para satisfacer el derecho de acceso a la información pública de </w:t>
      </w:r>
      <w:r w:rsidRPr="0098686D">
        <w:rPr>
          <w:rFonts w:ascii="Palatino Linotype" w:eastAsia="Palatino Linotype" w:hAnsi="Palatino Linotype" w:cs="Palatino Linotype"/>
          <w:b/>
          <w:sz w:val="24"/>
          <w:szCs w:val="24"/>
        </w:rPr>
        <w:t>LA PARTE</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RECURRENTE</w:t>
      </w:r>
      <w:r w:rsidRPr="0098686D">
        <w:rPr>
          <w:rFonts w:ascii="Palatino Linotype" w:eastAsia="Palatino Linotype" w:hAnsi="Palatino Linotype" w:cs="Palatino Linotype"/>
          <w:sz w:val="24"/>
          <w:szCs w:val="24"/>
        </w:rPr>
        <w:t>, o en su defecto, en caso de ser procedente, ordenar la entrega de información oportuna.</w:t>
      </w:r>
    </w:p>
    <w:p w:rsidR="005E7DAB" w:rsidRPr="0098686D" w:rsidRDefault="005E7DAB">
      <w:pPr>
        <w:spacing w:after="0" w:line="360" w:lineRule="auto"/>
        <w:ind w:right="-234"/>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CUARTO. ESTUDIO Y RESOLUCIÓN DEL ASUNTO.  </w:t>
      </w:r>
      <w:r w:rsidRPr="0098686D">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tabs>
          <w:tab w:val="left" w:pos="709"/>
        </w:tabs>
        <w:spacing w:after="0" w:line="276" w:lineRule="auto"/>
        <w:ind w:left="851" w:right="850"/>
        <w:jc w:val="both"/>
        <w:rPr>
          <w:rFonts w:ascii="Palatino Linotype" w:eastAsia="Palatino Linotype" w:hAnsi="Palatino Linotype" w:cs="Palatino Linotype"/>
          <w:i/>
        </w:rPr>
      </w:pPr>
      <w:r w:rsidRPr="0098686D">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8686D">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E74020" w:rsidRPr="0098686D" w:rsidRDefault="00164A65">
      <w:pPr>
        <w:tabs>
          <w:tab w:val="left" w:pos="709"/>
        </w:tabs>
        <w:spacing w:line="276" w:lineRule="auto"/>
        <w:ind w:left="851" w:right="850"/>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E74020" w:rsidRPr="0098686D" w:rsidRDefault="00164A65">
      <w:pPr>
        <w:tabs>
          <w:tab w:val="left" w:pos="709"/>
        </w:tabs>
        <w:spacing w:line="276" w:lineRule="auto"/>
        <w:ind w:left="851" w:right="850"/>
        <w:jc w:val="both"/>
        <w:rPr>
          <w:rFonts w:ascii="Palatino Linotype" w:eastAsia="Palatino Linotype" w:hAnsi="Palatino Linotype" w:cs="Palatino Linotype"/>
          <w:i/>
        </w:rPr>
      </w:pPr>
      <w:r w:rsidRPr="0098686D">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con los principios de universalidad, </w:t>
      </w:r>
      <w:r w:rsidRPr="0098686D">
        <w:rPr>
          <w:rFonts w:ascii="Palatino Linotype" w:eastAsia="Palatino Linotype" w:hAnsi="Palatino Linotype" w:cs="Palatino Linotype"/>
          <w:b/>
          <w:i/>
          <w:u w:val="single"/>
        </w:rPr>
        <w:lastRenderedPageBreak/>
        <w:t>interdependencia, indivisibilidad y progresividad.</w:t>
      </w:r>
      <w:r w:rsidRPr="0098686D">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E74020" w:rsidRPr="0098686D" w:rsidRDefault="00164A65">
      <w:pPr>
        <w:tabs>
          <w:tab w:val="left" w:pos="709"/>
        </w:tabs>
        <w:ind w:left="851" w:right="850"/>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p>
    <w:p w:rsidR="00E74020" w:rsidRPr="0098686D" w:rsidRDefault="00164A65">
      <w:pPr>
        <w:ind w:left="851" w:right="901"/>
        <w:jc w:val="both"/>
        <w:rPr>
          <w:rFonts w:ascii="Palatino Linotype" w:eastAsia="Palatino Linotype" w:hAnsi="Palatino Linotype" w:cs="Palatino Linotype"/>
          <w:i/>
        </w:rPr>
      </w:pPr>
      <w:r w:rsidRPr="0098686D">
        <w:rPr>
          <w:rFonts w:ascii="Palatino Linotype" w:eastAsia="Palatino Linotype" w:hAnsi="Palatino Linotype" w:cs="Palatino Linotype"/>
          <w:b/>
          <w:i/>
        </w:rPr>
        <w:t>“Artículo 6o.</w:t>
      </w:r>
    </w:p>
    <w:p w:rsidR="00E74020" w:rsidRPr="0098686D" w:rsidRDefault="00164A65">
      <w:pPr>
        <w:ind w:left="851" w:right="901"/>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p>
    <w:p w:rsidR="00E74020" w:rsidRPr="0098686D" w:rsidRDefault="00164A65">
      <w:pPr>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A. Para el ejercicio del derecho de acceso a la información, la Federación y </w:t>
      </w:r>
      <w:r w:rsidRPr="0098686D">
        <w:rPr>
          <w:rFonts w:ascii="Palatino Linotype" w:eastAsia="Palatino Linotype" w:hAnsi="Palatino Linotype" w:cs="Palatino Linotype"/>
          <w:b/>
          <w:i/>
          <w:u w:val="single"/>
        </w:rPr>
        <w:t>las entidades federativas</w:t>
      </w:r>
      <w:r w:rsidRPr="0098686D">
        <w:rPr>
          <w:rFonts w:ascii="Palatino Linotype" w:eastAsia="Palatino Linotype" w:hAnsi="Palatino Linotype" w:cs="Palatino Linotype"/>
          <w:b/>
          <w:i/>
        </w:rPr>
        <w:t>,</w:t>
      </w:r>
      <w:r w:rsidRPr="0098686D">
        <w:rPr>
          <w:rFonts w:ascii="Palatino Linotype" w:eastAsia="Palatino Linotype" w:hAnsi="Palatino Linotype" w:cs="Palatino Linotype"/>
          <w:i/>
        </w:rPr>
        <w:t xml:space="preserve"> en el ámbito de sus respectivas competencias, se regirán por los siguientes principios y bases:</w:t>
      </w:r>
    </w:p>
    <w:p w:rsidR="00E74020" w:rsidRPr="0098686D" w:rsidRDefault="00164A65">
      <w:pPr>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i/>
        </w:rPr>
        <w:t> </w:t>
      </w:r>
    </w:p>
    <w:p w:rsidR="00E74020" w:rsidRPr="0098686D" w:rsidRDefault="00164A65">
      <w:pPr>
        <w:spacing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I. </w:t>
      </w:r>
      <w:r w:rsidRPr="0098686D">
        <w:rPr>
          <w:rFonts w:ascii="Palatino Linotype" w:eastAsia="Palatino Linotype" w:hAnsi="Palatino Linotype" w:cs="Palatino Linotype"/>
          <w:b/>
          <w:i/>
          <w:u w:val="single"/>
        </w:rPr>
        <w:t>Toda la información en posesión de cualquier autoridad, entidad, órgano y organismo de los Poderes</w:t>
      </w:r>
      <w:r w:rsidRPr="0098686D">
        <w:rPr>
          <w:rFonts w:ascii="Palatino Linotype" w:eastAsia="Palatino Linotype" w:hAnsi="Palatino Linotype" w:cs="Palatino Linotype"/>
          <w:i/>
        </w:rPr>
        <w:t xml:space="preserve"> Ejecutivo, Legislativo </w:t>
      </w:r>
      <w:r w:rsidRPr="0098686D">
        <w:rPr>
          <w:rFonts w:ascii="Palatino Linotype" w:eastAsia="Palatino Linotype" w:hAnsi="Palatino Linotype" w:cs="Palatino Linotype"/>
          <w:b/>
          <w:i/>
          <w:u w:val="single"/>
        </w:rPr>
        <w:t>y Judicial</w:t>
      </w:r>
      <w:r w:rsidRPr="0098686D">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8686D">
        <w:rPr>
          <w:rFonts w:ascii="Palatino Linotype" w:eastAsia="Palatino Linotype" w:hAnsi="Palatino Linotype" w:cs="Palatino Linotype"/>
          <w:b/>
          <w:i/>
        </w:rPr>
        <w:t>es pública y sólo podrá ser reservada temporalmente por razones de interés público y seguridad nacional,</w:t>
      </w:r>
      <w:r w:rsidRPr="0098686D">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4020" w:rsidRPr="0098686D" w:rsidRDefault="00164A65">
      <w:pPr>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i/>
        </w:rPr>
        <w:t> </w:t>
      </w:r>
    </w:p>
    <w:p w:rsidR="00E74020" w:rsidRPr="0098686D" w:rsidRDefault="00164A65">
      <w:pPr>
        <w:spacing w:line="276" w:lineRule="auto"/>
        <w:ind w:left="851" w:right="851"/>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E74020" w:rsidRPr="0098686D" w:rsidRDefault="00164A65">
      <w:pPr>
        <w:spacing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i/>
        </w:rPr>
        <w:t> </w:t>
      </w:r>
    </w:p>
    <w:p w:rsidR="00E74020" w:rsidRPr="0098686D" w:rsidRDefault="00164A65" w:rsidP="00A3622B">
      <w:pPr>
        <w:spacing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III. </w:t>
      </w:r>
      <w:r w:rsidRPr="0098686D">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8686D">
        <w:rPr>
          <w:rFonts w:ascii="Palatino Linotype" w:eastAsia="Palatino Linotype" w:hAnsi="Palatino Linotype" w:cs="Palatino Linotype"/>
          <w:i/>
        </w:rPr>
        <w:t xml:space="preserve"> a sus datos personales o a la rectificación de éstos.</w:t>
      </w:r>
    </w:p>
    <w:p w:rsidR="00E74020" w:rsidRPr="0098686D" w:rsidRDefault="00164A65">
      <w:pPr>
        <w:spacing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lastRenderedPageBreak/>
        <w:t xml:space="preserve">IV. </w:t>
      </w:r>
      <w:r w:rsidRPr="0098686D">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E74020" w:rsidRPr="0098686D" w:rsidRDefault="00E74020">
      <w:pPr>
        <w:spacing w:line="276" w:lineRule="auto"/>
        <w:ind w:left="851" w:right="851"/>
        <w:jc w:val="both"/>
        <w:rPr>
          <w:rFonts w:ascii="Palatino Linotype" w:eastAsia="Palatino Linotype" w:hAnsi="Palatino Linotype" w:cs="Palatino Linotype"/>
          <w:i/>
        </w:rPr>
      </w:pPr>
    </w:p>
    <w:p w:rsidR="00E74020" w:rsidRPr="0098686D" w:rsidRDefault="00164A65">
      <w:pPr>
        <w:spacing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V. </w:t>
      </w:r>
      <w:r w:rsidRPr="0098686D">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74020" w:rsidRPr="0098686D" w:rsidRDefault="00164A65">
      <w:pPr>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i/>
        </w:rPr>
        <w:t> </w:t>
      </w:r>
    </w:p>
    <w:p w:rsidR="00E74020" w:rsidRPr="0098686D" w:rsidRDefault="00164A65">
      <w:pPr>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VI. </w:t>
      </w:r>
      <w:r w:rsidRPr="0098686D">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E74020" w:rsidRPr="0098686D" w:rsidRDefault="00164A65">
      <w:pPr>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i/>
        </w:rPr>
        <w:t> </w:t>
      </w:r>
    </w:p>
    <w:p w:rsidR="00E74020" w:rsidRPr="0098686D" w:rsidRDefault="00164A65">
      <w:pPr>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VII. </w:t>
      </w:r>
      <w:r w:rsidRPr="0098686D">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E00C50" w:rsidRPr="0098686D" w:rsidRDefault="00E00C50">
      <w:pPr>
        <w:tabs>
          <w:tab w:val="left" w:pos="709"/>
        </w:tabs>
        <w:spacing w:before="160" w:after="0" w:line="360" w:lineRule="auto"/>
        <w:jc w:val="both"/>
        <w:rPr>
          <w:rFonts w:ascii="Palatino Linotype" w:eastAsia="Palatino Linotype" w:hAnsi="Palatino Linotype" w:cs="Palatino Linotype"/>
          <w:sz w:val="24"/>
          <w:szCs w:val="24"/>
        </w:rPr>
      </w:pPr>
    </w:p>
    <w:p w:rsidR="00E74020" w:rsidRPr="0098686D" w:rsidRDefault="00164A65">
      <w:pPr>
        <w:tabs>
          <w:tab w:val="left" w:pos="709"/>
        </w:tabs>
        <w:spacing w:before="160"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lastRenderedPageBreak/>
        <w:t xml:space="preserve">En primer lugar, es conveniente analizar si la respuesta del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rsidP="005E7DAB">
      <w:pPr>
        <w:spacing w:after="0"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r w:rsidRPr="0098686D">
        <w:rPr>
          <w:rFonts w:ascii="Palatino Linotype" w:eastAsia="Palatino Linotype" w:hAnsi="Palatino Linotype" w:cs="Palatino Linotype"/>
          <w:b/>
          <w:i/>
        </w:rPr>
        <w:t>Artículo 4.</w:t>
      </w:r>
      <w:r w:rsidRPr="0098686D">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E74020" w:rsidRPr="0098686D" w:rsidRDefault="00164A65" w:rsidP="005E7DAB">
      <w:pPr>
        <w:spacing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8686D">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E74020" w:rsidRPr="0098686D" w:rsidRDefault="00164A65" w:rsidP="005E7DAB">
      <w:pPr>
        <w:spacing w:after="0"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Los sujetos obligados deben poner en práctica, políticas y programas de acceso a la información que se apeguen a criterios de publicidad, </w:t>
      </w:r>
      <w:r w:rsidRPr="0098686D">
        <w:rPr>
          <w:rFonts w:ascii="Palatino Linotype" w:eastAsia="Palatino Linotype" w:hAnsi="Palatino Linotype" w:cs="Palatino Linotype"/>
          <w:b/>
          <w:i/>
        </w:rPr>
        <w:lastRenderedPageBreak/>
        <w:t>veracidad, oportunidad, precisión y suficiencia en beneficio de los solicitantes</w:t>
      </w:r>
      <w:r w:rsidRPr="0098686D">
        <w:rPr>
          <w:rFonts w:ascii="Palatino Linotype" w:eastAsia="Palatino Linotype" w:hAnsi="Palatino Linotype" w:cs="Palatino Linotype"/>
          <w:i/>
        </w:rPr>
        <w:t>.”(Sic)</w:t>
      </w:r>
    </w:p>
    <w:p w:rsidR="00E74020" w:rsidRPr="0098686D" w:rsidRDefault="00E74020">
      <w:pPr>
        <w:spacing w:after="0" w:line="360" w:lineRule="auto"/>
        <w:ind w:left="709" w:right="760"/>
        <w:jc w:val="both"/>
        <w:rPr>
          <w:rFonts w:ascii="Palatino Linotype" w:eastAsia="Palatino Linotype" w:hAnsi="Palatino Linotype" w:cs="Palatino Linotype"/>
          <w:i/>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rsidP="005E7DAB">
      <w:pPr>
        <w:tabs>
          <w:tab w:val="left" w:pos="7938"/>
        </w:tabs>
        <w:spacing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r w:rsidRPr="0098686D">
        <w:rPr>
          <w:rFonts w:ascii="Palatino Linotype" w:eastAsia="Palatino Linotype" w:hAnsi="Palatino Linotype" w:cs="Palatino Linotype"/>
          <w:b/>
          <w:i/>
        </w:rPr>
        <w:t>Artículo12.-</w:t>
      </w:r>
      <w:r w:rsidRPr="0098686D">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E74020" w:rsidRPr="0098686D" w:rsidRDefault="00164A65" w:rsidP="005E7DAB">
      <w:pPr>
        <w:tabs>
          <w:tab w:val="left" w:pos="7938"/>
        </w:tabs>
        <w:spacing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8686D">
        <w:rPr>
          <w:rFonts w:ascii="Palatino Linotype" w:eastAsia="Palatino Linotype" w:hAnsi="Palatino Linotype" w:cs="Palatino Linotype"/>
          <w:i/>
        </w:rPr>
        <w:t xml:space="preserve">. </w:t>
      </w:r>
      <w:r w:rsidRPr="0098686D">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98686D">
        <w:rPr>
          <w:rFonts w:ascii="Palatino Linotype" w:eastAsia="Palatino Linotype" w:hAnsi="Palatino Linotype" w:cs="Palatino Linotype"/>
          <w:sz w:val="24"/>
          <w:szCs w:val="24"/>
        </w:rPr>
        <w:lastRenderedPageBreak/>
        <w:t>que es deber de los Sujetos Obligados, garantizar el Derecho de Acceso a la Información Pública</w:t>
      </w:r>
      <w:r w:rsidR="00E00C50" w:rsidRPr="0098686D">
        <w:rPr>
          <w:rFonts w:ascii="Palatino Linotype" w:eastAsia="Palatino Linotype" w:hAnsi="Palatino Linotype" w:cs="Palatino Linotype"/>
          <w:sz w:val="24"/>
          <w:szCs w:val="24"/>
        </w:rPr>
        <w:t>.</w:t>
      </w:r>
      <w:r w:rsidRPr="0098686D">
        <w:rPr>
          <w:rFonts w:ascii="Palatino Linotype" w:eastAsia="Palatino Linotype" w:hAnsi="Palatino Linotype" w:cs="Palatino Linotype"/>
          <w:sz w:val="24"/>
          <w:szCs w:val="24"/>
        </w:rPr>
        <w:t xml:space="preserve"> </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ind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E74020" w:rsidRPr="0098686D" w:rsidRDefault="00E74020">
      <w:pPr>
        <w:spacing w:after="0" w:line="360" w:lineRule="auto"/>
        <w:ind w:right="49"/>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t>“Artículo 18.</w:t>
      </w:r>
      <w:r w:rsidRPr="0098686D">
        <w:rPr>
          <w:rFonts w:ascii="Palatino Linotype" w:eastAsia="Palatino Linotype" w:hAnsi="Palatino Linotype" w:cs="Palatino Linotype"/>
          <w:i/>
        </w:rPr>
        <w:t xml:space="preserve"> </w:t>
      </w:r>
      <w:r w:rsidRPr="0098686D">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98686D">
        <w:rPr>
          <w:rFonts w:ascii="Palatino Linotype" w:eastAsia="Palatino Linotype" w:hAnsi="Palatino Linotype" w:cs="Palatino Linotype"/>
          <w:i/>
        </w:rPr>
        <w:t xml:space="preserve"> y reutilización de la información que generen.</w:t>
      </w:r>
    </w:p>
    <w:p w:rsidR="00E74020" w:rsidRPr="0098686D" w:rsidRDefault="00E74020">
      <w:pPr>
        <w:spacing w:line="276" w:lineRule="auto"/>
        <w:ind w:left="851" w:right="851"/>
        <w:jc w:val="both"/>
        <w:rPr>
          <w:rFonts w:ascii="Palatino Linotype" w:eastAsia="Palatino Linotype" w:hAnsi="Palatino Linotype" w:cs="Palatino Linotype"/>
          <w:b/>
          <w:i/>
        </w:rPr>
      </w:pPr>
    </w:p>
    <w:p w:rsidR="00E74020" w:rsidRPr="0098686D" w:rsidRDefault="00164A65">
      <w:pPr>
        <w:spacing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Artículo 19. </w:t>
      </w:r>
      <w:r w:rsidRPr="0098686D">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98686D">
        <w:rPr>
          <w:rFonts w:ascii="Palatino Linotype" w:eastAsia="Palatino Linotype" w:hAnsi="Palatino Linotype" w:cs="Palatino Linotype"/>
          <w:i/>
        </w:rPr>
        <w:t>.</w:t>
      </w:r>
    </w:p>
    <w:p w:rsidR="00E74020" w:rsidRPr="0098686D" w:rsidRDefault="00E74020">
      <w:pPr>
        <w:spacing w:line="276" w:lineRule="auto"/>
        <w:ind w:left="851" w:right="851"/>
        <w:jc w:val="both"/>
        <w:rPr>
          <w:rFonts w:ascii="Palatino Linotype" w:eastAsia="Palatino Linotype" w:hAnsi="Palatino Linotype" w:cs="Palatino Linotype"/>
          <w:i/>
        </w:rPr>
      </w:pPr>
    </w:p>
    <w:p w:rsidR="00E74020" w:rsidRPr="0098686D" w:rsidRDefault="00164A65">
      <w:pPr>
        <w:spacing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i/>
        </w:rPr>
        <w:lastRenderedPageBreak/>
        <w:t xml:space="preserve">En los casos en que ciertas facultades, competencias o funciones no se hayan ejercido, se debe motivar la respuesta en función de las causas que motiven tal circunstancia. </w:t>
      </w:r>
    </w:p>
    <w:p w:rsidR="00E74020" w:rsidRPr="0098686D" w:rsidRDefault="00164A65">
      <w:pPr>
        <w:spacing w:after="0" w:line="276" w:lineRule="auto"/>
        <w:ind w:left="851" w:right="851"/>
        <w:jc w:val="both"/>
        <w:rPr>
          <w:rFonts w:ascii="Palatino Linotype" w:eastAsia="Palatino Linotype" w:hAnsi="Palatino Linotype" w:cs="Palatino Linotype"/>
          <w:i/>
        </w:rPr>
      </w:pPr>
      <w:r w:rsidRPr="0098686D">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E74020" w:rsidRPr="0098686D" w:rsidRDefault="00E74020">
      <w:pPr>
        <w:spacing w:after="0" w:line="360" w:lineRule="auto"/>
        <w:ind w:left="851" w:right="851"/>
        <w:jc w:val="both"/>
        <w:rPr>
          <w:rFonts w:ascii="Palatino Linotype" w:eastAsia="Palatino Linotype" w:hAnsi="Palatino Linotype" w:cs="Palatino Linotype"/>
          <w:i/>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E00C50" w:rsidRPr="0098686D" w:rsidRDefault="00E00C5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w:t>
      </w:r>
      <w:r w:rsidRPr="0098686D">
        <w:rPr>
          <w:rFonts w:ascii="Palatino Linotype" w:eastAsia="Palatino Linotype" w:hAnsi="Palatino Linotype" w:cs="Palatino Linotype"/>
          <w:sz w:val="24"/>
          <w:szCs w:val="24"/>
        </w:rPr>
        <w:lastRenderedPageBreak/>
        <w:t xml:space="preserve">podrán estar en cualquier medio, sea escrito, impreso, sonoro, visual, electrónico, informático u holográfico de conformidad con el artículo 3, fracción XI de la Ley de la materia, el cual señala lo siguiente: </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line="276" w:lineRule="auto"/>
        <w:ind w:left="851" w:right="899"/>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r w:rsidRPr="0098686D">
        <w:rPr>
          <w:rFonts w:ascii="Palatino Linotype" w:eastAsia="Palatino Linotype" w:hAnsi="Palatino Linotype" w:cs="Palatino Linotype"/>
          <w:b/>
          <w:i/>
        </w:rPr>
        <w:t xml:space="preserve">Artículo 3. </w:t>
      </w:r>
      <w:r w:rsidRPr="0098686D">
        <w:rPr>
          <w:rFonts w:ascii="Palatino Linotype" w:eastAsia="Palatino Linotype" w:hAnsi="Palatino Linotype" w:cs="Palatino Linotype"/>
          <w:i/>
        </w:rPr>
        <w:t>Para los efectos de la presente Ley se entenderá por:</w:t>
      </w:r>
    </w:p>
    <w:p w:rsidR="00E74020" w:rsidRPr="0098686D" w:rsidRDefault="00164A65">
      <w:pPr>
        <w:spacing w:line="276" w:lineRule="auto"/>
        <w:ind w:left="851" w:right="899"/>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p>
    <w:p w:rsidR="00E74020" w:rsidRPr="0098686D" w:rsidRDefault="00164A65">
      <w:pPr>
        <w:spacing w:after="0" w:line="276" w:lineRule="auto"/>
        <w:ind w:left="851" w:right="899"/>
        <w:jc w:val="both"/>
        <w:rPr>
          <w:rFonts w:ascii="Palatino Linotype" w:eastAsia="Palatino Linotype" w:hAnsi="Palatino Linotype" w:cs="Palatino Linotype"/>
          <w:i/>
        </w:rPr>
      </w:pPr>
      <w:r w:rsidRPr="0098686D">
        <w:rPr>
          <w:rFonts w:ascii="Palatino Linotype" w:eastAsia="Palatino Linotype" w:hAnsi="Palatino Linotype" w:cs="Palatino Linotype"/>
          <w:b/>
          <w:i/>
        </w:rPr>
        <w:t>XI. Documento:</w:t>
      </w:r>
      <w:r w:rsidRPr="0098686D">
        <w:rPr>
          <w:rFonts w:ascii="Palatino Linotype" w:eastAsia="Palatino Linotype" w:hAnsi="Palatino Linotype" w:cs="Palatino Linotype"/>
          <w:i/>
        </w:rPr>
        <w:t xml:space="preserve"> Los expedientes, reportes, estudios, actas</w:t>
      </w:r>
      <w:r w:rsidRPr="0098686D">
        <w:rPr>
          <w:rFonts w:ascii="Palatino Linotype" w:eastAsia="Palatino Linotype" w:hAnsi="Palatino Linotype" w:cs="Palatino Linotype"/>
          <w:b/>
          <w:i/>
        </w:rPr>
        <w:t>,</w:t>
      </w:r>
      <w:r w:rsidRPr="0098686D">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E74020" w:rsidRPr="0098686D" w:rsidRDefault="00E74020">
      <w:pPr>
        <w:spacing w:after="0" w:line="360" w:lineRule="auto"/>
        <w:ind w:left="851" w:right="899"/>
        <w:jc w:val="both"/>
        <w:rPr>
          <w:rFonts w:ascii="Palatino Linotype" w:eastAsia="Palatino Linotype" w:hAnsi="Palatino Linotype" w:cs="Palatino Linotype"/>
          <w:i/>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E00C50" w:rsidRPr="0098686D" w:rsidRDefault="00E00C5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276" w:lineRule="auto"/>
        <w:ind w:left="851" w:right="899"/>
        <w:jc w:val="both"/>
        <w:rPr>
          <w:rFonts w:ascii="Palatino Linotype" w:eastAsia="Palatino Linotype" w:hAnsi="Palatino Linotype" w:cs="Palatino Linotype"/>
          <w:b/>
          <w:i/>
        </w:rPr>
      </w:pPr>
      <w:r w:rsidRPr="0098686D">
        <w:rPr>
          <w:rFonts w:ascii="Palatino Linotype" w:eastAsia="Palatino Linotype" w:hAnsi="Palatino Linotype" w:cs="Palatino Linotype"/>
          <w:b/>
        </w:rPr>
        <w:t>“</w:t>
      </w:r>
      <w:r w:rsidRPr="0098686D">
        <w:rPr>
          <w:rFonts w:ascii="Palatino Linotype" w:eastAsia="Palatino Linotype" w:hAnsi="Palatino Linotype" w:cs="Palatino Linotype"/>
          <w:b/>
          <w:i/>
        </w:rPr>
        <w:t>CRITERIO 0002-11</w:t>
      </w:r>
    </w:p>
    <w:p w:rsidR="00E74020" w:rsidRPr="0098686D" w:rsidRDefault="00164A65">
      <w:pPr>
        <w:spacing w:line="276" w:lineRule="auto"/>
        <w:ind w:left="851" w:right="899"/>
        <w:jc w:val="both"/>
        <w:rPr>
          <w:rFonts w:ascii="Palatino Linotype" w:eastAsia="Palatino Linotype" w:hAnsi="Palatino Linotype" w:cs="Palatino Linotype"/>
          <w:i/>
        </w:rPr>
      </w:pPr>
      <w:r w:rsidRPr="0098686D">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98686D">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w:t>
      </w:r>
      <w:r w:rsidRPr="0098686D">
        <w:rPr>
          <w:rFonts w:ascii="Palatino Linotype" w:eastAsia="Palatino Linotype" w:hAnsi="Palatino Linotype" w:cs="Palatino Linotype"/>
          <w:i/>
        </w:rPr>
        <w:lastRenderedPageBreak/>
        <w:t>registros y documentos públicos, administrados, generados o en posesión de los órganos u organismos públicos, en virtud del ejercicio de sus funciones de derecho público, sin importar su fuente, soporte o fecha de elaboración.</w:t>
      </w:r>
    </w:p>
    <w:p w:rsidR="00E74020" w:rsidRPr="0098686D" w:rsidRDefault="00164A65">
      <w:pPr>
        <w:spacing w:line="276" w:lineRule="auto"/>
        <w:ind w:left="851" w:right="899"/>
        <w:jc w:val="both"/>
        <w:rPr>
          <w:rFonts w:ascii="Palatino Linotype" w:eastAsia="Palatino Linotype" w:hAnsi="Palatino Linotype" w:cs="Palatino Linotype"/>
          <w:i/>
        </w:rPr>
      </w:pPr>
      <w:r w:rsidRPr="0098686D">
        <w:rPr>
          <w:rFonts w:ascii="Palatino Linotype" w:eastAsia="Palatino Linotype" w:hAnsi="Palatino Linotype" w:cs="Palatino Linotype"/>
          <w:i/>
        </w:rPr>
        <w:t>En consecuencia el acceso a la información se refiere a que se cumplan cualquiera de los siguientes tres supuestos:</w:t>
      </w:r>
    </w:p>
    <w:p w:rsidR="00E74020" w:rsidRPr="0098686D" w:rsidRDefault="00164A65">
      <w:pPr>
        <w:spacing w:line="276" w:lineRule="auto"/>
        <w:ind w:left="851" w:right="899"/>
        <w:jc w:val="both"/>
        <w:rPr>
          <w:rFonts w:ascii="Palatino Linotype" w:eastAsia="Palatino Linotype" w:hAnsi="Palatino Linotype" w:cs="Palatino Linotype"/>
          <w:i/>
        </w:rPr>
      </w:pPr>
      <w:r w:rsidRPr="0098686D">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E74020" w:rsidRPr="0098686D" w:rsidRDefault="00164A65">
      <w:pPr>
        <w:spacing w:line="276" w:lineRule="auto"/>
        <w:ind w:left="851" w:right="899"/>
        <w:jc w:val="both"/>
        <w:rPr>
          <w:rFonts w:ascii="Palatino Linotype" w:eastAsia="Palatino Linotype" w:hAnsi="Palatino Linotype" w:cs="Palatino Linotype"/>
          <w:i/>
        </w:rPr>
      </w:pPr>
      <w:r w:rsidRPr="0098686D">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E74020" w:rsidRPr="0098686D" w:rsidRDefault="00164A65">
      <w:pPr>
        <w:spacing w:after="0" w:line="276" w:lineRule="auto"/>
        <w:ind w:left="851" w:right="899"/>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5E7DAB" w:rsidRPr="0098686D" w:rsidRDefault="005E7DAB">
      <w:pPr>
        <w:spacing w:after="0" w:line="276" w:lineRule="auto"/>
        <w:ind w:left="851" w:right="899"/>
        <w:jc w:val="both"/>
        <w:rPr>
          <w:rFonts w:ascii="Palatino Linotype" w:eastAsia="Palatino Linotype" w:hAnsi="Palatino Linotype" w:cs="Palatino Linotype"/>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De ahí que 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8686D">
        <w:rPr>
          <w:rFonts w:ascii="Palatino Linotype" w:eastAsia="Palatino Linotype" w:hAnsi="Palatino Linotype" w:cs="Palatino Linotype"/>
          <w:sz w:val="24"/>
          <w:szCs w:val="24"/>
          <w:vertAlign w:val="superscript"/>
        </w:rPr>
        <w:footnoteReference w:id="1"/>
      </w:r>
      <w:r w:rsidRPr="0098686D">
        <w:rPr>
          <w:rFonts w:ascii="Palatino Linotype" w:eastAsia="Palatino Linotype" w:hAnsi="Palatino Linotype" w:cs="Palatino Linotype"/>
          <w:sz w:val="24"/>
          <w:szCs w:val="24"/>
        </w:rPr>
        <w:t xml:space="preserve">, así como de interés público, es decir, aquella que resulta relevante o beneficiosa para la sociedad y no simplemente de interés individual, y cuya divulgación resulta útil para que el público comprenda las </w:t>
      </w:r>
      <w:r w:rsidRPr="0098686D">
        <w:rPr>
          <w:rFonts w:ascii="Palatino Linotype" w:eastAsia="Palatino Linotype" w:hAnsi="Palatino Linotype" w:cs="Palatino Linotype"/>
          <w:sz w:val="24"/>
          <w:szCs w:val="24"/>
        </w:rPr>
        <w:lastRenderedPageBreak/>
        <w:t>actividades que llevan a cabo los Sujetos Obligados</w:t>
      </w:r>
      <w:r w:rsidRPr="0098686D">
        <w:rPr>
          <w:rFonts w:ascii="Palatino Linotype" w:eastAsia="Palatino Linotype" w:hAnsi="Palatino Linotype" w:cs="Palatino Linotype"/>
          <w:sz w:val="24"/>
          <w:szCs w:val="24"/>
          <w:vertAlign w:val="superscript"/>
        </w:rPr>
        <w:footnoteReference w:id="2"/>
      </w:r>
      <w:r w:rsidRPr="0098686D">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En este sentido, cabe reiterar que el particular solicitó al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w:t>
      </w:r>
      <w:r w:rsidRPr="0098686D">
        <w:rPr>
          <w:rFonts w:ascii="Palatino Linotype" w:eastAsia="Palatino Linotype" w:hAnsi="Palatino Linotype" w:cs="Palatino Linotype"/>
          <w:b/>
          <w:sz w:val="24"/>
          <w:szCs w:val="24"/>
        </w:rPr>
        <w:t xml:space="preserve"> </w:t>
      </w:r>
      <w:r w:rsidRPr="0098686D">
        <w:rPr>
          <w:rFonts w:ascii="Palatino Linotype" w:eastAsia="Palatino Linotype" w:hAnsi="Palatino Linotype" w:cs="Palatino Linotype"/>
          <w:sz w:val="24"/>
          <w:szCs w:val="24"/>
        </w:rPr>
        <w:t>lo siguiente:</w:t>
      </w:r>
    </w:p>
    <w:p w:rsidR="00E74020" w:rsidRPr="0098686D" w:rsidRDefault="00E74020">
      <w:pPr>
        <w:spacing w:line="360" w:lineRule="auto"/>
        <w:jc w:val="both"/>
        <w:rPr>
          <w:rFonts w:ascii="Palatino Linotype" w:eastAsia="Palatino Linotype" w:hAnsi="Palatino Linotype" w:cs="Palatino Linotype"/>
          <w:sz w:val="24"/>
          <w:szCs w:val="24"/>
        </w:rPr>
      </w:pPr>
    </w:p>
    <w:p w:rsidR="00E74020" w:rsidRPr="0098686D" w:rsidRDefault="00164A6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La cantidad total recaudada y el destino otorgado a los recursos estatales provenientes de las contribuciones que realizaron los desarrolladores inmobiliarios por concepto de aportaciones de mejoras para obras de impacto durante los períodos comprendidos del primero de enero al treinta y uno de diciembre del año dos mil tres al año dos mil veintiuno y del primero de enero al veinte de septiembre del año dos mil veintidós.</w:t>
      </w:r>
    </w:p>
    <w:p w:rsidR="00E74020" w:rsidRPr="0098686D" w:rsidRDefault="00E74020">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rsidR="00E74020" w:rsidRPr="0098686D" w:rsidRDefault="00164A6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Si lo recursos fueron entregados o no durante esos años y/o periodo en curso y el monto total a los municipios de Tecámac, Ecatepec, </w:t>
      </w:r>
      <w:proofErr w:type="spellStart"/>
      <w:r w:rsidRPr="0098686D">
        <w:rPr>
          <w:rFonts w:ascii="Palatino Linotype" w:eastAsia="Palatino Linotype" w:hAnsi="Palatino Linotype" w:cs="Palatino Linotype"/>
          <w:sz w:val="24"/>
          <w:szCs w:val="24"/>
        </w:rPr>
        <w:t>Tonanitla</w:t>
      </w:r>
      <w:proofErr w:type="spellEnd"/>
      <w:r w:rsidRPr="0098686D">
        <w:rPr>
          <w:rFonts w:ascii="Palatino Linotype" w:eastAsia="Palatino Linotype" w:hAnsi="Palatino Linotype" w:cs="Palatino Linotype"/>
          <w:sz w:val="24"/>
          <w:szCs w:val="24"/>
        </w:rPr>
        <w:t xml:space="preserve">, Valle De Chalco Solidaridad, </w:t>
      </w:r>
      <w:proofErr w:type="spellStart"/>
      <w:r w:rsidRPr="0098686D">
        <w:rPr>
          <w:rFonts w:ascii="Palatino Linotype" w:eastAsia="Palatino Linotype" w:hAnsi="Palatino Linotype" w:cs="Palatino Linotype"/>
          <w:sz w:val="24"/>
          <w:szCs w:val="24"/>
        </w:rPr>
        <w:t>Soyaniquilpan</w:t>
      </w:r>
      <w:proofErr w:type="spellEnd"/>
      <w:r w:rsidRPr="0098686D">
        <w:rPr>
          <w:rFonts w:ascii="Palatino Linotype" w:eastAsia="Palatino Linotype" w:hAnsi="Palatino Linotype" w:cs="Palatino Linotype"/>
          <w:sz w:val="24"/>
          <w:szCs w:val="24"/>
        </w:rPr>
        <w:t>, Tultitlán, Coacalco, Metepec, Teotihuacán, San Martín de Las Pirámides, Villa del Carbón, Zinacantepec, San José del Rincón, Naucalpan, Atizapán de Zaragoza y Tlalnepantla.</w:t>
      </w:r>
    </w:p>
    <w:p w:rsidR="00E74020" w:rsidRPr="0098686D" w:rsidRDefault="00E74020">
      <w:pPr>
        <w:pBdr>
          <w:top w:val="nil"/>
          <w:left w:val="nil"/>
          <w:bottom w:val="nil"/>
          <w:right w:val="nil"/>
          <w:between w:val="nil"/>
        </w:pBdr>
        <w:spacing w:after="0" w:line="240" w:lineRule="auto"/>
        <w:ind w:left="708"/>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lastRenderedPageBreak/>
        <w:t xml:space="preserve">En respuesta, </w:t>
      </w:r>
      <w:r w:rsidRPr="0098686D">
        <w:rPr>
          <w:rFonts w:ascii="Palatino Linotype" w:eastAsia="Palatino Linotype" w:hAnsi="Palatino Linotype" w:cs="Palatino Linotype"/>
          <w:b/>
          <w:sz w:val="24"/>
          <w:szCs w:val="24"/>
        </w:rPr>
        <w:t>EL</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 xml:space="preserve">SUJETO OBLIGADO, </w:t>
      </w:r>
      <w:r w:rsidRPr="0098686D">
        <w:rPr>
          <w:rFonts w:ascii="Palatino Linotype" w:eastAsia="Palatino Linotype" w:hAnsi="Palatino Linotype" w:cs="Palatino Linotype"/>
          <w:sz w:val="24"/>
          <w:szCs w:val="24"/>
        </w:rPr>
        <w:t xml:space="preserve">por conducto del Subdirector de Normas y Procedimientos, de la Dirección General de Recaudación, mediante el cual menciona que la información puede ser consultada en una liga electrónica, debiendo seleccionar la opción de “cuenta pública” y el año que desea consultar. </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En relación con el destino otorgado a los recursos estatales provenientes de las contribuciones que se realizaron los desarrolladores inmobiliarios, por concepto de aportaciones de  mejora para obras de impacto vial, sugiriendo dirija su solicitud a la Secretaría de Movilidad, ya que es la encargada de dar seguimiento al ingreso y vigilar el comportamiento de las aportaciones de impacto vial. </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bookmarkStart w:id="4" w:name="_heading=h.30j0zll" w:colFirst="0" w:colLast="0"/>
      <w:bookmarkEnd w:id="4"/>
      <w:r w:rsidRPr="0098686D">
        <w:rPr>
          <w:rFonts w:ascii="Palatino Linotype" w:eastAsia="Palatino Linotype" w:hAnsi="Palatino Linotype" w:cs="Palatino Linotype"/>
          <w:sz w:val="24"/>
          <w:szCs w:val="24"/>
        </w:rPr>
        <w:t xml:space="preserve">Cabe precisar que, una vez notificado el recurso de revisión al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remitió su informe justificado en donde, describe las constancias que obran en el </w:t>
      </w:r>
      <w:r w:rsidRPr="0098686D">
        <w:rPr>
          <w:rFonts w:ascii="Palatino Linotype" w:eastAsia="Palatino Linotype" w:hAnsi="Palatino Linotype" w:cs="Palatino Linotype"/>
          <w:b/>
          <w:sz w:val="24"/>
          <w:szCs w:val="24"/>
        </w:rPr>
        <w:t xml:space="preserve">SAIMEX, </w:t>
      </w:r>
      <w:r w:rsidRPr="0098686D">
        <w:rPr>
          <w:rFonts w:ascii="Palatino Linotype" w:eastAsia="Palatino Linotype" w:hAnsi="Palatino Linotype" w:cs="Palatino Linotype"/>
          <w:sz w:val="24"/>
          <w:szCs w:val="24"/>
        </w:rPr>
        <w:t>ratificando en términos generales su respuesta inicial, robusteciéndola con la entrega del Acta del Comité de Transparencia mediante el cual declara la incompetencia de las solicitudes de información</w:t>
      </w:r>
      <w:r w:rsidR="005E7DAB" w:rsidRPr="0098686D">
        <w:rPr>
          <w:rFonts w:ascii="Palatino Linotype" w:eastAsia="Palatino Linotype" w:hAnsi="Palatino Linotype" w:cs="Palatino Linotype"/>
          <w:sz w:val="24"/>
          <w:szCs w:val="24"/>
        </w:rPr>
        <w:t xml:space="preserve"> referente al destino otorgado a los recursos estatales provenientes de las contribuciones que realizaron los desarrolladores inmobiliarios por concepto de aportaciones de mejoras para obras de impacto</w:t>
      </w:r>
      <w:r w:rsidRPr="0098686D">
        <w:rPr>
          <w:rFonts w:ascii="Palatino Linotype" w:eastAsia="Palatino Linotype" w:hAnsi="Palatino Linotype" w:cs="Palatino Linotype"/>
          <w:sz w:val="24"/>
          <w:szCs w:val="24"/>
        </w:rPr>
        <w:t xml:space="preserve">, por lo que corresponde a </w:t>
      </w:r>
      <w:r w:rsidRPr="0098686D">
        <w:rPr>
          <w:rFonts w:ascii="Palatino Linotype" w:eastAsia="Palatino Linotype" w:hAnsi="Palatino Linotype" w:cs="Palatino Linotype"/>
          <w:b/>
          <w:sz w:val="24"/>
          <w:szCs w:val="24"/>
        </w:rPr>
        <w:t>LA PARTE RECURRENTE</w:t>
      </w:r>
      <w:r w:rsidRPr="0098686D">
        <w:rPr>
          <w:rFonts w:ascii="Palatino Linotype" w:eastAsia="Palatino Linotype" w:hAnsi="Palatino Linotype" w:cs="Palatino Linotype"/>
          <w:sz w:val="24"/>
          <w:szCs w:val="24"/>
        </w:rPr>
        <w:t>, ratifica sus razones o motivos de inconformidad.</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tabs>
          <w:tab w:val="left" w:pos="7938"/>
        </w:tabs>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En primera instancia es de señalar que la información requerida el particular la refiere como “concepto de aportaciones de mejoras para obras de impacto”, sin </w:t>
      </w:r>
      <w:r w:rsidRPr="0098686D">
        <w:rPr>
          <w:rFonts w:ascii="Palatino Linotype" w:eastAsia="Palatino Linotype" w:hAnsi="Palatino Linotype" w:cs="Palatino Linotype"/>
          <w:sz w:val="24"/>
          <w:szCs w:val="24"/>
        </w:rPr>
        <w:lastRenderedPageBreak/>
        <w:t xml:space="preserve">embargo, de acuerdo a la respuesta del </w:t>
      </w:r>
      <w:r w:rsidRPr="0098686D">
        <w:rPr>
          <w:rFonts w:ascii="Palatino Linotype" w:eastAsia="Palatino Linotype" w:hAnsi="Palatino Linotype" w:cs="Palatino Linotype"/>
          <w:b/>
          <w:sz w:val="24"/>
          <w:szCs w:val="24"/>
        </w:rPr>
        <w:t xml:space="preserve">SUJETO OBLIGADO </w:t>
      </w:r>
      <w:r w:rsidRPr="0098686D">
        <w:rPr>
          <w:rFonts w:ascii="Palatino Linotype" w:eastAsia="Palatino Linotype" w:hAnsi="Palatino Linotype" w:cs="Palatino Linotype"/>
          <w:sz w:val="24"/>
          <w:szCs w:val="24"/>
        </w:rPr>
        <w:t xml:space="preserve">y a la normatividad aplicable además de que se observa de que no se presentó objeción por </w:t>
      </w:r>
      <w:r w:rsidRPr="0098686D">
        <w:rPr>
          <w:rFonts w:ascii="Palatino Linotype" w:eastAsia="Palatino Linotype" w:hAnsi="Palatino Linotype" w:cs="Palatino Linotype"/>
          <w:b/>
          <w:sz w:val="24"/>
          <w:szCs w:val="24"/>
        </w:rPr>
        <w:t xml:space="preserve">LA PARTE RECURRENTE </w:t>
      </w:r>
      <w:r w:rsidRPr="0098686D">
        <w:rPr>
          <w:rFonts w:ascii="Palatino Linotype" w:eastAsia="Palatino Linotype" w:hAnsi="Palatino Linotype" w:cs="Palatino Linotype"/>
          <w:sz w:val="24"/>
          <w:szCs w:val="24"/>
        </w:rPr>
        <w:t xml:space="preserve">ante el término “Aportaciones para Obras y/o Acciones de Impacto Vial”; por lo cual se realiza la suplencia de la deficiencia de la solicitud, a fin de garantizar el derecho de acceso  la información del particular, lo anterior en términos de lo establecido en el artículo 13 de la Ley en la materia que cita: </w:t>
      </w:r>
    </w:p>
    <w:p w:rsidR="00E74020" w:rsidRPr="0098686D" w:rsidRDefault="00E74020">
      <w:pPr>
        <w:tabs>
          <w:tab w:val="left" w:pos="7938"/>
        </w:tabs>
        <w:spacing w:after="0" w:line="360" w:lineRule="auto"/>
        <w:jc w:val="both"/>
        <w:rPr>
          <w:rFonts w:ascii="Palatino Linotype" w:eastAsia="Palatino Linotype" w:hAnsi="Palatino Linotype" w:cs="Palatino Linotype"/>
          <w:sz w:val="24"/>
          <w:szCs w:val="24"/>
        </w:rPr>
      </w:pPr>
    </w:p>
    <w:p w:rsidR="00E74020" w:rsidRPr="0098686D" w:rsidRDefault="00164A65" w:rsidP="005E7DAB">
      <w:pPr>
        <w:tabs>
          <w:tab w:val="left" w:pos="7938"/>
        </w:tabs>
        <w:spacing w:after="0"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Artículo 13. El Instituto, en el ámbito de sus atribuciones, deberá suplir cualquier deficiencia para garantizar el ejercicio del derecho de acceso a la información. </w:t>
      </w:r>
    </w:p>
    <w:p w:rsidR="005E7DAB" w:rsidRPr="0098686D" w:rsidRDefault="005E7DAB" w:rsidP="005E7DAB">
      <w:pPr>
        <w:tabs>
          <w:tab w:val="left" w:pos="7938"/>
        </w:tabs>
        <w:spacing w:after="0" w:line="276" w:lineRule="auto"/>
        <w:ind w:left="851" w:right="900"/>
        <w:jc w:val="both"/>
        <w:rPr>
          <w:rFonts w:ascii="Palatino Linotype" w:eastAsia="Palatino Linotype" w:hAnsi="Palatino Linotype" w:cs="Palatino Linotype"/>
          <w:i/>
        </w:rPr>
      </w:pPr>
    </w:p>
    <w:p w:rsidR="00E74020" w:rsidRPr="0098686D" w:rsidRDefault="00164A65">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8686D">
        <w:rPr>
          <w:rFonts w:ascii="Palatino Linotype" w:eastAsia="Palatino Linotype" w:hAnsi="Palatino Linotype" w:cs="Palatino Linotype"/>
          <w:b/>
          <w:sz w:val="24"/>
          <w:szCs w:val="24"/>
        </w:rPr>
        <w:t>Respecto a la cantidad total recaudada de las contribuciones que realizaron los desarrolladores inmobiliarios por concepto de Aportaciones para Obras y/o Acciones de Impacto Vial.</w:t>
      </w:r>
    </w:p>
    <w:p w:rsidR="00E56451" w:rsidRPr="0098686D" w:rsidRDefault="00E56451" w:rsidP="00E56451">
      <w:pPr>
        <w:pBdr>
          <w:top w:val="nil"/>
          <w:left w:val="nil"/>
          <w:bottom w:val="nil"/>
          <w:right w:val="nil"/>
          <w:between w:val="nil"/>
        </w:pBdr>
        <w:spacing w:after="0" w:line="360" w:lineRule="auto"/>
        <w:ind w:left="720"/>
        <w:jc w:val="both"/>
        <w:rPr>
          <w:rFonts w:ascii="Palatino Linotype" w:eastAsia="Palatino Linotype" w:hAnsi="Palatino Linotype" w:cs="Palatino Linotype"/>
          <w:b/>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En este punto de la solicitud, hace entrega de una liga electrónica, en tal contexto, en primer lugar, debemos traer a colación el artículo 161</w:t>
      </w:r>
      <w:r w:rsidRPr="0098686D">
        <w:rPr>
          <w:vertAlign w:val="superscript"/>
        </w:rPr>
        <w:footnoteReference w:id="3"/>
      </w:r>
      <w:r w:rsidRPr="0098686D">
        <w:rPr>
          <w:rFonts w:ascii="Palatino Linotype" w:eastAsia="Palatino Linotype" w:hAnsi="Palatino Linotype" w:cs="Palatino Linotype"/>
          <w:sz w:val="24"/>
          <w:szCs w:val="24"/>
        </w:rPr>
        <w:t xml:space="preserve"> de la Ley de Transparencia y Acceso a la Información Pública del Estado de México y Municipios</w:t>
      </w:r>
      <w:r w:rsidRPr="0098686D">
        <w:rPr>
          <w:rFonts w:ascii="Palatino Linotype" w:eastAsia="Palatino Linotype" w:hAnsi="Palatino Linotype" w:cs="Palatino Linotype"/>
          <w:i/>
          <w:sz w:val="24"/>
          <w:szCs w:val="24"/>
        </w:rPr>
        <w:t xml:space="preserve">, </w:t>
      </w:r>
      <w:r w:rsidRPr="0098686D">
        <w:rPr>
          <w:rFonts w:ascii="Palatino Linotype" w:eastAsia="Palatino Linotype" w:hAnsi="Palatino Linotype" w:cs="Palatino Linotype"/>
          <w:sz w:val="24"/>
          <w:szCs w:val="24"/>
        </w:rPr>
        <w:t xml:space="preserve">el cual establece las características que debe tener la información desde el momento de su generación, publicación y entrega; de igual manera se contempla el procedimiento a seguir por el sujeto obligado para informar a los solicitantes sobre información que </w:t>
      </w:r>
      <w:r w:rsidRPr="0098686D">
        <w:rPr>
          <w:rFonts w:ascii="Palatino Linotype" w:eastAsia="Palatino Linotype" w:hAnsi="Palatino Linotype" w:cs="Palatino Linotype"/>
          <w:sz w:val="24"/>
          <w:szCs w:val="24"/>
        </w:rPr>
        <w:lastRenderedPageBreak/>
        <w:t>se encuentre disponible en libros, compendios, formatos electrónicos, entre otros, haciéndole saber al solicitante como podrá consultar, reproducir o adquirir la información, en un plazo no mayor a cinco días hábiles, comprendiendo:</w:t>
      </w:r>
    </w:p>
    <w:p w:rsidR="00E56451" w:rsidRPr="0098686D" w:rsidRDefault="00E56451">
      <w:pPr>
        <w:spacing w:after="0" w:line="360" w:lineRule="auto"/>
        <w:jc w:val="both"/>
        <w:rPr>
          <w:rFonts w:ascii="Palatino Linotype" w:eastAsia="Palatino Linotype" w:hAnsi="Palatino Linotype" w:cs="Palatino Linotype"/>
          <w:b/>
          <w:sz w:val="24"/>
          <w:szCs w:val="24"/>
        </w:rPr>
      </w:pPr>
    </w:p>
    <w:p w:rsidR="00E74020" w:rsidRPr="0098686D" w:rsidRDefault="00164A65">
      <w:pPr>
        <w:spacing w:after="0" w:line="360" w:lineRule="auto"/>
        <w:ind w:left="284"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 La fuente</w:t>
      </w:r>
    </w:p>
    <w:p w:rsidR="00E74020" w:rsidRPr="0098686D" w:rsidRDefault="00164A65">
      <w:pPr>
        <w:spacing w:after="0" w:line="360" w:lineRule="auto"/>
        <w:ind w:left="284"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b) El lugar y</w:t>
      </w:r>
    </w:p>
    <w:p w:rsidR="00E74020" w:rsidRPr="0098686D" w:rsidRDefault="00164A65">
      <w:pPr>
        <w:spacing w:after="0" w:line="360" w:lineRule="auto"/>
        <w:ind w:left="284"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c) La forma</w:t>
      </w:r>
    </w:p>
    <w:p w:rsidR="00E74020" w:rsidRPr="0098686D" w:rsidRDefault="00164A65">
      <w:pPr>
        <w:spacing w:after="0" w:line="360" w:lineRule="auto"/>
        <w:ind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Asimismo, se establece que la fuente de la información deberá ser:</w:t>
      </w:r>
    </w:p>
    <w:p w:rsidR="00E74020" w:rsidRPr="0098686D" w:rsidRDefault="00E74020">
      <w:pPr>
        <w:spacing w:after="0" w:line="360" w:lineRule="auto"/>
        <w:ind w:right="49"/>
        <w:jc w:val="both"/>
        <w:rPr>
          <w:rFonts w:ascii="Palatino Linotype" w:eastAsia="Palatino Linotype" w:hAnsi="Palatino Linotype" w:cs="Palatino Linotype"/>
          <w:sz w:val="24"/>
          <w:szCs w:val="24"/>
        </w:rPr>
      </w:pPr>
    </w:p>
    <w:p w:rsidR="00E74020" w:rsidRPr="0098686D" w:rsidRDefault="00164A65">
      <w:pPr>
        <w:spacing w:after="0" w:line="360" w:lineRule="auto"/>
        <w:ind w:left="284"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 Precisa</w:t>
      </w:r>
    </w:p>
    <w:p w:rsidR="00E74020" w:rsidRPr="0098686D" w:rsidRDefault="00164A65">
      <w:pPr>
        <w:spacing w:after="0" w:line="360" w:lineRule="auto"/>
        <w:ind w:left="284"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b) Concreta</w:t>
      </w:r>
    </w:p>
    <w:p w:rsidR="00E74020" w:rsidRPr="0098686D" w:rsidRDefault="00164A65">
      <w:pPr>
        <w:spacing w:after="0" w:line="360" w:lineRule="auto"/>
        <w:ind w:left="284"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c) Y no debe implicar que el solicitante realice una búsqueda en toda la información que se encuentre disponible.</w:t>
      </w:r>
    </w:p>
    <w:p w:rsidR="00E74020" w:rsidRPr="0098686D" w:rsidRDefault="00E74020">
      <w:pPr>
        <w:spacing w:after="0" w:line="360" w:lineRule="auto"/>
        <w:ind w:left="284" w:right="49"/>
        <w:jc w:val="both"/>
        <w:rPr>
          <w:rFonts w:ascii="Palatino Linotype" w:eastAsia="Palatino Linotype" w:hAnsi="Palatino Linotype" w:cs="Palatino Linotype"/>
          <w:sz w:val="24"/>
          <w:szCs w:val="24"/>
        </w:rPr>
      </w:pPr>
    </w:p>
    <w:p w:rsidR="00E74020" w:rsidRPr="0098686D" w:rsidRDefault="00164A65">
      <w:pPr>
        <w:spacing w:after="0" w:line="360" w:lineRule="auto"/>
        <w:ind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Imperativos legales que establecen el procedimiento que debe seguir </w:t>
      </w:r>
      <w:r w:rsidRPr="0098686D">
        <w:rPr>
          <w:rFonts w:ascii="Palatino Linotype" w:eastAsia="Palatino Linotype" w:hAnsi="Palatino Linotype" w:cs="Palatino Linotype"/>
          <w:b/>
          <w:sz w:val="24"/>
          <w:szCs w:val="24"/>
        </w:rPr>
        <w:t>EL SUJETO OBLIGADO</w:t>
      </w:r>
      <w:r w:rsidRPr="0098686D">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rsidR="00E56451" w:rsidRPr="0098686D" w:rsidRDefault="00E56451">
      <w:pPr>
        <w:spacing w:after="0" w:line="360" w:lineRule="auto"/>
        <w:ind w:right="49"/>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Así, en el presente caso, el </w:t>
      </w:r>
      <w:r w:rsidRPr="0098686D">
        <w:rPr>
          <w:rFonts w:ascii="Palatino Linotype" w:eastAsia="Palatino Linotype" w:hAnsi="Palatino Linotype" w:cs="Palatino Linotype"/>
          <w:b/>
          <w:sz w:val="24"/>
          <w:szCs w:val="24"/>
        </w:rPr>
        <w:t xml:space="preserve">SUJETO OBLIGADO </w:t>
      </w:r>
      <w:r w:rsidRPr="0098686D">
        <w:rPr>
          <w:rFonts w:ascii="Palatino Linotype" w:eastAsia="Palatino Linotype" w:hAnsi="Palatino Linotype" w:cs="Palatino Linotype"/>
          <w:sz w:val="24"/>
          <w:szCs w:val="24"/>
        </w:rPr>
        <w:t xml:space="preserve">señala que la información está disponible en la siguiente liga electrónica </w:t>
      </w:r>
      <w:hyperlink r:id="rId9">
        <w:r w:rsidRPr="0098686D">
          <w:rPr>
            <w:rFonts w:ascii="Palatino Linotype" w:eastAsia="Palatino Linotype" w:hAnsi="Palatino Linotype" w:cs="Palatino Linotype"/>
            <w:sz w:val="24"/>
            <w:szCs w:val="24"/>
            <w:u w:val="single"/>
          </w:rPr>
          <w:t>http://transparenciafiscal.edomex.gob.mx/rendición_cuentas</w:t>
        </w:r>
      </w:hyperlink>
      <w:r w:rsidRPr="0098686D">
        <w:rPr>
          <w:rFonts w:ascii="Palatino Linotype" w:eastAsia="Palatino Linotype" w:hAnsi="Palatino Linotype" w:cs="Palatino Linotype"/>
          <w:sz w:val="24"/>
          <w:szCs w:val="24"/>
        </w:rPr>
        <w:t xml:space="preserve"> por lo que este Organismo Garante procedió a consultar la información disponible en dicho portal, en el cual se observa lo siguiente:</w:t>
      </w:r>
    </w:p>
    <w:p w:rsidR="00E74020" w:rsidRPr="0098686D" w:rsidRDefault="00A3622B">
      <w:pPr>
        <w:spacing w:after="0" w:line="360" w:lineRule="auto"/>
        <w:jc w:val="both"/>
        <w:rPr>
          <w:rFonts w:ascii="Palatino Linotype" w:eastAsia="Palatino Linotype" w:hAnsi="Palatino Linotype" w:cs="Palatino Linotype"/>
          <w:sz w:val="24"/>
          <w:szCs w:val="24"/>
        </w:rPr>
      </w:pPr>
      <w:r w:rsidRPr="0098686D">
        <w:rPr>
          <w:noProof/>
        </w:rPr>
        <w:lastRenderedPageBreak/>
        <w:drawing>
          <wp:inline distT="0" distB="0" distL="0" distR="0" wp14:anchorId="6BA582D2" wp14:editId="5ED3C5FA">
            <wp:extent cx="5553075" cy="45284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160" t="10561" r="24813" b="6759"/>
                    <a:stretch/>
                  </pic:blipFill>
                  <pic:spPr bwMode="auto">
                    <a:xfrm>
                      <a:off x="0" y="0"/>
                      <a:ext cx="5560802" cy="4534701"/>
                    </a:xfrm>
                    <a:prstGeom prst="rect">
                      <a:avLst/>
                    </a:prstGeom>
                    <a:ln>
                      <a:noFill/>
                    </a:ln>
                    <a:extLst>
                      <a:ext uri="{53640926-AAD7-44D8-BBD7-CCE9431645EC}">
                        <a14:shadowObscured xmlns:a14="http://schemas.microsoft.com/office/drawing/2010/main"/>
                      </a:ext>
                    </a:extLst>
                  </pic:spPr>
                </pic:pic>
              </a:graphicData>
            </a:graphic>
          </wp:inline>
        </w:drawing>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Posteriormente, señaló que se debe seleccionar la opción de “Cuenta Pública” y el año que desea consultar, por lo que al seguir dichos pasos se obtuvo </w:t>
      </w:r>
      <w:r w:rsidR="00A3622B" w:rsidRPr="0098686D">
        <w:rPr>
          <w:rFonts w:ascii="Palatino Linotype" w:eastAsia="Palatino Linotype" w:hAnsi="Palatino Linotype" w:cs="Palatino Linotype"/>
          <w:sz w:val="24"/>
          <w:szCs w:val="24"/>
        </w:rPr>
        <w:t>información del año dos mil al año dos mil veintidós</w:t>
      </w:r>
      <w:r w:rsidRPr="0098686D">
        <w:rPr>
          <w:rFonts w:ascii="Palatino Linotype" w:eastAsia="Palatino Linotype" w:hAnsi="Palatino Linotype" w:cs="Palatino Linotype"/>
          <w:sz w:val="24"/>
          <w:szCs w:val="24"/>
        </w:rPr>
        <w:t xml:space="preserve">, tomando como </w:t>
      </w:r>
      <w:r w:rsidR="00A3622B" w:rsidRPr="0098686D">
        <w:rPr>
          <w:rFonts w:ascii="Palatino Linotype" w:eastAsia="Palatino Linotype" w:hAnsi="Palatino Linotype" w:cs="Palatino Linotype"/>
          <w:sz w:val="24"/>
          <w:szCs w:val="24"/>
        </w:rPr>
        <w:t>ejemplo</w:t>
      </w:r>
      <w:r w:rsidRPr="0098686D">
        <w:rPr>
          <w:rFonts w:ascii="Palatino Linotype" w:eastAsia="Palatino Linotype" w:hAnsi="Palatino Linotype" w:cs="Palatino Linotype"/>
          <w:sz w:val="24"/>
          <w:szCs w:val="24"/>
        </w:rPr>
        <w:t xml:space="preserve"> a los años 2020, 2021 y 2022:</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Año 2020:</w:t>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noProof/>
        </w:rPr>
        <w:lastRenderedPageBreak/>
        <w:drawing>
          <wp:inline distT="0" distB="0" distL="0" distR="0">
            <wp:extent cx="5986290" cy="4770325"/>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18839" t="18105" r="26849" b="4948"/>
                    <a:stretch>
                      <a:fillRect/>
                    </a:stretch>
                  </pic:blipFill>
                  <pic:spPr>
                    <a:xfrm>
                      <a:off x="0" y="0"/>
                      <a:ext cx="5986290" cy="4770325"/>
                    </a:xfrm>
                    <a:prstGeom prst="rect">
                      <a:avLst/>
                    </a:prstGeom>
                    <a:ln/>
                  </pic:spPr>
                </pic:pic>
              </a:graphicData>
            </a:graphic>
          </wp:inline>
        </w:drawing>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Año 2021:</w:t>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noProof/>
        </w:rPr>
        <w:lastRenderedPageBreak/>
        <w:drawing>
          <wp:inline distT="0" distB="0" distL="0" distR="0">
            <wp:extent cx="2990850" cy="20955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l="19348" t="28365" r="27358" b="5251"/>
                    <a:stretch>
                      <a:fillRect/>
                    </a:stretch>
                  </pic:blipFill>
                  <pic:spPr>
                    <a:xfrm>
                      <a:off x="0" y="0"/>
                      <a:ext cx="2990850" cy="2095500"/>
                    </a:xfrm>
                    <a:prstGeom prst="rect">
                      <a:avLst/>
                    </a:prstGeom>
                    <a:ln/>
                  </pic:spPr>
                </pic:pic>
              </a:graphicData>
            </a:graphic>
          </wp:inline>
        </w:drawing>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Año 2022:</w:t>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noProof/>
        </w:rPr>
        <w:drawing>
          <wp:inline distT="0" distB="0" distL="0" distR="0">
            <wp:extent cx="5644914" cy="4022001"/>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l="18499" t="27157" r="27189" b="4042"/>
                    <a:stretch>
                      <a:fillRect/>
                    </a:stretch>
                  </pic:blipFill>
                  <pic:spPr>
                    <a:xfrm>
                      <a:off x="0" y="0"/>
                      <a:ext cx="5644914" cy="4022001"/>
                    </a:xfrm>
                    <a:prstGeom prst="rect">
                      <a:avLst/>
                    </a:prstGeom>
                    <a:ln/>
                  </pic:spPr>
                </pic:pic>
              </a:graphicData>
            </a:graphic>
          </wp:inline>
        </w:drawing>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lastRenderedPageBreak/>
        <w:t>Por lo que se estima que la fuente proporcionada no cumple con lo señalado en el artículo 161</w:t>
      </w:r>
      <w:r w:rsidRPr="0098686D">
        <w:rPr>
          <w:sz w:val="24"/>
          <w:szCs w:val="24"/>
        </w:rPr>
        <w:t xml:space="preserve"> </w:t>
      </w:r>
      <w:r w:rsidRPr="0098686D">
        <w:rPr>
          <w:rFonts w:ascii="Palatino Linotype" w:eastAsia="Palatino Linotype" w:hAnsi="Palatino Linotype" w:cs="Palatino Linotype"/>
          <w:sz w:val="24"/>
          <w:szCs w:val="24"/>
        </w:rPr>
        <w:t xml:space="preserve">de la de Transparencia y Acceso a la Información Pública del Estado de México y Municipios al no advertirse la información solicitada,  aunado al hecho de que dicha prerrogativa debe ejercerse dentro de los primeros cinco días hábiles posteriores a la recepción de la solicitud, situación que tampoco se observó. </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Asimismo, se advierte que la respuesta a la solicitud de información fue proporcionada por el Servidor Público Habilitado Competente, toda vez que la Dirección General de Recaudación tiene entre sus facultades y atribuciones, de conformidad con lo señalado en la siguiente normatividad:</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ind w:left="851" w:right="900"/>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REGLAMENTO INTERIOR DE LA SECRETARÍA DE FINANZAS</w:t>
      </w:r>
    </w:p>
    <w:p w:rsidR="00E74020" w:rsidRPr="0098686D" w:rsidRDefault="00164A65">
      <w:pPr>
        <w:spacing w:after="0" w:line="360"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Artículo 14.- Corresponde a la Dirección General de Recaudación: </w:t>
      </w:r>
    </w:p>
    <w:p w:rsidR="00E74020" w:rsidRPr="0098686D" w:rsidRDefault="00164A65">
      <w:pPr>
        <w:spacing w:after="0" w:line="360"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p>
    <w:p w:rsidR="00E74020" w:rsidRPr="0098686D" w:rsidRDefault="00164A65">
      <w:pPr>
        <w:spacing w:after="0" w:line="360"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IV. Establecer, normar y controlar los programas de recaudación tributaria.</w:t>
      </w:r>
    </w:p>
    <w:p w:rsidR="00E74020" w:rsidRPr="0098686D" w:rsidRDefault="00164A65">
      <w:pPr>
        <w:spacing w:after="0" w:line="360"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 (…)</w:t>
      </w:r>
    </w:p>
    <w:p w:rsidR="00E74020" w:rsidRPr="0098686D" w:rsidRDefault="00164A65">
      <w:pPr>
        <w:spacing w:after="0" w:line="360"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XLVIII. Registrar, clasificar, controlar, determinar e informar los montos de contribuciones que recaude el Gobierno del Estado.</w:t>
      </w:r>
    </w:p>
    <w:p w:rsidR="00E74020" w:rsidRPr="0098686D" w:rsidRDefault="00E74020">
      <w:pPr>
        <w:spacing w:after="0" w:line="360" w:lineRule="auto"/>
        <w:ind w:right="900"/>
        <w:jc w:val="both"/>
        <w:rPr>
          <w:rFonts w:ascii="Palatino Linotype" w:eastAsia="Palatino Linotype" w:hAnsi="Palatino Linotype" w:cs="Palatino Linotype"/>
          <w:i/>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Conforme a lo anterior se observa que la Dirección General de Recaudación establece, norma y controla los programas de recaudación tributaria, asimismo registra, clasifica, controla, determina e informa los montos de contribuciones que recaude el Gobierno del Estado. </w:t>
      </w:r>
    </w:p>
    <w:p w:rsidR="00E56451" w:rsidRPr="0098686D" w:rsidRDefault="00E56451">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lo cual en efecto puede conocer la información relacionada de la cantidad total recaudada de las contribuciones que realizaron los desarrolladores inmobiliarios por concepto de aportaciones de mejoras para obras de impacto. </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Aunado al hecho de que el Sujeto Obligado ha reconocido de forma expresa que cuenta con la información solicitada al remitir a la página electrónica antes señalada. </w:t>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 </w:t>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Razones por las cuales lo procedente, es ordenar la entrega de los documentos donde consten la cantidad total recaudada de las contribuciones que realizaron los desarrolladores inmobiliarios por concepto de aportaciones de mejoras para obras de impacto del primero de enero al treinta y uno de diciembre del año dos mil tres al año dos mil veintiuno y del primero de enero al veinte de septiembre del año dos mil veintidós, de ser procedente en versión pública en atención a lo señalado en el considerando quinto del presente fallo.</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rsidP="00A3622B">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b/>
          <w:sz w:val="24"/>
          <w:szCs w:val="24"/>
        </w:rPr>
      </w:pPr>
      <w:r w:rsidRPr="0098686D">
        <w:rPr>
          <w:rFonts w:ascii="Palatino Linotype" w:eastAsia="Palatino Linotype" w:hAnsi="Palatino Linotype" w:cs="Palatino Linotype"/>
          <w:b/>
          <w:sz w:val="24"/>
          <w:szCs w:val="24"/>
        </w:rPr>
        <w:t>Respecto al destino otorgado a los recursos estatales provenientes de las contribuciones que realizaron los desarrolladores inmobiliarios por concepto de aportaciones para Obr</w:t>
      </w:r>
      <w:r w:rsidR="00A3622B" w:rsidRPr="0098686D">
        <w:rPr>
          <w:rFonts w:ascii="Palatino Linotype" w:eastAsia="Palatino Linotype" w:hAnsi="Palatino Linotype" w:cs="Palatino Linotype"/>
          <w:b/>
          <w:sz w:val="24"/>
          <w:szCs w:val="24"/>
        </w:rPr>
        <w:t>as y/o Acciones de Impacto Vial y si lo recursos fueron entregados a los municipios referidos.</w:t>
      </w:r>
    </w:p>
    <w:p w:rsidR="00E74020" w:rsidRPr="0098686D" w:rsidRDefault="00E74020">
      <w:pPr>
        <w:pBdr>
          <w:top w:val="nil"/>
          <w:left w:val="nil"/>
          <w:bottom w:val="nil"/>
          <w:right w:val="nil"/>
          <w:between w:val="nil"/>
        </w:pBdr>
        <w:spacing w:after="0" w:line="276" w:lineRule="auto"/>
        <w:ind w:left="720"/>
        <w:jc w:val="both"/>
        <w:rPr>
          <w:rFonts w:ascii="Palatino Linotype" w:eastAsia="Palatino Linotype" w:hAnsi="Palatino Linotype" w:cs="Palatino Linotype"/>
          <w:b/>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Por lo que corresponde a este punto de la solicitud, en respuesta sugiere dirigir su solicitud a la Secret</w:t>
      </w:r>
      <w:r w:rsidR="00F3065A" w:rsidRPr="0098686D">
        <w:rPr>
          <w:rFonts w:ascii="Palatino Linotype" w:eastAsia="Palatino Linotype" w:hAnsi="Palatino Linotype" w:cs="Palatino Linotype"/>
          <w:sz w:val="24"/>
          <w:szCs w:val="24"/>
        </w:rPr>
        <w:t>arí</w:t>
      </w:r>
      <w:r w:rsidRPr="0098686D">
        <w:rPr>
          <w:rFonts w:ascii="Palatino Linotype" w:eastAsia="Palatino Linotype" w:hAnsi="Palatino Linotype" w:cs="Palatino Linotype"/>
          <w:sz w:val="24"/>
          <w:szCs w:val="24"/>
        </w:rPr>
        <w:t xml:space="preserve">a de Movilidad del Gobierno del Estado de México, ya que es </w:t>
      </w:r>
      <w:r w:rsidRPr="0098686D">
        <w:rPr>
          <w:rFonts w:ascii="Palatino Linotype" w:eastAsia="Palatino Linotype" w:hAnsi="Palatino Linotype" w:cs="Palatino Linotype"/>
          <w:sz w:val="24"/>
          <w:szCs w:val="24"/>
        </w:rPr>
        <w:lastRenderedPageBreak/>
        <w:t xml:space="preserve">la autoridad encargada de seguimiento al ingreso, no obstante, mediante informe justificado hace entrega de las actas CT-2022-0107, CT-2022-0111, CT-2022-0110, CT-2022-0109 y CT-2022-0108 del Comité de Transparencia, mediante el cual declara su declara su incompetencia para otorgar respuesta al destino de los recursos  planteados por </w:t>
      </w:r>
      <w:r w:rsidRPr="0098686D">
        <w:rPr>
          <w:rFonts w:ascii="Palatino Linotype" w:eastAsia="Palatino Linotype" w:hAnsi="Palatino Linotype" w:cs="Palatino Linotype"/>
          <w:b/>
          <w:sz w:val="24"/>
          <w:szCs w:val="24"/>
        </w:rPr>
        <w:t>LA PARTE RECURRENTE</w:t>
      </w:r>
      <w:r w:rsidRPr="0098686D">
        <w:rPr>
          <w:rFonts w:ascii="Palatino Linotype" w:eastAsia="Palatino Linotype" w:hAnsi="Palatino Linotype" w:cs="Palatino Linotype"/>
          <w:sz w:val="24"/>
          <w:szCs w:val="24"/>
        </w:rPr>
        <w:t>.</w:t>
      </w:r>
    </w:p>
    <w:p w:rsidR="00E74020" w:rsidRPr="0098686D" w:rsidRDefault="00E74020">
      <w:pPr>
        <w:rPr>
          <w:rFonts w:ascii="Palatino Linotype" w:eastAsia="Palatino Linotype" w:hAnsi="Palatino Linotype" w:cs="Palatino Linotype"/>
          <w:sz w:val="24"/>
          <w:szCs w:val="24"/>
        </w:rPr>
      </w:pPr>
    </w:p>
    <w:p w:rsidR="00E74020" w:rsidRPr="0098686D" w:rsidRDefault="00164A65">
      <w:pPr>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Motivo por el que se cita lo siguiente: </w:t>
      </w:r>
    </w:p>
    <w:p w:rsidR="00E74020" w:rsidRPr="0098686D" w:rsidRDefault="00E74020">
      <w:pPr>
        <w:rPr>
          <w:rFonts w:ascii="Palatino Linotype" w:eastAsia="Palatino Linotype" w:hAnsi="Palatino Linotype" w:cs="Palatino Linotype"/>
          <w:sz w:val="24"/>
          <w:szCs w:val="24"/>
        </w:rPr>
      </w:pPr>
    </w:p>
    <w:p w:rsidR="00E74020" w:rsidRPr="0098686D" w:rsidRDefault="00164A65">
      <w:pPr>
        <w:spacing w:after="0" w:line="360" w:lineRule="auto"/>
        <w:ind w:left="851" w:right="900"/>
        <w:jc w:val="both"/>
        <w:rPr>
          <w:rFonts w:ascii="Palatino Linotype" w:eastAsia="Palatino Linotype" w:hAnsi="Palatino Linotype" w:cs="Palatino Linotype"/>
          <w:b/>
          <w:i/>
        </w:rPr>
      </w:pPr>
      <w:r w:rsidRPr="0098686D">
        <w:rPr>
          <w:rFonts w:ascii="Palatino Linotype" w:eastAsia="Palatino Linotype" w:hAnsi="Palatino Linotype" w:cs="Palatino Linotype"/>
          <w:b/>
          <w:i/>
        </w:rPr>
        <w:t>CÓDIGO FINANCIERO DEL ESTADO DE MÉXICO Y MUNICIPIOS.</w:t>
      </w:r>
    </w:p>
    <w:p w:rsidR="00E74020" w:rsidRPr="0098686D" w:rsidRDefault="00164A65">
      <w:pPr>
        <w:spacing w:after="0" w:line="360"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Artículo 216-H.- </w:t>
      </w:r>
      <w:r w:rsidRPr="0098686D">
        <w:rPr>
          <w:rFonts w:ascii="Palatino Linotype" w:eastAsia="Palatino Linotype" w:hAnsi="Palatino Linotype" w:cs="Palatino Linotype"/>
          <w:i/>
        </w:rPr>
        <w:t>El ingreso que se perciba por este concepto, será destinado para el desarrollo de obras y/o acciones de infraestructura vial que tienda a mitigar el impacto vial en la zona de influencia.</w:t>
      </w:r>
    </w:p>
    <w:p w:rsidR="00E74020" w:rsidRPr="0098686D" w:rsidRDefault="00E74020">
      <w:pPr>
        <w:spacing w:after="0" w:line="360" w:lineRule="auto"/>
        <w:ind w:left="851" w:right="900"/>
        <w:jc w:val="both"/>
        <w:rPr>
          <w:rFonts w:ascii="Palatino Linotype" w:eastAsia="Palatino Linotype" w:hAnsi="Palatino Linotype" w:cs="Palatino Linotype"/>
          <w:i/>
        </w:rPr>
      </w:pPr>
    </w:p>
    <w:p w:rsidR="00E74020" w:rsidRPr="0098686D" w:rsidRDefault="00164A65">
      <w:pPr>
        <w:spacing w:after="0" w:line="360"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El proyecto de obra y su ejecución </w:t>
      </w:r>
      <w:r w:rsidRPr="0098686D">
        <w:rPr>
          <w:rFonts w:ascii="Palatino Linotype" w:eastAsia="Palatino Linotype" w:hAnsi="Palatino Linotype" w:cs="Palatino Linotype"/>
          <w:b/>
          <w:i/>
          <w:u w:val="single"/>
        </w:rPr>
        <w:t>se dará de manera coordinada, entre la Secretaría de Movilidad y el municipio o municipios afectados</w:t>
      </w:r>
      <w:r w:rsidRPr="0098686D">
        <w:rPr>
          <w:rFonts w:ascii="Palatino Linotype" w:eastAsia="Palatino Linotype" w:hAnsi="Palatino Linotype" w:cs="Palatino Linotype"/>
          <w:i/>
        </w:rPr>
        <w:t>, conforme lo dispone el artículo 5.10, fracción XV del Código Administrativo del Estado de México.</w:t>
      </w:r>
    </w:p>
    <w:p w:rsidR="00E74020" w:rsidRPr="0098686D" w:rsidRDefault="00E74020">
      <w:pPr>
        <w:spacing w:after="0" w:line="360" w:lineRule="auto"/>
        <w:ind w:right="49"/>
        <w:jc w:val="both"/>
        <w:rPr>
          <w:rFonts w:ascii="Palatino Linotype" w:eastAsia="Palatino Linotype" w:hAnsi="Palatino Linotype" w:cs="Palatino Linotype"/>
          <w:i/>
        </w:rPr>
      </w:pPr>
    </w:p>
    <w:p w:rsidR="00E74020" w:rsidRPr="0098686D" w:rsidRDefault="00164A65">
      <w:pPr>
        <w:spacing w:after="0" w:line="360" w:lineRule="auto"/>
        <w:ind w:right="49"/>
        <w:jc w:val="both"/>
        <w:rPr>
          <w:rFonts w:ascii="Palatino Linotype" w:eastAsia="Palatino Linotype" w:hAnsi="Palatino Linotype" w:cs="Palatino Linotype"/>
          <w:b/>
          <w:sz w:val="24"/>
          <w:szCs w:val="24"/>
          <w:u w:val="single"/>
        </w:rPr>
      </w:pPr>
      <w:r w:rsidRPr="0098686D">
        <w:rPr>
          <w:rFonts w:ascii="Palatino Linotype" w:eastAsia="Palatino Linotype" w:hAnsi="Palatino Linotype" w:cs="Palatino Linotype"/>
          <w:sz w:val="24"/>
          <w:szCs w:val="24"/>
        </w:rPr>
        <w:t xml:space="preserve">De acuerdo a lo anterior, el ingreso que se perciba por el concepto referido por el particular, será destinado para el desarrollo de obras y/o acciones de infraestructura vial que tienda a mitigar el impacto vial en la zona de influencia, misma que </w:t>
      </w:r>
      <w:r w:rsidRPr="0098686D">
        <w:rPr>
          <w:rFonts w:ascii="Palatino Linotype" w:eastAsia="Palatino Linotype" w:hAnsi="Palatino Linotype" w:cs="Palatino Linotype"/>
          <w:b/>
          <w:sz w:val="24"/>
          <w:szCs w:val="24"/>
          <w:u w:val="single"/>
        </w:rPr>
        <w:t>será coordinada entre la Secretaría de Movilidad y los municipios afectados.</w:t>
      </w:r>
    </w:p>
    <w:p w:rsidR="00E74020" w:rsidRPr="0098686D" w:rsidRDefault="00E74020">
      <w:pPr>
        <w:spacing w:after="0" w:line="360" w:lineRule="auto"/>
        <w:ind w:right="49"/>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lastRenderedPageBreak/>
        <w:t xml:space="preserve">Por lo que se advierte que a la fecha de la solicitud, </w:t>
      </w:r>
      <w:r w:rsidRPr="0098686D">
        <w:rPr>
          <w:rFonts w:ascii="Palatino Linotype" w:eastAsia="Palatino Linotype" w:hAnsi="Palatino Linotype" w:cs="Palatino Linotype"/>
          <w:b/>
          <w:sz w:val="24"/>
          <w:szCs w:val="24"/>
        </w:rPr>
        <w:t>EL</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no tiene atribuciones para generar, poseer o administrar la información solicitada, ya que dichas atribuciones </w:t>
      </w:r>
      <w:r w:rsidRPr="0098686D">
        <w:rPr>
          <w:rFonts w:ascii="Palatino Linotype" w:eastAsia="Palatino Linotype" w:hAnsi="Palatino Linotype" w:cs="Palatino Linotype"/>
          <w:b/>
          <w:sz w:val="24"/>
          <w:szCs w:val="24"/>
          <w:u w:val="single"/>
        </w:rPr>
        <w:t>corresponden a la Secretaría de Movilidad</w:t>
      </w:r>
      <w:r w:rsidR="005E7DAB" w:rsidRPr="0098686D">
        <w:rPr>
          <w:rFonts w:ascii="Palatino Linotype" w:eastAsia="Palatino Linotype" w:hAnsi="Palatino Linotype" w:cs="Palatino Linotype"/>
          <w:b/>
          <w:sz w:val="24"/>
          <w:szCs w:val="24"/>
          <w:u w:val="single"/>
        </w:rPr>
        <w:t xml:space="preserve"> y a los municipios afectados</w:t>
      </w:r>
      <w:r w:rsidRPr="0098686D">
        <w:rPr>
          <w:rFonts w:ascii="Palatino Linotype" w:eastAsia="Palatino Linotype" w:hAnsi="Palatino Linotype" w:cs="Palatino Linotype"/>
          <w:b/>
          <w:sz w:val="24"/>
          <w:szCs w:val="24"/>
          <w:u w:val="single"/>
        </w:rPr>
        <w:t>,</w:t>
      </w:r>
      <w:r w:rsidRPr="0098686D">
        <w:rPr>
          <w:rFonts w:ascii="Palatino Linotype" w:eastAsia="Palatino Linotype" w:hAnsi="Palatino Linotype" w:cs="Palatino Linotype"/>
          <w:sz w:val="24"/>
          <w:szCs w:val="24"/>
        </w:rPr>
        <w:t xml:space="preserve"> </w:t>
      </w:r>
      <w:r w:rsidR="005E7DAB" w:rsidRPr="0098686D">
        <w:rPr>
          <w:rFonts w:ascii="Palatino Linotype" w:eastAsia="Palatino Linotype" w:hAnsi="Palatino Linotype" w:cs="Palatino Linotype"/>
          <w:sz w:val="24"/>
          <w:szCs w:val="24"/>
        </w:rPr>
        <w:t>siendo que estos</w:t>
      </w:r>
      <w:r w:rsidRPr="0098686D">
        <w:rPr>
          <w:rFonts w:ascii="Palatino Linotype" w:eastAsia="Palatino Linotype" w:hAnsi="Palatino Linotype" w:cs="Palatino Linotype"/>
          <w:sz w:val="24"/>
          <w:szCs w:val="24"/>
        </w:rPr>
        <w:t xml:space="preserve"> </w:t>
      </w:r>
      <w:r w:rsidR="005E7DAB" w:rsidRPr="0098686D">
        <w:rPr>
          <w:rFonts w:ascii="Palatino Linotype" w:eastAsia="Palatino Linotype" w:hAnsi="Palatino Linotype" w:cs="Palatino Linotype"/>
          <w:sz w:val="24"/>
          <w:szCs w:val="24"/>
        </w:rPr>
        <w:t>son</w:t>
      </w:r>
      <w:r w:rsidRPr="0098686D">
        <w:rPr>
          <w:rFonts w:ascii="Palatino Linotype" w:eastAsia="Palatino Linotype" w:hAnsi="Palatino Linotype" w:cs="Palatino Linotype"/>
          <w:sz w:val="24"/>
          <w:szCs w:val="24"/>
        </w:rPr>
        <w:t xml:space="preserve"> </w:t>
      </w:r>
      <w:r w:rsidRPr="0098686D">
        <w:rPr>
          <w:rFonts w:ascii="Palatino Linotype" w:eastAsia="Palatino Linotype" w:hAnsi="Palatino Linotype" w:cs="Palatino Linotype"/>
          <w:b/>
          <w:sz w:val="24"/>
          <w:szCs w:val="24"/>
        </w:rPr>
        <w:t>SUJETO</w:t>
      </w:r>
      <w:r w:rsidR="005E7DAB" w:rsidRPr="0098686D">
        <w:rPr>
          <w:rFonts w:ascii="Palatino Linotype" w:eastAsia="Palatino Linotype" w:hAnsi="Palatino Linotype" w:cs="Palatino Linotype"/>
          <w:b/>
          <w:sz w:val="24"/>
          <w:szCs w:val="24"/>
        </w:rPr>
        <w:t>S</w:t>
      </w:r>
      <w:r w:rsidRPr="0098686D">
        <w:rPr>
          <w:rFonts w:ascii="Palatino Linotype" w:eastAsia="Palatino Linotype" w:hAnsi="Palatino Linotype" w:cs="Palatino Linotype"/>
          <w:b/>
          <w:sz w:val="24"/>
          <w:szCs w:val="24"/>
        </w:rPr>
        <w:t xml:space="preserve"> OBLIGADO</w:t>
      </w:r>
      <w:r w:rsidR="005E7DAB" w:rsidRPr="0098686D">
        <w:rPr>
          <w:rFonts w:ascii="Palatino Linotype" w:eastAsia="Palatino Linotype" w:hAnsi="Palatino Linotype" w:cs="Palatino Linotype"/>
          <w:b/>
          <w:sz w:val="24"/>
          <w:szCs w:val="24"/>
        </w:rPr>
        <w:t>S</w:t>
      </w:r>
      <w:r w:rsidRPr="0098686D">
        <w:rPr>
          <w:rFonts w:ascii="Palatino Linotype" w:eastAsia="Palatino Linotype" w:hAnsi="Palatino Linotype" w:cs="Palatino Linotype"/>
          <w:sz w:val="24"/>
          <w:szCs w:val="24"/>
        </w:rPr>
        <w:t xml:space="preserve"> distinto. </w:t>
      </w:r>
    </w:p>
    <w:p w:rsidR="00E74020" w:rsidRPr="0098686D" w:rsidRDefault="00E74020">
      <w:pPr>
        <w:spacing w:after="0" w:line="360" w:lineRule="auto"/>
        <w:ind w:right="49"/>
        <w:jc w:val="both"/>
        <w:rPr>
          <w:rFonts w:ascii="Palatino Linotype" w:eastAsia="Palatino Linotype" w:hAnsi="Palatino Linotype" w:cs="Palatino Linotype"/>
          <w:sz w:val="24"/>
          <w:szCs w:val="24"/>
        </w:rPr>
      </w:pPr>
    </w:p>
    <w:p w:rsidR="00E74020" w:rsidRPr="0098686D" w:rsidRDefault="00164A65">
      <w:pPr>
        <w:spacing w:after="0" w:line="360" w:lineRule="auto"/>
        <w:ind w:right="-14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Lo que se robustece con el Acuerdo mediante el cual el Pleno del Instituto de Transparencia, Acceso a la Información Pública y Protección de Datos Personales del Estado de México y Municipios, aprueba el Padrón de Sujetos Obligados en Materia de Transparencia y Acceso a la Información Pública del Estado de México y Municipios, publicado en fecha siete de abril de dos mil veintidós en el Periódico Oficial “Gaceta del Gobierno”, tal como se muestra a continuación: </w:t>
      </w:r>
    </w:p>
    <w:p w:rsidR="00E74020" w:rsidRPr="0098686D" w:rsidRDefault="00164A65">
      <w:pPr>
        <w:spacing w:line="360" w:lineRule="auto"/>
        <w:jc w:val="both"/>
        <w:rPr>
          <w:rFonts w:ascii="Palatino Linotype" w:eastAsia="Palatino Linotype" w:hAnsi="Palatino Linotype" w:cs="Palatino Linotype"/>
          <w:sz w:val="24"/>
          <w:szCs w:val="24"/>
        </w:rPr>
      </w:pPr>
      <w:r w:rsidRPr="0098686D">
        <w:rPr>
          <w:noProof/>
        </w:rPr>
        <w:drawing>
          <wp:inline distT="0" distB="0" distL="0" distR="0">
            <wp:extent cx="5702446" cy="874608"/>
            <wp:effectExtent l="0" t="0" r="0" b="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20704" t="49185" r="23965" b="35727"/>
                    <a:stretch>
                      <a:fillRect/>
                    </a:stretch>
                  </pic:blipFill>
                  <pic:spPr>
                    <a:xfrm>
                      <a:off x="0" y="0"/>
                      <a:ext cx="5702446" cy="874608"/>
                    </a:xfrm>
                    <a:prstGeom prst="rect">
                      <a:avLst/>
                    </a:prstGeom>
                    <a:ln/>
                  </pic:spPr>
                </pic:pic>
              </a:graphicData>
            </a:graphic>
          </wp:inline>
        </w:drawing>
      </w:r>
      <w:r w:rsidRPr="0098686D">
        <w:rPr>
          <w:noProof/>
        </w:rPr>
        <w:drawing>
          <wp:inline distT="0" distB="0" distL="0" distR="0">
            <wp:extent cx="5833187" cy="363322"/>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0876" t="61859" r="6483" b="29692"/>
                    <a:stretch>
                      <a:fillRect/>
                    </a:stretch>
                  </pic:blipFill>
                  <pic:spPr>
                    <a:xfrm>
                      <a:off x="0" y="0"/>
                      <a:ext cx="5833187" cy="363322"/>
                    </a:xfrm>
                    <a:prstGeom prst="rect">
                      <a:avLst/>
                    </a:prstGeom>
                    <a:ln/>
                  </pic:spPr>
                </pic:pic>
              </a:graphicData>
            </a:graphic>
          </wp:inline>
        </w:drawing>
      </w:r>
      <w:r w:rsidRPr="0098686D">
        <w:rPr>
          <w:noProof/>
        </w:rPr>
        <w:drawing>
          <wp:inline distT="0" distB="0" distL="0" distR="0">
            <wp:extent cx="5967450" cy="362509"/>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l="20876" t="84188" r="6483" b="7966"/>
                    <a:stretch>
                      <a:fillRect/>
                    </a:stretch>
                  </pic:blipFill>
                  <pic:spPr>
                    <a:xfrm>
                      <a:off x="0" y="0"/>
                      <a:ext cx="5967450" cy="362509"/>
                    </a:xfrm>
                    <a:prstGeom prst="rect">
                      <a:avLst/>
                    </a:prstGeom>
                    <a:ln/>
                  </pic:spPr>
                </pic:pic>
              </a:graphicData>
            </a:graphic>
          </wp:inline>
        </w:drawing>
      </w:r>
    </w:p>
    <w:p w:rsidR="00E74020" w:rsidRPr="0098686D" w:rsidRDefault="00164A65">
      <w:pPr>
        <w:spacing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lo anteriormente expuesto, este órgano colegiado considera correcta la respuesta otorgada por 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hecha al momento de dar contestación a la solicitud de información, respecto de declarar su incompetencia, sin embargo la misma no se ajustó al contenido del diverso 167 de la Ley de Transparencia y Acceso </w:t>
      </w:r>
      <w:r w:rsidRPr="0098686D">
        <w:rPr>
          <w:rFonts w:ascii="Palatino Linotype" w:eastAsia="Palatino Linotype" w:hAnsi="Palatino Linotype" w:cs="Palatino Linotype"/>
          <w:sz w:val="24"/>
          <w:szCs w:val="24"/>
        </w:rPr>
        <w:lastRenderedPageBreak/>
        <w:t>a la Información Pública del Estado de México y Municipios, mismo que versa en el siguiente tenor:</w:t>
      </w:r>
    </w:p>
    <w:p w:rsidR="00E74020" w:rsidRPr="0098686D" w:rsidRDefault="00164A65">
      <w:pPr>
        <w:spacing w:after="0" w:line="360"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Artículo 167. Cuando las unidades de transparencia determinen la notoria incompetencia por parte de los sujetos obligados, dentro del ámbito de aplicación, para atender la solicitud de acceso a la información, deberán comunicarlo al solicitante, </w:t>
      </w:r>
      <w:r w:rsidRPr="0098686D">
        <w:rPr>
          <w:rFonts w:ascii="Palatino Linotype" w:eastAsia="Palatino Linotype" w:hAnsi="Palatino Linotype" w:cs="Palatino Linotype"/>
          <w:i/>
          <w:u w:val="single"/>
        </w:rPr>
        <w:t>dentro de los tres días hábiles posteriores a la recepción de la solicitud</w:t>
      </w:r>
      <w:r w:rsidRPr="0098686D">
        <w:rPr>
          <w:rFonts w:ascii="Palatino Linotype" w:eastAsia="Palatino Linotype" w:hAnsi="Palatino Linotype" w:cs="Palatino Linotype"/>
          <w:i/>
        </w:rPr>
        <w:t xml:space="preserve"> y, en su caso orientar al solicitante, el o los sujetos obligados competentes.</w:t>
      </w:r>
    </w:p>
    <w:p w:rsidR="00E74020" w:rsidRPr="0098686D" w:rsidRDefault="00E74020">
      <w:pPr>
        <w:spacing w:after="0" w:line="360" w:lineRule="auto"/>
        <w:ind w:left="851" w:right="900"/>
        <w:jc w:val="both"/>
        <w:rPr>
          <w:rFonts w:ascii="Palatino Linotype" w:eastAsia="Palatino Linotype" w:hAnsi="Palatino Linotype" w:cs="Palatino Linotype"/>
          <w:i/>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 El cual, establece que cuando las unidades de transparencia determinen la notoria incompetencia por parte de los sujetos obligados, dentro del ámbito de aplicación, para atender la solicitud de acceso a la información, </w:t>
      </w:r>
      <w:r w:rsidRPr="0098686D">
        <w:rPr>
          <w:rFonts w:ascii="Palatino Linotype" w:eastAsia="Palatino Linotype" w:hAnsi="Palatino Linotype" w:cs="Palatino Linotype"/>
          <w:b/>
          <w:sz w:val="24"/>
          <w:szCs w:val="24"/>
          <w:u w:val="single"/>
        </w:rPr>
        <w:t>deberán comunicarlo al solicitante, dentro de los tres días hábiles posteriores a la recepción de la solicitud y, en su caso orientar al solicitante, el o los sujetos obligados competentes</w:t>
      </w:r>
      <w:r w:rsidRPr="0098686D">
        <w:rPr>
          <w:rFonts w:ascii="Palatino Linotype" w:eastAsia="Palatino Linotype" w:hAnsi="Palatino Linotype" w:cs="Palatino Linotype"/>
          <w:sz w:val="24"/>
          <w:szCs w:val="24"/>
        </w:rPr>
        <w:t xml:space="preserve">. </w:t>
      </w:r>
    </w:p>
    <w:p w:rsidR="00E74020" w:rsidRPr="0098686D" w:rsidRDefault="00E74020">
      <w:pPr>
        <w:spacing w:after="0" w:line="360" w:lineRule="auto"/>
        <w:ind w:right="49"/>
        <w:jc w:val="both"/>
        <w:rPr>
          <w:rFonts w:ascii="Palatino Linotype" w:eastAsia="Palatino Linotype" w:hAnsi="Palatino Linotype" w:cs="Palatino Linotype"/>
          <w:sz w:val="24"/>
          <w:szCs w:val="24"/>
        </w:rPr>
      </w:pPr>
    </w:p>
    <w:p w:rsidR="00E74020" w:rsidRPr="0098686D" w:rsidRDefault="00164A65">
      <w:pPr>
        <w:spacing w:after="0" w:line="360" w:lineRule="auto"/>
        <w:ind w:right="-147"/>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Situación que se insiste no fue prevista por </w:t>
      </w:r>
      <w:r w:rsidRPr="0098686D">
        <w:rPr>
          <w:rFonts w:ascii="Palatino Linotype" w:eastAsia="Palatino Linotype" w:hAnsi="Palatino Linotype" w:cs="Palatino Linotype"/>
          <w:b/>
          <w:sz w:val="24"/>
          <w:szCs w:val="24"/>
        </w:rPr>
        <w:t>EL SUJETO OBLIGADO</w:t>
      </w:r>
      <w:r w:rsidRPr="0098686D">
        <w:rPr>
          <w:rFonts w:ascii="Palatino Linotype" w:eastAsia="Palatino Linotype" w:hAnsi="Palatino Linotype" w:cs="Palatino Linotype"/>
          <w:sz w:val="24"/>
          <w:szCs w:val="24"/>
        </w:rPr>
        <w:t xml:space="preserve"> ya que su respuesta fue proporcionada al décimo quinto día hábil de aquel en el que tuvo conocimiento de la solicitud de información, ya que esta se tuvo por presentada el veinte de septiembre y la respuesta proporcionada por 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fue notificada el once de octubre, ambos del dos mil veintidós.</w:t>
      </w:r>
    </w:p>
    <w:p w:rsidR="00E74020" w:rsidRPr="0098686D" w:rsidRDefault="00E74020">
      <w:pPr>
        <w:spacing w:after="0" w:line="360" w:lineRule="auto"/>
        <w:ind w:right="-147"/>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No obstante, mediante informe justificado 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remite las actas CT-2022-0107, CT-2022-0111, CT-2022-0110, CT-2022-0109 y CT-2022-0108 del Comité de Transparencia de la Secretaría de Finanzas, mediante la cual se confirma </w:t>
      </w:r>
      <w:r w:rsidRPr="0098686D">
        <w:rPr>
          <w:rFonts w:ascii="Palatino Linotype" w:eastAsia="Palatino Linotype" w:hAnsi="Palatino Linotype" w:cs="Palatino Linotype"/>
          <w:sz w:val="24"/>
          <w:szCs w:val="24"/>
        </w:rPr>
        <w:lastRenderedPageBreak/>
        <w:t xml:space="preserve">la incompetencia del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para contar con la información requerida, precisando que por mandato de ley, actualmente no cuenta con atribuciones para generar, poseer o administrar la información solicitada, reiterando que la misma puede ser solicitada ante otro sujeto obligado.</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En consecuencia, 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atendió su incompetencia a la que se hace referencia en la respuesta proporcionada, de conformidad a Ley de Transparencia y Acceso a la Información Pública del Estado de México y Municipios, tal como se observa a continuación:</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“Artículo 49. </w:t>
      </w:r>
      <w:r w:rsidRPr="0098686D">
        <w:rPr>
          <w:rFonts w:ascii="Palatino Linotype" w:eastAsia="Palatino Linotype" w:hAnsi="Palatino Linotype" w:cs="Palatino Linotype"/>
          <w:i/>
        </w:rPr>
        <w:t>Los Comités de Transparencia tendrán las siguientes atribuciones:</w:t>
      </w:r>
    </w:p>
    <w:p w:rsidR="00E74020" w:rsidRPr="0098686D" w:rsidRDefault="00164A65">
      <w:pPr>
        <w:spacing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p>
    <w:p w:rsidR="00E74020" w:rsidRPr="0098686D" w:rsidRDefault="00164A65">
      <w:pPr>
        <w:spacing w:line="276" w:lineRule="auto"/>
        <w:ind w:left="851" w:right="900"/>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II. </w:t>
      </w:r>
      <w:r w:rsidRPr="0098686D">
        <w:rPr>
          <w:rFonts w:ascii="Palatino Linotype" w:eastAsia="Palatino Linotype" w:hAnsi="Palatino Linotype" w:cs="Palatino Linotype"/>
          <w:i/>
        </w:rPr>
        <w:t xml:space="preserve">Confirmar, modificar o revocar las determinaciones que en materia de ampliación del plazo de respuesta, clasificación de la información y declaración de inexistencia </w:t>
      </w:r>
      <w:r w:rsidRPr="0098686D">
        <w:rPr>
          <w:rFonts w:ascii="Palatino Linotype" w:eastAsia="Palatino Linotype" w:hAnsi="Palatino Linotype" w:cs="Palatino Linotype"/>
          <w:b/>
          <w:i/>
        </w:rPr>
        <w:t xml:space="preserve">o </w:t>
      </w:r>
      <w:r w:rsidRPr="0098686D">
        <w:rPr>
          <w:rFonts w:ascii="Palatino Linotype" w:eastAsia="Palatino Linotype" w:hAnsi="Palatino Linotype" w:cs="Palatino Linotype"/>
          <w:b/>
          <w:i/>
          <w:u w:val="single"/>
        </w:rPr>
        <w:t>de incompetencia realicen los titulares de las áreas de los sujetos obligados</w:t>
      </w:r>
      <w:r w:rsidRPr="0098686D">
        <w:rPr>
          <w:rFonts w:ascii="Palatino Linotype" w:eastAsia="Palatino Linotype" w:hAnsi="Palatino Linotype" w:cs="Palatino Linotype"/>
          <w:i/>
        </w:rPr>
        <w:t>;</w:t>
      </w:r>
      <w:r w:rsidRPr="0098686D">
        <w:rPr>
          <w:rFonts w:ascii="Palatino Linotype" w:eastAsia="Palatino Linotype" w:hAnsi="Palatino Linotype" w:cs="Palatino Linotype"/>
          <w:b/>
          <w:i/>
        </w:rPr>
        <w:t>…</w:t>
      </w:r>
      <w:r w:rsidRPr="0098686D">
        <w:rPr>
          <w:rFonts w:ascii="Palatino Linotype" w:eastAsia="Palatino Linotype" w:hAnsi="Palatino Linotype" w:cs="Palatino Linotype"/>
          <w:i/>
        </w:rPr>
        <w:t>”</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Aunado a lo anterior, este Organismo Garante,</w:t>
      </w:r>
      <w:r w:rsidRPr="0098686D">
        <w:rPr>
          <w:rFonts w:ascii="Palatino Linotype" w:eastAsia="Palatino Linotype" w:hAnsi="Palatino Linotype" w:cs="Palatino Linotype"/>
          <w:b/>
          <w:sz w:val="24"/>
          <w:szCs w:val="24"/>
        </w:rPr>
        <w:t xml:space="preserve"> </w:t>
      </w:r>
      <w:r w:rsidRPr="0098686D">
        <w:rPr>
          <w:rFonts w:ascii="Palatino Linotype" w:eastAsia="Palatino Linotype" w:hAnsi="Palatino Linotype" w:cs="Palatino Linotype"/>
          <w:sz w:val="24"/>
          <w:szCs w:val="24"/>
        </w:rPr>
        <w:t xml:space="preserve">deja a salvo los derechos del </w:t>
      </w:r>
      <w:r w:rsidRPr="0098686D">
        <w:rPr>
          <w:rFonts w:ascii="Palatino Linotype" w:eastAsia="Palatino Linotype" w:hAnsi="Palatino Linotype" w:cs="Palatino Linotype"/>
          <w:b/>
          <w:sz w:val="24"/>
          <w:szCs w:val="24"/>
        </w:rPr>
        <w:t>RECURRENTE</w:t>
      </w:r>
      <w:r w:rsidRPr="0098686D">
        <w:rPr>
          <w:rFonts w:ascii="Palatino Linotype" w:eastAsia="Palatino Linotype" w:hAnsi="Palatino Linotype" w:cs="Palatino Linotype"/>
          <w:sz w:val="24"/>
          <w:szCs w:val="24"/>
        </w:rPr>
        <w:t xml:space="preserve">, para que pueda formular una nueva solicitud de acceso a la información pública ante 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correspondiente. </w:t>
      </w:r>
    </w:p>
    <w:p w:rsidR="00E74020" w:rsidRPr="0098686D" w:rsidRDefault="00E74020">
      <w:pPr>
        <w:spacing w:after="0" w:line="360" w:lineRule="auto"/>
        <w:ind w:right="-147"/>
        <w:jc w:val="both"/>
        <w:rPr>
          <w:rFonts w:ascii="Palatino Linotype" w:eastAsia="Palatino Linotype" w:hAnsi="Palatino Linotype" w:cs="Palatino Linotype"/>
          <w:sz w:val="24"/>
          <w:szCs w:val="24"/>
        </w:rPr>
      </w:pPr>
    </w:p>
    <w:p w:rsidR="00E74020" w:rsidRPr="0098686D" w:rsidRDefault="00164A65">
      <w:pPr>
        <w:spacing w:after="0" w:line="360" w:lineRule="auto"/>
        <w:ind w:right="-91"/>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QUINTO. VERSIÓN PÚBLICA.</w:t>
      </w:r>
      <w:r w:rsidRPr="0098686D">
        <w:rPr>
          <w:rFonts w:ascii="Palatino Linotype" w:eastAsia="Palatino Linotype" w:hAnsi="Palatino Linotype" w:cs="Palatino Linotype"/>
          <w:b/>
          <w:sz w:val="28"/>
          <w:szCs w:val="28"/>
        </w:rPr>
        <w:t xml:space="preserve"> </w:t>
      </w:r>
      <w:r w:rsidRPr="0098686D">
        <w:rPr>
          <w:rFonts w:ascii="Palatino Linotype" w:eastAsia="Palatino Linotype" w:hAnsi="Palatino Linotype" w:cs="Palatino Linotype"/>
          <w:sz w:val="24"/>
          <w:szCs w:val="24"/>
        </w:rPr>
        <w:t xml:space="preserve">Finalmente, debe señalarse que de ser el caso en que los documentos que vayan a ser entregados por el sujeto obligado, para dar cumplimiento a la presente resolución, contengan datos que deban ser clasificados, </w:t>
      </w:r>
      <w:r w:rsidRPr="0098686D">
        <w:rPr>
          <w:rFonts w:ascii="Palatino Linotype" w:eastAsia="Palatino Linotype" w:hAnsi="Palatino Linotype" w:cs="Palatino Linotype"/>
          <w:sz w:val="24"/>
          <w:szCs w:val="24"/>
        </w:rPr>
        <w:lastRenderedPageBreak/>
        <w:t xml:space="preserve">el </w:t>
      </w:r>
      <w:r w:rsidRPr="0098686D">
        <w:rPr>
          <w:rFonts w:ascii="Palatino Linotype" w:eastAsia="Palatino Linotype" w:hAnsi="Palatino Linotype" w:cs="Palatino Linotype"/>
          <w:b/>
          <w:sz w:val="24"/>
          <w:szCs w:val="24"/>
        </w:rPr>
        <w:t xml:space="preserve">SUJETO OBLIGADO </w:t>
      </w:r>
      <w:r w:rsidRPr="0098686D">
        <w:rPr>
          <w:rFonts w:ascii="Palatino Linotype" w:eastAsia="Palatino Linotype" w:hAnsi="Palatino Linotype" w:cs="Palatino Linotype"/>
          <w:sz w:val="24"/>
          <w:szCs w:val="24"/>
        </w:rPr>
        <w:t>deberá hacer la elaboración de la versión pública de tales documentos a fin de satisfacer el derecho de acceso a la información pública del recurrente sin menoscabo al derecho a la protección de los datos personales de terceros.</w:t>
      </w:r>
    </w:p>
    <w:p w:rsidR="00E74020" w:rsidRPr="0098686D" w:rsidRDefault="00E74020">
      <w:pPr>
        <w:spacing w:after="0" w:line="360" w:lineRule="auto"/>
        <w:ind w:right="-91"/>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98686D">
        <w:rPr>
          <w:rFonts w:ascii="Palatino Linotype" w:eastAsia="Palatino Linotype" w:hAnsi="Palatino Linotype" w:cs="Palatino Linotype"/>
          <w:sz w:val="24"/>
          <w:szCs w:val="24"/>
        </w:rPr>
        <w:t>fracción</w:t>
      </w:r>
      <w:proofErr w:type="gramEnd"/>
      <w:r w:rsidRPr="0098686D">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ind w:left="851" w:right="902"/>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r w:rsidRPr="0098686D">
        <w:rPr>
          <w:rFonts w:ascii="Palatino Linotype" w:eastAsia="Palatino Linotype" w:hAnsi="Palatino Linotype" w:cs="Palatino Linotype"/>
          <w:b/>
          <w:i/>
        </w:rPr>
        <w:t>Artículo 3</w:t>
      </w:r>
      <w:r w:rsidRPr="0098686D">
        <w:rPr>
          <w:rFonts w:ascii="Palatino Linotype" w:eastAsia="Palatino Linotype" w:hAnsi="Palatino Linotype" w:cs="Palatino Linotype"/>
          <w:i/>
        </w:rPr>
        <w:t>. Para los efectos de la presente Ley se entenderá por:</w:t>
      </w:r>
    </w:p>
    <w:p w:rsidR="00E74020" w:rsidRPr="0098686D" w:rsidRDefault="00164A65">
      <w:pPr>
        <w:spacing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IX. Datos personales</w:t>
      </w:r>
      <w:r w:rsidRPr="0098686D">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XX. Información clasificada</w:t>
      </w:r>
      <w:r w:rsidRPr="0098686D">
        <w:rPr>
          <w:rFonts w:ascii="Palatino Linotype" w:eastAsia="Palatino Linotype" w:hAnsi="Palatino Linotype" w:cs="Palatino Linotype"/>
          <w:i/>
        </w:rPr>
        <w:t>: Aquella considerada por la presente Ley como reservada o confidencial;</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 xml:space="preserve">XXI. Información confidencial: </w:t>
      </w:r>
      <w:r w:rsidRPr="0098686D">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XLV. Versión pública:</w:t>
      </w:r>
      <w:r w:rsidRPr="0098686D">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lastRenderedPageBreak/>
        <w:t>Artículo 91.</w:t>
      </w:r>
      <w:r w:rsidRPr="0098686D">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Artículo 132.</w:t>
      </w:r>
      <w:r w:rsidRPr="0098686D">
        <w:rPr>
          <w:rFonts w:ascii="Palatino Linotype" w:eastAsia="Palatino Linotype" w:hAnsi="Palatino Linotype" w:cs="Palatino Linotype"/>
          <w:i/>
        </w:rPr>
        <w:t xml:space="preserve"> La clasificación de la información se llevará a cabo en el momento en que:</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w:t>
      </w:r>
      <w:r w:rsidRPr="0098686D">
        <w:rPr>
          <w:rFonts w:ascii="Palatino Linotype" w:eastAsia="Palatino Linotype" w:hAnsi="Palatino Linotype" w:cs="Palatino Linotype"/>
          <w:i/>
        </w:rPr>
        <w:t>. Se reciba una solicitud de acceso a la información;</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II.</w:t>
      </w:r>
      <w:r w:rsidRPr="0098686D">
        <w:rPr>
          <w:rFonts w:ascii="Palatino Linotype" w:eastAsia="Palatino Linotype" w:hAnsi="Palatino Linotype" w:cs="Palatino Linotype"/>
          <w:i/>
        </w:rPr>
        <w:t xml:space="preserve"> Se determine mediante resolución de autoridad competente; o</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III.</w:t>
      </w:r>
      <w:r w:rsidRPr="0098686D">
        <w:rPr>
          <w:rFonts w:ascii="Palatino Linotype" w:eastAsia="Palatino Linotype" w:hAnsi="Palatino Linotype" w:cs="Palatino Linotype"/>
          <w:i/>
        </w:rPr>
        <w:t xml:space="preserve"> Se generen versiones públicas para dar cumplimiento a las obligaciones de transparencia previstas en esta Ley.</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i/>
        </w:rPr>
        <w:t>[…]</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Artículo 143</w:t>
      </w:r>
      <w:r w:rsidRPr="0098686D">
        <w:rPr>
          <w:rFonts w:ascii="Palatino Linotype" w:eastAsia="Palatino Linotype" w:hAnsi="Palatino Linotype" w:cs="Palatino Linotype"/>
          <w:i/>
        </w:rPr>
        <w:t>. Para los efectos de esta Ley se considera información confidencial, la clasificada como tal, de manera permanente, por su naturaleza, cuando:</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w:t>
      </w:r>
      <w:r w:rsidRPr="0098686D">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98686D">
        <w:rPr>
          <w:rFonts w:ascii="Palatino Linotype" w:eastAsia="Palatino Linotype" w:hAnsi="Palatino Linotype" w:cs="Palatino Linotype"/>
          <w:i/>
        </w:rPr>
        <w:t>jurídico</w:t>
      </w:r>
      <w:proofErr w:type="gramEnd"/>
      <w:r w:rsidRPr="0098686D">
        <w:rPr>
          <w:rFonts w:ascii="Palatino Linotype" w:eastAsia="Palatino Linotype" w:hAnsi="Palatino Linotype" w:cs="Palatino Linotype"/>
          <w:i/>
        </w:rPr>
        <w:t xml:space="preserve"> colectiva identificada o identificable;</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II.</w:t>
      </w:r>
      <w:r w:rsidRPr="0098686D">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III.</w:t>
      </w:r>
      <w:r w:rsidRPr="0098686D">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E74020" w:rsidRPr="0098686D" w:rsidRDefault="00164A65">
      <w:pPr>
        <w:spacing w:before="120" w:after="120"/>
        <w:ind w:left="851" w:right="902"/>
        <w:jc w:val="both"/>
        <w:rPr>
          <w:rFonts w:ascii="Palatino Linotype" w:eastAsia="Palatino Linotype" w:hAnsi="Palatino Linotype" w:cs="Palatino Linotype"/>
          <w:i/>
        </w:rPr>
      </w:pPr>
      <w:r w:rsidRPr="0098686D">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E74020" w:rsidRPr="0098686D" w:rsidRDefault="00E74020">
      <w:pPr>
        <w:spacing w:before="120" w:after="120"/>
        <w:ind w:left="851" w:right="902"/>
        <w:jc w:val="both"/>
        <w:rPr>
          <w:rFonts w:ascii="Palatino Linotype" w:eastAsia="Palatino Linotype" w:hAnsi="Palatino Linotype" w:cs="Palatino Linotype"/>
          <w:i/>
        </w:rPr>
      </w:pPr>
    </w:p>
    <w:p w:rsidR="00E74020" w:rsidRPr="0098686D" w:rsidRDefault="00164A65">
      <w:pPr>
        <w:spacing w:before="120"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w:t>
      </w:r>
      <w:r w:rsidRPr="0098686D">
        <w:rPr>
          <w:rFonts w:ascii="Palatino Linotype" w:eastAsia="Palatino Linotype" w:hAnsi="Palatino Linotype" w:cs="Palatino Linotype"/>
          <w:sz w:val="24"/>
          <w:szCs w:val="24"/>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120"/>
        <w:ind w:left="851"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“Quincuagésimo sexto</w:t>
      </w:r>
      <w:r w:rsidRPr="0098686D">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E74020" w:rsidRPr="0098686D" w:rsidRDefault="00164A65">
      <w:pPr>
        <w:spacing w:before="120" w:after="120"/>
        <w:ind w:left="851"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Quincuagésimo séptimo</w:t>
      </w:r>
      <w:r w:rsidRPr="0098686D">
        <w:rPr>
          <w:rFonts w:ascii="Palatino Linotype" w:eastAsia="Palatino Linotype" w:hAnsi="Palatino Linotype" w:cs="Palatino Linotype"/>
          <w:i/>
        </w:rPr>
        <w:t xml:space="preserve">. Se considera, en principio, como información pública y no podrá omitirse de las versiones públicas la siguiente: </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w:t>
      </w:r>
      <w:r w:rsidRPr="0098686D">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II.</w:t>
      </w:r>
      <w:r w:rsidRPr="0098686D">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III.</w:t>
      </w:r>
      <w:r w:rsidRPr="0098686D">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i/>
        </w:rPr>
        <w:lastRenderedPageBreak/>
        <w:t xml:space="preserve">Lo anterior, siempre y cuando no se acredite alguna causal de clasificación, prevista en las leyes o en los tratados internaciones suscritos por el Estado mexicano. </w:t>
      </w:r>
    </w:p>
    <w:p w:rsidR="00E74020" w:rsidRPr="0098686D" w:rsidRDefault="00164A65">
      <w:pPr>
        <w:spacing w:before="120" w:after="120"/>
        <w:ind w:left="1134" w:right="902"/>
        <w:jc w:val="both"/>
        <w:rPr>
          <w:rFonts w:ascii="Palatino Linotype" w:eastAsia="Palatino Linotype" w:hAnsi="Palatino Linotype" w:cs="Palatino Linotype"/>
          <w:i/>
        </w:rPr>
      </w:pPr>
      <w:r w:rsidRPr="0098686D">
        <w:rPr>
          <w:rFonts w:ascii="Palatino Linotype" w:eastAsia="Palatino Linotype" w:hAnsi="Palatino Linotype" w:cs="Palatino Linotype"/>
          <w:b/>
          <w:i/>
        </w:rPr>
        <w:t>Quincuagésimo octavo</w:t>
      </w:r>
      <w:r w:rsidRPr="0098686D">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24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3"/>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98686D" w:rsidRPr="0098686D">
        <w:tc>
          <w:tcPr>
            <w:tcW w:w="4414" w:type="dxa"/>
            <w:gridSpan w:val="2"/>
          </w:tcPr>
          <w:p w:rsidR="00E74020" w:rsidRPr="0098686D" w:rsidRDefault="00164A65">
            <w:pPr>
              <w:jc w:val="center"/>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Parcial</w:t>
            </w:r>
          </w:p>
        </w:tc>
        <w:tc>
          <w:tcPr>
            <w:tcW w:w="4414" w:type="dxa"/>
            <w:gridSpan w:val="2"/>
          </w:tcPr>
          <w:p w:rsidR="00E74020" w:rsidRPr="0098686D" w:rsidRDefault="00164A65">
            <w:pPr>
              <w:jc w:val="center"/>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Total</w:t>
            </w:r>
          </w:p>
        </w:tc>
      </w:tr>
      <w:tr w:rsidR="0098686D" w:rsidRPr="0098686D">
        <w:tc>
          <w:tcPr>
            <w:tcW w:w="993" w:type="dxa"/>
          </w:tcPr>
          <w:p w:rsidR="00E74020" w:rsidRPr="0098686D" w:rsidRDefault="00164A65">
            <w:pPr>
              <w:jc w:val="center"/>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Concepto</w:t>
            </w:r>
          </w:p>
        </w:tc>
        <w:tc>
          <w:tcPr>
            <w:tcW w:w="3421" w:type="dxa"/>
          </w:tcPr>
          <w:p w:rsidR="00E74020" w:rsidRPr="0098686D" w:rsidRDefault="00164A65">
            <w:pPr>
              <w:jc w:val="center"/>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Dónde</w:t>
            </w:r>
          </w:p>
        </w:tc>
        <w:tc>
          <w:tcPr>
            <w:tcW w:w="968" w:type="dxa"/>
          </w:tcPr>
          <w:p w:rsidR="00E74020" w:rsidRPr="0098686D" w:rsidRDefault="00164A65">
            <w:pPr>
              <w:jc w:val="center"/>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Concepto</w:t>
            </w:r>
          </w:p>
        </w:tc>
        <w:tc>
          <w:tcPr>
            <w:tcW w:w="3446" w:type="dxa"/>
          </w:tcPr>
          <w:p w:rsidR="00E74020" w:rsidRPr="0098686D" w:rsidRDefault="00164A65">
            <w:pPr>
              <w:jc w:val="center"/>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Dónde</w:t>
            </w:r>
          </w:p>
        </w:tc>
      </w:tr>
      <w:tr w:rsidR="0098686D" w:rsidRPr="0098686D">
        <w:tc>
          <w:tcPr>
            <w:tcW w:w="8828" w:type="dxa"/>
            <w:gridSpan w:val="4"/>
          </w:tcPr>
          <w:p w:rsidR="00E74020" w:rsidRPr="0098686D" w:rsidRDefault="00164A65">
            <w:pPr>
              <w:jc w:val="center"/>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Sello oficial o logotipo del sujeto obligado</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Fecha de clasificación</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Fecha de clasificación</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Área</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señalará el nombre del área del cual es titular quien clasifica.</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Área</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señalará el nombre del área de la cual es el titular quien clasifica.</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lastRenderedPageBreak/>
              <w:t>Información reservada</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98686D">
              <w:rPr>
                <w:rFonts w:ascii="Palatino Linotype" w:eastAsia="Palatino Linotype" w:hAnsi="Palatino Linotype" w:cs="Palatino Linotype"/>
                <w:sz w:val="12"/>
                <w:szCs w:val="12"/>
              </w:rPr>
              <w:t>anotarán</w:t>
            </w:r>
            <w:proofErr w:type="gramEnd"/>
            <w:r w:rsidRPr="0098686D">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Reservado</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Leyenda de información RESERVADA.</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Fundamento legal</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Periodo de reserva</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Ampliación del periodo de reserva</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Fundamento legal</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Confidencial</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Ampliación del periodo de reserva</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Fundamento legal</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Confidencial</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Leyenda de información CONFIDENCIAL.</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Rúbrica del titular del área</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Rúbrica autógrafa de quien clasifica.</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Fundamento legal</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Fecha de desclasificación</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anotará la fecha en que se desclasifica el documento.</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Rúbrica del titular del área</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Rúbrica autógrafa de quien clasifica.</w:t>
            </w:r>
          </w:p>
        </w:tc>
      </w:tr>
      <w:tr w:rsidR="0098686D" w:rsidRPr="0098686D">
        <w:tc>
          <w:tcPr>
            <w:tcW w:w="993"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Rúbrica y cargo del servidor público</w:t>
            </w:r>
          </w:p>
        </w:tc>
        <w:tc>
          <w:tcPr>
            <w:tcW w:w="3421"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Rúbrica autógrafa de quien desclasifica.</w:t>
            </w: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Fecha de desclasificación</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Se anotará la fecha en que se desclasifica.</w:t>
            </w:r>
          </w:p>
        </w:tc>
      </w:tr>
      <w:tr w:rsidR="0098686D" w:rsidRPr="0098686D">
        <w:tc>
          <w:tcPr>
            <w:tcW w:w="993" w:type="dxa"/>
          </w:tcPr>
          <w:p w:rsidR="00E74020" w:rsidRPr="0098686D" w:rsidRDefault="00E74020">
            <w:pPr>
              <w:jc w:val="both"/>
              <w:rPr>
                <w:rFonts w:ascii="Palatino Linotype" w:eastAsia="Palatino Linotype" w:hAnsi="Palatino Linotype" w:cs="Palatino Linotype"/>
                <w:sz w:val="12"/>
                <w:szCs w:val="12"/>
              </w:rPr>
            </w:pPr>
          </w:p>
        </w:tc>
        <w:tc>
          <w:tcPr>
            <w:tcW w:w="3421" w:type="dxa"/>
          </w:tcPr>
          <w:p w:rsidR="00E74020" w:rsidRPr="0098686D" w:rsidRDefault="00E74020">
            <w:pPr>
              <w:jc w:val="both"/>
              <w:rPr>
                <w:rFonts w:ascii="Palatino Linotype" w:eastAsia="Palatino Linotype" w:hAnsi="Palatino Linotype" w:cs="Palatino Linotype"/>
                <w:sz w:val="12"/>
                <w:szCs w:val="12"/>
              </w:rPr>
            </w:pP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Partes o secciones reservadas o confidenciales</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 xml:space="preserve">En caso que una vez desclasificado el expediente, </w:t>
            </w:r>
            <w:proofErr w:type="spellStart"/>
            <w:r w:rsidRPr="0098686D">
              <w:rPr>
                <w:rFonts w:ascii="Palatino Linotype" w:eastAsia="Palatino Linotype" w:hAnsi="Palatino Linotype" w:cs="Palatino Linotype"/>
                <w:sz w:val="12"/>
                <w:szCs w:val="12"/>
              </w:rPr>
              <w:t>subsistanpartes</w:t>
            </w:r>
            <w:proofErr w:type="spellEnd"/>
            <w:r w:rsidRPr="0098686D">
              <w:rPr>
                <w:rFonts w:ascii="Palatino Linotype" w:eastAsia="Palatino Linotype" w:hAnsi="Palatino Linotype" w:cs="Palatino Linotype"/>
                <w:sz w:val="12"/>
                <w:szCs w:val="12"/>
              </w:rPr>
              <w:t xml:space="preserve"> o secciones del mismo reservadas o confidenciales, se señalará este hecho.</w:t>
            </w:r>
          </w:p>
        </w:tc>
      </w:tr>
      <w:tr w:rsidR="0098686D" w:rsidRPr="0098686D">
        <w:tc>
          <w:tcPr>
            <w:tcW w:w="993" w:type="dxa"/>
          </w:tcPr>
          <w:p w:rsidR="00E74020" w:rsidRPr="0098686D" w:rsidRDefault="00E74020">
            <w:pPr>
              <w:jc w:val="both"/>
              <w:rPr>
                <w:rFonts w:ascii="Palatino Linotype" w:eastAsia="Palatino Linotype" w:hAnsi="Palatino Linotype" w:cs="Palatino Linotype"/>
                <w:sz w:val="12"/>
                <w:szCs w:val="12"/>
              </w:rPr>
            </w:pPr>
          </w:p>
        </w:tc>
        <w:tc>
          <w:tcPr>
            <w:tcW w:w="3421" w:type="dxa"/>
          </w:tcPr>
          <w:p w:rsidR="00E74020" w:rsidRPr="0098686D" w:rsidRDefault="00E74020">
            <w:pPr>
              <w:jc w:val="both"/>
              <w:rPr>
                <w:rFonts w:ascii="Palatino Linotype" w:eastAsia="Palatino Linotype" w:hAnsi="Palatino Linotype" w:cs="Palatino Linotype"/>
                <w:sz w:val="12"/>
                <w:szCs w:val="12"/>
              </w:rPr>
            </w:pPr>
          </w:p>
        </w:tc>
        <w:tc>
          <w:tcPr>
            <w:tcW w:w="968" w:type="dxa"/>
          </w:tcPr>
          <w:p w:rsidR="00E74020" w:rsidRPr="0098686D" w:rsidRDefault="00164A65">
            <w:pPr>
              <w:jc w:val="both"/>
              <w:rPr>
                <w:rFonts w:ascii="Palatino Linotype" w:eastAsia="Palatino Linotype" w:hAnsi="Palatino Linotype" w:cs="Palatino Linotype"/>
                <w:b/>
                <w:sz w:val="12"/>
                <w:szCs w:val="12"/>
              </w:rPr>
            </w:pPr>
            <w:r w:rsidRPr="0098686D">
              <w:rPr>
                <w:rFonts w:ascii="Palatino Linotype" w:eastAsia="Palatino Linotype" w:hAnsi="Palatino Linotype" w:cs="Palatino Linotype"/>
                <w:b/>
                <w:sz w:val="12"/>
                <w:szCs w:val="12"/>
              </w:rPr>
              <w:t>Rúbrica y cargo del servidor público</w:t>
            </w:r>
          </w:p>
        </w:tc>
        <w:tc>
          <w:tcPr>
            <w:tcW w:w="3446" w:type="dxa"/>
          </w:tcPr>
          <w:p w:rsidR="00E74020" w:rsidRPr="0098686D" w:rsidRDefault="00164A65">
            <w:pPr>
              <w:jc w:val="both"/>
              <w:rPr>
                <w:rFonts w:ascii="Palatino Linotype" w:eastAsia="Palatino Linotype" w:hAnsi="Palatino Linotype" w:cs="Palatino Linotype"/>
                <w:sz w:val="12"/>
                <w:szCs w:val="12"/>
              </w:rPr>
            </w:pPr>
            <w:r w:rsidRPr="0098686D">
              <w:rPr>
                <w:rFonts w:ascii="Palatino Linotype" w:eastAsia="Palatino Linotype" w:hAnsi="Palatino Linotype" w:cs="Palatino Linotype"/>
                <w:sz w:val="12"/>
                <w:szCs w:val="12"/>
              </w:rPr>
              <w:t>Rúbrica autógrafa de quien desclasifica.</w:t>
            </w:r>
          </w:p>
        </w:tc>
      </w:tr>
    </w:tbl>
    <w:p w:rsidR="00E74020" w:rsidRPr="0098686D" w:rsidRDefault="00E74020">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rsidR="00E74020" w:rsidRPr="0098686D" w:rsidRDefault="00164A6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w:t>
      </w:r>
      <w:r w:rsidRPr="0098686D">
        <w:rPr>
          <w:rFonts w:ascii="Palatino Linotype" w:eastAsia="Palatino Linotype" w:hAnsi="Palatino Linotype" w:cs="Palatino Linotype"/>
          <w:sz w:val="24"/>
          <w:szCs w:val="24"/>
        </w:rPr>
        <w:lastRenderedPageBreak/>
        <w:t>la Ley de Transparencia y Acceso a la Información Pública del Estado de México y Municipios, este Pleno:</w:t>
      </w:r>
    </w:p>
    <w:p w:rsidR="00E74020" w:rsidRPr="0098686D" w:rsidRDefault="00E74020">
      <w:pPr>
        <w:spacing w:after="0" w:line="360" w:lineRule="auto"/>
        <w:ind w:right="49"/>
        <w:jc w:val="both"/>
        <w:rPr>
          <w:rFonts w:ascii="Palatino Linotype" w:eastAsia="Palatino Linotype" w:hAnsi="Palatino Linotype" w:cs="Palatino Linotype"/>
          <w:sz w:val="24"/>
          <w:szCs w:val="24"/>
        </w:rPr>
      </w:pPr>
    </w:p>
    <w:p w:rsidR="00E74020" w:rsidRPr="0098686D" w:rsidRDefault="00164A65">
      <w:pPr>
        <w:spacing w:after="0" w:line="360" w:lineRule="auto"/>
        <w:ind w:right="-93"/>
        <w:jc w:val="center"/>
        <w:rPr>
          <w:rFonts w:ascii="Palatino Linotype" w:eastAsia="Palatino Linotype" w:hAnsi="Palatino Linotype" w:cs="Palatino Linotype"/>
          <w:b/>
          <w:sz w:val="24"/>
          <w:szCs w:val="24"/>
        </w:rPr>
      </w:pPr>
      <w:r w:rsidRPr="0098686D">
        <w:rPr>
          <w:rFonts w:ascii="Palatino Linotype" w:eastAsia="Palatino Linotype" w:hAnsi="Palatino Linotype" w:cs="Palatino Linotype"/>
          <w:b/>
          <w:sz w:val="24"/>
          <w:szCs w:val="24"/>
        </w:rPr>
        <w:t>R E S U E L V E:</w:t>
      </w:r>
    </w:p>
    <w:p w:rsidR="00E74020" w:rsidRPr="0098686D" w:rsidRDefault="00E74020">
      <w:pPr>
        <w:spacing w:after="0" w:line="360" w:lineRule="auto"/>
        <w:ind w:left="1080"/>
        <w:rPr>
          <w:rFonts w:ascii="Palatino Linotype" w:eastAsia="Palatino Linotype" w:hAnsi="Palatino Linotype" w:cs="Palatino Linotype"/>
          <w:b/>
          <w:sz w:val="24"/>
          <w:szCs w:val="24"/>
        </w:rPr>
      </w:pPr>
    </w:p>
    <w:p w:rsidR="00E74020" w:rsidRPr="0098686D" w:rsidRDefault="00164A65">
      <w:pPr>
        <w:spacing w:after="0" w:line="360" w:lineRule="auto"/>
        <w:jc w:val="both"/>
        <w:rPr>
          <w:rFonts w:ascii="Palatino Linotype" w:eastAsia="Palatino Linotype" w:hAnsi="Palatino Linotype" w:cs="Palatino Linotype"/>
          <w:b/>
          <w:sz w:val="24"/>
          <w:szCs w:val="24"/>
        </w:rPr>
      </w:pPr>
      <w:r w:rsidRPr="0098686D">
        <w:rPr>
          <w:rFonts w:ascii="Palatino Linotype" w:eastAsia="Palatino Linotype" w:hAnsi="Palatino Linotype" w:cs="Palatino Linotype"/>
          <w:b/>
          <w:sz w:val="24"/>
          <w:szCs w:val="24"/>
        </w:rPr>
        <w:t xml:space="preserve">PRIMERO. </w:t>
      </w:r>
      <w:r w:rsidRPr="0098686D">
        <w:rPr>
          <w:rFonts w:ascii="Palatino Linotype" w:eastAsia="Palatino Linotype" w:hAnsi="Palatino Linotype" w:cs="Palatino Linotype"/>
          <w:sz w:val="24"/>
          <w:szCs w:val="24"/>
        </w:rPr>
        <w:t xml:space="preserve">Resultan fundados los motivos de inconformidad hechos valer por </w:t>
      </w:r>
      <w:r w:rsidRPr="0098686D">
        <w:rPr>
          <w:rFonts w:ascii="Palatino Linotype" w:eastAsia="Palatino Linotype" w:hAnsi="Palatino Linotype" w:cs="Palatino Linotype"/>
          <w:b/>
          <w:sz w:val="24"/>
          <w:szCs w:val="24"/>
        </w:rPr>
        <w:t>LA PARTE RECURRENTE</w:t>
      </w:r>
      <w:r w:rsidRPr="0098686D">
        <w:rPr>
          <w:rFonts w:ascii="Palatino Linotype" w:eastAsia="Palatino Linotype" w:hAnsi="Palatino Linotype" w:cs="Palatino Linotype"/>
          <w:sz w:val="24"/>
          <w:szCs w:val="24"/>
        </w:rPr>
        <w:t xml:space="preserve"> en los Recursos de Revisión </w:t>
      </w:r>
      <w:r w:rsidRPr="0098686D">
        <w:rPr>
          <w:rFonts w:ascii="Palatino Linotype" w:eastAsia="Palatino Linotype" w:hAnsi="Palatino Linotype" w:cs="Palatino Linotype"/>
          <w:b/>
          <w:sz w:val="24"/>
          <w:szCs w:val="24"/>
        </w:rPr>
        <w:t xml:space="preserve">15624/INFOEM/IP/RR/2022 15625/INFOEM/IP/RR/2022, 15626/INFOEM/IP/RR/2022, 15627/INFOEM/IP/RR/2022 </w:t>
      </w:r>
      <w:r w:rsidRPr="0098686D">
        <w:rPr>
          <w:rFonts w:ascii="Palatino Linotype" w:eastAsia="Palatino Linotype" w:hAnsi="Palatino Linotype" w:cs="Palatino Linotype"/>
          <w:sz w:val="24"/>
          <w:szCs w:val="24"/>
        </w:rPr>
        <w:t xml:space="preserve">y </w:t>
      </w:r>
      <w:r w:rsidRPr="0098686D">
        <w:rPr>
          <w:rFonts w:ascii="Palatino Linotype" w:eastAsia="Palatino Linotype" w:hAnsi="Palatino Linotype" w:cs="Palatino Linotype"/>
          <w:b/>
          <w:sz w:val="24"/>
          <w:szCs w:val="24"/>
        </w:rPr>
        <w:t xml:space="preserve">15628/INFOEM/IP/RR/2022, </w:t>
      </w:r>
      <w:r w:rsidRPr="0098686D">
        <w:rPr>
          <w:rFonts w:ascii="Palatino Linotype" w:eastAsia="Palatino Linotype" w:hAnsi="Palatino Linotype" w:cs="Palatino Linotype"/>
          <w:sz w:val="24"/>
          <w:szCs w:val="24"/>
        </w:rPr>
        <w:t xml:space="preserve">por lo que, en términos del considerando </w:t>
      </w:r>
      <w:r w:rsidRPr="0098686D">
        <w:rPr>
          <w:rFonts w:ascii="Palatino Linotype" w:eastAsia="Palatino Linotype" w:hAnsi="Palatino Linotype" w:cs="Palatino Linotype"/>
          <w:b/>
          <w:sz w:val="24"/>
          <w:szCs w:val="24"/>
        </w:rPr>
        <w:t xml:space="preserve">Cuarto </w:t>
      </w:r>
      <w:r w:rsidRPr="0098686D">
        <w:rPr>
          <w:rFonts w:ascii="Palatino Linotype" w:eastAsia="Palatino Linotype" w:hAnsi="Palatino Linotype" w:cs="Palatino Linotype"/>
          <w:sz w:val="24"/>
          <w:szCs w:val="24"/>
        </w:rPr>
        <w:t xml:space="preserve">de esta resolución, se </w:t>
      </w:r>
      <w:r w:rsidRPr="0098686D">
        <w:rPr>
          <w:rFonts w:ascii="Palatino Linotype" w:eastAsia="Palatino Linotype" w:hAnsi="Palatino Linotype" w:cs="Palatino Linotype"/>
          <w:b/>
          <w:sz w:val="24"/>
          <w:szCs w:val="24"/>
        </w:rPr>
        <w:t xml:space="preserve">MODIFICAN </w:t>
      </w:r>
      <w:r w:rsidRPr="0098686D">
        <w:rPr>
          <w:rFonts w:ascii="Palatino Linotype" w:eastAsia="Palatino Linotype" w:hAnsi="Palatino Linotype" w:cs="Palatino Linotype"/>
          <w:sz w:val="24"/>
          <w:szCs w:val="24"/>
        </w:rPr>
        <w:t xml:space="preserve">las respuestas emitidas por </w:t>
      </w:r>
      <w:r w:rsidRPr="0098686D">
        <w:rPr>
          <w:rFonts w:ascii="Palatino Linotype" w:eastAsia="Palatino Linotype" w:hAnsi="Palatino Linotype" w:cs="Palatino Linotype"/>
          <w:b/>
          <w:sz w:val="24"/>
          <w:szCs w:val="24"/>
        </w:rPr>
        <w:t>EL SUJETO OBLIGADO</w:t>
      </w:r>
      <w:r w:rsidRPr="0098686D">
        <w:rPr>
          <w:rFonts w:ascii="Palatino Linotype" w:eastAsia="Palatino Linotype" w:hAnsi="Palatino Linotype" w:cs="Palatino Linotype"/>
          <w:sz w:val="24"/>
          <w:szCs w:val="24"/>
        </w:rPr>
        <w:t>.</w:t>
      </w: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 </w:t>
      </w:r>
    </w:p>
    <w:p w:rsidR="00E74020" w:rsidRPr="0098686D" w:rsidRDefault="00164A65">
      <w:pPr>
        <w:spacing w:after="0" w:line="360" w:lineRule="auto"/>
        <w:jc w:val="both"/>
        <w:rPr>
          <w:rFonts w:ascii="Palatino Linotype" w:eastAsia="Palatino Linotype" w:hAnsi="Palatino Linotype" w:cs="Palatino Linotype"/>
          <w:sz w:val="24"/>
          <w:szCs w:val="24"/>
        </w:rPr>
      </w:pPr>
      <w:bookmarkStart w:id="5" w:name="_heading=h.kelgs2428oa6" w:colFirst="0" w:colLast="0"/>
      <w:bookmarkEnd w:id="5"/>
      <w:r w:rsidRPr="0098686D">
        <w:rPr>
          <w:rFonts w:ascii="Palatino Linotype" w:eastAsia="Palatino Linotype" w:hAnsi="Palatino Linotype" w:cs="Palatino Linotype"/>
          <w:b/>
          <w:sz w:val="24"/>
          <w:szCs w:val="24"/>
        </w:rPr>
        <w:t xml:space="preserve">SEGUNDO. </w:t>
      </w:r>
      <w:r w:rsidRPr="0098686D">
        <w:rPr>
          <w:rFonts w:ascii="Palatino Linotype" w:eastAsia="Palatino Linotype" w:hAnsi="Palatino Linotype" w:cs="Palatino Linotype"/>
          <w:sz w:val="24"/>
          <w:szCs w:val="24"/>
        </w:rPr>
        <w:t>Se</w:t>
      </w:r>
      <w:r w:rsidRPr="0098686D">
        <w:rPr>
          <w:rFonts w:ascii="Palatino Linotype" w:eastAsia="Palatino Linotype" w:hAnsi="Palatino Linotype" w:cs="Palatino Linotype"/>
          <w:b/>
          <w:sz w:val="24"/>
          <w:szCs w:val="24"/>
        </w:rPr>
        <w:t xml:space="preserve"> ORDENA </w:t>
      </w:r>
      <w:r w:rsidRPr="0098686D">
        <w:rPr>
          <w:rFonts w:ascii="Palatino Linotype" w:eastAsia="Palatino Linotype" w:hAnsi="Palatino Linotype" w:cs="Palatino Linotype"/>
          <w:sz w:val="24"/>
          <w:szCs w:val="24"/>
        </w:rPr>
        <w:t xml:space="preserve">al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en términos del Considerando </w:t>
      </w:r>
      <w:r w:rsidRPr="0098686D">
        <w:rPr>
          <w:rFonts w:ascii="Palatino Linotype" w:eastAsia="Palatino Linotype" w:hAnsi="Palatino Linotype" w:cs="Palatino Linotype"/>
          <w:b/>
          <w:sz w:val="24"/>
          <w:szCs w:val="24"/>
        </w:rPr>
        <w:t xml:space="preserve">Cuarto </w:t>
      </w:r>
      <w:r w:rsidRPr="0098686D">
        <w:rPr>
          <w:rFonts w:ascii="Palatino Linotype" w:eastAsia="Palatino Linotype" w:hAnsi="Palatino Linotype" w:cs="Palatino Linotype"/>
          <w:sz w:val="24"/>
          <w:szCs w:val="24"/>
        </w:rPr>
        <w:t xml:space="preserve">de esta resolución, previa búsqueda exhaustiva y razonable, haga entrega en versión pública, vía </w:t>
      </w:r>
      <w:r w:rsidRPr="0098686D">
        <w:rPr>
          <w:rFonts w:ascii="Palatino Linotype" w:eastAsia="Palatino Linotype" w:hAnsi="Palatino Linotype" w:cs="Palatino Linotype"/>
          <w:b/>
          <w:sz w:val="24"/>
          <w:szCs w:val="24"/>
        </w:rPr>
        <w:t>SAIMEX</w:t>
      </w:r>
      <w:r w:rsidRPr="0098686D">
        <w:rPr>
          <w:rFonts w:ascii="Palatino Linotype" w:eastAsia="Palatino Linotype" w:hAnsi="Palatino Linotype" w:cs="Palatino Linotype"/>
          <w:sz w:val="24"/>
          <w:szCs w:val="24"/>
        </w:rPr>
        <w:t>,  de lo siguiente:</w:t>
      </w:r>
    </w:p>
    <w:p w:rsidR="00E74020" w:rsidRPr="0098686D" w:rsidRDefault="00E74020">
      <w:pPr>
        <w:spacing w:line="360" w:lineRule="auto"/>
        <w:jc w:val="both"/>
        <w:rPr>
          <w:rFonts w:ascii="Palatino Linotype" w:eastAsia="Palatino Linotype" w:hAnsi="Palatino Linotype" w:cs="Palatino Linotype"/>
          <w:sz w:val="24"/>
          <w:szCs w:val="24"/>
        </w:rPr>
      </w:pPr>
    </w:p>
    <w:p w:rsidR="00E74020" w:rsidRPr="0098686D" w:rsidRDefault="0008067B" w:rsidP="0008067B">
      <w:pPr>
        <w:pStyle w:val="Prrafodelista"/>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 xml:space="preserve">Documentos donde consten la cantidad total recaudada de las contribuciones que realizaron los desarrolladores inmobiliarios por concepto de aportaciones de mejoras para obras de impacto del primero de enero del año dos mil tres al </w:t>
      </w:r>
      <w:r w:rsidR="000660F8" w:rsidRPr="0098686D">
        <w:rPr>
          <w:rFonts w:ascii="Palatino Linotype" w:eastAsia="Palatino Linotype" w:hAnsi="Palatino Linotype" w:cs="Palatino Linotype"/>
          <w:sz w:val="24"/>
          <w:szCs w:val="24"/>
        </w:rPr>
        <w:t>veinte de septiembre</w:t>
      </w:r>
      <w:r w:rsidRPr="0098686D">
        <w:rPr>
          <w:rFonts w:ascii="Palatino Linotype" w:eastAsia="Palatino Linotype" w:hAnsi="Palatino Linotype" w:cs="Palatino Linotype"/>
          <w:sz w:val="24"/>
          <w:szCs w:val="24"/>
        </w:rPr>
        <w:t xml:space="preserve"> del año dos mil veinti</w:t>
      </w:r>
      <w:r w:rsidR="000660F8" w:rsidRPr="0098686D">
        <w:rPr>
          <w:rFonts w:ascii="Palatino Linotype" w:eastAsia="Palatino Linotype" w:hAnsi="Palatino Linotype" w:cs="Palatino Linotype"/>
          <w:sz w:val="24"/>
          <w:szCs w:val="24"/>
        </w:rPr>
        <w:t>dós</w:t>
      </w:r>
      <w:r w:rsidR="002E4B55" w:rsidRPr="0098686D">
        <w:rPr>
          <w:rFonts w:ascii="Palatino Linotype" w:eastAsia="Palatino Linotype" w:hAnsi="Palatino Linotype" w:cs="Palatino Linotype"/>
          <w:sz w:val="24"/>
          <w:szCs w:val="24"/>
        </w:rPr>
        <w:t xml:space="preserve">. </w:t>
      </w:r>
    </w:p>
    <w:p w:rsidR="0008067B" w:rsidRPr="0098686D" w:rsidRDefault="0008067B" w:rsidP="0008067B">
      <w:pPr>
        <w:pStyle w:val="Prrafodelista"/>
        <w:pBdr>
          <w:top w:val="nil"/>
          <w:left w:val="nil"/>
          <w:bottom w:val="nil"/>
          <w:right w:val="nil"/>
          <w:between w:val="nil"/>
        </w:pBdr>
        <w:spacing w:line="360" w:lineRule="auto"/>
        <w:ind w:left="720" w:right="49"/>
        <w:jc w:val="both"/>
        <w:rPr>
          <w:rFonts w:ascii="Palatino Linotype" w:eastAsia="Palatino Linotype" w:hAnsi="Palatino Linotype" w:cs="Palatino Linotype"/>
          <w:sz w:val="24"/>
          <w:szCs w:val="24"/>
        </w:rPr>
      </w:pPr>
    </w:p>
    <w:p w:rsidR="00E74020" w:rsidRPr="0098686D" w:rsidRDefault="00164A65" w:rsidP="0087147E">
      <w:pPr>
        <w:spacing w:after="0" w:line="276" w:lineRule="auto"/>
        <w:ind w:right="49"/>
        <w:jc w:val="both"/>
        <w:rPr>
          <w:rFonts w:ascii="Palatino Linotype" w:eastAsia="Palatino Linotype" w:hAnsi="Palatino Linotype" w:cs="Palatino Linotype"/>
          <w:i/>
        </w:rPr>
      </w:pPr>
      <w:r w:rsidRPr="0098686D">
        <w:rPr>
          <w:rFonts w:ascii="Palatino Linotype" w:eastAsia="Palatino Linotype" w:hAnsi="Palatino Linotype" w:cs="Palatino Linotype"/>
          <w:i/>
        </w:rPr>
        <w:t xml:space="preserve">Para la entrega en versión pública, deberá emitir el Acuerdo del Comité de Transparencia en términos de la Ley de Transparencia y Acceso a la Información Pública del Estado de México y Municipios, </w:t>
      </w:r>
      <w:r w:rsidRPr="0098686D">
        <w:rPr>
          <w:rFonts w:ascii="Palatino Linotype" w:eastAsia="Palatino Linotype" w:hAnsi="Palatino Linotype" w:cs="Palatino Linotype"/>
          <w:i/>
        </w:rPr>
        <w:lastRenderedPageBreak/>
        <w:t>en el que funde y motive las razones sobre los datos que se supriman o eliminen de los documentos remitidos que se ponga a disposición de la parte Recurrente.</w:t>
      </w:r>
    </w:p>
    <w:p w:rsidR="0008067B" w:rsidRPr="0098686D" w:rsidRDefault="0008067B">
      <w:pPr>
        <w:spacing w:after="0" w:line="360" w:lineRule="auto"/>
        <w:ind w:right="49"/>
        <w:jc w:val="both"/>
        <w:rPr>
          <w:rFonts w:ascii="Palatino Linotype" w:eastAsia="Palatino Linotype" w:hAnsi="Palatino Linotype" w:cs="Palatino Linotype"/>
          <w:i/>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TERCERO.  Notifíquese vía SAIMEX, </w:t>
      </w:r>
      <w:r w:rsidRPr="0098686D">
        <w:rPr>
          <w:rFonts w:ascii="Palatino Linotype" w:eastAsia="Palatino Linotype" w:hAnsi="Palatino Linotype" w:cs="Palatino Linotype"/>
          <w:sz w:val="24"/>
          <w:szCs w:val="24"/>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CUARTO. </w:t>
      </w:r>
      <w:r w:rsidRPr="0098686D">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98686D">
        <w:rPr>
          <w:rFonts w:ascii="Palatino Linotype" w:eastAsia="Palatino Linotype" w:hAnsi="Palatino Linotype" w:cs="Palatino Linotype"/>
          <w:b/>
          <w:sz w:val="24"/>
          <w:szCs w:val="24"/>
        </w:rPr>
        <w:t>Sujeto Obligado</w:t>
      </w:r>
      <w:r w:rsidRPr="0098686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E74020" w:rsidRPr="0098686D" w:rsidRDefault="00E74020">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b/>
          <w:sz w:val="24"/>
          <w:szCs w:val="24"/>
        </w:rPr>
        <w:t xml:space="preserve">QUINTO. Notifíquese vía SAIMEX, </w:t>
      </w:r>
      <w:r w:rsidRPr="0098686D">
        <w:rPr>
          <w:rFonts w:ascii="Palatino Linotype" w:eastAsia="Palatino Linotype" w:hAnsi="Palatino Linotype" w:cs="Palatino Linotype"/>
          <w:sz w:val="24"/>
          <w:szCs w:val="24"/>
        </w:rPr>
        <w:t xml:space="preserve">a </w:t>
      </w:r>
      <w:r w:rsidRPr="0098686D">
        <w:rPr>
          <w:rFonts w:ascii="Palatino Linotype" w:eastAsia="Palatino Linotype" w:hAnsi="Palatino Linotype" w:cs="Palatino Linotype"/>
          <w:b/>
          <w:sz w:val="24"/>
          <w:szCs w:val="24"/>
        </w:rPr>
        <w:t>la</w:t>
      </w:r>
      <w:r w:rsidRPr="0098686D">
        <w:rPr>
          <w:rFonts w:ascii="Palatino Linotype" w:eastAsia="Palatino Linotype" w:hAnsi="Palatino Linotype" w:cs="Palatino Linotype"/>
          <w:sz w:val="24"/>
          <w:szCs w:val="24"/>
        </w:rPr>
        <w:t xml:space="preserve"> parte </w:t>
      </w:r>
      <w:r w:rsidRPr="0098686D">
        <w:rPr>
          <w:rFonts w:ascii="Palatino Linotype" w:eastAsia="Palatino Linotype" w:hAnsi="Palatino Linotype" w:cs="Palatino Linotype"/>
          <w:b/>
          <w:sz w:val="24"/>
          <w:szCs w:val="24"/>
        </w:rPr>
        <w:t>Recurrente</w:t>
      </w:r>
      <w:r w:rsidRPr="0098686D">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E53C1A" w:rsidRPr="0098686D" w:rsidRDefault="00E53C1A">
      <w:pPr>
        <w:spacing w:after="0" w:line="360" w:lineRule="auto"/>
        <w:jc w:val="both"/>
        <w:rPr>
          <w:rFonts w:ascii="Palatino Linotype" w:eastAsia="Palatino Linotype" w:hAnsi="Palatino Linotype" w:cs="Palatino Linotype"/>
          <w:sz w:val="24"/>
          <w:szCs w:val="24"/>
        </w:rPr>
      </w:pPr>
    </w:p>
    <w:p w:rsidR="00E74020" w:rsidRPr="0098686D" w:rsidRDefault="00164A65">
      <w:pPr>
        <w:spacing w:after="0" w:line="360" w:lineRule="auto"/>
        <w:ind w:right="49"/>
        <w:jc w:val="both"/>
        <w:rPr>
          <w:rFonts w:ascii="Palatino Linotype" w:eastAsia="Palatino Linotype" w:hAnsi="Palatino Linotype" w:cs="Palatino Linotype"/>
          <w:sz w:val="24"/>
          <w:szCs w:val="24"/>
        </w:rPr>
      </w:pPr>
      <w:r w:rsidRPr="0098686D">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w:t>
      </w:r>
      <w:r w:rsidR="00E53C1A" w:rsidRPr="0098686D">
        <w:rPr>
          <w:rFonts w:ascii="Palatino Linotype" w:eastAsia="Palatino Linotype" w:hAnsi="Palatino Linotype" w:cs="Palatino Linotype"/>
          <w:sz w:val="24"/>
          <w:szCs w:val="24"/>
        </w:rPr>
        <w:t xml:space="preserve"> SEGUNDA</w:t>
      </w:r>
      <w:r w:rsidRPr="0098686D">
        <w:rPr>
          <w:rFonts w:ascii="Palatino Linotype" w:eastAsia="Palatino Linotype" w:hAnsi="Palatino Linotype" w:cs="Palatino Linotype"/>
          <w:sz w:val="24"/>
          <w:szCs w:val="24"/>
        </w:rPr>
        <w:t xml:space="preserve"> SESIÓN ORDINARIA CELEBRADA EL </w:t>
      </w:r>
      <w:r w:rsidR="00E53C1A" w:rsidRPr="0098686D">
        <w:rPr>
          <w:rFonts w:ascii="Palatino Linotype" w:eastAsia="Palatino Linotype" w:hAnsi="Palatino Linotype" w:cs="Palatino Linotype"/>
          <w:sz w:val="24"/>
          <w:szCs w:val="24"/>
        </w:rPr>
        <w:t>CATORCE</w:t>
      </w:r>
      <w:r w:rsidRPr="0098686D">
        <w:rPr>
          <w:rFonts w:ascii="Palatino Linotype" w:eastAsia="Palatino Linotype" w:hAnsi="Palatino Linotype" w:cs="Palatino Linotype"/>
          <w:sz w:val="24"/>
          <w:szCs w:val="24"/>
        </w:rPr>
        <w:t xml:space="preserve"> DE </w:t>
      </w:r>
      <w:r w:rsidR="00E53C1A" w:rsidRPr="0098686D">
        <w:rPr>
          <w:rFonts w:ascii="Palatino Linotype" w:eastAsia="Palatino Linotype" w:hAnsi="Palatino Linotype" w:cs="Palatino Linotype"/>
          <w:sz w:val="24"/>
          <w:szCs w:val="24"/>
        </w:rPr>
        <w:t>JUNI</w:t>
      </w:r>
      <w:r w:rsidRPr="0098686D">
        <w:rPr>
          <w:rFonts w:ascii="Palatino Linotype" w:eastAsia="Palatino Linotype" w:hAnsi="Palatino Linotype" w:cs="Palatino Linotype"/>
          <w:sz w:val="24"/>
          <w:szCs w:val="24"/>
        </w:rPr>
        <w:t>O DE DOS MIL VEINTITRÉS, ANTE EL SECRETARIO TÉCNICO DEL PLENO ALEXIS TAPIA RAMÍREZ.</w:t>
      </w:r>
    </w:p>
    <w:p w:rsidR="00E74020" w:rsidRDefault="0008693D">
      <w:pPr>
        <w:spacing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simplePos x="0" y="0"/>
                <wp:positionH relativeFrom="column">
                  <wp:posOffset>270200</wp:posOffset>
                </wp:positionH>
                <wp:positionV relativeFrom="paragraph">
                  <wp:posOffset>237652</wp:posOffset>
                </wp:positionV>
                <wp:extent cx="4869712" cy="3349256"/>
                <wp:effectExtent l="0" t="0" r="26670" b="22860"/>
                <wp:wrapNone/>
                <wp:docPr id="6" name="Conector recto 6"/>
                <wp:cNvGraphicFramePr/>
                <a:graphic xmlns:a="http://schemas.openxmlformats.org/drawingml/2006/main">
                  <a:graphicData uri="http://schemas.microsoft.com/office/word/2010/wordprocessingShape">
                    <wps:wsp>
                      <wps:cNvCnPr/>
                      <wps:spPr>
                        <a:xfrm>
                          <a:off x="0" y="0"/>
                          <a:ext cx="4869712" cy="334925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497F3"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3pt,18.7pt" to="404.75pt,2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ecvAEAAMUDAAAOAAAAZHJzL2Uyb0RvYy54bWysU8tu2zAQvBfoPxC815Kc1E0Eyzk4aC5F&#10;a7TJBzDU0iLAF5asJf99l7StFG2AokUvpJbcmd0ZrtZ3kzXsABi1dx1vFjVn4KTvtdt3/Onx47sb&#10;zmISrhfGO+j4ESK/27x9sx5DC0s/eNMDMiJxsR1Dx4eUQltVUQ5gRVz4AI4ulUcrEoW4r3oUI7Fb&#10;Uy3relWNHvuAXkKMdHp/uuSbwq8UyPRFqQiJmY5Tb6msWNbnvFabtWj3KMKg5bkN8Q9dWKEdFZ2p&#10;7kUS7Dvq36isluijV2khva28UlpC0UBqmvoXNd8GEaBoIXNimG2K/49Wfj7skOm+4yvOnLD0RFt6&#10;KJk8MswbW2WPxhBbSt26HZ6jGHaYBU8Kbd5JCpuKr8fZV5gSk3R4fbO6/dAsOZN0d3V1fbt8X1ir&#10;F3jAmB7AW5Y/Om60y8JFKw6fYqKSlHpJoSC3c2qgfKWjgZxs3FdQJIZKNgVdxgi2BtlB0AAIKcGl&#10;JgsivpKdYUobMwPrPwPP+RkKZcT+BjwjSmXv0gy22nl8rXqaLi2rU/7FgZPubMGz74/laYo1NCtF&#10;4Xmu8zD+HBf4y9+3+QEAAP//AwBQSwMEFAAGAAgAAAAhACu4iFbiAAAACQEAAA8AAABkcnMvZG93&#10;bnJldi54bWxMj0FLw0AUhO+C/2F5gje7MaZpjNmUUhBrQYqtUI/b7DOJZt+G3W2T/vuuJz0OM8x8&#10;U8xH3bETWtcaEnA/iYAhVUa1VAv42D3fZcCcl6RkZwgFnNHBvLy+KmSuzEDveNr6moUScrkU0Hjf&#10;55y7qkEt3cT0SMH7MlZLH6StubJyCOW643EUpVzLlsJCI3tcNlj9bI9awJtdrZaL9fmbNp962Mfr&#10;/eZ1fBHi9mZcPAHzOPq/MPziB3QoA9PBHEk51glI4jQkBTzMEmDBz6LHKbCDgGmaZMDLgv9/UF4A&#10;AAD//wMAUEsBAi0AFAAGAAgAAAAhALaDOJL+AAAA4QEAABMAAAAAAAAAAAAAAAAAAAAAAFtDb250&#10;ZW50X1R5cGVzXS54bWxQSwECLQAUAAYACAAAACEAOP0h/9YAAACUAQAACwAAAAAAAAAAAAAAAAAv&#10;AQAAX3JlbHMvLnJlbHNQSwECLQAUAAYACAAAACEAOyl3nLwBAADFAwAADgAAAAAAAAAAAAAAAAAu&#10;AgAAZHJzL2Uyb0RvYy54bWxQSwECLQAUAAYACAAAACEAK7iIVuIAAAAJAQAADwAAAAAAAAAAAAAA&#10;AAAWBAAAZHJzL2Rvd25yZXYueG1sUEsFBgAAAAAEAAQA8wAAACUFAAAAAA==&#10;" strokecolor="#5b9bd5 [3204]" strokeweight=".5pt">
                <v:stroke joinstyle="miter"/>
              </v:line>
            </w:pict>
          </mc:Fallback>
        </mc:AlternateContent>
      </w: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Default="0008693D">
      <w:pPr>
        <w:spacing w:line="360" w:lineRule="auto"/>
        <w:ind w:right="49"/>
        <w:jc w:val="both"/>
        <w:rPr>
          <w:rFonts w:ascii="Palatino Linotype" w:eastAsia="Palatino Linotype" w:hAnsi="Palatino Linotype" w:cs="Palatino Linotype"/>
          <w:sz w:val="24"/>
          <w:szCs w:val="24"/>
        </w:rPr>
      </w:pPr>
    </w:p>
    <w:p w:rsidR="0008693D" w:rsidRPr="0098686D" w:rsidRDefault="0008693D">
      <w:pPr>
        <w:spacing w:line="360" w:lineRule="auto"/>
        <w:ind w:right="49"/>
        <w:jc w:val="both"/>
        <w:rPr>
          <w:rFonts w:ascii="Palatino Linotype" w:eastAsia="Palatino Linotype" w:hAnsi="Palatino Linotype" w:cs="Palatino Linotype"/>
          <w:sz w:val="24"/>
          <w:szCs w:val="24"/>
        </w:rPr>
      </w:pPr>
    </w:p>
    <w:sectPr w:rsidR="0008693D" w:rsidRPr="0098686D">
      <w:headerReference w:type="default" r:id="rId16"/>
      <w:footerReference w:type="default" r:id="rId17"/>
      <w:headerReference w:type="first" r:id="rId18"/>
      <w:footerReference w:type="first" r:id="rId19"/>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409" w:rsidRDefault="00172409">
      <w:pPr>
        <w:spacing w:after="0" w:line="240" w:lineRule="auto"/>
      </w:pPr>
      <w:r>
        <w:separator/>
      </w:r>
    </w:p>
  </w:endnote>
  <w:endnote w:type="continuationSeparator" w:id="0">
    <w:p w:rsidR="00172409" w:rsidRDefault="00172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22B" w:rsidRDefault="00A362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D57CF">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D57CF">
      <w:rPr>
        <w:b/>
        <w:noProof/>
        <w:color w:val="000000"/>
        <w:sz w:val="24"/>
        <w:szCs w:val="24"/>
      </w:rPr>
      <w:t>69</w:t>
    </w:r>
    <w:r>
      <w:rPr>
        <w:b/>
        <w:color w:val="000000"/>
        <w:sz w:val="24"/>
        <w:szCs w:val="24"/>
      </w:rPr>
      <w:fldChar w:fldCharType="end"/>
    </w:r>
  </w:p>
  <w:p w:rsidR="00A3622B" w:rsidRDefault="00A3622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22B" w:rsidRDefault="00A3622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D57CF">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D57CF">
      <w:rPr>
        <w:b/>
        <w:noProof/>
        <w:color w:val="000000"/>
        <w:sz w:val="24"/>
        <w:szCs w:val="24"/>
      </w:rPr>
      <w:t>69</w:t>
    </w:r>
    <w:r>
      <w:rPr>
        <w:b/>
        <w:color w:val="000000"/>
        <w:sz w:val="24"/>
        <w:szCs w:val="24"/>
      </w:rPr>
      <w:fldChar w:fldCharType="end"/>
    </w:r>
  </w:p>
  <w:p w:rsidR="00A3622B" w:rsidRDefault="00A3622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409" w:rsidRDefault="00172409">
      <w:pPr>
        <w:spacing w:after="0" w:line="240" w:lineRule="auto"/>
      </w:pPr>
      <w:r>
        <w:separator/>
      </w:r>
    </w:p>
  </w:footnote>
  <w:footnote w:type="continuationSeparator" w:id="0">
    <w:p w:rsidR="00172409" w:rsidRDefault="00172409">
      <w:pPr>
        <w:spacing w:after="0" w:line="240" w:lineRule="auto"/>
      </w:pPr>
      <w:r>
        <w:continuationSeparator/>
      </w:r>
    </w:p>
  </w:footnote>
  <w:footnote w:id="1">
    <w:p w:rsidR="00A3622B" w:rsidRDefault="00A3622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A3622B" w:rsidRDefault="00A3622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A3622B" w:rsidRDefault="00A3622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22B" w:rsidRDefault="00A3622B">
    <w:pPr>
      <w:widowControl w:val="0"/>
      <w:pBdr>
        <w:top w:val="nil"/>
        <w:left w:val="nil"/>
        <w:bottom w:val="nil"/>
        <w:right w:val="nil"/>
        <w:between w:val="nil"/>
      </w:pBdr>
      <w:spacing w:after="0" w:line="276" w:lineRule="auto"/>
      <w:rPr>
        <w:color w:val="000000"/>
      </w:rPr>
    </w:pPr>
  </w:p>
  <w:tbl>
    <w:tblPr>
      <w:tblStyle w:val="a5"/>
      <w:tblW w:w="10346" w:type="dxa"/>
      <w:tblInd w:w="-1303" w:type="dxa"/>
      <w:tblLayout w:type="fixed"/>
      <w:tblLook w:val="0400" w:firstRow="0" w:lastRow="0" w:firstColumn="0" w:lastColumn="0" w:noHBand="0" w:noVBand="1"/>
    </w:tblPr>
    <w:tblGrid>
      <w:gridCol w:w="5684"/>
      <w:gridCol w:w="4662"/>
    </w:tblGrid>
    <w:tr w:rsidR="00A3622B">
      <w:trPr>
        <w:trHeight w:val="244"/>
      </w:trPr>
      <w:tc>
        <w:tcPr>
          <w:tcW w:w="5684" w:type="dxa"/>
        </w:tcPr>
        <w:p w:rsidR="00A3622B" w:rsidRDefault="00A3622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A3622B" w:rsidRDefault="00A3622B">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15624/INFOEM/IP/RR/2022 y acumulados.</w:t>
          </w:r>
        </w:p>
      </w:tc>
    </w:tr>
    <w:tr w:rsidR="00A3622B">
      <w:trPr>
        <w:trHeight w:val="210"/>
      </w:trPr>
      <w:tc>
        <w:tcPr>
          <w:tcW w:w="5684" w:type="dxa"/>
        </w:tcPr>
        <w:p w:rsidR="00A3622B" w:rsidRDefault="00A3622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A3622B" w:rsidRDefault="00A3622B">
          <w:pPr>
            <w:spacing w:after="120"/>
            <w:ind w:left="-486" w:right="214" w:firstLine="567"/>
            <w:jc w:val="right"/>
            <w:rPr>
              <w:rFonts w:ascii="Palatino Linotype" w:eastAsia="Palatino Linotype" w:hAnsi="Palatino Linotype" w:cs="Palatino Linotype"/>
              <w:sz w:val="24"/>
              <w:szCs w:val="24"/>
            </w:rPr>
          </w:pPr>
        </w:p>
      </w:tc>
    </w:tr>
    <w:tr w:rsidR="00A3622B">
      <w:trPr>
        <w:trHeight w:val="261"/>
      </w:trPr>
      <w:tc>
        <w:tcPr>
          <w:tcW w:w="5684" w:type="dxa"/>
        </w:tcPr>
        <w:p w:rsidR="00A3622B" w:rsidRDefault="00A3622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A3622B" w:rsidRDefault="00A3622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de Finanzas.</w:t>
          </w:r>
        </w:p>
      </w:tc>
    </w:tr>
    <w:tr w:rsidR="00A3622B">
      <w:trPr>
        <w:trHeight w:val="368"/>
      </w:trPr>
      <w:tc>
        <w:tcPr>
          <w:tcW w:w="5684" w:type="dxa"/>
        </w:tcPr>
        <w:p w:rsidR="00A3622B" w:rsidRDefault="00A3622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A3622B" w:rsidRDefault="00A3622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A3622B" w:rsidRDefault="00A3622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-817244</wp:posOffset>
          </wp:positionH>
          <wp:positionV relativeFrom="paragraph">
            <wp:posOffset>-1514474</wp:posOffset>
          </wp:positionV>
          <wp:extent cx="7753350" cy="9942731"/>
          <wp:effectExtent l="0" t="0" r="0" b="0"/>
          <wp:wrapNone/>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22B" w:rsidRDefault="00A3622B">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4"/>
      <w:tblW w:w="10346" w:type="dxa"/>
      <w:tblInd w:w="-1303" w:type="dxa"/>
      <w:tblLayout w:type="fixed"/>
      <w:tblLook w:val="0400" w:firstRow="0" w:lastRow="0" w:firstColumn="0" w:lastColumn="0" w:noHBand="0" w:noVBand="1"/>
    </w:tblPr>
    <w:tblGrid>
      <w:gridCol w:w="5684"/>
      <w:gridCol w:w="4662"/>
    </w:tblGrid>
    <w:tr w:rsidR="00A3622B">
      <w:trPr>
        <w:trHeight w:val="244"/>
      </w:trPr>
      <w:tc>
        <w:tcPr>
          <w:tcW w:w="5684" w:type="dxa"/>
        </w:tcPr>
        <w:p w:rsidR="00A3622B" w:rsidRDefault="00A3622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62" w:type="dxa"/>
        </w:tcPr>
        <w:p w:rsidR="00A3622B" w:rsidRDefault="00A3622B" w:rsidP="00245641">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15624/INFOEM/IP/RR/2022 y acumulados.</w:t>
          </w:r>
        </w:p>
      </w:tc>
    </w:tr>
    <w:tr w:rsidR="00A3622B">
      <w:trPr>
        <w:trHeight w:val="210"/>
      </w:trPr>
      <w:tc>
        <w:tcPr>
          <w:tcW w:w="5684" w:type="dxa"/>
        </w:tcPr>
        <w:p w:rsidR="00A3622B" w:rsidRDefault="00A3622B">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rsidR="00A3622B" w:rsidRDefault="00A3622B">
          <w:pPr>
            <w:spacing w:after="120"/>
            <w:ind w:left="-486" w:right="214" w:firstLine="567"/>
            <w:jc w:val="right"/>
            <w:rPr>
              <w:rFonts w:ascii="Palatino Linotype" w:eastAsia="Palatino Linotype" w:hAnsi="Palatino Linotype" w:cs="Palatino Linotype"/>
              <w:sz w:val="24"/>
              <w:szCs w:val="24"/>
            </w:rPr>
          </w:pPr>
        </w:p>
      </w:tc>
    </w:tr>
    <w:tr w:rsidR="00A3622B">
      <w:trPr>
        <w:trHeight w:val="261"/>
      </w:trPr>
      <w:tc>
        <w:tcPr>
          <w:tcW w:w="5684" w:type="dxa"/>
        </w:tcPr>
        <w:p w:rsidR="00A3622B" w:rsidRDefault="00A3622B">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rsidR="00A3622B" w:rsidRDefault="00A3622B">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Secretaría de Finanzas.</w:t>
          </w:r>
        </w:p>
      </w:tc>
    </w:tr>
    <w:tr w:rsidR="00A3622B">
      <w:trPr>
        <w:trHeight w:val="368"/>
      </w:trPr>
      <w:tc>
        <w:tcPr>
          <w:tcW w:w="5684" w:type="dxa"/>
        </w:tcPr>
        <w:p w:rsidR="00A3622B" w:rsidRDefault="00A3622B">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rsidR="00A3622B" w:rsidRDefault="00A3622B">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A3622B" w:rsidRDefault="00A3622B">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-807719</wp:posOffset>
          </wp:positionH>
          <wp:positionV relativeFrom="paragraph">
            <wp:posOffset>-1523999</wp:posOffset>
          </wp:positionV>
          <wp:extent cx="7753350" cy="9942731"/>
          <wp:effectExtent l="0" t="0" r="0" b="0"/>
          <wp:wrapNone/>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27E02"/>
    <w:multiLevelType w:val="multilevel"/>
    <w:tmpl w:val="A84CF054"/>
    <w:lvl w:ilvl="0">
      <w:start w:val="5"/>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020"/>
    <w:rsid w:val="000260BB"/>
    <w:rsid w:val="000660F8"/>
    <w:rsid w:val="0008067B"/>
    <w:rsid w:val="0008693D"/>
    <w:rsid w:val="00152A86"/>
    <w:rsid w:val="00164A65"/>
    <w:rsid w:val="00172409"/>
    <w:rsid w:val="00245641"/>
    <w:rsid w:val="00250733"/>
    <w:rsid w:val="002E4B55"/>
    <w:rsid w:val="005B15CB"/>
    <w:rsid w:val="005E58C6"/>
    <w:rsid w:val="005E7DAB"/>
    <w:rsid w:val="006D57CF"/>
    <w:rsid w:val="00752216"/>
    <w:rsid w:val="008357E8"/>
    <w:rsid w:val="0087147E"/>
    <w:rsid w:val="00905A41"/>
    <w:rsid w:val="0098686D"/>
    <w:rsid w:val="00A078D7"/>
    <w:rsid w:val="00A3622B"/>
    <w:rsid w:val="00B80C04"/>
    <w:rsid w:val="00BE4D17"/>
    <w:rsid w:val="00CD7949"/>
    <w:rsid w:val="00E00C50"/>
    <w:rsid w:val="00E06B69"/>
    <w:rsid w:val="00E53C1A"/>
    <w:rsid w:val="00E56451"/>
    <w:rsid w:val="00E74020"/>
    <w:rsid w:val="00ED29BB"/>
    <w:rsid w:val="00F306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B6A454F-A0C2-4EED-AAE2-FBE68831F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682"/>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156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15682"/>
  </w:style>
  <w:style w:type="paragraph" w:styleId="Piedepgina">
    <w:name w:val="footer"/>
    <w:basedOn w:val="Normal"/>
    <w:link w:val="PiedepginaCar"/>
    <w:uiPriority w:val="99"/>
    <w:unhideWhenUsed/>
    <w:rsid w:val="0071568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15682"/>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55459"/>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55459"/>
    <w:pPr>
      <w:spacing w:after="0" w:line="240" w:lineRule="auto"/>
      <w:ind w:left="708"/>
    </w:pPr>
    <w:rPr>
      <w:rFonts w:ascii="Times New Roman" w:eastAsia="Times New Roman" w:hAnsi="Times New Roman" w:cs="Times New Roman"/>
      <w:lang w:eastAsia="en-US"/>
    </w:rPr>
  </w:style>
  <w:style w:type="character" w:styleId="Hipervnculo">
    <w:name w:val="Hyperlink"/>
    <w:basedOn w:val="Fuentedeprrafopredeter"/>
    <w:uiPriority w:val="99"/>
    <w:unhideWhenUsed/>
    <w:rsid w:val="00AB5F10"/>
    <w:rPr>
      <w:color w:val="0563C1" w:themeColor="hyperlink"/>
      <w:u w:val="single"/>
    </w:rPr>
  </w:style>
  <w:style w:type="character" w:styleId="Hipervnculovisitado">
    <w:name w:val="FollowedHyperlink"/>
    <w:basedOn w:val="Fuentedeprrafopredeter"/>
    <w:uiPriority w:val="99"/>
    <w:semiHidden/>
    <w:unhideWhenUsed/>
    <w:rsid w:val="002A1C90"/>
    <w:rPr>
      <w:color w:val="954F72"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080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transparenciafiscal.edomex.gob.mx/rendici%C3%B3n_cuentas"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8rkPbTBsvAzH6Um4/c/nrU30A==">CgMxLjAyCWguMzBqMHpsbDIJaC4xZm9iOXRlMgloLjN6bnlzaDcyCGguZ2pkZ3hzMgloLjMwajB6bGwyDmgua2VsZ3MyNDI4b2E2OAByITFaS0MwbWI3dEpaczBIM012czhjTVRxYUtfM0FtUTVaZw==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13346</Words>
  <Characters>73407</Characters>
  <Application>Microsoft Office Word</Application>
  <DocSecurity>0</DocSecurity>
  <Lines>611</Lines>
  <Paragraphs>173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86580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2023-06-16T16:44:00Z</cp:lastPrinted>
  <dcterms:created xsi:type="dcterms:W3CDTF">2023-06-28T20:21:00Z</dcterms:created>
  <dcterms:modified xsi:type="dcterms:W3CDTF">2023-06-28T20:21:00Z</dcterms:modified>
</cp:coreProperties>
</file>