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86681"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quince de noviembre de dos mil veintitrés. </w:t>
      </w:r>
    </w:p>
    <w:p w14:paraId="5F7125FF" w14:textId="74DD0A5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VISTO</w:t>
      </w:r>
      <w:r w:rsidRPr="00A75F94">
        <w:rPr>
          <w:rFonts w:ascii="Palatino Linotype" w:eastAsia="Palatino Linotype" w:hAnsi="Palatino Linotype" w:cs="Palatino Linotype"/>
        </w:rPr>
        <w:t xml:space="preserve"> el expediente formado con motivo del recurso de revisión </w:t>
      </w:r>
      <w:r w:rsidRPr="00A75F94">
        <w:rPr>
          <w:rFonts w:ascii="Palatino Linotype" w:eastAsia="Palatino Linotype" w:hAnsi="Palatino Linotype" w:cs="Palatino Linotype"/>
          <w:b/>
        </w:rPr>
        <w:t>00879/INFOEM/IP/RR/2023</w:t>
      </w:r>
      <w:r w:rsidRPr="00A75F94">
        <w:rPr>
          <w:rFonts w:ascii="Palatino Linotype" w:eastAsia="Palatino Linotype" w:hAnsi="Palatino Linotype" w:cs="Palatino Linotype"/>
        </w:rPr>
        <w:t>, interpuesto por</w:t>
      </w:r>
      <w:r w:rsidRPr="00A75F94">
        <w:rPr>
          <w:rFonts w:ascii="Palatino Linotype" w:eastAsia="Palatino Linotype" w:hAnsi="Palatino Linotype" w:cs="Palatino Linotype"/>
          <w:b/>
        </w:rPr>
        <w:t xml:space="preserve"> </w:t>
      </w:r>
      <w:r w:rsidR="00AF6722">
        <w:rPr>
          <w:rFonts w:ascii="Palatino Linotype" w:eastAsia="Palatino Linotype" w:hAnsi="Palatino Linotype" w:cs="Palatino Linotype"/>
          <w:b/>
        </w:rPr>
        <w:t>XXXX XXXXX XXXXXX XXXX</w:t>
      </w:r>
      <w:r w:rsidRPr="00A75F94">
        <w:rPr>
          <w:rFonts w:ascii="Palatino Linotype" w:eastAsia="Palatino Linotype" w:hAnsi="Palatino Linotype" w:cs="Palatino Linotype"/>
          <w:b/>
        </w:rPr>
        <w:t>,</w:t>
      </w:r>
      <w:r w:rsidRPr="00A75F94">
        <w:rPr>
          <w:rFonts w:ascii="Palatino Linotype" w:eastAsia="Palatino Linotype" w:hAnsi="Palatino Linotype" w:cs="Palatino Linotype"/>
        </w:rPr>
        <w:t xml:space="preserve"> en lo sucesivo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xml:space="preserve"> en contra de la respuesta a su solicitud por parte del </w:t>
      </w:r>
      <w:r w:rsidRPr="00A75F94">
        <w:rPr>
          <w:rFonts w:ascii="Palatino Linotype" w:eastAsia="Palatino Linotype" w:hAnsi="Palatino Linotype" w:cs="Palatino Linotype"/>
          <w:b/>
        </w:rPr>
        <w:t xml:space="preserve">Ayuntamiento de Tequixquiac, </w:t>
      </w:r>
      <w:r w:rsidRPr="00A75F94">
        <w:rPr>
          <w:rFonts w:ascii="Palatino Linotype" w:eastAsia="Palatino Linotype" w:hAnsi="Palatino Linotype" w:cs="Palatino Linotype"/>
        </w:rPr>
        <w:t xml:space="preserve">en lo sucesivo el </w:t>
      </w:r>
      <w:r w:rsidRPr="00A75F94">
        <w:rPr>
          <w:rFonts w:ascii="Palatino Linotype" w:eastAsia="Palatino Linotype" w:hAnsi="Palatino Linotype" w:cs="Palatino Linotype"/>
          <w:b/>
        </w:rPr>
        <w:t xml:space="preserve">SUJETO OBLIGADO, </w:t>
      </w:r>
      <w:r w:rsidRPr="00A75F94">
        <w:rPr>
          <w:rFonts w:ascii="Palatino Linotype" w:eastAsia="Palatino Linotype" w:hAnsi="Palatino Linotype" w:cs="Palatino Linotype"/>
        </w:rPr>
        <w:t xml:space="preserve">se procede a dictar la presente resolución con base en los siguientes: </w:t>
      </w:r>
    </w:p>
    <w:p w14:paraId="12CB9E40" w14:textId="77777777" w:rsidR="00C12117" w:rsidRPr="00A75F94" w:rsidRDefault="00507A46">
      <w:pPr>
        <w:spacing w:before="240" w:after="240" w:line="360" w:lineRule="auto"/>
        <w:jc w:val="center"/>
        <w:rPr>
          <w:rFonts w:ascii="Palatino Linotype" w:eastAsia="Palatino Linotype" w:hAnsi="Palatino Linotype" w:cs="Palatino Linotype"/>
          <w:b/>
        </w:rPr>
      </w:pPr>
      <w:r w:rsidRPr="00A75F94">
        <w:rPr>
          <w:rFonts w:ascii="Palatino Linotype" w:eastAsia="Palatino Linotype" w:hAnsi="Palatino Linotype" w:cs="Palatino Linotype"/>
          <w:b/>
        </w:rPr>
        <w:t>I. A N T E C E D E N T E S</w:t>
      </w:r>
    </w:p>
    <w:p w14:paraId="2882C555"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1. Solicitud de acceso a la información.</w:t>
      </w:r>
      <w:r w:rsidRPr="00A75F94">
        <w:rPr>
          <w:rFonts w:ascii="Palatino Linotype" w:eastAsia="Palatino Linotype" w:hAnsi="Palatino Linotype" w:cs="Palatino Linotype"/>
        </w:rPr>
        <w:t xml:space="preserve"> Con fecha </w:t>
      </w:r>
      <w:r w:rsidRPr="00A75F94">
        <w:rPr>
          <w:rFonts w:ascii="Palatino Linotype" w:eastAsia="Palatino Linotype" w:hAnsi="Palatino Linotype" w:cs="Palatino Linotype"/>
          <w:b/>
        </w:rPr>
        <w:t>nueve de enero de dos mil veintitrés,</w:t>
      </w:r>
      <w:r w:rsidRPr="00A75F94">
        <w:rPr>
          <w:rFonts w:ascii="Palatino Linotype" w:eastAsia="Palatino Linotype" w:hAnsi="Palatino Linotype" w:cs="Palatino Linotype"/>
        </w:rPr>
        <w:t xml:space="preserve"> la parte </w:t>
      </w:r>
      <w:r w:rsidRPr="00A75F94">
        <w:rPr>
          <w:rFonts w:ascii="Palatino Linotype" w:eastAsia="Palatino Linotype" w:hAnsi="Palatino Linotype" w:cs="Palatino Linotype"/>
          <w:b/>
        </w:rPr>
        <w:t xml:space="preserve">RECURRENTE </w:t>
      </w:r>
      <w:r w:rsidRPr="00A75F94">
        <w:rPr>
          <w:rFonts w:ascii="Palatino Linotype" w:eastAsia="Palatino Linotype" w:hAnsi="Palatino Linotype" w:cs="Palatino Linotype"/>
        </w:rPr>
        <w:t xml:space="preserve">presentó, través del Sistema de Acceso a la Información Mexiquense, en lo subsecuente el </w:t>
      </w:r>
      <w:r w:rsidRPr="00A75F94">
        <w:rPr>
          <w:rFonts w:ascii="Palatino Linotype" w:eastAsia="Palatino Linotype" w:hAnsi="Palatino Linotype" w:cs="Palatino Linotype"/>
          <w:b/>
        </w:rPr>
        <w:t>SAIMEX,</w:t>
      </w:r>
      <w:r w:rsidRPr="00A75F94">
        <w:rPr>
          <w:rFonts w:ascii="Palatino Linotype" w:eastAsia="Palatino Linotype" w:hAnsi="Palatino Linotype" w:cs="Palatino Linotype"/>
        </w:rPr>
        <w:t xml:space="preserve"> ante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la solicitud de acceso a la información pública, a la que se le asignó el número</w:t>
      </w:r>
      <w:r w:rsidRPr="00A75F94">
        <w:rPr>
          <w:rFonts w:ascii="Palatino Linotype" w:eastAsia="Palatino Linotype" w:hAnsi="Palatino Linotype" w:cs="Palatino Linotype"/>
          <w:b/>
        </w:rPr>
        <w:t xml:space="preserve"> 00038/TEQUIXQU/IP/2023, </w:t>
      </w:r>
      <w:r w:rsidRPr="00A75F94">
        <w:rPr>
          <w:rFonts w:ascii="Palatino Linotype" w:eastAsia="Palatino Linotype" w:hAnsi="Palatino Linotype" w:cs="Palatino Linotype"/>
        </w:rPr>
        <w:t xml:space="preserve">mediante la cual requirió la información siguiente: </w:t>
      </w:r>
    </w:p>
    <w:p w14:paraId="3BD91DAE" w14:textId="77777777" w:rsidR="00C12117" w:rsidRPr="00A75F94" w:rsidRDefault="00507A46">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A75F94">
        <w:rPr>
          <w:rFonts w:ascii="Palatino Linotype" w:eastAsia="Palatino Linotype" w:hAnsi="Palatino Linotype" w:cs="Palatino Linotype"/>
          <w:i/>
          <w:sz w:val="22"/>
          <w:szCs w:val="22"/>
        </w:rPr>
        <w:t>“se solicitan todas las actas de cabildo, de la presente administración” (Sic)</w:t>
      </w:r>
    </w:p>
    <w:p w14:paraId="135460D9" w14:textId="77777777" w:rsidR="00C12117" w:rsidRPr="00A75F94" w:rsidRDefault="00C12117">
      <w:pPr>
        <w:ind w:left="851" w:right="902"/>
        <w:jc w:val="both"/>
        <w:rPr>
          <w:rFonts w:ascii="Palatino Linotype" w:eastAsia="Palatino Linotype" w:hAnsi="Palatino Linotype" w:cs="Palatino Linotype"/>
          <w:i/>
          <w:sz w:val="22"/>
          <w:szCs w:val="22"/>
        </w:rPr>
      </w:pPr>
    </w:p>
    <w:p w14:paraId="271426FF"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Modalidad de Entrega:</w:t>
      </w:r>
      <w:r w:rsidRPr="00A75F94">
        <w:rPr>
          <w:rFonts w:ascii="Palatino Linotype" w:eastAsia="Palatino Linotype" w:hAnsi="Palatino Linotype" w:cs="Palatino Linotype"/>
        </w:rPr>
        <w:t xml:space="preserve"> A través de SAIMEX.</w:t>
      </w:r>
    </w:p>
    <w:p w14:paraId="4B28C706" w14:textId="77777777" w:rsidR="00C12117" w:rsidRPr="00A75F94" w:rsidRDefault="00C12117">
      <w:pPr>
        <w:spacing w:line="360" w:lineRule="auto"/>
        <w:jc w:val="both"/>
        <w:rPr>
          <w:rFonts w:ascii="Palatino Linotype" w:eastAsia="Palatino Linotype" w:hAnsi="Palatino Linotype" w:cs="Palatino Linotype"/>
        </w:rPr>
      </w:pPr>
    </w:p>
    <w:p w14:paraId="76680878" w14:textId="77777777" w:rsidR="00C12117" w:rsidRPr="00A75F94" w:rsidRDefault="00507A46">
      <w:pPr>
        <w:spacing w:after="240" w:line="360" w:lineRule="auto"/>
        <w:jc w:val="both"/>
        <w:rPr>
          <w:rFonts w:ascii="Palatino Linotype" w:eastAsia="Palatino Linotype" w:hAnsi="Palatino Linotype" w:cs="Palatino Linotype"/>
          <w:b/>
        </w:rPr>
      </w:pPr>
      <w:r w:rsidRPr="00A75F94">
        <w:rPr>
          <w:rFonts w:ascii="Palatino Linotype" w:eastAsia="Palatino Linotype" w:hAnsi="Palatino Linotype" w:cs="Palatino Linotype"/>
          <w:b/>
        </w:rPr>
        <w:t xml:space="preserve">2. Respuesta. </w:t>
      </w:r>
      <w:r w:rsidRPr="00A75F94">
        <w:rPr>
          <w:rFonts w:ascii="Palatino Linotype" w:eastAsia="Palatino Linotype" w:hAnsi="Palatino Linotype" w:cs="Palatino Linotype"/>
        </w:rPr>
        <w:t xml:space="preserve">Con fecha </w:t>
      </w:r>
      <w:r w:rsidRPr="00A75F94">
        <w:rPr>
          <w:rFonts w:ascii="Palatino Linotype" w:eastAsia="Palatino Linotype" w:hAnsi="Palatino Linotype" w:cs="Palatino Linotype"/>
          <w:b/>
        </w:rPr>
        <w:t>veintiséis de enero de dos mil veintitrés</w:t>
      </w:r>
      <w:r w:rsidRPr="00A75F94">
        <w:rPr>
          <w:rFonts w:ascii="Palatino Linotype" w:eastAsia="Palatino Linotype" w:hAnsi="Palatino Linotype" w:cs="Palatino Linotype"/>
        </w:rPr>
        <w:t xml:space="preserve">, el </w:t>
      </w:r>
      <w:r w:rsidRPr="00A75F94">
        <w:rPr>
          <w:rFonts w:ascii="Palatino Linotype" w:eastAsia="Palatino Linotype" w:hAnsi="Palatino Linotype" w:cs="Palatino Linotype"/>
          <w:b/>
        </w:rPr>
        <w:t xml:space="preserve">SUJETO OBLIGADO </w:t>
      </w:r>
      <w:r w:rsidRPr="00A75F9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019D4E3" w14:textId="77777777" w:rsidR="00C12117" w:rsidRPr="00A75F94" w:rsidRDefault="00507A46">
      <w:pPr>
        <w:spacing w:before="240" w:after="240"/>
        <w:ind w:left="851" w:right="90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lastRenderedPageBreak/>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00038/TEQUIXQU/IP/2023, a través del Sistema de Acceso a la Información Mexiquense (SAIMEX); le comento lo siguiente...” (Sic)</w:t>
      </w:r>
    </w:p>
    <w:p w14:paraId="4A08D484"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adjuntó los siguientes archivos electrónicos:</w:t>
      </w:r>
    </w:p>
    <w:p w14:paraId="4FCDB3CE"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“S</w:t>
      </w:r>
      <w:hyperlink r:id="rId8">
        <w:r w:rsidRPr="00A75F94">
          <w:rPr>
            <w:rFonts w:ascii="Palatino Linotype" w:eastAsia="Palatino Linotype" w:hAnsi="Palatino Linotype" w:cs="Palatino Linotype"/>
          </w:rPr>
          <w:t>OLICITUD 00038 SECRETARIA.pdf</w:t>
        </w:r>
      </w:hyperlink>
      <w:r w:rsidRPr="00A75F94">
        <w:rPr>
          <w:rFonts w:ascii="Palatino Linotype" w:eastAsia="Palatino Linotype" w:hAnsi="Palatino Linotype" w:cs="Palatino Linotype"/>
        </w:rPr>
        <w:t xml:space="preserve">”, el cual contiene el oficio número SEC/TEQ/INT/007/2023, por medio del cual el Secretario del Ayuntamiento informó al Titular de la Unidad de Transparencia y Acceso a la Información Pública, ambos del Ayuntamiento de Tequixquiac, que es la unidad responsable de administrar y/o resguardar la información, por lo que determinó el cambio de modalidad de entrega de la información a Consulta Directa en términos del fundamento legal que señaló. </w:t>
      </w:r>
    </w:p>
    <w:p w14:paraId="2177B63C"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Por otra parte, señaló que en todo caso se facilitaría su copia simple o certificada, así como su reproducción por cualquier medio disponible en las instalaciones del Sujeto Obligado, o que en su caso aporte el solicitante. </w:t>
      </w:r>
    </w:p>
    <w:p w14:paraId="0896F1D1"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Atento a lo anterior, señaló que considerando la capacidad de información a ser procesada y para ser proporcionada en versión pública, sobrepasa las capacidades técnicas administrativas y su procesamiento toda vez que se treta de alrededor de 20 GB, superando la capacidad del SAIMEX para ser entregada por esta vía, por lo tanto haciendo énfasis en lo ya señalado no se está en posibilidad de concluir los trabajos necesarios dentro del plazo establecido incluyendo los 7 días adicionales señalados en el artículo 163 párrafo segundo de la Ley en comento. </w:t>
      </w:r>
    </w:p>
    <w:p w14:paraId="21C7A67C"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Indicándole para la consulta directa el día, horario, domicilio y el servidor público que lo atenderá.</w:t>
      </w:r>
    </w:p>
    <w:p w14:paraId="034AA86F"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w:t>
      </w:r>
      <w:hyperlink r:id="rId9">
        <w:r w:rsidRPr="00A75F94">
          <w:rPr>
            <w:rFonts w:ascii="Palatino Linotype" w:eastAsia="Palatino Linotype" w:hAnsi="Palatino Linotype" w:cs="Palatino Linotype"/>
          </w:rPr>
          <w:t>SOLICITUD 00038 SECRETARIA DEL AYUNTAMIENTO.pdf</w:t>
        </w:r>
      </w:hyperlink>
      <w:r w:rsidRPr="00A75F94">
        <w:rPr>
          <w:rFonts w:ascii="Palatino Linotype" w:eastAsia="Palatino Linotype" w:hAnsi="Palatino Linotype" w:cs="Palatino Linotype"/>
        </w:rPr>
        <w:t xml:space="preserve">”, el cual contiene el oficio número SEC/TEQ/INT/004/2023, por medio del cual el Secretario del Ayuntamiento informó al Titular de la Unidad de Transparencia y Acceso a la Información Pública, que el procesamiento de la información sobrepasa las capacidades técnicas y de almacenamiento informático, toda vez que el volumen de información sobrepasa los veinte gigabits; es decir, más del peso máximo de archivos soportado por el SAIMEX, por lo que solicita a usted el cambio de modalidad de entrega de la información. </w:t>
      </w:r>
    </w:p>
    <w:p w14:paraId="622C6571"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w:t>
      </w:r>
      <w:hyperlink r:id="rId10">
        <w:r w:rsidRPr="00A75F94">
          <w:rPr>
            <w:rFonts w:ascii="Palatino Linotype" w:eastAsia="Palatino Linotype" w:hAnsi="Palatino Linotype" w:cs="Palatino Linotype"/>
          </w:rPr>
          <w:t>SOLICITUD 038 OK.pdf</w:t>
        </w:r>
      </w:hyperlink>
      <w:r w:rsidRPr="00A75F94">
        <w:rPr>
          <w:rFonts w:ascii="Palatino Linotype" w:eastAsia="Palatino Linotype" w:hAnsi="Palatino Linotype" w:cs="Palatino Linotype"/>
        </w:rPr>
        <w:t xml:space="preserve">”, el cual contiene la respuesta de la Titular de la Unidad de Transparencia y Acceso a la Información Pública, por medio del cual informó al solicitante el cambio de modalidad a consulta directa, el procedimiento y el día, horario y domicilio para dicha consulta de la información solicitada. </w:t>
      </w:r>
    </w:p>
    <w:p w14:paraId="5C3C85F4"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w:t>
      </w:r>
      <w:hyperlink r:id="rId11">
        <w:r w:rsidRPr="00A75F94">
          <w:rPr>
            <w:rFonts w:ascii="Palatino Linotype" w:eastAsia="Palatino Linotype" w:hAnsi="Palatino Linotype" w:cs="Palatino Linotype"/>
          </w:rPr>
          <w:t>ACTA VIGESIMA SEGUNDA 22.pdf</w:t>
        </w:r>
      </w:hyperlink>
      <w:r w:rsidRPr="00A75F94">
        <w:rPr>
          <w:rFonts w:ascii="Palatino Linotype" w:eastAsia="Palatino Linotype" w:hAnsi="Palatino Linotype" w:cs="Palatino Linotype"/>
        </w:rPr>
        <w:t xml:space="preserve">”, el cual contiene el acta número TRANSPARENCIA/CT/ACTA-EXTRA-22/2023, por medio del cual el Comité de Transparencia del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aprobó el acuerdo número 01/ TRANSPARENCIA-ACTA-EXTRA-22/2023, en donde se autorizó el cambio de modalidad a consulta directa de la información requerida en la solicitud número 00038/TEQUIXQU/IP/2023. </w:t>
      </w:r>
    </w:p>
    <w:p w14:paraId="18EBD3AF"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b/>
        </w:rPr>
        <w:t xml:space="preserve">3. Interposición del recurso de revisión. </w:t>
      </w:r>
      <w:r w:rsidRPr="00A75F94">
        <w:rPr>
          <w:rFonts w:ascii="Palatino Linotype" w:eastAsia="Palatino Linotype" w:hAnsi="Palatino Linotype" w:cs="Palatino Linotype"/>
        </w:rPr>
        <w:t xml:space="preserve">Inconforme con los términos de la respuesta emitida por parte del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el </w:t>
      </w:r>
      <w:r w:rsidRPr="00A75F94">
        <w:rPr>
          <w:rFonts w:ascii="Palatino Linotype" w:eastAsia="Palatino Linotype" w:hAnsi="Palatino Linotype" w:cs="Palatino Linotype"/>
          <w:b/>
        </w:rPr>
        <w:t xml:space="preserve">catorce de febrero del año </w:t>
      </w:r>
      <w:r w:rsidRPr="00A75F94">
        <w:rPr>
          <w:rFonts w:ascii="Palatino Linotype" w:eastAsia="Palatino Linotype" w:hAnsi="Palatino Linotype" w:cs="Palatino Linotype"/>
          <w:b/>
        </w:rPr>
        <w:lastRenderedPageBreak/>
        <w:t>dos mil veintitrés,</w:t>
      </w:r>
      <w:r w:rsidRPr="00A75F94">
        <w:rPr>
          <w:rFonts w:ascii="Palatino Linotype" w:eastAsia="Palatino Linotype" w:hAnsi="Palatino Linotype" w:cs="Palatino Linotype"/>
        </w:rPr>
        <w:t xml:space="preserve">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xml:space="preserve"> interpuso el recurso de revisión a través de </w:t>
      </w:r>
      <w:r w:rsidRPr="00A75F94">
        <w:rPr>
          <w:rFonts w:ascii="Palatino Linotype" w:eastAsia="Palatino Linotype" w:hAnsi="Palatino Linotype" w:cs="Palatino Linotype"/>
          <w:b/>
        </w:rPr>
        <w:t xml:space="preserve">SAIMEX, </w:t>
      </w:r>
      <w:r w:rsidRPr="00A75F94">
        <w:rPr>
          <w:rFonts w:ascii="Palatino Linotype" w:eastAsia="Palatino Linotype" w:hAnsi="Palatino Linotype" w:cs="Palatino Linotype"/>
        </w:rPr>
        <w:t>en donde se manifestó de la siguiente manera:</w:t>
      </w:r>
    </w:p>
    <w:p w14:paraId="2A24A596" w14:textId="77777777" w:rsidR="00C12117" w:rsidRPr="00A75F94" w:rsidRDefault="00507A46">
      <w:pPr>
        <w:tabs>
          <w:tab w:val="left" w:pos="2745"/>
        </w:tabs>
        <w:spacing w:before="240" w:after="240" w:line="360" w:lineRule="auto"/>
        <w:jc w:val="both"/>
        <w:rPr>
          <w:rFonts w:ascii="Palatino Linotype" w:eastAsia="Palatino Linotype" w:hAnsi="Palatino Linotype" w:cs="Palatino Linotype"/>
          <w:b/>
        </w:rPr>
      </w:pPr>
      <w:r w:rsidRPr="00A75F94">
        <w:rPr>
          <w:rFonts w:ascii="Palatino Linotype" w:eastAsia="Palatino Linotype" w:hAnsi="Palatino Linotype" w:cs="Palatino Linotype"/>
          <w:b/>
        </w:rPr>
        <w:t xml:space="preserve">Acto impugnado: </w:t>
      </w:r>
      <w:r w:rsidRPr="00A75F94">
        <w:rPr>
          <w:rFonts w:ascii="Palatino Linotype" w:eastAsia="Palatino Linotype" w:hAnsi="Palatino Linotype" w:cs="Palatino Linotype"/>
          <w:b/>
        </w:rPr>
        <w:tab/>
      </w:r>
    </w:p>
    <w:p w14:paraId="5AF12A22" w14:textId="77777777" w:rsidR="00C12117" w:rsidRPr="00A75F94" w:rsidRDefault="00507A46">
      <w:pPr>
        <w:spacing w:line="360" w:lineRule="auto"/>
        <w:ind w:left="851" w:right="900"/>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“a la respuesta” (Sic)</w:t>
      </w:r>
    </w:p>
    <w:p w14:paraId="70EA2E7E"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Y Razones o motivos de inconformidad</w:t>
      </w:r>
      <w:r w:rsidRPr="00A75F94">
        <w:rPr>
          <w:rFonts w:ascii="Palatino Linotype" w:eastAsia="Palatino Linotype" w:hAnsi="Palatino Linotype" w:cs="Palatino Linotype"/>
        </w:rPr>
        <w:t>:</w:t>
      </w:r>
    </w:p>
    <w:p w14:paraId="6306974D" w14:textId="77777777" w:rsidR="00C12117" w:rsidRPr="00A75F94" w:rsidRDefault="00507A46">
      <w:pPr>
        <w:spacing w:line="360"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sidRPr="00A75F94">
        <w:rPr>
          <w:rFonts w:ascii="Palatino Linotype" w:eastAsia="Palatino Linotype" w:hAnsi="Palatino Linotype" w:cs="Palatino Linotype"/>
          <w:i/>
          <w:sz w:val="22"/>
          <w:szCs w:val="22"/>
        </w:rPr>
        <w:t xml:space="preserve"> “incompleta la </w:t>
      </w:r>
      <w:proofErr w:type="spellStart"/>
      <w:r w:rsidRPr="00A75F94">
        <w:rPr>
          <w:rFonts w:ascii="Palatino Linotype" w:eastAsia="Palatino Linotype" w:hAnsi="Palatino Linotype" w:cs="Palatino Linotype"/>
          <w:i/>
          <w:sz w:val="22"/>
          <w:szCs w:val="22"/>
        </w:rPr>
        <w:t>informacion</w:t>
      </w:r>
      <w:proofErr w:type="spellEnd"/>
      <w:r w:rsidRPr="00A75F94">
        <w:rPr>
          <w:rFonts w:ascii="Palatino Linotype" w:eastAsia="Palatino Linotype" w:hAnsi="Palatino Linotype" w:cs="Palatino Linotype"/>
          <w:i/>
          <w:sz w:val="22"/>
          <w:szCs w:val="22"/>
        </w:rPr>
        <w:t>” (Sic)</w:t>
      </w:r>
    </w:p>
    <w:p w14:paraId="0EE744CF" w14:textId="77777777" w:rsidR="00C12117" w:rsidRPr="00A75F94" w:rsidRDefault="00C12117">
      <w:pPr>
        <w:spacing w:line="360" w:lineRule="auto"/>
        <w:ind w:right="51"/>
        <w:jc w:val="both"/>
        <w:rPr>
          <w:rFonts w:ascii="Palatino Linotype" w:eastAsia="Palatino Linotype" w:hAnsi="Palatino Linotype" w:cs="Palatino Linotype"/>
          <w:b/>
        </w:rPr>
      </w:pPr>
    </w:p>
    <w:p w14:paraId="594778E3" w14:textId="77777777" w:rsidR="00C12117" w:rsidRPr="00A75F94" w:rsidRDefault="00507A46">
      <w:pPr>
        <w:spacing w:line="360" w:lineRule="auto"/>
        <w:ind w:right="51"/>
        <w:jc w:val="both"/>
        <w:rPr>
          <w:rFonts w:ascii="Palatino Linotype" w:eastAsia="Palatino Linotype" w:hAnsi="Palatino Linotype" w:cs="Palatino Linotype"/>
        </w:rPr>
      </w:pPr>
      <w:r w:rsidRPr="00A75F94">
        <w:rPr>
          <w:rFonts w:ascii="Palatino Linotype" w:eastAsia="Palatino Linotype" w:hAnsi="Palatino Linotype" w:cs="Palatino Linotype"/>
          <w:b/>
        </w:rPr>
        <w:t xml:space="preserve">4. Turno. </w:t>
      </w:r>
      <w:r w:rsidRPr="00A75F9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75F94">
        <w:rPr>
          <w:rFonts w:ascii="Palatino Linotype" w:eastAsia="Palatino Linotype" w:hAnsi="Palatino Linotype" w:cs="Palatino Linotype"/>
          <w:b/>
        </w:rPr>
        <w:t xml:space="preserve">Guadalupe Ramírez Peña, </w:t>
      </w:r>
      <w:r w:rsidRPr="00A75F94">
        <w:rPr>
          <w:rFonts w:ascii="Palatino Linotype" w:eastAsia="Palatino Linotype" w:hAnsi="Palatino Linotype" w:cs="Palatino Linotype"/>
        </w:rPr>
        <w:t xml:space="preserve">a efecto de que analizara sobre su admisión o su </w:t>
      </w:r>
      <w:proofErr w:type="spellStart"/>
      <w:r w:rsidRPr="00A75F94">
        <w:rPr>
          <w:rFonts w:ascii="Palatino Linotype" w:eastAsia="Palatino Linotype" w:hAnsi="Palatino Linotype" w:cs="Palatino Linotype"/>
        </w:rPr>
        <w:t>desechamiento</w:t>
      </w:r>
      <w:proofErr w:type="spellEnd"/>
      <w:r w:rsidRPr="00A75F94">
        <w:rPr>
          <w:rFonts w:ascii="Palatino Linotype" w:eastAsia="Palatino Linotype" w:hAnsi="Palatino Linotype" w:cs="Palatino Linotype"/>
        </w:rPr>
        <w:t>.</w:t>
      </w:r>
    </w:p>
    <w:p w14:paraId="25F58571" w14:textId="77777777" w:rsidR="00C12117" w:rsidRPr="00A75F94" w:rsidRDefault="00C12117">
      <w:pPr>
        <w:spacing w:line="360" w:lineRule="auto"/>
        <w:ind w:right="51"/>
        <w:jc w:val="both"/>
        <w:rPr>
          <w:rFonts w:ascii="Palatino Linotype" w:eastAsia="Palatino Linotype" w:hAnsi="Palatino Linotype" w:cs="Palatino Linotype"/>
        </w:rPr>
      </w:pPr>
    </w:p>
    <w:p w14:paraId="570D05E2" w14:textId="77777777" w:rsidR="00C12117" w:rsidRPr="00A75F94" w:rsidRDefault="00507A46">
      <w:pPr>
        <w:spacing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5. Admisión del Recurso de revisión.</w:t>
      </w:r>
      <w:r w:rsidRPr="00A75F94">
        <w:rPr>
          <w:rFonts w:ascii="Palatino Linotype" w:eastAsia="Palatino Linotype" w:hAnsi="Palatino Linotype" w:cs="Palatino Linotype"/>
        </w:rPr>
        <w:t xml:space="preserve"> Con fecha</w:t>
      </w:r>
      <w:r w:rsidRPr="00A75F94">
        <w:rPr>
          <w:rFonts w:ascii="Palatino Linotype" w:eastAsia="Palatino Linotype" w:hAnsi="Palatino Linotype" w:cs="Palatino Linotype"/>
          <w:b/>
        </w:rPr>
        <w:t xml:space="preserve"> diecisiete de febrero de dos mil veintitrés, </w:t>
      </w:r>
      <w:r w:rsidRPr="00A75F9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75F94">
        <w:rPr>
          <w:rFonts w:ascii="Palatino Linotype" w:eastAsia="Palatino Linotype" w:hAnsi="Palatino Linotype" w:cs="Palatino Linotype"/>
          <w:b/>
        </w:rPr>
        <w:t xml:space="preserve">SUJETO OBLIGADO </w:t>
      </w:r>
      <w:r w:rsidRPr="00A75F94">
        <w:rPr>
          <w:rFonts w:ascii="Palatino Linotype" w:eastAsia="Palatino Linotype" w:hAnsi="Palatino Linotype" w:cs="Palatino Linotype"/>
        </w:rPr>
        <w:t>presentara su informe justificado.</w:t>
      </w:r>
    </w:p>
    <w:p w14:paraId="29A79408" w14:textId="77777777" w:rsidR="00C12117" w:rsidRPr="00A75F94" w:rsidRDefault="00507A4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2" w:name="_heading=h.2s8eyo1" w:colFirst="0" w:colLast="0"/>
      <w:bookmarkEnd w:id="2"/>
      <w:r w:rsidRPr="00A75F94">
        <w:rPr>
          <w:rFonts w:ascii="Palatino Linotype" w:eastAsia="Palatino Linotype" w:hAnsi="Palatino Linotype" w:cs="Palatino Linotype"/>
          <w:b/>
        </w:rPr>
        <w:t>6. Manifestaciones</w:t>
      </w:r>
      <w:r w:rsidRPr="00A75F94">
        <w:rPr>
          <w:rFonts w:ascii="Palatino Linotype" w:eastAsia="Palatino Linotype" w:hAnsi="Palatino Linotype" w:cs="Palatino Linotype"/>
        </w:rPr>
        <w:t>. De las constancias que integran el expediente en que se actúa se advierte que en fecha veinticuatro de marzo de dos mil veintitrés</w:t>
      </w:r>
      <w:r w:rsidRPr="00A75F94">
        <w:rPr>
          <w:rFonts w:ascii="Palatino Linotype" w:eastAsia="Palatino Linotype" w:hAnsi="Palatino Linotype" w:cs="Palatino Linotype"/>
          <w:b/>
        </w:rPr>
        <w:t xml:space="preserve">, </w:t>
      </w:r>
      <w:r w:rsidRPr="00A75F94">
        <w:rPr>
          <w:rFonts w:ascii="Palatino Linotype" w:eastAsia="Palatino Linotype" w:hAnsi="Palatino Linotype" w:cs="Palatino Linotype"/>
        </w:rPr>
        <w:t xml:space="preserve">el </w:t>
      </w:r>
      <w:r w:rsidRPr="00A75F94">
        <w:rPr>
          <w:rFonts w:ascii="Palatino Linotype" w:eastAsia="Palatino Linotype" w:hAnsi="Palatino Linotype" w:cs="Palatino Linotype"/>
          <w:b/>
        </w:rPr>
        <w:t xml:space="preserve">SUJETO </w:t>
      </w:r>
      <w:r w:rsidRPr="00A75F94">
        <w:rPr>
          <w:rFonts w:ascii="Palatino Linotype" w:eastAsia="Palatino Linotype" w:hAnsi="Palatino Linotype" w:cs="Palatino Linotype"/>
          <w:b/>
        </w:rPr>
        <w:lastRenderedPageBreak/>
        <w:t xml:space="preserve">OBLIGADO </w:t>
      </w:r>
      <w:r w:rsidRPr="00A75F94">
        <w:rPr>
          <w:rFonts w:ascii="Palatino Linotype" w:eastAsia="Palatino Linotype" w:hAnsi="Palatino Linotype" w:cs="Palatino Linotype"/>
        </w:rPr>
        <w:t>remitió, a través del SAIMEX, el siguiente archivo electrónico:</w:t>
      </w:r>
    </w:p>
    <w:p w14:paraId="1CE6C416" w14:textId="77777777" w:rsidR="00C12117" w:rsidRPr="00A75F94" w:rsidRDefault="00507A46">
      <w:pPr>
        <w:spacing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w:t>
      </w:r>
      <w:hyperlink r:id="rId12">
        <w:r w:rsidRPr="00A75F94">
          <w:rPr>
            <w:rFonts w:ascii="Palatino Linotype" w:eastAsia="Palatino Linotype" w:hAnsi="Palatino Linotype" w:cs="Palatino Linotype"/>
          </w:rPr>
          <w:t>SOLICITUD 00038-MANIFESTACIONES.pdf</w:t>
        </w:r>
      </w:hyperlink>
      <w:r w:rsidRPr="00A75F94">
        <w:rPr>
          <w:rFonts w:ascii="Palatino Linotype" w:eastAsia="Palatino Linotype" w:hAnsi="Palatino Linotype" w:cs="Palatino Linotype"/>
        </w:rPr>
        <w:t>”, por medio del cual el Titular de la Unidad de Transparencia, señaló lo siguiente:</w:t>
      </w:r>
    </w:p>
    <w:p w14:paraId="5BFD36EA" w14:textId="77777777" w:rsidR="00C12117" w:rsidRPr="00A75F94" w:rsidRDefault="00507A46">
      <w:pPr>
        <w:ind w:left="567" w:right="618"/>
        <w:jc w:val="both"/>
        <w:rPr>
          <w:rFonts w:ascii="Palatino Linotype" w:eastAsia="Palatino Linotype" w:hAnsi="Palatino Linotype" w:cs="Palatino Linotype"/>
          <w:i/>
        </w:rPr>
      </w:pPr>
      <w:r w:rsidRPr="00A75F94">
        <w:rPr>
          <w:rFonts w:ascii="Palatino Linotype" w:eastAsia="Palatino Linotype" w:hAnsi="Palatino Linotype" w:cs="Palatino Linotype"/>
          <w:i/>
        </w:rPr>
        <w:t xml:space="preserve">“Con fundamento en lo dispuesto por el artículo 197 de la ley de transparencia y acceso a la información pública del estado de México. Se remite informe justificado derivado de la interposición del Recurso de Revisión 00879/INFOEM/IP/RR/2023 , originado de la solicitud de información 00038/TEQUIXQU/IP/2023, con motivo de la respuesta brindada por esta unidad de transparencia , en conjunto con la secretaria del ayuntamiento de Tequixquiac y con fundamento en el artículo 179, título octavo de la impugnación en materia de acceso a la información pública , de la ley de transparencia y acceso a la información pública del estado de México y municipios y demás relativas de las causales para admitir el recurso de revisión , no procede puesto que se le está brindando la alternativa al ciudadano que venga a consultar directamente la información, no se le niega el acceso a la misma y tampoco se está vulnerando su derecho, puesto que se le está brindando su DERECHO AL ACCESO A LA INFORMACIÓN , El Estado debe garantizar el derecho de las personas para acceder a la información pública, buscar, obtener y difundir libremente la información en cualquiera de sus manifestaciones (oral, escrita, medios electrónicos o informáticos). El acceso a la información constituye una herramienta esencial para hacer realidad el principio de transparencia en la gestión pública y mejorar la calidad de la democracia. </w:t>
      </w:r>
    </w:p>
    <w:p w14:paraId="1C308E52" w14:textId="77777777" w:rsidR="00C12117" w:rsidRPr="00A75F94" w:rsidRDefault="00507A46">
      <w:pPr>
        <w:ind w:left="567" w:right="618"/>
        <w:jc w:val="both"/>
        <w:rPr>
          <w:rFonts w:ascii="Palatino Linotype" w:eastAsia="Palatino Linotype" w:hAnsi="Palatino Linotype" w:cs="Palatino Linotype"/>
          <w:i/>
        </w:rPr>
      </w:pPr>
      <w:r w:rsidRPr="00A75F94">
        <w:rPr>
          <w:rFonts w:ascii="Palatino Linotype" w:eastAsia="Palatino Linotype" w:hAnsi="Palatino Linotype" w:cs="Palatino Linotype"/>
          <w:i/>
        </w:rPr>
        <w:t xml:space="preserve">Y en este mismo tenor está fundamentada y motivada las razones por las cual se cambia la modalidad de entrega de la información como lo marcan los artículos 158, 164 de la ley de transparencia y acceso a la información pública del estado de México y municipios que a letra dice: </w:t>
      </w:r>
    </w:p>
    <w:p w14:paraId="0DD09511" w14:textId="77777777" w:rsidR="00C12117" w:rsidRPr="00A75F94" w:rsidRDefault="00507A46">
      <w:pPr>
        <w:ind w:left="567" w:right="618"/>
        <w:jc w:val="both"/>
        <w:rPr>
          <w:rFonts w:ascii="Palatino Linotype" w:eastAsia="Palatino Linotype" w:hAnsi="Palatino Linotype" w:cs="Palatino Linotype"/>
          <w:i/>
        </w:rPr>
      </w:pPr>
      <w:r w:rsidRPr="00A75F94">
        <w:rPr>
          <w:rFonts w:ascii="Palatino Linotype" w:eastAsia="Palatino Linotype" w:hAnsi="Palatino Linotype" w:cs="Palatino Linotype"/>
          <w:i/>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Artículo 164. El acceso se dará en la modalidad de entrega y, en su caso, de envío </w:t>
      </w:r>
      <w:r w:rsidRPr="00A75F94">
        <w:rPr>
          <w:rFonts w:ascii="Palatino Linotype" w:eastAsia="Palatino Linotype" w:hAnsi="Palatino Linotype" w:cs="Palatino Linotype"/>
          <w:i/>
        </w:rPr>
        <w:lastRenderedPageBreak/>
        <w:t>elegidos por el solicitante. Cuando la información no pueda entregarse o enviarse en la modalidad solicitada, el sujeto obligado deberá ofrecer otra u otras modalidades de entrega. Se adjunto acta de comité de transparencia en la cual se indica fecha y hora en la que el ciudadano puede venir a consultar la información de manera presencial.</w:t>
      </w:r>
    </w:p>
    <w:p w14:paraId="15F36646" w14:textId="77777777" w:rsidR="00C12117" w:rsidRPr="00A75F94" w:rsidRDefault="00507A46">
      <w:pPr>
        <w:ind w:left="567" w:right="618"/>
        <w:jc w:val="both"/>
        <w:rPr>
          <w:rFonts w:ascii="Palatino Linotype" w:eastAsia="Palatino Linotype" w:hAnsi="Palatino Linotype" w:cs="Palatino Linotype"/>
          <w:i/>
        </w:rPr>
      </w:pPr>
      <w:r w:rsidRPr="00A75F94">
        <w:rPr>
          <w:rFonts w:ascii="Palatino Linotype" w:eastAsia="Palatino Linotype" w:hAnsi="Palatino Linotype" w:cs="Palatino Linotype"/>
          <w:i/>
        </w:rPr>
        <w:t xml:space="preserve">Por lo anteriormente expuesto y con fundamento en lo dispuesto por el </w:t>
      </w:r>
      <w:proofErr w:type="spellStart"/>
      <w:r w:rsidRPr="00A75F94">
        <w:rPr>
          <w:rFonts w:ascii="Palatino Linotype" w:eastAsia="Palatino Linotype" w:hAnsi="Palatino Linotype" w:cs="Palatino Linotype"/>
          <w:i/>
        </w:rPr>
        <w:t>articulo</w:t>
      </w:r>
      <w:proofErr w:type="spellEnd"/>
      <w:r w:rsidRPr="00A75F94">
        <w:rPr>
          <w:rFonts w:ascii="Palatino Linotype" w:eastAsia="Palatino Linotype" w:hAnsi="Palatino Linotype" w:cs="Palatino Linotype"/>
          <w:i/>
        </w:rPr>
        <w:t xml:space="preserve"> 186 fracción I y 192 fracción V de la ley de transparencia y acceso a la información </w:t>
      </w:r>
      <w:proofErr w:type="spellStart"/>
      <w:r w:rsidRPr="00A75F94">
        <w:rPr>
          <w:rFonts w:ascii="Palatino Linotype" w:eastAsia="Palatino Linotype" w:hAnsi="Palatino Linotype" w:cs="Palatino Linotype"/>
          <w:i/>
        </w:rPr>
        <w:t>publica</w:t>
      </w:r>
      <w:proofErr w:type="spellEnd"/>
      <w:r w:rsidRPr="00A75F94">
        <w:rPr>
          <w:rFonts w:ascii="Palatino Linotype" w:eastAsia="Palatino Linotype" w:hAnsi="Palatino Linotype" w:cs="Palatino Linotype"/>
          <w:i/>
        </w:rPr>
        <w:t xml:space="preserve"> del estado de México y municipios , atentamente pido por este conducto como titular de la unidad de transparencia , se solicite a la mesa ponente , el sobreseimiento del presente asunto , toda vez que se nunca se ha negado el acceso a la información , y como se mencionó anteriormente se </w:t>
      </w:r>
      <w:proofErr w:type="spellStart"/>
      <w:r w:rsidRPr="00A75F94">
        <w:rPr>
          <w:rFonts w:ascii="Palatino Linotype" w:eastAsia="Palatino Linotype" w:hAnsi="Palatino Linotype" w:cs="Palatino Linotype"/>
          <w:i/>
        </w:rPr>
        <w:t>fundamento</w:t>
      </w:r>
      <w:proofErr w:type="spellEnd"/>
      <w:r w:rsidRPr="00A75F94">
        <w:rPr>
          <w:rFonts w:ascii="Palatino Linotype" w:eastAsia="Palatino Linotype" w:hAnsi="Palatino Linotype" w:cs="Palatino Linotype"/>
          <w:i/>
        </w:rPr>
        <w:t xml:space="preserve"> y justifico las razones por las cuales se </w:t>
      </w:r>
      <w:proofErr w:type="spellStart"/>
      <w:r w:rsidRPr="00A75F94">
        <w:rPr>
          <w:rFonts w:ascii="Palatino Linotype" w:eastAsia="Palatino Linotype" w:hAnsi="Palatino Linotype" w:cs="Palatino Linotype"/>
          <w:i/>
        </w:rPr>
        <w:t>cambio</w:t>
      </w:r>
      <w:proofErr w:type="spellEnd"/>
      <w:r w:rsidRPr="00A75F94">
        <w:rPr>
          <w:rFonts w:ascii="Palatino Linotype" w:eastAsia="Palatino Linotype" w:hAnsi="Palatino Linotype" w:cs="Palatino Linotype"/>
          <w:i/>
        </w:rPr>
        <w:t xml:space="preserve"> la modalidad de la entrega de la información , se adjuntó la acta de comité vigésima segunda , y los oficios remitidos a esta unidad de transparencia debidamente fundados y motivados, toda vez que pido que se ratifique mi respuesta ya que queda sin materia el presente asunto, considerando en todo momento los derechos procesales que le asisten al ciudadano…”(Sic)</w:t>
      </w:r>
    </w:p>
    <w:p w14:paraId="35A74EA4" w14:textId="77777777" w:rsidR="00C12117" w:rsidRPr="00A75F94" w:rsidRDefault="00C12117">
      <w:pPr>
        <w:ind w:left="567" w:right="618"/>
        <w:jc w:val="both"/>
        <w:rPr>
          <w:rFonts w:ascii="Palatino Linotype" w:eastAsia="Palatino Linotype" w:hAnsi="Palatino Linotype" w:cs="Palatino Linotype"/>
          <w:i/>
        </w:rPr>
      </w:pPr>
    </w:p>
    <w:p w14:paraId="6E80C0CB" w14:textId="77777777" w:rsidR="00C12117" w:rsidRPr="00A75F94" w:rsidRDefault="00507A46">
      <w:pPr>
        <w:spacing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Documento que, una vez analizado en fecha seis de noviembre del año en curso, se hizo del conocimiento de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5C711611" w14:textId="77777777" w:rsidR="00C12117" w:rsidRPr="00A75F94" w:rsidRDefault="00507A46">
      <w:pPr>
        <w:spacing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 xml:space="preserve">7. Requerimiento adicional. </w:t>
      </w:r>
      <w:r w:rsidRPr="00A75F94">
        <w:rPr>
          <w:rFonts w:ascii="Palatino Linotype" w:eastAsia="Palatino Linotype" w:hAnsi="Palatino Linotype" w:cs="Palatino Linotype"/>
        </w:rPr>
        <w:t xml:space="preserve">El veinticuatro de octubre de dos mil veintitrés, se envió por correo electrónico un requerimiento de información adicional al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el cual consistió en lo siguiente:</w:t>
      </w:r>
    </w:p>
    <w:p w14:paraId="796880C9" w14:textId="77777777" w:rsidR="00C12117" w:rsidRPr="00A75F94" w:rsidRDefault="00C12117">
      <w:pPr>
        <w:spacing w:after="240" w:line="360" w:lineRule="auto"/>
        <w:jc w:val="both"/>
        <w:rPr>
          <w:rFonts w:ascii="Palatino Linotype" w:eastAsia="Palatino Linotype" w:hAnsi="Palatino Linotype" w:cs="Palatino Linotype"/>
          <w:b/>
        </w:rPr>
      </w:pPr>
    </w:p>
    <w:p w14:paraId="39218D77" w14:textId="77777777" w:rsidR="00C12117" w:rsidRPr="00A75F94" w:rsidRDefault="00507A46">
      <w:pPr>
        <w:spacing w:after="240" w:line="360" w:lineRule="auto"/>
        <w:jc w:val="both"/>
      </w:pPr>
      <w:r w:rsidRPr="00A75F94">
        <w:rPr>
          <w:noProof/>
          <w:lang w:val="es-MX"/>
        </w:rPr>
        <w:lastRenderedPageBreak/>
        <w:drawing>
          <wp:inline distT="0" distB="0" distL="0" distR="0" wp14:anchorId="09855052" wp14:editId="5A670E76">
            <wp:extent cx="5631397" cy="7630436"/>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44295" t="16882" r="30416" b="24799"/>
                    <a:stretch>
                      <a:fillRect/>
                    </a:stretch>
                  </pic:blipFill>
                  <pic:spPr>
                    <a:xfrm>
                      <a:off x="0" y="0"/>
                      <a:ext cx="5631397" cy="7630436"/>
                    </a:xfrm>
                    <a:prstGeom prst="rect">
                      <a:avLst/>
                    </a:prstGeom>
                    <a:ln/>
                  </pic:spPr>
                </pic:pic>
              </a:graphicData>
            </a:graphic>
          </wp:inline>
        </w:drawing>
      </w:r>
    </w:p>
    <w:p w14:paraId="573CDE2E" w14:textId="77777777" w:rsidR="00C12117" w:rsidRPr="00A75F94" w:rsidRDefault="00507A46">
      <w:pPr>
        <w:spacing w:after="240" w:line="360" w:lineRule="auto"/>
        <w:jc w:val="both"/>
        <w:rPr>
          <w:rFonts w:ascii="Palatino Linotype" w:eastAsia="Palatino Linotype" w:hAnsi="Palatino Linotype" w:cs="Palatino Linotype"/>
          <w:b/>
        </w:rPr>
      </w:pPr>
      <w:r w:rsidRPr="00A75F94">
        <w:rPr>
          <w:noProof/>
          <w:lang w:val="es-MX"/>
        </w:rPr>
        <w:lastRenderedPageBreak/>
        <w:drawing>
          <wp:inline distT="0" distB="0" distL="0" distR="0" wp14:anchorId="3EA2B94E" wp14:editId="03ABC985">
            <wp:extent cx="5563286" cy="856376"/>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5197" t="30035" r="30807" b="64807"/>
                    <a:stretch>
                      <a:fillRect/>
                    </a:stretch>
                  </pic:blipFill>
                  <pic:spPr>
                    <a:xfrm>
                      <a:off x="0" y="0"/>
                      <a:ext cx="5563286" cy="856376"/>
                    </a:xfrm>
                    <a:prstGeom prst="rect">
                      <a:avLst/>
                    </a:prstGeom>
                    <a:ln/>
                  </pic:spPr>
                </pic:pic>
              </a:graphicData>
            </a:graphic>
          </wp:inline>
        </w:drawing>
      </w:r>
    </w:p>
    <w:p w14:paraId="55245D48" w14:textId="77777777" w:rsidR="00C12117" w:rsidRPr="00A75F94" w:rsidRDefault="00507A46">
      <w:pPr>
        <w:spacing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8. Atención al requerimiento adicional. E</w:t>
      </w:r>
      <w:r w:rsidRPr="00A75F94">
        <w:rPr>
          <w:rFonts w:ascii="Palatino Linotype" w:eastAsia="Palatino Linotype" w:hAnsi="Palatino Linotype" w:cs="Palatino Linotype"/>
        </w:rPr>
        <w:t xml:space="preserv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fue omiso en atender el requerimiento adicional.</w:t>
      </w:r>
    </w:p>
    <w:p w14:paraId="6F1B7370" w14:textId="77777777" w:rsidR="00C12117" w:rsidRPr="00A75F94" w:rsidRDefault="00507A46">
      <w:pPr>
        <w:widowControl w:val="0"/>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9. Ampliación del plazo.</w:t>
      </w:r>
      <w:r w:rsidRPr="00A75F94">
        <w:rPr>
          <w:rFonts w:ascii="Palatino Linotype" w:eastAsia="Palatino Linotype" w:hAnsi="Palatino Linotype" w:cs="Palatino Linotype"/>
        </w:rPr>
        <w:t xml:space="preserve"> En fecha seis de noviembre del año dos mil veintitrés, con fundamento en el artículo 181, párrafo tercero de la Ley de Transparencia y Acceso a la Información Pública del Estado de México y Municipios, se acordó la ampliación del plazo para su resolución.</w:t>
      </w:r>
    </w:p>
    <w:p w14:paraId="0B287931" w14:textId="77777777" w:rsidR="00C12117" w:rsidRPr="00A75F94" w:rsidRDefault="00C12117">
      <w:pPr>
        <w:widowControl w:val="0"/>
        <w:spacing w:line="360" w:lineRule="auto"/>
        <w:jc w:val="both"/>
        <w:rPr>
          <w:rFonts w:ascii="Palatino Linotype" w:eastAsia="Palatino Linotype" w:hAnsi="Palatino Linotype" w:cs="Palatino Linotype"/>
        </w:rPr>
      </w:pPr>
    </w:p>
    <w:p w14:paraId="2ABDF6B0" w14:textId="77777777" w:rsidR="00C12117" w:rsidRPr="00A75F94" w:rsidRDefault="00507A46">
      <w:pPr>
        <w:widowControl w:val="0"/>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4AD8605" w14:textId="77777777" w:rsidR="00C12117" w:rsidRPr="00A75F94" w:rsidRDefault="00C12117">
      <w:pPr>
        <w:spacing w:line="360" w:lineRule="auto"/>
        <w:jc w:val="both"/>
        <w:rPr>
          <w:rFonts w:ascii="Palatino Linotype" w:eastAsia="Palatino Linotype" w:hAnsi="Palatino Linotype" w:cs="Palatino Linotype"/>
        </w:rPr>
      </w:pPr>
    </w:p>
    <w:p w14:paraId="1FFB3D9E"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A75F94">
        <w:rPr>
          <w:rFonts w:ascii="Palatino Linotype" w:eastAsia="Palatino Linotype" w:hAnsi="Palatino Linotype" w:cs="Palatino Linotype"/>
        </w:rPr>
        <w:lastRenderedPageBreak/>
        <w:t>órganos jurisdiccionales federales, aplicables también en procedimientos análogos, como el que nos ocupa.</w:t>
      </w:r>
    </w:p>
    <w:p w14:paraId="04779B09" w14:textId="77777777" w:rsidR="00C12117" w:rsidRPr="00A75F94" w:rsidRDefault="00C12117">
      <w:pPr>
        <w:spacing w:line="360" w:lineRule="auto"/>
        <w:jc w:val="both"/>
        <w:rPr>
          <w:rFonts w:ascii="Palatino Linotype" w:eastAsia="Palatino Linotype" w:hAnsi="Palatino Linotype" w:cs="Palatino Linotype"/>
        </w:rPr>
      </w:pPr>
    </w:p>
    <w:p w14:paraId="7B836A6E"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96E6B5" w14:textId="77777777" w:rsidR="00C12117" w:rsidRPr="00A75F94" w:rsidRDefault="00C12117">
      <w:pPr>
        <w:spacing w:line="360" w:lineRule="auto"/>
        <w:jc w:val="both"/>
        <w:rPr>
          <w:rFonts w:ascii="Palatino Linotype" w:eastAsia="Palatino Linotype" w:hAnsi="Palatino Linotype" w:cs="Palatino Linotype"/>
        </w:rPr>
      </w:pPr>
    </w:p>
    <w:p w14:paraId="671DAB8E"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4B65E3" w14:textId="77777777" w:rsidR="00C12117" w:rsidRPr="00A75F94" w:rsidRDefault="00C12117">
      <w:pPr>
        <w:spacing w:line="360" w:lineRule="auto"/>
        <w:jc w:val="both"/>
        <w:rPr>
          <w:rFonts w:ascii="Palatino Linotype" w:eastAsia="Palatino Linotype" w:hAnsi="Palatino Linotype" w:cs="Palatino Linotype"/>
        </w:rPr>
      </w:pPr>
    </w:p>
    <w:p w14:paraId="7F90A69A" w14:textId="77777777" w:rsidR="00C12117" w:rsidRPr="00A75F94" w:rsidRDefault="00507A46">
      <w:pPr>
        <w:spacing w:line="360" w:lineRule="auto"/>
        <w:jc w:val="both"/>
        <w:rPr>
          <w:rFonts w:ascii="Palatino Linotype" w:eastAsia="Palatino Linotype" w:hAnsi="Palatino Linotype" w:cs="Palatino Linotype"/>
          <w:strike/>
        </w:rPr>
      </w:pPr>
      <w:r w:rsidRPr="00A75F9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B546CEF" w14:textId="77777777" w:rsidR="00C12117" w:rsidRPr="00A75F94" w:rsidRDefault="00C12117">
      <w:pPr>
        <w:spacing w:line="360" w:lineRule="auto"/>
        <w:jc w:val="both"/>
        <w:rPr>
          <w:rFonts w:ascii="Palatino Linotype" w:eastAsia="Palatino Linotype" w:hAnsi="Palatino Linotype" w:cs="Palatino Linotype"/>
        </w:rPr>
      </w:pPr>
    </w:p>
    <w:p w14:paraId="20E40AEE" w14:textId="77777777" w:rsidR="00C12117" w:rsidRPr="00A75F94" w:rsidRDefault="00507A46">
      <w:pPr>
        <w:numPr>
          <w:ilvl w:val="0"/>
          <w:numId w:val="7"/>
        </w:numPr>
        <w:ind w:left="851"/>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7841AE9" w14:textId="77777777" w:rsidR="00C12117" w:rsidRPr="00A75F94" w:rsidRDefault="00C12117">
      <w:pPr>
        <w:ind w:left="851" w:hanging="360"/>
        <w:jc w:val="both"/>
        <w:rPr>
          <w:rFonts w:ascii="Palatino Linotype" w:eastAsia="Palatino Linotype" w:hAnsi="Palatino Linotype" w:cs="Palatino Linotype"/>
        </w:rPr>
      </w:pPr>
    </w:p>
    <w:p w14:paraId="52093D4D" w14:textId="77777777" w:rsidR="00C12117" w:rsidRPr="00A75F94" w:rsidRDefault="00507A46">
      <w:pPr>
        <w:numPr>
          <w:ilvl w:val="0"/>
          <w:numId w:val="7"/>
        </w:numPr>
        <w:ind w:left="851"/>
        <w:jc w:val="both"/>
        <w:rPr>
          <w:rFonts w:ascii="Palatino Linotype" w:eastAsia="Palatino Linotype" w:hAnsi="Palatino Linotype" w:cs="Palatino Linotype"/>
        </w:rPr>
      </w:pPr>
      <w:r w:rsidRPr="00A75F94">
        <w:rPr>
          <w:rFonts w:ascii="Palatino Linotype" w:eastAsia="Palatino Linotype" w:hAnsi="Palatino Linotype" w:cs="Palatino Linotype"/>
        </w:rPr>
        <w:t>Actividad Procesal del interesado. Acciones u omisiones del interesado.</w:t>
      </w:r>
    </w:p>
    <w:p w14:paraId="478198F3" w14:textId="77777777" w:rsidR="00C12117" w:rsidRPr="00A75F94" w:rsidRDefault="00C12117">
      <w:pPr>
        <w:ind w:left="851" w:hanging="360"/>
        <w:jc w:val="both"/>
        <w:rPr>
          <w:rFonts w:ascii="Palatino Linotype" w:eastAsia="Palatino Linotype" w:hAnsi="Palatino Linotype" w:cs="Palatino Linotype"/>
        </w:rPr>
      </w:pPr>
    </w:p>
    <w:p w14:paraId="51D58448" w14:textId="77777777" w:rsidR="00C12117" w:rsidRPr="00A75F94" w:rsidRDefault="00507A46">
      <w:pPr>
        <w:numPr>
          <w:ilvl w:val="0"/>
          <w:numId w:val="7"/>
        </w:numPr>
        <w:ind w:left="851"/>
        <w:jc w:val="both"/>
        <w:rPr>
          <w:rFonts w:ascii="Palatino Linotype" w:eastAsia="Palatino Linotype" w:hAnsi="Palatino Linotype" w:cs="Palatino Linotype"/>
        </w:rPr>
      </w:pPr>
      <w:r w:rsidRPr="00A75F94">
        <w:rPr>
          <w:rFonts w:ascii="Palatino Linotype" w:eastAsia="Palatino Linotype" w:hAnsi="Palatino Linotype" w:cs="Palatino Linotype"/>
        </w:rPr>
        <w:t>Conducta de la Autoridad: Las Acciones u omisiones realizadas en el procedimiento. Así como si la autoridad actuó con la debida diligencia.</w:t>
      </w:r>
    </w:p>
    <w:p w14:paraId="0740AE7A" w14:textId="77777777" w:rsidR="00C12117" w:rsidRPr="00A75F94" w:rsidRDefault="00C12117">
      <w:pPr>
        <w:ind w:left="851" w:hanging="360"/>
        <w:rPr>
          <w:rFonts w:ascii="Palatino Linotype" w:eastAsia="Palatino Linotype" w:hAnsi="Palatino Linotype" w:cs="Palatino Linotype"/>
        </w:rPr>
      </w:pPr>
    </w:p>
    <w:p w14:paraId="57723C82" w14:textId="77777777" w:rsidR="00C12117" w:rsidRPr="00A75F94" w:rsidRDefault="00507A46">
      <w:pPr>
        <w:ind w:left="851" w:hanging="360"/>
        <w:jc w:val="both"/>
        <w:rPr>
          <w:rFonts w:ascii="Palatino Linotype" w:eastAsia="Palatino Linotype" w:hAnsi="Palatino Linotype" w:cs="Palatino Linotype"/>
        </w:rPr>
      </w:pPr>
      <w:r w:rsidRPr="00A75F94">
        <w:rPr>
          <w:rFonts w:ascii="Palatino Linotype" w:eastAsia="Palatino Linotype" w:hAnsi="Palatino Linotype" w:cs="Palatino Linotype"/>
        </w:rPr>
        <w:t>d) La afectación generada en la situación jurídica de la persona involucrada en el proceso: Violación a sus derechos humanos.</w:t>
      </w:r>
    </w:p>
    <w:p w14:paraId="54883E49" w14:textId="77777777" w:rsidR="00C12117" w:rsidRPr="00A75F94" w:rsidRDefault="00C12117">
      <w:pPr>
        <w:spacing w:line="360" w:lineRule="auto"/>
        <w:jc w:val="both"/>
        <w:rPr>
          <w:rFonts w:ascii="Palatino Linotype" w:eastAsia="Palatino Linotype" w:hAnsi="Palatino Linotype" w:cs="Palatino Linotype"/>
        </w:rPr>
      </w:pPr>
    </w:p>
    <w:p w14:paraId="09CA686A"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146195" w14:textId="77777777" w:rsidR="00C12117" w:rsidRPr="00A75F94" w:rsidRDefault="00C12117">
      <w:pPr>
        <w:spacing w:line="360" w:lineRule="auto"/>
        <w:jc w:val="both"/>
        <w:rPr>
          <w:rFonts w:ascii="Palatino Linotype" w:eastAsia="Palatino Linotype" w:hAnsi="Palatino Linotype" w:cs="Palatino Linotype"/>
        </w:rPr>
      </w:pPr>
    </w:p>
    <w:p w14:paraId="69F05802" w14:textId="77777777" w:rsidR="00C12117" w:rsidRPr="00A75F94" w:rsidRDefault="00507A46">
      <w:pPr>
        <w:spacing w:line="360" w:lineRule="auto"/>
        <w:jc w:val="both"/>
        <w:rPr>
          <w:rFonts w:ascii="Palatino Linotype" w:eastAsia="Palatino Linotype" w:hAnsi="Palatino Linotype" w:cs="Palatino Linotype"/>
          <w:b/>
        </w:rPr>
      </w:pPr>
      <w:r w:rsidRPr="00A75F9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75F9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75F94">
        <w:rPr>
          <w:rFonts w:ascii="Palatino Linotype" w:eastAsia="Palatino Linotype" w:hAnsi="Palatino Linotype" w:cs="Palatino Linotype"/>
        </w:rPr>
        <w:t>, visible en la Gaceta del Seminario Judicial de la Federación con el registro digital 205635.</w:t>
      </w:r>
    </w:p>
    <w:p w14:paraId="446D3E7C" w14:textId="77777777" w:rsidR="00C12117" w:rsidRPr="00A75F94" w:rsidRDefault="00C12117">
      <w:pPr>
        <w:spacing w:line="360" w:lineRule="auto"/>
        <w:jc w:val="both"/>
        <w:rPr>
          <w:rFonts w:ascii="Palatino Linotype" w:eastAsia="Palatino Linotype" w:hAnsi="Palatino Linotype" w:cs="Palatino Linotype"/>
        </w:rPr>
      </w:pPr>
    </w:p>
    <w:p w14:paraId="2E02FB42"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A75F94">
        <w:rPr>
          <w:rFonts w:ascii="Palatino Linotype" w:eastAsia="Palatino Linotype" w:hAnsi="Palatino Linotype" w:cs="Palatino Linotype"/>
        </w:rPr>
        <w:lastRenderedPageBreak/>
        <w:t>los términos legales previamente establecidos por la Ley, por tratarse de causas de fuerza mayor.</w:t>
      </w:r>
    </w:p>
    <w:p w14:paraId="436DCF25" w14:textId="77777777" w:rsidR="00C12117" w:rsidRPr="00A75F94" w:rsidRDefault="00C12117">
      <w:pPr>
        <w:spacing w:line="360" w:lineRule="auto"/>
        <w:jc w:val="both"/>
        <w:rPr>
          <w:rFonts w:ascii="Palatino Linotype" w:eastAsia="Palatino Linotype" w:hAnsi="Palatino Linotype" w:cs="Palatino Linotype"/>
        </w:rPr>
      </w:pPr>
    </w:p>
    <w:p w14:paraId="66B092CF"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EFCFD45" w14:textId="77777777" w:rsidR="00C12117" w:rsidRPr="00A75F94" w:rsidRDefault="00C12117">
      <w:pPr>
        <w:spacing w:line="360" w:lineRule="auto"/>
        <w:jc w:val="both"/>
        <w:rPr>
          <w:rFonts w:ascii="Palatino Linotype" w:eastAsia="Palatino Linotype" w:hAnsi="Palatino Linotype" w:cs="Palatino Linotype"/>
        </w:rPr>
      </w:pPr>
    </w:p>
    <w:p w14:paraId="6A8D1362"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 </w:t>
      </w:r>
      <w:r w:rsidRPr="00A75F94">
        <w:rPr>
          <w:rFonts w:ascii="Palatino Linotype" w:eastAsia="Palatino Linotype" w:hAnsi="Palatino Linotype" w:cs="Palatino Linotype"/>
          <w:i/>
        </w:rPr>
        <w:t>“PLAZO RAZONABLE PARA RESOLVER. DIMENSIÓN Y EFECTOS DE ESTE CONCEPTO CUANDO SE ADUCE EXCESIVA CARGA DE TRABAJO.”</w:t>
      </w:r>
      <w:r w:rsidRPr="00A75F94">
        <w:rPr>
          <w:rFonts w:ascii="Palatino Linotype" w:eastAsia="Palatino Linotype" w:hAnsi="Palatino Linotype" w:cs="Palatino Linotype"/>
        </w:rPr>
        <w:t xml:space="preserve"> consultable en el Seminario Judicial de la Federación y su gaceta, con el registro digital 2002351.</w:t>
      </w:r>
    </w:p>
    <w:p w14:paraId="412D9634" w14:textId="77777777" w:rsidR="00C12117" w:rsidRPr="00A75F94" w:rsidRDefault="00C12117">
      <w:pPr>
        <w:spacing w:line="360" w:lineRule="auto"/>
        <w:jc w:val="both"/>
        <w:rPr>
          <w:rFonts w:ascii="Palatino Linotype" w:eastAsia="Palatino Linotype" w:hAnsi="Palatino Linotype" w:cs="Palatino Linotype"/>
          <w:b/>
        </w:rPr>
      </w:pPr>
    </w:p>
    <w:p w14:paraId="0CE82F8C"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i/>
        </w:rPr>
        <w:t>“PLAZO RAZONABLE PARA RESOLVER. CONCEPTO Y ELEMENTOS QUE LO INTEGRAN A LA LUZ DEL DERECHO INTERNACIONAL DE LOS DERECHOS HUMANOS.”</w:t>
      </w:r>
      <w:r w:rsidRPr="00A75F94">
        <w:rPr>
          <w:rFonts w:ascii="Palatino Linotype" w:eastAsia="Palatino Linotype" w:hAnsi="Palatino Linotype" w:cs="Palatino Linotype"/>
        </w:rPr>
        <w:t>, visible en el Seminario Judicial de la Federación y su gaceta, con el registro digital 2002350.</w:t>
      </w:r>
    </w:p>
    <w:p w14:paraId="4274BB7E" w14:textId="77777777" w:rsidR="00C12117" w:rsidRPr="00A75F94" w:rsidRDefault="00C12117">
      <w:pPr>
        <w:spacing w:line="360" w:lineRule="auto"/>
        <w:jc w:val="both"/>
        <w:rPr>
          <w:rFonts w:ascii="Palatino Linotype" w:eastAsia="Palatino Linotype" w:hAnsi="Palatino Linotype" w:cs="Palatino Linotype"/>
        </w:rPr>
      </w:pPr>
    </w:p>
    <w:p w14:paraId="13499C01"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9F293EE"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 xml:space="preserve">10. Cierre de instrucción. </w:t>
      </w:r>
      <w:r w:rsidRPr="00A75F9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A75F94">
        <w:rPr>
          <w:rFonts w:ascii="Palatino Linotype" w:eastAsia="Palatino Linotype" w:hAnsi="Palatino Linotype" w:cs="Palatino Linotype"/>
          <w:b/>
        </w:rPr>
        <w:t xml:space="preserve">diez de noviembre de dos mil veintitrés, </w:t>
      </w:r>
      <w:r w:rsidRPr="00A75F94">
        <w:rPr>
          <w:rFonts w:ascii="Palatino Linotype" w:eastAsia="Palatino Linotype" w:hAnsi="Palatino Linotype" w:cs="Palatino Linotype"/>
        </w:rPr>
        <w:t xml:space="preserve">la Comisionada Ponente determinó el cierre de instrucción en términos de la fracción VI del artículo 185 de </w:t>
      </w:r>
      <w:r w:rsidRPr="00A75F94">
        <w:rPr>
          <w:rFonts w:ascii="Palatino Linotype" w:eastAsia="Palatino Linotype" w:hAnsi="Palatino Linotype" w:cs="Palatino Linotype"/>
        </w:rPr>
        <w:lastRenderedPageBreak/>
        <w:t>la Ley de Transparencia y Acceso a la Información Pública del Estado de México y Municipios.</w:t>
      </w:r>
    </w:p>
    <w:p w14:paraId="3A21C277"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C2E2121" w14:textId="77777777" w:rsidR="00C12117" w:rsidRPr="00A75F94" w:rsidRDefault="00507A46">
      <w:pPr>
        <w:widowControl w:val="0"/>
        <w:spacing w:line="360" w:lineRule="auto"/>
        <w:jc w:val="center"/>
        <w:rPr>
          <w:rFonts w:ascii="Palatino Linotype" w:eastAsia="Palatino Linotype" w:hAnsi="Palatino Linotype" w:cs="Palatino Linotype"/>
          <w:b/>
        </w:rPr>
      </w:pPr>
      <w:r w:rsidRPr="00A75F94">
        <w:rPr>
          <w:rFonts w:ascii="Palatino Linotype" w:eastAsia="Palatino Linotype" w:hAnsi="Palatino Linotype" w:cs="Palatino Linotype"/>
          <w:b/>
        </w:rPr>
        <w:t>II. C O N S I D E R A N D O S</w:t>
      </w:r>
    </w:p>
    <w:p w14:paraId="50B9B6EB" w14:textId="77777777" w:rsidR="00C12117" w:rsidRPr="00A75F94" w:rsidRDefault="00C12117">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7FAB3D98"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Primero. Competencia.</w:t>
      </w:r>
      <w:r w:rsidRPr="00A75F9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766E375" w14:textId="77777777" w:rsidR="00C12117" w:rsidRPr="00A75F94" w:rsidRDefault="00507A46">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A75F94">
        <w:rPr>
          <w:rFonts w:ascii="Palatino Linotype" w:eastAsia="Palatino Linotype" w:hAnsi="Palatino Linotype" w:cs="Palatino Linotype"/>
          <w:b/>
        </w:rPr>
        <w:t xml:space="preserve">Segundo. Oportunidad y Procedibilidad del Recurso de Revisión. </w:t>
      </w:r>
      <w:r w:rsidRPr="00A75F94">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30E76D"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Al respecto la Ley de Transparencia y Acceso a la Información Pública del Estado de México y Municipios, establece lo siguiente:</w:t>
      </w:r>
    </w:p>
    <w:p w14:paraId="7C2B3E53" w14:textId="77777777" w:rsidR="00C12117" w:rsidRPr="00A75F94" w:rsidRDefault="00507A46">
      <w:pPr>
        <w:ind w:left="851" w:right="900"/>
        <w:jc w:val="both"/>
        <w:rPr>
          <w:rFonts w:ascii="Palatino Linotype" w:eastAsia="Palatino Linotype" w:hAnsi="Palatino Linotype" w:cs="Palatino Linotype"/>
          <w:i/>
          <w:sz w:val="28"/>
          <w:szCs w:val="28"/>
        </w:rPr>
      </w:pPr>
      <w:r w:rsidRPr="00A75F94">
        <w:rPr>
          <w:rFonts w:ascii="Palatino Linotype" w:eastAsia="Palatino Linotype" w:hAnsi="Palatino Linotype" w:cs="Palatino Linotype"/>
          <w:b/>
          <w:i/>
          <w:sz w:val="22"/>
          <w:szCs w:val="22"/>
        </w:rPr>
        <w:t xml:space="preserve">“Artículo 178. </w:t>
      </w:r>
      <w:r w:rsidRPr="00A75F9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202EE90"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remitió la respuesta a la solicitud de información el día </w:t>
      </w:r>
      <w:r w:rsidRPr="00A75F94">
        <w:rPr>
          <w:rFonts w:ascii="Palatino Linotype" w:eastAsia="Palatino Linotype" w:hAnsi="Palatino Linotype" w:cs="Palatino Linotype"/>
          <w:b/>
        </w:rPr>
        <w:t xml:space="preserve">veintiséis de enero de dos mil veintitrés, </w:t>
      </w:r>
      <w:r w:rsidRPr="00A75F94">
        <w:rPr>
          <w:rFonts w:ascii="Palatino Linotype" w:eastAsia="Palatino Linotype" w:hAnsi="Palatino Linotype" w:cs="Palatino Linotype"/>
        </w:rPr>
        <w:t xml:space="preserve">mientras que el recurso de revisión interpuesto por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xml:space="preserve">, se tuvo por presentado el día </w:t>
      </w:r>
      <w:r w:rsidRPr="00A75F94">
        <w:rPr>
          <w:rFonts w:ascii="Palatino Linotype" w:eastAsia="Palatino Linotype" w:hAnsi="Palatino Linotype" w:cs="Palatino Linotype"/>
          <w:b/>
        </w:rPr>
        <w:t>catorce de febrero del año dos mil veintitrés</w:t>
      </w:r>
      <w:r w:rsidRPr="00A75F94">
        <w:rPr>
          <w:rFonts w:ascii="Palatino Linotype" w:eastAsia="Palatino Linotype" w:hAnsi="Palatino Linotype" w:cs="Palatino Linotype"/>
        </w:rPr>
        <w:t>; esto es, al décimo segundo día hábil en que tuvo conocimiento de la respuesta.</w:t>
      </w:r>
    </w:p>
    <w:p w14:paraId="6586E041"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2560492"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 de la ley de la materia, que a la letra dice:</w:t>
      </w:r>
    </w:p>
    <w:p w14:paraId="38F9F82E" w14:textId="77777777" w:rsidR="00C12117" w:rsidRPr="00A75F94" w:rsidRDefault="00507A46">
      <w:pPr>
        <w:ind w:left="1276" w:right="175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r w:rsidRPr="00A75F94">
        <w:rPr>
          <w:rFonts w:ascii="Palatino Linotype" w:eastAsia="Palatino Linotype" w:hAnsi="Palatino Linotype" w:cs="Palatino Linotype"/>
          <w:b/>
          <w:i/>
          <w:sz w:val="22"/>
          <w:szCs w:val="22"/>
        </w:rPr>
        <w:t xml:space="preserve">Artículo 179. </w:t>
      </w:r>
      <w:r w:rsidRPr="00A75F94">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A75F94">
        <w:rPr>
          <w:rFonts w:ascii="Palatino Linotype" w:eastAsia="Palatino Linotype" w:hAnsi="Palatino Linotype" w:cs="Palatino Linotype"/>
          <w:i/>
        </w:rPr>
        <w:t>causas</w:t>
      </w:r>
      <w:r w:rsidRPr="00A75F94">
        <w:rPr>
          <w:rFonts w:ascii="Palatino Linotype" w:eastAsia="Palatino Linotype" w:hAnsi="Palatino Linotype" w:cs="Palatino Linotype"/>
          <w:i/>
          <w:sz w:val="22"/>
          <w:szCs w:val="22"/>
        </w:rPr>
        <w:t>:</w:t>
      </w:r>
    </w:p>
    <w:p w14:paraId="68B2DDD1" w14:textId="77777777" w:rsidR="00C12117" w:rsidRPr="00A75F94" w:rsidRDefault="00507A46">
      <w:pPr>
        <w:ind w:left="1276" w:right="175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p>
    <w:p w14:paraId="30F49B5B" w14:textId="77777777" w:rsidR="00C12117" w:rsidRPr="00A75F94" w:rsidRDefault="00507A46">
      <w:pPr>
        <w:ind w:left="1276" w:right="175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rPr>
        <w:t>V. La entrega de información incompleta…” (Sic</w:t>
      </w:r>
      <w:r w:rsidRPr="00A75F94">
        <w:rPr>
          <w:rFonts w:ascii="Palatino Linotype" w:eastAsia="Palatino Linotype" w:hAnsi="Palatino Linotype" w:cs="Palatino Linotype"/>
          <w:i/>
          <w:sz w:val="22"/>
          <w:szCs w:val="22"/>
        </w:rPr>
        <w:t>)</w:t>
      </w:r>
    </w:p>
    <w:p w14:paraId="32F8B246" w14:textId="77777777" w:rsidR="00C12117" w:rsidRPr="00A75F94" w:rsidRDefault="00507A46">
      <w:pPr>
        <w:spacing w:before="280" w:after="28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Tercero. Materia de Revisión</w:t>
      </w:r>
      <w:r w:rsidRPr="00A75F94">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A75F94">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A75F94">
        <w:rPr>
          <w:rFonts w:ascii="Palatino Linotype" w:eastAsia="Palatino Linotype" w:hAnsi="Palatino Linotype" w:cs="Palatino Linotype"/>
        </w:rPr>
        <w:t xml:space="preserve">del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o en su defecto, en caso de ser procedente, ordenar la entrega de información.</w:t>
      </w:r>
    </w:p>
    <w:p w14:paraId="09DBF476"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 xml:space="preserve">Cuarto. Estudio de fondo del asunto. </w:t>
      </w:r>
      <w:r w:rsidRPr="00A75F94">
        <w:rPr>
          <w:rFonts w:ascii="Palatino Linotype" w:eastAsia="Palatino Linotype" w:hAnsi="Palatino Linotype" w:cs="Palatino Linotype"/>
        </w:rPr>
        <w:t xml:space="preserve">Es conveniente analizar si la respuesta del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63DFBDA" w14:textId="77777777" w:rsidR="00C12117" w:rsidRPr="00A75F94" w:rsidRDefault="00507A46">
      <w:pPr>
        <w:spacing w:before="240"/>
        <w:ind w:left="709" w:right="760"/>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lastRenderedPageBreak/>
        <w:t>“</w:t>
      </w:r>
      <w:r w:rsidRPr="00A75F94">
        <w:rPr>
          <w:rFonts w:ascii="Palatino Linotype" w:eastAsia="Palatino Linotype" w:hAnsi="Palatino Linotype" w:cs="Palatino Linotype"/>
          <w:b/>
          <w:i/>
          <w:sz w:val="22"/>
          <w:szCs w:val="22"/>
        </w:rPr>
        <w:t>Artículo 4</w:t>
      </w:r>
      <w:r w:rsidRPr="00A75F9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2F3C1C0" w14:textId="77777777" w:rsidR="00C12117" w:rsidRPr="00A75F94" w:rsidRDefault="00507A46">
      <w:pPr>
        <w:ind w:left="709" w:right="760"/>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75F9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5C9745" w14:textId="77777777" w:rsidR="00C12117" w:rsidRPr="00A75F94" w:rsidRDefault="00507A46">
      <w:pPr>
        <w:ind w:left="709" w:right="760"/>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75F94">
        <w:rPr>
          <w:rFonts w:ascii="Palatino Linotype" w:eastAsia="Palatino Linotype" w:hAnsi="Palatino Linotype" w:cs="Palatino Linotype"/>
          <w:i/>
          <w:sz w:val="22"/>
          <w:szCs w:val="22"/>
        </w:rPr>
        <w:t>.”(</w:t>
      </w:r>
      <w:proofErr w:type="gramEnd"/>
      <w:r w:rsidRPr="00A75F94">
        <w:rPr>
          <w:rFonts w:ascii="Palatino Linotype" w:eastAsia="Palatino Linotype" w:hAnsi="Palatino Linotype" w:cs="Palatino Linotype"/>
          <w:i/>
          <w:sz w:val="22"/>
          <w:szCs w:val="22"/>
        </w:rPr>
        <w:t>Sic)</w:t>
      </w:r>
    </w:p>
    <w:p w14:paraId="07243EEF" w14:textId="77777777" w:rsidR="00C12117" w:rsidRPr="00A75F94" w:rsidRDefault="00C12117">
      <w:pPr>
        <w:spacing w:line="360" w:lineRule="auto"/>
        <w:jc w:val="both"/>
        <w:rPr>
          <w:rFonts w:ascii="Palatino Linotype" w:eastAsia="Palatino Linotype" w:hAnsi="Palatino Linotype" w:cs="Palatino Linotype"/>
        </w:rPr>
      </w:pPr>
    </w:p>
    <w:p w14:paraId="148F1CE3"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153DD92" w14:textId="77777777" w:rsidR="00C12117" w:rsidRPr="00A75F94" w:rsidRDefault="00C12117">
      <w:pPr>
        <w:spacing w:line="360" w:lineRule="auto"/>
        <w:jc w:val="both"/>
        <w:rPr>
          <w:rFonts w:ascii="Palatino Linotype" w:eastAsia="Palatino Linotype" w:hAnsi="Palatino Linotype" w:cs="Palatino Linotype"/>
        </w:rPr>
      </w:pPr>
    </w:p>
    <w:p w14:paraId="19681138" w14:textId="77777777" w:rsidR="00C12117" w:rsidRPr="00A75F94" w:rsidRDefault="00507A46">
      <w:pPr>
        <w:ind w:left="567" w:right="75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“Artículo 12.-</w:t>
      </w:r>
      <w:r w:rsidRPr="00A75F9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8694964" w14:textId="77777777" w:rsidR="00C12117" w:rsidRPr="00A75F94" w:rsidRDefault="00C12117">
      <w:pPr>
        <w:ind w:left="567" w:right="758"/>
        <w:jc w:val="both"/>
        <w:rPr>
          <w:rFonts w:ascii="Palatino Linotype" w:eastAsia="Palatino Linotype" w:hAnsi="Palatino Linotype" w:cs="Palatino Linotype"/>
          <w:i/>
          <w:sz w:val="22"/>
          <w:szCs w:val="22"/>
        </w:rPr>
      </w:pPr>
    </w:p>
    <w:p w14:paraId="0A315613" w14:textId="77777777" w:rsidR="00C12117" w:rsidRPr="00A75F94" w:rsidRDefault="00507A46">
      <w:pPr>
        <w:ind w:left="567" w:right="75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75F94">
        <w:rPr>
          <w:rFonts w:ascii="Palatino Linotype" w:eastAsia="Palatino Linotype" w:hAnsi="Palatino Linotype" w:cs="Palatino Linotype"/>
          <w:i/>
          <w:sz w:val="22"/>
          <w:szCs w:val="22"/>
        </w:rPr>
        <w:t xml:space="preserve">. </w:t>
      </w:r>
      <w:r w:rsidRPr="00A75F9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A75F94">
        <w:rPr>
          <w:rFonts w:ascii="Palatino Linotype" w:eastAsia="Palatino Linotype" w:hAnsi="Palatino Linotype" w:cs="Palatino Linotype"/>
          <w:b/>
          <w:i/>
          <w:sz w:val="22"/>
          <w:szCs w:val="22"/>
        </w:rPr>
        <w:lastRenderedPageBreak/>
        <w:t>obligados a generarla, resumirla, efectuar cálculos o practicar investigaciones.” (Sic)</w:t>
      </w:r>
    </w:p>
    <w:p w14:paraId="21BFDB17" w14:textId="77777777" w:rsidR="00C12117" w:rsidRPr="00A75F94" w:rsidRDefault="00C12117">
      <w:pPr>
        <w:spacing w:line="360" w:lineRule="auto"/>
        <w:ind w:right="-93"/>
        <w:jc w:val="both"/>
        <w:rPr>
          <w:rFonts w:ascii="Palatino Linotype" w:eastAsia="Palatino Linotype" w:hAnsi="Palatino Linotype" w:cs="Palatino Linotype"/>
        </w:rPr>
      </w:pPr>
    </w:p>
    <w:p w14:paraId="5844C012" w14:textId="77777777" w:rsidR="00C12117" w:rsidRPr="00A75F94" w:rsidRDefault="00507A46">
      <w:pPr>
        <w:spacing w:line="360" w:lineRule="auto"/>
        <w:ind w:right="-93"/>
        <w:jc w:val="both"/>
        <w:rPr>
          <w:rFonts w:ascii="Palatino Linotype" w:eastAsia="Palatino Linotype" w:hAnsi="Palatino Linotype" w:cs="Palatino Linotype"/>
        </w:rPr>
      </w:pPr>
      <w:r w:rsidRPr="00A75F94">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0894DA6" w14:textId="77777777" w:rsidR="00C12117" w:rsidRPr="00A75F94" w:rsidRDefault="00C12117">
      <w:pPr>
        <w:spacing w:line="360" w:lineRule="auto"/>
        <w:ind w:right="-93"/>
        <w:jc w:val="both"/>
        <w:rPr>
          <w:rFonts w:ascii="Palatino Linotype" w:eastAsia="Palatino Linotype" w:hAnsi="Palatino Linotype" w:cs="Palatino Linotype"/>
        </w:rPr>
      </w:pPr>
    </w:p>
    <w:p w14:paraId="0E74D4B7" w14:textId="77777777" w:rsidR="00C12117" w:rsidRPr="00A75F94" w:rsidRDefault="00507A46">
      <w:pPr>
        <w:spacing w:line="360" w:lineRule="auto"/>
        <w:jc w:val="both"/>
        <w:rPr>
          <w:rFonts w:ascii="Palatino Linotype" w:eastAsia="Palatino Linotype" w:hAnsi="Palatino Linotype" w:cs="Palatino Linotype"/>
          <w:b/>
        </w:rPr>
      </w:pPr>
      <w:r w:rsidRPr="00A75F94">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A75F94">
        <w:rPr>
          <w:rFonts w:ascii="Palatino Linotype" w:eastAsia="Palatino Linotype" w:hAnsi="Palatino Linotype" w:cs="Palatino Linotype"/>
          <w:b/>
        </w:rPr>
        <w:t xml:space="preserve"> </w:t>
      </w:r>
    </w:p>
    <w:p w14:paraId="33112A2D" w14:textId="77777777" w:rsidR="00C12117" w:rsidRPr="00A75F94" w:rsidRDefault="00C12117">
      <w:pPr>
        <w:ind w:left="851" w:right="850"/>
        <w:jc w:val="both"/>
        <w:rPr>
          <w:rFonts w:ascii="Palatino Linotype" w:eastAsia="Palatino Linotype" w:hAnsi="Palatino Linotype" w:cs="Palatino Linotype"/>
        </w:rPr>
      </w:pPr>
    </w:p>
    <w:p w14:paraId="348BD4F1" w14:textId="77777777" w:rsidR="00C12117" w:rsidRPr="00A75F94" w:rsidRDefault="00507A46">
      <w:pPr>
        <w:ind w:left="851" w:right="90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r w:rsidRPr="00A75F94">
        <w:rPr>
          <w:rFonts w:ascii="Palatino Linotype" w:eastAsia="Palatino Linotype" w:hAnsi="Palatino Linotype" w:cs="Palatino Linotype"/>
          <w:b/>
          <w:i/>
          <w:sz w:val="22"/>
          <w:szCs w:val="22"/>
        </w:rPr>
        <w:t>No existe obligación de elaborar documentos ad hoc para atender las solicitudes de acceso a la información.</w:t>
      </w:r>
      <w:r w:rsidRPr="00A75F9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374FE29" w14:textId="77777777" w:rsidR="00C12117" w:rsidRPr="00A75F94" w:rsidRDefault="00507A46">
      <w:pPr>
        <w:ind w:left="851" w:right="90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Resoluciones: </w:t>
      </w:r>
    </w:p>
    <w:p w14:paraId="6A475836" w14:textId="77777777" w:rsidR="00C12117" w:rsidRPr="00A75F94" w:rsidRDefault="00507A46">
      <w:pPr>
        <w:ind w:left="851" w:right="901"/>
        <w:jc w:val="both"/>
        <w:rPr>
          <w:rFonts w:ascii="Palatino Linotype" w:eastAsia="Palatino Linotype" w:hAnsi="Palatino Linotype" w:cs="Palatino Linotype"/>
          <w:i/>
          <w:sz w:val="22"/>
          <w:szCs w:val="22"/>
        </w:rPr>
      </w:pPr>
      <w:r w:rsidRPr="00A75F94">
        <w:rPr>
          <w:rFonts w:ascii="Noto Sans Symbols" w:eastAsia="Noto Sans Symbols" w:hAnsi="Noto Sans Symbols" w:cs="Noto Sans Symbols"/>
          <w:i/>
          <w:sz w:val="22"/>
          <w:szCs w:val="22"/>
        </w:rPr>
        <w:t>∙</w:t>
      </w:r>
      <w:r w:rsidRPr="00A75F94">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E10106B" w14:textId="77777777" w:rsidR="00C12117" w:rsidRPr="00A75F94" w:rsidRDefault="00507A46">
      <w:pPr>
        <w:ind w:left="851" w:right="901"/>
        <w:jc w:val="both"/>
        <w:rPr>
          <w:rFonts w:ascii="Palatino Linotype" w:eastAsia="Palatino Linotype" w:hAnsi="Palatino Linotype" w:cs="Palatino Linotype"/>
          <w:i/>
          <w:sz w:val="22"/>
          <w:szCs w:val="22"/>
        </w:rPr>
      </w:pPr>
      <w:r w:rsidRPr="00A75F94">
        <w:rPr>
          <w:rFonts w:ascii="Noto Sans Symbols" w:eastAsia="Noto Sans Symbols" w:hAnsi="Noto Sans Symbols" w:cs="Noto Sans Symbols"/>
          <w:i/>
          <w:sz w:val="22"/>
          <w:szCs w:val="22"/>
        </w:rPr>
        <w:t>∙</w:t>
      </w:r>
      <w:r w:rsidRPr="00A75F94">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952BBED" w14:textId="77777777" w:rsidR="00C12117" w:rsidRPr="00A75F94" w:rsidRDefault="00507A46">
      <w:pPr>
        <w:ind w:left="851" w:right="901"/>
        <w:jc w:val="both"/>
        <w:rPr>
          <w:rFonts w:ascii="Palatino Linotype" w:eastAsia="Palatino Linotype" w:hAnsi="Palatino Linotype" w:cs="Palatino Linotype"/>
          <w:i/>
          <w:sz w:val="22"/>
          <w:szCs w:val="22"/>
        </w:rPr>
      </w:pPr>
      <w:r w:rsidRPr="00A75F94">
        <w:rPr>
          <w:rFonts w:ascii="Noto Sans Symbols" w:eastAsia="Noto Sans Symbols" w:hAnsi="Noto Sans Symbols" w:cs="Noto Sans Symbols"/>
          <w:i/>
          <w:sz w:val="22"/>
          <w:szCs w:val="22"/>
        </w:rPr>
        <w:lastRenderedPageBreak/>
        <w:t>∙</w:t>
      </w:r>
      <w:r w:rsidRPr="00A75F94">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A75F94">
        <w:rPr>
          <w:rFonts w:ascii="Palatino Linotype" w:eastAsia="Palatino Linotype" w:hAnsi="Palatino Linotype" w:cs="Palatino Linotype"/>
          <w:i/>
          <w:sz w:val="22"/>
          <w:szCs w:val="22"/>
        </w:rPr>
        <w:t>.”(</w:t>
      </w:r>
      <w:proofErr w:type="gramEnd"/>
      <w:r w:rsidRPr="00A75F94">
        <w:rPr>
          <w:rFonts w:ascii="Palatino Linotype" w:eastAsia="Palatino Linotype" w:hAnsi="Palatino Linotype" w:cs="Palatino Linotype"/>
          <w:i/>
          <w:sz w:val="22"/>
          <w:szCs w:val="22"/>
        </w:rPr>
        <w:t>Sic)</w:t>
      </w:r>
    </w:p>
    <w:p w14:paraId="560051E2" w14:textId="77777777" w:rsidR="00C12117" w:rsidRPr="00A75F94" w:rsidRDefault="00C12117">
      <w:pPr>
        <w:spacing w:line="360" w:lineRule="auto"/>
        <w:ind w:right="-93"/>
        <w:jc w:val="both"/>
        <w:rPr>
          <w:rFonts w:ascii="Palatino Linotype" w:eastAsia="Palatino Linotype" w:hAnsi="Palatino Linotype" w:cs="Palatino Linotype"/>
        </w:rPr>
      </w:pPr>
    </w:p>
    <w:p w14:paraId="65521C52"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A157219" w14:textId="77777777" w:rsidR="00C12117" w:rsidRPr="00A75F94" w:rsidRDefault="00C12117">
      <w:pPr>
        <w:spacing w:line="360" w:lineRule="auto"/>
        <w:jc w:val="both"/>
        <w:rPr>
          <w:rFonts w:ascii="Palatino Linotype" w:eastAsia="Palatino Linotype" w:hAnsi="Palatino Linotype" w:cs="Palatino Linotype"/>
        </w:rPr>
      </w:pPr>
    </w:p>
    <w:p w14:paraId="43C6E9AC" w14:textId="77777777" w:rsidR="00C12117" w:rsidRPr="00A75F94" w:rsidRDefault="00507A46">
      <w:pPr>
        <w:spacing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0FF34FD" w14:textId="77777777" w:rsidR="00C12117" w:rsidRPr="00A75F94" w:rsidRDefault="00C12117">
      <w:pPr>
        <w:spacing w:line="360" w:lineRule="auto"/>
        <w:ind w:right="49"/>
        <w:jc w:val="both"/>
        <w:rPr>
          <w:rFonts w:ascii="Palatino Linotype" w:eastAsia="Palatino Linotype" w:hAnsi="Palatino Linotype" w:cs="Palatino Linotype"/>
        </w:rPr>
      </w:pPr>
    </w:p>
    <w:p w14:paraId="19A0AF05"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A75F94">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446715E1" w14:textId="77777777" w:rsidR="00C12117" w:rsidRPr="00A75F94" w:rsidRDefault="00C12117">
      <w:pPr>
        <w:ind w:left="851" w:right="899"/>
        <w:jc w:val="both"/>
        <w:rPr>
          <w:rFonts w:ascii="Palatino Linotype" w:eastAsia="Palatino Linotype" w:hAnsi="Palatino Linotype" w:cs="Palatino Linotype"/>
          <w:i/>
          <w:sz w:val="22"/>
          <w:szCs w:val="22"/>
        </w:rPr>
      </w:pPr>
    </w:p>
    <w:p w14:paraId="41BF2205" w14:textId="77777777" w:rsidR="00C12117" w:rsidRPr="00A75F94" w:rsidRDefault="00507A46">
      <w:pPr>
        <w:ind w:left="851" w:right="89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r w:rsidRPr="00A75F94">
        <w:rPr>
          <w:rFonts w:ascii="Palatino Linotype" w:eastAsia="Palatino Linotype" w:hAnsi="Palatino Linotype" w:cs="Palatino Linotype"/>
          <w:b/>
          <w:i/>
          <w:sz w:val="22"/>
          <w:szCs w:val="22"/>
        </w:rPr>
        <w:t xml:space="preserve">Artículo 3. </w:t>
      </w:r>
      <w:r w:rsidRPr="00A75F94">
        <w:rPr>
          <w:rFonts w:ascii="Palatino Linotype" w:eastAsia="Palatino Linotype" w:hAnsi="Palatino Linotype" w:cs="Palatino Linotype"/>
          <w:i/>
          <w:sz w:val="22"/>
          <w:szCs w:val="22"/>
        </w:rPr>
        <w:t>Para los efectos de la presente Ley se entenderá por:</w:t>
      </w:r>
    </w:p>
    <w:p w14:paraId="5C88E604" w14:textId="77777777" w:rsidR="00C12117" w:rsidRPr="00A75F94" w:rsidRDefault="00507A46">
      <w:pPr>
        <w:ind w:left="851" w:right="89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p>
    <w:p w14:paraId="0AED1D3E" w14:textId="77777777" w:rsidR="00C12117" w:rsidRPr="00A75F94" w:rsidRDefault="00507A46">
      <w:pPr>
        <w:ind w:left="851" w:right="89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XI. Documento:</w:t>
      </w:r>
      <w:r w:rsidRPr="00A75F94">
        <w:rPr>
          <w:rFonts w:ascii="Palatino Linotype" w:eastAsia="Palatino Linotype" w:hAnsi="Palatino Linotype" w:cs="Palatino Linotype"/>
          <w:i/>
          <w:sz w:val="22"/>
          <w:szCs w:val="22"/>
        </w:rPr>
        <w:t xml:space="preserve"> Los expedientes, reportes, estudios, actas</w:t>
      </w:r>
      <w:r w:rsidRPr="00A75F94">
        <w:rPr>
          <w:rFonts w:ascii="Palatino Linotype" w:eastAsia="Palatino Linotype" w:hAnsi="Palatino Linotype" w:cs="Palatino Linotype"/>
          <w:b/>
          <w:i/>
          <w:sz w:val="22"/>
          <w:szCs w:val="22"/>
        </w:rPr>
        <w:t>,</w:t>
      </w:r>
      <w:r w:rsidRPr="00A75F9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5879BAE" w14:textId="77777777" w:rsidR="00C12117" w:rsidRPr="00A75F94" w:rsidRDefault="00C12117">
      <w:pPr>
        <w:ind w:left="851" w:right="899"/>
        <w:jc w:val="both"/>
        <w:rPr>
          <w:rFonts w:ascii="Palatino Linotype" w:eastAsia="Palatino Linotype" w:hAnsi="Palatino Linotype" w:cs="Palatino Linotype"/>
          <w:sz w:val="22"/>
          <w:szCs w:val="22"/>
        </w:rPr>
      </w:pPr>
    </w:p>
    <w:p w14:paraId="7E6C38F9"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8D2B5B3" w14:textId="77777777" w:rsidR="00C12117" w:rsidRPr="00A75F94" w:rsidRDefault="00C12117">
      <w:pPr>
        <w:ind w:left="851" w:right="899"/>
        <w:jc w:val="both"/>
        <w:rPr>
          <w:rFonts w:ascii="Palatino Linotype" w:eastAsia="Palatino Linotype" w:hAnsi="Palatino Linotype" w:cs="Palatino Linotype"/>
        </w:rPr>
      </w:pPr>
    </w:p>
    <w:p w14:paraId="669156A3" w14:textId="77777777" w:rsidR="00C12117" w:rsidRPr="00A75F94" w:rsidRDefault="00507A46">
      <w:pPr>
        <w:ind w:left="851" w:right="899"/>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sz w:val="22"/>
          <w:szCs w:val="22"/>
        </w:rPr>
        <w:t>“</w:t>
      </w:r>
      <w:r w:rsidRPr="00A75F94">
        <w:rPr>
          <w:rFonts w:ascii="Palatino Linotype" w:eastAsia="Palatino Linotype" w:hAnsi="Palatino Linotype" w:cs="Palatino Linotype"/>
          <w:b/>
          <w:i/>
          <w:sz w:val="22"/>
          <w:szCs w:val="22"/>
        </w:rPr>
        <w:t>CRITERIO 0002-11</w:t>
      </w:r>
    </w:p>
    <w:p w14:paraId="70B59769" w14:textId="77777777" w:rsidR="00C12117" w:rsidRPr="00A75F94" w:rsidRDefault="00507A46">
      <w:pPr>
        <w:ind w:left="851" w:right="89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75F9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7E7C14" w14:textId="77777777" w:rsidR="00C12117" w:rsidRPr="00A75F94" w:rsidRDefault="00507A46">
      <w:pPr>
        <w:ind w:left="851" w:right="89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En </w:t>
      </w:r>
      <w:proofErr w:type="gramStart"/>
      <w:r w:rsidRPr="00A75F94">
        <w:rPr>
          <w:rFonts w:ascii="Palatino Linotype" w:eastAsia="Palatino Linotype" w:hAnsi="Palatino Linotype" w:cs="Palatino Linotype"/>
          <w:i/>
          <w:sz w:val="22"/>
          <w:szCs w:val="22"/>
        </w:rPr>
        <w:t>consecuencia</w:t>
      </w:r>
      <w:proofErr w:type="gramEnd"/>
      <w:r w:rsidRPr="00A75F94">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C6AB227" w14:textId="77777777" w:rsidR="00C12117" w:rsidRPr="00A75F94" w:rsidRDefault="00507A46">
      <w:pPr>
        <w:ind w:left="851" w:right="89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75F94">
        <w:rPr>
          <w:rFonts w:ascii="Palatino Linotype" w:eastAsia="Palatino Linotype" w:hAnsi="Palatino Linotype" w:cs="Palatino Linotype"/>
          <w:i/>
          <w:sz w:val="22"/>
          <w:szCs w:val="22"/>
        </w:rPr>
        <w:t>que</w:t>
      </w:r>
      <w:proofErr w:type="gramEnd"/>
      <w:r w:rsidRPr="00A75F94">
        <w:rPr>
          <w:rFonts w:ascii="Palatino Linotype" w:eastAsia="Palatino Linotype" w:hAnsi="Palatino Linotype" w:cs="Palatino Linotype"/>
          <w:i/>
          <w:sz w:val="22"/>
          <w:szCs w:val="22"/>
        </w:rPr>
        <w:t xml:space="preserve"> en ejercicio de las atribuciones conferidas, sea generada por los Sujetos Obligados;</w:t>
      </w:r>
    </w:p>
    <w:p w14:paraId="5441666C" w14:textId="77777777" w:rsidR="00C12117" w:rsidRPr="00A75F94" w:rsidRDefault="00507A46">
      <w:pPr>
        <w:ind w:left="851" w:right="899"/>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75F94">
        <w:rPr>
          <w:rFonts w:ascii="Palatino Linotype" w:eastAsia="Palatino Linotype" w:hAnsi="Palatino Linotype" w:cs="Palatino Linotype"/>
          <w:b/>
          <w:i/>
          <w:sz w:val="22"/>
          <w:szCs w:val="22"/>
        </w:rPr>
        <w:t>que</w:t>
      </w:r>
      <w:proofErr w:type="gramEnd"/>
      <w:r w:rsidRPr="00A75F94">
        <w:rPr>
          <w:rFonts w:ascii="Palatino Linotype" w:eastAsia="Palatino Linotype" w:hAnsi="Palatino Linotype" w:cs="Palatino Linotype"/>
          <w:b/>
          <w:i/>
          <w:sz w:val="22"/>
          <w:szCs w:val="22"/>
        </w:rPr>
        <w:t xml:space="preserve"> en ejercicio de las atribuciones conferidas, sea administrada por los Sujetos Obligados, y</w:t>
      </w:r>
    </w:p>
    <w:p w14:paraId="6C0323F5" w14:textId="77777777" w:rsidR="00C12117" w:rsidRPr="00A75F94" w:rsidRDefault="00507A46">
      <w:pPr>
        <w:ind w:left="851" w:right="899"/>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lastRenderedPageBreak/>
        <w:t xml:space="preserve">3) Que se trate de información registrada en cualquier soporte documental, </w:t>
      </w:r>
      <w:proofErr w:type="gramStart"/>
      <w:r w:rsidRPr="00A75F94">
        <w:rPr>
          <w:rFonts w:ascii="Palatino Linotype" w:eastAsia="Palatino Linotype" w:hAnsi="Palatino Linotype" w:cs="Palatino Linotype"/>
          <w:b/>
          <w:i/>
          <w:sz w:val="22"/>
          <w:szCs w:val="22"/>
        </w:rPr>
        <w:t>que</w:t>
      </w:r>
      <w:proofErr w:type="gramEnd"/>
      <w:r w:rsidRPr="00A75F94">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F876F54" w14:textId="77777777" w:rsidR="00C12117" w:rsidRPr="00A75F94" w:rsidRDefault="00C12117">
      <w:pPr>
        <w:spacing w:line="360" w:lineRule="auto"/>
        <w:jc w:val="both"/>
        <w:rPr>
          <w:rFonts w:ascii="Palatino Linotype" w:eastAsia="Palatino Linotype" w:hAnsi="Palatino Linotype" w:cs="Palatino Linotype"/>
        </w:rPr>
      </w:pPr>
    </w:p>
    <w:p w14:paraId="19C6D723" w14:textId="77777777" w:rsidR="00C12117" w:rsidRPr="00A75F94" w:rsidRDefault="00507A46">
      <w:pPr>
        <w:spacing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Ahora bien, del análisis de la solicitud de información motivo del recurso de revisión que ahora se resuelve, se advierte que el particular requirió al Ayuntamiento de Tequixquiac, lo siguiente:</w:t>
      </w:r>
    </w:p>
    <w:p w14:paraId="7C382996" w14:textId="77777777" w:rsidR="00C12117" w:rsidRPr="00A75F94" w:rsidRDefault="00507A46">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Todas las actas de cabildo, de la presente administración.</w:t>
      </w:r>
    </w:p>
    <w:p w14:paraId="11A05176" w14:textId="77777777" w:rsidR="00C12117" w:rsidRPr="00A75F94" w:rsidRDefault="00507A46">
      <w:pPr>
        <w:spacing w:before="240" w:after="240" w:line="360" w:lineRule="auto"/>
        <w:ind w:right="49"/>
        <w:jc w:val="both"/>
      </w:pPr>
      <w:r w:rsidRPr="00A75F94">
        <w:rPr>
          <w:rFonts w:ascii="Palatino Linotype" w:eastAsia="Palatino Linotype" w:hAnsi="Palatino Linotype" w:cs="Palatino Linotype"/>
        </w:rPr>
        <w:t xml:space="preserve">En respuesta el </w:t>
      </w:r>
      <w:proofErr w:type="gramStart"/>
      <w:r w:rsidRPr="00A75F94">
        <w:rPr>
          <w:rFonts w:ascii="Palatino Linotype" w:eastAsia="Palatino Linotype" w:hAnsi="Palatino Linotype" w:cs="Palatino Linotype"/>
        </w:rPr>
        <w:t>Secretario</w:t>
      </w:r>
      <w:proofErr w:type="gramEnd"/>
      <w:r w:rsidRPr="00A75F94">
        <w:rPr>
          <w:rFonts w:ascii="Palatino Linotype" w:eastAsia="Palatino Linotype" w:hAnsi="Palatino Linotype" w:cs="Palatino Linotype"/>
        </w:rPr>
        <w:t xml:space="preserve"> del Ayuntamiento de Tequixquiac informó que es la unidad responsable de administrar y/o resguardar la información, por lo que determinó el cambio de modalidad de entrega de la información a Consulta Directa en términos del artículo 158 de la Ley de Transparencia, Acceso a la Información Pública y Protección de Datos Personales del Estado de México y municipios.</w:t>
      </w:r>
    </w:p>
    <w:p w14:paraId="4E61D9FB"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Conocida la respuesta, de una revisión del acto impugnado como motivos de inconformidad,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xml:space="preserve"> se inconformó en lo medular porque la información es incompleta.</w:t>
      </w:r>
    </w:p>
    <w:p w14:paraId="1AF46247"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Una vez notificado el recurso de revisión al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este rindió su informe justificado a través del cual informó en lo medular que no se le está negando el acceso a la información, puesto que se le está brindando la alternativa al ciudadano que venga a consultar directamente la información.</w:t>
      </w:r>
    </w:p>
    <w:p w14:paraId="2C6B0D71"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En virtud de lo anterior, se determina que la información emitida por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w:t>
      </w:r>
      <w:r w:rsidRPr="00A75F94">
        <w:rPr>
          <w:rFonts w:ascii="Palatino Linotype" w:eastAsia="Palatino Linotype" w:hAnsi="Palatino Linotype" w:cs="Palatino Linotype"/>
        </w:rPr>
        <w:lastRenderedPageBreak/>
        <w:t xml:space="preserve">Estado de México y Municipios; de ahí que, los motivos de inconformidad acontecen parcialmente fundados para revocar la respuesta del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en razón de las consideraciones de derecho que a continuación se exponen:</w:t>
      </w:r>
    </w:p>
    <w:p w14:paraId="21EF851D"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Antes del estudio de fondo, es pertinente aclarar que de la solicitud se desprende que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requiere la información de la presente administración del Ayuntamiento de Tequixquiac; por ello debemos recordar, que los Ayuntamientos del Estado de México se renovarán cada tres años en términos de lo señalado por el artículo 16 primer párrafo y 19 de la Ley Orgánica Municipal del Estado de México, que señala:</w:t>
      </w:r>
    </w:p>
    <w:p w14:paraId="7CD273F0" w14:textId="77777777" w:rsidR="00C12117" w:rsidRPr="00A75F94" w:rsidRDefault="00507A46">
      <w:pPr>
        <w:widowControl w:val="0"/>
        <w:tabs>
          <w:tab w:val="left" w:pos="1276"/>
        </w:tabs>
        <w:ind w:left="851" w:right="90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“Artículo 16.- </w:t>
      </w:r>
      <w:r w:rsidRPr="00A75F94">
        <w:rPr>
          <w:rFonts w:ascii="Palatino Linotype" w:eastAsia="Palatino Linotype" w:hAnsi="Palatino Linotype" w:cs="Palatino Linotype"/>
          <w:b/>
          <w:i/>
          <w:sz w:val="22"/>
          <w:szCs w:val="22"/>
        </w:rPr>
        <w:t>Los Ayuntamientos se renovarán cada tres años, iniciarán su periodo el 1 de enero del año inmediato siguiente al de las elecciones municipales ordinarias y concluirán el 31 de diciembre del año de las elecciones para su renovación</w:t>
      </w:r>
      <w:r w:rsidRPr="00A75F94">
        <w:rPr>
          <w:rFonts w:ascii="Palatino Linotype" w:eastAsia="Palatino Linotype" w:hAnsi="Palatino Linotype" w:cs="Palatino Linotype"/>
          <w:i/>
          <w:sz w:val="22"/>
          <w:szCs w:val="22"/>
        </w:rPr>
        <w:t>; y se integrarán por…</w:t>
      </w:r>
    </w:p>
    <w:p w14:paraId="30B6A630" w14:textId="77777777" w:rsidR="00C12117" w:rsidRPr="00A75F94" w:rsidRDefault="00C12117">
      <w:pPr>
        <w:widowControl w:val="0"/>
        <w:tabs>
          <w:tab w:val="left" w:pos="1276"/>
        </w:tabs>
        <w:ind w:left="851" w:right="902"/>
        <w:jc w:val="both"/>
        <w:rPr>
          <w:rFonts w:ascii="Palatino Linotype" w:eastAsia="Palatino Linotype" w:hAnsi="Palatino Linotype" w:cs="Palatino Linotype"/>
          <w:i/>
          <w:sz w:val="22"/>
          <w:szCs w:val="22"/>
        </w:rPr>
      </w:pPr>
    </w:p>
    <w:p w14:paraId="6A125DC5" w14:textId="77777777" w:rsidR="00C12117" w:rsidRPr="00A75F94" w:rsidRDefault="00507A46">
      <w:pPr>
        <w:widowControl w:val="0"/>
        <w:tabs>
          <w:tab w:val="left" w:pos="1276"/>
        </w:tabs>
        <w:ind w:left="851" w:right="90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Artículo 19.- </w:t>
      </w:r>
      <w:r w:rsidRPr="00A75F94">
        <w:rPr>
          <w:rFonts w:ascii="Palatino Linotype" w:eastAsia="Palatino Linotype" w:hAnsi="Palatino Linotype" w:cs="Palatino Linotype"/>
          <w:b/>
          <w:i/>
          <w:sz w:val="22"/>
          <w:szCs w:val="22"/>
        </w:rPr>
        <w:t>A las nueve horas del día 1 de enero del año inmediato siguiente a aquel en que se hayan efectuado las elecciones municipales, el ayuntamiento saliente dará posesión de las oficinas municipales a los miembros del ayuntamiento entrante</w:t>
      </w:r>
      <w:r w:rsidRPr="00A75F94">
        <w:rPr>
          <w:rFonts w:ascii="Palatino Linotype" w:eastAsia="Palatino Linotype" w:hAnsi="Palatino Linotype" w:cs="Palatino Linotype"/>
          <w:i/>
          <w:sz w:val="22"/>
          <w:szCs w:val="22"/>
        </w:rPr>
        <w:t xml:space="preserve">, que hubieren rendido la protesta de ley, cuyo presidente municipal hará la siguiente declaratoria formal y solemne: “Queda legítimamente instalado el ayuntamiento del municipio de…, que deberá funcionar durante los años de…”. </w:t>
      </w:r>
    </w:p>
    <w:p w14:paraId="5DA442B4" w14:textId="77777777" w:rsidR="00C12117" w:rsidRPr="00A75F94" w:rsidRDefault="00507A46">
      <w:pPr>
        <w:widowControl w:val="0"/>
        <w:tabs>
          <w:tab w:val="left" w:pos="1276"/>
        </w:tabs>
        <w:ind w:left="851" w:right="90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La inasistencia de los integrantes del ayuntamiento saliente no será obstáculo para que se dé por instalado el entrante, sin perjuicio de las sanciones que establezcan las disposiciones jurídicas aplicables. </w:t>
      </w:r>
    </w:p>
    <w:p w14:paraId="019FE210" w14:textId="77777777" w:rsidR="00C12117" w:rsidRPr="00A75F94" w:rsidRDefault="00507A46">
      <w:pPr>
        <w:widowControl w:val="0"/>
        <w:tabs>
          <w:tab w:val="left" w:pos="1276"/>
        </w:tabs>
        <w:ind w:left="851" w:right="90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 xml:space="preserve">A continuación se procederá a la suscripción de las actas y demás documentos relativos a la entrega-recepción de la administración municipal, con la participación de </w:t>
      </w:r>
      <w:r w:rsidRPr="00A75F94">
        <w:rPr>
          <w:rFonts w:ascii="Palatino Linotype" w:eastAsia="Palatino Linotype" w:hAnsi="Palatino Linotype" w:cs="Palatino Linotype"/>
          <w:i/>
          <w:sz w:val="22"/>
          <w:szCs w:val="22"/>
        </w:rPr>
        <w:t xml:space="preserve">los miembros de los ayuntamientos y </w:t>
      </w:r>
      <w:r w:rsidRPr="00A75F94">
        <w:rPr>
          <w:rFonts w:ascii="Palatino Linotype" w:eastAsia="Palatino Linotype" w:hAnsi="Palatino Linotype" w:cs="Palatino Linotype"/>
          <w:b/>
          <w:i/>
          <w:sz w:val="22"/>
          <w:szCs w:val="22"/>
        </w:rPr>
        <w:t>los titulares de sus dependencias administrativas salientes y entrantes,</w:t>
      </w:r>
      <w:r w:rsidRPr="00A75F94">
        <w:rPr>
          <w:rFonts w:ascii="Palatino Linotype" w:eastAsia="Palatino Linotype" w:hAnsi="Palatino Linotype" w:cs="Palatino Linotype"/>
          <w:i/>
          <w:sz w:val="22"/>
          <w:szCs w:val="22"/>
        </w:rPr>
        <w:t xml:space="preserve">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w:t>
      </w:r>
      <w:r w:rsidRPr="00A75F94">
        <w:rPr>
          <w:rFonts w:ascii="Palatino Linotype" w:eastAsia="Palatino Linotype" w:hAnsi="Palatino Linotype" w:cs="Palatino Linotype"/>
          <w:i/>
          <w:sz w:val="22"/>
          <w:szCs w:val="22"/>
        </w:rPr>
        <w:lastRenderedPageBreak/>
        <w:t xml:space="preserve">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6DB03E26" w14:textId="77777777" w:rsidR="00C12117" w:rsidRPr="00A75F94" w:rsidRDefault="00507A46">
      <w:pPr>
        <w:widowControl w:val="0"/>
        <w:tabs>
          <w:tab w:val="left" w:pos="1276"/>
        </w:tabs>
        <w:ind w:left="851" w:right="90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14:paraId="1D4D3CCE" w14:textId="77777777" w:rsidR="00C12117" w:rsidRPr="00A75F94" w:rsidRDefault="00507A46">
      <w:pPr>
        <w:widowControl w:val="0"/>
        <w:tabs>
          <w:tab w:val="left" w:pos="1276"/>
        </w:tabs>
        <w:ind w:left="851" w:right="902"/>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 (Sic)</w:t>
      </w:r>
    </w:p>
    <w:p w14:paraId="372279BC" w14:textId="77777777" w:rsidR="00C12117" w:rsidRPr="00A75F94" w:rsidRDefault="00C12117">
      <w:pPr>
        <w:widowControl w:val="0"/>
        <w:tabs>
          <w:tab w:val="left" w:pos="1276"/>
        </w:tabs>
        <w:ind w:left="851" w:right="902"/>
        <w:jc w:val="both"/>
        <w:rPr>
          <w:rFonts w:ascii="Palatino Linotype" w:eastAsia="Palatino Linotype" w:hAnsi="Palatino Linotype" w:cs="Palatino Linotype"/>
          <w:i/>
          <w:sz w:val="22"/>
          <w:szCs w:val="22"/>
        </w:rPr>
      </w:pPr>
    </w:p>
    <w:p w14:paraId="40A50567"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Luego entonces, podemos delimitar que la información requerida es la correspondiente a la administración pública del Ayuntamiento de Tequixquiac 2022-2024, es decir del primero de enero del año dos mil veintidós al nueve de enero del año dos mil veintitrés (fecha de la solicitud). </w:t>
      </w:r>
    </w:p>
    <w:p w14:paraId="15CD0DAC"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Precisado lo anterior, se procede analizar la naturaleza de la información solicitada; por ello, es conviene señalar que los artículos 115 fracción I párrafo cuarto de la Constitución Política de los Estados Unidos Mexicanos y 16 de la Ley Orgánica Municipal vigente en la entidad, que a la letra dicen: </w:t>
      </w:r>
    </w:p>
    <w:p w14:paraId="76923D5F" w14:textId="77777777" w:rsidR="00C12117" w:rsidRPr="00A75F94" w:rsidRDefault="00C12117">
      <w:pPr>
        <w:ind w:left="720" w:right="142"/>
        <w:rPr>
          <w:rFonts w:ascii="Palatino Linotype" w:eastAsia="Palatino Linotype" w:hAnsi="Palatino Linotype" w:cs="Palatino Linotype"/>
        </w:rPr>
      </w:pPr>
    </w:p>
    <w:p w14:paraId="63496710" w14:textId="77777777" w:rsidR="00C12117" w:rsidRPr="00A75F94" w:rsidRDefault="00507A46">
      <w:pPr>
        <w:ind w:left="567" w:right="567"/>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“Articulo 115.</w:t>
      </w:r>
    </w:p>
    <w:p w14:paraId="1203ACE7" w14:textId="77777777" w:rsidR="00C12117" w:rsidRPr="00A75F94" w:rsidRDefault="00507A46">
      <w:pPr>
        <w:ind w:left="567" w:right="567"/>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w:t>
      </w:r>
    </w:p>
    <w:p w14:paraId="320CD676" w14:textId="77777777" w:rsidR="00C12117" w:rsidRPr="00A75F94" w:rsidRDefault="00507A46">
      <w:pPr>
        <w:numPr>
          <w:ilvl w:val="0"/>
          <w:numId w:val="9"/>
        </w:numPr>
        <w:ind w:left="567" w:right="567" w:firstLine="0"/>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 </w:t>
      </w:r>
      <w:r w:rsidRPr="00A75F94">
        <w:rPr>
          <w:rFonts w:ascii="Palatino Linotype" w:eastAsia="Palatino Linotype" w:hAnsi="Palatino Linotype" w:cs="Palatino Linotype"/>
          <w:b/>
          <w:i/>
          <w:sz w:val="22"/>
          <w:szCs w:val="22"/>
        </w:rPr>
        <w:t xml:space="preserve">Cada Municipio será gobernado por un Ayuntamiento de elección popular directa, integrado por un </w:t>
      </w:r>
      <w:proofErr w:type="gramStart"/>
      <w:r w:rsidRPr="00A75F94">
        <w:rPr>
          <w:rFonts w:ascii="Palatino Linotype" w:eastAsia="Palatino Linotype" w:hAnsi="Palatino Linotype" w:cs="Palatino Linotype"/>
          <w:b/>
          <w:i/>
          <w:sz w:val="22"/>
          <w:szCs w:val="22"/>
        </w:rPr>
        <w:t>Presidente</w:t>
      </w:r>
      <w:proofErr w:type="gramEnd"/>
      <w:r w:rsidRPr="00A75F94">
        <w:rPr>
          <w:rFonts w:ascii="Palatino Linotype" w:eastAsia="Palatino Linotype" w:hAnsi="Palatino Linotype" w:cs="Palatino Linotype"/>
          <w:b/>
          <w:i/>
          <w:sz w:val="22"/>
          <w:szCs w:val="22"/>
        </w:rPr>
        <w:t xml:space="preserve"> Municipal y el número de regidores y </w:t>
      </w:r>
      <w:r w:rsidRPr="00A75F94">
        <w:rPr>
          <w:rFonts w:ascii="Palatino Linotype" w:eastAsia="Palatino Linotype" w:hAnsi="Palatino Linotype" w:cs="Palatino Linotype"/>
          <w:b/>
          <w:i/>
          <w:sz w:val="22"/>
          <w:szCs w:val="22"/>
        </w:rPr>
        <w:lastRenderedPageBreak/>
        <w:t>síndicos que la ley determine.</w:t>
      </w:r>
      <w:r w:rsidRPr="00A75F94">
        <w:rPr>
          <w:rFonts w:ascii="Palatino Linotype" w:eastAsia="Palatino Linotype" w:hAnsi="Palatino Linotype" w:cs="Palatino Linotype"/>
          <w:i/>
          <w:sz w:val="22"/>
          <w:szCs w:val="22"/>
        </w:rPr>
        <w:t xml:space="preserve"> La competencia que esta Constitución otorga al gobierno municipal se ejercerá por el Ayuntamiento de manera exclusiva y no habrá autoridad intermedia alguna entre éste y el gobierno del Estado</w:t>
      </w:r>
      <w:proofErr w:type="gramStart"/>
      <w:r w:rsidRPr="00A75F94">
        <w:rPr>
          <w:rFonts w:ascii="Palatino Linotype" w:eastAsia="Palatino Linotype" w:hAnsi="Palatino Linotype" w:cs="Palatino Linotype"/>
          <w:i/>
          <w:sz w:val="22"/>
          <w:szCs w:val="22"/>
        </w:rPr>
        <w:t>.”(</w:t>
      </w:r>
      <w:proofErr w:type="gramEnd"/>
      <w:r w:rsidRPr="00A75F94">
        <w:rPr>
          <w:rFonts w:ascii="Palatino Linotype" w:eastAsia="Palatino Linotype" w:hAnsi="Palatino Linotype" w:cs="Palatino Linotype"/>
          <w:i/>
          <w:sz w:val="22"/>
          <w:szCs w:val="22"/>
        </w:rPr>
        <w:t>Sic).</w:t>
      </w:r>
    </w:p>
    <w:p w14:paraId="318C3DB7" w14:textId="77777777" w:rsidR="00C12117" w:rsidRPr="00A75F94" w:rsidRDefault="00507A46">
      <w:pPr>
        <w:ind w:left="567" w:right="567"/>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II.</w:t>
      </w:r>
      <w:r w:rsidRPr="00A75F94">
        <w:rPr>
          <w:rFonts w:ascii="Palatino Linotype" w:eastAsia="Palatino Linotype" w:hAnsi="Palatino Linotype" w:cs="Palatino Linotype"/>
          <w:i/>
          <w:sz w:val="22"/>
          <w:szCs w:val="22"/>
        </w:rPr>
        <w:t xml:space="preserve"> </w:t>
      </w:r>
      <w:r w:rsidRPr="00A75F94">
        <w:rPr>
          <w:rFonts w:ascii="Palatino Linotype" w:eastAsia="Palatino Linotype" w:hAnsi="Palatino Linotype" w:cs="Palatino Linotype"/>
          <w:b/>
          <w:i/>
          <w:sz w:val="22"/>
          <w:szCs w:val="22"/>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6C286EF1" w14:textId="77777777" w:rsidR="00C12117" w:rsidRPr="00A75F94" w:rsidRDefault="00507A46">
      <w:pPr>
        <w:ind w:left="567" w:right="567"/>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p>
    <w:p w14:paraId="66350F1B" w14:textId="77777777" w:rsidR="00C12117" w:rsidRPr="00A75F94" w:rsidRDefault="00507A46">
      <w:pPr>
        <w:ind w:left="567" w:right="567"/>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Artículo 16.- Los Ayuntamientos se renovarán cada tres años, iniciarán su periodo el 1 de enero del año inmediato siguiente al de las elecciones municipales ordinarias y concluirán el 31 de diciembre del año de las elecciones para su renovación; y se integrarán por:</w:t>
      </w:r>
    </w:p>
    <w:p w14:paraId="1C916CE1" w14:textId="77777777" w:rsidR="00C12117" w:rsidRPr="00A75F94" w:rsidRDefault="00507A46">
      <w:pPr>
        <w:ind w:left="567" w:right="567"/>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14:paraId="120AC710" w14:textId="77777777" w:rsidR="00C12117" w:rsidRPr="00A75F94" w:rsidRDefault="00507A46">
      <w:pPr>
        <w:ind w:left="567" w:right="567"/>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428363B0" w14:textId="77777777" w:rsidR="00C12117" w:rsidRPr="00A75F94" w:rsidRDefault="00507A46">
      <w:pPr>
        <w:ind w:left="567" w:right="567"/>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45943D97" w14:textId="77777777" w:rsidR="00C12117" w:rsidRPr="00A75F94" w:rsidRDefault="00507A46">
      <w:pPr>
        <w:ind w:left="567" w:right="567"/>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roofErr w:type="gramStart"/>
      <w:r w:rsidRPr="00A75F94">
        <w:rPr>
          <w:rFonts w:ascii="Palatino Linotype" w:eastAsia="Palatino Linotype" w:hAnsi="Palatino Linotype" w:cs="Palatino Linotype"/>
          <w:i/>
          <w:sz w:val="22"/>
          <w:szCs w:val="22"/>
        </w:rPr>
        <w:t>.”(</w:t>
      </w:r>
      <w:proofErr w:type="gramEnd"/>
      <w:r w:rsidRPr="00A75F94">
        <w:rPr>
          <w:rFonts w:ascii="Palatino Linotype" w:eastAsia="Palatino Linotype" w:hAnsi="Palatino Linotype" w:cs="Palatino Linotype"/>
          <w:i/>
          <w:sz w:val="22"/>
          <w:szCs w:val="22"/>
        </w:rPr>
        <w:t>Sic).</w:t>
      </w:r>
    </w:p>
    <w:p w14:paraId="630B9DD9" w14:textId="77777777" w:rsidR="00C12117" w:rsidRPr="00A75F94" w:rsidRDefault="00C12117">
      <w:pPr>
        <w:tabs>
          <w:tab w:val="left" w:pos="567"/>
        </w:tabs>
        <w:spacing w:line="360" w:lineRule="auto"/>
        <w:ind w:left="567" w:right="567"/>
        <w:jc w:val="both"/>
        <w:rPr>
          <w:rFonts w:ascii="Palatino Linotype" w:eastAsia="Palatino Linotype" w:hAnsi="Palatino Linotype" w:cs="Palatino Linotype"/>
        </w:rPr>
      </w:pPr>
    </w:p>
    <w:p w14:paraId="4FB37F6C" w14:textId="77777777" w:rsidR="00C12117" w:rsidRPr="00A75F94" w:rsidRDefault="00507A46">
      <w:pPr>
        <w:spacing w:line="360" w:lineRule="auto"/>
        <w:ind w:right="-567"/>
        <w:jc w:val="both"/>
        <w:rPr>
          <w:rFonts w:ascii="Palatino Linotype" w:eastAsia="Palatino Linotype" w:hAnsi="Palatino Linotype" w:cs="Palatino Linotype"/>
        </w:rPr>
      </w:pPr>
      <w:r w:rsidRPr="00A75F94">
        <w:rPr>
          <w:rFonts w:ascii="Palatino Linotype" w:eastAsia="Palatino Linotype" w:hAnsi="Palatino Linotype" w:cs="Palatino Linotype"/>
        </w:rPr>
        <w:t>En este orden de ideas el artículo 28 y 48 de la Ley Orgánica Municipal del Estado de México,</w:t>
      </w:r>
      <w:r w:rsidRPr="00A75F94">
        <w:rPr>
          <w:rFonts w:ascii="Palatino Linotype" w:eastAsia="Palatino Linotype" w:hAnsi="Palatino Linotype" w:cs="Palatino Linotype"/>
          <w:b/>
        </w:rPr>
        <w:t xml:space="preserve"> </w:t>
      </w:r>
      <w:r w:rsidRPr="00A75F94">
        <w:rPr>
          <w:rFonts w:ascii="Palatino Linotype" w:eastAsia="Palatino Linotype" w:hAnsi="Palatino Linotype" w:cs="Palatino Linotype"/>
        </w:rPr>
        <w:t>establece lo siguiente:</w:t>
      </w:r>
    </w:p>
    <w:p w14:paraId="342C3A29" w14:textId="77777777" w:rsidR="00C12117" w:rsidRPr="00A75F94" w:rsidRDefault="00C12117">
      <w:pPr>
        <w:spacing w:line="360" w:lineRule="auto"/>
        <w:ind w:left="426" w:right="-567"/>
        <w:jc w:val="both"/>
        <w:rPr>
          <w:rFonts w:ascii="Palatino Linotype" w:eastAsia="Palatino Linotype" w:hAnsi="Palatino Linotype" w:cs="Palatino Linotype"/>
        </w:rPr>
      </w:pPr>
    </w:p>
    <w:p w14:paraId="1FC00E43"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lastRenderedPageBreak/>
        <w:t xml:space="preserve">“Artículo 28.- Los ayuntamientos </w:t>
      </w:r>
      <w:r w:rsidRPr="00A75F94">
        <w:rPr>
          <w:rFonts w:ascii="Palatino Linotype" w:eastAsia="Palatino Linotype" w:hAnsi="Palatino Linotype" w:cs="Palatino Linotype"/>
          <w:b/>
          <w:i/>
          <w:sz w:val="22"/>
          <w:szCs w:val="22"/>
        </w:rPr>
        <w:t xml:space="preserve">sesionarán cuando menos una vez cada ocho días en </w:t>
      </w:r>
      <w:r w:rsidRPr="00A75F94">
        <w:rPr>
          <w:rFonts w:ascii="Palatino Linotype" w:eastAsia="Palatino Linotype" w:hAnsi="Palatino Linotype" w:cs="Palatino Linotype"/>
          <w:b/>
          <w:i/>
          <w:sz w:val="22"/>
          <w:szCs w:val="22"/>
          <w:u w:val="single"/>
        </w:rPr>
        <w:t>sesión ordinaria</w:t>
      </w:r>
      <w:r w:rsidRPr="00A75F94">
        <w:rPr>
          <w:rFonts w:ascii="Palatino Linotype" w:eastAsia="Palatino Linotype" w:hAnsi="Palatino Linotype" w:cs="Palatino Linotype"/>
          <w:b/>
          <w:i/>
          <w:sz w:val="22"/>
          <w:szCs w:val="22"/>
        </w:rPr>
        <w:t xml:space="preserve"> o cuantas veces sea necesario en asuntos de urgente resolución por medio de </w:t>
      </w:r>
      <w:r w:rsidRPr="00A75F94">
        <w:rPr>
          <w:rFonts w:ascii="Palatino Linotype" w:eastAsia="Palatino Linotype" w:hAnsi="Palatino Linotype" w:cs="Palatino Linotype"/>
          <w:b/>
          <w:i/>
          <w:sz w:val="22"/>
          <w:szCs w:val="22"/>
          <w:u w:val="single"/>
        </w:rPr>
        <w:t>sesiones extraordinarias</w:t>
      </w:r>
      <w:r w:rsidRPr="00A75F94">
        <w:rPr>
          <w:rFonts w:ascii="Palatino Linotype" w:eastAsia="Palatino Linotype" w:hAnsi="Palatino Linotype" w:cs="Palatino Linotype"/>
          <w:i/>
          <w:sz w:val="22"/>
          <w:szCs w:val="22"/>
        </w:rPr>
        <w:t xml:space="preserve">, a petición de la mayoría de sus miembros y podrán declararse en sesión permanente cuando la importancia del asunto lo requiera. </w:t>
      </w:r>
    </w:p>
    <w:p w14:paraId="25EFF23D"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012CD618"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Las sesiones de los ayuntamientos se celebrarán en la sala de cabildos; y cuando la solemnidad del caso lo requiera, en el recinto previamente declarado oficial para tal objeto. </w:t>
      </w:r>
    </w:p>
    <w:p w14:paraId="301E1895"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 </w:t>
      </w:r>
    </w:p>
    <w:p w14:paraId="0DA1D903"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oficial de internet, plataformas, redes sociales, radio o televisión de acceso gratuito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14:paraId="150EEEA5"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 xml:space="preserve">Los ayuntamientos sesionarán en </w:t>
      </w:r>
      <w:r w:rsidRPr="00A75F94">
        <w:rPr>
          <w:rFonts w:ascii="Palatino Linotype" w:eastAsia="Palatino Linotype" w:hAnsi="Palatino Linotype" w:cs="Palatino Linotype"/>
          <w:b/>
          <w:i/>
          <w:sz w:val="22"/>
          <w:szCs w:val="22"/>
          <w:u w:val="single"/>
        </w:rPr>
        <w:t>cabildo abierto</w:t>
      </w:r>
      <w:r w:rsidRPr="00A75F94">
        <w:rPr>
          <w:rFonts w:ascii="Palatino Linotype" w:eastAsia="Palatino Linotype" w:hAnsi="Palatino Linotype" w:cs="Palatino Linotype"/>
          <w:b/>
          <w:i/>
          <w:sz w:val="22"/>
          <w:szCs w:val="22"/>
        </w:rPr>
        <w:t xml:space="preserve"> cuando menos bimestralmente, y de manera anual, durante el mes de agosto, se realizarán cabildos juveniles</w:t>
      </w:r>
      <w:r w:rsidRPr="00A75F94">
        <w:rPr>
          <w:rFonts w:ascii="Palatino Linotype" w:eastAsia="Palatino Linotype" w:hAnsi="Palatino Linotype" w:cs="Palatino Linotype"/>
          <w:i/>
          <w:sz w:val="22"/>
          <w:szCs w:val="22"/>
        </w:rPr>
        <w:t xml:space="preserve">. </w:t>
      </w:r>
    </w:p>
    <w:p w14:paraId="78E5E1A7"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El cabildo abierto son las sesiones que celebra el Ayuntamiento, en las que las personas habitantes involucradas participan directamente con derecho a voz, pero sin voto, a fin de discutir asuntos de interés y con competencia sobre el mismo</w:t>
      </w:r>
      <w:r w:rsidRPr="00A75F94">
        <w:rPr>
          <w:rFonts w:ascii="Palatino Linotype" w:eastAsia="Palatino Linotype" w:hAnsi="Palatino Linotype" w:cs="Palatino Linotype"/>
          <w:i/>
          <w:sz w:val="22"/>
          <w:szCs w:val="22"/>
        </w:rPr>
        <w:t xml:space="preserve">. </w:t>
      </w:r>
    </w:p>
    <w:p w14:paraId="260EC496"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u w:val="single"/>
        </w:rPr>
        <w:t>El cabildo juvenil</w:t>
      </w:r>
      <w:r w:rsidRPr="00A75F94">
        <w:rPr>
          <w:rFonts w:ascii="Palatino Linotype" w:eastAsia="Palatino Linotype" w:hAnsi="Palatino Linotype" w:cs="Palatino Linotype"/>
          <w:b/>
          <w:i/>
          <w:sz w:val="22"/>
          <w:szCs w:val="22"/>
        </w:rPr>
        <w:t xml:space="preserve">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w:t>
      </w:r>
      <w:r w:rsidRPr="00A75F94">
        <w:rPr>
          <w:rFonts w:ascii="Palatino Linotype" w:eastAsia="Palatino Linotype" w:hAnsi="Palatino Linotype" w:cs="Palatino Linotype"/>
          <w:i/>
          <w:sz w:val="22"/>
          <w:szCs w:val="22"/>
        </w:rPr>
        <w:t xml:space="preserve">. En este tipo de sesiones el Ayuntamiento escuchará las opiniones de los participantes </w:t>
      </w:r>
      <w:r w:rsidRPr="00A75F94">
        <w:rPr>
          <w:rFonts w:ascii="Palatino Linotype" w:eastAsia="Palatino Linotype" w:hAnsi="Palatino Linotype" w:cs="Palatino Linotype"/>
          <w:i/>
          <w:sz w:val="22"/>
          <w:szCs w:val="22"/>
        </w:rPr>
        <w:lastRenderedPageBreak/>
        <w:t xml:space="preserve">quedando asentadas en las actas de las Sesiones, y podrán considerarlas al dictaminar sus resoluciones. </w:t>
      </w:r>
    </w:p>
    <w:p w14:paraId="1F986292"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En el caso de los cabildos juveniles, la persona Titular de la Secretaría del Ayuntamiento remitirá, en un plazo de 15 días hábiles, una copia de dicha acta de sesión de cabildo al Instituto Mexiquense de la Juventud. </w:t>
      </w:r>
    </w:p>
    <w:p w14:paraId="340A37BB"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El Ayuntamiento deberá emitir una convocatoria pública quince días naturales previos a la celebración del Cabildo abierto o juvenil para que las personas habitantes del municipio que tengan interés se registren como participantes ante la Secretaría del Ayuntamiento. </w:t>
      </w:r>
    </w:p>
    <w:p w14:paraId="0708DFB9"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Para la celebración de las sesiones se deberá contar con un orden del día que contenga como mínimo: </w:t>
      </w:r>
    </w:p>
    <w:p w14:paraId="7A7B6710"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a) Lista de Asistencia y en su caso declaración del quórum legal; </w:t>
      </w:r>
    </w:p>
    <w:p w14:paraId="6B2DCD1E"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b) Lectura, discusión y en su caso aprobación del acta de la sesión anterior; </w:t>
      </w:r>
    </w:p>
    <w:p w14:paraId="5722DEEC"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 Aprobación del orden del día; </w:t>
      </w:r>
    </w:p>
    <w:p w14:paraId="6FCEFAA5"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d) Presentación de asuntos y turno a Comisiones; </w:t>
      </w:r>
    </w:p>
    <w:p w14:paraId="72726FE5"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e) Lectura, discusión y en su caso, aprobación de los acuerdos, y </w:t>
      </w:r>
    </w:p>
    <w:p w14:paraId="2B3B8A05"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f) Asuntos generales. </w:t>
      </w:r>
    </w:p>
    <w:p w14:paraId="262AB5F6"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 Quien presida la sesión hará preservar el orden público, pudiendo ordenar al infractor abandonar el salón o en caso de reincidencia remitirlo a la autoridad competente para la sanción procedente.</w:t>
      </w:r>
    </w:p>
    <w:p w14:paraId="4F937788"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p>
    <w:p w14:paraId="675D7C16"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Artículo 48.- La persona titular de la presidencia municipal tiene las siguientes atribuciones: </w:t>
      </w:r>
    </w:p>
    <w:p w14:paraId="086E567A"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w:t>
      </w:r>
      <w:r w:rsidRPr="00A75F94">
        <w:rPr>
          <w:rFonts w:ascii="Palatino Linotype" w:eastAsia="Palatino Linotype" w:hAnsi="Palatino Linotype" w:cs="Palatino Linotype"/>
          <w:b/>
          <w:i/>
          <w:sz w:val="22"/>
          <w:szCs w:val="22"/>
        </w:rPr>
        <w:t>. Presidir y dirigir las sesiones del ayuntamiento</w:t>
      </w:r>
    </w:p>
    <w:p w14:paraId="0BF82AD0" w14:textId="77777777" w:rsidR="00C12117" w:rsidRPr="00A75F94" w:rsidRDefault="00507A46">
      <w:pPr>
        <w:tabs>
          <w:tab w:val="left" w:pos="851"/>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p>
    <w:p w14:paraId="4A8F32A5" w14:textId="77777777" w:rsidR="00C12117" w:rsidRPr="00A75F94" w:rsidRDefault="00507A46">
      <w:pPr>
        <w:tabs>
          <w:tab w:val="left" w:pos="851"/>
        </w:tabs>
        <w:ind w:left="851" w:right="616"/>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V. Convocar a sesiones ordinarias y extraordinarias a los integrantes del ayuntamiento…” (Sic)</w:t>
      </w:r>
    </w:p>
    <w:p w14:paraId="7296CFE9" w14:textId="77777777" w:rsidR="00C12117" w:rsidRPr="00A75F94" w:rsidRDefault="00C12117">
      <w:pPr>
        <w:tabs>
          <w:tab w:val="left" w:pos="851"/>
        </w:tabs>
        <w:ind w:left="851" w:right="616"/>
        <w:jc w:val="both"/>
        <w:rPr>
          <w:rFonts w:ascii="Palatino Linotype" w:eastAsia="Palatino Linotype" w:hAnsi="Palatino Linotype" w:cs="Palatino Linotype"/>
          <w:b/>
          <w:i/>
          <w:sz w:val="22"/>
          <w:szCs w:val="22"/>
        </w:rPr>
      </w:pPr>
    </w:p>
    <w:p w14:paraId="1EB31409" w14:textId="77777777" w:rsidR="00C12117" w:rsidRPr="00A75F94" w:rsidRDefault="00507A46">
      <w:pPr>
        <w:spacing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De los anteriores preceptos legales podemos advertir que el Ayuntamiento de Tequixquiac de la presente administración debió haber celebrado sesiones de cabildo, las cuales se enlistas a continuación:</w:t>
      </w:r>
    </w:p>
    <w:p w14:paraId="57145072" w14:textId="77777777" w:rsidR="00C12117" w:rsidRPr="00A75F94" w:rsidRDefault="00507A46">
      <w:pPr>
        <w:numPr>
          <w:ilvl w:val="0"/>
          <w:numId w:val="8"/>
        </w:num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Sesiones de cabildo ordinarias, cuando menos una vez cada ocho días.</w:t>
      </w:r>
    </w:p>
    <w:p w14:paraId="415F0193" w14:textId="77777777" w:rsidR="00C12117" w:rsidRPr="00A75F94" w:rsidRDefault="00507A46">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Sesiones de cabildo extraordinarias, cuantas veces sea necesario en asuntos de urgente resolución.</w:t>
      </w:r>
    </w:p>
    <w:p w14:paraId="74CC4E46" w14:textId="77777777" w:rsidR="00C12117" w:rsidRPr="00A75F94" w:rsidRDefault="00507A46">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Sesiones de cabildo abierto, cuando menos bimestralmente.</w:t>
      </w:r>
    </w:p>
    <w:p w14:paraId="5CE3C685" w14:textId="77777777" w:rsidR="00C12117" w:rsidRPr="00A75F94" w:rsidRDefault="00507A46">
      <w:pPr>
        <w:numPr>
          <w:ilvl w:val="0"/>
          <w:numId w:val="8"/>
        </w:num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Sesiones de cabildo juvenil, cuando menos una vez al año. </w:t>
      </w:r>
    </w:p>
    <w:p w14:paraId="2943B628" w14:textId="77777777" w:rsidR="00C12117" w:rsidRPr="00A75F94" w:rsidRDefault="00507A46">
      <w:pPr>
        <w:spacing w:before="240" w:line="360" w:lineRule="auto"/>
        <w:ind w:right="4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rPr>
        <w:t>Es transcendental mencionar que el Ayuntamiento, como órgano colegiado y deliberante, es la autoridad máxima en un municipio, y cuyas decisiones se establecen a través de las sesiones de cabildo que para tal efecto lleve a cabo, tal y como lo establece el artículo 30 de la misma Ley Orgánica que a la letra dice:</w:t>
      </w:r>
    </w:p>
    <w:p w14:paraId="25AFEE34" w14:textId="77777777" w:rsidR="00C12117" w:rsidRPr="00A75F94" w:rsidRDefault="00C12117">
      <w:pPr>
        <w:spacing w:line="360" w:lineRule="auto"/>
        <w:ind w:left="426" w:right="-567"/>
        <w:jc w:val="both"/>
        <w:rPr>
          <w:rFonts w:ascii="Palatino Linotype" w:eastAsia="Palatino Linotype" w:hAnsi="Palatino Linotype" w:cs="Palatino Linotype"/>
          <w:i/>
          <w:sz w:val="22"/>
          <w:szCs w:val="22"/>
        </w:rPr>
      </w:pPr>
    </w:p>
    <w:p w14:paraId="69521A47"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r w:rsidRPr="00A75F94">
        <w:rPr>
          <w:rFonts w:ascii="Palatino Linotype" w:eastAsia="Palatino Linotype" w:hAnsi="Palatino Linotype" w:cs="Palatino Linotype"/>
          <w:b/>
          <w:i/>
          <w:sz w:val="22"/>
          <w:szCs w:val="22"/>
        </w:rPr>
        <w:t>Artículo 30. Las sesiones del ayuntamiento serán presididas por el presidente municipal</w:t>
      </w:r>
      <w:r w:rsidRPr="00A75F94">
        <w:rPr>
          <w:rFonts w:ascii="Palatino Linotype" w:eastAsia="Palatino Linotype" w:hAnsi="Palatino Linotype" w:cs="Palatino Linotype"/>
          <w:i/>
          <w:sz w:val="22"/>
          <w:szCs w:val="22"/>
        </w:rPr>
        <w:t xml:space="preserve"> o por quien lo sustituya legalmente; </w:t>
      </w:r>
      <w:r w:rsidRPr="00A75F94">
        <w:rPr>
          <w:rFonts w:ascii="Palatino Linotype" w:eastAsia="Palatino Linotype" w:hAnsi="Palatino Linotype" w:cs="Palatino Linotype"/>
          <w:b/>
          <w:i/>
          <w:sz w:val="22"/>
          <w:szCs w:val="22"/>
          <w:u w:val="single"/>
        </w:rPr>
        <w:t>constarán en un libro que deberá contener las actas en las cuales deberán asentarse los extractos de los acuerdos y asuntos tratados y el resultado de la votación</w:t>
      </w:r>
      <w:r w:rsidRPr="00A75F94">
        <w:rPr>
          <w:rFonts w:ascii="Palatino Linotype" w:eastAsia="Palatino Linotype" w:hAnsi="Palatino Linotype" w:cs="Palatino Linotype"/>
          <w:i/>
          <w:sz w:val="22"/>
          <w:szCs w:val="22"/>
        </w:rPr>
        <w:t xml:space="preserve">. </w:t>
      </w:r>
    </w:p>
    <w:p w14:paraId="0DC70A63"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27E61D5B"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 xml:space="preserve">De las actas, se les entregará copia certificada en formato físico o electrónico a los integrantes del Ayuntamiento que lo soliciten en un plazo no mayor de ocho días hábiles. </w:t>
      </w:r>
    </w:p>
    <w:p w14:paraId="4200F809"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Los documentos electrónicos en el que consten las firmas electrónicas avanzadas o el sello electrónico de los integrantes del Ayuntamiento </w:t>
      </w:r>
      <w:proofErr w:type="gramStart"/>
      <w:r w:rsidRPr="00A75F94">
        <w:rPr>
          <w:rFonts w:ascii="Palatino Linotype" w:eastAsia="Palatino Linotype" w:hAnsi="Palatino Linotype" w:cs="Palatino Linotype"/>
          <w:i/>
          <w:sz w:val="22"/>
          <w:szCs w:val="22"/>
        </w:rPr>
        <w:t>tendrá</w:t>
      </w:r>
      <w:proofErr w:type="gramEnd"/>
      <w:r w:rsidRPr="00A75F94">
        <w:rPr>
          <w:rFonts w:ascii="Palatino Linotype" w:eastAsia="Palatino Linotype" w:hAnsi="Palatino Linotype" w:cs="Palatino Linotype"/>
          <w:i/>
          <w:sz w:val="22"/>
          <w:szCs w:val="22"/>
        </w:rPr>
        <w:t xml:space="preserve"> el carácter de copia certificada. </w:t>
      </w:r>
    </w:p>
    <w:p w14:paraId="3A385227"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1DB476B1"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Para cada sesión se deberá contar con una versión estenográfica o videograbada que permita hacer las aclaraciones pertinentes, la cual formará parte del acta correspondiente. La versión estenográfica o videograbada deberá estar disponible en </w:t>
      </w:r>
      <w:r w:rsidRPr="00A75F94">
        <w:rPr>
          <w:rFonts w:ascii="Palatino Linotype" w:eastAsia="Palatino Linotype" w:hAnsi="Palatino Linotype" w:cs="Palatino Linotype"/>
          <w:i/>
          <w:sz w:val="22"/>
          <w:szCs w:val="22"/>
        </w:rPr>
        <w:lastRenderedPageBreak/>
        <w:t>la página de internet del Ayuntamiento y en las oficinas de la Secretaría del Ayuntamiento.” (Sic)</w:t>
      </w:r>
    </w:p>
    <w:p w14:paraId="2F3A1395" w14:textId="77777777" w:rsidR="00C12117" w:rsidRPr="00A75F94" w:rsidRDefault="00C12117">
      <w:pPr>
        <w:spacing w:line="360" w:lineRule="auto"/>
        <w:ind w:left="426" w:right="616"/>
        <w:jc w:val="both"/>
        <w:rPr>
          <w:rFonts w:ascii="Palatino Linotype" w:eastAsia="Palatino Linotype" w:hAnsi="Palatino Linotype" w:cs="Palatino Linotype"/>
          <w:i/>
          <w:sz w:val="22"/>
          <w:szCs w:val="22"/>
        </w:rPr>
      </w:pPr>
    </w:p>
    <w:p w14:paraId="620E0635" w14:textId="77777777" w:rsidR="00C12117" w:rsidRPr="00A75F94" w:rsidRDefault="00507A46">
      <w:pPr>
        <w:spacing w:line="360" w:lineRule="auto"/>
        <w:ind w:right="-567"/>
        <w:jc w:val="both"/>
        <w:rPr>
          <w:rFonts w:ascii="Palatino Linotype" w:eastAsia="Palatino Linotype" w:hAnsi="Palatino Linotype" w:cs="Palatino Linotype"/>
          <w:i/>
        </w:rPr>
      </w:pPr>
      <w:r w:rsidRPr="00A75F94">
        <w:rPr>
          <w:rFonts w:ascii="Palatino Linotype" w:eastAsia="Palatino Linotype" w:hAnsi="Palatino Linotype" w:cs="Palatino Linotype"/>
        </w:rPr>
        <w:t>De igual forma, el artículo 91 de dicho ordenamiento señala:</w:t>
      </w:r>
    </w:p>
    <w:p w14:paraId="4F10F93E" w14:textId="77777777" w:rsidR="00C12117" w:rsidRPr="00A75F94" w:rsidRDefault="00C12117">
      <w:pPr>
        <w:ind w:left="851"/>
        <w:jc w:val="both"/>
        <w:rPr>
          <w:rFonts w:ascii="Palatino Linotype" w:eastAsia="Palatino Linotype" w:hAnsi="Palatino Linotype" w:cs="Palatino Linotype"/>
          <w:b/>
          <w:i/>
          <w:sz w:val="22"/>
          <w:szCs w:val="22"/>
        </w:rPr>
      </w:pPr>
    </w:p>
    <w:p w14:paraId="59369F21"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 xml:space="preserve">“Artículo 91.- La Secretaría del Ayuntamiento estará a cargo de un </w:t>
      </w:r>
      <w:proofErr w:type="gramStart"/>
      <w:r w:rsidRPr="00A75F94">
        <w:rPr>
          <w:rFonts w:ascii="Palatino Linotype" w:eastAsia="Palatino Linotype" w:hAnsi="Palatino Linotype" w:cs="Palatino Linotype"/>
          <w:b/>
          <w:i/>
          <w:sz w:val="22"/>
          <w:szCs w:val="22"/>
        </w:rPr>
        <w:t>Secretario</w:t>
      </w:r>
      <w:proofErr w:type="gramEnd"/>
      <w:r w:rsidRPr="00A75F94">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A75F94">
        <w:rPr>
          <w:rFonts w:ascii="Palatino Linotype" w:eastAsia="Palatino Linotype" w:hAnsi="Palatino Linotype" w:cs="Palatino Linotype"/>
          <w:b/>
          <w:i/>
          <w:sz w:val="22"/>
          <w:szCs w:val="22"/>
        </w:rPr>
        <w:t>sus atribuciones son las siguientes</w:t>
      </w:r>
      <w:r w:rsidRPr="00A75F94">
        <w:rPr>
          <w:rFonts w:ascii="Palatino Linotype" w:eastAsia="Palatino Linotype" w:hAnsi="Palatino Linotype" w:cs="Palatino Linotype"/>
          <w:i/>
          <w:sz w:val="22"/>
          <w:szCs w:val="22"/>
        </w:rPr>
        <w:t>:</w:t>
      </w:r>
    </w:p>
    <w:p w14:paraId="1F83AC80" w14:textId="77777777" w:rsidR="00C12117" w:rsidRPr="00A75F94" w:rsidRDefault="00507A46">
      <w:pPr>
        <w:ind w:left="851" w:right="616"/>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I. Asistir a las sesiones del ayuntamiento y levantar las actas correspondientes;</w:t>
      </w:r>
    </w:p>
    <w:p w14:paraId="197D797A" w14:textId="77777777" w:rsidR="00C12117" w:rsidRPr="00A75F94" w:rsidRDefault="00507A46">
      <w:pPr>
        <w:ind w:left="851" w:right="616"/>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w:t>
      </w:r>
    </w:p>
    <w:p w14:paraId="7DAA0207"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III. Dar cuenta en la primera sesión de cada mes</w:t>
      </w:r>
      <w:r w:rsidRPr="00A75F94">
        <w:rPr>
          <w:rFonts w:ascii="Palatino Linotype" w:eastAsia="Palatino Linotype" w:hAnsi="Palatino Linotype" w:cs="Palatino Linotype"/>
          <w:i/>
          <w:sz w:val="22"/>
          <w:szCs w:val="22"/>
        </w:rPr>
        <w:t xml:space="preserve">, </w:t>
      </w:r>
      <w:r w:rsidRPr="00A75F94">
        <w:rPr>
          <w:rFonts w:ascii="Palatino Linotype" w:eastAsia="Palatino Linotype" w:hAnsi="Palatino Linotype" w:cs="Palatino Linotype"/>
          <w:b/>
          <w:i/>
          <w:sz w:val="22"/>
          <w:szCs w:val="22"/>
        </w:rPr>
        <w:t>del número</w:t>
      </w:r>
      <w:r w:rsidRPr="00A75F94">
        <w:rPr>
          <w:rFonts w:ascii="Palatino Linotype" w:eastAsia="Palatino Linotype" w:hAnsi="Palatino Linotype" w:cs="Palatino Linotype"/>
          <w:i/>
          <w:sz w:val="22"/>
          <w:szCs w:val="22"/>
        </w:rPr>
        <w:t xml:space="preserve"> y contenido de los expedientes pasados a comisión, con mención de los que hayan sido resueltos y de los pendientes;</w:t>
      </w:r>
    </w:p>
    <w:p w14:paraId="7E1CB608"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p>
    <w:p w14:paraId="2E805BE6"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IV. Llevar y conservar los libros de actas de cabildo, obteniendo las firmas de los asistentes a las sesiones… (Sic)</w:t>
      </w:r>
    </w:p>
    <w:p w14:paraId="0D525E4D" w14:textId="77777777" w:rsidR="00C12117" w:rsidRPr="00A75F94" w:rsidRDefault="00C12117">
      <w:pPr>
        <w:spacing w:line="360" w:lineRule="auto"/>
        <w:ind w:right="-567"/>
        <w:jc w:val="both"/>
        <w:rPr>
          <w:rFonts w:ascii="Palatino Linotype" w:eastAsia="Palatino Linotype" w:hAnsi="Palatino Linotype" w:cs="Palatino Linotype"/>
          <w:i/>
          <w:sz w:val="22"/>
          <w:szCs w:val="22"/>
        </w:rPr>
      </w:pPr>
    </w:p>
    <w:p w14:paraId="2BF857FC" w14:textId="77777777" w:rsidR="00C12117" w:rsidRPr="00A75F94" w:rsidRDefault="00507A46">
      <w:pPr>
        <w:spacing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Con base en lo anterior, se acredita que el Ayuntamiento de Tequixquiac, como órgano colegiado, tuvo que sesionar cuando menos una vez cada ocho días, cuantas veces sea necesario en asunto de urgente resolución, bimestralmente y anual, respectivamente, con la mayoría de sus integrantes y que toda sesión constará en un libro de Actas, sesiones que presidirá el Presidente Municipal de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documento que deberá publicarse en la gaceta municipal y en los estrados de la Secretaría del Ayuntamiento, para el conocimiento de los habitantes del municipio, sólo en los casos de que las sesiones que no contengan información clasificada, así como los datos de identificación de las actas que contengan información clasificada, incluyendo en cada caso, el fundamento legal que clasifica la información, en donde también deberán estar disponibles en la página de internet </w:t>
      </w:r>
      <w:r w:rsidRPr="00A75F94">
        <w:rPr>
          <w:rFonts w:ascii="Palatino Linotype" w:eastAsia="Palatino Linotype" w:hAnsi="Palatino Linotype" w:cs="Palatino Linotype"/>
        </w:rPr>
        <w:lastRenderedPageBreak/>
        <w:t>del Ayuntamiento y en las oficinas de la Secretaría del Ayuntamiento y en donde el Secretario del Ayuntamiento de Tequixquiac se debió cerciorar la correcta identificación de los miembros del Ayuntamiento, sus intervenciones y el sentido de las votación, de la cual debió guardar una copia íntegra de la sesión en el libro de actas de cabildo.</w:t>
      </w:r>
    </w:p>
    <w:p w14:paraId="7154383C" w14:textId="77777777" w:rsidR="00C12117" w:rsidRPr="00A75F94" w:rsidRDefault="00C12117">
      <w:pPr>
        <w:spacing w:line="360" w:lineRule="auto"/>
        <w:ind w:right="49"/>
        <w:jc w:val="both"/>
        <w:rPr>
          <w:rFonts w:ascii="Palatino Linotype" w:eastAsia="Palatino Linotype" w:hAnsi="Palatino Linotype" w:cs="Palatino Linotype"/>
        </w:rPr>
      </w:pPr>
    </w:p>
    <w:p w14:paraId="46FE3FE5" w14:textId="77777777" w:rsidR="00C12117" w:rsidRPr="00A75F94" w:rsidRDefault="00507A46">
      <w:pPr>
        <w:spacing w:line="360" w:lineRule="auto"/>
        <w:ind w:right="4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rPr>
        <w:t xml:space="preserve">Asimismo, es menester señalar que la información solicitada constituye una obligación de transparencia común, que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genera, administra y posee en sus archivos, ello conforme a lo previsto por el artículo 92 fracción L de la Ley de Transparencia y Acceso a la Información Pública del Estado de México y Municipios; que a la letra cita:</w:t>
      </w:r>
    </w:p>
    <w:p w14:paraId="22E615D3" w14:textId="77777777" w:rsidR="00C12117" w:rsidRPr="00A75F94" w:rsidRDefault="00C12117">
      <w:pPr>
        <w:tabs>
          <w:tab w:val="left" w:pos="567"/>
        </w:tabs>
        <w:ind w:left="851"/>
        <w:jc w:val="both"/>
        <w:rPr>
          <w:rFonts w:ascii="Palatino Linotype" w:eastAsia="Palatino Linotype" w:hAnsi="Palatino Linotype" w:cs="Palatino Linotype"/>
          <w:i/>
          <w:sz w:val="22"/>
          <w:szCs w:val="22"/>
        </w:rPr>
      </w:pPr>
    </w:p>
    <w:p w14:paraId="6FE00D20" w14:textId="77777777" w:rsidR="00C12117" w:rsidRPr="00A75F94" w:rsidRDefault="00507A46">
      <w:pPr>
        <w:tabs>
          <w:tab w:val="left" w:pos="567"/>
        </w:tabs>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r w:rsidRPr="00A75F94">
        <w:rPr>
          <w:rFonts w:ascii="Palatino Linotype" w:eastAsia="Palatino Linotype" w:hAnsi="Palatino Linotype" w:cs="Palatino Linotype"/>
          <w:b/>
          <w:i/>
          <w:sz w:val="22"/>
          <w:szCs w:val="22"/>
        </w:rPr>
        <w:t>Artículo 92</w:t>
      </w:r>
      <w:r w:rsidRPr="00A75F94">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647DCA"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p>
    <w:p w14:paraId="073A56EC" w14:textId="77777777" w:rsidR="00C12117" w:rsidRPr="00A75F94" w:rsidRDefault="00507A46">
      <w:pPr>
        <w:numPr>
          <w:ilvl w:val="0"/>
          <w:numId w:val="1"/>
        </w:numPr>
        <w:ind w:left="851" w:right="616" w:firstLine="0"/>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u w:val="single"/>
        </w:rPr>
        <w:t>Las actas de sesiones ordinarias y extraordinarias</w:t>
      </w:r>
      <w:r w:rsidRPr="00A75F94">
        <w:rPr>
          <w:rFonts w:ascii="Palatino Linotype" w:eastAsia="Palatino Linotype" w:hAnsi="Palatino Linotype" w:cs="Palatino Linotype"/>
          <w:b/>
          <w:i/>
          <w:sz w:val="22"/>
          <w:szCs w:val="22"/>
        </w:rPr>
        <w:t xml:space="preserve">, </w:t>
      </w:r>
      <w:r w:rsidRPr="00A75F94">
        <w:rPr>
          <w:rFonts w:ascii="Palatino Linotype" w:eastAsia="Palatino Linotype" w:hAnsi="Palatino Linotype" w:cs="Palatino Linotype"/>
          <w:i/>
          <w:sz w:val="22"/>
          <w:szCs w:val="22"/>
        </w:rPr>
        <w:t>así como las opiniones y recomendaciones de los consejos consultivos;</w:t>
      </w:r>
    </w:p>
    <w:p w14:paraId="64255979" w14:textId="77777777" w:rsidR="00C12117" w:rsidRPr="00A75F94" w:rsidRDefault="00C12117">
      <w:pPr>
        <w:ind w:left="1571" w:right="616"/>
        <w:jc w:val="both"/>
        <w:rPr>
          <w:rFonts w:ascii="Palatino Linotype" w:eastAsia="Palatino Linotype" w:hAnsi="Palatino Linotype" w:cs="Palatino Linotype"/>
          <w:b/>
          <w:i/>
          <w:sz w:val="22"/>
          <w:szCs w:val="22"/>
        </w:rPr>
      </w:pPr>
    </w:p>
    <w:p w14:paraId="07E67614"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Artículo 94.</w:t>
      </w:r>
      <w:r w:rsidRPr="00A75F94">
        <w:rPr>
          <w:rFonts w:ascii="Palatino Linotype" w:eastAsia="Palatino Linotype" w:hAnsi="Palatino Linotype" w:cs="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2F4C837B" w14:textId="77777777" w:rsidR="00C12117" w:rsidRPr="00A75F94" w:rsidRDefault="00507A46">
      <w:pPr>
        <w:ind w:left="851" w:right="616"/>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II. Adicionalmente en el caso de los municipios:</w:t>
      </w:r>
    </w:p>
    <w:p w14:paraId="255CD197" w14:textId="77777777" w:rsidR="00C12117" w:rsidRPr="00A75F94" w:rsidRDefault="00507A46">
      <w:pPr>
        <w:ind w:left="851" w:right="616"/>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a) El contenido de las gacetas municipales, las cuales deberán comprender los resolutivos y acuerdos aprobados por los ayuntamientos;</w:t>
      </w:r>
    </w:p>
    <w:p w14:paraId="74E14167" w14:textId="77777777" w:rsidR="00C12117" w:rsidRPr="00A75F94" w:rsidRDefault="00507A46">
      <w:pPr>
        <w:ind w:left="851" w:right="616"/>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 xml:space="preserve">b) </w:t>
      </w:r>
      <w:r w:rsidRPr="00A75F94">
        <w:rPr>
          <w:rFonts w:ascii="Palatino Linotype" w:eastAsia="Palatino Linotype" w:hAnsi="Palatino Linotype" w:cs="Palatino Linotype"/>
          <w:b/>
          <w:i/>
          <w:sz w:val="22"/>
          <w:szCs w:val="22"/>
          <w:u w:val="single"/>
        </w:rPr>
        <w:t>Las actas de sesiones de cabildo</w:t>
      </w:r>
      <w:r w:rsidRPr="00A75F94">
        <w:rPr>
          <w:rFonts w:ascii="Palatino Linotype" w:eastAsia="Palatino Linotype" w:hAnsi="Palatino Linotype" w:cs="Palatino Linotype"/>
          <w:b/>
          <w:i/>
          <w:sz w:val="22"/>
          <w:szCs w:val="22"/>
        </w:rPr>
        <w:t xml:space="preserve">, </w:t>
      </w:r>
      <w:r w:rsidRPr="00A75F94">
        <w:rPr>
          <w:rFonts w:ascii="Palatino Linotype" w:eastAsia="Palatino Linotype" w:hAnsi="Palatino Linotype" w:cs="Palatino Linotype"/>
          <w:b/>
          <w:i/>
          <w:sz w:val="22"/>
          <w:szCs w:val="22"/>
          <w:u w:val="single"/>
        </w:rPr>
        <w:t>los controles de asistencia de los integrantes del Ayuntamiento a las sesiones de cabildo y el sentido de votación de los miembros de cabildo sobre las iniciativas o acuerdos</w:t>
      </w:r>
      <w:r w:rsidRPr="00A75F94">
        <w:rPr>
          <w:rFonts w:ascii="Palatino Linotype" w:eastAsia="Palatino Linotype" w:hAnsi="Palatino Linotype" w:cs="Palatino Linotype"/>
          <w:i/>
          <w:sz w:val="22"/>
          <w:szCs w:val="22"/>
        </w:rPr>
        <w:t>… (Sic)</w:t>
      </w:r>
    </w:p>
    <w:p w14:paraId="00970B6D" w14:textId="77777777" w:rsidR="00C12117" w:rsidRPr="00A75F94" w:rsidRDefault="00C12117">
      <w:pPr>
        <w:spacing w:line="360" w:lineRule="auto"/>
        <w:ind w:right="616"/>
        <w:jc w:val="both"/>
        <w:rPr>
          <w:rFonts w:ascii="Palatino Linotype" w:eastAsia="Palatino Linotype" w:hAnsi="Palatino Linotype" w:cs="Palatino Linotype"/>
          <w:b/>
          <w:i/>
          <w:sz w:val="22"/>
          <w:szCs w:val="22"/>
        </w:rPr>
      </w:pPr>
    </w:p>
    <w:p w14:paraId="3D9E0394" w14:textId="77777777" w:rsidR="00C12117" w:rsidRPr="00A75F94" w:rsidRDefault="00507A46">
      <w:pPr>
        <w:tabs>
          <w:tab w:val="left" w:pos="709"/>
        </w:tabs>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 xml:space="preserve">Esto es, que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debió publicar en su página oficial de la Información Pública de Oficio Mexiquense (IPOMEX), la información relativa a sus actas de sesiones de cabildo celebradas. </w:t>
      </w:r>
    </w:p>
    <w:p w14:paraId="71FC1A55" w14:textId="77777777" w:rsidR="00C12117" w:rsidRPr="00A75F94" w:rsidRDefault="00C12117">
      <w:pPr>
        <w:tabs>
          <w:tab w:val="left" w:pos="709"/>
        </w:tabs>
        <w:spacing w:line="360" w:lineRule="auto"/>
        <w:jc w:val="both"/>
        <w:rPr>
          <w:rFonts w:ascii="Palatino Linotype" w:eastAsia="Palatino Linotype" w:hAnsi="Palatino Linotype" w:cs="Palatino Linotype"/>
        </w:rPr>
      </w:pPr>
    </w:p>
    <w:p w14:paraId="6F8B24D0" w14:textId="77777777" w:rsidR="00C12117" w:rsidRPr="00A75F94" w:rsidRDefault="00507A46">
      <w:pPr>
        <w:tabs>
          <w:tab w:val="left" w:pos="709"/>
        </w:tabs>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Lo anterior,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 a continuación:</w:t>
      </w:r>
    </w:p>
    <w:p w14:paraId="48103C2B" w14:textId="77777777" w:rsidR="00C12117" w:rsidRPr="00A75F94" w:rsidRDefault="00C12117">
      <w:pPr>
        <w:spacing w:line="360" w:lineRule="auto"/>
        <w:ind w:right="-93"/>
        <w:jc w:val="both"/>
      </w:pPr>
    </w:p>
    <w:p w14:paraId="31E11A29"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“b) Las actas de sesiones de cabildo, los controles de asistencia de los integrantes del Ayuntamiento a las sesiones de cabildo y el sentido de votación de los miembros del cabildo sobre las iniciativas o acuerdos.</w:t>
      </w:r>
    </w:p>
    <w:p w14:paraId="23B556E3"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Se publicará el calendario trimestral de las reuniones a celebrar en sesión de cabildo en todos los ayuntamientos y la información de aquellas reuniones que ya han sido celebradas en el ejercicio que se curse</w:t>
      </w:r>
      <w:r w:rsidRPr="00A75F94">
        <w:rPr>
          <w:rFonts w:ascii="Palatino Linotype" w:eastAsia="Palatino Linotype" w:hAnsi="Palatino Linotype" w:cs="Palatino Linotype"/>
          <w:i/>
          <w:sz w:val="22"/>
          <w:szCs w:val="22"/>
        </w:rPr>
        <w:t xml:space="preserve">. </w:t>
      </w:r>
    </w:p>
    <w:p w14:paraId="7ED2FA95"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Respecto de las sesiones que ya hayan sido llevadas a cabo, se incluirá lo correspondiente a cada sesión, así como las actas que de ellas deriven. Se presentarán los documentos completos en su versión pública</w:t>
      </w:r>
      <w:r w:rsidRPr="00A75F94">
        <w:rPr>
          <w:rFonts w:ascii="Palatino Linotype" w:eastAsia="Palatino Linotype" w:hAnsi="Palatino Linotype" w:cs="Palatino Linotype"/>
          <w:i/>
          <w:sz w:val="22"/>
          <w:szCs w:val="22"/>
        </w:rPr>
        <w:t xml:space="preserve">. </w:t>
      </w:r>
    </w:p>
    <w:p w14:paraId="7EE42833"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En caso, de que las actas se encuentren en proceso de firma, el sujeto obligado deberá aclararlo y establecerá una fecha compromiso para la publicación de la versión con firmas incluidas. </w:t>
      </w:r>
    </w:p>
    <w:p w14:paraId="11E73952"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Cuando la información de este inciso se actualice al trimestre que corresponda, deberá conservarse la información de cada trimestre del ejercicio</w:t>
      </w:r>
      <w:r w:rsidRPr="00A75F94">
        <w:rPr>
          <w:rFonts w:ascii="Palatino Linotype" w:eastAsia="Palatino Linotype" w:hAnsi="Palatino Linotype" w:cs="Palatino Linotype"/>
          <w:i/>
          <w:sz w:val="22"/>
          <w:szCs w:val="22"/>
        </w:rPr>
        <w:t xml:space="preserve">, de esta manera, al finalizar el año en curso, las personas podrán cotejar el calendario anual de las sesiones a celebrar con la información de cada reunión y los documentos de las actas correspondientes. </w:t>
      </w:r>
    </w:p>
    <w:p w14:paraId="6E8EBDF3"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Respecto de la votación o sentido de participación se debe entender los argumentos que se usaron para llegar a una determinada conclusión, por cada integrante del cabildo con derecho de voz y voto. </w:t>
      </w:r>
    </w:p>
    <w:p w14:paraId="751A1832"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lastRenderedPageBreak/>
        <w:t xml:space="preserve">En aquellos trimestres en los que no se llegara a generar información, se incluirá una nota fundamentada, motivada y actualizada al periodo correspondiente, que explique las razones por las cuales no se publica información. </w:t>
      </w:r>
    </w:p>
    <w:p w14:paraId="051F3F5D"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Periodo de actualización: trimestral </w:t>
      </w:r>
    </w:p>
    <w:p w14:paraId="1ACE7661"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Conservar en el sitio de Internet: información del ejercicio en curso Aplica a: municipios (Cabildo municipal) Criterios sustantivos de contenido Calendario de las sesiones celebradas y/o a celebrar, según corresponda, con los siguientes datos: </w:t>
      </w:r>
    </w:p>
    <w:p w14:paraId="7DA0256D"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1 Ejercicio </w:t>
      </w:r>
    </w:p>
    <w:p w14:paraId="03C8BDAA"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2 Periodo que se informa (fecha de inicio y fecha de término con el formato día/mes/año) </w:t>
      </w:r>
    </w:p>
    <w:p w14:paraId="4720C7FF"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3 Fecha en la que se celebraron y/o celebrarán las sesiones con el formato día/mes/año </w:t>
      </w:r>
    </w:p>
    <w:p w14:paraId="4FA5660A"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4 Tipo de sesión celebrada: Ordinaria/Extraordinaria Respecto de las reuniones celebradas, informar lo siguiente: </w:t>
      </w:r>
    </w:p>
    <w:p w14:paraId="174876C3"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5 Ejercicio </w:t>
      </w:r>
    </w:p>
    <w:p w14:paraId="5200C43F"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6 Periodo que se informa (fecha de inicio y fecha de término con el formato día/mes/año) </w:t>
      </w:r>
    </w:p>
    <w:p w14:paraId="02758194"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7 Número de sesión celebrada (por ejemplo: Primera sesión ordinaria, Cuarta sesión extraordinaria) </w:t>
      </w:r>
    </w:p>
    <w:p w14:paraId="70F8B253"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8 Hipervínculo a la Orden del día </w:t>
      </w:r>
    </w:p>
    <w:p w14:paraId="0FDE16C4"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9 Nombre(s), primer apellido, segundo apellido de los(as) servidores(as) públicos(as) y/o toda persona que funja como responsable y/o asistente a la reunión Criterio 10 Cargo de los(as) servidores(as) públicos(as) y/o toda persona que funja como responsable y/o asistente a la reunión </w:t>
      </w:r>
    </w:p>
    <w:p w14:paraId="561C03F1"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11 Hipervínculo a la lista de asistencia, en la que se señale las inasistencias que fueron justificadas </w:t>
      </w:r>
    </w:p>
    <w:p w14:paraId="0BD00ADF"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12 Sentido de la votación de los miembros del cabildo: Afirmativa/Negativa/Abstención </w:t>
      </w:r>
    </w:p>
    <w:p w14:paraId="473DCA14"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13 Acuerdos tomados en la sesión (dentro del acta) </w:t>
      </w:r>
    </w:p>
    <w:p w14:paraId="287E3C88"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Criterio 14 Hipervínculo al acta de la sesión de cabildo (versión pública) Criterios adjetivos de actualización.</w:t>
      </w:r>
    </w:p>
    <w:p w14:paraId="0DE4EA07"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15 Periodo de actualización de la información: trimestral </w:t>
      </w:r>
    </w:p>
    <w:p w14:paraId="21F2BFFF"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16 La información publicada deberá estar actualizada al periodo que corresponde de acuerdo con la Tabla de actualización y conservación de la información Criterio 17 Conservar en el sitio de Internet y a través de la Plataforma Nacional la información de acuerdo con la Tabla de actualización y conservación de la información Criterios adjetivos de confiabilidad </w:t>
      </w:r>
    </w:p>
    <w:p w14:paraId="78BC6EFA"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18 Área(s) responsable(s) que genera(n) posee(n), publica(n) y/o actualiza(n)la información </w:t>
      </w:r>
    </w:p>
    <w:p w14:paraId="6FFA68C0"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lastRenderedPageBreak/>
        <w:t xml:space="preserve">Criterio 19 Fecha de actualización de la información publicada con el formato día/mes/año </w:t>
      </w:r>
    </w:p>
    <w:p w14:paraId="7491785F"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20 Fecha de validación de la información publicada con el formato día/mes/año Criterio 21 Nota. Este criterio se cumple en caso de que sea necesario que el sujeto obligado incluya alguna aclaración relativa a la información publicada y/o explicación por la falta de información Criterios adjetivos de formato </w:t>
      </w:r>
    </w:p>
    <w:p w14:paraId="0BC3C0A3"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Criterio 22 La información publicada se organiza mediante los formatos 1 </w:t>
      </w:r>
      <w:proofErr w:type="spellStart"/>
      <w:r w:rsidRPr="00A75F94">
        <w:rPr>
          <w:rFonts w:ascii="Palatino Linotype" w:eastAsia="Palatino Linotype" w:hAnsi="Palatino Linotype" w:cs="Palatino Linotype"/>
          <w:i/>
          <w:sz w:val="22"/>
          <w:szCs w:val="22"/>
        </w:rPr>
        <w:t>IIb</w:t>
      </w:r>
      <w:proofErr w:type="spellEnd"/>
      <w:r w:rsidRPr="00A75F94">
        <w:rPr>
          <w:rFonts w:ascii="Palatino Linotype" w:eastAsia="Palatino Linotype" w:hAnsi="Palatino Linotype" w:cs="Palatino Linotype"/>
          <w:i/>
          <w:sz w:val="22"/>
          <w:szCs w:val="22"/>
        </w:rPr>
        <w:t xml:space="preserve"> y 2 </w:t>
      </w:r>
      <w:proofErr w:type="spellStart"/>
      <w:r w:rsidRPr="00A75F94">
        <w:rPr>
          <w:rFonts w:ascii="Palatino Linotype" w:eastAsia="Palatino Linotype" w:hAnsi="Palatino Linotype" w:cs="Palatino Linotype"/>
          <w:i/>
          <w:sz w:val="22"/>
          <w:szCs w:val="22"/>
        </w:rPr>
        <w:t>IIb</w:t>
      </w:r>
      <w:proofErr w:type="spellEnd"/>
      <w:r w:rsidRPr="00A75F94">
        <w:rPr>
          <w:rFonts w:ascii="Palatino Linotype" w:eastAsia="Palatino Linotype" w:hAnsi="Palatino Linotype" w:cs="Palatino Linotype"/>
          <w:i/>
          <w:sz w:val="22"/>
          <w:szCs w:val="22"/>
        </w:rPr>
        <w:t xml:space="preserve">, en los que se incluyen todos los campos especificados en los criterios sustantivos de contenido </w:t>
      </w:r>
    </w:p>
    <w:p w14:paraId="6FC1E4E2"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Criterio 23 El soporte de la información permite su reutilización” (Sic)</w:t>
      </w:r>
    </w:p>
    <w:p w14:paraId="7C76B0BA" w14:textId="77777777" w:rsidR="00C12117" w:rsidRPr="00A75F94" w:rsidRDefault="00C12117">
      <w:pPr>
        <w:tabs>
          <w:tab w:val="left" w:pos="709"/>
        </w:tabs>
        <w:ind w:left="567" w:right="618"/>
        <w:jc w:val="both"/>
        <w:rPr>
          <w:rFonts w:ascii="Palatino Linotype" w:eastAsia="Palatino Linotype" w:hAnsi="Palatino Linotype" w:cs="Palatino Linotype"/>
          <w:i/>
          <w:sz w:val="22"/>
          <w:szCs w:val="22"/>
        </w:rPr>
      </w:pPr>
    </w:p>
    <w:p w14:paraId="7066CEDF"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Por otra parte, se advierte que el Sujeto Obligado, turnó la solicitud de información a la Secretaría del Ayuntamiento; por lo que, es oportuno hacer referencia al </w:t>
      </w:r>
      <w:r w:rsidRPr="00A75F94">
        <w:rPr>
          <w:rFonts w:ascii="Palatino Linotype" w:eastAsia="Palatino Linotype" w:hAnsi="Palatino Linotype" w:cs="Palatino Linotype"/>
          <w:b/>
        </w:rPr>
        <w:t>procedimiento de búsqueda que deben de seguir los Sujetos Obligados para localizar la información</w:t>
      </w:r>
      <w:r w:rsidRPr="00A75F94">
        <w:rPr>
          <w:rFonts w:ascii="Palatino Linotype" w:eastAsia="Palatino Linotype" w:hAnsi="Palatino Linotype" w:cs="Palatino Linotype"/>
        </w:rPr>
        <w:t>, el cual se encuentra previsto en los artículos 160 y 162 de la Ley de Transparencia y Acceso a la Información Pública del Estado de México y Municipios, mismo que es el siguiente:</w:t>
      </w:r>
    </w:p>
    <w:p w14:paraId="331B323B" w14:textId="77777777" w:rsidR="00C12117" w:rsidRPr="00A75F94" w:rsidRDefault="00C12117">
      <w:pPr>
        <w:spacing w:line="360" w:lineRule="auto"/>
      </w:pPr>
    </w:p>
    <w:p w14:paraId="3562C698" w14:textId="77777777" w:rsidR="00C12117" w:rsidRPr="00A75F94" w:rsidRDefault="00507A46">
      <w:pPr>
        <w:numPr>
          <w:ilvl w:val="0"/>
          <w:numId w:val="4"/>
        </w:num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14:paraId="296981CC" w14:textId="77777777" w:rsidR="00C12117" w:rsidRPr="00A75F94" w:rsidRDefault="00C12117">
      <w:pPr>
        <w:spacing w:line="360" w:lineRule="auto"/>
        <w:ind w:left="720"/>
        <w:jc w:val="both"/>
        <w:rPr>
          <w:rFonts w:ascii="Palatino Linotype" w:eastAsia="Palatino Linotype" w:hAnsi="Palatino Linotype" w:cs="Palatino Linotype"/>
        </w:rPr>
      </w:pPr>
    </w:p>
    <w:p w14:paraId="4FA53B03" w14:textId="77777777" w:rsidR="00C12117" w:rsidRPr="00A75F94" w:rsidRDefault="00507A46">
      <w:pPr>
        <w:numPr>
          <w:ilvl w:val="0"/>
          <w:numId w:val="4"/>
        </w:num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0D5BC02" w14:textId="77777777" w:rsidR="00C12117" w:rsidRPr="00A75F94" w:rsidRDefault="00C12117">
      <w:pPr>
        <w:spacing w:line="360" w:lineRule="auto"/>
      </w:pPr>
    </w:p>
    <w:p w14:paraId="729A4B00"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 xml:space="preserve">Así, a efecto de verificar si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cumplió con el procedimiento de búsqueda, es necesario traer a colación el artículo 46 del Bando Municipal de Tequixquiac 2023 y 91 de la Ley Orgánica Municipal del Estado de México, que establece que el Ayuntamiento cuenta con una Secretaría del Ayuntamiento que tendrá las funciones siguientes:</w:t>
      </w:r>
    </w:p>
    <w:p w14:paraId="243C3AA2" w14:textId="77777777" w:rsidR="00C12117" w:rsidRPr="00A75F94" w:rsidRDefault="00C12117">
      <w:pPr>
        <w:spacing w:line="360" w:lineRule="auto"/>
        <w:jc w:val="both"/>
        <w:rPr>
          <w:rFonts w:ascii="Palatino Linotype" w:eastAsia="Palatino Linotype" w:hAnsi="Palatino Linotype" w:cs="Palatino Linotype"/>
        </w:rPr>
      </w:pPr>
    </w:p>
    <w:p w14:paraId="35A2279A"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Artículo 46.- El </w:t>
      </w:r>
      <w:proofErr w:type="gramStart"/>
      <w:r w:rsidRPr="00A75F94">
        <w:rPr>
          <w:rFonts w:ascii="Palatino Linotype" w:eastAsia="Palatino Linotype" w:hAnsi="Palatino Linotype" w:cs="Palatino Linotype"/>
          <w:i/>
          <w:sz w:val="22"/>
          <w:szCs w:val="22"/>
        </w:rPr>
        <w:t>Secretario</w:t>
      </w:r>
      <w:proofErr w:type="gramEnd"/>
      <w:r w:rsidRPr="00A75F94">
        <w:rPr>
          <w:rFonts w:ascii="Palatino Linotype" w:eastAsia="Palatino Linotype" w:hAnsi="Palatino Linotype" w:cs="Palatino Linotype"/>
          <w:i/>
          <w:sz w:val="22"/>
          <w:szCs w:val="22"/>
        </w:rPr>
        <w:t xml:space="preserve"> del Ayuntamiento contará con las atribuciones que le otorga </w:t>
      </w:r>
      <w:r w:rsidRPr="00A75F94">
        <w:rPr>
          <w:rFonts w:ascii="Palatino Linotype" w:eastAsia="Palatino Linotype" w:hAnsi="Palatino Linotype" w:cs="Palatino Linotype"/>
          <w:b/>
          <w:i/>
          <w:sz w:val="22"/>
          <w:szCs w:val="22"/>
        </w:rPr>
        <w:t>el Artículo 91 de la Ley Orgánica</w:t>
      </w:r>
      <w:r w:rsidRPr="00A75F94">
        <w:rPr>
          <w:rFonts w:ascii="Palatino Linotype" w:eastAsia="Palatino Linotype" w:hAnsi="Palatino Linotype" w:cs="Palatino Linotype"/>
          <w:i/>
          <w:sz w:val="22"/>
          <w:szCs w:val="22"/>
        </w:rPr>
        <w:t xml:space="preserve">, así como el despacho de los siguientes asuntos: </w:t>
      </w:r>
    </w:p>
    <w:p w14:paraId="28D6151D"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p>
    <w:p w14:paraId="37F4CF07"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 xml:space="preserve">Artículo 91.- La Secretaría del Ayuntamiento estará a cargo de un </w:t>
      </w:r>
      <w:proofErr w:type="gramStart"/>
      <w:r w:rsidRPr="00A75F94">
        <w:rPr>
          <w:rFonts w:ascii="Palatino Linotype" w:eastAsia="Palatino Linotype" w:hAnsi="Palatino Linotype" w:cs="Palatino Linotype"/>
          <w:b/>
          <w:i/>
          <w:sz w:val="22"/>
          <w:szCs w:val="22"/>
        </w:rPr>
        <w:t>Secretario</w:t>
      </w:r>
      <w:proofErr w:type="gramEnd"/>
      <w:r w:rsidRPr="00A75F94">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A75F94">
        <w:rPr>
          <w:rFonts w:ascii="Palatino Linotype" w:eastAsia="Palatino Linotype" w:hAnsi="Palatino Linotype" w:cs="Palatino Linotype"/>
          <w:b/>
          <w:i/>
          <w:sz w:val="22"/>
          <w:szCs w:val="22"/>
        </w:rPr>
        <w:t>sus atribuciones son las siguientes</w:t>
      </w:r>
      <w:r w:rsidRPr="00A75F94">
        <w:rPr>
          <w:rFonts w:ascii="Palatino Linotype" w:eastAsia="Palatino Linotype" w:hAnsi="Palatino Linotype" w:cs="Palatino Linotype"/>
          <w:i/>
          <w:sz w:val="22"/>
          <w:szCs w:val="22"/>
        </w:rPr>
        <w:t xml:space="preserve">: </w:t>
      </w:r>
    </w:p>
    <w:p w14:paraId="45B7230C"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I. Asistir a las sesiones del ayuntamiento y levantar las actas correspondientes; </w:t>
      </w:r>
    </w:p>
    <w:p w14:paraId="1DC86598"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II. Emitir los citatorios para la celebración de las sesiones de cabildo, convocadas legalmente; </w:t>
      </w:r>
    </w:p>
    <w:p w14:paraId="2BEE30B7"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III. Dar cuenta en la primera sesión de cada mes, del número y contenido de los expedientes pasados a comisión, con mención de los que hayan sido resueltos y de los pendientes; </w:t>
      </w:r>
    </w:p>
    <w:p w14:paraId="6BCFB4AB" w14:textId="77777777" w:rsidR="00C12117" w:rsidRPr="00A75F94" w:rsidRDefault="00507A46">
      <w:pPr>
        <w:tabs>
          <w:tab w:val="left" w:pos="709"/>
        </w:tabs>
        <w:ind w:left="567" w:right="618"/>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IV. Llevar y conservar los libros de actas de cabildo, obteniendo las firmas de los asistentes a las sesiones…” (Sic)</w:t>
      </w:r>
    </w:p>
    <w:p w14:paraId="1A52FC4F" w14:textId="77777777" w:rsidR="00C12117" w:rsidRPr="00A75F94" w:rsidRDefault="00C12117">
      <w:pPr>
        <w:tabs>
          <w:tab w:val="left" w:pos="709"/>
        </w:tabs>
        <w:ind w:left="567" w:right="618"/>
        <w:jc w:val="both"/>
        <w:rPr>
          <w:rFonts w:ascii="Palatino Linotype" w:eastAsia="Palatino Linotype" w:hAnsi="Palatino Linotype" w:cs="Palatino Linotype"/>
          <w:i/>
          <w:sz w:val="22"/>
          <w:szCs w:val="22"/>
        </w:rPr>
      </w:pPr>
    </w:p>
    <w:p w14:paraId="7CA623A9"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Por lo cual,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para conocer de lo peticionado, a saber, la Secretaría del Ayuntamiento.  </w:t>
      </w:r>
    </w:p>
    <w:p w14:paraId="0CB2F6BF" w14:textId="77777777" w:rsidR="00C12117" w:rsidRPr="00A75F94" w:rsidRDefault="00C12117">
      <w:pPr>
        <w:spacing w:line="360" w:lineRule="auto"/>
      </w:pPr>
    </w:p>
    <w:p w14:paraId="48B0A3AD" w14:textId="77777777" w:rsidR="00C12117" w:rsidRPr="00A75F94" w:rsidRDefault="00507A46">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sz w:val="22"/>
          <w:szCs w:val="22"/>
        </w:rPr>
      </w:pPr>
      <w:r w:rsidRPr="00A75F94">
        <w:rPr>
          <w:rFonts w:ascii="Palatino Linotype" w:eastAsia="Palatino Linotype" w:hAnsi="Palatino Linotype" w:cs="Palatino Linotype"/>
          <w:sz w:val="22"/>
          <w:szCs w:val="22"/>
        </w:rPr>
        <w:t xml:space="preserve">Ahora bien, tanto en respuesta, como en Informe Justificado, dicha área informó que la entrega de la información sobrepasaba las capacidades técnicas del Sistema SAIMEX toda </w:t>
      </w:r>
      <w:r w:rsidRPr="00A75F94">
        <w:rPr>
          <w:rFonts w:ascii="Palatino Linotype" w:eastAsia="Palatino Linotype" w:hAnsi="Palatino Linotype" w:cs="Palatino Linotype"/>
          <w:sz w:val="22"/>
          <w:szCs w:val="22"/>
        </w:rPr>
        <w:lastRenderedPageBreak/>
        <w:t xml:space="preserve">vez que tiene un peso de 20 giga bytes; por lo que, se ponen a disposición los documentos solicitados en consulta directa; por lo que, se procede analizar si procede el cambio de modalidad. Al respecto, cabe recordar que se requirió la información, a través del Sistema de Acceso a Información Mexiquense (SAIMEX). </w:t>
      </w:r>
    </w:p>
    <w:p w14:paraId="3B83F6B8" w14:textId="77777777" w:rsidR="00C12117" w:rsidRPr="00A75F94" w:rsidRDefault="00507A46">
      <w:pPr>
        <w:tabs>
          <w:tab w:val="left" w:pos="709"/>
        </w:tabs>
        <w:spacing w:line="360" w:lineRule="auto"/>
        <w:jc w:val="both"/>
        <w:rPr>
          <w:rFonts w:ascii="Palatino Linotype" w:eastAsia="Palatino Linotype" w:hAnsi="Palatino Linotype" w:cs="Palatino Linotype"/>
          <w:b/>
          <w:u w:val="single"/>
        </w:rPr>
      </w:pPr>
      <w:r w:rsidRPr="00A75F94">
        <w:rPr>
          <w:rFonts w:ascii="Palatino Linotype" w:eastAsia="Palatino Linotype" w:hAnsi="Palatino Linotype" w:cs="Palatino Linotype"/>
          <w:b/>
          <w:u w:val="single"/>
        </w:rPr>
        <w:t xml:space="preserve">Sobre el cambio de modalidad a consulta directa.  </w:t>
      </w:r>
    </w:p>
    <w:p w14:paraId="509CC6A3" w14:textId="77777777" w:rsidR="00C12117" w:rsidRPr="00A75F94" w:rsidRDefault="00C12117">
      <w:pPr>
        <w:tabs>
          <w:tab w:val="left" w:pos="709"/>
        </w:tabs>
        <w:spacing w:line="360" w:lineRule="auto"/>
        <w:jc w:val="both"/>
        <w:rPr>
          <w:rFonts w:ascii="Palatino Linotype" w:eastAsia="Palatino Linotype" w:hAnsi="Palatino Linotype" w:cs="Palatino Linotype"/>
          <w:b/>
          <w:u w:val="single"/>
        </w:rPr>
      </w:pPr>
    </w:p>
    <w:p w14:paraId="297D343B" w14:textId="77777777" w:rsidR="00C12117" w:rsidRPr="00A75F94" w:rsidRDefault="00507A46">
      <w:pPr>
        <w:spacing w:line="360" w:lineRule="auto"/>
        <w:ind w:right="-28"/>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Al respecto, conviene mencionar que el artículo 155, fracción V, de la Ley de Transparencia y Acceso a la Información Pública del Estado de México y Municipios, precisa que para presentar una solicitud, el particular podrá señalar </w:t>
      </w:r>
      <w:r w:rsidRPr="00A75F94">
        <w:rPr>
          <w:rFonts w:ascii="Palatino Linotype" w:eastAsia="Palatino Linotype" w:hAnsi="Palatino Linotype" w:cs="Palatino Linotype"/>
          <w:b/>
        </w:rPr>
        <w:t>la modalidad en la que prefiere se otorgue el acceso a la información</w:t>
      </w:r>
      <w:r w:rsidRPr="00A75F94">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43498D2E" w14:textId="77777777" w:rsidR="00C12117" w:rsidRPr="00A75F94" w:rsidRDefault="00C12117">
      <w:pPr>
        <w:spacing w:line="360" w:lineRule="auto"/>
        <w:ind w:right="-28"/>
        <w:jc w:val="both"/>
        <w:rPr>
          <w:rFonts w:ascii="Palatino Linotype" w:eastAsia="Palatino Linotype" w:hAnsi="Palatino Linotype" w:cs="Palatino Linotype"/>
        </w:rPr>
      </w:pPr>
    </w:p>
    <w:p w14:paraId="77B9FE11" w14:textId="77777777" w:rsidR="00C12117" w:rsidRPr="00A75F94" w:rsidRDefault="00507A46">
      <w:pPr>
        <w:spacing w:line="360" w:lineRule="auto"/>
        <w:ind w:right="-28"/>
        <w:jc w:val="both"/>
        <w:rPr>
          <w:rFonts w:ascii="Palatino Linotype" w:eastAsia="Palatino Linotype" w:hAnsi="Palatino Linotype" w:cs="Palatino Linotype"/>
          <w:b/>
        </w:rPr>
      </w:pPr>
      <w:r w:rsidRPr="00A75F94">
        <w:rPr>
          <w:rFonts w:ascii="Palatino Linotype" w:eastAsia="Palatino Linotype" w:hAnsi="Palatino Linotype" w:cs="Palatino Linotype"/>
        </w:rPr>
        <w:t xml:space="preserve">El artículo 158, dispone que, de manera excepcional, cuando de manera fundada y motivada lo determine el Sujeto Obligado, </w:t>
      </w:r>
      <w:r w:rsidRPr="00A75F94">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554C2A5" w14:textId="77777777" w:rsidR="00C12117" w:rsidRPr="00A75F94" w:rsidRDefault="00C12117">
      <w:pPr>
        <w:spacing w:line="360" w:lineRule="auto"/>
        <w:ind w:right="-28"/>
        <w:jc w:val="both"/>
        <w:rPr>
          <w:rFonts w:ascii="Palatino Linotype" w:eastAsia="Palatino Linotype" w:hAnsi="Palatino Linotype" w:cs="Palatino Linotype"/>
          <w:b/>
        </w:rPr>
      </w:pPr>
    </w:p>
    <w:p w14:paraId="0FBC0026"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A75F94">
        <w:rPr>
          <w:rFonts w:ascii="Palatino Linotype" w:eastAsia="Palatino Linotype" w:hAnsi="Palatino Linotype" w:cs="Palatino Linotype"/>
          <w:b/>
        </w:rPr>
        <w:t xml:space="preserve">Cuando la información no pueda entregarse o enviarse en la modalidad elegida, el sujeto obligado deberá ofrecer otra u otras modalidades de </w:t>
      </w:r>
      <w:r w:rsidRPr="00A75F94">
        <w:rPr>
          <w:rFonts w:ascii="Palatino Linotype" w:eastAsia="Palatino Linotype" w:hAnsi="Palatino Linotype" w:cs="Palatino Linotype"/>
          <w:b/>
        </w:rPr>
        <w:lastRenderedPageBreak/>
        <w:t>entrega.</w:t>
      </w:r>
      <w:r w:rsidRPr="00A75F94">
        <w:rPr>
          <w:rFonts w:ascii="Palatino Linotype" w:eastAsia="Palatino Linotype" w:hAnsi="Palatino Linotype" w:cs="Palatino Linotype"/>
        </w:rPr>
        <w:t xml:space="preserve"> En cualquier caso, </w:t>
      </w:r>
      <w:r w:rsidRPr="00A75F94">
        <w:rPr>
          <w:rFonts w:ascii="Palatino Linotype" w:eastAsia="Palatino Linotype" w:hAnsi="Palatino Linotype" w:cs="Palatino Linotype"/>
          <w:b/>
        </w:rPr>
        <w:t>se deberá fundar y motivar</w:t>
      </w:r>
      <w:r w:rsidRPr="00A75F94">
        <w:rPr>
          <w:rFonts w:ascii="Palatino Linotype" w:eastAsia="Palatino Linotype" w:hAnsi="Palatino Linotype" w:cs="Palatino Linotype"/>
        </w:rPr>
        <w:t xml:space="preserve"> la necesidad de ofrecer otras modalidades.</w:t>
      </w:r>
    </w:p>
    <w:p w14:paraId="3A5E5ADE" w14:textId="77777777" w:rsidR="00C12117" w:rsidRPr="00A75F94" w:rsidRDefault="00C12117">
      <w:pPr>
        <w:spacing w:line="360" w:lineRule="auto"/>
        <w:jc w:val="both"/>
        <w:rPr>
          <w:rFonts w:ascii="Palatino Linotype" w:eastAsia="Palatino Linotype" w:hAnsi="Palatino Linotype" w:cs="Palatino Linotype"/>
        </w:rPr>
      </w:pPr>
    </w:p>
    <w:p w14:paraId="50D0BECE"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A75F94">
        <w:rPr>
          <w:rFonts w:ascii="Palatino Linotype" w:eastAsia="Palatino Linotype" w:hAnsi="Palatino Linotype" w:cs="Palatino Linotype"/>
          <w:b/>
        </w:rPr>
        <w:t>en la medida de lo posible, en la forma solicitada por el interesado, salvo que exista un impedimento justificado para atenderla</w:t>
      </w:r>
      <w:r w:rsidRPr="00A75F94">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A75F94">
        <w:rPr>
          <w:rFonts w:ascii="Palatino Linotype" w:eastAsia="Palatino Linotype" w:hAnsi="Palatino Linotype" w:cs="Palatino Linotype"/>
          <w:b/>
        </w:rPr>
        <w:t>sólo procede, en caso de que se acredite la imposibilidad de atenderla.</w:t>
      </w:r>
      <w:r w:rsidRPr="00A75F94">
        <w:rPr>
          <w:rFonts w:ascii="Palatino Linotype" w:eastAsia="Palatino Linotype" w:hAnsi="Palatino Linotype" w:cs="Palatino Linotype"/>
        </w:rPr>
        <w:t xml:space="preserve"> </w:t>
      </w:r>
    </w:p>
    <w:p w14:paraId="7334BB9A" w14:textId="77777777" w:rsidR="00C12117" w:rsidRPr="00A75F94" w:rsidRDefault="00C12117">
      <w:pPr>
        <w:spacing w:line="360" w:lineRule="auto"/>
        <w:jc w:val="both"/>
        <w:rPr>
          <w:rFonts w:ascii="Palatino Linotype" w:eastAsia="Palatino Linotype" w:hAnsi="Palatino Linotype" w:cs="Palatino Linotype"/>
        </w:rPr>
      </w:pPr>
    </w:p>
    <w:p w14:paraId="490DE9D2"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Así, cuando se justifique el impedimento, </w:t>
      </w:r>
      <w:r w:rsidRPr="00A75F94">
        <w:rPr>
          <w:rFonts w:ascii="Palatino Linotype" w:eastAsia="Palatino Linotype" w:hAnsi="Palatino Linotype" w:cs="Palatino Linotype"/>
          <w:b/>
        </w:rPr>
        <w:t>los Sujetos Obligados deberán ofrecer al particular otras modalidades de entrega que permita la información</w:t>
      </w:r>
      <w:r w:rsidRPr="00A75F94">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5D00644" w14:textId="77777777" w:rsidR="00C12117" w:rsidRPr="00A75F94" w:rsidRDefault="00C12117">
      <w:pPr>
        <w:spacing w:line="360" w:lineRule="auto"/>
        <w:jc w:val="both"/>
        <w:rPr>
          <w:rFonts w:ascii="Palatino Linotype" w:eastAsia="Palatino Linotype" w:hAnsi="Palatino Linotype" w:cs="Palatino Linotype"/>
        </w:rPr>
      </w:pPr>
    </w:p>
    <w:p w14:paraId="088D248A"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A75F94">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9BF80B3" w14:textId="77777777" w:rsidR="00C12117" w:rsidRPr="00A75F94" w:rsidRDefault="00C12117">
      <w:pPr>
        <w:ind w:left="567" w:right="567"/>
        <w:jc w:val="both"/>
        <w:rPr>
          <w:rFonts w:ascii="Palatino Linotype" w:eastAsia="Palatino Linotype" w:hAnsi="Palatino Linotype" w:cs="Palatino Linotype"/>
          <w:i/>
          <w:sz w:val="20"/>
          <w:szCs w:val="20"/>
        </w:rPr>
      </w:pPr>
    </w:p>
    <w:p w14:paraId="32B92034" w14:textId="77777777" w:rsidR="00C12117" w:rsidRPr="00A75F94" w:rsidRDefault="00507A46">
      <w:pPr>
        <w:spacing w:line="360" w:lineRule="auto"/>
        <w:jc w:val="both"/>
        <w:rPr>
          <w:rFonts w:ascii="Palatino Linotype" w:eastAsia="Palatino Linotype" w:hAnsi="Palatino Linotype" w:cs="Palatino Linotype"/>
          <w:b/>
        </w:rPr>
      </w:pPr>
      <w:r w:rsidRPr="00A75F94">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justifique el impedimento para atender la misma y se notifique al particular la puesta a disposición de la </w:t>
      </w:r>
      <w:r w:rsidRPr="00A75F94">
        <w:rPr>
          <w:rFonts w:ascii="Palatino Linotype" w:eastAsia="Palatino Linotype" w:hAnsi="Palatino Linotype" w:cs="Palatino Linotype"/>
          <w:b/>
        </w:rPr>
        <w:t>información en todas las modalidades que lo permitan, procurando reducir los costos de entrega.</w:t>
      </w:r>
    </w:p>
    <w:p w14:paraId="0315482E" w14:textId="77777777" w:rsidR="00C12117" w:rsidRPr="00A75F94" w:rsidRDefault="00C12117">
      <w:pPr>
        <w:spacing w:line="360" w:lineRule="auto"/>
        <w:jc w:val="both"/>
        <w:rPr>
          <w:rFonts w:ascii="Palatino Linotype" w:eastAsia="Palatino Linotype" w:hAnsi="Palatino Linotype" w:cs="Palatino Linotype"/>
        </w:rPr>
      </w:pPr>
    </w:p>
    <w:p w14:paraId="627EC5A8"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47199AC" w14:textId="77777777" w:rsidR="00C12117" w:rsidRPr="00A75F94" w:rsidRDefault="00C12117">
      <w:pPr>
        <w:spacing w:line="360" w:lineRule="auto"/>
        <w:jc w:val="both"/>
        <w:rPr>
          <w:rFonts w:ascii="Palatino Linotype" w:eastAsia="Palatino Linotype" w:hAnsi="Palatino Linotype" w:cs="Palatino Linotype"/>
        </w:rPr>
      </w:pPr>
    </w:p>
    <w:p w14:paraId="05212B96" w14:textId="77777777" w:rsidR="00C12117" w:rsidRPr="00A75F94" w:rsidRDefault="00507A46">
      <w:pPr>
        <w:numPr>
          <w:ilvl w:val="0"/>
          <w:numId w:val="6"/>
        </w:num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Las razones por las cuales la información implicaba un análisis, estudio o procesamiento de datos;</w:t>
      </w:r>
    </w:p>
    <w:p w14:paraId="6491D3A2" w14:textId="77777777" w:rsidR="00C12117" w:rsidRPr="00A75F94" w:rsidRDefault="00507A46">
      <w:pPr>
        <w:numPr>
          <w:ilvl w:val="0"/>
          <w:numId w:val="6"/>
        </w:num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4970EC41" w14:textId="77777777" w:rsidR="00C12117" w:rsidRPr="00A75F94" w:rsidRDefault="00507A46">
      <w:pPr>
        <w:numPr>
          <w:ilvl w:val="0"/>
          <w:numId w:val="6"/>
        </w:num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La cantidad de recursos humanos y materiales con los que cuenta el Sujeto Obligado son insuficientes.</w:t>
      </w:r>
    </w:p>
    <w:p w14:paraId="0C2463DD" w14:textId="77777777" w:rsidR="00C12117" w:rsidRPr="00A75F94" w:rsidRDefault="00C12117">
      <w:pPr>
        <w:spacing w:line="360" w:lineRule="auto"/>
        <w:ind w:right="-28"/>
        <w:jc w:val="both"/>
      </w:pPr>
    </w:p>
    <w:p w14:paraId="6B17DE7D" w14:textId="77777777" w:rsidR="00C12117" w:rsidRPr="00A75F94" w:rsidRDefault="00507A46">
      <w:pPr>
        <w:spacing w:line="360" w:lineRule="auto"/>
        <w:ind w:right="-28"/>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Además, es de señalar que el Órgano Garante Nacional, a través de diversas resoluciones de los Recursos de Inconformidad, entre las cuales se encuentran el RIA 136/20, RIA 140/20, RIA 153/20 RIA 237/20, RIA 257/20, RIA 258/20, entre otras, ha </w:t>
      </w:r>
      <w:r w:rsidRPr="00A75F94">
        <w:rPr>
          <w:rFonts w:ascii="Palatino Linotype" w:eastAsia="Palatino Linotype" w:hAnsi="Palatino Linotype" w:cs="Palatino Linotype"/>
        </w:rPr>
        <w:lastRenderedPageBreak/>
        <w:t xml:space="preserve">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0DBF4D03" w14:textId="77777777" w:rsidR="00C12117" w:rsidRPr="00A75F94" w:rsidRDefault="00C12117">
      <w:pPr>
        <w:spacing w:line="360" w:lineRule="auto"/>
        <w:jc w:val="both"/>
        <w:rPr>
          <w:rFonts w:ascii="Palatino Linotype" w:eastAsia="Palatino Linotype" w:hAnsi="Palatino Linotype" w:cs="Palatino Linotype"/>
        </w:rPr>
      </w:pPr>
    </w:p>
    <w:p w14:paraId="7EFA1945"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Es menester recordar que el </w:t>
      </w:r>
      <w:r w:rsidRPr="00A75F94">
        <w:rPr>
          <w:rFonts w:ascii="Palatino Linotype" w:eastAsia="Palatino Linotype" w:hAnsi="Palatino Linotype" w:cs="Palatino Linotype"/>
          <w:b/>
        </w:rPr>
        <w:t xml:space="preserve">SUJETO OBLIGADO, </w:t>
      </w:r>
      <w:r w:rsidRPr="00A75F94">
        <w:rPr>
          <w:rFonts w:ascii="Palatino Linotype" w:eastAsia="Palatino Linotype" w:hAnsi="Palatino Linotype" w:cs="Palatino Linotype"/>
        </w:rPr>
        <w:t xml:space="preserve">a través del Secretario del Ayuntamiento informó al Titular de la Unidad de Transparencia y Acceso a la Información Pública, que el procesamiento de la información sobrepasa las capacidades técnicas y de almacenamiento informático, toda vez que el volumen de información sobrepasa los veinte giga bytes; es decir, más del peso máximo de archivos soportado por el SAIMEX, por lo que solicitó a dicha Titular  el cambio de modalidad de entrega de la información a través de consulta directa. </w:t>
      </w:r>
    </w:p>
    <w:p w14:paraId="5BA85A36"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No obstante a lo anterior, este Organismo Garante solicitó a través de correo electrónico al Personal de la Dirección General de Informática, que señalará si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 </w:t>
      </w:r>
    </w:p>
    <w:p w14:paraId="6499A40E" w14:textId="77777777" w:rsidR="00C12117" w:rsidRPr="00A75F94" w:rsidRDefault="00C12117">
      <w:pPr>
        <w:spacing w:line="360" w:lineRule="auto"/>
        <w:jc w:val="both"/>
      </w:pPr>
    </w:p>
    <w:p w14:paraId="75379023" w14:textId="77777777" w:rsidR="00C12117" w:rsidRPr="00A75F94" w:rsidRDefault="00507A46">
      <w:pPr>
        <w:spacing w:line="360" w:lineRule="auto"/>
        <w:jc w:val="both"/>
        <w:rPr>
          <w:rFonts w:ascii="Palatino Linotype" w:eastAsia="Palatino Linotype" w:hAnsi="Palatino Linotype" w:cs="Palatino Linotype"/>
        </w:rPr>
      </w:pPr>
      <w:r w:rsidRPr="00A75F94">
        <w:rPr>
          <w:noProof/>
          <w:lang w:val="es-MX"/>
        </w:rPr>
        <w:lastRenderedPageBreak/>
        <w:drawing>
          <wp:inline distT="0" distB="0" distL="0" distR="0" wp14:anchorId="705EA12B" wp14:editId="7959F51D">
            <wp:extent cx="5624360" cy="180138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46790" t="36077" b="43477"/>
                    <a:stretch>
                      <a:fillRect/>
                    </a:stretch>
                  </pic:blipFill>
                  <pic:spPr>
                    <a:xfrm>
                      <a:off x="0" y="0"/>
                      <a:ext cx="5624360" cy="1801380"/>
                    </a:xfrm>
                    <a:prstGeom prst="rect">
                      <a:avLst/>
                    </a:prstGeom>
                    <a:ln/>
                  </pic:spPr>
                </pic:pic>
              </a:graphicData>
            </a:graphic>
          </wp:inline>
        </w:drawing>
      </w:r>
    </w:p>
    <w:p w14:paraId="6FA193DC" w14:textId="77777777" w:rsidR="00C12117" w:rsidRPr="00A75F94" w:rsidRDefault="00C12117">
      <w:pPr>
        <w:spacing w:line="360" w:lineRule="auto"/>
        <w:jc w:val="both"/>
        <w:rPr>
          <w:rFonts w:ascii="Palatino Linotype" w:eastAsia="Palatino Linotype" w:hAnsi="Palatino Linotype" w:cs="Palatino Linotype"/>
        </w:rPr>
      </w:pPr>
    </w:p>
    <w:p w14:paraId="24B25696" w14:textId="77777777" w:rsidR="00C12117" w:rsidRPr="00A75F94" w:rsidRDefault="00507A46">
      <w:pPr>
        <w:spacing w:line="360" w:lineRule="auto"/>
        <w:jc w:val="both"/>
        <w:rPr>
          <w:rFonts w:ascii="Palatino Linotype" w:eastAsia="Palatino Linotype" w:hAnsi="Palatino Linotype" w:cs="Palatino Linotype"/>
        </w:rPr>
      </w:pPr>
      <w:r w:rsidRPr="00A75F94">
        <w:t xml:space="preserve"> </w:t>
      </w:r>
      <w:r w:rsidRPr="00A75F94">
        <w:rPr>
          <w:rFonts w:ascii="Palatino Linotype" w:eastAsia="Palatino Linotype" w:hAnsi="Palatino Linotype" w:cs="Palatino Linotype"/>
        </w:rPr>
        <w:t xml:space="preserve">Por lo anterior, la Dirección General de Informática informó que no existen incidencias reportadas por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además señaló que el Sistema de Acceso a la Información Mexiquense (SAIMEX), cuenta con la capacidad de recibir archivos con un peso aproximado de hasta 500Mb, que corresponde a un aproximado de 8,000 hojas, por cada solicitud de acceso a la información pública. </w:t>
      </w:r>
    </w:p>
    <w:p w14:paraId="68B06F1D" w14:textId="77777777" w:rsidR="00C12117" w:rsidRPr="00A75F94" w:rsidRDefault="00C12117">
      <w:pPr>
        <w:spacing w:line="360" w:lineRule="auto"/>
        <w:jc w:val="both"/>
        <w:rPr>
          <w:rFonts w:ascii="Palatino Linotype" w:eastAsia="Palatino Linotype" w:hAnsi="Palatino Linotype" w:cs="Palatino Linotype"/>
        </w:rPr>
      </w:pPr>
    </w:p>
    <w:p w14:paraId="53A39555"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Aunado a que derivado del requerimiento realizado por este Organismo Garante para que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acreditara su cambio de modalidad a consulta directa, este fue omiso en desahogar el mismo. </w:t>
      </w:r>
    </w:p>
    <w:p w14:paraId="45A4CA00" w14:textId="77777777" w:rsidR="00C12117" w:rsidRPr="00A75F94" w:rsidRDefault="00C12117">
      <w:pPr>
        <w:spacing w:line="360" w:lineRule="auto"/>
        <w:jc w:val="both"/>
        <w:rPr>
          <w:rFonts w:ascii="Palatino Linotype" w:eastAsia="Palatino Linotype" w:hAnsi="Palatino Linotype" w:cs="Palatino Linotype"/>
        </w:rPr>
      </w:pPr>
    </w:p>
    <w:p w14:paraId="5DE63FF5"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No </w:t>
      </w:r>
      <w:proofErr w:type="gramStart"/>
      <w:r w:rsidRPr="00A75F94">
        <w:rPr>
          <w:rFonts w:ascii="Palatino Linotype" w:eastAsia="Palatino Linotype" w:hAnsi="Palatino Linotype" w:cs="Palatino Linotype"/>
        </w:rPr>
        <w:t>obstante</w:t>
      </w:r>
      <w:proofErr w:type="gramEnd"/>
      <w:r w:rsidRPr="00A75F94">
        <w:rPr>
          <w:rFonts w:ascii="Palatino Linotype" w:eastAsia="Palatino Linotype" w:hAnsi="Palatino Linotype" w:cs="Palatino Linotype"/>
        </w:rPr>
        <w:t xml:space="preserve"> lo anterior, resulta evidente que de acuerdo a lo manifestado por el Sujeto Obligado la información requerida por el Particular, en efecto sobrepasaba las capacidades técnicas del Sistema de Acceso a la Información Mexiquense (SAIMEX).</w:t>
      </w:r>
    </w:p>
    <w:p w14:paraId="653091AA" w14:textId="77777777" w:rsidR="00C12117" w:rsidRPr="00A75F94" w:rsidRDefault="00C12117">
      <w:pPr>
        <w:widowControl w:val="0"/>
        <w:spacing w:line="360" w:lineRule="auto"/>
        <w:jc w:val="both"/>
        <w:rPr>
          <w:rFonts w:ascii="Palatino Linotype" w:eastAsia="Palatino Linotype" w:hAnsi="Palatino Linotype" w:cs="Palatino Linotype"/>
        </w:rPr>
      </w:pPr>
    </w:p>
    <w:p w14:paraId="135103AC"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Situación que fue ratificada a  través  del acta número TRANSPARENCIA/CT/ACTA-EXTRA-22/2023, por medio del cual el Comité de </w:t>
      </w:r>
      <w:r w:rsidRPr="00A75F94">
        <w:rPr>
          <w:rFonts w:ascii="Palatino Linotype" w:eastAsia="Palatino Linotype" w:hAnsi="Palatino Linotype" w:cs="Palatino Linotype"/>
        </w:rPr>
        <w:lastRenderedPageBreak/>
        <w:t>Transparencia del SUJETO OBLIGADO aprobó el acuerdo número 01/ TRANSPARENCIA-ACTA-EXTRA-22/2023, en donde se autorizó el cambio de modalidad a consulta directa de la información requerida en la solicitud número 00038/TEQUIXQU/IP/2023, ofreció otras modalidades como copias simples, certificadas, así como su reproducción por cualquier medio disponible en las instalaciones del sujeto obligado o que, en su caso, aporte el solicitante y un dispositivo de almacenamiento para el caso de requerir le sea proporcionada la información en dicho medio electrónico; no obstante, fue omiso en ofrecer otras modalidades como como habilitar una liga electrónica para que descargue los archivos, correo electrónico, concederle el acceso en disco compacto o con la posibilidad de envío mediante correo certificado, previo pago del costo del CD y del envío.</w:t>
      </w:r>
    </w:p>
    <w:p w14:paraId="260699F4" w14:textId="77777777" w:rsidR="00C12117" w:rsidRPr="00A75F94" w:rsidRDefault="00C12117">
      <w:pPr>
        <w:spacing w:line="360" w:lineRule="auto"/>
        <w:jc w:val="both"/>
        <w:rPr>
          <w:rFonts w:ascii="Palatino Linotype" w:eastAsia="Palatino Linotype" w:hAnsi="Palatino Linotype" w:cs="Palatino Linotype"/>
        </w:rPr>
      </w:pPr>
    </w:p>
    <w:p w14:paraId="664CEF85"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Conforme a lo anterior, se logra vislumbrar que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señaló el impedimento para proporcionar la información, en la modalidad elegida por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a saber, el Sistema de Acceso a la Información Mexiquense (SAIMEX); por lo que, resulta procedente traer a colación los artículos 71 fracción II inciso b, de la Ley General  de Transparencia y Acceso a la Información Pública y 94 fracción II inciso b, de la Ley de Transparencia y Acceso a la Información Pública del Estado de México y Municipios, precisan que es una obligación de transparencia específica, la información de las actas de sesiones de cabildo:</w:t>
      </w:r>
    </w:p>
    <w:p w14:paraId="308D9EE7" w14:textId="77777777" w:rsidR="00C12117" w:rsidRPr="00A75F94" w:rsidRDefault="00C12117">
      <w:pPr>
        <w:spacing w:line="360" w:lineRule="auto"/>
        <w:jc w:val="both"/>
        <w:rPr>
          <w:rFonts w:ascii="Palatino Linotype" w:eastAsia="Palatino Linotype" w:hAnsi="Palatino Linotype" w:cs="Palatino Linotype"/>
        </w:rPr>
      </w:pPr>
    </w:p>
    <w:p w14:paraId="4415D8BD" w14:textId="77777777" w:rsidR="00C12117" w:rsidRPr="00A75F94" w:rsidRDefault="00507A46">
      <w:pPr>
        <w:ind w:left="567" w:right="567"/>
        <w:jc w:val="both"/>
        <w:rPr>
          <w:rFonts w:ascii="Palatino Linotype" w:eastAsia="Palatino Linotype" w:hAnsi="Palatino Linotype" w:cs="Palatino Linotype"/>
          <w:b/>
          <w:i/>
          <w:sz w:val="20"/>
          <w:szCs w:val="20"/>
        </w:rPr>
      </w:pPr>
      <w:r w:rsidRPr="00A75F94">
        <w:rPr>
          <w:rFonts w:ascii="Palatino Linotype" w:eastAsia="Palatino Linotype" w:hAnsi="Palatino Linotype" w:cs="Palatino Linotype"/>
          <w:i/>
          <w:sz w:val="20"/>
          <w:szCs w:val="20"/>
        </w:rPr>
        <w:t>“</w:t>
      </w:r>
      <w:r w:rsidRPr="00A75F94">
        <w:rPr>
          <w:rFonts w:ascii="Palatino Linotype" w:eastAsia="Palatino Linotype" w:hAnsi="Palatino Linotype" w:cs="Palatino Linotype"/>
          <w:b/>
          <w:i/>
          <w:sz w:val="20"/>
          <w:szCs w:val="20"/>
        </w:rPr>
        <w:t>Artículo 71. Además de lo señalado en el artículo anterior de la presente Ley, los sujetos obligados de los Poderes Ejecutivos Federal, de las Entidades Federativas y municipales, deberán poner a disposición del público y actualizar la siguiente información:</w:t>
      </w:r>
    </w:p>
    <w:p w14:paraId="152895D1"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i/>
          <w:sz w:val="20"/>
          <w:szCs w:val="20"/>
        </w:rPr>
        <w:lastRenderedPageBreak/>
        <w:t>…</w:t>
      </w:r>
    </w:p>
    <w:p w14:paraId="51082D85"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i/>
          <w:sz w:val="20"/>
          <w:szCs w:val="20"/>
        </w:rPr>
        <w:t>II. Adicionalmente, en el caso de los municipios:</w:t>
      </w:r>
    </w:p>
    <w:p w14:paraId="41C722CE"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i/>
          <w:sz w:val="20"/>
          <w:szCs w:val="20"/>
        </w:rPr>
        <w:t>…</w:t>
      </w:r>
    </w:p>
    <w:p w14:paraId="0F8F0A5C"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b/>
          <w:i/>
          <w:sz w:val="20"/>
          <w:szCs w:val="20"/>
        </w:rPr>
        <w:t>b) Las actas de sesiones de cabildo</w:t>
      </w:r>
      <w:r w:rsidRPr="00A75F94">
        <w:rPr>
          <w:rFonts w:ascii="Palatino Linotype" w:eastAsia="Palatino Linotype" w:hAnsi="Palatino Linotype" w:cs="Palatino Linotype"/>
          <w:i/>
          <w:sz w:val="20"/>
          <w:szCs w:val="20"/>
        </w:rPr>
        <w:t>, los controles de asistencia de los integrantes del Ayuntamiento a las sesiones de cabildo y el sentido de votación de los miembros del cabildo sobre las iniciativas o acuerdos.</w:t>
      </w:r>
    </w:p>
    <w:p w14:paraId="7D8D36DF" w14:textId="77777777" w:rsidR="00C12117" w:rsidRPr="00A75F94" w:rsidRDefault="00C12117">
      <w:pPr>
        <w:ind w:left="567" w:right="567"/>
        <w:jc w:val="both"/>
        <w:rPr>
          <w:rFonts w:ascii="Palatino Linotype" w:eastAsia="Palatino Linotype" w:hAnsi="Palatino Linotype" w:cs="Palatino Linotype"/>
          <w:i/>
          <w:sz w:val="20"/>
          <w:szCs w:val="20"/>
        </w:rPr>
      </w:pPr>
    </w:p>
    <w:p w14:paraId="2D7F05D8" w14:textId="77777777" w:rsidR="00C12117" w:rsidRPr="00A75F94" w:rsidRDefault="00507A46">
      <w:pPr>
        <w:ind w:left="567" w:right="567"/>
        <w:jc w:val="both"/>
        <w:rPr>
          <w:rFonts w:ascii="Palatino Linotype" w:eastAsia="Palatino Linotype" w:hAnsi="Palatino Linotype" w:cs="Palatino Linotype"/>
          <w:b/>
          <w:i/>
          <w:sz w:val="20"/>
          <w:szCs w:val="20"/>
        </w:rPr>
      </w:pPr>
      <w:r w:rsidRPr="00A75F94">
        <w:rPr>
          <w:rFonts w:ascii="Palatino Linotype" w:eastAsia="Palatino Linotype" w:hAnsi="Palatino Linotype" w:cs="Palatino Linotype"/>
          <w:b/>
          <w:i/>
          <w:sz w:val="20"/>
          <w:szCs w:val="20"/>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7D0FFA9E"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i/>
          <w:sz w:val="20"/>
          <w:szCs w:val="20"/>
        </w:rPr>
        <w:t>…</w:t>
      </w:r>
    </w:p>
    <w:p w14:paraId="690E86B7"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i/>
          <w:sz w:val="20"/>
          <w:szCs w:val="20"/>
        </w:rPr>
        <w:t xml:space="preserve">II. Adicionalmente en el caso de los municipios: </w:t>
      </w:r>
    </w:p>
    <w:p w14:paraId="6D531C7B"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i/>
          <w:sz w:val="20"/>
          <w:szCs w:val="20"/>
        </w:rPr>
        <w:t>…</w:t>
      </w:r>
    </w:p>
    <w:p w14:paraId="28787A25"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b/>
          <w:i/>
          <w:sz w:val="20"/>
          <w:szCs w:val="20"/>
        </w:rPr>
        <w:t>b) Las actas de sesiones de cabildo</w:t>
      </w:r>
      <w:r w:rsidRPr="00A75F94">
        <w:rPr>
          <w:rFonts w:ascii="Palatino Linotype" w:eastAsia="Palatino Linotype" w:hAnsi="Palatino Linotype" w:cs="Palatino Linotype"/>
          <w:i/>
          <w:sz w:val="20"/>
          <w:szCs w:val="20"/>
        </w:rPr>
        <w:t xml:space="preserve">, los controles de asistencia de los integrantes del Ayuntamiento a las sesiones de cabildo y el sentido de votación de los miembros del cabildo sobre las iniciativas o acuerdos…(Sic) </w:t>
      </w:r>
    </w:p>
    <w:p w14:paraId="30F2A0CE" w14:textId="77777777" w:rsidR="00C12117" w:rsidRPr="00A75F94" w:rsidRDefault="00C12117">
      <w:pPr>
        <w:ind w:left="567" w:right="567"/>
        <w:jc w:val="both"/>
        <w:rPr>
          <w:rFonts w:ascii="Palatino Linotype" w:eastAsia="Palatino Linotype" w:hAnsi="Palatino Linotype" w:cs="Palatino Linotype"/>
          <w:i/>
          <w:sz w:val="20"/>
          <w:szCs w:val="20"/>
        </w:rPr>
      </w:pPr>
    </w:p>
    <w:p w14:paraId="670FBDA0"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Así, se logra vislumbrar que, es obligación de los Municipios del Estado de México, en este caso del Ayuntamiento de Tequixquiac, poner a disposición del Público de manera permanente y actualizada a través de la Plataforma de Información Pública de Oficio Mexiquense, la información de sus actas de sesiones de cabildo incluyendo la versión pública.</w:t>
      </w:r>
    </w:p>
    <w:p w14:paraId="61EA8534" w14:textId="77777777" w:rsidR="00C12117" w:rsidRPr="00A75F94" w:rsidRDefault="00C12117">
      <w:pPr>
        <w:spacing w:line="360" w:lineRule="auto"/>
        <w:jc w:val="both"/>
        <w:rPr>
          <w:rFonts w:ascii="Palatino Linotype" w:eastAsia="Palatino Linotype" w:hAnsi="Palatino Linotype" w:cs="Palatino Linotype"/>
        </w:rPr>
      </w:pPr>
    </w:p>
    <w:p w14:paraId="7D05132C"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Conforme a lo anterior, se logra vislumbrar que la información que da cuenta de lo solicitado, si bien sobrepasa las capacidades técnicas del Sistema de Acceso a la Información Mexiquense, lo cierto es que es información pública que debe estar publicada a través de la Plataforma de Información Pública de Oficio Mexiquense (IPOMEX) del Ayuntamiento de Tequixquiac, de manera permanente y actualizada para su consulta, por lo que dicha circunstancia robustece el hecho de que no proceda el cambio de modalidad, al ser, como ya se mencionó una obligación de transparencia su publicación.</w:t>
      </w:r>
    </w:p>
    <w:p w14:paraId="46BD85C8"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Así, resulta procedente ordenar la entrega del documento en donde conste todas las actas de cabildo desde el primero de enero del año dos mil veintidós al nueve de enero del año dos mil veintitrés, de ser el caso en versión pública.</w:t>
      </w:r>
    </w:p>
    <w:p w14:paraId="6FC21ACD" w14:textId="77777777" w:rsidR="00C12117" w:rsidRPr="00A75F94" w:rsidRDefault="00C12117">
      <w:pPr>
        <w:spacing w:line="360" w:lineRule="auto"/>
      </w:pPr>
    </w:p>
    <w:p w14:paraId="048B1FD0"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Incluso conviene señalar que al ser una obligación de transparencia bastaba con que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indicara la dirección electrónica en donde podría consultar la información en términos de lo dispuesto por el artículo 161 de la de la Ley de Transparencia y Acceso a la Información Pública del Estado de México y Municipios, que señala:</w:t>
      </w:r>
    </w:p>
    <w:p w14:paraId="6850336B" w14:textId="77777777" w:rsidR="00C12117" w:rsidRPr="00A75F94" w:rsidRDefault="00C12117">
      <w:pPr>
        <w:ind w:left="567" w:right="567"/>
        <w:jc w:val="both"/>
        <w:rPr>
          <w:rFonts w:ascii="Palatino Linotype" w:eastAsia="Palatino Linotype" w:hAnsi="Palatino Linotype" w:cs="Palatino Linotype"/>
          <w:i/>
          <w:sz w:val="20"/>
          <w:szCs w:val="20"/>
        </w:rPr>
      </w:pPr>
    </w:p>
    <w:p w14:paraId="67D18D4D" w14:textId="77777777" w:rsidR="00C12117" w:rsidRPr="00A75F94" w:rsidRDefault="00507A46">
      <w:pPr>
        <w:ind w:left="567" w:right="567"/>
        <w:jc w:val="both"/>
        <w:rPr>
          <w:rFonts w:ascii="Palatino Linotype" w:eastAsia="Palatino Linotype" w:hAnsi="Palatino Linotype" w:cs="Palatino Linotype"/>
          <w:i/>
          <w:sz w:val="20"/>
          <w:szCs w:val="20"/>
        </w:rPr>
      </w:pPr>
      <w:r w:rsidRPr="00A75F94">
        <w:rPr>
          <w:rFonts w:ascii="Palatino Linotype" w:eastAsia="Palatino Linotype" w:hAnsi="Palatino Linotype" w:cs="Palatino Linotype"/>
          <w:i/>
          <w:sz w:val="20"/>
          <w:szCs w:val="20"/>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6D269F5B" w14:textId="77777777" w:rsidR="00C12117" w:rsidRPr="00A75F94" w:rsidRDefault="00C12117">
      <w:pPr>
        <w:spacing w:line="360" w:lineRule="auto"/>
        <w:jc w:val="both"/>
        <w:rPr>
          <w:rFonts w:ascii="Palatino Linotype" w:eastAsia="Palatino Linotype" w:hAnsi="Palatino Linotype" w:cs="Palatino Linotype"/>
        </w:rPr>
      </w:pPr>
    </w:p>
    <w:p w14:paraId="7DBC64D5"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b/>
        </w:rPr>
        <w:t xml:space="preserve">Quinto. Versión Pública. </w:t>
      </w:r>
      <w:r w:rsidRPr="00A75F94">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xml:space="preserve"> sin menoscabar el derecho a la protección de los datos personales de terceros.</w:t>
      </w:r>
    </w:p>
    <w:p w14:paraId="3F754C78" w14:textId="77777777" w:rsidR="00C12117" w:rsidRPr="00A75F94" w:rsidRDefault="00507A46">
      <w:pPr>
        <w:spacing w:after="240" w:line="360" w:lineRule="auto"/>
        <w:ind w:right="50"/>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120372A2" w14:textId="77777777" w:rsidR="00C12117" w:rsidRPr="00A75F94" w:rsidRDefault="00507A46">
      <w:pPr>
        <w:ind w:left="993" w:right="1041"/>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 xml:space="preserve"> “Artículo 3. Para los efectos de la presente Ley se entenderá por:</w:t>
      </w:r>
    </w:p>
    <w:p w14:paraId="29517EEE"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IX. Datos personales:</w:t>
      </w:r>
      <w:r w:rsidRPr="00A75F94">
        <w:rPr>
          <w:rFonts w:ascii="Palatino Linotype" w:eastAsia="Palatino Linotype" w:hAnsi="Palatino Linotype" w:cs="Palatino Linotype"/>
          <w:i/>
          <w:sz w:val="22"/>
          <w:szCs w:val="22"/>
        </w:rPr>
        <w:t xml:space="preserve"> </w:t>
      </w:r>
      <w:r w:rsidRPr="00A75F94">
        <w:rPr>
          <w:rFonts w:ascii="Palatino Linotype" w:eastAsia="Palatino Linotype" w:hAnsi="Palatino Linotype" w:cs="Palatino Linotype"/>
          <w:b/>
          <w:i/>
          <w:sz w:val="22"/>
          <w:szCs w:val="22"/>
        </w:rPr>
        <w:t>La información concerniente a una persona, identificada o identificable</w:t>
      </w:r>
      <w:r w:rsidRPr="00A75F94">
        <w:rPr>
          <w:rFonts w:ascii="Palatino Linotype" w:eastAsia="Palatino Linotype" w:hAnsi="Palatino Linotype" w:cs="Palatino Linotype"/>
          <w:i/>
          <w:sz w:val="22"/>
          <w:szCs w:val="22"/>
        </w:rPr>
        <w:t xml:space="preserve"> según lo dispuesto por la Ley de Protección de Datos Personales del Estado de México;</w:t>
      </w:r>
    </w:p>
    <w:p w14:paraId="367F2E47"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XX. Información clasificada:</w:t>
      </w:r>
      <w:r w:rsidRPr="00A75F94">
        <w:rPr>
          <w:rFonts w:ascii="Palatino Linotype" w:eastAsia="Palatino Linotype" w:hAnsi="Palatino Linotype" w:cs="Palatino Linotype"/>
          <w:i/>
          <w:sz w:val="22"/>
          <w:szCs w:val="22"/>
        </w:rPr>
        <w:t xml:space="preserve"> Aquella considerada por la presente Ley como reservada o confidencial;</w:t>
      </w:r>
    </w:p>
    <w:p w14:paraId="481F2E03"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XXXII. Protección de Datos Personales:</w:t>
      </w:r>
      <w:r w:rsidRPr="00A75F94">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F350938"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XLV. Versión pública</w:t>
      </w:r>
      <w:r w:rsidRPr="00A75F94">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0AFAB45" w14:textId="77777777" w:rsidR="00C12117" w:rsidRPr="00A75F94" w:rsidRDefault="00C12117">
      <w:pPr>
        <w:ind w:left="993" w:right="1041"/>
        <w:jc w:val="both"/>
        <w:rPr>
          <w:rFonts w:ascii="Palatino Linotype" w:eastAsia="Palatino Linotype" w:hAnsi="Palatino Linotype" w:cs="Palatino Linotype"/>
          <w:i/>
          <w:sz w:val="22"/>
          <w:szCs w:val="22"/>
        </w:rPr>
      </w:pPr>
    </w:p>
    <w:p w14:paraId="4E4A4EB5"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“Artículo 6.</w:t>
      </w:r>
      <w:r w:rsidRPr="00A75F94">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3BA4B06" w14:textId="77777777" w:rsidR="00C12117" w:rsidRPr="00A75F94" w:rsidRDefault="00C12117">
      <w:pPr>
        <w:ind w:left="993" w:right="1041"/>
        <w:jc w:val="both"/>
        <w:rPr>
          <w:rFonts w:ascii="Palatino Linotype" w:eastAsia="Palatino Linotype" w:hAnsi="Palatino Linotype" w:cs="Palatino Linotype"/>
          <w:i/>
          <w:sz w:val="22"/>
          <w:szCs w:val="22"/>
        </w:rPr>
      </w:pPr>
    </w:p>
    <w:p w14:paraId="6CDCF3C7" w14:textId="77777777" w:rsidR="00C12117" w:rsidRPr="00A75F94" w:rsidRDefault="00507A46">
      <w:pPr>
        <w:ind w:left="993" w:right="1041"/>
        <w:jc w:val="both"/>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“Artículo 137.</w:t>
      </w:r>
      <w:r w:rsidRPr="00A75F94">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38107E2" w14:textId="77777777" w:rsidR="00C12117" w:rsidRPr="00A75F94" w:rsidRDefault="00C12117">
      <w:pPr>
        <w:ind w:left="993" w:right="1041"/>
        <w:jc w:val="both"/>
        <w:rPr>
          <w:rFonts w:ascii="Palatino Linotype" w:eastAsia="Palatino Linotype" w:hAnsi="Palatino Linotype" w:cs="Palatino Linotype"/>
          <w:b/>
          <w:i/>
          <w:sz w:val="22"/>
          <w:szCs w:val="22"/>
        </w:rPr>
      </w:pPr>
    </w:p>
    <w:p w14:paraId="38186D33"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“Artículo 143</w:t>
      </w:r>
      <w:r w:rsidRPr="00A75F9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C22205C"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lastRenderedPageBreak/>
        <w:t>I.</w:t>
      </w:r>
      <w:r w:rsidRPr="00A75F94">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440334D"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DFCEE90" w14:textId="77777777" w:rsidR="00C12117" w:rsidRPr="00A75F94" w:rsidRDefault="00507A46">
      <w:pPr>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B58B8C5" w14:textId="77777777" w:rsidR="00C12117" w:rsidRPr="00A75F94" w:rsidRDefault="00C12117">
      <w:pPr>
        <w:ind w:left="993" w:right="1041"/>
        <w:jc w:val="both"/>
        <w:rPr>
          <w:rFonts w:ascii="Palatino Linotype" w:eastAsia="Palatino Linotype" w:hAnsi="Palatino Linotype" w:cs="Palatino Linotype"/>
          <w:i/>
          <w:sz w:val="22"/>
          <w:szCs w:val="22"/>
        </w:rPr>
      </w:pPr>
    </w:p>
    <w:p w14:paraId="55B528B8" w14:textId="77777777" w:rsidR="00C12117" w:rsidRPr="00A75F94" w:rsidRDefault="00507A46">
      <w:pPr>
        <w:spacing w:line="360" w:lineRule="auto"/>
        <w:ind w:right="51"/>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1E7FBCE" w14:textId="77777777" w:rsidR="00C12117" w:rsidRPr="00A75F94" w:rsidRDefault="00C12117">
      <w:pPr>
        <w:spacing w:line="360" w:lineRule="auto"/>
        <w:ind w:right="51"/>
        <w:jc w:val="both"/>
        <w:rPr>
          <w:rFonts w:ascii="Palatino Linotype" w:eastAsia="Palatino Linotype" w:hAnsi="Palatino Linotype" w:cs="Palatino Linotype"/>
        </w:rPr>
      </w:pPr>
    </w:p>
    <w:p w14:paraId="5BB3C2F5" w14:textId="77777777" w:rsidR="00C12117" w:rsidRPr="00A75F94" w:rsidRDefault="00507A46">
      <w:pPr>
        <w:spacing w:line="360" w:lineRule="auto"/>
        <w:ind w:right="50"/>
        <w:jc w:val="both"/>
        <w:rPr>
          <w:rFonts w:ascii="Palatino Linotype" w:eastAsia="Palatino Linotype" w:hAnsi="Palatino Linotype" w:cs="Palatino Linotype"/>
        </w:rPr>
      </w:pPr>
      <w:r w:rsidRPr="00A75F9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A4B28E4" w14:textId="77777777" w:rsidR="00C12117" w:rsidRPr="00A75F94" w:rsidRDefault="00C12117">
      <w:pPr>
        <w:spacing w:line="360" w:lineRule="auto"/>
        <w:ind w:right="51"/>
        <w:jc w:val="both"/>
        <w:rPr>
          <w:rFonts w:ascii="Palatino Linotype" w:eastAsia="Palatino Linotype" w:hAnsi="Palatino Linotype" w:cs="Palatino Linotype"/>
        </w:rPr>
      </w:pPr>
    </w:p>
    <w:p w14:paraId="506C7E48" w14:textId="77777777" w:rsidR="00C12117" w:rsidRPr="00A75F94" w:rsidRDefault="00507A46">
      <w:pPr>
        <w:spacing w:line="360" w:lineRule="auto"/>
        <w:ind w:right="51"/>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 xml:space="preserve">Por ende, la clasificación de la información no opera con la simple supresión de datos que se haga en los documentos de que se trate o con la simple decisión que tome el Servidor Público Habilitado o el </w:t>
      </w:r>
      <w:proofErr w:type="gramStart"/>
      <w:r w:rsidRPr="00A75F94">
        <w:rPr>
          <w:rFonts w:ascii="Palatino Linotype" w:eastAsia="Palatino Linotype" w:hAnsi="Palatino Linotype" w:cs="Palatino Linotype"/>
        </w:rPr>
        <w:t>Responsable</w:t>
      </w:r>
      <w:proofErr w:type="gramEnd"/>
      <w:r w:rsidRPr="00A75F94">
        <w:rPr>
          <w:rFonts w:ascii="Palatino Linotype" w:eastAsia="Palatino Linotype" w:hAnsi="Palatino Linotype" w:cs="Palatino Linotype"/>
        </w:rPr>
        <w:t xml:space="preserve"> de la Unidad de Transparencia del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6D35669F" w14:textId="77777777" w:rsidR="00C12117" w:rsidRPr="00A75F94" w:rsidRDefault="00C12117">
      <w:pPr>
        <w:spacing w:line="360" w:lineRule="auto"/>
        <w:ind w:right="51"/>
        <w:jc w:val="both"/>
        <w:rPr>
          <w:rFonts w:ascii="Palatino Linotype" w:eastAsia="Palatino Linotype" w:hAnsi="Palatino Linotype" w:cs="Palatino Linotype"/>
        </w:rPr>
      </w:pPr>
    </w:p>
    <w:p w14:paraId="34AED321" w14:textId="77777777" w:rsidR="00C12117" w:rsidRPr="00A75F94" w:rsidRDefault="00507A46">
      <w:pPr>
        <w:ind w:left="992" w:right="1043"/>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“Artículo 49.</w:t>
      </w:r>
      <w:r w:rsidRPr="00A75F94">
        <w:rPr>
          <w:rFonts w:ascii="Palatino Linotype" w:eastAsia="Palatino Linotype" w:hAnsi="Palatino Linotype" w:cs="Palatino Linotype"/>
          <w:i/>
          <w:sz w:val="22"/>
          <w:szCs w:val="22"/>
        </w:rPr>
        <w:t xml:space="preserve"> </w:t>
      </w:r>
      <w:r w:rsidRPr="00A75F94">
        <w:rPr>
          <w:rFonts w:ascii="Palatino Linotype" w:eastAsia="Palatino Linotype" w:hAnsi="Palatino Linotype" w:cs="Palatino Linotype"/>
          <w:b/>
          <w:i/>
          <w:sz w:val="22"/>
          <w:szCs w:val="22"/>
        </w:rPr>
        <w:t>Los Comités de Transparencia</w:t>
      </w:r>
      <w:r w:rsidRPr="00A75F94">
        <w:rPr>
          <w:rFonts w:ascii="Palatino Linotype" w:eastAsia="Palatino Linotype" w:hAnsi="Palatino Linotype" w:cs="Palatino Linotype"/>
          <w:i/>
          <w:sz w:val="22"/>
          <w:szCs w:val="22"/>
        </w:rPr>
        <w:t xml:space="preserve"> tendrán las siguientes atribuciones:</w:t>
      </w:r>
    </w:p>
    <w:p w14:paraId="31E66C16" w14:textId="77777777" w:rsidR="00C12117" w:rsidRPr="00A75F94" w:rsidRDefault="00507A46">
      <w:pPr>
        <w:ind w:left="992" w:right="1043"/>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VIII. Aprobar, modificar o revocar la clasificación de la información</w:t>
      </w:r>
      <w:r w:rsidRPr="00A75F94">
        <w:rPr>
          <w:rFonts w:ascii="Palatino Linotype" w:eastAsia="Palatino Linotype" w:hAnsi="Palatino Linotype" w:cs="Palatino Linotype"/>
          <w:i/>
          <w:sz w:val="22"/>
          <w:szCs w:val="22"/>
        </w:rPr>
        <w:t>…”</w:t>
      </w:r>
    </w:p>
    <w:p w14:paraId="6FCD4C53" w14:textId="77777777" w:rsidR="00C12117" w:rsidRPr="00A75F94" w:rsidRDefault="00507A46">
      <w:pPr>
        <w:ind w:left="992" w:right="1043"/>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r w:rsidRPr="00A75F94">
        <w:rPr>
          <w:rFonts w:ascii="Palatino Linotype" w:eastAsia="Palatino Linotype" w:hAnsi="Palatino Linotype" w:cs="Palatino Linotype"/>
          <w:b/>
          <w:i/>
          <w:sz w:val="22"/>
          <w:szCs w:val="22"/>
        </w:rPr>
        <w:t>Artículo 53.</w:t>
      </w:r>
      <w:r w:rsidRPr="00A75F94">
        <w:rPr>
          <w:rFonts w:ascii="Palatino Linotype" w:eastAsia="Palatino Linotype" w:hAnsi="Palatino Linotype" w:cs="Palatino Linotype"/>
          <w:i/>
          <w:sz w:val="22"/>
          <w:szCs w:val="22"/>
        </w:rPr>
        <w:t xml:space="preserve"> Las </w:t>
      </w:r>
      <w:r w:rsidRPr="00A75F94">
        <w:rPr>
          <w:rFonts w:ascii="Palatino Linotype" w:eastAsia="Palatino Linotype" w:hAnsi="Palatino Linotype" w:cs="Palatino Linotype"/>
          <w:b/>
          <w:i/>
          <w:sz w:val="22"/>
          <w:szCs w:val="22"/>
        </w:rPr>
        <w:t>Unidades de Transparencia</w:t>
      </w:r>
      <w:r w:rsidRPr="00A75F94">
        <w:rPr>
          <w:rFonts w:ascii="Palatino Linotype" w:eastAsia="Palatino Linotype" w:hAnsi="Palatino Linotype" w:cs="Palatino Linotype"/>
          <w:i/>
          <w:sz w:val="22"/>
          <w:szCs w:val="22"/>
        </w:rPr>
        <w:t xml:space="preserve"> tendrán las siguientes </w:t>
      </w:r>
      <w:r w:rsidRPr="00A75F94">
        <w:rPr>
          <w:rFonts w:ascii="Palatino Linotype" w:eastAsia="Palatino Linotype" w:hAnsi="Palatino Linotype" w:cs="Palatino Linotype"/>
          <w:b/>
          <w:i/>
          <w:sz w:val="22"/>
          <w:szCs w:val="22"/>
        </w:rPr>
        <w:t>funciones</w:t>
      </w:r>
      <w:r w:rsidRPr="00A75F94">
        <w:rPr>
          <w:rFonts w:ascii="Palatino Linotype" w:eastAsia="Palatino Linotype" w:hAnsi="Palatino Linotype" w:cs="Palatino Linotype"/>
          <w:i/>
          <w:sz w:val="22"/>
          <w:szCs w:val="22"/>
        </w:rPr>
        <w:t>:</w:t>
      </w:r>
    </w:p>
    <w:p w14:paraId="31F5FF2B" w14:textId="77777777" w:rsidR="00C12117" w:rsidRPr="00A75F94" w:rsidRDefault="00507A46">
      <w:pPr>
        <w:ind w:left="992" w:right="1043"/>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X. Presentar ante el Comité, el proyecto de clasificación de información</w:t>
      </w:r>
      <w:r w:rsidRPr="00A75F94">
        <w:rPr>
          <w:rFonts w:ascii="Palatino Linotype" w:eastAsia="Palatino Linotype" w:hAnsi="Palatino Linotype" w:cs="Palatino Linotype"/>
          <w:i/>
          <w:sz w:val="22"/>
          <w:szCs w:val="22"/>
        </w:rPr>
        <w:t xml:space="preserve">…” </w:t>
      </w:r>
    </w:p>
    <w:p w14:paraId="454AE791" w14:textId="77777777" w:rsidR="00C12117" w:rsidRPr="00A75F94" w:rsidRDefault="00507A46">
      <w:pPr>
        <w:ind w:left="992" w:right="1043"/>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“Artículo 59.</w:t>
      </w:r>
      <w:r w:rsidRPr="00A75F94">
        <w:rPr>
          <w:rFonts w:ascii="Palatino Linotype" w:eastAsia="Palatino Linotype" w:hAnsi="Palatino Linotype" w:cs="Palatino Linotype"/>
          <w:i/>
          <w:sz w:val="22"/>
          <w:szCs w:val="22"/>
        </w:rPr>
        <w:t xml:space="preserve"> Los </w:t>
      </w:r>
      <w:r w:rsidRPr="00A75F94">
        <w:rPr>
          <w:rFonts w:ascii="Palatino Linotype" w:eastAsia="Palatino Linotype" w:hAnsi="Palatino Linotype" w:cs="Palatino Linotype"/>
          <w:b/>
          <w:i/>
          <w:sz w:val="22"/>
          <w:szCs w:val="22"/>
        </w:rPr>
        <w:t>servidores públicos habilitados</w:t>
      </w:r>
      <w:r w:rsidRPr="00A75F94">
        <w:rPr>
          <w:rFonts w:ascii="Palatino Linotype" w:eastAsia="Palatino Linotype" w:hAnsi="Palatino Linotype" w:cs="Palatino Linotype"/>
          <w:i/>
          <w:sz w:val="22"/>
          <w:szCs w:val="22"/>
        </w:rPr>
        <w:t xml:space="preserve"> tendrán las </w:t>
      </w:r>
      <w:r w:rsidRPr="00A75F94">
        <w:rPr>
          <w:rFonts w:ascii="Palatino Linotype" w:eastAsia="Palatino Linotype" w:hAnsi="Palatino Linotype" w:cs="Palatino Linotype"/>
          <w:b/>
          <w:i/>
          <w:sz w:val="22"/>
          <w:szCs w:val="22"/>
        </w:rPr>
        <w:t>funciones</w:t>
      </w:r>
      <w:r w:rsidRPr="00A75F94">
        <w:rPr>
          <w:rFonts w:ascii="Palatino Linotype" w:eastAsia="Palatino Linotype" w:hAnsi="Palatino Linotype" w:cs="Palatino Linotype"/>
          <w:i/>
          <w:sz w:val="22"/>
          <w:szCs w:val="22"/>
        </w:rPr>
        <w:t xml:space="preserve"> siguientes:</w:t>
      </w:r>
    </w:p>
    <w:p w14:paraId="65A2826F" w14:textId="77777777" w:rsidR="00C12117" w:rsidRPr="00A75F94" w:rsidRDefault="00507A46">
      <w:pPr>
        <w:ind w:left="992" w:right="1043"/>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75F94">
        <w:rPr>
          <w:rFonts w:ascii="Palatino Linotype" w:eastAsia="Palatino Linotype" w:hAnsi="Palatino Linotype" w:cs="Palatino Linotype"/>
          <w:i/>
          <w:sz w:val="22"/>
          <w:szCs w:val="22"/>
        </w:rPr>
        <w:t>, la cual tendrá los fundamentos y argumentos en que se basa dicha propuesta…” (Sic)</w:t>
      </w:r>
    </w:p>
    <w:p w14:paraId="2672D795" w14:textId="77777777" w:rsidR="00C12117" w:rsidRPr="00A75F94" w:rsidRDefault="00C12117">
      <w:pPr>
        <w:ind w:left="992" w:right="1043"/>
        <w:jc w:val="both"/>
        <w:rPr>
          <w:rFonts w:ascii="Palatino Linotype" w:eastAsia="Palatino Linotype" w:hAnsi="Palatino Linotype" w:cs="Palatino Linotype"/>
          <w:i/>
          <w:sz w:val="22"/>
          <w:szCs w:val="22"/>
        </w:rPr>
      </w:pPr>
    </w:p>
    <w:p w14:paraId="1EC54141"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0651117" w14:textId="77777777" w:rsidR="00C12117" w:rsidRPr="00A75F94" w:rsidRDefault="00C12117">
      <w:pPr>
        <w:spacing w:line="360" w:lineRule="auto"/>
        <w:jc w:val="both"/>
        <w:rPr>
          <w:rFonts w:ascii="Palatino Linotype" w:eastAsia="Palatino Linotype" w:hAnsi="Palatino Linotype" w:cs="Palatino Linotype"/>
        </w:rPr>
      </w:pPr>
    </w:p>
    <w:p w14:paraId="104D54DC"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01BD2390" w14:textId="77777777" w:rsidR="00C12117" w:rsidRPr="00A75F94" w:rsidRDefault="00C12117">
      <w:pPr>
        <w:spacing w:line="360" w:lineRule="auto"/>
        <w:jc w:val="both"/>
        <w:rPr>
          <w:rFonts w:ascii="Palatino Linotype" w:eastAsia="Palatino Linotype" w:hAnsi="Palatino Linotype" w:cs="Palatino Linotype"/>
        </w:rPr>
      </w:pPr>
    </w:p>
    <w:p w14:paraId="500A0229" w14:textId="77777777" w:rsidR="00C12117" w:rsidRPr="00A75F94" w:rsidRDefault="00507A46">
      <w:pPr>
        <w:spacing w:after="240"/>
        <w:ind w:left="993" w:right="1041"/>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w:t>
      </w:r>
      <w:r w:rsidRPr="00A75F94">
        <w:rPr>
          <w:rFonts w:ascii="Palatino Linotype" w:eastAsia="Palatino Linotype" w:hAnsi="Palatino Linotype" w:cs="Palatino Linotype"/>
          <w:b/>
          <w:i/>
          <w:sz w:val="22"/>
          <w:szCs w:val="22"/>
        </w:rPr>
        <w:t>Artículo 149.</w:t>
      </w:r>
      <w:r w:rsidRPr="00A75F94">
        <w:rPr>
          <w:rFonts w:ascii="Palatino Linotype" w:eastAsia="Palatino Linotype" w:hAnsi="Palatino Linotype" w:cs="Palatino Linotype"/>
          <w:i/>
          <w:sz w:val="22"/>
          <w:szCs w:val="22"/>
        </w:rPr>
        <w:t xml:space="preserve"> El </w:t>
      </w:r>
      <w:r w:rsidRPr="00A75F94">
        <w:rPr>
          <w:rFonts w:ascii="Palatino Linotype" w:eastAsia="Palatino Linotype" w:hAnsi="Palatino Linotype" w:cs="Palatino Linotype"/>
          <w:b/>
          <w:i/>
          <w:sz w:val="22"/>
          <w:szCs w:val="22"/>
        </w:rPr>
        <w:t>acuerdo que clasifique la información como confidencial</w:t>
      </w:r>
      <w:r w:rsidRPr="00A75F94">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A75F94">
        <w:rPr>
          <w:rFonts w:ascii="Palatino Linotype" w:eastAsia="Palatino Linotype" w:hAnsi="Palatino Linotype" w:cs="Palatino Linotype"/>
          <w:i/>
          <w:sz w:val="22"/>
          <w:szCs w:val="22"/>
        </w:rPr>
        <w:t>.”(</w:t>
      </w:r>
      <w:proofErr w:type="gramEnd"/>
      <w:r w:rsidRPr="00A75F94">
        <w:rPr>
          <w:rFonts w:ascii="Palatino Linotype" w:eastAsia="Palatino Linotype" w:hAnsi="Palatino Linotype" w:cs="Palatino Linotype"/>
          <w:i/>
          <w:sz w:val="22"/>
          <w:szCs w:val="22"/>
        </w:rPr>
        <w:t>Sic)</w:t>
      </w:r>
    </w:p>
    <w:p w14:paraId="2B01B73D" w14:textId="77777777" w:rsidR="00C12117" w:rsidRPr="00A75F94" w:rsidRDefault="00C12117">
      <w:pPr>
        <w:spacing w:before="240" w:line="360" w:lineRule="auto"/>
        <w:ind w:right="51"/>
        <w:jc w:val="both"/>
        <w:rPr>
          <w:rFonts w:ascii="Palatino Linotype" w:eastAsia="Palatino Linotype" w:hAnsi="Palatino Linotype" w:cs="Palatino Linotype"/>
          <w:i/>
          <w:sz w:val="22"/>
          <w:szCs w:val="22"/>
        </w:rPr>
      </w:pPr>
    </w:p>
    <w:p w14:paraId="7BDF6F8E" w14:textId="77777777" w:rsidR="00C12117" w:rsidRPr="00A75F94" w:rsidRDefault="00507A46">
      <w:pPr>
        <w:spacing w:line="360" w:lineRule="auto"/>
        <w:ind w:right="51"/>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Es decir,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5C796F8" w14:textId="77777777" w:rsidR="00C12117" w:rsidRPr="00A75F94" w:rsidRDefault="00C12117">
      <w:pPr>
        <w:spacing w:line="360" w:lineRule="auto"/>
        <w:ind w:right="51"/>
        <w:jc w:val="both"/>
        <w:rPr>
          <w:rFonts w:ascii="Palatino Linotype" w:eastAsia="Palatino Linotype" w:hAnsi="Palatino Linotype" w:cs="Palatino Linotype"/>
        </w:rPr>
      </w:pPr>
    </w:p>
    <w:p w14:paraId="14F76FA7"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Al respecto, se destaca que la versión pública que elabore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75F94">
        <w:rPr>
          <w:rFonts w:ascii="Palatino Linotype" w:eastAsia="Palatino Linotype" w:hAnsi="Palatino Linotype" w:cs="Palatino Linotype"/>
          <w:b/>
        </w:rPr>
        <w:lastRenderedPageBreak/>
        <w:t>LINEAMIENTOS GENERALES EN MATERIA DE CLASIFICACIÓN Y DESCLASIFICACIÓN DE LA INFORMACIÓN, ASÍ COMO PARA LA ELABORACIÓN DE VERSIONES PÚBLICAS</w:t>
      </w:r>
      <w:r w:rsidRPr="00A75F94">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3831F0C" w14:textId="77777777" w:rsidR="00C12117" w:rsidRPr="00A75F94" w:rsidRDefault="00C12117">
      <w:pPr>
        <w:ind w:left="709" w:right="709"/>
        <w:jc w:val="both"/>
        <w:rPr>
          <w:rFonts w:ascii="Palatino Linotype" w:eastAsia="Palatino Linotype" w:hAnsi="Palatino Linotype" w:cs="Palatino Linotype"/>
          <w:b/>
          <w:i/>
          <w:sz w:val="22"/>
          <w:szCs w:val="22"/>
        </w:rPr>
      </w:pPr>
    </w:p>
    <w:p w14:paraId="084B1735"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3C60BDE"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i/>
          <w:sz w:val="22"/>
          <w:szCs w:val="22"/>
        </w:rPr>
        <w:t>“</w:t>
      </w:r>
      <w:proofErr w:type="gramStart"/>
      <w:r w:rsidRPr="00A75F94">
        <w:rPr>
          <w:rFonts w:ascii="Palatino Linotype" w:eastAsia="Palatino Linotype" w:hAnsi="Palatino Linotype" w:cs="Palatino Linotype"/>
          <w:b/>
          <w:i/>
          <w:sz w:val="22"/>
          <w:szCs w:val="22"/>
        </w:rPr>
        <w:t>Segundo.-</w:t>
      </w:r>
      <w:proofErr w:type="gramEnd"/>
      <w:r w:rsidRPr="00A75F94">
        <w:rPr>
          <w:rFonts w:ascii="Palatino Linotype" w:eastAsia="Palatino Linotype" w:hAnsi="Palatino Linotype" w:cs="Palatino Linotype"/>
          <w:i/>
          <w:sz w:val="22"/>
          <w:szCs w:val="22"/>
        </w:rPr>
        <w:t xml:space="preserve"> Para efectos de los presentes Lineamientos Generales, se entenderá por:</w:t>
      </w:r>
    </w:p>
    <w:p w14:paraId="1FC225A8"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XVIII.</w:t>
      </w:r>
      <w:r w:rsidRPr="00A75F94">
        <w:rPr>
          <w:rFonts w:ascii="Palatino Linotype" w:eastAsia="Palatino Linotype" w:hAnsi="Palatino Linotype" w:cs="Palatino Linotype"/>
          <w:i/>
          <w:sz w:val="22"/>
          <w:szCs w:val="22"/>
        </w:rPr>
        <w:t xml:space="preserve"> </w:t>
      </w:r>
      <w:r w:rsidRPr="00A75F94">
        <w:rPr>
          <w:rFonts w:ascii="Palatino Linotype" w:eastAsia="Palatino Linotype" w:hAnsi="Palatino Linotype" w:cs="Palatino Linotype"/>
          <w:b/>
          <w:i/>
          <w:sz w:val="22"/>
          <w:szCs w:val="22"/>
        </w:rPr>
        <w:t>Versión pública:</w:t>
      </w:r>
      <w:r w:rsidRPr="00A75F9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75F94">
        <w:rPr>
          <w:rFonts w:ascii="Palatino Linotype" w:eastAsia="Palatino Linotype" w:hAnsi="Palatino Linotype" w:cs="Palatino Linotype"/>
          <w:b/>
          <w:i/>
          <w:sz w:val="22"/>
          <w:szCs w:val="22"/>
          <w:u w:val="single"/>
        </w:rPr>
        <w:t>fundando y motivando la</w:t>
      </w:r>
      <w:r w:rsidRPr="00A75F94">
        <w:rPr>
          <w:rFonts w:ascii="Palatino Linotype" w:eastAsia="Palatino Linotype" w:hAnsi="Palatino Linotype" w:cs="Palatino Linotype"/>
          <w:i/>
          <w:sz w:val="22"/>
          <w:szCs w:val="22"/>
        </w:rPr>
        <w:t xml:space="preserve"> reserva o </w:t>
      </w:r>
      <w:r w:rsidRPr="00A75F94">
        <w:rPr>
          <w:rFonts w:ascii="Palatino Linotype" w:eastAsia="Palatino Linotype" w:hAnsi="Palatino Linotype" w:cs="Palatino Linotype"/>
          <w:b/>
          <w:i/>
          <w:sz w:val="22"/>
          <w:szCs w:val="22"/>
          <w:u w:val="single"/>
        </w:rPr>
        <w:t>confidencialidad</w:t>
      </w:r>
      <w:r w:rsidRPr="00A75F94">
        <w:rPr>
          <w:rFonts w:ascii="Palatino Linotype" w:eastAsia="Palatino Linotype" w:hAnsi="Palatino Linotype" w:cs="Palatino Linotype"/>
          <w:i/>
          <w:sz w:val="22"/>
          <w:szCs w:val="22"/>
        </w:rPr>
        <w:t>, a través de la resolución que para tal efecto emita el Comité de Transparencia.</w:t>
      </w:r>
    </w:p>
    <w:p w14:paraId="762B67FC"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Cuarto.</w:t>
      </w:r>
      <w:r w:rsidRPr="00A75F94">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411319"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D869D4B"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Quinto.</w:t>
      </w:r>
      <w:r w:rsidRPr="00A75F9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04D1FCA"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w:t>
      </w:r>
    </w:p>
    <w:p w14:paraId="49C93E2E"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Séptimo.</w:t>
      </w:r>
      <w:r w:rsidRPr="00A75F94">
        <w:rPr>
          <w:rFonts w:ascii="Palatino Linotype" w:eastAsia="Palatino Linotype" w:hAnsi="Palatino Linotype" w:cs="Palatino Linotype"/>
          <w:i/>
          <w:sz w:val="22"/>
          <w:szCs w:val="22"/>
        </w:rPr>
        <w:t xml:space="preserve"> La clasificación de la información se llevará a cabo en el momento en que:</w:t>
      </w:r>
    </w:p>
    <w:p w14:paraId="48635496"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I.</w:t>
      </w:r>
      <w:r w:rsidRPr="00A75F94">
        <w:rPr>
          <w:rFonts w:ascii="Palatino Linotype" w:eastAsia="Palatino Linotype" w:hAnsi="Palatino Linotype" w:cs="Palatino Linotype"/>
          <w:i/>
          <w:sz w:val="22"/>
          <w:szCs w:val="22"/>
        </w:rPr>
        <w:t xml:space="preserve"> Se reciba una solicitud de acceso a la información;</w:t>
      </w:r>
    </w:p>
    <w:p w14:paraId="25B0CB38" w14:textId="77777777" w:rsidR="00C12117" w:rsidRPr="00A75F94" w:rsidRDefault="00507A46">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II.</w:t>
      </w:r>
      <w:r w:rsidRPr="00A75F94">
        <w:rPr>
          <w:rFonts w:ascii="Palatino Linotype" w:eastAsia="Palatino Linotype" w:hAnsi="Palatino Linotype" w:cs="Palatino Linotype"/>
          <w:i/>
          <w:sz w:val="22"/>
          <w:szCs w:val="22"/>
        </w:rPr>
        <w:t xml:space="preserve"> </w:t>
      </w:r>
      <w:proofErr w:type="gramStart"/>
      <w:r w:rsidRPr="00A75F94">
        <w:rPr>
          <w:rFonts w:ascii="Palatino Linotype" w:eastAsia="Palatino Linotype" w:hAnsi="Palatino Linotype" w:cs="Palatino Linotype"/>
          <w:i/>
          <w:sz w:val="22"/>
          <w:szCs w:val="22"/>
        </w:rPr>
        <w:t>Se  determine</w:t>
      </w:r>
      <w:proofErr w:type="gramEnd"/>
      <w:r w:rsidRPr="00A75F94">
        <w:rPr>
          <w:rFonts w:ascii="Palatino Linotype" w:eastAsia="Palatino Linotype" w:hAnsi="Palatino Linotype" w:cs="Palatino Linotype"/>
          <w:i/>
          <w:sz w:val="22"/>
          <w:szCs w:val="22"/>
        </w:rPr>
        <w:t xml:space="preserve"> mediante resolución del Comité de Transparencia, el órgano garante </w:t>
      </w:r>
    </w:p>
    <w:p w14:paraId="0A70FD30"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i/>
          <w:sz w:val="22"/>
          <w:szCs w:val="22"/>
        </w:rPr>
        <w:t>competente, o en cumplimiento a una sentencia del Poder Judicial; o</w:t>
      </w:r>
    </w:p>
    <w:p w14:paraId="2BADC5BF"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lastRenderedPageBreak/>
        <w:t>III.</w:t>
      </w:r>
      <w:r w:rsidRPr="00A75F9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48809C7"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1EBE585"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Octavo.</w:t>
      </w:r>
      <w:r w:rsidRPr="00A75F9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D0EB12"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6D6DD85" w14:textId="77777777" w:rsidR="00C12117" w:rsidRPr="00A75F94" w:rsidRDefault="00507A46">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BFCF1D5"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Noveno.</w:t>
      </w:r>
      <w:r w:rsidRPr="00A75F9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D67343"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b/>
          <w:i/>
          <w:sz w:val="22"/>
          <w:szCs w:val="22"/>
        </w:rPr>
        <w:t>Décimo.</w:t>
      </w:r>
      <w:r w:rsidRPr="00A75F9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B10A6FD"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8E2DCA1" w14:textId="77777777" w:rsidR="00C12117" w:rsidRPr="00A75F94" w:rsidRDefault="00507A46">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Décimo primero.</w:t>
      </w:r>
      <w:r w:rsidRPr="00A75F9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236C01D" w14:textId="77777777" w:rsidR="00C12117" w:rsidRPr="00A75F94" w:rsidRDefault="00C12117">
      <w:pPr>
        <w:pBdr>
          <w:top w:val="nil"/>
          <w:left w:val="nil"/>
          <w:bottom w:val="nil"/>
          <w:right w:val="nil"/>
          <w:between w:val="nil"/>
        </w:pBdr>
        <w:ind w:right="709"/>
        <w:jc w:val="both"/>
      </w:pPr>
    </w:p>
    <w:p w14:paraId="1974F825" w14:textId="77777777" w:rsidR="00C12117" w:rsidRPr="00A75F94" w:rsidRDefault="00507A46">
      <w:pPr>
        <w:pBdr>
          <w:top w:val="nil"/>
          <w:left w:val="nil"/>
          <w:bottom w:val="nil"/>
          <w:right w:val="nil"/>
          <w:between w:val="nil"/>
        </w:pBdr>
        <w:ind w:left="709" w:right="709"/>
        <w:jc w:val="both"/>
      </w:pPr>
      <w:r w:rsidRPr="00A75F94">
        <w:rPr>
          <w:rFonts w:ascii="Palatino Linotype" w:eastAsia="Palatino Linotype" w:hAnsi="Palatino Linotype" w:cs="Palatino Linotype"/>
          <w:i/>
          <w:sz w:val="22"/>
          <w:szCs w:val="22"/>
        </w:rPr>
        <w:t>[…]</w:t>
      </w:r>
    </w:p>
    <w:p w14:paraId="37607497" w14:textId="77777777" w:rsidR="00C12117" w:rsidRPr="00A75F94" w:rsidRDefault="00507A46">
      <w:pPr>
        <w:pBdr>
          <w:top w:val="nil"/>
          <w:left w:val="nil"/>
          <w:bottom w:val="nil"/>
          <w:right w:val="nil"/>
          <w:between w:val="nil"/>
        </w:pBdr>
        <w:ind w:left="709" w:right="709"/>
        <w:jc w:val="center"/>
      </w:pPr>
      <w:r w:rsidRPr="00A75F94">
        <w:rPr>
          <w:rFonts w:ascii="Palatino Linotype" w:eastAsia="Palatino Linotype" w:hAnsi="Palatino Linotype" w:cs="Palatino Linotype"/>
          <w:b/>
          <w:i/>
          <w:sz w:val="22"/>
          <w:szCs w:val="22"/>
        </w:rPr>
        <w:t>CAPÍTULO VIII</w:t>
      </w:r>
    </w:p>
    <w:p w14:paraId="0A6593D5" w14:textId="77777777" w:rsidR="00C12117" w:rsidRPr="00A75F94" w:rsidRDefault="00507A46">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A75F94">
        <w:rPr>
          <w:rFonts w:ascii="Palatino Linotype" w:eastAsia="Palatino Linotype" w:hAnsi="Palatino Linotype" w:cs="Palatino Linotype"/>
          <w:b/>
          <w:i/>
          <w:sz w:val="22"/>
          <w:szCs w:val="22"/>
        </w:rPr>
        <w:t>DE LOS ELEMENTOS PARA LA CLASIFICACIÓN</w:t>
      </w:r>
    </w:p>
    <w:p w14:paraId="75E51716"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lastRenderedPageBreak/>
        <w:t>Quincuagésimo</w:t>
      </w:r>
      <w:r w:rsidRPr="00A75F94">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0B3967C"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Quincuagésimo primero</w:t>
      </w:r>
      <w:r w:rsidRPr="00A75F94">
        <w:rPr>
          <w:rFonts w:ascii="Palatino Linotype" w:eastAsia="Palatino Linotype" w:hAnsi="Palatino Linotype" w:cs="Palatino Linotype"/>
          <w:i/>
          <w:sz w:val="22"/>
          <w:szCs w:val="22"/>
        </w:rPr>
        <w:t>. Toda acta del Comité de Transparencia deberá contener:</w:t>
      </w:r>
    </w:p>
    <w:p w14:paraId="34A0F7AD"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I. El número de sesión y fecha; </w:t>
      </w:r>
    </w:p>
    <w:p w14:paraId="1E4A7F97"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 El nombre del área que solicitó la clasificación de información;</w:t>
      </w:r>
    </w:p>
    <w:p w14:paraId="2B0D923B"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III. La fundamentación legal y motivación correspondiente;</w:t>
      </w:r>
    </w:p>
    <w:p w14:paraId="42AFBB1F"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IV. La resolución o resoluciones aprobadas; y</w:t>
      </w:r>
    </w:p>
    <w:p w14:paraId="6AAA7E5C"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V. La rúbrica o firma digital de cada integrante del Comité de Transparencia. </w:t>
      </w:r>
    </w:p>
    <w:p w14:paraId="29BE710E"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A03F391"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 Los motivos y razonamientos que sustenten la confirmación o modificación de la prueba de daño;</w:t>
      </w:r>
    </w:p>
    <w:p w14:paraId="54A3AE1B"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 Descripción de las partes o secciones reservadas, en caso de clasificación parcial;</w:t>
      </w:r>
    </w:p>
    <w:p w14:paraId="265B3700"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III. El periodo por el que mantendrá su clasificación y fecha de expiración; y</w:t>
      </w:r>
    </w:p>
    <w:p w14:paraId="1459B1C7"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IV. El nombre del titular y área encargada de realizar la versión pública del documento, en su caso.</w:t>
      </w:r>
    </w:p>
    <w:p w14:paraId="5005CA4D"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92ECFDB"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3E8BCE7"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b/>
          <w:i/>
          <w:sz w:val="22"/>
          <w:szCs w:val="22"/>
        </w:rPr>
        <w:t>Quincuagésimo segundo</w:t>
      </w:r>
      <w:r w:rsidRPr="00A75F94">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2A3DA88"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30393D6"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lastRenderedPageBreak/>
        <w:t>I. Fijar la fecha en que se elaboró la versión pública y la fecha en la cual el Comité de Transparencia confirmó dicha versión;</w:t>
      </w:r>
    </w:p>
    <w:p w14:paraId="0B4B391C"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FDA9BC5"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III. Señalar las personas o instancias autorizadas a acceder a la información clasificada.</w:t>
      </w:r>
    </w:p>
    <w:p w14:paraId="6096C209"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29EBB93" w14:textId="77777777" w:rsidR="00C12117" w:rsidRPr="00A75F94" w:rsidRDefault="00507A46">
      <w:pPr>
        <w:pBdr>
          <w:top w:val="nil"/>
          <w:left w:val="nil"/>
          <w:bottom w:val="nil"/>
          <w:right w:val="nil"/>
          <w:between w:val="nil"/>
        </w:pBdr>
        <w:spacing w:after="160"/>
        <w:ind w:left="709" w:right="709"/>
        <w:jc w:val="both"/>
      </w:pPr>
      <w:r w:rsidRPr="00A75F94">
        <w:rPr>
          <w:rFonts w:ascii="Palatino Linotype" w:eastAsia="Palatino Linotype" w:hAnsi="Palatino Linotype" w:cs="Palatino Linotype"/>
          <w:b/>
          <w:i/>
          <w:sz w:val="22"/>
          <w:szCs w:val="22"/>
        </w:rPr>
        <w:t xml:space="preserve">Quincuagésimo tercero. </w:t>
      </w:r>
      <w:r w:rsidRPr="00A75F94">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A75F94">
        <w:rPr>
          <w:rFonts w:ascii="Palatino Linotype" w:eastAsia="Palatino Linotype" w:hAnsi="Palatino Linotype" w:cs="Palatino Linotype"/>
          <w:b/>
          <w:i/>
          <w:sz w:val="22"/>
          <w:szCs w:val="22"/>
          <w:u w:val="single"/>
        </w:rPr>
        <w:t>siguiente:</w:t>
      </w:r>
      <w:r w:rsidRPr="00A75F94">
        <w:rPr>
          <w:rFonts w:ascii="Palatino Linotype" w:eastAsia="Palatino Linotype" w:hAnsi="Palatino Linotype" w:cs="Palatino Linotype"/>
          <w:i/>
          <w:sz w:val="22"/>
          <w:szCs w:val="22"/>
        </w:rPr>
        <w:t>:</w:t>
      </w:r>
      <w:proofErr w:type="gramEnd"/>
    </w:p>
    <w:tbl>
      <w:tblPr>
        <w:tblStyle w:val="a3"/>
        <w:tblW w:w="8833" w:type="dxa"/>
        <w:jc w:val="center"/>
        <w:tblInd w:w="0" w:type="dxa"/>
        <w:tblLayout w:type="fixed"/>
        <w:tblLook w:val="0400" w:firstRow="0" w:lastRow="0" w:firstColumn="0" w:lastColumn="0" w:noHBand="0" w:noVBand="1"/>
      </w:tblPr>
      <w:tblGrid>
        <w:gridCol w:w="1660"/>
        <w:gridCol w:w="1980"/>
        <w:gridCol w:w="5193"/>
      </w:tblGrid>
      <w:tr w:rsidR="00A75F94" w:rsidRPr="00A75F94" w14:paraId="7C4E0496"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E8EA3E2" w14:textId="77777777" w:rsidR="00C12117" w:rsidRPr="00A75F94" w:rsidRDefault="00C12117"/>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1F8C1"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20F46F"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b/>
                <w:i/>
              </w:rPr>
              <w:t>Dónde:</w:t>
            </w:r>
          </w:p>
        </w:tc>
      </w:tr>
      <w:tr w:rsidR="00A75F94" w:rsidRPr="00A75F94" w14:paraId="6AA4B2FA"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2EC85"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8983C"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5218C"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Se anotará la fecha en la que el Comité de Transparencia confirmó la clasificación del documento o expediente, en su caso.</w:t>
            </w:r>
          </w:p>
        </w:tc>
      </w:tr>
      <w:tr w:rsidR="00A75F94" w:rsidRPr="00A75F94" w14:paraId="3B89998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7306B9" w14:textId="77777777" w:rsidR="00C12117" w:rsidRPr="00A75F94" w:rsidRDefault="00C1211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5C23F"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89B8F7"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Se señalará el nombre del área del cual es titular quien clasifica.</w:t>
            </w:r>
          </w:p>
        </w:tc>
      </w:tr>
      <w:tr w:rsidR="00A75F94" w:rsidRPr="00A75F94" w14:paraId="2014A50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D46415" w14:textId="77777777" w:rsidR="00C12117" w:rsidRPr="00A75F94" w:rsidRDefault="00C1211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03365"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0AB9E"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A75F94" w:rsidRPr="00A75F94" w14:paraId="54251B9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0C45E6" w14:textId="77777777" w:rsidR="00C12117" w:rsidRPr="00A75F94" w:rsidRDefault="00C1211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27D85"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61F8C"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A75F94" w:rsidRPr="00A75F94" w14:paraId="2FB16C0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A078FA" w14:textId="77777777" w:rsidR="00C12117" w:rsidRPr="00A75F94" w:rsidRDefault="00C1211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4DD1BB"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3D4A5"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Se señalará el nombre del ordenamiento, el o los artículos, fracción(es), párrafo(s) con base en los cuales se sustente la reserva.</w:t>
            </w:r>
          </w:p>
        </w:tc>
      </w:tr>
      <w:tr w:rsidR="00A75F94" w:rsidRPr="00A75F94" w14:paraId="0277617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89F0DB" w14:textId="77777777" w:rsidR="00C12117" w:rsidRPr="00A75F94" w:rsidRDefault="00C1211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9D0C1"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FA7C16"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75F94" w:rsidRPr="00A75F94" w14:paraId="342687C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E3B7E0" w14:textId="77777777" w:rsidR="00C12117" w:rsidRPr="00A75F94" w:rsidRDefault="00C1211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1E073"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C5E9D"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Rúbrica autógrafa o firma digital de quien clasifica.</w:t>
            </w:r>
          </w:p>
        </w:tc>
      </w:tr>
      <w:tr w:rsidR="00A75F94" w:rsidRPr="00A75F94" w14:paraId="4F96A40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338F7F" w14:textId="77777777" w:rsidR="00C12117" w:rsidRPr="00A75F94" w:rsidRDefault="00C1211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4C96F"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0A069"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Se anotará la fecha en que se desclasifica el documento.</w:t>
            </w:r>
          </w:p>
        </w:tc>
      </w:tr>
      <w:tr w:rsidR="00A75F94" w:rsidRPr="00A75F94" w14:paraId="644D5CD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1E7541" w14:textId="77777777" w:rsidR="00C12117" w:rsidRPr="00A75F94" w:rsidRDefault="00C1211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535F9" w14:textId="77777777" w:rsidR="00C12117" w:rsidRPr="00A75F94" w:rsidRDefault="00507A46">
            <w:pPr>
              <w:pBdr>
                <w:top w:val="nil"/>
                <w:left w:val="nil"/>
                <w:bottom w:val="nil"/>
                <w:right w:val="nil"/>
                <w:between w:val="nil"/>
              </w:pBdr>
              <w:jc w:val="center"/>
            </w:pPr>
            <w:r w:rsidRPr="00A75F94">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7478DB" w14:textId="77777777" w:rsidR="00C12117" w:rsidRPr="00A75F94" w:rsidRDefault="00507A46">
            <w:pPr>
              <w:pBdr>
                <w:top w:val="nil"/>
                <w:left w:val="nil"/>
                <w:bottom w:val="nil"/>
                <w:right w:val="nil"/>
                <w:between w:val="nil"/>
              </w:pBdr>
              <w:jc w:val="both"/>
            </w:pPr>
            <w:r w:rsidRPr="00A75F94">
              <w:rPr>
                <w:rFonts w:ascii="Palatino Linotype" w:eastAsia="Palatino Linotype" w:hAnsi="Palatino Linotype" w:cs="Palatino Linotype"/>
                <w:i/>
              </w:rPr>
              <w:t>Rúbrica autógrafa o firma digital de quien desclasifica.</w:t>
            </w:r>
          </w:p>
        </w:tc>
      </w:tr>
      <w:tr w:rsidR="00A75F94" w:rsidRPr="00A75F94" w14:paraId="5DDF68C9"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0C5C2" w14:textId="77777777" w:rsidR="00C12117" w:rsidRPr="00A75F94" w:rsidRDefault="00C12117">
            <w:pPr>
              <w:widowControl w:val="0"/>
              <w:pBdr>
                <w:top w:val="nil"/>
                <w:left w:val="nil"/>
                <w:bottom w:val="nil"/>
                <w:right w:val="nil"/>
                <w:between w:val="nil"/>
              </w:pBdr>
              <w:spacing w:line="276" w:lineRule="auto"/>
            </w:pPr>
          </w:p>
        </w:tc>
      </w:tr>
    </w:tbl>
    <w:p w14:paraId="5EC3C188" w14:textId="77777777" w:rsidR="00C12117" w:rsidRPr="00A75F94" w:rsidRDefault="00507A4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6E4686F" w14:textId="77777777" w:rsidR="00C12117" w:rsidRPr="00A75F94" w:rsidRDefault="00507A46">
      <w:pPr>
        <w:pBdr>
          <w:top w:val="nil"/>
          <w:left w:val="nil"/>
          <w:bottom w:val="nil"/>
          <w:right w:val="nil"/>
          <w:between w:val="nil"/>
        </w:pBdr>
        <w:spacing w:after="160"/>
        <w:ind w:left="709" w:right="709"/>
        <w:jc w:val="both"/>
      </w:pPr>
      <w:r w:rsidRPr="00A75F94">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A75F94">
        <w:rPr>
          <w:rFonts w:ascii="Palatino Linotype" w:eastAsia="Palatino Linotype" w:hAnsi="Palatino Linotype" w:cs="Palatino Linotype"/>
          <w:i/>
          <w:sz w:val="22"/>
          <w:szCs w:val="22"/>
        </w:rPr>
        <w:t>testado</w:t>
      </w:r>
      <w:proofErr w:type="spellEnd"/>
      <w:r w:rsidRPr="00A75F94">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53871EA0" w14:textId="77777777" w:rsidR="00C12117" w:rsidRPr="00A75F94" w:rsidRDefault="00C12117">
      <w:pPr>
        <w:jc w:val="both"/>
      </w:pPr>
    </w:p>
    <w:p w14:paraId="01AEB1BA" w14:textId="77777777" w:rsidR="00C12117" w:rsidRPr="00A75F94" w:rsidRDefault="00C12117"/>
    <w:p w14:paraId="25E4D8A1" w14:textId="77777777" w:rsidR="00C12117" w:rsidRPr="00A75F94" w:rsidRDefault="00507A46">
      <w:pPr>
        <w:spacing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57576AD6" w14:textId="77777777" w:rsidR="00C12117" w:rsidRPr="00A75F94" w:rsidRDefault="00C12117">
      <w:pPr>
        <w:spacing w:line="360" w:lineRule="auto"/>
        <w:jc w:val="both"/>
        <w:rPr>
          <w:rFonts w:ascii="Palatino Linotype" w:eastAsia="Palatino Linotype" w:hAnsi="Palatino Linotype" w:cs="Palatino Linotype"/>
        </w:rPr>
      </w:pPr>
    </w:p>
    <w:p w14:paraId="4FAA761F" w14:textId="77777777" w:rsidR="00C12117" w:rsidRPr="00A75F94" w:rsidRDefault="00507A46">
      <w:pPr>
        <w:shd w:val="clear" w:color="auto" w:fill="FFFFFF"/>
        <w:spacing w:line="360" w:lineRule="auto"/>
        <w:ind w:right="51"/>
        <w:jc w:val="both"/>
        <w:rPr>
          <w:rFonts w:ascii="Palatino Linotype" w:eastAsia="Palatino Linotype" w:hAnsi="Palatino Linotype" w:cs="Palatino Linotype"/>
        </w:rPr>
      </w:pPr>
      <w:r w:rsidRPr="00A75F9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A75F94">
        <w:rPr>
          <w:rFonts w:ascii="Palatino Linotype" w:eastAsia="Palatino Linotype" w:hAnsi="Palatino Linotype" w:cs="Palatino Linotype"/>
        </w:rPr>
        <w:lastRenderedPageBreak/>
        <w:t xml:space="preserve">puntual las razones de ello se estaría violentando desde un inicio el derecho de acceso a la información del solicitante, por lo que el acuerdo respectivo, deberá hacerse del conocimiento de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w:t>
      </w:r>
    </w:p>
    <w:p w14:paraId="5982700E" w14:textId="77777777" w:rsidR="00C12117" w:rsidRPr="00A75F94" w:rsidRDefault="00C12117">
      <w:pPr>
        <w:spacing w:line="360" w:lineRule="auto"/>
        <w:jc w:val="both"/>
        <w:rPr>
          <w:rFonts w:ascii="Palatino Linotype" w:eastAsia="Palatino Linotype" w:hAnsi="Palatino Linotype" w:cs="Palatino Linotype"/>
        </w:rPr>
      </w:pPr>
    </w:p>
    <w:p w14:paraId="7C11BF65" w14:textId="77777777" w:rsidR="00C12117" w:rsidRPr="00A75F94" w:rsidRDefault="00507A46">
      <w:pPr>
        <w:spacing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4FE87EA0" w14:textId="77777777" w:rsidR="00C12117" w:rsidRPr="00A75F94" w:rsidRDefault="00507A46">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75F94">
        <w:rPr>
          <w:rFonts w:ascii="Palatino Linotype" w:eastAsia="Palatino Linotype" w:hAnsi="Palatino Linotype" w:cs="Palatino Linotype"/>
          <w:b/>
          <w:sz w:val="22"/>
          <w:szCs w:val="22"/>
        </w:rPr>
        <w:t>R E S U E L V E:</w:t>
      </w:r>
    </w:p>
    <w:p w14:paraId="254EA08F"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 xml:space="preserve">Primero. </w:t>
      </w:r>
      <w:r w:rsidRPr="00A75F94">
        <w:rPr>
          <w:rFonts w:ascii="Palatino Linotype" w:eastAsia="Palatino Linotype" w:hAnsi="Palatino Linotype" w:cs="Palatino Linotype"/>
        </w:rPr>
        <w:t xml:space="preserve">Resultan fundados los motivos de inconformidad hechos valer por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xml:space="preserve"> en el Recurso de Revisión </w:t>
      </w:r>
      <w:r w:rsidRPr="00A75F94">
        <w:rPr>
          <w:rFonts w:ascii="Palatino Linotype" w:eastAsia="Palatino Linotype" w:hAnsi="Palatino Linotype" w:cs="Palatino Linotype"/>
          <w:b/>
        </w:rPr>
        <w:t xml:space="preserve">00879/INFOEM/IP/RR/2023; </w:t>
      </w:r>
      <w:r w:rsidRPr="00A75F94">
        <w:rPr>
          <w:rFonts w:ascii="Palatino Linotype" w:eastAsia="Palatino Linotype" w:hAnsi="Palatino Linotype" w:cs="Palatino Linotype"/>
        </w:rPr>
        <w:t xml:space="preserve">por lo que, en términos del considerando </w:t>
      </w:r>
      <w:r w:rsidRPr="00A75F94">
        <w:rPr>
          <w:rFonts w:ascii="Palatino Linotype" w:eastAsia="Palatino Linotype" w:hAnsi="Palatino Linotype" w:cs="Palatino Linotype"/>
          <w:b/>
        </w:rPr>
        <w:t xml:space="preserve">Cuarto </w:t>
      </w:r>
      <w:r w:rsidRPr="00A75F94">
        <w:rPr>
          <w:rFonts w:ascii="Palatino Linotype" w:eastAsia="Palatino Linotype" w:hAnsi="Palatino Linotype" w:cs="Palatino Linotype"/>
        </w:rPr>
        <w:t xml:space="preserve">de esta resolución, se </w:t>
      </w:r>
      <w:r w:rsidRPr="00A75F94">
        <w:rPr>
          <w:rFonts w:ascii="Palatino Linotype" w:eastAsia="Palatino Linotype" w:hAnsi="Palatino Linotype" w:cs="Palatino Linotype"/>
          <w:b/>
        </w:rPr>
        <w:t xml:space="preserve">REVOCA </w:t>
      </w:r>
      <w:r w:rsidRPr="00A75F94">
        <w:rPr>
          <w:rFonts w:ascii="Palatino Linotype" w:eastAsia="Palatino Linotype" w:hAnsi="Palatino Linotype" w:cs="Palatino Linotype"/>
        </w:rPr>
        <w:t xml:space="preserve">la respuesta emitida por 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w:t>
      </w:r>
    </w:p>
    <w:p w14:paraId="54725F05" w14:textId="77777777" w:rsidR="00C12117" w:rsidRPr="00A75F94" w:rsidRDefault="00507A46">
      <w:pPr>
        <w:spacing w:before="240" w:after="240"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b/>
        </w:rPr>
        <w:t xml:space="preserve">Segundo. </w:t>
      </w:r>
      <w:r w:rsidRPr="00A75F94">
        <w:rPr>
          <w:rFonts w:ascii="Palatino Linotype" w:eastAsia="Palatino Linotype" w:hAnsi="Palatino Linotype" w:cs="Palatino Linotype"/>
        </w:rPr>
        <w:t>Se</w:t>
      </w:r>
      <w:r w:rsidRPr="00A75F94">
        <w:rPr>
          <w:rFonts w:ascii="Palatino Linotype" w:eastAsia="Palatino Linotype" w:hAnsi="Palatino Linotype" w:cs="Palatino Linotype"/>
          <w:b/>
        </w:rPr>
        <w:t xml:space="preserve"> ORDENA </w:t>
      </w:r>
      <w:r w:rsidRPr="00A75F94">
        <w:rPr>
          <w:rFonts w:ascii="Palatino Linotype" w:eastAsia="Palatino Linotype" w:hAnsi="Palatino Linotype" w:cs="Palatino Linotype"/>
        </w:rPr>
        <w:t xml:space="preserve">al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a que,</w:t>
      </w:r>
      <w:r w:rsidRPr="00A75F94">
        <w:rPr>
          <w:rFonts w:ascii="Palatino Linotype" w:eastAsia="Palatino Linotype" w:hAnsi="Palatino Linotype" w:cs="Palatino Linotype"/>
          <w:b/>
        </w:rPr>
        <w:t xml:space="preserve"> </w:t>
      </w:r>
      <w:r w:rsidRPr="00A75F94">
        <w:rPr>
          <w:rFonts w:ascii="Palatino Linotype" w:eastAsia="Palatino Linotype" w:hAnsi="Palatino Linotype" w:cs="Palatino Linotype"/>
        </w:rPr>
        <w:t>en términos del Considerando Cuarto y Quinto, haga entrega vía SAIMEX, en versión pública de ser procedente, del documento o documentos en donde conste lo siguiente:</w:t>
      </w:r>
    </w:p>
    <w:p w14:paraId="42B43130" w14:textId="77777777" w:rsidR="00C12117" w:rsidRPr="00A75F94" w:rsidRDefault="00507A46">
      <w:pPr>
        <w:numPr>
          <w:ilvl w:val="0"/>
          <w:numId w:val="5"/>
        </w:numPr>
        <w:pBdr>
          <w:top w:val="nil"/>
          <w:left w:val="nil"/>
          <w:bottom w:val="nil"/>
          <w:right w:val="nil"/>
          <w:between w:val="nil"/>
        </w:pBdr>
        <w:spacing w:before="280" w:line="360" w:lineRule="auto"/>
        <w:ind w:right="629"/>
        <w:jc w:val="both"/>
        <w:rPr>
          <w:rFonts w:ascii="Palatino Linotype" w:eastAsia="Palatino Linotype" w:hAnsi="Palatino Linotype" w:cs="Palatino Linotype"/>
        </w:rPr>
      </w:pPr>
      <w:r w:rsidRPr="00A75F94">
        <w:rPr>
          <w:rFonts w:ascii="Palatino Linotype" w:eastAsia="Palatino Linotype" w:hAnsi="Palatino Linotype" w:cs="Palatino Linotype"/>
        </w:rPr>
        <w:t>Actas de cabildo generadas del primero de enero del año dos mil veintidós al nueve de enero del año dos mil veintitrés.</w:t>
      </w:r>
    </w:p>
    <w:p w14:paraId="15CFC745" w14:textId="77777777" w:rsidR="00C12117" w:rsidRPr="00A75F94" w:rsidRDefault="00507A46">
      <w:pPr>
        <w:pBdr>
          <w:top w:val="nil"/>
          <w:left w:val="nil"/>
          <w:bottom w:val="nil"/>
          <w:right w:val="nil"/>
          <w:between w:val="nil"/>
        </w:pBdr>
        <w:ind w:left="720" w:right="629"/>
        <w:jc w:val="both"/>
        <w:rPr>
          <w:rFonts w:ascii="Palatino Linotype" w:eastAsia="Palatino Linotype" w:hAnsi="Palatino Linotype" w:cs="Palatino Linotype"/>
          <w:i/>
          <w:sz w:val="22"/>
          <w:szCs w:val="22"/>
        </w:rPr>
      </w:pPr>
      <w:r w:rsidRPr="00A75F94">
        <w:rPr>
          <w:rFonts w:ascii="Palatino Linotype" w:eastAsia="Palatino Linotype" w:hAnsi="Palatino Linotype" w:cs="Palatino Linotype"/>
          <w:i/>
          <w:sz w:val="22"/>
          <w:szCs w:val="22"/>
        </w:rPr>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5F1C6AD2" w14:textId="77777777" w:rsidR="00C12117" w:rsidRPr="00A75F94" w:rsidRDefault="00C12117">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603AE270" w14:textId="77777777" w:rsidR="00C12117" w:rsidRPr="00A75F94" w:rsidRDefault="00507A46">
      <w:pPr>
        <w:spacing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b/>
        </w:rPr>
        <w:lastRenderedPageBreak/>
        <w:t xml:space="preserve">Tercero. Notifíquese, </w:t>
      </w:r>
      <w:r w:rsidRPr="00A75F94">
        <w:rPr>
          <w:rFonts w:ascii="Palatino Linotype" w:eastAsia="Palatino Linotype" w:hAnsi="Palatino Linotype" w:cs="Palatino Linotype"/>
        </w:rPr>
        <w:t xml:space="preserve">vía </w:t>
      </w:r>
      <w:r w:rsidRPr="00A75F94">
        <w:rPr>
          <w:rFonts w:ascii="Palatino Linotype" w:eastAsia="Palatino Linotype" w:hAnsi="Palatino Linotype" w:cs="Palatino Linotype"/>
          <w:b/>
        </w:rPr>
        <w:t>SAIMEX</w:t>
      </w:r>
      <w:r w:rsidRPr="00A75F94">
        <w:rPr>
          <w:rFonts w:ascii="Palatino Linotype" w:eastAsia="Palatino Linotype" w:hAnsi="Palatino Linotype" w:cs="Palatino Linotype"/>
        </w:rPr>
        <w:t xml:space="preserve">, al Titular de la Unidad de Transparencia del </w:t>
      </w:r>
      <w:r w:rsidRPr="00A75F94">
        <w:rPr>
          <w:rFonts w:ascii="Palatino Linotype" w:eastAsia="Palatino Linotype" w:hAnsi="Palatino Linotype" w:cs="Palatino Linotype"/>
          <w:b/>
        </w:rPr>
        <w:t>SUJETO OBLIGADO,</w:t>
      </w:r>
      <w:r w:rsidRPr="00A75F94">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0DCEF5" w14:textId="77777777" w:rsidR="00C12117" w:rsidRPr="00A75F94" w:rsidRDefault="00C12117">
      <w:pPr>
        <w:spacing w:line="360" w:lineRule="auto"/>
        <w:ind w:right="49"/>
        <w:jc w:val="both"/>
        <w:rPr>
          <w:rFonts w:ascii="Palatino Linotype" w:eastAsia="Palatino Linotype" w:hAnsi="Palatino Linotype" w:cs="Palatino Linotype"/>
          <w:b/>
        </w:rPr>
      </w:pPr>
    </w:p>
    <w:p w14:paraId="02C978E8" w14:textId="77777777" w:rsidR="00C12117" w:rsidRPr="00A75F94" w:rsidRDefault="00507A46">
      <w:pPr>
        <w:spacing w:line="360" w:lineRule="auto"/>
        <w:ind w:right="49"/>
        <w:jc w:val="both"/>
        <w:rPr>
          <w:rFonts w:ascii="Palatino Linotype" w:eastAsia="Palatino Linotype" w:hAnsi="Palatino Linotype" w:cs="Palatino Linotype"/>
        </w:rPr>
      </w:pPr>
      <w:r w:rsidRPr="00A75F94">
        <w:rPr>
          <w:rFonts w:ascii="Palatino Linotype" w:eastAsia="Palatino Linotype" w:hAnsi="Palatino Linotype" w:cs="Palatino Linotype"/>
          <w:b/>
        </w:rPr>
        <w:t>Cuarto. Notifíquese vía SAIMEX</w:t>
      </w:r>
      <w:r w:rsidRPr="00A75F94">
        <w:rPr>
          <w:rFonts w:ascii="Palatino Linotype" w:eastAsia="Palatino Linotype" w:hAnsi="Palatino Linotype" w:cs="Palatino Linotype"/>
        </w:rPr>
        <w:t xml:space="preserve">, a la parte </w:t>
      </w:r>
      <w:r w:rsidRPr="00A75F94">
        <w:rPr>
          <w:rFonts w:ascii="Palatino Linotype" w:eastAsia="Palatino Linotype" w:hAnsi="Palatino Linotype" w:cs="Palatino Linotype"/>
          <w:b/>
        </w:rPr>
        <w:t>RECURRENTE</w:t>
      </w:r>
      <w:r w:rsidRPr="00A75F9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62FFEFA" w14:textId="77777777" w:rsidR="00C12117" w:rsidRPr="00A75F94" w:rsidRDefault="00507A46">
      <w:pPr>
        <w:spacing w:before="240" w:after="240" w:line="360" w:lineRule="auto"/>
        <w:jc w:val="both"/>
        <w:rPr>
          <w:rFonts w:ascii="Palatino Linotype" w:eastAsia="Palatino Linotype" w:hAnsi="Palatino Linotype" w:cs="Palatino Linotype"/>
        </w:rPr>
      </w:pPr>
      <w:r w:rsidRPr="00A75F94">
        <w:rPr>
          <w:rFonts w:ascii="Palatino Linotype" w:eastAsia="Palatino Linotype" w:hAnsi="Palatino Linotype" w:cs="Palatino Linotype"/>
          <w:b/>
        </w:rPr>
        <w:t>Quinto.</w:t>
      </w:r>
      <w:r w:rsidRPr="00A75F94">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A55741E" w14:textId="77777777" w:rsidR="00A75F94" w:rsidRPr="00A75F94" w:rsidRDefault="00A75F94">
      <w:pPr>
        <w:spacing w:before="240" w:after="240" w:line="360" w:lineRule="auto"/>
        <w:jc w:val="both"/>
        <w:rPr>
          <w:rFonts w:ascii="Palatino Linotype" w:eastAsia="Palatino Linotype" w:hAnsi="Palatino Linotype" w:cs="Palatino Linotype"/>
          <w:b/>
        </w:rPr>
      </w:pPr>
    </w:p>
    <w:p w14:paraId="3B5495AE" w14:textId="77777777" w:rsidR="00C12117" w:rsidRPr="00A75F94" w:rsidRDefault="00507A46">
      <w:pPr>
        <w:spacing w:before="240" w:after="240" w:line="360" w:lineRule="auto"/>
        <w:jc w:val="both"/>
        <w:rPr>
          <w:rFonts w:ascii="Palatino Linotype" w:eastAsia="Palatino Linotype" w:hAnsi="Palatino Linotype" w:cs="Palatino Linotype"/>
        </w:rPr>
      </w:pPr>
      <w:bookmarkStart w:id="4" w:name="_heading=h.17dp8vu" w:colFirst="0" w:colLast="0"/>
      <w:bookmarkEnd w:id="4"/>
      <w:r w:rsidRPr="00A75F94">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DEL DOS MIL VEINTITRÉS, ANTE EL SECRETARIO TÉCNICO DEL PLENO ALEXIS TAPIA RAMÍREZ.</w:t>
      </w:r>
    </w:p>
    <w:p w14:paraId="36FF0968" w14:textId="77777777" w:rsidR="00A75F94" w:rsidRPr="00A75F94" w:rsidRDefault="00A75F94">
      <w:pPr>
        <w:spacing w:before="240" w:after="240" w:line="360" w:lineRule="auto"/>
        <w:jc w:val="both"/>
        <w:rPr>
          <w:rFonts w:ascii="Palatino Linotype" w:eastAsia="Palatino Linotype" w:hAnsi="Palatino Linotype" w:cs="Palatino Linotype"/>
        </w:rPr>
      </w:pPr>
    </w:p>
    <w:p w14:paraId="7118A269" w14:textId="77777777" w:rsidR="00A75F94" w:rsidRPr="00A75F94" w:rsidRDefault="00A75F94">
      <w:pPr>
        <w:spacing w:before="240" w:after="240" w:line="360" w:lineRule="auto"/>
        <w:jc w:val="both"/>
        <w:rPr>
          <w:rFonts w:ascii="Palatino Linotype" w:eastAsia="Palatino Linotype" w:hAnsi="Palatino Linotype" w:cs="Palatino Linotype"/>
        </w:rPr>
      </w:pPr>
    </w:p>
    <w:p w14:paraId="591B88DC" w14:textId="77777777" w:rsidR="00A75F94" w:rsidRPr="00A75F94" w:rsidRDefault="00A75F94">
      <w:pPr>
        <w:spacing w:before="240" w:after="240" w:line="360" w:lineRule="auto"/>
        <w:jc w:val="both"/>
        <w:rPr>
          <w:rFonts w:ascii="Palatino Linotype" w:eastAsia="Palatino Linotype" w:hAnsi="Palatino Linotype" w:cs="Palatino Linotype"/>
        </w:rPr>
      </w:pPr>
    </w:p>
    <w:p w14:paraId="105E3D5C" w14:textId="77777777" w:rsidR="00A75F94" w:rsidRPr="00A75F94" w:rsidRDefault="00A75F94">
      <w:pPr>
        <w:spacing w:before="240" w:after="240" w:line="360" w:lineRule="auto"/>
        <w:jc w:val="both"/>
        <w:rPr>
          <w:rFonts w:ascii="Palatino Linotype" w:eastAsia="Palatino Linotype" w:hAnsi="Palatino Linotype" w:cs="Palatino Linotype"/>
        </w:rPr>
      </w:pPr>
    </w:p>
    <w:p w14:paraId="0A64B94F" w14:textId="77777777" w:rsidR="00A75F94" w:rsidRPr="00A75F94" w:rsidRDefault="00A75F94">
      <w:pPr>
        <w:spacing w:before="240" w:after="240" w:line="360" w:lineRule="auto"/>
        <w:jc w:val="both"/>
        <w:rPr>
          <w:rFonts w:ascii="Palatino Linotype" w:eastAsia="Palatino Linotype" w:hAnsi="Palatino Linotype" w:cs="Palatino Linotype"/>
        </w:rPr>
      </w:pPr>
    </w:p>
    <w:p w14:paraId="5525B8BB" w14:textId="77777777" w:rsidR="00A75F94" w:rsidRPr="00A75F94" w:rsidRDefault="00A75F94">
      <w:pPr>
        <w:spacing w:before="240" w:after="240" w:line="360" w:lineRule="auto"/>
        <w:jc w:val="both"/>
        <w:rPr>
          <w:rFonts w:ascii="Palatino Linotype" w:eastAsia="Palatino Linotype" w:hAnsi="Palatino Linotype" w:cs="Palatino Linotype"/>
        </w:rPr>
      </w:pPr>
    </w:p>
    <w:p w14:paraId="232CBE25" w14:textId="77777777" w:rsidR="00A75F94" w:rsidRPr="00A75F94" w:rsidRDefault="00A75F94">
      <w:pPr>
        <w:spacing w:before="240" w:after="240" w:line="360" w:lineRule="auto"/>
        <w:jc w:val="both"/>
        <w:rPr>
          <w:rFonts w:ascii="Palatino Linotype" w:eastAsia="Palatino Linotype" w:hAnsi="Palatino Linotype" w:cs="Palatino Linotype"/>
        </w:rPr>
      </w:pPr>
    </w:p>
    <w:p w14:paraId="06874D9D" w14:textId="77777777" w:rsidR="00A75F94" w:rsidRPr="00A75F94" w:rsidRDefault="00A75F94">
      <w:pPr>
        <w:spacing w:before="240" w:after="240" w:line="360" w:lineRule="auto"/>
        <w:jc w:val="both"/>
        <w:rPr>
          <w:rFonts w:ascii="Palatino Linotype" w:eastAsia="Palatino Linotype" w:hAnsi="Palatino Linotype" w:cs="Palatino Linotype"/>
        </w:rPr>
      </w:pPr>
    </w:p>
    <w:p w14:paraId="0FB92E0B" w14:textId="77777777" w:rsidR="00A75F94" w:rsidRPr="00A75F94" w:rsidRDefault="00A75F94">
      <w:pPr>
        <w:spacing w:before="240" w:after="240" w:line="360" w:lineRule="auto"/>
        <w:jc w:val="both"/>
        <w:rPr>
          <w:rFonts w:ascii="Palatino Linotype" w:eastAsia="Palatino Linotype" w:hAnsi="Palatino Linotype" w:cs="Palatino Linotype"/>
        </w:rPr>
      </w:pPr>
    </w:p>
    <w:p w14:paraId="4E2823B4" w14:textId="77777777" w:rsidR="00A75F94" w:rsidRPr="00A75F94" w:rsidRDefault="00A75F94">
      <w:pPr>
        <w:spacing w:before="240" w:after="240" w:line="360" w:lineRule="auto"/>
        <w:jc w:val="both"/>
        <w:rPr>
          <w:rFonts w:ascii="Palatino Linotype" w:eastAsia="Palatino Linotype" w:hAnsi="Palatino Linotype" w:cs="Palatino Linotype"/>
        </w:rPr>
      </w:pPr>
    </w:p>
    <w:p w14:paraId="74EE83B5" w14:textId="77777777" w:rsidR="00A75F94" w:rsidRPr="00A75F94" w:rsidRDefault="00A75F94">
      <w:pPr>
        <w:spacing w:before="240" w:after="240" w:line="360" w:lineRule="auto"/>
        <w:jc w:val="both"/>
        <w:rPr>
          <w:rFonts w:ascii="Palatino Linotype" w:eastAsia="Palatino Linotype" w:hAnsi="Palatino Linotype" w:cs="Palatino Linotype"/>
        </w:rPr>
      </w:pPr>
    </w:p>
    <w:p w14:paraId="7D3FB65A" w14:textId="77777777" w:rsidR="00A75F94" w:rsidRPr="00A75F94" w:rsidRDefault="00A75F94">
      <w:pPr>
        <w:spacing w:before="240" w:after="240" w:line="360" w:lineRule="auto"/>
        <w:jc w:val="both"/>
        <w:rPr>
          <w:rFonts w:ascii="Palatino Linotype" w:eastAsia="Palatino Linotype" w:hAnsi="Palatino Linotype" w:cs="Palatino Linotype"/>
        </w:rPr>
      </w:pPr>
    </w:p>
    <w:p w14:paraId="1043A7CA" w14:textId="77777777" w:rsidR="00A75F94" w:rsidRPr="00A75F94" w:rsidRDefault="00A75F94">
      <w:pPr>
        <w:spacing w:before="240" w:after="240" w:line="360" w:lineRule="auto"/>
        <w:jc w:val="both"/>
        <w:rPr>
          <w:rFonts w:ascii="Palatino Linotype" w:eastAsia="Palatino Linotype" w:hAnsi="Palatino Linotype" w:cs="Palatino Linotype"/>
        </w:rPr>
      </w:pPr>
    </w:p>
    <w:p w14:paraId="0E88A510" w14:textId="77777777" w:rsidR="00A75F94" w:rsidRPr="00A75F94" w:rsidRDefault="00A75F94">
      <w:pPr>
        <w:spacing w:before="240" w:after="240" w:line="360" w:lineRule="auto"/>
        <w:jc w:val="both"/>
        <w:rPr>
          <w:rFonts w:ascii="Palatino Linotype" w:eastAsia="Palatino Linotype" w:hAnsi="Palatino Linotype" w:cs="Palatino Linotype"/>
        </w:rPr>
      </w:pPr>
    </w:p>
    <w:p w14:paraId="2B30FE87" w14:textId="77777777" w:rsidR="00A75F94" w:rsidRPr="00A75F94" w:rsidRDefault="00A75F94">
      <w:pPr>
        <w:spacing w:before="240" w:after="240" w:line="360" w:lineRule="auto"/>
        <w:jc w:val="both"/>
        <w:rPr>
          <w:rFonts w:ascii="Palatino Linotype" w:eastAsia="Palatino Linotype" w:hAnsi="Palatino Linotype" w:cs="Palatino Linotype"/>
        </w:rPr>
      </w:pPr>
    </w:p>
    <w:p w14:paraId="11A13EDD" w14:textId="77777777" w:rsidR="00A75F94" w:rsidRPr="00A75F94" w:rsidRDefault="00A75F94">
      <w:pPr>
        <w:spacing w:before="240" w:after="240" w:line="360" w:lineRule="auto"/>
        <w:jc w:val="both"/>
        <w:rPr>
          <w:rFonts w:ascii="Palatino Linotype" w:eastAsia="Palatino Linotype" w:hAnsi="Palatino Linotype" w:cs="Palatino Linotype"/>
        </w:rPr>
      </w:pPr>
    </w:p>
    <w:p w14:paraId="71F55223" w14:textId="77777777" w:rsidR="00A75F94" w:rsidRPr="00A75F94" w:rsidRDefault="00A75F94">
      <w:pPr>
        <w:spacing w:before="240" w:after="240" w:line="360" w:lineRule="auto"/>
        <w:jc w:val="both"/>
        <w:rPr>
          <w:rFonts w:ascii="Palatino Linotype" w:eastAsia="Palatino Linotype" w:hAnsi="Palatino Linotype" w:cs="Palatino Linotype"/>
        </w:rPr>
      </w:pPr>
    </w:p>
    <w:p w14:paraId="6B5D0F35" w14:textId="77777777" w:rsidR="00A75F94" w:rsidRPr="00A75F94" w:rsidRDefault="00A75F94">
      <w:pPr>
        <w:spacing w:before="240" w:after="240" w:line="360" w:lineRule="auto"/>
        <w:jc w:val="both"/>
        <w:rPr>
          <w:rFonts w:ascii="Palatino Linotype" w:eastAsia="Palatino Linotype" w:hAnsi="Palatino Linotype" w:cs="Palatino Linotype"/>
        </w:rPr>
      </w:pPr>
    </w:p>
    <w:p w14:paraId="6C1D6641" w14:textId="77777777" w:rsidR="00A75F94" w:rsidRPr="00A75F94" w:rsidRDefault="00A75F94">
      <w:pPr>
        <w:spacing w:before="240" w:after="240" w:line="360" w:lineRule="auto"/>
        <w:jc w:val="both"/>
        <w:rPr>
          <w:rFonts w:ascii="Palatino Linotype" w:eastAsia="Palatino Linotype" w:hAnsi="Palatino Linotype" w:cs="Palatino Linotype"/>
        </w:rPr>
      </w:pPr>
    </w:p>
    <w:p w14:paraId="3EE8AB26" w14:textId="77777777" w:rsidR="00A75F94" w:rsidRPr="00A75F94" w:rsidRDefault="00A75F94">
      <w:pPr>
        <w:spacing w:before="240" w:after="240" w:line="360" w:lineRule="auto"/>
        <w:jc w:val="both"/>
        <w:rPr>
          <w:rFonts w:ascii="Palatino Linotype" w:eastAsia="Palatino Linotype" w:hAnsi="Palatino Linotype" w:cs="Palatino Linotype"/>
        </w:rPr>
      </w:pPr>
    </w:p>
    <w:p w14:paraId="7EFA9B0E" w14:textId="77777777" w:rsidR="00A75F94" w:rsidRPr="00A75F94" w:rsidRDefault="00A75F94">
      <w:pPr>
        <w:spacing w:before="240" w:after="240" w:line="360" w:lineRule="auto"/>
        <w:jc w:val="both"/>
        <w:rPr>
          <w:rFonts w:ascii="Palatino Linotype" w:eastAsia="Palatino Linotype" w:hAnsi="Palatino Linotype" w:cs="Palatino Linotype"/>
        </w:rPr>
      </w:pPr>
    </w:p>
    <w:p w14:paraId="6F1B6883" w14:textId="77777777" w:rsidR="00A75F94" w:rsidRPr="00A75F94" w:rsidRDefault="00A75F94">
      <w:pPr>
        <w:spacing w:before="240" w:after="240" w:line="360" w:lineRule="auto"/>
        <w:jc w:val="both"/>
        <w:rPr>
          <w:rFonts w:ascii="Palatino Linotype" w:eastAsia="Palatino Linotype" w:hAnsi="Palatino Linotype" w:cs="Palatino Linotype"/>
        </w:rPr>
      </w:pPr>
    </w:p>
    <w:sectPr w:rsidR="00A75F94" w:rsidRPr="00A75F94">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62C71" w14:textId="77777777" w:rsidR="009D7076" w:rsidRDefault="009D7076">
      <w:r>
        <w:separator/>
      </w:r>
    </w:p>
  </w:endnote>
  <w:endnote w:type="continuationSeparator" w:id="0">
    <w:p w14:paraId="5CF30D66" w14:textId="77777777" w:rsidR="009D7076" w:rsidRDefault="009D7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0488" w14:textId="77777777" w:rsidR="00C12117" w:rsidRDefault="00507A4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06A5">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06A5">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1B7690FA" w14:textId="77777777" w:rsidR="00C12117" w:rsidRDefault="00C1211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D9D7" w14:textId="77777777" w:rsidR="00C12117" w:rsidRDefault="00507A4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06A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06A5">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21BCD8EF" w14:textId="77777777" w:rsidR="00C12117" w:rsidRDefault="00C1211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D5B8A" w14:textId="77777777" w:rsidR="009D7076" w:rsidRDefault="009D7076">
      <w:r>
        <w:separator/>
      </w:r>
    </w:p>
  </w:footnote>
  <w:footnote w:type="continuationSeparator" w:id="0">
    <w:p w14:paraId="36C05884" w14:textId="77777777" w:rsidR="009D7076" w:rsidRDefault="009D7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EC1A" w14:textId="77777777" w:rsidR="00C12117" w:rsidRDefault="00507A4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C023868" wp14:editId="5C3AE644">
          <wp:simplePos x="0" y="0"/>
          <wp:positionH relativeFrom="column">
            <wp:posOffset>-1080133</wp:posOffset>
          </wp:positionH>
          <wp:positionV relativeFrom="paragraph">
            <wp:posOffset>-488313</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C12117" w14:paraId="0AD51DAF" w14:textId="77777777">
      <w:tc>
        <w:tcPr>
          <w:tcW w:w="2489" w:type="dxa"/>
          <w:shd w:val="clear" w:color="auto" w:fill="auto"/>
        </w:tcPr>
        <w:p w14:paraId="0F0365B5" w14:textId="77777777" w:rsidR="00C12117" w:rsidRDefault="00507A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0619671" w14:textId="77777777" w:rsidR="00C12117" w:rsidRDefault="00507A4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00879/INFOEM/IP/RR/2023</w:t>
          </w:r>
        </w:p>
      </w:tc>
    </w:tr>
    <w:tr w:rsidR="00C12117" w14:paraId="33B16E88" w14:textId="77777777">
      <w:trPr>
        <w:trHeight w:val="228"/>
      </w:trPr>
      <w:tc>
        <w:tcPr>
          <w:tcW w:w="2489" w:type="dxa"/>
          <w:shd w:val="clear" w:color="auto" w:fill="auto"/>
          <w:vAlign w:val="center"/>
        </w:tcPr>
        <w:p w14:paraId="2CE071A1" w14:textId="77777777" w:rsidR="00C12117" w:rsidRDefault="00507A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9740A07" w14:textId="77777777" w:rsidR="00C12117" w:rsidRDefault="00507A4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C12117" w14:paraId="1A1F5F90" w14:textId="77777777">
      <w:tc>
        <w:tcPr>
          <w:tcW w:w="2489" w:type="dxa"/>
          <w:shd w:val="clear" w:color="auto" w:fill="auto"/>
          <w:vAlign w:val="center"/>
        </w:tcPr>
        <w:p w14:paraId="38EA35E4" w14:textId="77777777" w:rsidR="00C12117" w:rsidRDefault="00507A4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C22478B" w14:textId="77777777" w:rsidR="00C12117" w:rsidRDefault="00507A4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A1D667" w14:textId="77777777" w:rsidR="00C12117" w:rsidRDefault="00507A4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8C82" w14:textId="77777777" w:rsidR="00C12117" w:rsidRDefault="00C1211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670" w:type="dxa"/>
      <w:tblInd w:w="3261" w:type="dxa"/>
      <w:tblLayout w:type="fixed"/>
      <w:tblLook w:val="0400" w:firstRow="0" w:lastRow="0" w:firstColumn="0" w:lastColumn="0" w:noHBand="0" w:noVBand="1"/>
    </w:tblPr>
    <w:tblGrid>
      <w:gridCol w:w="2551"/>
      <w:gridCol w:w="3119"/>
    </w:tblGrid>
    <w:tr w:rsidR="00C12117" w14:paraId="4D5EE020" w14:textId="77777777">
      <w:tc>
        <w:tcPr>
          <w:tcW w:w="2551" w:type="dxa"/>
          <w:shd w:val="clear" w:color="auto" w:fill="auto"/>
          <w:vAlign w:val="center"/>
        </w:tcPr>
        <w:p w14:paraId="48E64DEA" w14:textId="77777777" w:rsidR="00C12117" w:rsidRDefault="00507A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647D90F" w14:textId="77777777" w:rsidR="00C12117" w:rsidRDefault="00507A4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00879/INFOEM/IP/RR/2023</w:t>
          </w:r>
        </w:p>
      </w:tc>
    </w:tr>
    <w:tr w:rsidR="00C12117" w14:paraId="72D87CB8" w14:textId="77777777">
      <w:trPr>
        <w:trHeight w:val="130"/>
      </w:trPr>
      <w:tc>
        <w:tcPr>
          <w:tcW w:w="2551" w:type="dxa"/>
          <w:shd w:val="clear" w:color="auto" w:fill="auto"/>
          <w:vAlign w:val="center"/>
        </w:tcPr>
        <w:p w14:paraId="4BC916FF" w14:textId="77777777" w:rsidR="00C12117" w:rsidRDefault="00507A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C8419A3" w14:textId="6BD84524" w:rsidR="00C12117" w:rsidRDefault="00AF672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 XXXXXX XXXX</w:t>
          </w:r>
        </w:p>
      </w:tc>
    </w:tr>
    <w:tr w:rsidR="00C12117" w14:paraId="301DDA1E" w14:textId="77777777">
      <w:trPr>
        <w:trHeight w:val="228"/>
      </w:trPr>
      <w:tc>
        <w:tcPr>
          <w:tcW w:w="2551" w:type="dxa"/>
          <w:shd w:val="clear" w:color="auto" w:fill="auto"/>
          <w:vAlign w:val="center"/>
        </w:tcPr>
        <w:p w14:paraId="76359E72" w14:textId="77777777" w:rsidR="00C12117" w:rsidRDefault="00507A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20C6225" w14:textId="77777777" w:rsidR="00C12117" w:rsidRDefault="00507A46">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C12117" w14:paraId="1E228BBC" w14:textId="77777777">
      <w:tc>
        <w:tcPr>
          <w:tcW w:w="2551" w:type="dxa"/>
          <w:shd w:val="clear" w:color="auto" w:fill="auto"/>
          <w:vAlign w:val="center"/>
        </w:tcPr>
        <w:p w14:paraId="04457EFB" w14:textId="77777777" w:rsidR="00C12117" w:rsidRDefault="00507A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92511A3" w14:textId="77777777" w:rsidR="00C12117" w:rsidRDefault="00507A4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5765F8" w14:textId="77777777" w:rsidR="00C12117" w:rsidRDefault="00507A4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AA09B8A" wp14:editId="5E7BD8FE">
          <wp:simplePos x="0" y="0"/>
          <wp:positionH relativeFrom="column">
            <wp:posOffset>-1089658</wp:posOffset>
          </wp:positionH>
          <wp:positionV relativeFrom="paragraph">
            <wp:posOffset>-1169668</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211"/>
    <w:multiLevelType w:val="multilevel"/>
    <w:tmpl w:val="74BCB404"/>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173175D9"/>
    <w:multiLevelType w:val="multilevel"/>
    <w:tmpl w:val="BD88A90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0824B7"/>
    <w:multiLevelType w:val="multilevel"/>
    <w:tmpl w:val="823C99C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C81AEA"/>
    <w:multiLevelType w:val="multilevel"/>
    <w:tmpl w:val="83106A9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B9E02E5"/>
    <w:multiLevelType w:val="multilevel"/>
    <w:tmpl w:val="5AC6DCC6"/>
    <w:lvl w:ilvl="0">
      <w:start w:val="50"/>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565F14"/>
    <w:multiLevelType w:val="multilevel"/>
    <w:tmpl w:val="B38C7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A93D40"/>
    <w:multiLevelType w:val="multilevel"/>
    <w:tmpl w:val="1AF46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F07549"/>
    <w:multiLevelType w:val="multilevel"/>
    <w:tmpl w:val="751E994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81C2E46"/>
    <w:multiLevelType w:val="multilevel"/>
    <w:tmpl w:val="CA70D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2"/>
  </w:num>
  <w:num w:numId="4">
    <w:abstractNumId w:val="7"/>
  </w:num>
  <w:num w:numId="5">
    <w:abstractNumId w:val="6"/>
  </w:num>
  <w:num w:numId="6">
    <w:abstractNumId w:val="5"/>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117"/>
    <w:rsid w:val="000906A5"/>
    <w:rsid w:val="00390016"/>
    <w:rsid w:val="00507A46"/>
    <w:rsid w:val="009D7076"/>
    <w:rsid w:val="00A75F94"/>
    <w:rsid w:val="00AF6722"/>
    <w:rsid w:val="00C121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A566D"/>
  <w15:docId w15:val="{0F6A83ED-1621-4598-A3B9-1240BADE6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87000.page"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741986.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91907.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saimex.org.mx/saimex/solicitud/downloadAttach/169190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687001.pag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D7dQ54EaZesCMbz9M1bKESMTqQ==">AMUW2mUJ8ISK711pWBUgzfyPIcKkZeKE6Zzq4WhaDJxMeO+0b75p7J1pvhHmxN3QQJqjN6DbFK2OKu9MKNAIZLXxzl5LrkHGMrDZgCDASPnOO8x8KWy1StFDh5ovTGcNxP0BuW/ktYjpelM0n07fJ7GqfJM+o3hrpjgs6M5F3D72lYaiGkJVzPE=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52</Pages>
  <Words>13926</Words>
  <Characters>76595</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2023-11-17T16:44:00Z</cp:lastPrinted>
  <dcterms:created xsi:type="dcterms:W3CDTF">2023-12-04T23:50:00Z</dcterms:created>
  <dcterms:modified xsi:type="dcterms:W3CDTF">2023-12-04T23:50:00Z</dcterms:modified>
</cp:coreProperties>
</file>