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6B192D9D" w:rsidR="00662C69" w:rsidRPr="00135C14" w:rsidRDefault="009B11D6" w:rsidP="00C1682A">
      <w:pPr>
        <w:tabs>
          <w:tab w:val="left" w:pos="0"/>
          <w:tab w:val="left" w:pos="3465"/>
        </w:tabs>
        <w:spacing w:line="360" w:lineRule="auto"/>
        <w:jc w:val="both"/>
        <w:rPr>
          <w:rFonts w:ascii="Palatino Linotype" w:hAnsi="Palatino Linotype"/>
        </w:rPr>
      </w:pPr>
      <w:r w:rsidRPr="00135C14">
        <w:rPr>
          <w:rFonts w:ascii="Palatino Linotype" w:hAnsi="Palatino Linotype"/>
        </w:rPr>
        <w:t>R</w:t>
      </w:r>
      <w:r w:rsidR="00662C69" w:rsidRPr="00135C14">
        <w:rPr>
          <w:rFonts w:ascii="Palatino Linotype" w:hAnsi="Palatino Linotype"/>
        </w:rPr>
        <w:t>esolución del Pleno del Instituto de Transparencia, Acceso a la Información Pública y Protección de Datos Personales del Estado de México y Mun</w:t>
      </w:r>
      <w:r w:rsidR="000D5A1D" w:rsidRPr="00135C14">
        <w:rPr>
          <w:rFonts w:ascii="Palatino Linotype" w:hAnsi="Palatino Linotype"/>
        </w:rPr>
        <w:t>icipios, con</w:t>
      </w:r>
      <w:r w:rsidR="00662C69" w:rsidRPr="00135C14">
        <w:rPr>
          <w:rFonts w:ascii="Palatino Linotype" w:hAnsi="Palatino Linotype"/>
        </w:rPr>
        <w:t xml:space="preserve"> </w:t>
      </w:r>
      <w:r w:rsidR="00485DB6" w:rsidRPr="00135C14">
        <w:rPr>
          <w:rFonts w:ascii="Palatino Linotype" w:hAnsi="Palatino Linotype"/>
        </w:rPr>
        <w:t xml:space="preserve">domicilio </w:t>
      </w:r>
      <w:r w:rsidR="00662C69" w:rsidRPr="00135C14">
        <w:rPr>
          <w:rFonts w:ascii="Palatino Linotype" w:hAnsi="Palatino Linotype"/>
        </w:rPr>
        <w:t xml:space="preserve">en Metepec, Estado de México; </w:t>
      </w:r>
      <w:r w:rsidR="00F91466" w:rsidRPr="00135C14">
        <w:rPr>
          <w:rFonts w:ascii="Palatino Linotype" w:hAnsi="Palatino Linotype"/>
        </w:rPr>
        <w:t xml:space="preserve">de fecha </w:t>
      </w:r>
      <w:r w:rsidR="00071F28" w:rsidRPr="00135C14">
        <w:rPr>
          <w:rFonts w:ascii="Palatino Linotype" w:hAnsi="Palatino Linotype"/>
        </w:rPr>
        <w:t>veintidós</w:t>
      </w:r>
      <w:r w:rsidR="00F91466" w:rsidRPr="00135C14">
        <w:rPr>
          <w:rFonts w:ascii="Palatino Linotype" w:hAnsi="Palatino Linotype"/>
        </w:rPr>
        <w:t xml:space="preserve"> (</w:t>
      </w:r>
      <w:r w:rsidR="00071F28" w:rsidRPr="00135C14">
        <w:rPr>
          <w:rFonts w:ascii="Palatino Linotype" w:hAnsi="Palatino Linotype"/>
        </w:rPr>
        <w:t>22</w:t>
      </w:r>
      <w:r w:rsidR="00F91466" w:rsidRPr="00135C14">
        <w:rPr>
          <w:rFonts w:ascii="Palatino Linotype" w:hAnsi="Palatino Linotype"/>
        </w:rPr>
        <w:t xml:space="preserve">) de </w:t>
      </w:r>
      <w:r w:rsidR="00071F28" w:rsidRPr="00135C14">
        <w:rPr>
          <w:rFonts w:ascii="Palatino Linotype" w:hAnsi="Palatino Linotype"/>
        </w:rPr>
        <w:t>febrero</w:t>
      </w:r>
      <w:r w:rsidR="00F91466" w:rsidRPr="00135C14">
        <w:rPr>
          <w:rFonts w:ascii="Palatino Linotype" w:hAnsi="Palatino Linotype"/>
        </w:rPr>
        <w:t xml:space="preserve"> de dos mil veinti</w:t>
      </w:r>
      <w:r w:rsidR="00075009" w:rsidRPr="00135C14">
        <w:rPr>
          <w:rFonts w:ascii="Palatino Linotype" w:hAnsi="Palatino Linotype"/>
        </w:rPr>
        <w:t>trés.</w:t>
      </w:r>
    </w:p>
    <w:p w14:paraId="350D3475" w14:textId="77777777" w:rsidR="008A5A73" w:rsidRPr="00135C14" w:rsidRDefault="008A5A73" w:rsidP="00C1682A">
      <w:pPr>
        <w:tabs>
          <w:tab w:val="left" w:pos="0"/>
          <w:tab w:val="left" w:pos="3465"/>
        </w:tabs>
        <w:spacing w:line="360" w:lineRule="auto"/>
        <w:jc w:val="both"/>
        <w:rPr>
          <w:rFonts w:ascii="Palatino Linotype" w:hAnsi="Palatino Linotype"/>
        </w:rPr>
      </w:pPr>
    </w:p>
    <w:p w14:paraId="56A22FCA" w14:textId="27B48187" w:rsidR="00112BFF" w:rsidRPr="00135C14" w:rsidRDefault="00112BFF" w:rsidP="00112BFF">
      <w:pPr>
        <w:pStyle w:val="Encabezado"/>
        <w:spacing w:line="360" w:lineRule="auto"/>
        <w:jc w:val="both"/>
        <w:rPr>
          <w:rFonts w:ascii="Palatino Linotype" w:eastAsia="Times New Roman" w:hAnsi="Palatino Linotype" w:cs="Times New Roman"/>
          <w:b/>
          <w:color w:val="000000" w:themeColor="text1"/>
        </w:rPr>
      </w:pPr>
      <w:r w:rsidRPr="00135C14">
        <w:rPr>
          <w:rFonts w:ascii="Palatino Linotype" w:eastAsia="Times New Roman" w:hAnsi="Palatino Linotype" w:cs="Times New Roman"/>
          <w:b/>
          <w:color w:val="000000" w:themeColor="text1"/>
        </w:rPr>
        <w:t>VISTO</w:t>
      </w:r>
      <w:r w:rsidRPr="00135C14">
        <w:rPr>
          <w:rFonts w:ascii="Palatino Linotype" w:eastAsia="Times New Roman" w:hAnsi="Palatino Linotype" w:cs="Times New Roman"/>
          <w:color w:val="000000" w:themeColor="text1"/>
        </w:rPr>
        <w:t xml:space="preserve"> </w:t>
      </w:r>
      <w:r w:rsidR="00883F62" w:rsidRPr="00135C14">
        <w:rPr>
          <w:rFonts w:ascii="Palatino Linotype" w:hAnsi="Palatino Linotype"/>
        </w:rPr>
        <w:t>el</w:t>
      </w:r>
      <w:r w:rsidR="00F91466" w:rsidRPr="00135C14">
        <w:rPr>
          <w:rFonts w:ascii="Palatino Linotype" w:eastAsia="Times New Roman" w:hAnsi="Palatino Linotype" w:cs="Times New Roman"/>
          <w:color w:val="000000" w:themeColor="text1"/>
        </w:rPr>
        <w:t xml:space="preserve"> expediente electrónico formado con motivo del recurso de revisión número </w:t>
      </w:r>
      <w:r w:rsidR="00142B9F" w:rsidRPr="00135C14">
        <w:rPr>
          <w:rFonts w:ascii="Palatino Linotype" w:hAnsi="Palatino Linotype" w:cs="Arial"/>
          <w:b/>
          <w:bCs/>
          <w:color w:val="000000" w:themeColor="text1"/>
          <w:lang w:eastAsia="es-MX"/>
        </w:rPr>
        <w:t>1</w:t>
      </w:r>
      <w:r w:rsidR="00071F28" w:rsidRPr="00135C14">
        <w:rPr>
          <w:rFonts w:ascii="Palatino Linotype" w:hAnsi="Palatino Linotype" w:cs="Arial"/>
          <w:b/>
          <w:bCs/>
          <w:color w:val="000000" w:themeColor="text1"/>
          <w:lang w:eastAsia="es-MX"/>
        </w:rPr>
        <w:t>7</w:t>
      </w:r>
      <w:r w:rsidR="00941923" w:rsidRPr="00135C14">
        <w:rPr>
          <w:rFonts w:ascii="Palatino Linotype" w:hAnsi="Palatino Linotype" w:cs="Arial"/>
          <w:b/>
          <w:bCs/>
          <w:color w:val="000000" w:themeColor="text1"/>
          <w:lang w:eastAsia="es-MX"/>
        </w:rPr>
        <w:t>228</w:t>
      </w:r>
      <w:r w:rsidR="00F91466" w:rsidRPr="00135C14">
        <w:rPr>
          <w:rFonts w:ascii="Palatino Linotype" w:hAnsi="Palatino Linotype" w:cs="Arial"/>
          <w:b/>
          <w:bCs/>
          <w:color w:val="000000" w:themeColor="text1"/>
          <w:lang w:eastAsia="es-MX"/>
        </w:rPr>
        <w:t>/INFOEM/IP/RR/2022</w:t>
      </w:r>
      <w:r w:rsidR="00F91466" w:rsidRPr="00135C14">
        <w:rPr>
          <w:rFonts w:ascii="Palatino Linotype" w:eastAsia="Times New Roman" w:hAnsi="Palatino Linotype" w:cs="Arial"/>
          <w:bCs/>
          <w:color w:val="000000" w:themeColor="text1"/>
        </w:rPr>
        <w:t xml:space="preserve">, </w:t>
      </w:r>
      <w:r w:rsidR="00F91466" w:rsidRPr="00135C14">
        <w:rPr>
          <w:rFonts w:ascii="Palatino Linotype" w:eastAsia="Times New Roman" w:hAnsi="Palatino Linotype" w:cs="Times New Roman"/>
          <w:color w:val="000000" w:themeColor="text1"/>
        </w:rPr>
        <w:t xml:space="preserve">promovido por </w:t>
      </w:r>
      <w:r w:rsidR="00365130" w:rsidRPr="00135C14">
        <w:rPr>
          <w:rFonts w:ascii="Palatino Linotype" w:eastAsia="Times New Roman" w:hAnsi="Palatino Linotype" w:cs="Times New Roman"/>
          <w:color w:val="000000" w:themeColor="text1"/>
        </w:rPr>
        <w:t>un</w:t>
      </w:r>
      <w:r w:rsidR="00365130" w:rsidRPr="00135C14">
        <w:rPr>
          <w:rFonts w:ascii="Palatino Linotype" w:eastAsia="Times New Roman" w:hAnsi="Palatino Linotype" w:cs="Times New Roman"/>
          <w:b/>
          <w:bCs/>
          <w:color w:val="000000" w:themeColor="text1"/>
        </w:rPr>
        <w:t xml:space="preserve"> </w:t>
      </w:r>
      <w:r w:rsidR="00F91466" w:rsidRPr="00135C14">
        <w:rPr>
          <w:rFonts w:ascii="Palatino Linotype" w:hAnsi="Palatino Linotype"/>
          <w:b/>
        </w:rPr>
        <w:t>Recurrente</w:t>
      </w:r>
      <w:r w:rsidR="00365130" w:rsidRPr="00135C14">
        <w:rPr>
          <w:rFonts w:ascii="Palatino Linotype" w:hAnsi="Palatino Linotype"/>
          <w:b/>
        </w:rPr>
        <w:t xml:space="preserve"> o Particular</w:t>
      </w:r>
      <w:r w:rsidR="00F91466" w:rsidRPr="00135C14">
        <w:rPr>
          <w:rFonts w:ascii="Palatino Linotype" w:eastAsia="Times New Roman" w:hAnsi="Palatino Linotype" w:cs="Arial"/>
          <w:color w:val="000000" w:themeColor="text1"/>
        </w:rPr>
        <w:t>, en contra de la</w:t>
      </w:r>
      <w:r w:rsidR="00941923" w:rsidRPr="00135C14">
        <w:rPr>
          <w:rFonts w:ascii="Palatino Linotype" w:eastAsia="Times New Roman" w:hAnsi="Palatino Linotype" w:cs="Arial"/>
          <w:color w:val="000000" w:themeColor="text1"/>
        </w:rPr>
        <w:t xml:space="preserve"> falta de</w:t>
      </w:r>
      <w:r w:rsidR="00F91466" w:rsidRPr="00135C14">
        <w:rPr>
          <w:rFonts w:ascii="Palatino Linotype" w:eastAsia="Times New Roman" w:hAnsi="Palatino Linotype" w:cs="Arial"/>
          <w:color w:val="000000" w:themeColor="text1"/>
        </w:rPr>
        <w:t xml:space="preserve"> respuesta </w:t>
      </w:r>
      <w:r w:rsidR="00142B9F" w:rsidRPr="00135C14">
        <w:rPr>
          <w:rFonts w:ascii="Palatino Linotype" w:eastAsia="Times New Roman" w:hAnsi="Palatino Linotype" w:cs="Arial"/>
          <w:b/>
          <w:bCs/>
          <w:color w:val="000000" w:themeColor="text1"/>
        </w:rPr>
        <w:t xml:space="preserve">del </w:t>
      </w:r>
      <w:r w:rsidR="00071F28" w:rsidRPr="00135C14">
        <w:rPr>
          <w:rFonts w:ascii="Palatino Linotype" w:eastAsia="Times New Roman" w:hAnsi="Palatino Linotype"/>
          <w:b/>
        </w:rPr>
        <w:t xml:space="preserve">Ayuntamiento de </w:t>
      </w:r>
      <w:r w:rsidR="00941923" w:rsidRPr="00135C14">
        <w:rPr>
          <w:rFonts w:ascii="Palatino Linotype" w:eastAsia="Times New Roman" w:hAnsi="Palatino Linotype"/>
          <w:b/>
        </w:rPr>
        <w:t>Zinacantepec</w:t>
      </w:r>
      <w:r w:rsidR="00F91466" w:rsidRPr="00135C14">
        <w:rPr>
          <w:rFonts w:ascii="Palatino Linotype" w:eastAsia="Calibri" w:hAnsi="Palatino Linotype" w:cs="Arial"/>
          <w:color w:val="000000" w:themeColor="text1"/>
          <w:lang w:val="es-ES"/>
        </w:rPr>
        <w:t xml:space="preserve">, </w:t>
      </w:r>
      <w:r w:rsidR="00F91466" w:rsidRPr="00135C14">
        <w:rPr>
          <w:rFonts w:ascii="Palatino Linotype" w:eastAsia="Times New Roman" w:hAnsi="Palatino Linotype" w:cs="Times New Roman"/>
          <w:color w:val="000000" w:themeColor="text1"/>
        </w:rPr>
        <w:t>en lo sucesivo el</w:t>
      </w:r>
      <w:r w:rsidR="00F91466" w:rsidRPr="00135C14">
        <w:rPr>
          <w:rFonts w:ascii="Palatino Linotype" w:eastAsia="Times New Roman" w:hAnsi="Palatino Linotype" w:cs="Times New Roman"/>
          <w:b/>
          <w:color w:val="000000" w:themeColor="text1"/>
        </w:rPr>
        <w:t xml:space="preserve"> SUJETO OBLIGADO, </w:t>
      </w:r>
      <w:r w:rsidR="00F91466" w:rsidRPr="00135C14">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135C14" w:rsidRDefault="00933948" w:rsidP="00C1682A">
      <w:pPr>
        <w:tabs>
          <w:tab w:val="left" w:pos="0"/>
        </w:tabs>
        <w:spacing w:line="360" w:lineRule="auto"/>
        <w:jc w:val="both"/>
        <w:rPr>
          <w:rFonts w:ascii="Palatino Linotype" w:hAnsi="Palatino Linotype"/>
        </w:rPr>
      </w:pPr>
    </w:p>
    <w:p w14:paraId="340A3EE1" w14:textId="77777777" w:rsidR="008A5A73" w:rsidRPr="00135C14"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135C14">
        <w:rPr>
          <w:rFonts w:ascii="Palatino Linotype" w:hAnsi="Palatino Linotype"/>
          <w:b/>
          <w:color w:val="000000" w:themeColor="text1"/>
          <w:sz w:val="24"/>
        </w:rPr>
        <w:t>ANTECEDENTES</w:t>
      </w:r>
      <w:bookmarkEnd w:id="0"/>
      <w:bookmarkEnd w:id="1"/>
      <w:bookmarkEnd w:id="2"/>
      <w:bookmarkEnd w:id="3"/>
    </w:p>
    <w:p w14:paraId="081B0E4A" w14:textId="77777777" w:rsidR="00C1682A" w:rsidRPr="00135C14" w:rsidRDefault="00C1682A" w:rsidP="00C1682A">
      <w:pPr>
        <w:rPr>
          <w:lang w:eastAsia="en-US"/>
        </w:rPr>
      </w:pPr>
    </w:p>
    <w:p w14:paraId="10FFEA7A" w14:textId="364615D5" w:rsidR="00F91466" w:rsidRPr="00135C14"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El </w:t>
      </w:r>
      <w:r w:rsidR="00941923" w:rsidRPr="00135C14">
        <w:rPr>
          <w:rFonts w:ascii="Palatino Linotype" w:eastAsia="Calibri" w:hAnsi="Palatino Linotype" w:cs="Arial"/>
          <w:bCs/>
          <w:color w:val="000000" w:themeColor="text1"/>
          <w:lang w:val="es-ES"/>
        </w:rPr>
        <w:t>nueve</w:t>
      </w:r>
      <w:r w:rsidR="00F91466" w:rsidRPr="00135C14">
        <w:rPr>
          <w:rFonts w:ascii="Palatino Linotype" w:eastAsia="Calibri" w:hAnsi="Palatino Linotype" w:cs="Arial"/>
          <w:bCs/>
          <w:color w:val="000000" w:themeColor="text1"/>
          <w:lang w:val="es-ES"/>
        </w:rPr>
        <w:t xml:space="preserve"> (</w:t>
      </w:r>
      <w:r w:rsidR="00941923" w:rsidRPr="00135C14">
        <w:rPr>
          <w:rFonts w:ascii="Palatino Linotype" w:eastAsia="Calibri" w:hAnsi="Palatino Linotype" w:cs="Arial"/>
          <w:bCs/>
          <w:color w:val="000000" w:themeColor="text1"/>
          <w:lang w:val="es-ES"/>
        </w:rPr>
        <w:t>09</w:t>
      </w:r>
      <w:r w:rsidR="00F91466" w:rsidRPr="00135C14">
        <w:rPr>
          <w:rFonts w:ascii="Palatino Linotype" w:eastAsia="Calibri" w:hAnsi="Palatino Linotype" w:cs="Arial"/>
          <w:bCs/>
          <w:color w:val="000000" w:themeColor="text1"/>
          <w:lang w:val="es-ES"/>
        </w:rPr>
        <w:t xml:space="preserve">) de </w:t>
      </w:r>
      <w:r w:rsidR="00071F28" w:rsidRPr="00135C14">
        <w:rPr>
          <w:rFonts w:ascii="Palatino Linotype" w:eastAsia="Calibri" w:hAnsi="Palatino Linotype" w:cs="Arial"/>
          <w:bCs/>
          <w:color w:val="000000" w:themeColor="text1"/>
          <w:lang w:val="es-ES"/>
        </w:rPr>
        <w:t>noviembre</w:t>
      </w:r>
      <w:r w:rsidR="00F91466" w:rsidRPr="00135C14">
        <w:rPr>
          <w:rFonts w:ascii="Palatino Linotype" w:eastAsia="Calibri" w:hAnsi="Palatino Linotype" w:cs="Arial"/>
          <w:bCs/>
          <w:color w:val="000000" w:themeColor="text1"/>
          <w:lang w:val="es-ES"/>
        </w:rPr>
        <w:t xml:space="preserve"> de dos </w:t>
      </w:r>
      <w:r w:rsidR="00F91466" w:rsidRPr="00135C14">
        <w:rPr>
          <w:rFonts w:ascii="Palatino Linotype" w:eastAsia="Calibri" w:hAnsi="Palatino Linotype" w:cs="Arial"/>
          <w:color w:val="000000" w:themeColor="text1"/>
          <w:lang w:val="es-ES"/>
        </w:rPr>
        <w:t>mil veinti</w:t>
      </w:r>
      <w:r w:rsidR="00075009" w:rsidRPr="00135C14">
        <w:rPr>
          <w:rFonts w:ascii="Palatino Linotype" w:eastAsia="Calibri" w:hAnsi="Palatino Linotype" w:cs="Arial"/>
          <w:color w:val="000000" w:themeColor="text1"/>
          <w:lang w:val="es-ES"/>
        </w:rPr>
        <w:t>dós</w:t>
      </w:r>
      <w:r w:rsidR="00F91466" w:rsidRPr="00135C14">
        <w:rPr>
          <w:rFonts w:ascii="Palatino Linotype" w:eastAsia="Calibri" w:hAnsi="Palatino Linotype" w:cs="Arial"/>
          <w:color w:val="000000" w:themeColor="text1"/>
          <w:lang w:val="es-ES"/>
        </w:rPr>
        <w:t>,</w:t>
      </w:r>
      <w:r w:rsidR="00F91466" w:rsidRPr="00135C14">
        <w:rPr>
          <w:rFonts w:ascii="Palatino Linotype" w:eastAsia="Calibri" w:hAnsi="Palatino Linotype" w:cs="Times New Roman"/>
          <w:color w:val="000000" w:themeColor="text1"/>
          <w:lang w:val="es-ES"/>
        </w:rPr>
        <w:t xml:space="preserve"> </w:t>
      </w:r>
      <w:r w:rsidR="00F91466" w:rsidRPr="00135C14">
        <w:rPr>
          <w:rFonts w:ascii="Palatino Linotype" w:eastAsia="Calibri" w:hAnsi="Palatino Linotype" w:cs="Arial"/>
          <w:color w:val="000000" w:themeColor="text1"/>
          <w:lang w:val="es-ES"/>
        </w:rPr>
        <w:t>se</w:t>
      </w:r>
      <w:r w:rsidR="00F91466" w:rsidRPr="00135C14">
        <w:rPr>
          <w:rFonts w:ascii="Palatino Linotype" w:eastAsia="Calibri" w:hAnsi="Palatino Linotype" w:cs="Arial"/>
          <w:b/>
          <w:color w:val="000000" w:themeColor="text1"/>
          <w:lang w:val="es-ES"/>
        </w:rPr>
        <w:t xml:space="preserve"> </w:t>
      </w:r>
      <w:r w:rsidR="00F91466" w:rsidRPr="00135C14">
        <w:rPr>
          <w:rFonts w:ascii="Palatino Linotype" w:hAnsi="Palatino Linotype"/>
          <w:color w:val="000000" w:themeColor="text1"/>
        </w:rPr>
        <w:t>presentaron</w:t>
      </w:r>
      <w:r w:rsidR="00F91466" w:rsidRPr="00135C14">
        <w:rPr>
          <w:rFonts w:ascii="Palatino Linotype" w:hAnsi="Palatino Linotype"/>
          <w:b/>
          <w:color w:val="000000" w:themeColor="text1"/>
        </w:rPr>
        <w:t xml:space="preserve"> </w:t>
      </w:r>
      <w:r w:rsidR="00F91466" w:rsidRPr="00135C14">
        <w:rPr>
          <w:rFonts w:ascii="Palatino Linotype" w:eastAsia="Calibri" w:hAnsi="Palatino Linotype" w:cs="Arial"/>
          <w:color w:val="000000" w:themeColor="text1"/>
        </w:rPr>
        <w:t xml:space="preserve">vía Sistema de Acceso a la Información Mexiquense </w:t>
      </w:r>
      <w:r w:rsidR="00F91466" w:rsidRPr="00135C14">
        <w:rPr>
          <w:rFonts w:ascii="Palatino Linotype" w:eastAsia="Calibri" w:hAnsi="Palatino Linotype" w:cs="Arial"/>
          <w:b/>
          <w:color w:val="000000" w:themeColor="text1"/>
        </w:rPr>
        <w:t>(SAIMEX)</w:t>
      </w:r>
      <w:r w:rsidR="00F91466" w:rsidRPr="00135C14">
        <w:rPr>
          <w:rFonts w:ascii="Palatino Linotype" w:eastAsia="Calibri" w:hAnsi="Palatino Linotype" w:cs="Arial"/>
          <w:b/>
          <w:color w:val="000000" w:themeColor="text1"/>
          <w:lang w:val="es-ES"/>
        </w:rPr>
        <w:t>,</w:t>
      </w:r>
      <w:r w:rsidR="00F91466" w:rsidRPr="00135C14">
        <w:rPr>
          <w:rFonts w:ascii="Palatino Linotype" w:eastAsia="Calibri" w:hAnsi="Palatino Linotype" w:cs="Arial"/>
          <w:color w:val="000000" w:themeColor="text1"/>
          <w:lang w:val="es-ES"/>
        </w:rPr>
        <w:t xml:space="preserve"> la solicitud de información pública registrada con el número </w:t>
      </w:r>
      <w:r w:rsidR="00F91466" w:rsidRPr="00135C14">
        <w:rPr>
          <w:rFonts w:ascii="Palatino Linotype" w:hAnsi="Palatino Linotype"/>
          <w:b/>
        </w:rPr>
        <w:t>0</w:t>
      </w:r>
      <w:r w:rsidR="00941923" w:rsidRPr="00135C14">
        <w:rPr>
          <w:rFonts w:ascii="Palatino Linotype" w:hAnsi="Palatino Linotype"/>
          <w:b/>
        </w:rPr>
        <w:t>1207</w:t>
      </w:r>
      <w:r w:rsidR="00F91466" w:rsidRPr="00135C14">
        <w:rPr>
          <w:rFonts w:ascii="Palatino Linotype" w:hAnsi="Palatino Linotype"/>
          <w:b/>
        </w:rPr>
        <w:t>/</w:t>
      </w:r>
      <w:r w:rsidR="00941923" w:rsidRPr="00135C14">
        <w:rPr>
          <w:rFonts w:ascii="Palatino Linotype" w:hAnsi="Palatino Linotype"/>
          <w:b/>
        </w:rPr>
        <w:t>ZINACANT</w:t>
      </w:r>
      <w:r w:rsidR="00071F28" w:rsidRPr="00135C14">
        <w:rPr>
          <w:rFonts w:ascii="Palatino Linotype" w:hAnsi="Palatino Linotype"/>
          <w:b/>
        </w:rPr>
        <w:t>/</w:t>
      </w:r>
      <w:r w:rsidR="00F91466" w:rsidRPr="00135C14">
        <w:rPr>
          <w:rFonts w:ascii="Palatino Linotype" w:hAnsi="Palatino Linotype"/>
          <w:b/>
        </w:rPr>
        <w:t>IP/2022</w:t>
      </w:r>
      <w:r w:rsidR="00F91466" w:rsidRPr="00135C14">
        <w:rPr>
          <w:rFonts w:ascii="Palatino Linotype" w:hAnsi="Palatino Linotype"/>
          <w:b/>
          <w:bCs/>
          <w:color w:val="000000" w:themeColor="text1"/>
        </w:rPr>
        <w:t>,</w:t>
      </w:r>
      <w:r w:rsidR="00F91466" w:rsidRPr="00135C14">
        <w:rPr>
          <w:rFonts w:ascii="Palatino Linotype" w:eastAsia="Calibri" w:hAnsi="Palatino Linotype" w:cs="Arial"/>
          <w:color w:val="000000" w:themeColor="text1"/>
          <w:lang w:val="es-ES"/>
        </w:rPr>
        <w:t xml:space="preserve"> mediante la cual se requirió lo siguiente:</w:t>
      </w:r>
    </w:p>
    <w:p w14:paraId="44D309A2" w14:textId="77777777" w:rsidR="00F91466" w:rsidRPr="00135C14"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3A55B735" w:rsidR="00F91466" w:rsidRPr="00135C14" w:rsidRDefault="00F91466" w:rsidP="00071F28">
      <w:pPr>
        <w:ind w:left="567" w:right="565"/>
        <w:jc w:val="both"/>
        <w:rPr>
          <w:rFonts w:ascii="Palatino Linotype" w:eastAsia="Times New Roman" w:hAnsi="Palatino Linotype" w:cs="Times New Roman"/>
          <w:i/>
          <w:iCs/>
          <w:sz w:val="22"/>
          <w:szCs w:val="22"/>
          <w:lang w:val="es-MX" w:eastAsia="es-MX"/>
        </w:rPr>
      </w:pPr>
      <w:r w:rsidRPr="00135C14">
        <w:rPr>
          <w:rFonts w:ascii="Palatino Linotype" w:hAnsi="Palatino Linotype"/>
          <w:i/>
          <w:iCs/>
          <w:color w:val="000000"/>
          <w:sz w:val="22"/>
          <w:szCs w:val="22"/>
        </w:rPr>
        <w:t>“</w:t>
      </w:r>
      <w:r w:rsidR="00941923" w:rsidRPr="00135C14">
        <w:rPr>
          <w:rFonts w:ascii="Palatino Linotype" w:hAnsi="Palatino Linotype"/>
          <w:i/>
          <w:iCs/>
          <w:color w:val="000000"/>
          <w:sz w:val="22"/>
          <w:szCs w:val="22"/>
        </w:rPr>
        <w:t>SOLICITO TODOS LOS CONTRATOS DE APERTURA DE CUENTAS BANCARIAS DURANTE 2022</w:t>
      </w:r>
      <w:r w:rsidRPr="00135C14">
        <w:rPr>
          <w:rFonts w:ascii="Palatino Linotype" w:hAnsi="Palatino Linotype"/>
          <w:i/>
          <w:iCs/>
          <w:sz w:val="22"/>
          <w:szCs w:val="22"/>
        </w:rPr>
        <w:t>” (Sic)</w:t>
      </w:r>
    </w:p>
    <w:p w14:paraId="0B86C8C6" w14:textId="77777777" w:rsidR="00883F62" w:rsidRPr="00135C14"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4CD110B2" w14:textId="23C0FACB" w:rsidR="00B80DDA" w:rsidRPr="00135C14"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Se </w:t>
      </w:r>
      <w:r w:rsidR="00F91466" w:rsidRPr="00135C14">
        <w:rPr>
          <w:rFonts w:ascii="Palatino Linotype" w:eastAsia="Times New Roman" w:hAnsi="Palatino Linotype" w:cs="Arial"/>
          <w:lang w:val="es-ES"/>
        </w:rPr>
        <w:t>señaló como modalidad de entrega de la información:</w:t>
      </w:r>
      <w:r w:rsidR="00142B9F" w:rsidRPr="00135C14">
        <w:rPr>
          <w:rFonts w:ascii="Palatino Linotype" w:eastAsia="Times New Roman" w:hAnsi="Palatino Linotype" w:cs="Arial"/>
          <w:lang w:val="es-ES"/>
        </w:rPr>
        <w:t xml:space="preserve"> </w:t>
      </w:r>
      <w:r w:rsidR="00142B9F" w:rsidRPr="00135C14">
        <w:rPr>
          <w:rFonts w:ascii="Palatino Linotype" w:eastAsia="Times New Roman" w:hAnsi="Palatino Linotype" w:cs="Arial"/>
          <w:b/>
          <w:bCs/>
          <w:lang w:val="es-ES"/>
        </w:rPr>
        <w:t>A través de SAIEMEX.</w:t>
      </w:r>
    </w:p>
    <w:p w14:paraId="25C64BB9" w14:textId="77777777" w:rsidR="00142B9F" w:rsidRPr="00135C14" w:rsidRDefault="00142B9F"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F6362C" w14:textId="24876C78" w:rsidR="00071F28" w:rsidRPr="00135C14"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lastRenderedPageBreak/>
        <w:t>El diecis</w:t>
      </w:r>
      <w:r w:rsidR="00941923" w:rsidRPr="00135C14">
        <w:rPr>
          <w:rFonts w:ascii="Palatino Linotype" w:eastAsia="Calibri" w:hAnsi="Palatino Linotype" w:cs="Arial"/>
          <w:color w:val="000000" w:themeColor="text1"/>
          <w:lang w:val="es-ES"/>
        </w:rPr>
        <w:t>éis</w:t>
      </w:r>
      <w:r w:rsidRPr="00135C14">
        <w:rPr>
          <w:rFonts w:ascii="Palatino Linotype" w:eastAsia="Calibri" w:hAnsi="Palatino Linotype" w:cs="Arial"/>
          <w:color w:val="000000" w:themeColor="text1"/>
          <w:lang w:val="es-ES"/>
        </w:rPr>
        <w:t xml:space="preserve"> (1</w:t>
      </w:r>
      <w:r w:rsidR="00941923" w:rsidRPr="00135C14">
        <w:rPr>
          <w:rFonts w:ascii="Palatino Linotype" w:eastAsia="Calibri" w:hAnsi="Palatino Linotype" w:cs="Arial"/>
          <w:color w:val="000000" w:themeColor="text1"/>
          <w:lang w:val="es-ES"/>
        </w:rPr>
        <w:t>6</w:t>
      </w:r>
      <w:r w:rsidRPr="00135C14">
        <w:rPr>
          <w:rFonts w:ascii="Palatino Linotype" w:eastAsia="Calibri" w:hAnsi="Palatino Linotype" w:cs="Arial"/>
          <w:color w:val="000000" w:themeColor="text1"/>
          <w:lang w:val="es-ES"/>
        </w:rPr>
        <w:t xml:space="preserve">) de noviembre de dos mil veintitrés, el </w:t>
      </w:r>
      <w:r w:rsidRPr="00135C14">
        <w:rPr>
          <w:rFonts w:ascii="Palatino Linotype" w:eastAsia="Calibri" w:hAnsi="Palatino Linotype" w:cs="Arial"/>
          <w:b/>
          <w:color w:val="000000" w:themeColor="text1"/>
          <w:lang w:val="es-ES"/>
        </w:rPr>
        <w:t>SUJETO OBLIGADO</w:t>
      </w:r>
      <w:r w:rsidRPr="00135C14">
        <w:rPr>
          <w:rFonts w:ascii="Palatino Linotype" w:eastAsia="Calibri" w:hAnsi="Palatino Linotype" w:cs="Arial"/>
          <w:color w:val="000000" w:themeColor="text1"/>
          <w:lang w:val="es-ES"/>
        </w:rPr>
        <w:t xml:space="preserve"> realizó un requerimiento de aclaración de la información solicitada, en los siguientes términos:</w:t>
      </w:r>
    </w:p>
    <w:p w14:paraId="6EBA5536" w14:textId="77777777" w:rsidR="00071F28" w:rsidRPr="00135C14" w:rsidRDefault="00071F28" w:rsidP="00071F28">
      <w:pPr>
        <w:pStyle w:val="Prrafodelista"/>
        <w:ind w:left="567" w:right="565"/>
        <w:jc w:val="both"/>
        <w:rPr>
          <w:rFonts w:ascii="Palatino Linotype" w:eastAsia="Calibri" w:hAnsi="Palatino Linotype" w:cs="Arial"/>
          <w:i/>
          <w:color w:val="000000" w:themeColor="text1"/>
          <w:sz w:val="22"/>
          <w:szCs w:val="22"/>
          <w:lang w:val="es-ES"/>
        </w:rPr>
      </w:pPr>
    </w:p>
    <w:p w14:paraId="2CE1D522" w14:textId="4B01C7AE" w:rsidR="00071F28" w:rsidRPr="00135C14" w:rsidRDefault="00071F28" w:rsidP="00941923">
      <w:pPr>
        <w:pStyle w:val="Prrafodelista"/>
        <w:tabs>
          <w:tab w:val="left" w:pos="426"/>
          <w:tab w:val="left" w:pos="567"/>
        </w:tabs>
        <w:ind w:left="567" w:right="565"/>
        <w:jc w:val="both"/>
        <w:rPr>
          <w:rFonts w:ascii="Palatino Linotype" w:hAnsi="Palatino Linotype"/>
          <w:i/>
          <w:color w:val="000000"/>
          <w:sz w:val="22"/>
          <w:szCs w:val="22"/>
        </w:rPr>
      </w:pPr>
      <w:r w:rsidRPr="00135C14">
        <w:rPr>
          <w:rFonts w:ascii="Palatino Linotype" w:eastAsia="Calibri" w:hAnsi="Palatino Linotype" w:cs="Arial"/>
          <w:i/>
          <w:color w:val="000000" w:themeColor="text1"/>
          <w:sz w:val="22"/>
          <w:szCs w:val="22"/>
          <w:lang w:val="es-ES"/>
        </w:rPr>
        <w:t xml:space="preserve">“…Con </w:t>
      </w:r>
      <w:r w:rsidRPr="00135C14">
        <w:rPr>
          <w:rFonts w:ascii="Palatino Linotype" w:hAnsi="Palatino Linotype"/>
          <w:i/>
          <w:color w:val="000000"/>
          <w:sz w:val="22"/>
          <w:szCs w:val="22"/>
        </w:rPr>
        <w:t xml:space="preserve">fundamento en el </w:t>
      </w:r>
      <w:r w:rsidR="00941923" w:rsidRPr="00135C14">
        <w:rPr>
          <w:rFonts w:ascii="Palatino Linotype" w:hAnsi="Palatino Linotype"/>
          <w:i/>
          <w:color w:val="000000"/>
          <w:sz w:val="22"/>
          <w:szCs w:val="22"/>
        </w:rPr>
        <w:t>artículo</w:t>
      </w:r>
      <w:r w:rsidRPr="00135C14">
        <w:rPr>
          <w:rFonts w:ascii="Palatino Linotype" w:hAnsi="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14:paraId="516AD4C5" w14:textId="77777777" w:rsidR="00071F28" w:rsidRPr="00135C14" w:rsidRDefault="00071F28" w:rsidP="00941923">
      <w:pPr>
        <w:pStyle w:val="Prrafodelista"/>
        <w:tabs>
          <w:tab w:val="left" w:pos="426"/>
          <w:tab w:val="left" w:pos="567"/>
        </w:tabs>
        <w:ind w:left="567" w:right="565"/>
        <w:jc w:val="both"/>
        <w:rPr>
          <w:rFonts w:ascii="Palatino Linotype" w:hAnsi="Palatino Linotype"/>
          <w:i/>
          <w:color w:val="000000"/>
          <w:sz w:val="22"/>
          <w:szCs w:val="22"/>
        </w:rPr>
      </w:pPr>
    </w:p>
    <w:p w14:paraId="33FE1F3C" w14:textId="07C6A45B" w:rsidR="00071F28" w:rsidRPr="00135C14" w:rsidRDefault="00941923" w:rsidP="00941923">
      <w:pPr>
        <w:pStyle w:val="Prrafodelista"/>
        <w:tabs>
          <w:tab w:val="left" w:pos="426"/>
          <w:tab w:val="left" w:pos="567"/>
        </w:tabs>
        <w:ind w:left="567" w:right="565"/>
        <w:jc w:val="both"/>
        <w:rPr>
          <w:rFonts w:ascii="Palatino Linotype" w:hAnsi="Palatino Linotype"/>
          <w:i/>
          <w:color w:val="000000"/>
          <w:sz w:val="22"/>
          <w:szCs w:val="22"/>
        </w:rPr>
      </w:pPr>
      <w:r w:rsidRPr="00135C14">
        <w:rPr>
          <w:rFonts w:ascii="Palatino Linotype" w:hAnsi="Palatino Linotype"/>
          <w:i/>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A717937" w14:textId="77777777" w:rsidR="00071F28" w:rsidRPr="00135C14" w:rsidRDefault="00071F28" w:rsidP="00941923">
      <w:pPr>
        <w:pStyle w:val="Prrafodelista"/>
        <w:tabs>
          <w:tab w:val="left" w:pos="426"/>
          <w:tab w:val="left" w:pos="567"/>
        </w:tabs>
        <w:ind w:left="567" w:right="565"/>
        <w:jc w:val="both"/>
        <w:rPr>
          <w:rFonts w:ascii="Palatino Linotype" w:hAnsi="Palatino Linotype"/>
          <w:i/>
          <w:color w:val="000000"/>
          <w:sz w:val="22"/>
          <w:szCs w:val="22"/>
        </w:rPr>
      </w:pPr>
    </w:p>
    <w:p w14:paraId="2B410818" w14:textId="49A2B4BE" w:rsidR="00071F28" w:rsidRPr="00135C14" w:rsidRDefault="00071F28" w:rsidP="00941923">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135C14">
        <w:rPr>
          <w:rFonts w:ascii="Palatino Linotype" w:hAnsi="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0D891E83" w14:textId="77777777" w:rsidR="00071F28" w:rsidRPr="00135C14" w:rsidRDefault="00071F28" w:rsidP="00071F28">
      <w:pPr>
        <w:pStyle w:val="Prrafodelista"/>
        <w:rPr>
          <w:rFonts w:ascii="Palatino Linotype" w:eastAsia="Calibri" w:hAnsi="Palatino Linotype" w:cs="Arial"/>
          <w:color w:val="000000" w:themeColor="text1"/>
          <w:lang w:val="es-AR"/>
        </w:rPr>
      </w:pPr>
    </w:p>
    <w:p w14:paraId="3E43D8D2" w14:textId="771678A2" w:rsidR="00071F28" w:rsidRPr="00135C14"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El </w:t>
      </w:r>
      <w:r w:rsidR="00941923" w:rsidRPr="00135C14">
        <w:rPr>
          <w:rFonts w:ascii="Palatino Linotype" w:eastAsia="Calibri" w:hAnsi="Palatino Linotype" w:cs="Arial"/>
          <w:color w:val="000000" w:themeColor="text1"/>
          <w:lang w:val="es-ES"/>
        </w:rPr>
        <w:t>dieciséis</w:t>
      </w:r>
      <w:r w:rsidRPr="00135C14">
        <w:rPr>
          <w:rFonts w:ascii="Palatino Linotype" w:eastAsia="Calibri" w:hAnsi="Palatino Linotype" w:cs="Arial"/>
          <w:color w:val="000000" w:themeColor="text1"/>
          <w:lang w:val="es-ES"/>
        </w:rPr>
        <w:t xml:space="preserve"> (1</w:t>
      </w:r>
      <w:r w:rsidR="00941923" w:rsidRPr="00135C14">
        <w:rPr>
          <w:rFonts w:ascii="Palatino Linotype" w:eastAsia="Calibri" w:hAnsi="Palatino Linotype" w:cs="Arial"/>
          <w:color w:val="000000" w:themeColor="text1"/>
          <w:lang w:val="es-ES"/>
        </w:rPr>
        <w:t>6</w:t>
      </w:r>
      <w:r w:rsidRPr="00135C14">
        <w:rPr>
          <w:rFonts w:ascii="Palatino Linotype" w:eastAsia="Calibri" w:hAnsi="Palatino Linotype" w:cs="Arial"/>
          <w:color w:val="000000" w:themeColor="text1"/>
          <w:lang w:val="es-ES"/>
        </w:rPr>
        <w:t>) de noviembre de dos mil veintidós, el Solicitante dio respuesta al requerimiento de aclaración, en los siguientes términos:</w:t>
      </w:r>
    </w:p>
    <w:p w14:paraId="6B77EA8D" w14:textId="77777777" w:rsidR="00071F28" w:rsidRPr="00135C14"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6E25BF" w14:textId="0BC8A38E" w:rsidR="00071F28" w:rsidRPr="00135C14" w:rsidRDefault="00071F28" w:rsidP="00071F28">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135C14">
        <w:rPr>
          <w:rFonts w:ascii="Palatino Linotype" w:eastAsia="Calibri" w:hAnsi="Palatino Linotype" w:cs="Arial"/>
          <w:i/>
          <w:color w:val="000000" w:themeColor="text1"/>
          <w:sz w:val="22"/>
          <w:szCs w:val="22"/>
          <w:lang w:val="es-ES"/>
        </w:rPr>
        <w:t>“</w:t>
      </w:r>
      <w:r w:rsidR="00941923" w:rsidRPr="00135C14">
        <w:rPr>
          <w:rFonts w:ascii="Palatino Linotype" w:eastAsia="Calibri" w:hAnsi="Palatino Linotype" w:cs="Arial"/>
          <w:i/>
          <w:color w:val="000000" w:themeColor="text1"/>
          <w:sz w:val="22"/>
          <w:szCs w:val="22"/>
          <w:lang w:val="es-ES"/>
        </w:rPr>
        <w:t>LA SOLICITUD ES MUY ESPECIFICA</w:t>
      </w:r>
      <w:r w:rsidRPr="00135C14">
        <w:rPr>
          <w:rFonts w:ascii="Palatino Linotype" w:hAnsi="Palatino Linotype"/>
          <w:i/>
          <w:color w:val="000000"/>
          <w:sz w:val="22"/>
          <w:szCs w:val="22"/>
        </w:rPr>
        <w:t>” (Sic)</w:t>
      </w:r>
    </w:p>
    <w:p w14:paraId="06AAFA6A" w14:textId="77777777" w:rsidR="00071F28" w:rsidRPr="00135C14"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B37689" w14:textId="2769E52B" w:rsidR="00071F28" w:rsidRPr="00135C14"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El </w:t>
      </w:r>
      <w:r w:rsidR="00941923" w:rsidRPr="00135C14">
        <w:rPr>
          <w:rFonts w:ascii="Palatino Linotype" w:eastAsia="Calibri" w:hAnsi="Palatino Linotype" w:cs="Arial"/>
          <w:color w:val="000000" w:themeColor="text1"/>
          <w:lang w:val="es-ES"/>
        </w:rPr>
        <w:t>dieciséis</w:t>
      </w:r>
      <w:r w:rsidRPr="00135C14">
        <w:rPr>
          <w:rFonts w:ascii="Palatino Linotype" w:eastAsia="Calibri" w:hAnsi="Palatino Linotype" w:cs="Arial"/>
          <w:color w:val="000000" w:themeColor="text1"/>
          <w:lang w:val="es-ES"/>
        </w:rPr>
        <w:t xml:space="preserve"> (</w:t>
      </w:r>
      <w:r w:rsidR="00941923" w:rsidRPr="00135C14">
        <w:rPr>
          <w:rFonts w:ascii="Palatino Linotype" w:eastAsia="Calibri" w:hAnsi="Palatino Linotype" w:cs="Arial"/>
          <w:color w:val="000000" w:themeColor="text1"/>
          <w:lang w:val="es-ES"/>
        </w:rPr>
        <w:t>16</w:t>
      </w:r>
      <w:r w:rsidRPr="00135C14">
        <w:rPr>
          <w:rFonts w:ascii="Palatino Linotype" w:eastAsia="Calibri" w:hAnsi="Palatino Linotype" w:cs="Arial"/>
          <w:color w:val="000000" w:themeColor="text1"/>
          <w:lang w:val="es-ES"/>
        </w:rPr>
        <w:t xml:space="preserve">) de noviembre de dos mil veintitrés, el </w:t>
      </w:r>
      <w:r w:rsidRPr="00135C14">
        <w:rPr>
          <w:rFonts w:ascii="Palatino Linotype" w:eastAsia="Calibri" w:hAnsi="Palatino Linotype" w:cs="Arial"/>
          <w:b/>
          <w:color w:val="000000" w:themeColor="text1"/>
          <w:lang w:val="es-ES"/>
        </w:rPr>
        <w:t>SUJETO OBLIGADO</w:t>
      </w:r>
      <w:r w:rsidRPr="00135C14">
        <w:rPr>
          <w:rFonts w:ascii="Palatino Linotype" w:eastAsia="Calibri" w:hAnsi="Palatino Linotype" w:cs="Arial"/>
          <w:color w:val="000000" w:themeColor="text1"/>
          <w:lang w:val="es-ES"/>
        </w:rPr>
        <w:t xml:space="preserve"> realizó un requerimiento de información a la Servidora Pública Habilitada.</w:t>
      </w:r>
    </w:p>
    <w:p w14:paraId="09B2F701" w14:textId="388A0B68" w:rsidR="00071F28" w:rsidRPr="00135C14" w:rsidRDefault="00941923"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135C14">
        <w:rPr>
          <w:rFonts w:ascii="Palatino Linotype" w:eastAsia="Calibri" w:hAnsi="Palatino Linotype" w:cs="Arial"/>
          <w:noProof/>
          <w:color w:val="000000" w:themeColor="text1"/>
          <w:lang w:val="es-MX" w:eastAsia="es-MX"/>
        </w:rPr>
        <w:lastRenderedPageBreak/>
        <w:drawing>
          <wp:inline distT="0" distB="0" distL="0" distR="0" wp14:anchorId="447223E9" wp14:editId="2CD9E4F3">
            <wp:extent cx="5579745" cy="487680"/>
            <wp:effectExtent l="12700" t="12700" r="825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5579745" cy="487680"/>
                    </a:xfrm>
                    <a:prstGeom prst="rect">
                      <a:avLst/>
                    </a:prstGeom>
                    <a:ln>
                      <a:solidFill>
                        <a:schemeClr val="tx1"/>
                      </a:solidFill>
                    </a:ln>
                  </pic:spPr>
                </pic:pic>
              </a:graphicData>
            </a:graphic>
          </wp:inline>
        </w:drawing>
      </w:r>
    </w:p>
    <w:p w14:paraId="31BA8554" w14:textId="77777777" w:rsidR="00071F28" w:rsidRPr="00135C14"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27C4E4" w14:textId="3945B2EF" w:rsidR="002656ED" w:rsidRPr="00135C14" w:rsidRDefault="00941923" w:rsidP="0094192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El </w:t>
      </w:r>
      <w:r w:rsidRPr="00135C14">
        <w:rPr>
          <w:rFonts w:ascii="Palatino Linotype" w:eastAsia="Calibri" w:hAnsi="Palatino Linotype" w:cs="Arial"/>
          <w:b/>
          <w:bCs/>
          <w:color w:val="000000" w:themeColor="text1"/>
          <w:lang w:val="es-ES"/>
        </w:rPr>
        <w:t>SUJETO OBLIGADO</w:t>
      </w:r>
      <w:r w:rsidRPr="00135C14">
        <w:rPr>
          <w:rFonts w:ascii="Palatino Linotype" w:eastAsia="Calibri" w:hAnsi="Palatino Linotype" w:cs="Arial"/>
          <w:color w:val="000000" w:themeColor="text1"/>
          <w:lang w:val="es-ES"/>
        </w:rPr>
        <w:t xml:space="preserve"> fue omiso en atender la solicitud de información.</w:t>
      </w:r>
    </w:p>
    <w:p w14:paraId="6C76ECBF" w14:textId="77777777" w:rsidR="00883F62" w:rsidRPr="00135C14" w:rsidRDefault="00883F62" w:rsidP="00D25EA5">
      <w:pPr>
        <w:spacing w:line="276" w:lineRule="auto"/>
        <w:ind w:right="565"/>
        <w:jc w:val="both"/>
        <w:rPr>
          <w:rFonts w:ascii="Palatino Linotype" w:eastAsia="Times New Roman" w:hAnsi="Palatino Linotype" w:cs="Times New Roman"/>
          <w:sz w:val="22"/>
          <w:szCs w:val="22"/>
          <w:lang w:val="es-MX" w:eastAsia="es-ES_tradnl"/>
        </w:rPr>
      </w:pPr>
    </w:p>
    <w:p w14:paraId="296545C9" w14:textId="0DF80FCC" w:rsidR="00D9301B" w:rsidRPr="00135C14"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135C14">
        <w:rPr>
          <w:rFonts w:ascii="Palatino Linotype" w:eastAsia="Times New Roman" w:hAnsi="Palatino Linotype" w:cs="Arial"/>
          <w:color w:val="000000" w:themeColor="text1"/>
          <w:lang w:val="es-ES"/>
        </w:rPr>
        <w:t>l</w:t>
      </w:r>
      <w:r w:rsidR="00941923" w:rsidRPr="00135C14">
        <w:rPr>
          <w:rFonts w:ascii="Palatino Linotype" w:eastAsia="Times New Roman" w:hAnsi="Palatino Linotype" w:cs="Arial"/>
          <w:color w:val="000000" w:themeColor="text1"/>
          <w:lang w:val="es-ES"/>
        </w:rPr>
        <w:t xml:space="preserve"> nueve</w:t>
      </w:r>
      <w:r w:rsidR="00F91466" w:rsidRPr="00135C14">
        <w:rPr>
          <w:rFonts w:ascii="Palatino Linotype" w:eastAsia="Times New Roman" w:hAnsi="Palatino Linotype" w:cs="Arial"/>
          <w:bCs/>
          <w:color w:val="000000" w:themeColor="text1"/>
          <w:lang w:val="es-ES"/>
        </w:rPr>
        <w:t xml:space="preserve"> (</w:t>
      </w:r>
      <w:r w:rsidR="007623F2" w:rsidRPr="00135C14">
        <w:rPr>
          <w:rFonts w:ascii="Palatino Linotype" w:eastAsia="Times New Roman" w:hAnsi="Palatino Linotype" w:cs="Arial"/>
          <w:bCs/>
          <w:color w:val="000000" w:themeColor="text1"/>
          <w:lang w:val="es-ES"/>
        </w:rPr>
        <w:t>0</w:t>
      </w:r>
      <w:r w:rsidR="00941923" w:rsidRPr="00135C14">
        <w:rPr>
          <w:rFonts w:ascii="Palatino Linotype" w:eastAsia="Times New Roman" w:hAnsi="Palatino Linotype" w:cs="Arial"/>
          <w:bCs/>
          <w:color w:val="000000" w:themeColor="text1"/>
          <w:lang w:val="es-ES"/>
        </w:rPr>
        <w:t>9</w:t>
      </w:r>
      <w:r w:rsidR="00F91466" w:rsidRPr="00135C14">
        <w:rPr>
          <w:rFonts w:ascii="Palatino Linotype" w:eastAsia="Times New Roman" w:hAnsi="Palatino Linotype" w:cs="Arial"/>
          <w:bCs/>
          <w:color w:val="000000" w:themeColor="text1"/>
          <w:lang w:val="es-ES"/>
        </w:rPr>
        <w:t xml:space="preserve">) de </w:t>
      </w:r>
      <w:r w:rsidR="007623F2" w:rsidRPr="00135C14">
        <w:rPr>
          <w:rFonts w:ascii="Palatino Linotype" w:eastAsia="Times New Roman" w:hAnsi="Palatino Linotype" w:cs="Arial"/>
          <w:bCs/>
          <w:color w:val="000000" w:themeColor="text1"/>
          <w:lang w:val="es-ES"/>
        </w:rPr>
        <w:t>diciembre</w:t>
      </w:r>
      <w:r w:rsidR="00F91466" w:rsidRPr="00135C14">
        <w:rPr>
          <w:rFonts w:ascii="Palatino Linotype" w:eastAsia="Times New Roman" w:hAnsi="Palatino Linotype" w:cs="Arial"/>
          <w:bCs/>
          <w:color w:val="000000" w:themeColor="text1"/>
          <w:lang w:val="es-ES"/>
        </w:rPr>
        <w:t xml:space="preserve"> de dos</w:t>
      </w:r>
      <w:r w:rsidR="00F91466" w:rsidRPr="00135C14">
        <w:rPr>
          <w:rFonts w:ascii="Palatino Linotype" w:eastAsia="Times New Roman" w:hAnsi="Palatino Linotype" w:cs="Arial"/>
          <w:color w:val="000000" w:themeColor="text1"/>
          <w:lang w:val="es-ES"/>
        </w:rPr>
        <w:t xml:space="preserve"> mil veintidós, </w:t>
      </w:r>
      <w:r w:rsidR="00F91466" w:rsidRPr="00135C14">
        <w:rPr>
          <w:rFonts w:ascii="Palatino Linotype" w:hAnsi="Palatino Linotype"/>
          <w:color w:val="000000" w:themeColor="text1"/>
        </w:rPr>
        <w:t xml:space="preserve">se </w:t>
      </w:r>
      <w:r w:rsidR="00F91466" w:rsidRPr="00135C14">
        <w:rPr>
          <w:rFonts w:ascii="Palatino Linotype" w:eastAsia="Times New Roman" w:hAnsi="Palatino Linotype" w:cs="Arial"/>
          <w:color w:val="000000" w:themeColor="text1"/>
          <w:lang w:val="es-ES"/>
        </w:rPr>
        <w:t xml:space="preserve">interpuso el recurso de revisión, en contra de la </w:t>
      </w:r>
      <w:r w:rsidR="00941923" w:rsidRPr="00135C14">
        <w:rPr>
          <w:rFonts w:ascii="Palatino Linotype" w:eastAsia="Times New Roman" w:hAnsi="Palatino Linotype" w:cs="Arial"/>
          <w:color w:val="000000" w:themeColor="text1"/>
          <w:lang w:val="es-ES"/>
        </w:rPr>
        <w:t xml:space="preserve">falta de </w:t>
      </w:r>
      <w:r w:rsidR="00F91466" w:rsidRPr="00135C14">
        <w:rPr>
          <w:rFonts w:ascii="Palatino Linotype" w:eastAsia="Times New Roman" w:hAnsi="Palatino Linotype" w:cs="Arial"/>
          <w:color w:val="000000" w:themeColor="text1"/>
          <w:lang w:val="es-ES"/>
        </w:rPr>
        <w:t>respuesta, señalando como:</w:t>
      </w:r>
    </w:p>
    <w:p w14:paraId="2D33072A" w14:textId="77777777" w:rsidR="00883F62" w:rsidRPr="00135C14" w:rsidRDefault="00883F62" w:rsidP="007623F2">
      <w:pPr>
        <w:pStyle w:val="Prrafodelista"/>
        <w:tabs>
          <w:tab w:val="left" w:pos="426"/>
          <w:tab w:val="left" w:pos="567"/>
        </w:tabs>
        <w:spacing w:line="360" w:lineRule="auto"/>
        <w:ind w:left="0" w:right="565"/>
        <w:jc w:val="both"/>
        <w:rPr>
          <w:rFonts w:ascii="Palatino Linotype" w:eastAsia="Calibri" w:hAnsi="Palatino Linotype" w:cs="Arial"/>
          <w:color w:val="000000" w:themeColor="text1"/>
          <w:sz w:val="22"/>
          <w:szCs w:val="22"/>
          <w:lang w:val="es-ES"/>
        </w:rPr>
      </w:pPr>
    </w:p>
    <w:p w14:paraId="19A69341" w14:textId="002505A7" w:rsidR="00F91466" w:rsidRPr="00135C14" w:rsidRDefault="00F91466" w:rsidP="007623F2">
      <w:pPr>
        <w:tabs>
          <w:tab w:val="left" w:pos="8222"/>
        </w:tabs>
        <w:ind w:left="567" w:right="565"/>
        <w:jc w:val="both"/>
        <w:rPr>
          <w:rFonts w:ascii="Palatino Linotype" w:eastAsia="Times New Roman" w:hAnsi="Palatino Linotype" w:cs="Times New Roman"/>
          <w:i/>
          <w:iCs/>
          <w:sz w:val="22"/>
          <w:szCs w:val="22"/>
          <w:lang w:val="es-MX" w:eastAsia="es-MX"/>
        </w:rPr>
      </w:pPr>
      <w:r w:rsidRPr="00135C14">
        <w:rPr>
          <w:rFonts w:ascii="Palatino Linotype" w:eastAsia="Calibri" w:hAnsi="Palatino Linotype" w:cs="Arial"/>
          <w:b/>
          <w:sz w:val="22"/>
          <w:szCs w:val="22"/>
        </w:rPr>
        <w:t>Acto impugnado</w:t>
      </w:r>
      <w:r w:rsidRPr="00135C14">
        <w:rPr>
          <w:rFonts w:ascii="Palatino Linotype" w:eastAsia="Calibri" w:hAnsi="Palatino Linotype" w:cs="Arial"/>
          <w:sz w:val="22"/>
          <w:szCs w:val="22"/>
        </w:rPr>
        <w:t>:</w:t>
      </w:r>
      <w:r w:rsidRPr="00135C14">
        <w:rPr>
          <w:rFonts w:ascii="Palatino Linotype" w:eastAsia="Calibri" w:hAnsi="Palatino Linotype" w:cs="Arial"/>
          <w:i/>
          <w:iCs/>
          <w:sz w:val="22"/>
          <w:szCs w:val="22"/>
        </w:rPr>
        <w:t xml:space="preserve"> “</w:t>
      </w:r>
      <w:r w:rsidR="00941923" w:rsidRPr="00135C14">
        <w:rPr>
          <w:rFonts w:ascii="Palatino Linotype" w:hAnsi="Palatino Linotype"/>
          <w:i/>
          <w:iCs/>
          <w:color w:val="000000"/>
          <w:sz w:val="22"/>
          <w:szCs w:val="22"/>
        </w:rPr>
        <w:t>NO ENTREGA INFORMACIÓN</w:t>
      </w:r>
      <w:r w:rsidRPr="00135C14">
        <w:rPr>
          <w:rFonts w:ascii="Palatino Linotype" w:hAnsi="Palatino Linotype"/>
          <w:i/>
          <w:iCs/>
          <w:color w:val="000000"/>
          <w:sz w:val="22"/>
          <w:szCs w:val="22"/>
        </w:rPr>
        <w:t>” (Sic)</w:t>
      </w:r>
    </w:p>
    <w:p w14:paraId="266BD28C" w14:textId="77777777" w:rsidR="00F91466" w:rsidRPr="00135C14" w:rsidRDefault="00F91466" w:rsidP="007623F2">
      <w:pPr>
        <w:tabs>
          <w:tab w:val="left" w:pos="8222"/>
        </w:tabs>
        <w:ind w:left="567" w:right="565"/>
        <w:jc w:val="both"/>
        <w:rPr>
          <w:rFonts w:ascii="Palatino Linotype" w:hAnsi="Palatino Linotype"/>
          <w:i/>
          <w:iCs/>
          <w:sz w:val="22"/>
          <w:szCs w:val="22"/>
        </w:rPr>
      </w:pPr>
    </w:p>
    <w:p w14:paraId="2E32B952" w14:textId="65FA50A7" w:rsidR="00F91466" w:rsidRPr="00135C14" w:rsidRDefault="00F91466" w:rsidP="007623F2">
      <w:pPr>
        <w:tabs>
          <w:tab w:val="left" w:pos="8222"/>
        </w:tabs>
        <w:ind w:left="567" w:right="565"/>
        <w:jc w:val="both"/>
        <w:rPr>
          <w:rFonts w:ascii="Palatino Linotype" w:eastAsia="Times New Roman" w:hAnsi="Palatino Linotype" w:cs="Times New Roman"/>
          <w:sz w:val="22"/>
          <w:szCs w:val="22"/>
          <w:lang w:val="es-MX" w:eastAsia="es-MX"/>
        </w:rPr>
      </w:pPr>
      <w:r w:rsidRPr="00135C14">
        <w:rPr>
          <w:rFonts w:ascii="Palatino Linotype" w:eastAsia="Calibri" w:hAnsi="Palatino Linotype" w:cs="Arial"/>
          <w:b/>
          <w:sz w:val="22"/>
          <w:szCs w:val="22"/>
        </w:rPr>
        <w:t>Razones o Motivos de inconformidad</w:t>
      </w:r>
      <w:r w:rsidRPr="00135C14">
        <w:rPr>
          <w:rFonts w:ascii="Palatino Linotype" w:eastAsia="Calibri" w:hAnsi="Palatino Linotype" w:cs="Arial"/>
          <w:sz w:val="22"/>
          <w:szCs w:val="22"/>
        </w:rPr>
        <w:t>:</w:t>
      </w:r>
      <w:r w:rsidRPr="00135C14">
        <w:rPr>
          <w:rFonts w:ascii="Palatino Linotype" w:eastAsia="Calibri" w:hAnsi="Palatino Linotype" w:cs="Arial"/>
          <w:i/>
          <w:iCs/>
          <w:sz w:val="22"/>
          <w:szCs w:val="22"/>
        </w:rPr>
        <w:t xml:space="preserve"> “</w:t>
      </w:r>
      <w:r w:rsidR="00941923" w:rsidRPr="00135C14">
        <w:rPr>
          <w:rFonts w:ascii="Palatino Linotype" w:hAnsi="Palatino Linotype"/>
          <w:i/>
          <w:iCs/>
          <w:color w:val="000000"/>
          <w:sz w:val="22"/>
          <w:szCs w:val="22"/>
        </w:rPr>
        <w:t>NO ENTREGA INFORMACIÓN</w:t>
      </w:r>
      <w:r w:rsidRPr="00135C14">
        <w:rPr>
          <w:rFonts w:ascii="Palatino Linotype" w:hAnsi="Palatino Linotype"/>
          <w:i/>
          <w:iCs/>
          <w:sz w:val="22"/>
          <w:szCs w:val="22"/>
        </w:rPr>
        <w:t>” (Sic)</w:t>
      </w:r>
    </w:p>
    <w:p w14:paraId="460703D4" w14:textId="77777777" w:rsidR="007623F2" w:rsidRPr="00135C14" w:rsidRDefault="007623F2" w:rsidP="00941923">
      <w:pPr>
        <w:ind w:right="565"/>
        <w:jc w:val="both"/>
        <w:rPr>
          <w:rFonts w:ascii="Palatino Linotype" w:eastAsia="Times New Roman" w:hAnsi="Palatino Linotype" w:cs="Times New Roman"/>
          <w:sz w:val="22"/>
          <w:szCs w:val="22"/>
          <w:lang w:val="es-MX" w:eastAsia="es-MX"/>
        </w:rPr>
      </w:pPr>
    </w:p>
    <w:p w14:paraId="6C6E1AD7" w14:textId="5E107A09" w:rsidR="00946C27" w:rsidRPr="00135C14"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Times New Roman" w:hAnsi="Palatino Linotype" w:cs="Arial"/>
          <w:color w:val="000000" w:themeColor="text1"/>
          <w:lang w:val="es-ES"/>
        </w:rPr>
        <w:t xml:space="preserve">Se </w:t>
      </w:r>
      <w:r w:rsidR="00883F62" w:rsidRPr="00135C14">
        <w:rPr>
          <w:rFonts w:ascii="Palatino Linotype" w:hAnsi="Palatino Linotype" w:cs="Arial"/>
          <w:lang w:val="es-ES"/>
        </w:rPr>
        <w:t xml:space="preserve">registró el recurso de revisión bajo el número de expediente </w:t>
      </w:r>
      <w:r w:rsidR="00883F62" w:rsidRPr="00135C14">
        <w:rPr>
          <w:rFonts w:ascii="Palatino Linotype" w:eastAsia="MS Mincho" w:hAnsi="Palatino Linotype" w:cs="Arial"/>
          <w:bCs/>
        </w:rPr>
        <w:t xml:space="preserve">al rubro indicado, asimismo con fundamento en lo dispuesto por el </w:t>
      </w:r>
      <w:r w:rsidR="00883F62" w:rsidRPr="00135C14">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135C14">
        <w:rPr>
          <w:rFonts w:ascii="Palatino Linotype" w:hAnsi="Palatino Linotype" w:cs="Arial"/>
          <w:lang w:val="es-ES"/>
        </w:rPr>
        <w:t xml:space="preserve">se turnó a la </w:t>
      </w:r>
      <w:r w:rsidR="00883F62" w:rsidRPr="00135C14">
        <w:rPr>
          <w:rFonts w:ascii="Palatino Linotype" w:hAnsi="Palatino Linotype" w:cs="Arial"/>
          <w:b/>
          <w:lang w:val="es-ES"/>
        </w:rPr>
        <w:t>Comisionada María del Rosario Mejía Ayala</w:t>
      </w:r>
      <w:r w:rsidR="00883F62" w:rsidRPr="00135C14">
        <w:rPr>
          <w:rFonts w:ascii="Palatino Linotype" w:hAnsi="Palatino Linotype" w:cs="Arial"/>
          <w:lang w:val="es-ES"/>
        </w:rPr>
        <w:t xml:space="preserve"> con el objeto de </w:t>
      </w:r>
      <w:r w:rsidR="00883F62" w:rsidRPr="00135C14">
        <w:rPr>
          <w:rFonts w:ascii="Palatino Linotype" w:hAnsi="Palatino Linotype" w:cs="Arial"/>
        </w:rPr>
        <w:t>su análisis.</w:t>
      </w:r>
    </w:p>
    <w:p w14:paraId="39268230" w14:textId="77777777" w:rsidR="00365130" w:rsidRPr="00135C14"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445E8516" w:rsidR="007F7802" w:rsidRPr="00135C14"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lang w:val="es-ES"/>
        </w:rPr>
        <w:t>La Comisionada Ponente con fundamento en lo dispuesto por el artículo 185 fracción II de la ley de la materia, a través del acuerdo de admisión de</w:t>
      </w:r>
      <w:r w:rsidR="00F91466" w:rsidRPr="00135C14">
        <w:rPr>
          <w:rFonts w:ascii="Palatino Linotype" w:eastAsia="Calibri" w:hAnsi="Palatino Linotype" w:cs="Arial"/>
          <w:lang w:val="es-ES"/>
        </w:rPr>
        <w:t>l</w:t>
      </w:r>
      <w:r w:rsidRPr="00135C14">
        <w:rPr>
          <w:rFonts w:ascii="Palatino Linotype" w:eastAsia="Calibri" w:hAnsi="Palatino Linotype" w:cs="Arial"/>
          <w:lang w:val="es-ES"/>
        </w:rPr>
        <w:t xml:space="preserve"> </w:t>
      </w:r>
      <w:r w:rsidR="007623F2" w:rsidRPr="00135C14">
        <w:rPr>
          <w:rFonts w:ascii="Palatino Linotype" w:eastAsia="Calibri" w:hAnsi="Palatino Linotype" w:cs="Arial"/>
          <w:lang w:val="es-ES"/>
        </w:rPr>
        <w:t>diez</w:t>
      </w:r>
      <w:r w:rsidR="00F91466" w:rsidRPr="00135C14">
        <w:rPr>
          <w:rFonts w:ascii="Palatino Linotype" w:eastAsia="Calibri" w:hAnsi="Palatino Linotype" w:cs="Arial"/>
        </w:rPr>
        <w:t xml:space="preserve"> (</w:t>
      </w:r>
      <w:r w:rsidR="007623F2" w:rsidRPr="00135C14">
        <w:rPr>
          <w:rFonts w:ascii="Palatino Linotype" w:eastAsia="Calibri" w:hAnsi="Palatino Linotype" w:cs="Arial"/>
        </w:rPr>
        <w:t>10</w:t>
      </w:r>
      <w:r w:rsidR="00F91466" w:rsidRPr="00135C14">
        <w:rPr>
          <w:rFonts w:ascii="Palatino Linotype" w:eastAsia="Calibri" w:hAnsi="Palatino Linotype" w:cs="Arial"/>
        </w:rPr>
        <w:t xml:space="preserve">) </w:t>
      </w:r>
      <w:r w:rsidR="00F91466" w:rsidRPr="00135C14">
        <w:rPr>
          <w:rFonts w:ascii="Palatino Linotype" w:eastAsia="Calibri" w:hAnsi="Palatino Linotype" w:cs="Arial"/>
          <w:color w:val="000000" w:themeColor="text1"/>
          <w:lang w:val="es-ES"/>
        </w:rPr>
        <w:t xml:space="preserve">de </w:t>
      </w:r>
      <w:r w:rsidR="007623F2" w:rsidRPr="00135C14">
        <w:rPr>
          <w:rFonts w:ascii="Palatino Linotype" w:eastAsia="Calibri" w:hAnsi="Palatino Linotype" w:cs="Arial"/>
          <w:color w:val="000000" w:themeColor="text1"/>
          <w:lang w:val="es-ES"/>
        </w:rPr>
        <w:t>enero</w:t>
      </w:r>
      <w:r w:rsidR="00F91466" w:rsidRPr="00135C14">
        <w:rPr>
          <w:rFonts w:ascii="Palatino Linotype" w:eastAsia="Calibri" w:hAnsi="Palatino Linotype" w:cs="Arial"/>
          <w:color w:val="000000" w:themeColor="text1"/>
          <w:lang w:val="es-ES"/>
        </w:rPr>
        <w:t xml:space="preserve"> de dos mil veinti</w:t>
      </w:r>
      <w:r w:rsidR="007623F2" w:rsidRPr="00135C14">
        <w:rPr>
          <w:rFonts w:ascii="Palatino Linotype" w:eastAsia="Calibri" w:hAnsi="Palatino Linotype" w:cs="Arial"/>
          <w:color w:val="000000" w:themeColor="text1"/>
          <w:lang w:val="es-ES"/>
        </w:rPr>
        <w:t>trés</w:t>
      </w:r>
      <w:r w:rsidRPr="00135C14">
        <w:rPr>
          <w:rFonts w:ascii="Palatino Linotype" w:eastAsia="Calibri" w:hAnsi="Palatino Linotype" w:cs="Arial"/>
          <w:lang w:val="es-ES"/>
        </w:rPr>
        <w:t xml:space="preserve">, puso a disposición de las partes el expediente electrónico </w:t>
      </w:r>
      <w:r w:rsidRPr="00135C14">
        <w:rPr>
          <w:rFonts w:ascii="Palatino Linotype" w:eastAsia="Calibri" w:hAnsi="Palatino Linotype" w:cs="Arial"/>
        </w:rPr>
        <w:t xml:space="preserve">vía </w:t>
      </w:r>
      <w:r w:rsidRPr="00135C14">
        <w:rPr>
          <w:rFonts w:ascii="Palatino Linotype" w:eastAsia="Calibri" w:hAnsi="Palatino Linotype" w:cs="Arial"/>
          <w:lang w:val="es-ES"/>
        </w:rPr>
        <w:t xml:space="preserve">Sistema de Acceso a la Información Mexiquense </w:t>
      </w:r>
      <w:r w:rsidRPr="00135C14">
        <w:rPr>
          <w:rFonts w:ascii="Palatino Linotype" w:eastAsia="Calibri" w:hAnsi="Palatino Linotype" w:cs="Arial"/>
          <w:b/>
          <w:lang w:val="es-ES"/>
        </w:rPr>
        <w:t xml:space="preserve">(SAIMEX) </w:t>
      </w:r>
      <w:r w:rsidRPr="00135C14">
        <w:rPr>
          <w:rFonts w:ascii="Palatino Linotype" w:eastAsia="Calibri" w:hAnsi="Palatino Linotype" w:cs="Arial"/>
          <w:lang w:val="es-ES"/>
        </w:rPr>
        <w:t xml:space="preserve">a efecto de que en un plazo máximo de siete días manifestaran lo que a derecho convinieran, </w:t>
      </w:r>
      <w:r w:rsidRPr="00135C14">
        <w:rPr>
          <w:rFonts w:ascii="Palatino Linotype" w:eastAsia="Calibri" w:hAnsi="Palatino Linotype" w:cs="Arial"/>
          <w:lang w:val="es-ES"/>
        </w:rPr>
        <w:lastRenderedPageBreak/>
        <w:t xml:space="preserve">ofrecieran pruebas y alegatos según corresponda al caso concreto, de esta forma para que el </w:t>
      </w:r>
      <w:r w:rsidRPr="00135C14">
        <w:rPr>
          <w:rFonts w:ascii="Palatino Linotype" w:eastAsia="Calibri" w:hAnsi="Palatino Linotype" w:cs="Arial"/>
          <w:b/>
          <w:lang w:val="es-ES"/>
        </w:rPr>
        <w:t>SUJETO OBLIGADO</w:t>
      </w:r>
      <w:r w:rsidRPr="00135C14">
        <w:rPr>
          <w:rFonts w:ascii="Palatino Linotype" w:eastAsia="Calibri" w:hAnsi="Palatino Linotype" w:cs="Arial"/>
          <w:lang w:val="es-ES"/>
        </w:rPr>
        <w:t xml:space="preserve"> presentara el Informe Justificado procedente.</w:t>
      </w:r>
    </w:p>
    <w:p w14:paraId="019A348A" w14:textId="77777777" w:rsidR="00F91466" w:rsidRPr="00135C14" w:rsidRDefault="00F91466" w:rsidP="00F91466">
      <w:pPr>
        <w:rPr>
          <w:rFonts w:ascii="Palatino Linotype" w:eastAsia="Calibri" w:hAnsi="Palatino Linotype" w:cs="Arial"/>
          <w:color w:val="000000" w:themeColor="text1"/>
          <w:lang w:val="es-ES"/>
        </w:rPr>
      </w:pPr>
    </w:p>
    <w:p w14:paraId="6AB32CB6" w14:textId="77777777" w:rsidR="00941923" w:rsidRPr="00135C14" w:rsidRDefault="00AF2D09"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Del expediente electrónico integrado en el SAIMEX, se advierte que </w:t>
      </w:r>
      <w:r w:rsidRPr="00135C14">
        <w:rPr>
          <w:rFonts w:ascii="Palatino Linotype" w:eastAsia="Calibri" w:hAnsi="Palatino Linotype" w:cs="Arial"/>
          <w:bCs/>
          <w:color w:val="000000" w:themeColor="text1"/>
          <w:lang w:val="es-ES"/>
        </w:rPr>
        <w:t>e</w:t>
      </w:r>
      <w:r w:rsidR="00F91466" w:rsidRPr="00135C14">
        <w:rPr>
          <w:rFonts w:ascii="Palatino Linotype" w:eastAsia="Calibri" w:hAnsi="Palatino Linotype" w:cs="Arial"/>
          <w:bCs/>
          <w:color w:val="000000" w:themeColor="text1"/>
          <w:lang w:val="es-ES"/>
        </w:rPr>
        <w:t xml:space="preserve">l </w:t>
      </w:r>
      <w:r w:rsidR="00F91466" w:rsidRPr="00135C14">
        <w:rPr>
          <w:rFonts w:ascii="Palatino Linotype" w:eastAsia="Calibri" w:hAnsi="Palatino Linotype" w:cs="Arial"/>
          <w:b/>
          <w:color w:val="000000" w:themeColor="text1"/>
          <w:lang w:val="es-ES"/>
        </w:rPr>
        <w:t>SUJETO OBLIGADO</w:t>
      </w:r>
      <w:r w:rsidR="00F91466" w:rsidRPr="00135C14">
        <w:rPr>
          <w:rFonts w:ascii="Palatino Linotype" w:eastAsia="Calibri" w:hAnsi="Palatino Linotype" w:cs="Arial"/>
          <w:color w:val="000000" w:themeColor="text1"/>
          <w:lang w:val="es-ES"/>
        </w:rPr>
        <w:t xml:space="preserve"> </w:t>
      </w:r>
      <w:r w:rsidR="00941923" w:rsidRPr="00135C14">
        <w:rPr>
          <w:rFonts w:ascii="Palatino Linotype" w:eastAsia="Calibri" w:hAnsi="Palatino Linotype" w:cs="Arial"/>
          <w:color w:val="000000" w:themeColor="text1"/>
          <w:lang w:val="es-ES"/>
        </w:rPr>
        <w:t xml:space="preserve">rindió el </w:t>
      </w:r>
      <w:r w:rsidR="00F91466" w:rsidRPr="00135C14">
        <w:rPr>
          <w:rFonts w:ascii="Palatino Linotype" w:eastAsia="Calibri" w:hAnsi="Palatino Linotype" w:cs="Arial"/>
          <w:lang w:val="es-ES"/>
        </w:rPr>
        <w:t>informe justificado</w:t>
      </w:r>
      <w:r w:rsidR="00365130" w:rsidRPr="00135C14">
        <w:rPr>
          <w:rFonts w:ascii="Palatino Linotype" w:eastAsia="Calibri" w:hAnsi="Palatino Linotype" w:cs="Arial"/>
          <w:lang w:val="es-ES"/>
        </w:rPr>
        <w:t xml:space="preserve"> </w:t>
      </w:r>
      <w:r w:rsidR="00941923" w:rsidRPr="00135C14">
        <w:rPr>
          <w:rFonts w:ascii="Palatino Linotype" w:eastAsia="Calibri" w:hAnsi="Palatino Linotype" w:cs="Arial"/>
          <w:lang w:val="es-ES"/>
        </w:rPr>
        <w:t xml:space="preserve">correspondiente a través del documento denominado </w:t>
      </w:r>
      <w:r w:rsidR="00941923" w:rsidRPr="00135C14">
        <w:rPr>
          <w:rFonts w:ascii="Palatino Linotype" w:eastAsia="Calibri" w:hAnsi="Palatino Linotype" w:cs="Arial"/>
          <w:b/>
          <w:bCs/>
          <w:lang w:val="es-ES"/>
        </w:rPr>
        <w:t>respuesta de solicitud 1207-22.pdf</w:t>
      </w:r>
      <w:r w:rsidR="00941923" w:rsidRPr="00135C14">
        <w:rPr>
          <w:rFonts w:ascii="Palatino Linotype" w:eastAsia="Calibri" w:hAnsi="Palatino Linotype" w:cs="Arial"/>
          <w:lang w:val="es-ES"/>
        </w:rPr>
        <w:t>, por medio del cual, manifestó lo siguiente:</w:t>
      </w:r>
    </w:p>
    <w:p w14:paraId="325D51F2" w14:textId="77777777" w:rsidR="00941923" w:rsidRPr="00135C14" w:rsidRDefault="00941923" w:rsidP="00941923">
      <w:pPr>
        <w:pStyle w:val="Prrafodelista"/>
        <w:tabs>
          <w:tab w:val="left" w:pos="426"/>
          <w:tab w:val="left" w:pos="567"/>
        </w:tabs>
        <w:spacing w:line="360" w:lineRule="auto"/>
        <w:ind w:left="0"/>
        <w:jc w:val="both"/>
        <w:rPr>
          <w:rFonts w:ascii="Palatino Linotype" w:eastAsia="Calibri" w:hAnsi="Palatino Linotype" w:cs="Arial"/>
          <w:lang w:val="es-ES"/>
        </w:rPr>
      </w:pPr>
    </w:p>
    <w:p w14:paraId="234A37D8" w14:textId="283594D1" w:rsidR="00941923" w:rsidRPr="00135C14" w:rsidRDefault="00C05FAF" w:rsidP="00C05FAF">
      <w:pPr>
        <w:pStyle w:val="Prrafodelista"/>
        <w:spacing w:line="360" w:lineRule="auto"/>
        <w:ind w:left="567" w:right="565"/>
        <w:jc w:val="both"/>
        <w:rPr>
          <w:rFonts w:ascii="Palatino Linotype" w:eastAsia="Calibri" w:hAnsi="Palatino Linotype" w:cs="Arial"/>
          <w:i/>
          <w:iCs/>
          <w:sz w:val="22"/>
          <w:szCs w:val="22"/>
          <w:lang w:val="es-ES"/>
        </w:rPr>
      </w:pPr>
      <w:r w:rsidRPr="00135C14">
        <w:rPr>
          <w:rFonts w:ascii="Palatino Linotype" w:eastAsia="Calibri" w:hAnsi="Palatino Linotype" w:cs="Arial"/>
          <w:i/>
          <w:iCs/>
          <w:sz w:val="22"/>
          <w:szCs w:val="22"/>
          <w:lang w:val="es-ES"/>
        </w:rPr>
        <w:t>“…</w:t>
      </w:r>
      <w:r w:rsidRPr="00135C14">
        <w:rPr>
          <w:rFonts w:ascii="Palatino Linotype" w:hAnsi="Palatino Linotype"/>
          <w:b/>
          <w:bCs/>
          <w:i/>
          <w:iCs/>
          <w:sz w:val="22"/>
          <w:szCs w:val="22"/>
        </w:rPr>
        <w:t>se advierte que su solicitud no constituye un derecho de acceso a la información pública en términos de los artículos 92, y 94 de la Ley de Transparencia y Acceso a la Información Pública del Estado de México y Municipios, sino que se trata de un derecho de petición</w:t>
      </w:r>
      <w:r w:rsidRPr="00135C14">
        <w:rPr>
          <w:rFonts w:ascii="Palatino Linotype" w:hAnsi="Palatino Linotype"/>
          <w:i/>
          <w:iCs/>
          <w:sz w:val="22"/>
          <w:szCs w:val="22"/>
        </w:rPr>
        <w:t xml:space="preserve">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 (Sic)</w:t>
      </w:r>
    </w:p>
    <w:p w14:paraId="14D62C21" w14:textId="77777777" w:rsidR="00941923" w:rsidRPr="00135C14" w:rsidRDefault="00941923" w:rsidP="00941923">
      <w:pPr>
        <w:rPr>
          <w:rFonts w:ascii="Palatino Linotype" w:eastAsia="Calibri" w:hAnsi="Palatino Linotype" w:cs="Arial"/>
          <w:color w:val="000000" w:themeColor="text1"/>
          <w:lang w:val="es-ES"/>
        </w:rPr>
      </w:pPr>
    </w:p>
    <w:p w14:paraId="022E034C" w14:textId="2A9AEA4C" w:rsidR="00D371F7" w:rsidRPr="00135C14" w:rsidRDefault="00941923"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P</w:t>
      </w:r>
      <w:r w:rsidR="007623F2" w:rsidRPr="00135C14">
        <w:rPr>
          <w:rFonts w:ascii="Palatino Linotype" w:eastAsia="Calibri" w:hAnsi="Palatino Linotype" w:cs="Arial"/>
          <w:color w:val="000000" w:themeColor="text1"/>
          <w:lang w:val="es-ES"/>
        </w:rPr>
        <w:t xml:space="preserve">or su parte, </w:t>
      </w:r>
      <w:r w:rsidR="00AC5C2D" w:rsidRPr="00135C14">
        <w:rPr>
          <w:rFonts w:ascii="Palatino Linotype" w:eastAsia="Calibri" w:hAnsi="Palatino Linotype" w:cs="Arial"/>
          <w:lang w:val="es-ES"/>
        </w:rPr>
        <w:t xml:space="preserve">el </w:t>
      </w:r>
      <w:r w:rsidR="00C21DCC" w:rsidRPr="00135C14">
        <w:rPr>
          <w:rFonts w:ascii="Palatino Linotype" w:eastAsia="Calibri" w:hAnsi="Palatino Linotype" w:cs="Arial"/>
          <w:lang w:val="es-ES"/>
        </w:rPr>
        <w:t>Recurrente no realizó manifestaciones ni ofreció pruebas o alegatos que a su derecho conviniera</w:t>
      </w:r>
      <w:r w:rsidR="001D3B96" w:rsidRPr="00135C14">
        <w:rPr>
          <w:rFonts w:ascii="Palatino Linotype" w:eastAsia="Calibri" w:hAnsi="Palatino Linotype" w:cs="Arial"/>
          <w:lang w:val="es-ES"/>
        </w:rPr>
        <w:t>n.</w:t>
      </w:r>
    </w:p>
    <w:p w14:paraId="1C47C6E4" w14:textId="77777777" w:rsidR="00C21DCC" w:rsidRPr="00135C14" w:rsidRDefault="00C21DCC" w:rsidP="00C21DCC">
      <w:pPr>
        <w:pStyle w:val="Prrafodelista"/>
        <w:tabs>
          <w:tab w:val="left" w:pos="426"/>
          <w:tab w:val="left" w:pos="567"/>
        </w:tabs>
        <w:spacing w:line="360" w:lineRule="auto"/>
        <w:ind w:left="0"/>
        <w:jc w:val="both"/>
        <w:rPr>
          <w:rFonts w:ascii="Palatino Linotype" w:hAnsi="Palatino Linotype"/>
        </w:rPr>
      </w:pPr>
    </w:p>
    <w:p w14:paraId="08A5D6B9" w14:textId="0D2A8F58" w:rsidR="002149E5" w:rsidRPr="00135C14"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135C14">
        <w:rPr>
          <w:rFonts w:ascii="Palatino Linotype" w:hAnsi="Palatino Linotype"/>
        </w:rPr>
        <w:lastRenderedPageBreak/>
        <w:t xml:space="preserve">La </w:t>
      </w:r>
      <w:r w:rsidR="00C21DCC" w:rsidRPr="00135C14">
        <w:rPr>
          <w:rFonts w:ascii="Palatino Linotype" w:eastAsia="MS Mincho" w:hAnsi="Palatino Linotype"/>
        </w:rPr>
        <w:t>Comisionada Ponente decretó el cierre de instrucción</w:t>
      </w:r>
      <w:r w:rsidR="00C21DCC" w:rsidRPr="00135C14">
        <w:rPr>
          <w:rFonts w:ascii="Palatino Linotype" w:eastAsia="MS Mincho" w:hAnsi="Palatino Linotype" w:cs="Arial"/>
        </w:rPr>
        <w:t xml:space="preserve"> </w:t>
      </w:r>
      <w:r w:rsidR="00C21DCC" w:rsidRPr="00135C14">
        <w:rPr>
          <w:rFonts w:ascii="Palatino Linotype" w:eastAsia="MS Mincho" w:hAnsi="Palatino Linotype"/>
        </w:rPr>
        <w:t xml:space="preserve">mediante acuerdo del </w:t>
      </w:r>
      <w:r w:rsidR="00C05FAF" w:rsidRPr="00135C14">
        <w:rPr>
          <w:rFonts w:ascii="Palatino Linotype" w:eastAsia="MS Mincho" w:hAnsi="Palatino Linotype"/>
        </w:rPr>
        <w:t>veintidós</w:t>
      </w:r>
      <w:r w:rsidR="00C21DCC" w:rsidRPr="00135C14">
        <w:rPr>
          <w:rFonts w:ascii="Palatino Linotype" w:eastAsia="MS Mincho" w:hAnsi="Palatino Linotype"/>
        </w:rPr>
        <w:t xml:space="preserve"> (</w:t>
      </w:r>
      <w:r w:rsidR="00C05FAF" w:rsidRPr="00135C14">
        <w:rPr>
          <w:rFonts w:ascii="Palatino Linotype" w:eastAsia="MS Mincho" w:hAnsi="Palatino Linotype"/>
        </w:rPr>
        <w:t>22</w:t>
      </w:r>
      <w:r w:rsidR="00C21DCC" w:rsidRPr="00135C14">
        <w:rPr>
          <w:rFonts w:ascii="Palatino Linotype" w:eastAsia="MS Mincho" w:hAnsi="Palatino Linotype"/>
        </w:rPr>
        <w:t xml:space="preserve">) de </w:t>
      </w:r>
      <w:r w:rsidR="00AF2D09" w:rsidRPr="00135C14">
        <w:rPr>
          <w:rFonts w:ascii="Palatino Linotype" w:eastAsia="MS Mincho" w:hAnsi="Palatino Linotype"/>
        </w:rPr>
        <w:t>febrero</w:t>
      </w:r>
      <w:r w:rsidR="00C21DCC" w:rsidRPr="00135C14">
        <w:rPr>
          <w:rFonts w:ascii="Palatino Linotype" w:eastAsia="MS Mincho" w:hAnsi="Palatino Linotype"/>
        </w:rPr>
        <w:t xml:space="preserve"> de dos mil veinti</w:t>
      </w:r>
      <w:r w:rsidR="000A64DA" w:rsidRPr="00135C14">
        <w:rPr>
          <w:rFonts w:ascii="Palatino Linotype" w:eastAsia="MS Mincho" w:hAnsi="Palatino Linotype"/>
        </w:rPr>
        <w:t>trés</w:t>
      </w:r>
      <w:r w:rsidR="00D43582" w:rsidRPr="00135C14">
        <w:rPr>
          <w:rFonts w:ascii="Palatino Linotype" w:eastAsia="MS Mincho" w:hAnsi="Palatino Linotype"/>
        </w:rPr>
        <w:t>.</w:t>
      </w:r>
    </w:p>
    <w:p w14:paraId="5D2B2C08" w14:textId="77777777" w:rsidR="00867347" w:rsidRPr="00135C14"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2E165535" w:rsidR="00836ADD" w:rsidRPr="00135C14"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sidRPr="00135C14">
        <w:rPr>
          <w:rFonts w:ascii="Palatino Linotype" w:hAnsi="Palatino Linotype"/>
        </w:rPr>
        <w:t>Debido a</w:t>
      </w:r>
      <w:r w:rsidR="00AF2D09" w:rsidRPr="00135C14">
        <w:rPr>
          <w:rFonts w:ascii="Palatino Linotype" w:hAnsi="Palatino Linotype"/>
        </w:rPr>
        <w:t xml:space="preserve"> que fue debidamente sustanciado el expediente electrónico</w:t>
      </w:r>
      <w:r w:rsidR="00867347" w:rsidRPr="00135C14">
        <w:rPr>
          <w:rFonts w:ascii="Palatino Linotype" w:hAnsi="Palatino Linotype"/>
        </w:rPr>
        <w:t xml:space="preserve"> y no existe diligencia pendiente de desahogo, se emite la Resolución que conforme a Derecho proceda;</w:t>
      </w:r>
      <w:r w:rsidR="0079454A" w:rsidRPr="00135C14">
        <w:rPr>
          <w:rFonts w:ascii="Palatino Linotype" w:hAnsi="Palatino Linotype"/>
        </w:rPr>
        <w:t xml:space="preserve"> </w:t>
      </w:r>
      <w:r w:rsidR="00BE2314" w:rsidRPr="00135C14">
        <w:rPr>
          <w:rFonts w:ascii="Palatino Linotype" w:hAnsi="Palatino Linotype"/>
        </w:rPr>
        <w:t xml:space="preserve">y - - - - - - </w:t>
      </w:r>
      <w:r w:rsidR="00C21DCC" w:rsidRPr="00135C14">
        <w:rPr>
          <w:rFonts w:ascii="Palatino Linotype" w:hAnsi="Palatino Linotype"/>
        </w:rPr>
        <w:t xml:space="preserve">- - - - - - - - - - - - - - - - </w:t>
      </w:r>
      <w:r w:rsidR="002149E5" w:rsidRPr="00135C14">
        <w:rPr>
          <w:rFonts w:ascii="Palatino Linotype" w:hAnsi="Palatino Linotype"/>
        </w:rPr>
        <w:t xml:space="preserve">- - - - - - - - - - - - - - - - - </w:t>
      </w:r>
      <w:r w:rsidR="00867347" w:rsidRPr="00135C14">
        <w:rPr>
          <w:rFonts w:ascii="Palatino Linotype" w:hAnsi="Palatino Linotype"/>
        </w:rPr>
        <w:t>- - - - - - - -</w:t>
      </w:r>
      <w:r w:rsidR="00AF2D09" w:rsidRPr="00135C14">
        <w:rPr>
          <w:rFonts w:ascii="Palatino Linotype" w:hAnsi="Palatino Linotype"/>
        </w:rPr>
        <w:t xml:space="preserve"> - - - - - - - - </w:t>
      </w:r>
    </w:p>
    <w:p w14:paraId="5FC0B54E" w14:textId="77777777" w:rsidR="00F91466" w:rsidRPr="00135C14" w:rsidRDefault="00F91466" w:rsidP="005D4F86">
      <w:pPr>
        <w:pStyle w:val="Ttulo2"/>
        <w:jc w:val="center"/>
        <w:rPr>
          <w:rFonts w:ascii="Palatino Linotype" w:hAnsi="Palatino Linotype"/>
          <w:b/>
          <w:color w:val="000000" w:themeColor="text1"/>
          <w:sz w:val="24"/>
          <w:szCs w:val="24"/>
        </w:rPr>
      </w:pPr>
      <w:bookmarkStart w:id="18" w:name="_Toc88173806"/>
    </w:p>
    <w:p w14:paraId="7EF86CAA" w14:textId="77777777" w:rsidR="00946C27" w:rsidRPr="00135C14" w:rsidRDefault="00946C27" w:rsidP="005D4F86">
      <w:pPr>
        <w:pStyle w:val="Ttulo2"/>
        <w:jc w:val="center"/>
        <w:rPr>
          <w:rFonts w:ascii="Palatino Linotype" w:hAnsi="Palatino Linotype"/>
          <w:b/>
          <w:color w:val="000000" w:themeColor="text1"/>
          <w:sz w:val="24"/>
          <w:szCs w:val="24"/>
        </w:rPr>
      </w:pPr>
      <w:r w:rsidRPr="00135C14">
        <w:rPr>
          <w:rFonts w:ascii="Palatino Linotype" w:hAnsi="Palatino Linotype"/>
          <w:b/>
          <w:color w:val="000000" w:themeColor="text1"/>
          <w:sz w:val="24"/>
          <w:szCs w:val="24"/>
        </w:rPr>
        <w:t>CONSIDERANDO</w:t>
      </w:r>
      <w:bookmarkEnd w:id="18"/>
    </w:p>
    <w:p w14:paraId="1B6DB537" w14:textId="77777777" w:rsidR="00946C27" w:rsidRPr="00135C14" w:rsidRDefault="00946C27" w:rsidP="00946C27">
      <w:pPr>
        <w:rPr>
          <w:rFonts w:ascii="Palatino Linotype" w:hAnsi="Palatino Linotype"/>
          <w:lang w:eastAsia="en-US"/>
        </w:rPr>
      </w:pPr>
    </w:p>
    <w:p w14:paraId="5ACDB168" w14:textId="77777777" w:rsidR="00946C27" w:rsidRPr="00135C14"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135C14">
        <w:rPr>
          <w:rFonts w:ascii="Palatino Linotype" w:hAnsi="Palatino Linotype"/>
          <w:b/>
          <w:color w:val="auto"/>
          <w:sz w:val="24"/>
          <w:szCs w:val="24"/>
        </w:rPr>
        <w:t>PRIMERO. De la competencia</w:t>
      </w:r>
      <w:bookmarkEnd w:id="19"/>
      <w:bookmarkEnd w:id="20"/>
      <w:bookmarkEnd w:id="21"/>
      <w:bookmarkEnd w:id="22"/>
    </w:p>
    <w:p w14:paraId="201BC5FD" w14:textId="77777777" w:rsidR="00946C27" w:rsidRPr="00135C1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DFBD0C" w14:textId="7DE8BD28" w:rsidR="0079454A" w:rsidRPr="00135C14" w:rsidRDefault="00946C27" w:rsidP="00995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Times New Roman"/>
        </w:rPr>
        <w:t xml:space="preserve">Este </w:t>
      </w:r>
      <w:r w:rsidR="0079454A" w:rsidRPr="00135C14">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0079454A" w:rsidRPr="00135C14">
        <w:rPr>
          <w:rFonts w:ascii="Palatino Linotype" w:eastAsia="Calibri" w:hAnsi="Palatino Linotype"/>
          <w:bCs/>
          <w:color w:val="000000" w:themeColor="text1"/>
        </w:rPr>
        <w:lastRenderedPageBreak/>
        <w:t>Instituto de Transparencia, Acceso a la Información Pública y Protección de Datos Personales del Estado de México y Municipios</w:t>
      </w:r>
      <w:r w:rsidR="0079454A" w:rsidRPr="00135C14">
        <w:rPr>
          <w:rFonts w:ascii="Palatino Linotype" w:hAnsi="Palatino Linotype"/>
        </w:rPr>
        <w:t>.</w:t>
      </w:r>
    </w:p>
    <w:p w14:paraId="4E95FBF2" w14:textId="77777777" w:rsidR="00AF2D09" w:rsidRPr="00135C14" w:rsidRDefault="00AF2D09" w:rsidP="00AF2D0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Pr="00135C14"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135C14">
        <w:rPr>
          <w:rFonts w:ascii="Palatino Linotype" w:hAnsi="Palatino Linotype"/>
          <w:b/>
          <w:color w:val="auto"/>
          <w:sz w:val="24"/>
          <w:szCs w:val="24"/>
        </w:rPr>
        <w:t>SEGUNDO. De la oportunidad y procedencia.</w:t>
      </w:r>
      <w:bookmarkEnd w:id="23"/>
      <w:bookmarkEnd w:id="24"/>
      <w:bookmarkEnd w:id="25"/>
      <w:bookmarkEnd w:id="26"/>
    </w:p>
    <w:p w14:paraId="07C66EA2" w14:textId="77777777" w:rsidR="00946C27" w:rsidRPr="00135C1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38EFE1" w14:textId="5D72DD5C" w:rsidR="0058551C" w:rsidRPr="00135C14" w:rsidRDefault="00946C27" w:rsidP="0058551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135C14">
        <w:rPr>
          <w:rFonts w:ascii="Palatino Linotype" w:eastAsia="Calibri" w:hAnsi="Palatino Linotype" w:cs="Arial"/>
          <w:color w:val="000000" w:themeColor="text1"/>
          <w:lang w:val="es-ES"/>
        </w:rPr>
        <w:t xml:space="preserve"> </w:t>
      </w:r>
      <w:r w:rsidR="0058551C" w:rsidRPr="00135C14">
        <w:rPr>
          <w:rFonts w:ascii="Palatino Linotype" w:eastAsia="Calibri" w:hAnsi="Palatino Linotype" w:cs="Arial"/>
          <w:color w:val="000000" w:themeColor="text1"/>
          <w:lang w:val="es-ES"/>
        </w:rPr>
        <w:t xml:space="preserve">Es </w:t>
      </w:r>
      <w:r w:rsidR="0058551C" w:rsidRPr="00135C14">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58551C" w:rsidRPr="00135C14">
        <w:rPr>
          <w:rFonts w:ascii="Palatino Linotype" w:eastAsia="Calibri" w:hAnsi="Palatino Linotype" w:cs="Arial"/>
          <w:b/>
          <w:lang w:val="es-ES"/>
        </w:rPr>
        <w:t>SUJETO OBLIGADO</w:t>
      </w:r>
      <w:r w:rsidR="0058551C" w:rsidRPr="00135C14">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1AA2FB79" w14:textId="77777777" w:rsidR="0058551C" w:rsidRPr="00135C14" w:rsidRDefault="0058551C" w:rsidP="0058551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FE0193" w14:textId="77777777" w:rsidR="0058551C" w:rsidRPr="00135C14" w:rsidRDefault="0058551C" w:rsidP="0058551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eastAsia="Calibri" w:hAnsi="Palatino Linotype" w:cs="Arial"/>
          <w:lang w:val="es-ES"/>
        </w:rPr>
        <w:t xml:space="preserve">ende, se constituye la figura jurídica de la </w:t>
      </w:r>
      <w:r w:rsidRPr="00135C14">
        <w:rPr>
          <w:rFonts w:ascii="Palatino Linotype" w:eastAsia="Calibri" w:hAnsi="Palatino Linotype" w:cs="Arial"/>
          <w:i/>
          <w:lang w:val="es-ES"/>
        </w:rPr>
        <w:t>negativa ficta</w:t>
      </w:r>
      <w:r w:rsidRPr="00135C1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35C14">
        <w:rPr>
          <w:rFonts w:ascii="Palatino Linotype" w:eastAsia="Calibri" w:hAnsi="Palatino Linotype" w:cs="Arial"/>
          <w:b/>
          <w:lang w:val="es-ES"/>
        </w:rPr>
        <w:t>178</w:t>
      </w:r>
      <w:r w:rsidRPr="00135C14">
        <w:rPr>
          <w:rFonts w:ascii="Palatino Linotype" w:eastAsia="Calibri" w:hAnsi="Palatino Linotype" w:cs="Arial"/>
          <w:lang w:val="es-ES"/>
        </w:rPr>
        <w:t xml:space="preserve">, segundo párrafo, de </w:t>
      </w:r>
      <w:r w:rsidRPr="00135C14">
        <w:rPr>
          <w:rFonts w:ascii="Palatino Linotype" w:eastAsia="Calibri" w:hAnsi="Palatino Linotype" w:cs="Arial"/>
          <w:b/>
          <w:lang w:val="es-ES"/>
        </w:rPr>
        <w:t>Ley de Transparencia y Acceso a la Información Pública del Estado de México y Municipios</w:t>
      </w:r>
      <w:r w:rsidRPr="00135C14">
        <w:rPr>
          <w:rFonts w:ascii="Palatino Linotype" w:eastAsia="Calibri" w:hAnsi="Palatino Linotype" w:cs="Times New Roman"/>
          <w:color w:val="000000"/>
          <w:shd w:val="clear" w:color="auto" w:fill="FFFFFF"/>
        </w:rPr>
        <w:t xml:space="preserve">, el cual dispone que, ante la falta de respuesta del </w:t>
      </w:r>
      <w:r w:rsidRPr="00135C14">
        <w:rPr>
          <w:rFonts w:ascii="Palatino Linotype" w:eastAsia="Calibri" w:hAnsi="Palatino Linotype" w:cs="Times New Roman"/>
          <w:b/>
          <w:color w:val="000000"/>
          <w:shd w:val="clear" w:color="auto" w:fill="FFFFFF"/>
        </w:rPr>
        <w:t>SUJETO OBLIGADO</w:t>
      </w:r>
      <w:r w:rsidRPr="00135C14">
        <w:rPr>
          <w:rFonts w:ascii="Palatino Linotype" w:eastAsia="Calibri" w:hAnsi="Palatino Linotype" w:cs="Times New Roman"/>
          <w:color w:val="000000"/>
          <w:shd w:val="clear" w:color="auto" w:fill="FFFFFF"/>
        </w:rPr>
        <w:t xml:space="preserve"> dentro de los plazos establecidos en la Ley, a una solicitud de acceso a la información pública, el recurso </w:t>
      </w:r>
      <w:r w:rsidRPr="00135C14">
        <w:rPr>
          <w:rFonts w:ascii="Palatino Linotype" w:eastAsia="Calibri" w:hAnsi="Palatino Linotype" w:cs="Times New Roman"/>
          <w:b/>
          <w:color w:val="000000"/>
          <w:shd w:val="clear" w:color="auto" w:fill="FFFFFF"/>
        </w:rPr>
        <w:t>podrá ser interpuesto en cualquier momento.</w:t>
      </w:r>
    </w:p>
    <w:p w14:paraId="768F3C84" w14:textId="77777777" w:rsidR="0058551C" w:rsidRPr="00135C14" w:rsidRDefault="0058551C" w:rsidP="0058551C">
      <w:pPr>
        <w:pStyle w:val="Prrafodelista"/>
        <w:rPr>
          <w:rFonts w:ascii="Palatino Linotype" w:eastAsia="Calibri" w:hAnsi="Palatino Linotype" w:cs="Arial"/>
          <w:color w:val="000000" w:themeColor="text1"/>
          <w:lang w:val="es-ES"/>
        </w:rPr>
      </w:pPr>
    </w:p>
    <w:p w14:paraId="15CD022E" w14:textId="626B4334" w:rsidR="0058551C" w:rsidRPr="00135C14" w:rsidRDefault="0058551C" w:rsidP="0058551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eastAsia="Calibri" w:hAnsi="Palatino Linotype" w:cs="Arial"/>
          <w:lang w:val="es-ES"/>
        </w:rPr>
        <w:t xml:space="preserve">lo que, tratándose de la </w:t>
      </w:r>
      <w:r w:rsidRPr="00135C14">
        <w:rPr>
          <w:rFonts w:ascii="Palatino Linotype" w:eastAsia="Calibri" w:hAnsi="Palatino Linotype" w:cs="Arial"/>
          <w:i/>
          <w:lang w:val="es-ES"/>
        </w:rPr>
        <w:t>negativa ficta</w:t>
      </w:r>
      <w:r w:rsidRPr="00135C1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35C14">
        <w:rPr>
          <w:rFonts w:ascii="Palatino Linotype" w:eastAsia="Calibri" w:hAnsi="Palatino Linotype" w:cs="Arial"/>
          <w:i/>
          <w:lang w:val="es-ES"/>
        </w:rPr>
        <w:t>negativa ficta</w:t>
      </w:r>
      <w:r w:rsidRPr="00135C14">
        <w:rPr>
          <w:rFonts w:ascii="Palatino Linotype" w:eastAsia="Calibri" w:hAnsi="Palatino Linotype" w:cs="Arial"/>
          <w:lang w:val="es-ES"/>
        </w:rPr>
        <w:t>, que señala:</w:t>
      </w:r>
    </w:p>
    <w:p w14:paraId="216E60D9" w14:textId="74D95DF3" w:rsidR="0058551C" w:rsidRPr="00135C14" w:rsidRDefault="0058551C" w:rsidP="0058551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03A0D4B" w14:textId="18CF7E5D" w:rsidR="0058551C" w:rsidRPr="00135C14" w:rsidRDefault="0058551C" w:rsidP="0058551C">
      <w:pPr>
        <w:pStyle w:val="Prrafodelista"/>
        <w:tabs>
          <w:tab w:val="left" w:pos="7655"/>
        </w:tabs>
        <w:spacing w:after="240"/>
        <w:ind w:left="567" w:right="567"/>
        <w:jc w:val="center"/>
        <w:rPr>
          <w:rFonts w:ascii="Palatino Linotype" w:eastAsia="Calibri" w:hAnsi="Palatino Linotype" w:cs="Arial"/>
          <w:b/>
          <w:lang w:val="es-ES"/>
        </w:rPr>
      </w:pPr>
      <w:r w:rsidRPr="00135C14">
        <w:rPr>
          <w:rFonts w:ascii="Palatino Linotype" w:eastAsia="Calibri" w:hAnsi="Palatino Linotype" w:cs="Arial"/>
          <w:b/>
          <w:lang w:val="es-ES"/>
        </w:rPr>
        <w:t>Criterio 0001-15</w:t>
      </w:r>
    </w:p>
    <w:p w14:paraId="3BB46228" w14:textId="7C1A18E5" w:rsidR="0058551C" w:rsidRPr="00135C14" w:rsidRDefault="0058551C" w:rsidP="0058551C">
      <w:pPr>
        <w:tabs>
          <w:tab w:val="left" w:pos="7655"/>
        </w:tabs>
        <w:spacing w:before="240" w:after="240"/>
        <w:ind w:left="567" w:right="567"/>
        <w:jc w:val="both"/>
        <w:rPr>
          <w:rFonts w:ascii="Palatino Linotype" w:eastAsia="Calibri" w:hAnsi="Palatino Linotype" w:cs="Arial"/>
          <w:i/>
          <w:lang w:val="es-ES"/>
        </w:rPr>
      </w:pPr>
      <w:r w:rsidRPr="00135C14">
        <w:rPr>
          <w:rFonts w:ascii="Palatino Linotype" w:eastAsia="Calibri" w:hAnsi="Palatino Linotype" w:cs="Arial"/>
          <w:b/>
          <w:i/>
          <w:lang w:val="es-ES"/>
        </w:rPr>
        <w:t>NEGATIVA FICTA. PLAZO PARA INTERPONER EL RECURSO DE REVISIÓN TRATÁNDOSE DE.</w:t>
      </w:r>
      <w:r w:rsidRPr="00135C1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135C14">
        <w:rPr>
          <w:rFonts w:ascii="Palatino Linotype" w:eastAsia="Calibri" w:hAnsi="Palatino Linotype" w:cs="Arial"/>
          <w:i/>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25794DB2" w14:textId="77777777" w:rsidR="0058551C" w:rsidRPr="00135C14" w:rsidRDefault="0058551C" w:rsidP="0058551C">
      <w:pPr>
        <w:rPr>
          <w:rFonts w:ascii="Palatino Linotype" w:eastAsia="Calibri" w:hAnsi="Palatino Linotype" w:cs="Arial"/>
          <w:color w:val="000000" w:themeColor="text1"/>
          <w:lang w:val="es-ES"/>
        </w:rPr>
      </w:pPr>
    </w:p>
    <w:p w14:paraId="701FA917" w14:textId="76F3DC9B" w:rsidR="0058551C" w:rsidRPr="00135C14" w:rsidRDefault="0058551C" w:rsidP="0058551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Lo </w:t>
      </w:r>
      <w:r w:rsidRPr="00135C14">
        <w:rPr>
          <w:rFonts w:ascii="Palatino Linotype" w:eastAsia="Times New Roman" w:hAnsi="Palatino Linotype" w:cs="Arial"/>
          <w:color w:val="000000" w:themeColor="text1"/>
          <w:lang w:val="es-ES" w:eastAsia="es-MX"/>
        </w:rPr>
        <w:t xml:space="preserve">anterior, se explica porque la </w:t>
      </w:r>
      <w:r w:rsidRPr="00135C14">
        <w:rPr>
          <w:rFonts w:ascii="Palatino Linotype" w:eastAsia="Times New Roman" w:hAnsi="Palatino Linotype" w:cs="Arial"/>
          <w:b/>
          <w:color w:val="000000" w:themeColor="text1"/>
          <w:u w:val="single"/>
          <w:lang w:val="es-ES" w:eastAsia="es-MX"/>
        </w:rPr>
        <w:t>ausencia</w:t>
      </w:r>
      <w:r w:rsidRPr="00135C14">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135C14">
        <w:rPr>
          <w:rFonts w:ascii="Palatino Linotype" w:eastAsia="Times New Roman" w:hAnsi="Palatino Linotype" w:cs="Arial"/>
          <w:b/>
          <w:color w:val="000000" w:themeColor="text1"/>
          <w:lang w:val="es-ES" w:eastAsia="es-MX"/>
        </w:rPr>
        <w:t>SUJETO OBLIGADO</w:t>
      </w:r>
      <w:r w:rsidRPr="00135C14">
        <w:rPr>
          <w:rFonts w:ascii="Palatino Linotype" w:eastAsia="Times New Roman" w:hAnsi="Palatino Linotype" w:cs="Arial"/>
          <w:color w:val="000000" w:themeColor="text1"/>
          <w:lang w:val="es-ES" w:eastAsia="es-MX"/>
        </w:rPr>
        <w:t>.</w:t>
      </w:r>
    </w:p>
    <w:p w14:paraId="2DB35F8F" w14:textId="77777777" w:rsidR="000A64DA" w:rsidRPr="00135C14" w:rsidRDefault="000A64DA" w:rsidP="0058551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7BA1A1" w14:textId="392CE055" w:rsidR="00D371F7" w:rsidRPr="00135C14"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35C14">
        <w:rPr>
          <w:rFonts w:ascii="Palatino Linotype" w:eastAsia="Calibri" w:hAnsi="Palatino Linotype" w:cs="Arial"/>
        </w:rPr>
        <w:t xml:space="preserve">Por otra parte, de la revisión al expediente electrónico del </w:t>
      </w:r>
      <w:r w:rsidRPr="00135C14">
        <w:rPr>
          <w:rFonts w:ascii="Palatino Linotype" w:eastAsia="Calibri" w:hAnsi="Palatino Linotype" w:cs="Arial"/>
          <w:b/>
        </w:rPr>
        <w:t>SAIMEX</w:t>
      </w:r>
      <w:r w:rsidRPr="00135C14">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9F4687E" w14:textId="77777777" w:rsidR="00D371F7" w:rsidRPr="00135C14" w:rsidRDefault="00D371F7" w:rsidP="00D371F7">
      <w:pPr>
        <w:pStyle w:val="Prrafodelista"/>
        <w:ind w:left="0"/>
        <w:rPr>
          <w:rFonts w:ascii="Palatino Linotype" w:eastAsia="Calibri" w:hAnsi="Palatino Linotype" w:cs="Arial"/>
        </w:rPr>
      </w:pPr>
    </w:p>
    <w:p w14:paraId="40597CCB" w14:textId="77777777" w:rsidR="00D371F7" w:rsidRPr="00135C14"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35C14">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135C14">
        <w:rPr>
          <w:rFonts w:ascii="Palatino Linotype" w:eastAsia="Calibri" w:hAnsi="Palatino Linotype" w:cs="Arial"/>
          <w:bCs/>
          <w:lang w:val="es-ES"/>
        </w:rPr>
        <w:t>5, párrafos vigésimo, vigésimo primero y vigésimo segundo fracciones IV y V </w:t>
      </w:r>
      <w:r w:rsidRPr="00135C14">
        <w:rPr>
          <w:rFonts w:ascii="Palatino Linotype" w:eastAsia="Calibri" w:hAnsi="Palatino Linotype" w:cs="Arial"/>
        </w:rPr>
        <w:t xml:space="preserve">de la Constitución Política del Estado Libre y Soberano de México, se establece que toda </w:t>
      </w:r>
      <w:r w:rsidRPr="00135C14">
        <w:rPr>
          <w:rFonts w:ascii="Palatino Linotype" w:eastAsia="Calibri" w:hAnsi="Palatino Linotype" w:cs="Arial"/>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155B7A" w14:textId="77777777" w:rsidR="00D371F7" w:rsidRPr="00135C14" w:rsidRDefault="00D371F7" w:rsidP="00D371F7">
      <w:pPr>
        <w:pStyle w:val="Prrafodelista"/>
        <w:ind w:left="0"/>
        <w:rPr>
          <w:rFonts w:ascii="Palatino Linotype" w:eastAsia="Calibri" w:hAnsi="Palatino Linotype" w:cs="Arial"/>
        </w:rPr>
      </w:pPr>
    </w:p>
    <w:p w14:paraId="3105F337" w14:textId="0D1D4BFA" w:rsidR="00D371F7" w:rsidRPr="00135C14"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35C14">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F85D88" w14:textId="77777777" w:rsidR="0058551C" w:rsidRPr="00135C14" w:rsidRDefault="0058551C" w:rsidP="0058551C">
      <w:pPr>
        <w:spacing w:line="360" w:lineRule="auto"/>
        <w:contextualSpacing/>
        <w:jc w:val="both"/>
        <w:rPr>
          <w:rFonts w:ascii="Palatino Linotype" w:eastAsia="Calibri" w:hAnsi="Palatino Linotype" w:cs="Arial"/>
        </w:rPr>
      </w:pPr>
    </w:p>
    <w:p w14:paraId="4C505E4C" w14:textId="77777777" w:rsidR="00D371F7" w:rsidRPr="00135C14"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35C14">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23E67DF" w14:textId="77777777" w:rsidR="00D371F7" w:rsidRPr="00135C14" w:rsidRDefault="00D371F7" w:rsidP="00D371F7">
      <w:pPr>
        <w:pStyle w:val="Prrafodelista"/>
        <w:ind w:left="0"/>
        <w:rPr>
          <w:rFonts w:ascii="Palatino Linotype" w:eastAsia="Calibri" w:hAnsi="Palatino Linotype" w:cs="Arial"/>
        </w:rPr>
      </w:pPr>
    </w:p>
    <w:p w14:paraId="306ED988" w14:textId="6F239CD1" w:rsidR="00D371F7" w:rsidRPr="00135C14" w:rsidRDefault="00D371F7" w:rsidP="00D371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rPr>
        <w:t xml:space="preserve">Por lo que el nombre del solicitando y recurrente no puede ser considerado un requisito indispensable de procedibilidad del recurso de revisión que nos ocupa, ya </w:t>
      </w:r>
      <w:r w:rsidRPr="00135C14">
        <w:rPr>
          <w:rFonts w:ascii="Palatino Linotype" w:eastAsia="Calibri" w:hAnsi="Palatino Linotype" w:cs="Arial"/>
        </w:rPr>
        <w:lastRenderedPageBreak/>
        <w:t>que el acceso a la información no está condicionado a acreditar algún interés ya sea jurídico o legítimo, máxime que es un elemento subsanable por este Órgano Resolutor</w:t>
      </w:r>
    </w:p>
    <w:p w14:paraId="23867715" w14:textId="77777777" w:rsidR="00946C27" w:rsidRPr="00135C1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135C14"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hAnsi="Palatino Linotype"/>
        </w:rPr>
        <w:t>Por</w:t>
      </w:r>
      <w:r w:rsidRPr="00135C14">
        <w:rPr>
          <w:rFonts w:ascii="Palatino Linotype" w:eastAsia="Calibri" w:hAnsi="Palatino Linotype" w:cs="Arial"/>
        </w:rPr>
        <w:t xml:space="preserve"> otro lado, los</w:t>
      </w:r>
      <w:r w:rsidR="0032581C" w:rsidRPr="00135C14">
        <w:rPr>
          <w:rFonts w:ascii="Palatino Linotype" w:eastAsia="Calibri" w:hAnsi="Palatino Linotype" w:cs="Arial"/>
        </w:rPr>
        <w:t xml:space="preserve"> escrito</w:t>
      </w:r>
      <w:r w:rsidRPr="00135C14">
        <w:rPr>
          <w:rFonts w:ascii="Palatino Linotype" w:eastAsia="Calibri" w:hAnsi="Palatino Linotype" w:cs="Arial"/>
        </w:rPr>
        <w:t>s</w:t>
      </w:r>
      <w:r w:rsidR="0032581C" w:rsidRPr="00135C14">
        <w:rPr>
          <w:rFonts w:ascii="Palatino Linotype" w:eastAsia="Calibri" w:hAnsi="Palatino Linotype" w:cs="Arial"/>
        </w:rPr>
        <w:t xml:space="preserve"> contiene</w:t>
      </w:r>
      <w:r w:rsidRPr="00135C14">
        <w:rPr>
          <w:rFonts w:ascii="Palatino Linotype" w:eastAsia="Calibri" w:hAnsi="Palatino Linotype" w:cs="Arial"/>
        </w:rPr>
        <w:t>n</w:t>
      </w:r>
      <w:r w:rsidR="0032581C" w:rsidRPr="00135C14">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135C14"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0E2ACF5C" w:rsidR="00946C27" w:rsidRPr="00135C14"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135C14">
        <w:rPr>
          <w:rFonts w:ascii="Palatino Linotype" w:hAnsi="Palatino Linotype"/>
          <w:b/>
          <w:color w:val="auto"/>
          <w:sz w:val="24"/>
          <w:szCs w:val="24"/>
        </w:rPr>
        <w:t xml:space="preserve">TERCERO. </w:t>
      </w:r>
      <w:bookmarkEnd w:id="30"/>
      <w:bookmarkEnd w:id="31"/>
      <w:bookmarkEnd w:id="32"/>
      <w:r w:rsidR="000936ED" w:rsidRPr="00135C14">
        <w:rPr>
          <w:rFonts w:ascii="Palatino Linotype" w:hAnsi="Palatino Linotype"/>
          <w:b/>
          <w:color w:val="auto"/>
          <w:sz w:val="24"/>
          <w:szCs w:val="24"/>
        </w:rPr>
        <w:t>Planteamiento de la Litis.</w:t>
      </w:r>
    </w:p>
    <w:p w14:paraId="27890AD2" w14:textId="77777777" w:rsidR="00946C27" w:rsidRPr="00135C14" w:rsidRDefault="00946C27" w:rsidP="00946C27">
      <w:pPr>
        <w:rPr>
          <w:rFonts w:ascii="Palatino Linotype" w:hAnsi="Palatino Linotype"/>
          <w:lang w:eastAsia="en-US"/>
        </w:rPr>
      </w:pPr>
    </w:p>
    <w:p w14:paraId="7196A155" w14:textId="77777777" w:rsidR="007C0C12" w:rsidRPr="00135C14"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135C14">
        <w:rPr>
          <w:rFonts w:ascii="Palatino Linotype" w:eastAsia="Calibri" w:hAnsi="Palatino Linotype" w:cs="Arial"/>
          <w:color w:val="000000" w:themeColor="text1"/>
          <w:lang w:val="es-ES"/>
        </w:rPr>
        <w:t xml:space="preserve">El </w:t>
      </w:r>
      <w:r w:rsidRPr="00135C14">
        <w:rPr>
          <w:rFonts w:ascii="Palatino Linotype" w:eastAsia="MS Gothic" w:hAnsi="Palatino Linotype" w:cstheme="majorBidi"/>
        </w:rPr>
        <w:t xml:space="preserve">Particular solicitó </w:t>
      </w:r>
      <w:r w:rsidR="007C0C12" w:rsidRPr="00135C14">
        <w:rPr>
          <w:rFonts w:ascii="Palatino Linotype" w:eastAsia="MS Gothic" w:hAnsi="Palatino Linotype" w:cstheme="majorBidi"/>
        </w:rPr>
        <w:t xml:space="preserve">los contratos de apertura de cuentas bancarias durante dos mil veintidós. </w:t>
      </w:r>
    </w:p>
    <w:p w14:paraId="484B6CCB" w14:textId="77777777" w:rsidR="007C0C12" w:rsidRPr="00135C14" w:rsidRDefault="007C0C12" w:rsidP="007C0C1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FC2846" w14:textId="424375E1" w:rsidR="000936ED" w:rsidRPr="00135C14" w:rsidRDefault="007C0C12"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hAnsi="Palatino Linotype" w:cs="Arial"/>
        </w:rPr>
        <w:t xml:space="preserve">El </w:t>
      </w:r>
      <w:r w:rsidRPr="00135C14">
        <w:rPr>
          <w:rFonts w:ascii="Palatino Linotype" w:hAnsi="Palatino Linotype" w:cs="Arial"/>
          <w:b/>
          <w:bCs/>
        </w:rPr>
        <w:t>SUJETO OBLIGADO</w:t>
      </w:r>
      <w:r w:rsidRPr="00135C14">
        <w:rPr>
          <w:rFonts w:ascii="Palatino Linotype" w:hAnsi="Palatino Linotype" w:cs="Arial"/>
        </w:rPr>
        <w:t xml:space="preserve"> no respondió a la solicitud de información. Derivado de lo anterior, el ahora </w:t>
      </w:r>
      <w:r w:rsidRPr="00135C14">
        <w:rPr>
          <w:rFonts w:ascii="Palatino Linotype" w:hAnsi="Palatino Linotype" w:cs="Arial"/>
          <w:b/>
          <w:bCs/>
        </w:rPr>
        <w:t>RECURRENTE</w:t>
      </w:r>
      <w:r w:rsidRPr="00135C14">
        <w:rPr>
          <w:rFonts w:ascii="Palatino Linotype" w:hAnsi="Palatino Linotype" w:cs="Arial"/>
        </w:rPr>
        <w:t xml:space="preserve"> promovió el recurso de revisión indicado al rubro, y en el que señaló por agravios, la negativa a su solicitud de información.</w:t>
      </w:r>
    </w:p>
    <w:p w14:paraId="04BA8021" w14:textId="77777777" w:rsidR="007C0C12" w:rsidRPr="00135C14" w:rsidRDefault="007C0C12" w:rsidP="007C0C12">
      <w:pPr>
        <w:rPr>
          <w:rFonts w:ascii="Palatino Linotype" w:eastAsia="Calibri" w:hAnsi="Palatino Linotype" w:cs="Arial"/>
          <w:color w:val="000000" w:themeColor="text1"/>
          <w:lang w:val="es-ES"/>
        </w:rPr>
      </w:pPr>
    </w:p>
    <w:p w14:paraId="6D77CE12" w14:textId="77777777" w:rsidR="007C0C12" w:rsidRPr="00135C14" w:rsidRDefault="007C0C12" w:rsidP="007C0C1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hAnsi="Palatino Linotype" w:cs="Arial"/>
        </w:rPr>
        <w:t xml:space="preserve">En ese sentido, esta Ponencia Resolutora advierte que el agravio manifestado por el </w:t>
      </w:r>
      <w:r w:rsidRPr="00135C14">
        <w:rPr>
          <w:rFonts w:ascii="Palatino Linotype" w:hAnsi="Palatino Linotype" w:cs="Arial"/>
          <w:b/>
          <w:bCs/>
        </w:rPr>
        <w:t>Recurrente</w:t>
      </w:r>
      <w:r w:rsidRPr="00135C14">
        <w:rPr>
          <w:rFonts w:ascii="Palatino Linotype" w:hAnsi="Palatino Linotype" w:cs="Arial"/>
        </w:rPr>
        <w:t xml:space="preserve"> a través del recurso de revisión </w:t>
      </w:r>
      <w:r w:rsidRPr="00135C14">
        <w:rPr>
          <w:rFonts w:ascii="Palatino Linotype" w:hAnsi="Palatino Linotype" w:cs="Arial"/>
          <w:b/>
          <w:bCs/>
        </w:rPr>
        <w:t>17228/INFOEM/IP/RR/2022</w:t>
      </w:r>
      <w:r w:rsidRPr="00135C14">
        <w:rPr>
          <w:rFonts w:ascii="Palatino Linotype" w:hAnsi="Palatino Linotype" w:cs="Arial"/>
        </w:rPr>
        <w:t xml:space="preserve"> sugiere que la omisión del </w:t>
      </w:r>
      <w:r w:rsidRPr="00135C14">
        <w:rPr>
          <w:rFonts w:ascii="Palatino Linotype" w:hAnsi="Palatino Linotype" w:cs="Arial"/>
          <w:b/>
          <w:bCs/>
        </w:rPr>
        <w:t>SUJETO OBLIGADO</w:t>
      </w:r>
      <w:r w:rsidRPr="00135C14">
        <w:rPr>
          <w:rFonts w:ascii="Palatino Linotype" w:hAnsi="Palatino Linotype" w:cs="Arial"/>
        </w:rPr>
        <w:t xml:space="preserve"> no cumplió con el principio contendido en el artículo 11 de la Ley de Transparencia y Acceso a la Información </w:t>
      </w:r>
      <w:r w:rsidRPr="00135C14">
        <w:rPr>
          <w:rFonts w:ascii="Palatino Linotype" w:hAnsi="Palatino Linotype" w:cs="Arial"/>
        </w:rPr>
        <w:lastRenderedPageBreak/>
        <w:t xml:space="preserve">Pública del Estado de México y Municipios, el cual señala que en la generación, publicación y entrega de información se deberá garantizar que ésta sea </w:t>
      </w:r>
      <w:r w:rsidRPr="00135C14">
        <w:rPr>
          <w:rFonts w:ascii="Palatino Linotype" w:hAnsi="Palatino Linotype" w:cs="Arial"/>
          <w:b/>
          <w:bCs/>
        </w:rPr>
        <w:t>oportuna</w:t>
      </w:r>
      <w:r w:rsidRPr="00135C14">
        <w:rPr>
          <w:rFonts w:ascii="Palatino Linotype" w:hAnsi="Palatino Linotype" w:cs="Arial"/>
        </w:rPr>
        <w:t>.</w:t>
      </w:r>
    </w:p>
    <w:p w14:paraId="282974AA" w14:textId="77777777" w:rsidR="007C0C12" w:rsidRPr="00135C14" w:rsidRDefault="007C0C12" w:rsidP="007C0C12">
      <w:pPr>
        <w:rPr>
          <w:rFonts w:ascii="Palatino Linotype" w:eastAsia="Calibri" w:hAnsi="Palatino Linotype" w:cs="Arial"/>
          <w:color w:val="000000" w:themeColor="text1"/>
          <w:lang w:val="es-ES"/>
        </w:rPr>
      </w:pPr>
    </w:p>
    <w:p w14:paraId="3EA8D306" w14:textId="7AE2E4FE" w:rsidR="007C0C12" w:rsidRPr="00135C14" w:rsidRDefault="007C0C12" w:rsidP="007C0C1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hAnsi="Palatino Linotype" w:cs="Arial"/>
        </w:rPr>
        <w:t xml:space="preserve">lo anterior, la </w:t>
      </w:r>
      <w:r w:rsidRPr="00135C14">
        <w:rPr>
          <w:rFonts w:ascii="Palatino Linotype" w:hAnsi="Palatino Linotype" w:cs="Arial"/>
          <w:i/>
        </w:rPr>
        <w:t>Litis</w:t>
      </w:r>
      <w:r w:rsidRPr="00135C14">
        <w:rPr>
          <w:rFonts w:ascii="Palatino Linotype" w:hAnsi="Palatino Linotype" w:cs="Arial"/>
        </w:rPr>
        <w:t xml:space="preserve"> a resolver en el presente recurso se circunscribe en determinar si el </w:t>
      </w:r>
      <w:r w:rsidRPr="00135C14">
        <w:rPr>
          <w:rFonts w:ascii="Palatino Linotype" w:hAnsi="Palatino Linotype" w:cs="Arial"/>
          <w:b/>
          <w:bCs/>
        </w:rPr>
        <w:t>SUJETO OBLIGADO</w:t>
      </w:r>
      <w:r w:rsidRPr="00135C14">
        <w:rPr>
          <w:rFonts w:ascii="Palatino Linotype" w:hAnsi="Palatino Linotype" w:cs="Arial"/>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34A1771D" w14:textId="2ED60124" w:rsidR="007C0C12" w:rsidRPr="00135C14" w:rsidRDefault="007C0C12" w:rsidP="007C0C1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3F0C4B" w14:textId="77777777" w:rsidR="007C0C12" w:rsidRPr="00135C14" w:rsidRDefault="007C0C12" w:rsidP="007C0C12">
      <w:pPr>
        <w:pStyle w:val="Sinespaciado"/>
        <w:ind w:left="567" w:right="567"/>
        <w:jc w:val="both"/>
        <w:rPr>
          <w:rFonts w:ascii="Palatino Linotype" w:hAnsi="Palatino Linotype"/>
          <w:i/>
          <w:color w:val="000000" w:themeColor="text1"/>
          <w:sz w:val="22"/>
        </w:rPr>
      </w:pPr>
      <w:r w:rsidRPr="00135C14">
        <w:rPr>
          <w:rFonts w:ascii="Palatino Linotype" w:hAnsi="Palatino Linotype"/>
          <w:i/>
          <w:color w:val="000000" w:themeColor="text1"/>
          <w:sz w:val="22"/>
        </w:rPr>
        <w:t>“</w:t>
      </w:r>
      <w:r w:rsidRPr="00135C14">
        <w:rPr>
          <w:rFonts w:ascii="Palatino Linotype" w:hAnsi="Palatino Linotype"/>
          <w:b/>
          <w:i/>
          <w:color w:val="000000" w:themeColor="text1"/>
          <w:sz w:val="22"/>
        </w:rPr>
        <w:t>Artículo 179.</w:t>
      </w:r>
      <w:r w:rsidRPr="00135C1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EC75B8E" w14:textId="77777777" w:rsidR="007C0C12" w:rsidRPr="00135C14" w:rsidRDefault="007C0C12" w:rsidP="007C0C12">
      <w:pPr>
        <w:pStyle w:val="Sinespaciado"/>
        <w:ind w:left="567" w:right="567"/>
        <w:jc w:val="both"/>
        <w:rPr>
          <w:rFonts w:ascii="Palatino Linotype" w:hAnsi="Palatino Linotype"/>
          <w:i/>
          <w:color w:val="000000" w:themeColor="text1"/>
          <w:sz w:val="22"/>
        </w:rPr>
      </w:pPr>
      <w:r w:rsidRPr="00135C14">
        <w:rPr>
          <w:rFonts w:ascii="Palatino Linotype" w:hAnsi="Palatino Linotype"/>
          <w:b/>
          <w:bCs/>
          <w:i/>
          <w:color w:val="000000" w:themeColor="text1"/>
          <w:sz w:val="22"/>
        </w:rPr>
        <w:t>I.</w:t>
      </w:r>
      <w:r w:rsidRPr="00135C14">
        <w:rPr>
          <w:rFonts w:ascii="Palatino Linotype" w:hAnsi="Palatino Linotype"/>
          <w:i/>
          <w:color w:val="000000" w:themeColor="text1"/>
          <w:sz w:val="22"/>
        </w:rPr>
        <w:t xml:space="preserve"> La negativa a la información solicitada;</w:t>
      </w:r>
    </w:p>
    <w:p w14:paraId="41104D46" w14:textId="77777777" w:rsidR="007C0C12" w:rsidRPr="00135C14" w:rsidRDefault="007C0C12" w:rsidP="007C0C12">
      <w:pPr>
        <w:pStyle w:val="Sinespaciado"/>
        <w:ind w:left="567" w:right="567"/>
        <w:jc w:val="both"/>
        <w:rPr>
          <w:rFonts w:ascii="Palatino Linotype" w:hAnsi="Palatino Linotype"/>
          <w:i/>
          <w:color w:val="000000" w:themeColor="text1"/>
          <w:sz w:val="22"/>
        </w:rPr>
      </w:pPr>
      <w:r w:rsidRPr="00135C14">
        <w:rPr>
          <w:rFonts w:ascii="Palatino Linotype" w:hAnsi="Palatino Linotype"/>
          <w:i/>
          <w:color w:val="000000" w:themeColor="text1"/>
          <w:sz w:val="22"/>
        </w:rPr>
        <w:t>(…)</w:t>
      </w:r>
    </w:p>
    <w:p w14:paraId="2971457B" w14:textId="77777777" w:rsidR="007C0C12" w:rsidRPr="00135C14" w:rsidRDefault="007C0C12" w:rsidP="007C0C12">
      <w:pPr>
        <w:pStyle w:val="Sinespaciado"/>
        <w:ind w:left="567" w:right="567"/>
        <w:jc w:val="both"/>
        <w:rPr>
          <w:rFonts w:ascii="Palatino Linotype" w:hAnsi="Palatino Linotype"/>
          <w:i/>
          <w:color w:val="000000" w:themeColor="text1"/>
          <w:sz w:val="22"/>
        </w:rPr>
      </w:pPr>
      <w:r w:rsidRPr="00135C14">
        <w:rPr>
          <w:rFonts w:ascii="Palatino Linotype" w:hAnsi="Palatino Linotype"/>
          <w:b/>
          <w:bCs/>
          <w:i/>
          <w:color w:val="000000" w:themeColor="text1"/>
          <w:sz w:val="22"/>
        </w:rPr>
        <w:t>VII.</w:t>
      </w:r>
      <w:r w:rsidRPr="00135C14">
        <w:rPr>
          <w:rFonts w:ascii="Palatino Linotype" w:hAnsi="Palatino Linotype"/>
          <w:i/>
          <w:color w:val="000000" w:themeColor="text1"/>
          <w:sz w:val="22"/>
        </w:rPr>
        <w:t xml:space="preserve"> La falta de respuesta a una solicitud de acceso a la información;</w:t>
      </w:r>
    </w:p>
    <w:p w14:paraId="72A1EC61" w14:textId="4B6CBC5B" w:rsidR="000936ED" w:rsidRPr="00135C14" w:rsidRDefault="007C0C12" w:rsidP="007C0C12">
      <w:pPr>
        <w:pStyle w:val="Sinespaciado"/>
        <w:ind w:left="567" w:right="567"/>
        <w:jc w:val="both"/>
        <w:rPr>
          <w:rFonts w:ascii="Palatino Linotype" w:hAnsi="Palatino Linotype"/>
          <w:i/>
          <w:color w:val="000000" w:themeColor="text1"/>
          <w:sz w:val="22"/>
        </w:rPr>
      </w:pPr>
      <w:r w:rsidRPr="00135C14">
        <w:rPr>
          <w:rFonts w:ascii="Palatino Linotype" w:hAnsi="Palatino Linotype"/>
          <w:i/>
          <w:color w:val="000000" w:themeColor="text1"/>
          <w:sz w:val="22"/>
        </w:rPr>
        <w:t>(…)”</w:t>
      </w:r>
    </w:p>
    <w:p w14:paraId="7D97F257" w14:textId="77777777" w:rsidR="007A7573" w:rsidRPr="00135C14"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DB5C28" w14:textId="600C7383" w:rsidR="00FA1E0A" w:rsidRPr="00135C14" w:rsidRDefault="007A7573" w:rsidP="00FA1E0A">
      <w:pPr>
        <w:keepNext/>
        <w:keepLines/>
        <w:spacing w:line="360" w:lineRule="auto"/>
        <w:ind w:right="48"/>
        <w:outlineLvl w:val="0"/>
        <w:rPr>
          <w:rFonts w:ascii="Palatino Linotype" w:eastAsia="MS Gothic" w:hAnsi="Palatino Linotype" w:cstheme="majorBidi"/>
          <w:b/>
        </w:rPr>
      </w:pPr>
      <w:bookmarkStart w:id="37" w:name="_Toc70417466"/>
      <w:bookmarkStart w:id="38" w:name="_Toc80812775"/>
      <w:bookmarkStart w:id="39" w:name="_Toc83301638"/>
      <w:r w:rsidRPr="00135C14">
        <w:rPr>
          <w:rFonts w:ascii="Palatino Linotype" w:eastAsia="MS Gothic" w:hAnsi="Palatino Linotype" w:cstheme="majorBidi"/>
          <w:b/>
        </w:rPr>
        <w:t>CUARTO. Del estudio y resolución del recurso de revisión.</w:t>
      </w:r>
      <w:bookmarkEnd w:id="37"/>
      <w:bookmarkEnd w:id="38"/>
      <w:bookmarkEnd w:id="39"/>
    </w:p>
    <w:p w14:paraId="446B43EC" w14:textId="325D8864" w:rsidR="00FA1E0A" w:rsidRPr="00135C14"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0" w:name="_Toc498528948"/>
      <w:bookmarkStart w:id="41" w:name="_Toc71234379"/>
      <w:bookmarkStart w:id="42" w:name="_Toc71239557"/>
      <w:bookmarkStart w:id="43" w:name="_Toc80812776"/>
      <w:bookmarkStart w:id="44" w:name="_Toc83301639"/>
      <w:r w:rsidRPr="00135C14">
        <w:rPr>
          <w:rFonts w:ascii="Palatino Linotype" w:eastAsia="MS Gothic" w:hAnsi="Palatino Linotype"/>
          <w:b/>
        </w:rPr>
        <w:t>De</w:t>
      </w:r>
      <w:bookmarkEnd w:id="40"/>
      <w:r w:rsidRPr="00135C14">
        <w:rPr>
          <w:rFonts w:ascii="Palatino Linotype" w:eastAsia="MS Gothic" w:hAnsi="Palatino Linotype"/>
          <w:b/>
        </w:rPr>
        <w:t xml:space="preserve">l </w:t>
      </w:r>
      <w:bookmarkEnd w:id="41"/>
      <w:bookmarkEnd w:id="42"/>
      <w:bookmarkEnd w:id="43"/>
      <w:bookmarkEnd w:id="44"/>
      <w:r w:rsidR="00C9774E" w:rsidRPr="00135C14">
        <w:rPr>
          <w:rFonts w:ascii="Palatino Linotype" w:hAnsi="Palatino Linotype"/>
          <w:b/>
          <w:bCs/>
          <w:color w:val="000000" w:themeColor="text1"/>
        </w:rPr>
        <w:t>deber de las autoridades de promover, respetar, proteger y garantizar el derecho de acceso a la información pública.</w:t>
      </w:r>
    </w:p>
    <w:p w14:paraId="09CB2DBB" w14:textId="2B0A8963" w:rsidR="007A7573" w:rsidRPr="00135C14" w:rsidRDefault="007A7573"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CA8724" w14:textId="09232437" w:rsidR="00C9774E" w:rsidRPr="00135C14" w:rsidRDefault="00C9774E" w:rsidP="00C977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Es </w:t>
      </w:r>
      <w:r w:rsidRPr="00135C14">
        <w:rPr>
          <w:rFonts w:ascii="Palatino Linotype" w:hAnsi="Palatino Linotype"/>
          <w:color w:val="000000" w:themeColor="text1"/>
        </w:rPr>
        <w:t>menester precisar</w:t>
      </w:r>
      <w:r w:rsidRPr="00135C14">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135C14">
        <w:rPr>
          <w:rFonts w:ascii="Palatino Linotype" w:hAnsi="Palatino Linotype"/>
          <w:bCs/>
          <w:color w:val="000000" w:themeColor="text1"/>
        </w:rPr>
        <w:lastRenderedPageBreak/>
        <w:t xml:space="preserve">Política de los Estados Unidos Mexicanos y en el artículo quinto de la Constitución Estatal; por consiguiente, el </w:t>
      </w:r>
      <w:r w:rsidRPr="00135C14">
        <w:rPr>
          <w:rFonts w:ascii="Palatino Linotype" w:hAnsi="Palatino Linotype"/>
          <w:b/>
          <w:bCs/>
          <w:color w:val="000000" w:themeColor="text1"/>
        </w:rPr>
        <w:t>SUJETO OBLIGADO</w:t>
      </w:r>
      <w:r w:rsidRPr="00135C14">
        <w:rPr>
          <w:rFonts w:ascii="Palatino Linotype" w:hAnsi="Palatino Linotype"/>
          <w:bCs/>
          <w:color w:val="000000" w:themeColor="text1"/>
        </w:rPr>
        <w:t xml:space="preserve"> debe ser cuidadoso del debido cumplimiento de las obligaciones constitucionales que se le imponen, pues todas las autoridades, en el ámbito de su competencia, según lo dispone el tercer párrafo del artículo primero de la Constitución Política de los Estados Unidos Mexicanos, tienen</w:t>
      </w:r>
      <w:r w:rsidRPr="00135C14">
        <w:rPr>
          <w:rFonts w:ascii="Palatino Linotype" w:hAnsi="Palatino Linotype"/>
          <w:b/>
          <w:bCs/>
          <w:color w:val="000000" w:themeColor="text1"/>
        </w:rPr>
        <w:t xml:space="preserve"> </w:t>
      </w:r>
      <w:r w:rsidRPr="00135C14">
        <w:rPr>
          <w:rFonts w:ascii="Palatino Linotype" w:hAnsi="Palatino Linotype"/>
          <w:bCs/>
          <w:color w:val="000000" w:themeColor="text1"/>
        </w:rPr>
        <w:t xml:space="preserve">la obligación de “promover, </w:t>
      </w:r>
      <w:r w:rsidRPr="00135C14">
        <w:rPr>
          <w:rFonts w:ascii="Palatino Linotype" w:hAnsi="Palatino Linotype"/>
          <w:b/>
          <w:bCs/>
          <w:color w:val="000000" w:themeColor="text1"/>
        </w:rPr>
        <w:t>respetar</w:t>
      </w:r>
      <w:r w:rsidRPr="00135C14">
        <w:rPr>
          <w:rFonts w:ascii="Palatino Linotype" w:hAnsi="Palatino Linotype"/>
          <w:bCs/>
          <w:color w:val="000000" w:themeColor="text1"/>
        </w:rPr>
        <w:t xml:space="preserve">, proteger y </w:t>
      </w:r>
      <w:r w:rsidRPr="00135C14">
        <w:rPr>
          <w:rFonts w:ascii="Palatino Linotype" w:hAnsi="Palatino Linotype"/>
          <w:b/>
          <w:bCs/>
          <w:color w:val="000000" w:themeColor="text1"/>
        </w:rPr>
        <w:t>garantizar</w:t>
      </w:r>
      <w:r w:rsidRPr="00135C14">
        <w:rPr>
          <w:rFonts w:ascii="Palatino Linotype" w:hAnsi="Palatino Linotype"/>
          <w:bCs/>
          <w:color w:val="000000" w:themeColor="text1"/>
        </w:rPr>
        <w:t xml:space="preserve"> los derechos humanos”, entre los cuales se encuentra dicho derecho.</w:t>
      </w:r>
    </w:p>
    <w:p w14:paraId="382FCC23" w14:textId="1DAF4294"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3C08F604" w14:textId="355AF066"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CC53E23" w14:textId="77777777"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8BBDBB" w14:textId="326F5B44"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Así </w:t>
      </w:r>
      <w:r w:rsidRPr="00135C14">
        <w:rPr>
          <w:rFonts w:ascii="Palatino Linotype" w:hAnsi="Palatino Linotype"/>
          <w:color w:val="000000" w:themeColor="text1"/>
        </w:rPr>
        <w:t xml:space="preserve">las cosas, podemos definir el Derecho de Acceso a la Información Pública como: </w:t>
      </w:r>
      <w:r w:rsidRPr="00135C14">
        <w:rPr>
          <w:rFonts w:ascii="Palatino Linotype" w:hAnsi="Palatino Linotype"/>
          <w:i/>
          <w:color w:val="000000" w:themeColor="text1"/>
        </w:rPr>
        <w:t>La igualdad de oportunidades para recibir, buscar e impartir información</w:t>
      </w:r>
      <w:r w:rsidRPr="00135C14">
        <w:rPr>
          <w:rFonts w:ascii="Palatino Linotype" w:hAnsi="Palatino Linotype"/>
          <w:i/>
          <w:color w:val="000000" w:themeColor="text1"/>
          <w:vertAlign w:val="superscript"/>
        </w:rPr>
        <w:footnoteReference w:id="1"/>
      </w:r>
      <w:r w:rsidRPr="00135C14">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5C14">
        <w:rPr>
          <w:rFonts w:ascii="Palatino Linotype" w:hAnsi="Palatino Linotype"/>
          <w:i/>
          <w:color w:val="000000" w:themeColor="text1"/>
          <w:vertAlign w:val="superscript"/>
        </w:rPr>
        <w:footnoteReference w:id="2"/>
      </w:r>
      <w:r w:rsidRPr="00135C14">
        <w:rPr>
          <w:rFonts w:ascii="Palatino Linotype" w:hAnsi="Palatino Linotype"/>
          <w:color w:val="000000" w:themeColor="text1"/>
        </w:rPr>
        <w:t>que se constituye como una herramienta fundamental para ejercer</w:t>
      </w:r>
      <w:r w:rsidRPr="00135C14">
        <w:rPr>
          <w:rFonts w:ascii="Palatino Linotype" w:hAnsi="Palatino Linotype"/>
          <w:i/>
          <w:color w:val="000000" w:themeColor="text1"/>
        </w:rPr>
        <w:t xml:space="preserve"> el control democrático de las gestiones estatales, </w:t>
      </w:r>
      <w:r w:rsidRPr="00135C14">
        <w:rPr>
          <w:rFonts w:ascii="Palatino Linotype" w:hAnsi="Palatino Linotype"/>
          <w:i/>
          <w:color w:val="000000" w:themeColor="text1"/>
        </w:rPr>
        <w:lastRenderedPageBreak/>
        <w:t>de forma tal que puedan cuestionar, indagar y considerar si se está dando un adecuado cumplimiento a las funciones públicas,</w:t>
      </w:r>
      <w:r w:rsidRPr="00135C14">
        <w:rPr>
          <w:rFonts w:ascii="Palatino Linotype" w:hAnsi="Palatino Linotype"/>
          <w:i/>
          <w:color w:val="000000" w:themeColor="text1"/>
          <w:vertAlign w:val="superscript"/>
        </w:rPr>
        <w:footnoteReference w:id="3"/>
      </w:r>
      <w:r w:rsidRPr="00135C14">
        <w:rPr>
          <w:rFonts w:ascii="Palatino Linotype" w:hAnsi="Palatino Linotype"/>
          <w:i/>
          <w:color w:val="000000" w:themeColor="text1"/>
        </w:rPr>
        <w:t xml:space="preserve"> </w:t>
      </w:r>
      <w:r w:rsidRPr="00135C14">
        <w:rPr>
          <w:rFonts w:ascii="Palatino Linotype" w:hAnsi="Palatino Linotype"/>
          <w:color w:val="000000" w:themeColor="text1"/>
        </w:rPr>
        <w:t>fomentando</w:t>
      </w:r>
      <w:r w:rsidRPr="00135C14">
        <w:rPr>
          <w:rFonts w:ascii="Palatino Linotype" w:hAnsi="Palatino Linotype"/>
          <w:i/>
          <w:color w:val="000000" w:themeColor="text1"/>
        </w:rPr>
        <w:t xml:space="preserve"> la transparencia de las actividades estatales y </w:t>
      </w:r>
      <w:r w:rsidRPr="00135C14">
        <w:rPr>
          <w:rFonts w:ascii="Palatino Linotype" w:hAnsi="Palatino Linotype"/>
          <w:color w:val="000000" w:themeColor="text1"/>
        </w:rPr>
        <w:t>promoviendo</w:t>
      </w:r>
      <w:r w:rsidRPr="00135C14">
        <w:rPr>
          <w:rFonts w:ascii="Palatino Linotype" w:hAnsi="Palatino Linotype"/>
          <w:i/>
          <w:color w:val="000000" w:themeColor="text1"/>
        </w:rPr>
        <w:t xml:space="preserve"> la responsabilidad de los funcionarios sobre su gestión pública,</w:t>
      </w:r>
      <w:r w:rsidRPr="00135C14">
        <w:rPr>
          <w:rFonts w:ascii="Palatino Linotype" w:hAnsi="Palatino Linotype"/>
          <w:i/>
          <w:color w:val="000000" w:themeColor="text1"/>
          <w:vertAlign w:val="superscript"/>
        </w:rPr>
        <w:footnoteReference w:id="4"/>
      </w:r>
      <w:r w:rsidRPr="00135C14">
        <w:rPr>
          <w:rFonts w:ascii="Palatino Linotype" w:hAnsi="Palatino Linotype"/>
          <w:color w:val="000000" w:themeColor="text1"/>
        </w:rPr>
        <w:t>que permite</w:t>
      </w:r>
      <w:r w:rsidRPr="00135C14">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05536EE3" w14:textId="77777777"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72873B" w14:textId="159B0775"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Dentro </w:t>
      </w:r>
      <w:r w:rsidRPr="00135C14">
        <w:rPr>
          <w:rFonts w:ascii="Palatino Linotype" w:eastAsia="Times New Roman" w:hAnsi="Palatino Linotype"/>
        </w:rPr>
        <w:t xml:space="preserve">del caso que nos ocupa, y de las constancias que obran en el expediente digital del SAIMEX, se tiene que el particular, a través de la solicitud de información </w:t>
      </w:r>
      <w:r w:rsidRPr="00135C14">
        <w:rPr>
          <w:rFonts w:ascii="Palatino Linotype" w:eastAsia="Times New Roman" w:hAnsi="Palatino Linotype"/>
          <w:b/>
          <w:bCs/>
        </w:rPr>
        <w:t>01207/ZINACANT/IP/2022</w:t>
      </w:r>
      <w:r w:rsidRPr="00135C14">
        <w:rPr>
          <w:rFonts w:ascii="Palatino Linotype" w:eastAsia="Times New Roman" w:hAnsi="Palatino Linotype"/>
        </w:rPr>
        <w:t xml:space="preserve">, pretende acceder a </w:t>
      </w:r>
      <w:r w:rsidRPr="00135C14">
        <w:rPr>
          <w:rFonts w:ascii="Palatino Linotype" w:hAnsi="Palatino Linotype" w:cs="Arial"/>
          <w:color w:val="000000" w:themeColor="text1"/>
          <w:lang w:val="es-MX"/>
        </w:rPr>
        <w:t xml:space="preserve">los </w:t>
      </w:r>
      <w:r w:rsidRPr="00135C14">
        <w:rPr>
          <w:rFonts w:ascii="Palatino Linotype" w:hAnsi="Palatino Linotype" w:cs="Arial"/>
          <w:i/>
          <w:iCs/>
          <w:color w:val="000000" w:themeColor="text1"/>
          <w:lang w:val="es-MX"/>
        </w:rPr>
        <w:t>contratos de apertura de cuentas bancarias durante dos mil veintidós</w:t>
      </w:r>
      <w:r w:rsidRPr="00135C14">
        <w:rPr>
          <w:rFonts w:ascii="Palatino Linotype" w:eastAsia="Times New Roman" w:hAnsi="Palatino Linotype"/>
        </w:rPr>
        <w:t xml:space="preserve">; solicitud que no fue atendida por el </w:t>
      </w:r>
      <w:r w:rsidRPr="00135C14">
        <w:rPr>
          <w:rFonts w:ascii="Palatino Linotype" w:eastAsia="Times New Roman" w:hAnsi="Palatino Linotype"/>
          <w:b/>
        </w:rPr>
        <w:t>SUJETO OBLIGADO</w:t>
      </w:r>
      <w:r w:rsidRPr="00135C14">
        <w:rPr>
          <w:rFonts w:ascii="Palatino Linotype" w:eastAsia="Times New Roman" w:hAnsi="Palatino Linotype"/>
          <w:bCs/>
        </w:rPr>
        <w:t xml:space="preserve">, razón por la que el ahora </w:t>
      </w:r>
      <w:r w:rsidRPr="00135C14">
        <w:rPr>
          <w:rFonts w:ascii="Palatino Linotype" w:eastAsia="Times New Roman" w:hAnsi="Palatino Linotype"/>
          <w:b/>
        </w:rPr>
        <w:t>RECURRENTE</w:t>
      </w:r>
      <w:r w:rsidRPr="00135C14">
        <w:rPr>
          <w:rFonts w:ascii="Palatino Linotype" w:eastAsia="Times New Roman" w:hAnsi="Palatino Linotype"/>
          <w:bCs/>
        </w:rPr>
        <w:t xml:space="preserve"> se </w:t>
      </w:r>
      <w:r w:rsidRPr="00135C14">
        <w:rPr>
          <w:rFonts w:ascii="Palatino Linotype" w:eastAsia="Times New Roman" w:hAnsi="Palatino Linotype"/>
        </w:rPr>
        <w:t>inconformó y refirió como razones o motivos de inconformidad la falta negativa de la información solicitada.</w:t>
      </w:r>
    </w:p>
    <w:p w14:paraId="706749F3" w14:textId="77777777"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9D22C0" w14:textId="4C8A09F6"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hAnsi="Palatino Linotype" w:cs="Arial"/>
          <w:color w:val="000000" w:themeColor="text1"/>
        </w:rPr>
        <w:t xml:space="preserve">ello, y </w:t>
      </w:r>
      <w:r w:rsidRPr="00135C14">
        <w:rPr>
          <w:rFonts w:ascii="Palatino Linotype" w:eastAsia="Times New Roman" w:hAnsi="Palatino Linotype"/>
        </w:rPr>
        <w:t xml:space="preserve">derivado de lo señalado en el planteamiento de la </w:t>
      </w:r>
      <w:r w:rsidRPr="00135C14">
        <w:rPr>
          <w:rFonts w:ascii="Palatino Linotype" w:eastAsia="Times New Roman" w:hAnsi="Palatino Linotype"/>
          <w:i/>
        </w:rPr>
        <w:t>Litis</w:t>
      </w:r>
      <w:r w:rsidRPr="00135C14">
        <w:rPr>
          <w:rFonts w:ascii="Palatino Linotype" w:eastAsia="Times New Roman" w:hAnsi="Palatino Linotype"/>
        </w:rPr>
        <w:t xml:space="preserve">, la actuación del </w:t>
      </w:r>
      <w:r w:rsidRPr="00135C14">
        <w:rPr>
          <w:rFonts w:ascii="Palatino Linotype" w:eastAsia="Times New Roman" w:hAnsi="Palatino Linotype"/>
          <w:bCs/>
        </w:rPr>
        <w:t>Ayuntamiento de Zinacantepec</w:t>
      </w:r>
      <w:r w:rsidRPr="00135C14">
        <w:rPr>
          <w:rFonts w:ascii="Palatino Linotype" w:eastAsia="Times New Roman" w:hAnsi="Palatino Linotype"/>
          <w:b/>
        </w:rPr>
        <w:t xml:space="preserve"> </w:t>
      </w:r>
      <w:r w:rsidRPr="00135C14">
        <w:rPr>
          <w:rFonts w:ascii="Palatino Linotype" w:eastAsia="Times New Roman" w:hAnsi="Palatino Linotype"/>
        </w:rPr>
        <w:t>constituye una afectación al derecho humano de acceso a la información pública del Particular, toda vez que incumple con sus obligaciones de transparencia al no entregar la información.</w:t>
      </w:r>
    </w:p>
    <w:p w14:paraId="4E0457E1" w14:textId="77777777"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7608A3" w14:textId="1F92B1D5"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lastRenderedPageBreak/>
        <w:t xml:space="preserve">Ante </w:t>
      </w:r>
      <w:r w:rsidRPr="00135C14">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135C14">
        <w:rPr>
          <w:rFonts w:ascii="Palatino Linotype" w:hAnsi="Palatino Linotype" w:cs="Arial"/>
          <w:b/>
          <w:bCs/>
        </w:rPr>
        <w:t>prevenir, investigar, sancionar y reparar las violaciones a los derechos humanos</w:t>
      </w:r>
      <w:r w:rsidRPr="00135C14">
        <w:rPr>
          <w:rFonts w:ascii="Palatino Linotype" w:hAnsi="Palatino Linotype" w:cs="Arial"/>
        </w:rPr>
        <w:t>.</w:t>
      </w:r>
    </w:p>
    <w:p w14:paraId="59BD040E" w14:textId="77777777"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C6DFA4" w14:textId="34B4C921"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Así, </w:t>
      </w:r>
      <w:r w:rsidRPr="00135C14">
        <w:rPr>
          <w:rFonts w:ascii="Palatino Linotype" w:hAnsi="Palatino Linotype" w:cs="Arial"/>
        </w:rPr>
        <w:t xml:space="preserve">el derecho de acceso a la información constituye una garantía primaria, tal y como lo señala el artículo 150 de la Ley de Transparencia y Acceso a la Información del Estado de México y Municipios, que además, establece que se regirá </w:t>
      </w:r>
      <w:r w:rsidRPr="00135C14">
        <w:rPr>
          <w:rFonts w:ascii="Palatino Linotype" w:hAnsi="Palatino Linotype" w:cs="Arial"/>
          <w:i/>
        </w:rPr>
        <w:t>por los principios de simplicidad, rapidez gratuidad del procedimiento, auxilio y orientación a los particulares</w:t>
      </w:r>
      <w:r w:rsidRPr="00135C14">
        <w:rPr>
          <w:rFonts w:ascii="Palatino Linotype" w:hAnsi="Palatino Linotype" w:cs="Arial"/>
        </w:rPr>
        <w:t>, contemplando el derecho de las personas con discapacidad y hablantes de lengua indígena.</w:t>
      </w:r>
    </w:p>
    <w:p w14:paraId="1694C2F8" w14:textId="77777777"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6F01BF" w14:textId="0DDA738D"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De tal manera, </w:t>
      </w:r>
      <w:r w:rsidRPr="00135C14">
        <w:rPr>
          <w:rFonts w:ascii="Palatino Linotype" w:eastAsia="Times New Roman" w:hAnsi="Palatino Linotype"/>
          <w:bCs/>
        </w:rPr>
        <w:t>Ley de Transparencia y Acceso a la Información Pública del Estado de México y Municipios,</w:t>
      </w:r>
      <w:r w:rsidRPr="00135C14">
        <w:rPr>
          <w:rFonts w:ascii="Palatino Linotype" w:eastAsia="Times New Roman" w:hAnsi="Palatino Linotype"/>
          <w:b/>
        </w:rPr>
        <w:t xml:space="preserve"> </w:t>
      </w:r>
      <w:r w:rsidRPr="00135C14">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35C14">
        <w:rPr>
          <w:rFonts w:ascii="Palatino Linotype" w:eastAsia="Times New Roman" w:hAnsi="Palatino Linotype"/>
          <w:b/>
        </w:rPr>
        <w:t xml:space="preserve"> </w:t>
      </w:r>
      <w:r w:rsidRPr="00135C14">
        <w:rPr>
          <w:rFonts w:ascii="Palatino Linotype" w:eastAsia="Times New Roman" w:hAnsi="Palatino Linotype"/>
        </w:rPr>
        <w:t xml:space="preserve">establece que </w:t>
      </w:r>
      <w:r w:rsidRPr="00135C14">
        <w:rPr>
          <w:rFonts w:ascii="Palatino Linotype" w:eastAsia="Times New Roman" w:hAnsi="Palatino Linotype"/>
          <w:b/>
          <w:i/>
          <w:u w:val="single"/>
        </w:rPr>
        <w:t>el recurso de revisión es la garantía secundaria</w:t>
      </w:r>
      <w:r w:rsidRPr="00135C14">
        <w:rPr>
          <w:rFonts w:ascii="Palatino Linotype" w:eastAsia="Times New Roman" w:hAnsi="Palatino Linotype"/>
          <w:b/>
          <w:i/>
        </w:rPr>
        <w:t xml:space="preserve"> mediante la cual se pretende reparar cualquier posible afectación al derecho de acceso a la información pública</w:t>
      </w:r>
      <w:r w:rsidRPr="00135C14">
        <w:rPr>
          <w:rFonts w:ascii="Palatino Linotype" w:eastAsia="Times New Roman" w:hAnsi="Palatino Linotype"/>
          <w:bCs/>
        </w:rPr>
        <w:t>, s</w:t>
      </w:r>
      <w:r w:rsidRPr="00135C14">
        <w:rPr>
          <w:rFonts w:ascii="Palatino Linotype" w:eastAsia="Times New Roman"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EF51339" w14:textId="64EAF3A0" w:rsidR="00C9774E" w:rsidRPr="00135C14" w:rsidRDefault="00C9774E"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lastRenderedPageBreak/>
        <w:t xml:space="preserve">Una </w:t>
      </w:r>
      <w:r w:rsidRPr="00135C14">
        <w:rPr>
          <w:rFonts w:ascii="Palatino Linotype" w:hAnsi="Palatino Linotype"/>
          <w:color w:val="000000" w:themeColor="text1"/>
        </w:rPr>
        <w:t xml:space="preserve">vez establecido lo anterior, y para mejor proveer, se procede a analizar el marco legal que engloba la naturaleza de la información solicitada a través de la solicitud </w:t>
      </w:r>
      <w:r w:rsidRPr="00135C14">
        <w:rPr>
          <w:rFonts w:ascii="Palatino Linotype" w:hAnsi="Palatino Linotype"/>
          <w:b/>
          <w:color w:val="000000" w:themeColor="text1"/>
        </w:rPr>
        <w:t>01207/ZINACANT/IP/2022</w:t>
      </w:r>
      <w:r w:rsidRPr="00135C14">
        <w:rPr>
          <w:rFonts w:ascii="Palatino Linotype" w:hAnsi="Palatino Linotype"/>
          <w:color w:val="000000" w:themeColor="text1"/>
        </w:rPr>
        <w:t>.</w:t>
      </w:r>
    </w:p>
    <w:p w14:paraId="7475021B" w14:textId="512EEDEA" w:rsidR="00C9774E" w:rsidRPr="00135C14" w:rsidRDefault="00C9774E" w:rsidP="00C977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766977" w14:textId="7A435EC5" w:rsidR="0013727C" w:rsidRPr="00135C14" w:rsidRDefault="0013727C" w:rsidP="0013727C">
      <w:pPr>
        <w:pStyle w:val="Prrafodelista"/>
        <w:numPr>
          <w:ilvl w:val="0"/>
          <w:numId w:val="29"/>
        </w:numPr>
        <w:tabs>
          <w:tab w:val="left" w:pos="426"/>
          <w:tab w:val="left" w:pos="567"/>
        </w:tabs>
        <w:spacing w:line="360" w:lineRule="auto"/>
        <w:jc w:val="both"/>
        <w:rPr>
          <w:rFonts w:ascii="Palatino Linotype" w:eastAsia="Calibri" w:hAnsi="Palatino Linotype" w:cs="Arial"/>
          <w:b/>
          <w:bCs/>
          <w:color w:val="000000" w:themeColor="text1"/>
          <w:lang w:val="es-ES"/>
        </w:rPr>
      </w:pPr>
      <w:r w:rsidRPr="00135C14">
        <w:rPr>
          <w:rFonts w:ascii="Palatino Linotype" w:eastAsia="Calibri" w:hAnsi="Palatino Linotype" w:cs="Arial"/>
          <w:b/>
          <w:bCs/>
          <w:color w:val="000000" w:themeColor="text1"/>
          <w:lang w:val="es-ES"/>
        </w:rPr>
        <w:t>De las cuentas bancarias de Sujetos Obligados.</w:t>
      </w:r>
    </w:p>
    <w:p w14:paraId="05979C56" w14:textId="77777777" w:rsidR="0013727C" w:rsidRPr="00135C14" w:rsidRDefault="0013727C" w:rsidP="0013727C">
      <w:pPr>
        <w:tabs>
          <w:tab w:val="left" w:pos="426"/>
          <w:tab w:val="left" w:pos="567"/>
        </w:tabs>
        <w:spacing w:line="360" w:lineRule="auto"/>
        <w:jc w:val="both"/>
        <w:rPr>
          <w:rFonts w:ascii="Palatino Linotype" w:eastAsia="Calibri" w:hAnsi="Palatino Linotype" w:cs="Arial"/>
          <w:b/>
          <w:bCs/>
          <w:color w:val="000000" w:themeColor="text1"/>
          <w:lang w:val="es-ES"/>
        </w:rPr>
      </w:pPr>
    </w:p>
    <w:p w14:paraId="545DEC50" w14:textId="165249F9" w:rsidR="0013727C" w:rsidRPr="00135C14" w:rsidRDefault="0013727C" w:rsidP="0013727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Resulta conveniente partir de lo que se entiende por cuenta bancaria, según el glosario de Definiciones del Banco de México:</w:t>
      </w:r>
    </w:p>
    <w:p w14:paraId="6DECA0FB" w14:textId="77777777" w:rsidR="0013727C" w:rsidRPr="00135C14" w:rsidRDefault="0013727C" w:rsidP="0013727C">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209BD59" w14:textId="08CB97B3" w:rsidR="0013727C" w:rsidRPr="00135C14" w:rsidRDefault="0013727C" w:rsidP="0013727C">
      <w:pPr>
        <w:pStyle w:val="NormalWeb"/>
        <w:shd w:val="clear" w:color="auto" w:fill="FFFFFF"/>
        <w:spacing w:before="0" w:beforeAutospacing="0" w:after="150" w:afterAutospacing="0"/>
        <w:ind w:left="567" w:right="565"/>
        <w:jc w:val="both"/>
        <w:rPr>
          <w:rFonts w:ascii="Palatino Linotype" w:hAnsi="Palatino Linotype"/>
          <w:i/>
          <w:iCs/>
          <w:color w:val="000000" w:themeColor="text1"/>
          <w:sz w:val="22"/>
          <w:szCs w:val="22"/>
        </w:rPr>
      </w:pPr>
      <w:r w:rsidRPr="00135C14">
        <w:rPr>
          <w:rFonts w:ascii="Palatino Linotype" w:hAnsi="Palatino Linotype"/>
          <w:b/>
          <w:bCs/>
          <w:color w:val="000000" w:themeColor="text1"/>
          <w:sz w:val="22"/>
          <w:szCs w:val="22"/>
        </w:rPr>
        <w:t>“</w:t>
      </w:r>
      <w:r w:rsidRPr="00135C14">
        <w:rPr>
          <w:rFonts w:ascii="Palatino Linotype" w:hAnsi="Palatino Linotype"/>
          <w:b/>
          <w:bCs/>
          <w:i/>
          <w:iCs/>
          <w:color w:val="000000" w:themeColor="text1"/>
          <w:sz w:val="22"/>
          <w:szCs w:val="22"/>
        </w:rPr>
        <w:t>Cuenta:</w:t>
      </w:r>
      <w:r w:rsidRPr="00135C14">
        <w:rPr>
          <w:rFonts w:ascii="Palatino Linotype" w:hAnsi="Palatino Linotype"/>
          <w:i/>
          <w:iCs/>
          <w:color w:val="000000" w:themeColor="text1"/>
          <w:sz w:val="22"/>
          <w:szCs w:val="22"/>
        </w:rPr>
        <w:t xml:space="preserve"> Registros contables de cargo o abono que identifican las operaciones realizadas por un cliente con una entidad, relacionadas con un Contrato de adhesión de una operación activa o pasiva.</w:t>
      </w:r>
    </w:p>
    <w:p w14:paraId="5FA77CD7" w14:textId="05875BE3" w:rsidR="0013727C" w:rsidRPr="00135C14" w:rsidRDefault="0013727C" w:rsidP="0013727C">
      <w:pPr>
        <w:pStyle w:val="NormalWeb"/>
        <w:shd w:val="clear" w:color="auto" w:fill="FFFFFF"/>
        <w:spacing w:before="0" w:beforeAutospacing="0" w:after="150" w:afterAutospacing="0"/>
        <w:ind w:left="567" w:right="565"/>
        <w:jc w:val="both"/>
        <w:rPr>
          <w:rFonts w:ascii="Palatino Linotype" w:hAnsi="Palatino Linotype"/>
          <w:i/>
          <w:iCs/>
          <w:color w:val="000000" w:themeColor="text1"/>
          <w:sz w:val="22"/>
          <w:szCs w:val="22"/>
        </w:rPr>
      </w:pPr>
      <w:r w:rsidRPr="00135C14">
        <w:rPr>
          <w:rFonts w:ascii="Palatino Linotype" w:hAnsi="Palatino Linotype"/>
          <w:b/>
          <w:bCs/>
          <w:i/>
          <w:iCs/>
          <w:color w:val="000000" w:themeColor="text1"/>
          <w:sz w:val="22"/>
          <w:szCs w:val="22"/>
        </w:rPr>
        <w:t>Cuenta básica:</w:t>
      </w:r>
      <w:r w:rsidRPr="00135C14">
        <w:rPr>
          <w:rFonts w:ascii="Palatino Linotype" w:hAnsi="Palatino Linotype"/>
          <w:i/>
          <w:iCs/>
          <w:color w:val="000000" w:themeColor="text1"/>
          <w:sz w:val="22"/>
          <w:szCs w:val="22"/>
        </w:rPr>
        <w:t xml:space="preserve">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73CBB46C" w14:textId="77777777" w:rsidR="0013727C" w:rsidRPr="00135C14" w:rsidRDefault="0013727C" w:rsidP="0013727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3BD4FD" w14:textId="427E0B97" w:rsidR="00C9774E" w:rsidRPr="00135C14" w:rsidRDefault="0013727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Así, se puede determinar que la una cuenta bancaria, es un contrato financiero con una entidad bancaria mediante la cual se llevan a cabo registros contables de cargo o abono de las operaciones realizadas por un cliente.</w:t>
      </w:r>
    </w:p>
    <w:p w14:paraId="788F6875" w14:textId="77777777" w:rsidR="0013727C" w:rsidRPr="00135C14" w:rsidRDefault="0013727C" w:rsidP="0013727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4AB5DB5" w14:textId="385B0D85" w:rsidR="00C9774E" w:rsidRPr="00135C14" w:rsidRDefault="0013727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En este sentido, es importante hacer referencia a lo establecido en el numeral 23 de los Lineamientos de Control Financiero y Administrativo para las Entidades </w:t>
      </w:r>
      <w:r w:rsidRPr="00135C14">
        <w:rPr>
          <w:rFonts w:ascii="Palatino Linotype" w:eastAsia="Calibri" w:hAnsi="Palatino Linotype" w:cs="Arial"/>
          <w:color w:val="000000" w:themeColor="text1"/>
          <w:lang w:val="es-ES"/>
        </w:rPr>
        <w:lastRenderedPageBreak/>
        <w:t>Fiscalizables Municipales del Estado de México, que en relación con este rubro señala:</w:t>
      </w:r>
    </w:p>
    <w:p w14:paraId="1013E6E8" w14:textId="668DFCB0" w:rsidR="0013727C" w:rsidRPr="00135C14" w:rsidRDefault="0013727C" w:rsidP="003D674B">
      <w:pPr>
        <w:pStyle w:val="Prrafodelista"/>
        <w:tabs>
          <w:tab w:val="left" w:pos="426"/>
          <w:tab w:val="left" w:pos="567"/>
        </w:tabs>
        <w:ind w:left="0"/>
        <w:jc w:val="both"/>
        <w:rPr>
          <w:rFonts w:ascii="Palatino Linotype" w:eastAsia="Calibri" w:hAnsi="Palatino Linotype" w:cs="Arial"/>
          <w:color w:val="000000" w:themeColor="text1"/>
          <w:lang w:val="es-ES"/>
        </w:rPr>
      </w:pPr>
    </w:p>
    <w:p w14:paraId="7023E4CB" w14:textId="2ACBC462" w:rsidR="0013727C" w:rsidRPr="00135C14" w:rsidRDefault="000C295A" w:rsidP="003D674B">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135C14">
        <w:rPr>
          <w:rFonts w:ascii="Palatino Linotype" w:eastAsia="Calibri" w:hAnsi="Palatino Linotype" w:cs="Arial"/>
          <w:i/>
          <w:iCs/>
          <w:color w:val="000000" w:themeColor="text1"/>
          <w:sz w:val="22"/>
          <w:szCs w:val="22"/>
          <w:lang w:val="es-ES"/>
        </w:rPr>
        <w:t>“</w:t>
      </w:r>
      <w:r w:rsidR="0013727C" w:rsidRPr="00135C14">
        <w:rPr>
          <w:rFonts w:ascii="Palatino Linotype" w:eastAsia="Calibri" w:hAnsi="Palatino Linotype" w:cs="Arial"/>
          <w:i/>
          <w:iCs/>
          <w:color w:val="000000" w:themeColor="text1"/>
          <w:sz w:val="22"/>
          <w:szCs w:val="22"/>
          <w:lang w:val="es-ES"/>
        </w:rPr>
        <w:t xml:space="preserve">23. El presidente y tesorero o equivalente deberán aperturar </w:t>
      </w:r>
      <w:r w:rsidR="0013727C" w:rsidRPr="00135C14">
        <w:rPr>
          <w:rFonts w:ascii="Palatino Linotype" w:eastAsia="Calibri" w:hAnsi="Palatino Linotype" w:cs="Arial"/>
          <w:b/>
          <w:bCs/>
          <w:i/>
          <w:iCs/>
          <w:color w:val="000000" w:themeColor="text1"/>
          <w:sz w:val="22"/>
          <w:szCs w:val="22"/>
          <w:u w:val="single"/>
          <w:lang w:val="es-ES"/>
        </w:rPr>
        <w:t>cuentas</w:t>
      </w:r>
      <w:r w:rsidR="0013727C" w:rsidRPr="00135C14">
        <w:rPr>
          <w:rFonts w:ascii="Palatino Linotype" w:eastAsia="Calibri" w:hAnsi="Palatino Linotype" w:cs="Arial"/>
          <w:i/>
          <w:iCs/>
          <w:color w:val="000000" w:themeColor="text1"/>
          <w:sz w:val="22"/>
          <w:szCs w:val="22"/>
          <w:lang w:val="es-ES"/>
        </w:rPr>
        <w:t xml:space="preserve"> bancarias como </w:t>
      </w:r>
      <w:r w:rsidR="0013727C" w:rsidRPr="00135C14">
        <w:rPr>
          <w:rFonts w:ascii="Palatino Linotype" w:eastAsia="Calibri" w:hAnsi="Palatino Linotype" w:cs="Arial"/>
          <w:b/>
          <w:bCs/>
          <w:i/>
          <w:iCs/>
          <w:color w:val="000000" w:themeColor="text1"/>
          <w:sz w:val="22"/>
          <w:szCs w:val="22"/>
          <w:u w:val="single"/>
          <w:lang w:val="es-ES"/>
        </w:rPr>
        <w:t>personas</w:t>
      </w:r>
      <w:r w:rsidR="0013727C" w:rsidRPr="00135C14">
        <w:rPr>
          <w:rFonts w:ascii="Palatino Linotype" w:eastAsia="Calibri" w:hAnsi="Palatino Linotype" w:cs="Arial"/>
          <w:i/>
          <w:iCs/>
          <w:color w:val="000000" w:themeColor="text1"/>
          <w:sz w:val="22"/>
          <w:szCs w:val="22"/>
          <w:lang w:val="es-ES"/>
        </w:rPr>
        <w:t xml:space="preserve"> jurídicas colectivas con fines no lucrativos o entes gubernamentales con firmas </w:t>
      </w:r>
      <w:r w:rsidRPr="00135C14">
        <w:rPr>
          <w:rFonts w:ascii="Palatino Linotype" w:eastAsia="Calibri" w:hAnsi="Palatino Linotype" w:cs="Arial"/>
          <w:b/>
          <w:bCs/>
          <w:i/>
          <w:iCs/>
          <w:color w:val="000000" w:themeColor="text1"/>
          <w:sz w:val="22"/>
          <w:szCs w:val="22"/>
          <w:u w:val="single"/>
          <w:lang w:val="es-ES"/>
        </w:rPr>
        <w:t>mancomunadas,</w:t>
      </w:r>
      <w:r w:rsidRPr="00135C14">
        <w:rPr>
          <w:rFonts w:ascii="Palatino Linotype" w:eastAsia="Calibri" w:hAnsi="Palatino Linotype" w:cs="Arial"/>
          <w:i/>
          <w:iCs/>
          <w:color w:val="000000" w:themeColor="text1"/>
          <w:sz w:val="22"/>
          <w:szCs w:val="22"/>
          <w:lang w:val="es-ES"/>
        </w:rPr>
        <w:t xml:space="preserve"> a nombre de la entidad fiscalizable municipal, en el nombre del programa o recurso y el </w:t>
      </w:r>
      <w:r w:rsidRPr="00135C14">
        <w:rPr>
          <w:rFonts w:ascii="Palatino Linotype" w:eastAsia="Calibri" w:hAnsi="Palatino Linotype" w:cs="Arial"/>
          <w:b/>
          <w:bCs/>
          <w:i/>
          <w:iCs/>
          <w:color w:val="000000" w:themeColor="text1"/>
          <w:sz w:val="22"/>
          <w:szCs w:val="22"/>
          <w:u w:val="single"/>
          <w:lang w:val="es-ES"/>
        </w:rPr>
        <w:t>contrato respectivo</w:t>
      </w:r>
      <w:r w:rsidRPr="00135C14">
        <w:rPr>
          <w:rFonts w:ascii="Palatino Linotype" w:eastAsia="Calibri" w:hAnsi="Palatino Linotype" w:cs="Arial"/>
          <w:i/>
          <w:iCs/>
          <w:color w:val="000000" w:themeColor="text1"/>
          <w:sz w:val="22"/>
          <w:szCs w:val="22"/>
          <w:lang w:val="es-ES"/>
        </w:rPr>
        <w:t xml:space="preserve"> por cada uno de los recursos federales, estatales o municipales.”</w:t>
      </w:r>
    </w:p>
    <w:p w14:paraId="7D5A6580" w14:textId="77777777" w:rsidR="0013727C" w:rsidRPr="00135C14" w:rsidRDefault="0013727C" w:rsidP="0013727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99E782" w14:textId="01F9DDB8" w:rsidR="00C9774E" w:rsidRPr="00135C14" w:rsidRDefault="000C295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lo anterior, se advierte que el </w:t>
      </w:r>
      <w:r w:rsidRPr="00135C14">
        <w:rPr>
          <w:rFonts w:ascii="Palatino Linotype" w:eastAsia="Calibri" w:hAnsi="Palatino Linotype" w:cs="Arial"/>
          <w:b/>
          <w:bCs/>
          <w:color w:val="000000" w:themeColor="text1"/>
          <w:lang w:val="es-ES"/>
        </w:rPr>
        <w:t>SUJETO OBLIGADO</w:t>
      </w:r>
      <w:r w:rsidRPr="00135C14">
        <w:rPr>
          <w:rFonts w:ascii="Palatino Linotype" w:eastAsia="Calibri" w:hAnsi="Palatino Linotype" w:cs="Arial"/>
          <w:color w:val="000000" w:themeColor="text1"/>
          <w:lang w:val="es-ES"/>
        </w:rPr>
        <w:t xml:space="preserve"> tiene la obligación y responsabilidad de solicitar los servicios de la Institución Bancaria que prefiera con el objeto de </w:t>
      </w:r>
      <w:r w:rsidRPr="00135C14">
        <w:rPr>
          <w:rFonts w:ascii="Palatino Linotype" w:eastAsia="Calibri" w:hAnsi="Palatino Linotype" w:cs="Arial"/>
          <w:b/>
          <w:bCs/>
          <w:color w:val="000000" w:themeColor="text1"/>
          <w:u w:val="single"/>
          <w:lang w:val="es-ES"/>
        </w:rPr>
        <w:t>contratar</w:t>
      </w:r>
      <w:r w:rsidRPr="00135C14">
        <w:rPr>
          <w:rFonts w:ascii="Palatino Linotype" w:eastAsia="Calibri" w:hAnsi="Palatino Linotype" w:cs="Arial"/>
          <w:color w:val="000000" w:themeColor="text1"/>
          <w:lang w:val="es-ES"/>
        </w:rPr>
        <w:t xml:space="preserve"> la apertura de cuentas bancarias por cada uno de los programas o recursos federales, estatales o municipales; por ende, la información solicitada por el Particular es generada, administrada y de naturaleza pública.</w:t>
      </w:r>
    </w:p>
    <w:p w14:paraId="4B3982AA" w14:textId="77777777" w:rsidR="000C295A" w:rsidRPr="00135C14" w:rsidRDefault="000C295A" w:rsidP="000C295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00568A" w14:textId="2C9127EF" w:rsidR="00C9774E" w:rsidRPr="00135C14" w:rsidRDefault="000C295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No obstante, como Código Civil Federal correlativo al Código Civil del Estado de México en sus artículos 1792 y 7.30 respectivamente conceptualizan al convenio como: </w:t>
      </w:r>
      <w:r w:rsidRPr="00135C14">
        <w:rPr>
          <w:rFonts w:ascii="Palatino Linotype" w:eastAsia="Calibri" w:hAnsi="Palatino Linotype" w:cs="Arial"/>
          <w:i/>
          <w:iCs/>
          <w:color w:val="000000" w:themeColor="text1"/>
          <w:lang w:val="es-ES"/>
        </w:rPr>
        <w:t>“el acuerdo de dos o más personas para crear, transferir, modificar o extinguir obligaciones”,</w:t>
      </w:r>
      <w:r w:rsidRPr="00135C14">
        <w:rPr>
          <w:rFonts w:ascii="Palatino Linotype" w:eastAsia="Calibri" w:hAnsi="Palatino Linotype" w:cs="Arial"/>
          <w:color w:val="000000" w:themeColor="text1"/>
          <w:lang w:val="es-ES"/>
        </w:rPr>
        <w:t xml:space="preserve"> asimismo, dichos ordenamientos jurídicos en sus artículos 1793 y 7.31 definen a los </w:t>
      </w:r>
      <w:r w:rsidRPr="00135C14">
        <w:rPr>
          <w:rFonts w:ascii="Palatino Linotype" w:eastAsia="Calibri" w:hAnsi="Palatino Linotype" w:cs="Arial"/>
          <w:b/>
          <w:bCs/>
          <w:color w:val="000000" w:themeColor="text1"/>
          <w:u w:val="single"/>
          <w:lang w:val="es-ES"/>
        </w:rPr>
        <w:t>contratos</w:t>
      </w:r>
      <w:r w:rsidRPr="00135C14">
        <w:rPr>
          <w:rFonts w:ascii="Palatino Linotype" w:eastAsia="Calibri" w:hAnsi="Palatino Linotype" w:cs="Arial"/>
          <w:color w:val="000000" w:themeColor="text1"/>
          <w:lang w:val="es-ES"/>
        </w:rPr>
        <w:t xml:space="preserve"> como </w:t>
      </w:r>
      <w:r w:rsidRPr="00135C14">
        <w:rPr>
          <w:rFonts w:ascii="Palatino Linotype" w:eastAsia="Calibri" w:hAnsi="Palatino Linotype" w:cs="Arial"/>
          <w:i/>
          <w:iCs/>
          <w:color w:val="000000" w:themeColor="text1"/>
          <w:lang w:val="es-ES"/>
        </w:rPr>
        <w:t>“convenios que producen o transfieren las obligaciones y derechos”.</w:t>
      </w:r>
    </w:p>
    <w:p w14:paraId="57B5C45B" w14:textId="77777777" w:rsidR="000C295A" w:rsidRPr="00135C14" w:rsidRDefault="000C295A" w:rsidP="000C295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11DC1" w14:textId="200EE264" w:rsidR="00C9774E" w:rsidRPr="00135C14" w:rsidRDefault="000C295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Asimismo, no se omite señalar que los contratos a que se refiere el párrafo anterior no tendrán validez si únicamente se encuentra manifiesta la voluntad de </w:t>
      </w:r>
      <w:r w:rsidRPr="00135C14">
        <w:rPr>
          <w:rFonts w:ascii="Palatino Linotype" w:eastAsia="Calibri" w:hAnsi="Palatino Linotype" w:cs="Arial"/>
          <w:color w:val="000000" w:themeColor="text1"/>
          <w:lang w:val="es-ES"/>
        </w:rPr>
        <w:lastRenderedPageBreak/>
        <w:t>uno de los contratantes -en el presente caso- ya sea el Ayuntamiento o bien el proveedor o prestador de servicios, de conformidad con el artículo 7.33 del Código Civil del Estado de México, que a la letra señala:</w:t>
      </w:r>
    </w:p>
    <w:p w14:paraId="760FE60D" w14:textId="1FFE3839" w:rsidR="000C295A" w:rsidRPr="00135C14" w:rsidRDefault="000C295A" w:rsidP="000C295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BFA8E9" w14:textId="476A0DBD" w:rsidR="000C295A" w:rsidRPr="00135C14" w:rsidRDefault="00A31424" w:rsidP="00A31424">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135C14">
        <w:rPr>
          <w:rFonts w:ascii="Palatino Linotype" w:eastAsia="Calibri" w:hAnsi="Palatino Linotype" w:cs="Arial"/>
          <w:b/>
          <w:bCs/>
          <w:i/>
          <w:iCs/>
          <w:color w:val="000000" w:themeColor="text1"/>
          <w:sz w:val="22"/>
          <w:szCs w:val="22"/>
          <w:lang w:val="es-ES"/>
        </w:rPr>
        <w:t>“</w:t>
      </w:r>
      <w:r w:rsidR="000C295A" w:rsidRPr="00135C14">
        <w:rPr>
          <w:rFonts w:ascii="Palatino Linotype" w:eastAsia="Calibri" w:hAnsi="Palatino Linotype" w:cs="Arial"/>
          <w:b/>
          <w:bCs/>
          <w:i/>
          <w:iCs/>
          <w:color w:val="000000" w:themeColor="text1"/>
          <w:sz w:val="22"/>
          <w:szCs w:val="22"/>
          <w:lang w:val="es-ES"/>
        </w:rPr>
        <w:t>Art</w:t>
      </w:r>
      <w:r w:rsidRPr="00135C14">
        <w:rPr>
          <w:rFonts w:ascii="Palatino Linotype" w:eastAsia="Calibri" w:hAnsi="Palatino Linotype" w:cs="Arial"/>
          <w:b/>
          <w:bCs/>
          <w:i/>
          <w:iCs/>
          <w:color w:val="000000" w:themeColor="text1"/>
          <w:sz w:val="22"/>
          <w:szCs w:val="22"/>
          <w:lang w:val="es-ES"/>
        </w:rPr>
        <w:t>í</w:t>
      </w:r>
      <w:r w:rsidR="000C295A" w:rsidRPr="00135C14">
        <w:rPr>
          <w:rFonts w:ascii="Palatino Linotype" w:eastAsia="Calibri" w:hAnsi="Palatino Linotype" w:cs="Arial"/>
          <w:b/>
          <w:bCs/>
          <w:i/>
          <w:iCs/>
          <w:color w:val="000000" w:themeColor="text1"/>
          <w:sz w:val="22"/>
          <w:szCs w:val="22"/>
          <w:lang w:val="es-ES"/>
        </w:rPr>
        <w:t>culo 7.33</w:t>
      </w:r>
      <w:r w:rsidRPr="00135C14">
        <w:rPr>
          <w:rFonts w:ascii="Palatino Linotype" w:eastAsia="Calibri" w:hAnsi="Palatino Linotype" w:cs="Arial"/>
          <w:b/>
          <w:bCs/>
          <w:i/>
          <w:iCs/>
          <w:color w:val="000000" w:themeColor="text1"/>
          <w:sz w:val="22"/>
          <w:szCs w:val="22"/>
          <w:lang w:val="es-ES"/>
        </w:rPr>
        <w:t>.-</w:t>
      </w:r>
      <w:r w:rsidRPr="00135C14">
        <w:rPr>
          <w:rFonts w:ascii="Palatino Linotype" w:eastAsia="Calibri" w:hAnsi="Palatino Linotype" w:cs="Arial"/>
          <w:i/>
          <w:iCs/>
          <w:color w:val="000000" w:themeColor="text1"/>
          <w:sz w:val="22"/>
          <w:szCs w:val="22"/>
          <w:lang w:val="es-ES"/>
        </w:rPr>
        <w:t xml:space="preserve"> La validez y el cumplimiento de los contratos no pueden dejarse a la voluntad de uno de los contratantes.”</w:t>
      </w:r>
    </w:p>
    <w:p w14:paraId="2CF69372" w14:textId="77777777" w:rsidR="000C295A" w:rsidRPr="00135C14" w:rsidRDefault="000C295A" w:rsidP="000C295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29DC78" w14:textId="3C54437F" w:rsidR="00C9774E" w:rsidRPr="00135C14" w:rsidRDefault="00A31424"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Ahora bien, el </w:t>
      </w:r>
      <w:r w:rsidRPr="00135C14">
        <w:rPr>
          <w:rFonts w:ascii="Palatino Linotype" w:eastAsia="Calibri" w:hAnsi="Palatino Linotype" w:cs="Arial"/>
          <w:b/>
          <w:bCs/>
          <w:color w:val="000000" w:themeColor="text1"/>
          <w:u w:val="single"/>
          <w:lang w:val="es-ES"/>
        </w:rPr>
        <w:t>contrato bancario</w:t>
      </w:r>
      <w:r w:rsidRPr="00135C14">
        <w:rPr>
          <w:rFonts w:ascii="Palatino Linotype" w:eastAsia="Calibri" w:hAnsi="Palatino Linotype" w:cs="Arial"/>
          <w:color w:val="000000" w:themeColor="text1"/>
          <w:lang w:val="es-ES"/>
        </w:rPr>
        <w:t xml:space="preserve"> puede definirse como aquel acuerdo de voluntades por el que se crean, modifican o extinguen las relaciones jurídicas derivadas de operaciones bancarias.</w:t>
      </w:r>
    </w:p>
    <w:p w14:paraId="07AE2D37" w14:textId="77777777" w:rsidR="00A31424" w:rsidRPr="00135C14" w:rsidRDefault="00A31424" w:rsidP="00A3142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EE2B62" w14:textId="10C20950" w:rsidR="00C9774E" w:rsidRPr="00135C14" w:rsidRDefault="00A31424" w:rsidP="00A31424">
      <w:pPr>
        <w:pStyle w:val="Prrafodelista"/>
        <w:numPr>
          <w:ilvl w:val="0"/>
          <w:numId w:val="3"/>
        </w:numPr>
        <w:tabs>
          <w:tab w:val="left" w:pos="426"/>
          <w:tab w:val="left" w:pos="567"/>
        </w:tabs>
        <w:spacing w:line="360" w:lineRule="auto"/>
        <w:ind w:left="0" w:right="-2"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En este sentido, es inducible el hecho de que el </w:t>
      </w:r>
      <w:r w:rsidRPr="00135C14">
        <w:rPr>
          <w:rFonts w:ascii="Palatino Linotype" w:eastAsia="Calibri" w:hAnsi="Palatino Linotype" w:cs="Arial"/>
          <w:b/>
          <w:bCs/>
          <w:color w:val="000000" w:themeColor="text1"/>
          <w:lang w:val="es-ES"/>
        </w:rPr>
        <w:t>SUJETO OBLIGADO</w:t>
      </w:r>
      <w:r w:rsidRPr="00135C14">
        <w:rPr>
          <w:rFonts w:ascii="Palatino Linotype" w:eastAsia="Calibri" w:hAnsi="Palatino Linotype" w:cs="Arial"/>
          <w:color w:val="000000" w:themeColor="text1"/>
          <w:lang w:val="es-ES"/>
        </w:rPr>
        <w:t xml:space="preserve"> tiene la obligación de aperturar cuentas bancarias a efecto de que le sean depositados recursos de orden federal, estatal y para los ingresos propios del Municipio, cuentas bancarias que se aperturan a partir de la celebración de contratos de los cuales como se ha dicho se puede obtener la denominación de la Institución Bancaria y un número de cuenta, entre otra información.</w:t>
      </w:r>
    </w:p>
    <w:p w14:paraId="7EEBF9A8" w14:textId="77777777" w:rsidR="00A31424" w:rsidRPr="00135C14" w:rsidRDefault="00A31424" w:rsidP="00A31424">
      <w:pPr>
        <w:pStyle w:val="Prrafodelista"/>
        <w:tabs>
          <w:tab w:val="left" w:pos="426"/>
          <w:tab w:val="left" w:pos="567"/>
        </w:tabs>
        <w:spacing w:line="360" w:lineRule="auto"/>
        <w:ind w:left="0" w:right="-2"/>
        <w:jc w:val="both"/>
        <w:rPr>
          <w:rFonts w:ascii="Palatino Linotype" w:eastAsia="Calibri" w:hAnsi="Palatino Linotype" w:cs="Arial"/>
          <w:color w:val="000000" w:themeColor="text1"/>
          <w:lang w:val="es-ES"/>
        </w:rPr>
      </w:pPr>
    </w:p>
    <w:p w14:paraId="13E3D168" w14:textId="41888152" w:rsidR="00C9774E" w:rsidRPr="00135C14" w:rsidRDefault="00A31424" w:rsidP="00A31424">
      <w:pPr>
        <w:pStyle w:val="Prrafodelista"/>
        <w:numPr>
          <w:ilvl w:val="0"/>
          <w:numId w:val="3"/>
        </w:numPr>
        <w:tabs>
          <w:tab w:val="left" w:pos="426"/>
          <w:tab w:val="left" w:pos="567"/>
        </w:tabs>
        <w:ind w:left="0" w:right="-2"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Robusteciendo lo anterior, es preciso mencionar que este Instituto actúa en estricto apego a derecho, tan es así que considera oportuno adoptar en el presente asunto el </w:t>
      </w:r>
      <w:r w:rsidRPr="00135C14">
        <w:rPr>
          <w:rFonts w:ascii="Palatino Linotype" w:eastAsia="Calibri" w:hAnsi="Palatino Linotype" w:cs="Arial"/>
          <w:b/>
          <w:bCs/>
          <w:color w:val="000000" w:themeColor="text1"/>
          <w:lang w:val="es-ES"/>
        </w:rPr>
        <w:t>Criterio 11/17</w:t>
      </w:r>
      <w:r w:rsidRPr="00135C14">
        <w:rPr>
          <w:rFonts w:ascii="Palatino Linotype" w:eastAsia="Calibri" w:hAnsi="Palatino Linotype" w:cs="Arial"/>
          <w:color w:val="000000" w:themeColor="text1"/>
          <w:lang w:val="es-ES"/>
        </w:rPr>
        <w:t xml:space="preserve"> emitido por el Pleno del Instituto Nacional de Acceso a la Información y Protección de Datos Personales del Estado de México y Municipios el cual a la letra establece lo siguiente:</w:t>
      </w:r>
    </w:p>
    <w:p w14:paraId="232BF232" w14:textId="72431CBA" w:rsidR="00A31424" w:rsidRPr="00135C14" w:rsidRDefault="00A31424" w:rsidP="00A31424">
      <w:pPr>
        <w:tabs>
          <w:tab w:val="left" w:pos="426"/>
          <w:tab w:val="left" w:pos="567"/>
        </w:tabs>
        <w:ind w:right="565"/>
        <w:jc w:val="both"/>
        <w:rPr>
          <w:rFonts w:ascii="Palatino Linotype" w:eastAsia="Calibri" w:hAnsi="Palatino Linotype" w:cs="Arial"/>
          <w:color w:val="000000" w:themeColor="text1"/>
          <w:sz w:val="22"/>
          <w:szCs w:val="22"/>
          <w:lang w:val="es-ES"/>
        </w:rPr>
      </w:pPr>
    </w:p>
    <w:p w14:paraId="13B20B8D" w14:textId="77777777" w:rsidR="00A31424" w:rsidRPr="00135C14" w:rsidRDefault="00A31424" w:rsidP="00A31424">
      <w:pPr>
        <w:tabs>
          <w:tab w:val="left" w:pos="426"/>
          <w:tab w:val="left" w:pos="567"/>
        </w:tabs>
        <w:ind w:right="565"/>
        <w:jc w:val="both"/>
        <w:rPr>
          <w:rFonts w:ascii="Palatino Linotype" w:eastAsia="Calibri" w:hAnsi="Palatino Linotype" w:cs="Arial"/>
          <w:color w:val="000000" w:themeColor="text1"/>
          <w:sz w:val="22"/>
          <w:szCs w:val="22"/>
          <w:lang w:val="es-ES"/>
        </w:rPr>
      </w:pPr>
    </w:p>
    <w:p w14:paraId="4613C20A" w14:textId="77777777" w:rsidR="00A31424" w:rsidRPr="00135C14" w:rsidRDefault="00A31424" w:rsidP="00A31424">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b/>
          <w:bCs/>
          <w:i/>
          <w:iCs/>
          <w:sz w:val="22"/>
          <w:szCs w:val="22"/>
          <w:u w:val="single"/>
        </w:rPr>
        <w:lastRenderedPageBreak/>
        <w:t>Cuentas bancarias y/o CLABE interbancaria de sujetos obligados que reciben y/o transfieren recursos públicos, son información pública.</w:t>
      </w:r>
      <w:r w:rsidRPr="00135C14">
        <w:rPr>
          <w:rFonts w:ascii="Palatino Linotype" w:hAnsi="Palatino Linotype"/>
          <w:i/>
          <w:iCs/>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CEEFC1B" w14:textId="77777777" w:rsidR="00A31424" w:rsidRPr="00135C14" w:rsidRDefault="00A31424" w:rsidP="00A31424">
      <w:pPr>
        <w:pStyle w:val="Prrafodelista"/>
        <w:tabs>
          <w:tab w:val="left" w:pos="426"/>
          <w:tab w:val="left" w:pos="567"/>
        </w:tabs>
        <w:ind w:left="567" w:right="565"/>
        <w:jc w:val="both"/>
        <w:rPr>
          <w:rFonts w:ascii="Palatino Linotype" w:hAnsi="Palatino Linotype"/>
          <w:i/>
          <w:iCs/>
          <w:sz w:val="22"/>
          <w:szCs w:val="22"/>
        </w:rPr>
      </w:pPr>
    </w:p>
    <w:p w14:paraId="73C75804" w14:textId="77777777" w:rsidR="00A31424" w:rsidRPr="00135C14" w:rsidRDefault="00A31424" w:rsidP="00A31424">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t xml:space="preserve">Resoluciones: </w:t>
      </w:r>
    </w:p>
    <w:p w14:paraId="71A594A1" w14:textId="40FAE245" w:rsidR="00A31424" w:rsidRPr="00135C14" w:rsidRDefault="00A31424" w:rsidP="00A31424">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sym w:font="Symbol" w:char="F0B7"/>
      </w:r>
      <w:r w:rsidRPr="00135C14">
        <w:rPr>
          <w:rFonts w:ascii="Palatino Linotype" w:hAnsi="Palatino Linotype"/>
          <w:i/>
          <w:iCs/>
          <w:sz w:val="22"/>
          <w:szCs w:val="22"/>
        </w:rPr>
        <w:t xml:space="preserve"> RRA 0448/16. NOTIMEX, Agencia de Noticias del Estado Mexicano. 24 de agosto de 2016. Por unanimidad. Comisionado Ponente Joel Salas Suárez. </w:t>
      </w:r>
    </w:p>
    <w:p w14:paraId="5F4A5063" w14:textId="77777777" w:rsidR="00A31424" w:rsidRPr="00135C14" w:rsidRDefault="00A31424" w:rsidP="00A31424">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sym w:font="Symbol" w:char="F0B7"/>
      </w:r>
      <w:r w:rsidRPr="00135C14">
        <w:rPr>
          <w:rFonts w:ascii="Palatino Linotype" w:hAnsi="Palatino Linotype"/>
          <w:i/>
          <w:iCs/>
          <w:sz w:val="22"/>
          <w:szCs w:val="22"/>
        </w:rPr>
        <w:t xml:space="preserve"> RRA 2787/16. Colegio de Postgraduados. 01 de noviembre de 2016. Por unanimidad. Comisionado Ponente Francisco Javier Acuña Llamas. </w:t>
      </w:r>
    </w:p>
    <w:p w14:paraId="06207F19" w14:textId="7843E237" w:rsidR="00A31424" w:rsidRPr="00135C14" w:rsidRDefault="00A31424" w:rsidP="00A31424">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135C14">
        <w:rPr>
          <w:rFonts w:ascii="Palatino Linotype" w:hAnsi="Palatino Linotype"/>
          <w:i/>
          <w:iCs/>
          <w:sz w:val="22"/>
          <w:szCs w:val="22"/>
        </w:rPr>
        <w:sym w:font="Symbol" w:char="F0B7"/>
      </w:r>
      <w:r w:rsidRPr="00135C14">
        <w:rPr>
          <w:rFonts w:ascii="Palatino Linotype" w:hAnsi="Palatino Linotype"/>
          <w:i/>
          <w:iCs/>
          <w:sz w:val="22"/>
          <w:szCs w:val="22"/>
        </w:rPr>
        <w:t xml:space="preserve"> RRA 4756/16. Instituto Mexicano del Seguro Social. 08 de febrero de 2017. Por unanimidad. Comisionado Ponente Oscar Mauricio Guerra Ford.</w:t>
      </w:r>
    </w:p>
    <w:p w14:paraId="6CCA7D96" w14:textId="77777777" w:rsidR="00A31424" w:rsidRPr="00135C14" w:rsidRDefault="00A31424" w:rsidP="00A3142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703BDA" w14:textId="788AA6A2" w:rsidR="00C9774E" w:rsidRPr="00135C14" w:rsidRDefault="00FD03AB"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En consideración al criterio referido, </w:t>
      </w:r>
      <w:r w:rsidRPr="00135C14">
        <w:rPr>
          <w:rFonts w:ascii="Palatino Linotype" w:eastAsia="Calibri" w:hAnsi="Palatino Linotype" w:cs="Arial"/>
          <w:b/>
          <w:bCs/>
          <w:color w:val="000000" w:themeColor="text1"/>
          <w:lang w:val="es-ES"/>
        </w:rPr>
        <w:t>las cuentas bancarias pertenecientes a los Sujetos Obligados deben ser públicas,</w:t>
      </w:r>
      <w:r w:rsidRPr="00135C14">
        <w:rPr>
          <w:rFonts w:ascii="Palatino Linotype" w:eastAsia="Calibri" w:hAnsi="Palatino Linotype" w:cs="Arial"/>
          <w:color w:val="000000" w:themeColor="text1"/>
          <w:lang w:val="es-ES"/>
        </w:rPr>
        <w:t xml:space="preserve"> toda vez que favorecen a la rendición de cuentas puesto que a través de su publicidad se puede apreciar la manera en que las autoridades administran los recursos públicos.</w:t>
      </w:r>
    </w:p>
    <w:p w14:paraId="7A278D2F" w14:textId="77777777" w:rsidR="00FD03AB" w:rsidRPr="00135C14" w:rsidRDefault="00FD03AB" w:rsidP="00FD03A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4A8032" w14:textId="5B67D992" w:rsidR="00C9774E" w:rsidRPr="00135C14" w:rsidRDefault="00FD03AB"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Asimismo, tenemos que la información que solicitó el Particular es información que indudablemente debe tener el </w:t>
      </w:r>
      <w:r w:rsidRPr="00135C14">
        <w:rPr>
          <w:rFonts w:ascii="Palatino Linotype" w:eastAsia="Calibri" w:hAnsi="Palatino Linotype" w:cs="Arial"/>
          <w:b/>
          <w:bCs/>
          <w:color w:val="000000" w:themeColor="text1"/>
          <w:lang w:val="es-ES"/>
        </w:rPr>
        <w:t>SUJETO OBLIGADO</w:t>
      </w:r>
      <w:r w:rsidRPr="00135C14">
        <w:rPr>
          <w:rFonts w:ascii="Palatino Linotype" w:eastAsia="Calibri" w:hAnsi="Palatino Linotype" w:cs="Arial"/>
          <w:color w:val="000000" w:themeColor="text1"/>
          <w:lang w:val="es-ES"/>
        </w:rPr>
        <w:t>, toda vez que, se deriva del ejercicio de sus funciones, facultades y competencias, por lo tanto, es su obligación ponerla a disposición de quien lo solicite en estricto apego al principio de máxima publicidad y a los artículos 4, segundo párrafo y 12 del ordenamiento legal en cita, el cual establece lo siguiente:</w:t>
      </w:r>
    </w:p>
    <w:p w14:paraId="3A129619" w14:textId="27717A7B" w:rsidR="00FD03AB" w:rsidRPr="00135C14" w:rsidRDefault="00FD03AB" w:rsidP="00FD03AB">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3DD6E9EC" w14:textId="77777777" w:rsidR="00FD03AB" w:rsidRPr="00135C14" w:rsidRDefault="00FD03AB" w:rsidP="00FD03AB">
      <w:pPr>
        <w:pStyle w:val="Prrafodelista"/>
        <w:tabs>
          <w:tab w:val="left" w:pos="426"/>
          <w:tab w:val="left" w:pos="567"/>
        </w:tabs>
        <w:ind w:left="567" w:right="565"/>
        <w:jc w:val="center"/>
        <w:rPr>
          <w:rFonts w:ascii="Palatino Linotype" w:hAnsi="Palatino Linotype"/>
          <w:b/>
          <w:bCs/>
          <w:i/>
          <w:iCs/>
          <w:sz w:val="22"/>
          <w:szCs w:val="22"/>
        </w:rPr>
      </w:pPr>
      <w:r w:rsidRPr="00135C14">
        <w:rPr>
          <w:rFonts w:ascii="Palatino Linotype" w:hAnsi="Palatino Linotype"/>
          <w:b/>
          <w:bCs/>
          <w:i/>
          <w:iCs/>
          <w:sz w:val="22"/>
          <w:szCs w:val="22"/>
        </w:rPr>
        <w:t xml:space="preserve">Capítulo II </w:t>
      </w:r>
    </w:p>
    <w:p w14:paraId="063AE11D" w14:textId="10B6BC80" w:rsidR="00FD03AB" w:rsidRPr="00135C14" w:rsidRDefault="00FD03AB" w:rsidP="00FD03AB">
      <w:pPr>
        <w:pStyle w:val="Prrafodelista"/>
        <w:tabs>
          <w:tab w:val="left" w:pos="426"/>
          <w:tab w:val="left" w:pos="567"/>
        </w:tabs>
        <w:ind w:left="567" w:right="565"/>
        <w:jc w:val="center"/>
        <w:rPr>
          <w:rFonts w:ascii="Palatino Linotype" w:hAnsi="Palatino Linotype"/>
          <w:b/>
          <w:bCs/>
          <w:i/>
          <w:iCs/>
          <w:sz w:val="22"/>
          <w:szCs w:val="22"/>
        </w:rPr>
      </w:pPr>
      <w:r w:rsidRPr="00135C14">
        <w:rPr>
          <w:rFonts w:ascii="Palatino Linotype" w:hAnsi="Palatino Linotype"/>
          <w:b/>
          <w:bCs/>
          <w:i/>
          <w:iCs/>
          <w:sz w:val="22"/>
          <w:szCs w:val="22"/>
        </w:rPr>
        <w:lastRenderedPageBreak/>
        <w:t>De los Principios Generales</w:t>
      </w:r>
    </w:p>
    <w:p w14:paraId="4D6A4295" w14:textId="77777777" w:rsidR="00FD03AB" w:rsidRPr="00135C14" w:rsidRDefault="00FD03AB" w:rsidP="00FD03AB">
      <w:pPr>
        <w:pStyle w:val="Prrafodelista"/>
        <w:tabs>
          <w:tab w:val="left" w:pos="426"/>
          <w:tab w:val="left" w:pos="567"/>
        </w:tabs>
        <w:ind w:left="567" w:right="565"/>
        <w:jc w:val="center"/>
        <w:rPr>
          <w:rFonts w:ascii="Palatino Linotype" w:hAnsi="Palatino Linotype"/>
          <w:b/>
          <w:bCs/>
          <w:i/>
          <w:iCs/>
          <w:sz w:val="22"/>
          <w:szCs w:val="22"/>
        </w:rPr>
      </w:pPr>
    </w:p>
    <w:p w14:paraId="34EDD7C9" w14:textId="64ED7BF6" w:rsidR="00FD03AB" w:rsidRPr="00135C14" w:rsidRDefault="00FD03AB" w:rsidP="00FD03AB">
      <w:pPr>
        <w:pStyle w:val="Prrafodelista"/>
        <w:tabs>
          <w:tab w:val="left" w:pos="426"/>
          <w:tab w:val="left" w:pos="567"/>
        </w:tabs>
        <w:ind w:left="567" w:right="565"/>
        <w:jc w:val="center"/>
        <w:rPr>
          <w:rFonts w:ascii="Palatino Linotype" w:hAnsi="Palatino Linotype"/>
          <w:b/>
          <w:bCs/>
          <w:i/>
          <w:iCs/>
          <w:sz w:val="22"/>
          <w:szCs w:val="22"/>
        </w:rPr>
      </w:pPr>
      <w:r w:rsidRPr="00135C14">
        <w:rPr>
          <w:rFonts w:ascii="Palatino Linotype" w:hAnsi="Palatino Linotype"/>
          <w:b/>
          <w:bCs/>
          <w:i/>
          <w:iCs/>
          <w:sz w:val="22"/>
          <w:szCs w:val="22"/>
        </w:rPr>
        <w:t>Sección Primera</w:t>
      </w:r>
    </w:p>
    <w:p w14:paraId="6A719625" w14:textId="78D8D0E2" w:rsidR="00FD03AB" w:rsidRPr="00135C14" w:rsidRDefault="00FD03AB" w:rsidP="00FD03AB">
      <w:pPr>
        <w:pStyle w:val="Prrafodelista"/>
        <w:tabs>
          <w:tab w:val="left" w:pos="426"/>
          <w:tab w:val="left" w:pos="567"/>
        </w:tabs>
        <w:ind w:left="567" w:right="565"/>
        <w:jc w:val="center"/>
        <w:rPr>
          <w:rFonts w:ascii="Palatino Linotype" w:hAnsi="Palatino Linotype"/>
          <w:b/>
          <w:bCs/>
          <w:i/>
          <w:iCs/>
          <w:sz w:val="22"/>
          <w:szCs w:val="22"/>
        </w:rPr>
      </w:pPr>
      <w:r w:rsidRPr="00135C14">
        <w:rPr>
          <w:rFonts w:ascii="Palatino Linotype" w:hAnsi="Palatino Linotype"/>
          <w:b/>
          <w:bCs/>
          <w:i/>
          <w:iCs/>
          <w:sz w:val="22"/>
          <w:szCs w:val="22"/>
        </w:rPr>
        <w:t>De los Principios Rectores del Instituto</w:t>
      </w:r>
    </w:p>
    <w:p w14:paraId="30D25940" w14:textId="77777777" w:rsidR="00FD03AB" w:rsidRPr="00135C14" w:rsidRDefault="00FD03AB" w:rsidP="00FD03AB">
      <w:pPr>
        <w:pStyle w:val="Prrafodelista"/>
        <w:tabs>
          <w:tab w:val="left" w:pos="426"/>
          <w:tab w:val="left" w:pos="567"/>
        </w:tabs>
        <w:ind w:left="567" w:right="565"/>
        <w:jc w:val="center"/>
        <w:rPr>
          <w:rFonts w:ascii="Palatino Linotype" w:hAnsi="Palatino Linotype"/>
          <w:i/>
          <w:iCs/>
          <w:sz w:val="22"/>
          <w:szCs w:val="22"/>
        </w:rPr>
      </w:pPr>
    </w:p>
    <w:p w14:paraId="6A660CD7" w14:textId="46F160B5"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t>“</w:t>
      </w:r>
      <w:r w:rsidRPr="00135C14">
        <w:rPr>
          <w:rFonts w:ascii="Palatino Linotype" w:hAnsi="Palatino Linotype"/>
          <w:b/>
          <w:bCs/>
          <w:i/>
          <w:iCs/>
          <w:sz w:val="22"/>
          <w:szCs w:val="22"/>
        </w:rPr>
        <w:t>Artículo 4.</w:t>
      </w:r>
      <w:r w:rsidRPr="00135C14">
        <w:rPr>
          <w:rFonts w:ascii="Palatino Linotype" w:hAnsi="Palatino Linotype"/>
          <w:i/>
          <w:iCs/>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74DF819" w14:textId="77777777"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p>
    <w:p w14:paraId="051694C8" w14:textId="7533993E"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78AD3C6" w14:textId="77777777"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p>
    <w:p w14:paraId="47749A26" w14:textId="3517E97B"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t>Los sujetos obligados deben poner en práctica, políticas y programas de acceso a la información que se apeguen a criterios de publicidad, veracidad, oportunidad, precisión y suficiencia en beneficio de los solicitantes.</w:t>
      </w:r>
    </w:p>
    <w:p w14:paraId="003571F2" w14:textId="77777777"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p>
    <w:p w14:paraId="7164D279" w14:textId="04F3C3DC"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i/>
          <w:iCs/>
          <w:sz w:val="22"/>
          <w:szCs w:val="22"/>
        </w:rPr>
        <w:t>(...)</w:t>
      </w:r>
    </w:p>
    <w:p w14:paraId="16AD8998" w14:textId="77777777"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p>
    <w:p w14:paraId="38E4B0E1" w14:textId="77777777"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r w:rsidRPr="00135C14">
        <w:rPr>
          <w:rFonts w:ascii="Palatino Linotype" w:hAnsi="Palatino Linotype"/>
          <w:b/>
          <w:bCs/>
          <w:i/>
          <w:iCs/>
          <w:sz w:val="22"/>
          <w:szCs w:val="22"/>
        </w:rPr>
        <w:t>Artículo 12.</w:t>
      </w:r>
      <w:r w:rsidRPr="00135C14">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33689B17" w14:textId="77777777" w:rsidR="00FD03AB" w:rsidRPr="00135C14" w:rsidRDefault="00FD03AB" w:rsidP="00FD03AB">
      <w:pPr>
        <w:pStyle w:val="Prrafodelista"/>
        <w:tabs>
          <w:tab w:val="left" w:pos="426"/>
          <w:tab w:val="left" w:pos="567"/>
        </w:tabs>
        <w:ind w:left="567" w:right="565"/>
        <w:jc w:val="both"/>
        <w:rPr>
          <w:rFonts w:ascii="Palatino Linotype" w:hAnsi="Palatino Linotype"/>
          <w:i/>
          <w:iCs/>
          <w:sz w:val="22"/>
          <w:szCs w:val="22"/>
        </w:rPr>
      </w:pPr>
    </w:p>
    <w:p w14:paraId="351DA6A2" w14:textId="047B4214" w:rsidR="00FD03AB" w:rsidRPr="00135C14" w:rsidRDefault="00FD03AB" w:rsidP="00FD03AB">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135C14">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10BCA2" w14:textId="77777777" w:rsidR="00FD03AB" w:rsidRPr="00135C14" w:rsidRDefault="00FD03AB" w:rsidP="00FD03A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C3BEE3" w14:textId="642ACF9B" w:rsidR="00C9774E" w:rsidRPr="00135C14" w:rsidRDefault="00FD03AB"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lastRenderedPageBreak/>
        <w:t xml:space="preserve">Resuelto así, que el derecho de acceso a la información no solo se limita </w:t>
      </w:r>
      <w:r w:rsidR="003D674B" w:rsidRPr="00135C14">
        <w:rPr>
          <w:rFonts w:ascii="Palatino Linotype" w:eastAsia="Calibri" w:hAnsi="Palatino Linotype" w:cs="Arial"/>
          <w:color w:val="000000" w:themeColor="text1"/>
          <w:lang w:val="es-ES"/>
        </w:rPr>
        <w:t>a la información que generen los Sujetos Obligados en ejercicio de sus funciones, atribuciones y competencias, sino que de igual manera deberá ser pública toda aquella información que se encuentre en su posesión.</w:t>
      </w:r>
    </w:p>
    <w:p w14:paraId="31069264" w14:textId="77777777" w:rsidR="003D674B" w:rsidRPr="00135C14" w:rsidRDefault="003D674B" w:rsidP="003D674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D7A4FF" w14:textId="655E5057" w:rsidR="00FC3ABA" w:rsidRPr="00135C14" w:rsidRDefault="003D674B" w:rsidP="003D674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Es por ello, que se </w:t>
      </w:r>
      <w:r w:rsidRPr="00135C14">
        <w:rPr>
          <w:rFonts w:ascii="Palatino Linotype" w:eastAsia="Calibri" w:hAnsi="Palatino Linotype" w:cs="Arial"/>
          <w:b/>
          <w:bCs/>
          <w:color w:val="000000" w:themeColor="text1"/>
          <w:lang w:val="es-ES"/>
        </w:rPr>
        <w:t>ORDENA</w:t>
      </w:r>
      <w:r w:rsidRPr="00135C14">
        <w:rPr>
          <w:rFonts w:ascii="Palatino Linotype" w:eastAsia="Calibri" w:hAnsi="Palatino Linotype" w:cs="Arial"/>
          <w:color w:val="000000" w:themeColor="text1"/>
          <w:lang w:val="es-ES"/>
        </w:rPr>
        <w:t xml:space="preserve"> al </w:t>
      </w:r>
      <w:r w:rsidRPr="00135C14">
        <w:rPr>
          <w:rFonts w:ascii="Palatino Linotype" w:eastAsia="Calibri" w:hAnsi="Palatino Linotype" w:cs="Arial"/>
          <w:b/>
          <w:bCs/>
          <w:color w:val="000000" w:themeColor="text1"/>
          <w:lang w:val="es-ES"/>
        </w:rPr>
        <w:t>SUJETO OBLIGADO</w:t>
      </w:r>
      <w:r w:rsidRPr="00135C14">
        <w:rPr>
          <w:rFonts w:ascii="Palatino Linotype" w:eastAsia="Calibri" w:hAnsi="Palatino Linotype" w:cs="Arial"/>
          <w:color w:val="000000" w:themeColor="text1"/>
          <w:lang w:val="es-ES"/>
        </w:rPr>
        <w:t xml:space="preserve"> poner a disposición del Particular, en su caso en versión pública, </w:t>
      </w:r>
      <w:r w:rsidRPr="00135C14">
        <w:rPr>
          <w:rFonts w:ascii="Palatino Linotype" w:eastAsia="Calibri" w:hAnsi="Palatino Linotype" w:cs="Arial"/>
          <w:b/>
          <w:bCs/>
          <w:color w:val="000000" w:themeColor="text1"/>
          <w:lang w:val="es-ES"/>
        </w:rPr>
        <w:t>los documentos donde consten todos los contratos de apertura de cuentas bancarias del uno de enero al nueve de noviembre de dos mil veintidós.</w:t>
      </w:r>
    </w:p>
    <w:p w14:paraId="4C762320" w14:textId="77777777" w:rsidR="000912F1" w:rsidRPr="00135C14" w:rsidRDefault="000912F1" w:rsidP="009C0FE7">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767AF95" w14:textId="77777777" w:rsidR="009C0FE7" w:rsidRPr="00135C14" w:rsidRDefault="009C0FE7" w:rsidP="009C0FE7">
      <w:pPr>
        <w:pStyle w:val="Ttulo1"/>
        <w:rPr>
          <w:b w:val="0"/>
          <w:bCs/>
        </w:rPr>
      </w:pPr>
      <w:bookmarkStart w:id="45" w:name="_Toc50654428"/>
      <w:bookmarkStart w:id="46" w:name="_Toc73048206"/>
      <w:r w:rsidRPr="00135C14">
        <w:rPr>
          <w:bCs/>
        </w:rPr>
        <w:t>QUINTO. DE LA VERSIÓN PÚBLICA.</w:t>
      </w:r>
      <w:bookmarkEnd w:id="45"/>
      <w:bookmarkEnd w:id="46"/>
    </w:p>
    <w:p w14:paraId="26402F6A" w14:textId="77777777" w:rsidR="009C0FE7" w:rsidRPr="00135C14" w:rsidRDefault="009C0FE7" w:rsidP="009C0FE7">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2FD6BFF3" w14:textId="7C6D57ED" w:rsidR="00C9125B" w:rsidRPr="00135C14"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Debe </w:t>
      </w:r>
      <w:r w:rsidRPr="00135C14">
        <w:rPr>
          <w:rFonts w:ascii="Palatino Linotype" w:eastAsia="Times New Roman" w:hAnsi="Palatino Linotype" w:cs="Arial"/>
          <w:color w:val="000000"/>
        </w:rPr>
        <w:t>destacarse que, debido a la naturaleza de la información solicitada</w:t>
      </w:r>
      <w:r w:rsidRPr="00135C14">
        <w:rPr>
          <w:rFonts w:ascii="Palatino Linotype" w:eastAsia="Times New Roman" w:hAnsi="Palatino Linotype" w:cs="Arial"/>
          <w:b/>
          <w:color w:val="000000"/>
        </w:rPr>
        <w:t xml:space="preserve">, </w:t>
      </w:r>
      <w:r w:rsidRPr="00135C14">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135C14">
        <w:rPr>
          <w:rFonts w:ascii="Palatino Linotype" w:eastAsia="Times New Roman" w:hAnsi="Palatino Linotype" w:cs="Arial"/>
          <w:b/>
          <w:bCs/>
          <w:color w:val="000000"/>
        </w:rPr>
        <w:t xml:space="preserve">SUJETO OBLIGADO </w:t>
      </w:r>
      <w:r w:rsidRPr="00135C14">
        <w:rPr>
          <w:rFonts w:ascii="Palatino Linotype" w:eastAsia="Times New Roman" w:hAnsi="Palatino Linotype" w:cs="Arial"/>
          <w:color w:val="000000"/>
        </w:rPr>
        <w:t>deberá de hacer la adecuada versión pública, protegiendo los datos que no son susceptibles de ser proporcionados.</w:t>
      </w:r>
    </w:p>
    <w:p w14:paraId="07227D7F" w14:textId="77777777" w:rsidR="009C0FE7" w:rsidRPr="00135C14"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D359E3" w14:textId="7B3B91AB" w:rsidR="00C9125B" w:rsidRPr="00135C14"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No </w:t>
      </w:r>
      <w:r w:rsidRPr="00135C14">
        <w:rPr>
          <w:rFonts w:ascii="Palatino Linotype" w:eastAsia="Times New Roman" w:hAnsi="Palatino Linotype" w:cs="Arial"/>
          <w:color w:val="000000"/>
        </w:rPr>
        <w:t>pasa desapercibido para este Órgano Garante que los Sujetos Obligados</w:t>
      </w:r>
      <w:r w:rsidRPr="00135C14">
        <w:rPr>
          <w:rFonts w:ascii="Palatino Linotype" w:eastAsia="Times New Roman" w:hAnsi="Palatino Linotype" w:cs="Arial"/>
          <w:b/>
          <w:bCs/>
          <w:color w:val="000000"/>
        </w:rPr>
        <w:t xml:space="preserve"> </w:t>
      </w:r>
      <w:r w:rsidRPr="00135C14">
        <w:rPr>
          <w:rFonts w:ascii="Palatino Linotype" w:eastAsia="Times New Roman"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135C14">
        <w:rPr>
          <w:rFonts w:ascii="Palatino Linotype" w:eastAsia="Times New Roman" w:hAnsi="Palatino Linotype" w:cs="Arial"/>
          <w:color w:val="000000"/>
        </w:rPr>
        <w:lastRenderedPageBreak/>
        <w:t>clasificación de la información, se deben seguir una serie de pasos y procedimientos, por lo que es menester reiterar los mismos:</w:t>
      </w:r>
    </w:p>
    <w:p w14:paraId="37503E30" w14:textId="0BAB6D37" w:rsidR="009C0FE7" w:rsidRPr="00135C14"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normal1"/>
        <w:tblW w:w="0" w:type="auto"/>
        <w:tblLook w:val="04A0" w:firstRow="1" w:lastRow="0" w:firstColumn="1" w:lastColumn="0" w:noHBand="0" w:noVBand="1"/>
      </w:tblPr>
      <w:tblGrid>
        <w:gridCol w:w="1834"/>
        <w:gridCol w:w="6943"/>
      </w:tblGrid>
      <w:tr w:rsidR="009C0FE7" w:rsidRPr="00135C14" w14:paraId="4F074206" w14:textId="77777777" w:rsidTr="002C7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8EF354" w14:textId="77777777" w:rsidR="009C0FE7" w:rsidRPr="00135C14" w:rsidRDefault="009C0FE7" w:rsidP="002C7876">
            <w:pPr>
              <w:spacing w:line="360" w:lineRule="auto"/>
              <w:rPr>
                <w:rFonts w:ascii="Palatino Linotype" w:hAnsi="Palatino Linotype"/>
                <w:bCs w:val="0"/>
                <w:sz w:val="20"/>
                <w:szCs w:val="20"/>
              </w:rPr>
            </w:pPr>
            <w:r w:rsidRPr="00135C14">
              <w:rPr>
                <w:rFonts w:ascii="Palatino Linotype" w:hAnsi="Palatino Linotype" w:cstheme="majorBidi"/>
                <w:bCs w:val="0"/>
                <w:sz w:val="20"/>
                <w:szCs w:val="20"/>
              </w:rPr>
              <w:t>a) Requisitos previos.</w:t>
            </w:r>
          </w:p>
        </w:tc>
        <w:tc>
          <w:tcPr>
            <w:tcW w:w="6990" w:type="dxa"/>
            <w:hideMark/>
          </w:tcPr>
          <w:p w14:paraId="6219994F" w14:textId="77777777" w:rsidR="009C0FE7" w:rsidRPr="00135C14"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35C14">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B1B4398" w14:textId="77777777" w:rsidR="009C0FE7" w:rsidRPr="00135C14"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35C14">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FFCD42B" w14:textId="77777777" w:rsidR="009C0FE7" w:rsidRPr="00135C14"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35C14">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1644712" w14:textId="77777777" w:rsidR="009C0FE7" w:rsidRPr="00135C14" w:rsidRDefault="009C0FE7" w:rsidP="002C787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35C14">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135C14">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135C14">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9C0FE7" w:rsidRPr="00135C14" w14:paraId="56689979" w14:textId="77777777" w:rsidTr="002C7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7CBAC4" w14:textId="77777777" w:rsidR="009C0FE7" w:rsidRPr="00135C14" w:rsidRDefault="009C0FE7" w:rsidP="002C7876">
            <w:pPr>
              <w:spacing w:line="360" w:lineRule="auto"/>
              <w:rPr>
                <w:rFonts w:ascii="Palatino Linotype" w:hAnsi="Palatino Linotype"/>
                <w:bCs w:val="0"/>
                <w:sz w:val="20"/>
                <w:szCs w:val="20"/>
              </w:rPr>
            </w:pPr>
            <w:r w:rsidRPr="00135C14">
              <w:rPr>
                <w:rFonts w:ascii="Palatino Linotype" w:hAnsi="Palatino Linotype" w:cstheme="majorBidi"/>
                <w:bCs w:val="0"/>
                <w:sz w:val="20"/>
                <w:szCs w:val="20"/>
              </w:rPr>
              <w:t>b) Supuestos de clasificación.</w:t>
            </w:r>
          </w:p>
        </w:tc>
        <w:tc>
          <w:tcPr>
            <w:tcW w:w="6990" w:type="dxa"/>
            <w:hideMark/>
          </w:tcPr>
          <w:p w14:paraId="2015E232"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2936EB6"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w:t>
            </w:r>
            <w:r w:rsidRPr="00135C14">
              <w:rPr>
                <w:rFonts w:ascii="Palatino Linotype" w:eastAsia="Times New Roman" w:hAnsi="Palatino Linotype" w:cs="Arial"/>
                <w:color w:val="000000"/>
                <w:sz w:val="20"/>
                <w:szCs w:val="20"/>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14:paraId="6D0AE7B9" w14:textId="77777777" w:rsidR="009C0FE7" w:rsidRPr="00135C14" w:rsidRDefault="009C0FE7" w:rsidP="002C787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35C14">
              <w:rPr>
                <w:rFonts w:ascii="Palatino Linotype" w:eastAsia="Times New Roman" w:hAnsi="Palatino Linotype" w:cs="Arial"/>
                <w:color w:val="000000"/>
                <w:sz w:val="20"/>
                <w:szCs w:val="20"/>
              </w:rPr>
              <w:t xml:space="preserve">El </w:t>
            </w:r>
            <w:r w:rsidRPr="00135C14">
              <w:rPr>
                <w:rFonts w:ascii="Palatino Linotype" w:eastAsia="Times New Roman" w:hAnsi="Palatino Linotype" w:cs="Arial"/>
                <w:b/>
                <w:color w:val="000000"/>
                <w:sz w:val="20"/>
                <w:szCs w:val="20"/>
              </w:rPr>
              <w:t>Sujeto Obligado</w:t>
            </w:r>
            <w:r w:rsidRPr="00135C14">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C0FE7" w:rsidRPr="00135C14" w14:paraId="45E76427" w14:textId="77777777" w:rsidTr="002C7876">
        <w:tc>
          <w:tcPr>
            <w:cnfStyle w:val="001000000000" w:firstRow="0" w:lastRow="0" w:firstColumn="1" w:lastColumn="0" w:oddVBand="0" w:evenVBand="0" w:oddHBand="0" w:evenHBand="0" w:firstRowFirstColumn="0" w:firstRowLastColumn="0" w:lastRowFirstColumn="0" w:lastRowLastColumn="0"/>
            <w:tcW w:w="1838" w:type="dxa"/>
            <w:hideMark/>
          </w:tcPr>
          <w:p w14:paraId="05D48BB4" w14:textId="77777777" w:rsidR="009C0FE7" w:rsidRPr="00135C14" w:rsidRDefault="009C0FE7" w:rsidP="002C7876">
            <w:pPr>
              <w:spacing w:line="360" w:lineRule="auto"/>
              <w:rPr>
                <w:rFonts w:ascii="Palatino Linotype" w:hAnsi="Palatino Linotype"/>
                <w:bCs w:val="0"/>
                <w:sz w:val="20"/>
                <w:szCs w:val="20"/>
              </w:rPr>
            </w:pPr>
            <w:r w:rsidRPr="00135C14">
              <w:rPr>
                <w:rFonts w:ascii="Palatino Linotype" w:hAnsi="Palatino Linotype" w:cstheme="majorBidi"/>
                <w:bCs w:val="0"/>
                <w:sz w:val="20"/>
                <w:szCs w:val="20"/>
              </w:rPr>
              <w:lastRenderedPageBreak/>
              <w:t>c) Formalidades para emitir el acuerdo de clasificación.</w:t>
            </w:r>
          </w:p>
        </w:tc>
        <w:tc>
          <w:tcPr>
            <w:tcW w:w="6990" w:type="dxa"/>
            <w:hideMark/>
          </w:tcPr>
          <w:p w14:paraId="46003C93" w14:textId="77777777" w:rsidR="009C0FE7" w:rsidRPr="00135C14"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220B87C" w14:textId="77777777" w:rsidR="009C0FE7" w:rsidRPr="00135C14"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Es necesario que </w:t>
            </w:r>
            <w:r w:rsidRPr="00135C14">
              <w:rPr>
                <w:rFonts w:ascii="Palatino Linotype" w:eastAsia="Times New Roman" w:hAnsi="Palatino Linotype" w:cs="Arial"/>
                <w:b/>
                <w:color w:val="000000"/>
                <w:sz w:val="20"/>
                <w:szCs w:val="20"/>
                <w:u w:val="single"/>
              </w:rPr>
              <w:t>el acto reúna con los requisitos elementales</w:t>
            </w:r>
            <w:r w:rsidRPr="00135C14">
              <w:rPr>
                <w:rFonts w:ascii="Palatino Linotype" w:eastAsia="Times New Roman" w:hAnsi="Palatino Linotype" w:cs="Arial"/>
                <w:color w:val="000000"/>
                <w:sz w:val="20"/>
                <w:szCs w:val="20"/>
              </w:rPr>
              <w:t>, entre ellos, que la autoridad que va a emitir el acto de autoridad sea la legalmente facultada para ello.</w:t>
            </w:r>
          </w:p>
          <w:p w14:paraId="0C5221CD" w14:textId="77777777" w:rsidR="009C0FE7" w:rsidRPr="00135C14" w:rsidRDefault="009C0FE7" w:rsidP="002C787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35C14">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C0FE7" w:rsidRPr="00135C14" w14:paraId="77653A0E" w14:textId="77777777" w:rsidTr="002C7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FA0C3A" w14:textId="77777777" w:rsidR="009C0FE7" w:rsidRPr="00135C14" w:rsidRDefault="009C0FE7" w:rsidP="002C7876">
            <w:pPr>
              <w:spacing w:line="360" w:lineRule="auto"/>
              <w:rPr>
                <w:rFonts w:ascii="Palatino Linotype" w:hAnsi="Palatino Linotype"/>
                <w:b w:val="0"/>
                <w:sz w:val="20"/>
                <w:szCs w:val="20"/>
              </w:rPr>
            </w:pPr>
          </w:p>
          <w:p w14:paraId="0BB3E1AB" w14:textId="77777777" w:rsidR="009C0FE7" w:rsidRPr="00135C14" w:rsidRDefault="009C0FE7" w:rsidP="002C7876">
            <w:pPr>
              <w:spacing w:line="360" w:lineRule="auto"/>
              <w:jc w:val="both"/>
              <w:rPr>
                <w:rFonts w:ascii="Palatino Linotype" w:hAnsi="Palatino Linotype"/>
                <w:bCs w:val="0"/>
                <w:sz w:val="20"/>
                <w:szCs w:val="20"/>
              </w:rPr>
            </w:pPr>
            <w:r w:rsidRPr="00135C14">
              <w:rPr>
                <w:rFonts w:ascii="Palatino Linotype" w:eastAsia="Times New Roman" w:hAnsi="Palatino Linotype" w:cs="Arial"/>
                <w:bCs w:val="0"/>
                <w:color w:val="000000"/>
                <w:sz w:val="20"/>
                <w:szCs w:val="20"/>
              </w:rPr>
              <w:t xml:space="preserve">d) Requisitos de fondo del </w:t>
            </w:r>
            <w:r w:rsidRPr="00135C14">
              <w:rPr>
                <w:rFonts w:ascii="Palatino Linotype" w:eastAsia="Times New Roman" w:hAnsi="Palatino Linotype" w:cs="Arial"/>
                <w:bCs w:val="0"/>
                <w:color w:val="000000"/>
                <w:sz w:val="20"/>
                <w:szCs w:val="20"/>
              </w:rPr>
              <w:lastRenderedPageBreak/>
              <w:t xml:space="preserve">acuerdo de clasificación. </w:t>
            </w:r>
          </w:p>
        </w:tc>
        <w:tc>
          <w:tcPr>
            <w:tcW w:w="6990" w:type="dxa"/>
            <w:hideMark/>
          </w:tcPr>
          <w:p w14:paraId="0EE5135F"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135C14">
              <w:rPr>
                <w:rFonts w:ascii="Palatino Linotype" w:eastAsia="Times New Roman" w:hAnsi="Palatino Linotype" w:cs="Arial"/>
                <w:color w:val="000000"/>
                <w:sz w:val="20"/>
                <w:szCs w:val="20"/>
              </w:rPr>
              <w:lastRenderedPageBreak/>
              <w:t xml:space="preserve">señala que la carga de la prueba, para justificar las restricciones, corresponde a los </w:t>
            </w:r>
            <w:r w:rsidRPr="00135C14">
              <w:rPr>
                <w:rFonts w:ascii="Palatino Linotype" w:eastAsia="Times New Roman" w:hAnsi="Palatino Linotype" w:cs="Arial"/>
                <w:b/>
                <w:color w:val="000000"/>
                <w:sz w:val="20"/>
                <w:szCs w:val="20"/>
              </w:rPr>
              <w:t>Sujetos Obligados</w:t>
            </w:r>
            <w:r w:rsidRPr="00135C14">
              <w:rPr>
                <w:rFonts w:ascii="Palatino Linotype" w:eastAsia="Times New Roman" w:hAnsi="Palatino Linotype" w:cs="Arial"/>
                <w:color w:val="000000"/>
                <w:sz w:val="20"/>
                <w:szCs w:val="20"/>
              </w:rPr>
              <w:t xml:space="preserve">, por lo que deberán fundar y motivar debidamente la clasificación. </w:t>
            </w:r>
          </w:p>
          <w:p w14:paraId="0524EA79"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De lo anterior, se desprende que para una correcta </w:t>
            </w:r>
            <w:r w:rsidRPr="00135C14">
              <w:rPr>
                <w:rFonts w:ascii="Palatino Linotype" w:eastAsia="Times New Roman" w:hAnsi="Palatino Linotype" w:cs="Arial"/>
                <w:b/>
                <w:color w:val="000000"/>
                <w:sz w:val="20"/>
                <w:szCs w:val="20"/>
              </w:rPr>
              <w:t>clasificación total o parcial</w:t>
            </w:r>
            <w:r w:rsidRPr="00135C14">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43D7F4"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9C0AE17"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E38B57" w14:textId="77777777" w:rsidR="009C0FE7" w:rsidRPr="00135C14"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Ahora bien, </w:t>
            </w:r>
            <w:r w:rsidRPr="00135C14">
              <w:rPr>
                <w:rFonts w:ascii="Palatino Linotype" w:eastAsia="Times New Roman" w:hAnsi="Palatino Linotype" w:cs="Arial"/>
                <w:b/>
                <w:color w:val="000000"/>
                <w:sz w:val="20"/>
                <w:szCs w:val="20"/>
                <w:u w:val="single"/>
              </w:rPr>
              <w:t>para cada caso además de fundar y motivar</w:t>
            </w:r>
            <w:r w:rsidRPr="00135C14">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135C14">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0FE7" w:rsidRPr="00135C14" w14:paraId="4BB7EE42" w14:textId="77777777" w:rsidTr="002C7876">
        <w:tc>
          <w:tcPr>
            <w:cnfStyle w:val="001000000000" w:firstRow="0" w:lastRow="0" w:firstColumn="1" w:lastColumn="0" w:oddVBand="0" w:evenVBand="0" w:oddHBand="0" w:evenHBand="0" w:firstRowFirstColumn="0" w:firstRowLastColumn="0" w:lastRowFirstColumn="0" w:lastRowLastColumn="0"/>
            <w:tcW w:w="1838" w:type="dxa"/>
          </w:tcPr>
          <w:p w14:paraId="017126CC" w14:textId="77777777" w:rsidR="009C0FE7" w:rsidRPr="00135C14" w:rsidRDefault="009C0FE7" w:rsidP="002C7876">
            <w:pPr>
              <w:spacing w:line="360" w:lineRule="auto"/>
              <w:ind w:right="49"/>
              <w:jc w:val="both"/>
              <w:rPr>
                <w:rFonts w:ascii="Palatino Linotype" w:eastAsia="Times New Roman" w:hAnsi="Palatino Linotype" w:cs="Arial"/>
                <w:bCs w:val="0"/>
                <w:sz w:val="20"/>
                <w:szCs w:val="20"/>
              </w:rPr>
            </w:pPr>
            <w:r w:rsidRPr="00135C14">
              <w:rPr>
                <w:rFonts w:ascii="Palatino Linotype" w:eastAsia="MS Gothic" w:hAnsi="Palatino Linotype" w:cs="Times New Roman"/>
                <w:b w:val="0"/>
                <w:sz w:val="20"/>
                <w:szCs w:val="20"/>
              </w:rPr>
              <w:lastRenderedPageBreak/>
              <w:t>e</w:t>
            </w:r>
            <w:r w:rsidRPr="00135C14">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6CEA0F63" w14:textId="77777777" w:rsidR="009C0FE7" w:rsidRPr="00135C14"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6A5D3A68" w14:textId="77777777" w:rsidR="009C0FE7" w:rsidRPr="00135C14"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5C14">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968D50" w14:textId="77777777" w:rsidR="009C0FE7" w:rsidRPr="00135C14" w:rsidRDefault="009C0FE7" w:rsidP="002C787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35C14">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A897D0B" w14:textId="77777777" w:rsidR="009C0FE7" w:rsidRPr="00135C14"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682001D2" w14:textId="79DFE3DA" w:rsidR="00C9125B" w:rsidRPr="00135C14"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Si </w:t>
      </w:r>
      <w:r w:rsidRPr="00135C14">
        <w:rPr>
          <w:rFonts w:ascii="Palatino Linotype" w:eastAsia="Times New Roman" w:hAnsi="Palatino Linotype" w:cs="Arial"/>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CE1624" w14:textId="32C1731F" w:rsidR="009C0FE7" w:rsidRPr="00135C14"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6A4D72" w14:textId="7667B1C8" w:rsidR="003D674B" w:rsidRPr="00135C14" w:rsidRDefault="003D674B" w:rsidP="003D674B">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47" w:name="_Toc88151643"/>
      <w:r w:rsidRPr="00135C14">
        <w:rPr>
          <w:rFonts w:ascii="Palatino Linotype" w:hAnsi="Palatino Linotype"/>
          <w:b/>
          <w:color w:val="000000" w:themeColor="text1"/>
          <w:lang w:val="es-MX"/>
        </w:rPr>
        <w:t>SEXTO. Vista a los órganos de control interno.</w:t>
      </w:r>
      <w:bookmarkEnd w:id="47"/>
    </w:p>
    <w:p w14:paraId="77615292" w14:textId="77777777" w:rsidR="003D674B" w:rsidRPr="00135C14" w:rsidRDefault="003D674B"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AE264E" w14:textId="6101E69C" w:rsidR="003D674B" w:rsidRPr="00135C14" w:rsidRDefault="003D674B"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La </w:t>
      </w:r>
      <w:r w:rsidRPr="00135C14">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614C79E" w14:textId="4935E936" w:rsidR="003D674B" w:rsidRPr="00135C14" w:rsidRDefault="003D674B"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lastRenderedPageBreak/>
        <w:t xml:space="preserve">Correlativo </w:t>
      </w:r>
      <w:r w:rsidRPr="00135C14">
        <w:rPr>
          <w:rFonts w:ascii="Palatino Linotype" w:eastAsia="Times New Roman" w:hAnsi="Palatino Linotype"/>
        </w:rPr>
        <w:t>a lo anterior, los artículos 190 y 223 de la Ley de Transparencia y Acceso a la Información Pública del Estado de México y Municipios señalan lo siguiente:</w:t>
      </w:r>
    </w:p>
    <w:p w14:paraId="34408FDD" w14:textId="19D97C4D" w:rsidR="003D674B" w:rsidRPr="00135C14" w:rsidRDefault="003D674B" w:rsidP="003D674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3E6CF8" w14:textId="77777777" w:rsidR="003D674B" w:rsidRPr="00135C14" w:rsidRDefault="003D674B" w:rsidP="003D674B">
      <w:pPr>
        <w:ind w:left="567" w:right="567"/>
        <w:contextualSpacing/>
        <w:jc w:val="both"/>
        <w:rPr>
          <w:rFonts w:ascii="Palatino Linotype" w:eastAsia="Times New Roman" w:hAnsi="Palatino Linotype" w:cs="Times New Roman"/>
          <w:i/>
          <w:sz w:val="22"/>
          <w:szCs w:val="22"/>
        </w:rPr>
      </w:pPr>
      <w:r w:rsidRPr="00135C14">
        <w:rPr>
          <w:rFonts w:ascii="Palatino Linotype" w:eastAsia="Times New Roman" w:hAnsi="Palatino Linotype" w:cs="Times New Roman"/>
          <w:i/>
          <w:sz w:val="22"/>
          <w:szCs w:val="22"/>
        </w:rPr>
        <w:t>“</w:t>
      </w:r>
      <w:r w:rsidRPr="00135C14">
        <w:rPr>
          <w:rFonts w:ascii="Palatino Linotype" w:eastAsia="Times New Roman" w:hAnsi="Palatino Linotype" w:cs="Times New Roman"/>
          <w:b/>
          <w:i/>
          <w:sz w:val="22"/>
          <w:szCs w:val="22"/>
        </w:rPr>
        <w:t>Artículo 190.</w:t>
      </w:r>
      <w:r w:rsidRPr="00135C14">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E724E2" w14:textId="77777777" w:rsidR="003D674B" w:rsidRPr="00135C14" w:rsidRDefault="003D674B" w:rsidP="003D674B">
      <w:pPr>
        <w:ind w:left="567" w:right="567"/>
        <w:contextualSpacing/>
        <w:jc w:val="both"/>
        <w:rPr>
          <w:rFonts w:ascii="Palatino Linotype" w:eastAsia="Times New Roman" w:hAnsi="Palatino Linotype" w:cs="Times New Roman"/>
          <w:i/>
          <w:sz w:val="22"/>
          <w:szCs w:val="22"/>
        </w:rPr>
      </w:pPr>
    </w:p>
    <w:p w14:paraId="2A7ED42F" w14:textId="77777777" w:rsidR="003D674B" w:rsidRPr="00135C14" w:rsidRDefault="003D674B" w:rsidP="003D674B">
      <w:pPr>
        <w:ind w:left="567" w:right="567"/>
        <w:contextualSpacing/>
        <w:jc w:val="both"/>
        <w:rPr>
          <w:rFonts w:ascii="Palatino Linotype" w:hAnsi="Palatino Linotype"/>
          <w:i/>
          <w:sz w:val="22"/>
          <w:szCs w:val="22"/>
        </w:rPr>
      </w:pPr>
      <w:r w:rsidRPr="00135C14">
        <w:rPr>
          <w:rFonts w:ascii="Palatino Linotype" w:eastAsia="Times New Roman" w:hAnsi="Palatino Linotype" w:cs="Times New Roman"/>
          <w:b/>
          <w:bCs/>
          <w:i/>
          <w:sz w:val="22"/>
          <w:szCs w:val="22"/>
        </w:rPr>
        <w:t>Artículo 223.</w:t>
      </w:r>
      <w:r w:rsidRPr="00135C14">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7824746" w14:textId="22E4469F" w:rsidR="003D674B" w:rsidRPr="00135C14" w:rsidRDefault="003D674B" w:rsidP="003D674B">
      <w:pPr>
        <w:ind w:left="567" w:right="567"/>
        <w:contextualSpacing/>
        <w:jc w:val="both"/>
        <w:rPr>
          <w:rFonts w:ascii="Palatino Linotype" w:hAnsi="Palatino Linotype"/>
          <w:i/>
          <w:sz w:val="22"/>
          <w:szCs w:val="22"/>
        </w:rPr>
      </w:pPr>
      <w:r w:rsidRPr="00135C14">
        <w:rPr>
          <w:rFonts w:ascii="Palatino Linotype" w:hAnsi="Palatino Linotype"/>
          <w:i/>
          <w:sz w:val="22"/>
          <w:szCs w:val="22"/>
        </w:rPr>
        <w:t>(…)”</w:t>
      </w:r>
    </w:p>
    <w:p w14:paraId="392D2057" w14:textId="77777777" w:rsidR="003D674B" w:rsidRPr="00135C14" w:rsidRDefault="003D674B" w:rsidP="003D674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3F0110" w14:textId="77777777" w:rsidR="003D674B" w:rsidRPr="00135C14" w:rsidRDefault="003D674B" w:rsidP="003D674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De </w:t>
      </w:r>
      <w:r w:rsidRPr="00135C14">
        <w:rPr>
          <w:rFonts w:ascii="Palatino Linotype" w:hAnsi="Palatino Linotype" w:cs="Arial"/>
          <w:color w:val="000000" w:themeColor="text1"/>
        </w:rPr>
        <w:t xml:space="preserve">los dispositivos normativos señalados </w:t>
      </w:r>
      <w:r w:rsidRPr="00135C14">
        <w:rPr>
          <w:rFonts w:ascii="Palatino Linotype" w:hAnsi="Palatino Linotype" w:cs="Arial"/>
          <w:i/>
          <w:iCs/>
          <w:color w:val="000000" w:themeColor="text1"/>
        </w:rPr>
        <w:t>supra</w:t>
      </w:r>
      <w:r w:rsidRPr="00135C14">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3DE68" w14:textId="77777777" w:rsidR="003D674B" w:rsidRPr="00135C14" w:rsidRDefault="003D674B" w:rsidP="003D674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4E163F" w14:textId="23187B03" w:rsidR="003D674B" w:rsidRPr="00135C14" w:rsidRDefault="003D674B" w:rsidP="003D674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En </w:t>
      </w:r>
      <w:r w:rsidRPr="00135C14">
        <w:rPr>
          <w:rFonts w:ascii="Palatino Linotype" w:hAnsi="Palatino Linotype" w:cs="Arial"/>
          <w:color w:val="000000" w:themeColor="text1"/>
        </w:rPr>
        <w:t>consecuencia, el recurso de revisión consiste en una garantía secundaria</w:t>
      </w:r>
      <w:r w:rsidRPr="00135C14">
        <w:rPr>
          <w:rFonts w:ascii="Palatino Linotype" w:hAnsi="Palatino Linotype" w:cs="Arial"/>
          <w:i/>
          <w:color w:val="000000" w:themeColor="text1"/>
        </w:rPr>
        <w:t xml:space="preserve"> de la anulabilidad de los actos inválidos y de la responsabilidad de los actos ilícitos, que </w:t>
      </w:r>
      <w:r w:rsidRPr="00135C14">
        <w:rPr>
          <w:rFonts w:ascii="Palatino Linotype" w:hAnsi="Palatino Linotype" w:cs="Arial"/>
          <w:i/>
          <w:color w:val="000000" w:themeColor="text1"/>
        </w:rPr>
        <w:lastRenderedPageBreak/>
        <w:t>constituyen las desobediencias de sus garantías primarias</w:t>
      </w:r>
      <w:r w:rsidRPr="00135C14">
        <w:rPr>
          <w:rFonts w:ascii="Palatino Linotype" w:hAnsi="Palatino Linotype" w:cs="Arial"/>
          <w:color w:val="000000" w:themeColor="text1"/>
          <w:vertAlign w:val="superscript"/>
        </w:rPr>
        <w:footnoteReference w:id="5"/>
      </w:r>
      <w:r w:rsidRPr="00135C14">
        <w:rPr>
          <w:rFonts w:ascii="Palatino Linotype" w:hAnsi="Palatino Linotype" w:cs="Arial"/>
          <w:iCs/>
          <w:color w:val="000000" w:themeColor="text1"/>
        </w:rPr>
        <w:t>;</w:t>
      </w:r>
      <w:r w:rsidRPr="00135C14">
        <w:rPr>
          <w:rFonts w:ascii="Palatino Linotype" w:hAnsi="Palatino Linotype" w:cs="Arial"/>
          <w:color w:val="000000" w:themeColor="text1"/>
        </w:rPr>
        <w:t xml:space="preserve"> esto refiere que, ante la falta de respuesta por parte del </w:t>
      </w:r>
      <w:r w:rsidRPr="00135C14">
        <w:rPr>
          <w:rFonts w:ascii="Palatino Linotype" w:hAnsi="Palatino Linotype" w:cs="Arial"/>
          <w:b/>
          <w:color w:val="000000" w:themeColor="text1"/>
        </w:rPr>
        <w:t>SUJETO OBLIGADO</w:t>
      </w:r>
      <w:r w:rsidRPr="00135C14">
        <w:rPr>
          <w:rFonts w:ascii="Palatino Linotype" w:hAnsi="Palatino Linotype" w:cs="Arial"/>
          <w:color w:val="000000" w:themeColor="text1"/>
        </w:rPr>
        <w:t xml:space="preserve">, el </w:t>
      </w:r>
      <w:r w:rsidRPr="00135C14">
        <w:rPr>
          <w:rFonts w:ascii="Palatino Linotype" w:hAnsi="Palatino Linotype" w:cs="Arial"/>
          <w:b/>
          <w:color w:val="000000" w:themeColor="text1"/>
        </w:rPr>
        <w:t>RECURRENTE</w:t>
      </w:r>
      <w:r w:rsidRPr="00135C14">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B5A95C" w14:textId="12B835C6" w:rsidR="003D674B" w:rsidRPr="00135C14" w:rsidRDefault="003D674B" w:rsidP="003D674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6E2EBE" w14:textId="784B145E" w:rsidR="003D674B" w:rsidRPr="00135C14" w:rsidRDefault="003D674B"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hAnsi="Palatino Linotype" w:cs="Arial"/>
          <w:color w:val="000000" w:themeColor="text1"/>
        </w:rPr>
        <w:t>su parte, sobre</w:t>
      </w:r>
      <w:r w:rsidRPr="00135C14">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45BB22B7" w14:textId="17D07707" w:rsidR="003D674B" w:rsidRPr="00135C14" w:rsidRDefault="003D674B" w:rsidP="003D674B">
      <w:pPr>
        <w:rPr>
          <w:rFonts w:ascii="Palatino Linotype" w:eastAsia="Calibri" w:hAnsi="Palatino Linotype" w:cs="Arial"/>
          <w:color w:val="000000" w:themeColor="text1"/>
          <w:lang w:val="es-ES"/>
        </w:rPr>
      </w:pPr>
    </w:p>
    <w:p w14:paraId="048D257C" w14:textId="34687A97" w:rsidR="003D674B" w:rsidRPr="00135C14" w:rsidRDefault="003D674B" w:rsidP="003D674B">
      <w:pPr>
        <w:ind w:left="567" w:right="567"/>
        <w:contextualSpacing/>
        <w:jc w:val="both"/>
        <w:rPr>
          <w:rFonts w:ascii="Palatino Linotype" w:eastAsia="Times New Roman" w:hAnsi="Palatino Linotype" w:cs="Times New Roman"/>
          <w:i/>
          <w:sz w:val="22"/>
          <w:szCs w:val="22"/>
        </w:rPr>
      </w:pPr>
      <w:r w:rsidRPr="00135C14">
        <w:rPr>
          <w:rFonts w:ascii="Palatino Linotype" w:eastAsia="Times New Roman" w:hAnsi="Palatino Linotype" w:cs="Times New Roman"/>
          <w:b/>
          <w:i/>
          <w:sz w:val="22"/>
          <w:szCs w:val="22"/>
        </w:rPr>
        <w:t>“Artículo 222.</w:t>
      </w:r>
      <w:r w:rsidRPr="00135C14">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35E3C3A4" w14:textId="77777777" w:rsidR="003D674B" w:rsidRPr="00135C14" w:rsidRDefault="003D674B" w:rsidP="003D674B">
      <w:pPr>
        <w:ind w:left="567" w:right="567"/>
        <w:contextualSpacing/>
        <w:jc w:val="both"/>
        <w:rPr>
          <w:rFonts w:ascii="Palatino Linotype" w:eastAsia="Times New Roman" w:hAnsi="Palatino Linotype" w:cs="Times New Roman"/>
          <w:i/>
          <w:sz w:val="22"/>
          <w:szCs w:val="22"/>
        </w:rPr>
      </w:pPr>
      <w:r w:rsidRPr="00135C14">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135C14">
        <w:rPr>
          <w:rFonts w:ascii="Palatino Linotype" w:eastAsia="Times New Roman" w:hAnsi="Palatino Linotype" w:cs="Times New Roman"/>
          <w:i/>
          <w:sz w:val="22"/>
          <w:szCs w:val="22"/>
        </w:rPr>
        <w:t>;</w:t>
      </w:r>
    </w:p>
    <w:p w14:paraId="7DD529E4" w14:textId="77777777" w:rsidR="003D674B" w:rsidRPr="00135C14" w:rsidRDefault="003D674B" w:rsidP="003D674B">
      <w:pPr>
        <w:ind w:left="567" w:right="567"/>
        <w:contextualSpacing/>
        <w:jc w:val="both"/>
        <w:rPr>
          <w:rFonts w:ascii="Palatino Linotype" w:eastAsia="Times New Roman" w:hAnsi="Palatino Linotype" w:cs="Times New Roman"/>
          <w:i/>
          <w:sz w:val="22"/>
          <w:szCs w:val="22"/>
        </w:rPr>
      </w:pPr>
      <w:r w:rsidRPr="00135C14">
        <w:rPr>
          <w:rFonts w:ascii="Palatino Linotype" w:eastAsia="Times New Roman" w:hAnsi="Palatino Linotype" w:cs="Times New Roman"/>
          <w:b/>
          <w:i/>
          <w:sz w:val="22"/>
          <w:szCs w:val="22"/>
        </w:rPr>
        <w:t xml:space="preserve">II. La </w:t>
      </w:r>
      <w:r w:rsidRPr="00135C14">
        <w:rPr>
          <w:rFonts w:ascii="Palatino Linotype" w:eastAsia="Times New Roman" w:hAnsi="Palatino Linotype" w:cs="Times New Roman"/>
          <w:b/>
          <w:i/>
          <w:sz w:val="22"/>
          <w:szCs w:val="22"/>
          <w:u w:val="single"/>
        </w:rPr>
        <w:t>falta de respuesta a las solicitudes de información</w:t>
      </w:r>
      <w:r w:rsidRPr="00135C14">
        <w:rPr>
          <w:rFonts w:ascii="Palatino Linotype" w:eastAsia="Times New Roman" w:hAnsi="Palatino Linotype" w:cs="Times New Roman"/>
          <w:b/>
          <w:i/>
          <w:sz w:val="22"/>
          <w:szCs w:val="22"/>
        </w:rPr>
        <w:t xml:space="preserve"> en los plazos señalados en la normatividad aplicable</w:t>
      </w:r>
      <w:r w:rsidRPr="00135C14">
        <w:rPr>
          <w:rFonts w:ascii="Palatino Linotype" w:eastAsia="Times New Roman" w:hAnsi="Palatino Linotype" w:cs="Times New Roman"/>
          <w:i/>
          <w:sz w:val="22"/>
          <w:szCs w:val="22"/>
        </w:rPr>
        <w:t>;</w:t>
      </w:r>
    </w:p>
    <w:p w14:paraId="33730AD4" w14:textId="1118E982" w:rsidR="003D674B" w:rsidRPr="00135C14" w:rsidRDefault="003D674B" w:rsidP="003D674B">
      <w:pPr>
        <w:ind w:left="567" w:right="567"/>
        <w:contextualSpacing/>
        <w:jc w:val="both"/>
        <w:rPr>
          <w:rFonts w:ascii="Palatino Linotype" w:eastAsia="Times New Roman" w:hAnsi="Palatino Linotype" w:cs="Times New Roman"/>
          <w:iCs/>
          <w:sz w:val="22"/>
          <w:szCs w:val="22"/>
        </w:rPr>
      </w:pPr>
      <w:r w:rsidRPr="00135C14">
        <w:rPr>
          <w:rFonts w:ascii="Palatino Linotype" w:eastAsia="Times New Roman" w:hAnsi="Palatino Linotype" w:cs="Times New Roman"/>
          <w:i/>
          <w:sz w:val="22"/>
          <w:szCs w:val="22"/>
        </w:rPr>
        <w:t>(…)</w:t>
      </w:r>
      <w:r w:rsidRPr="00135C14">
        <w:rPr>
          <w:rFonts w:ascii="Palatino Linotype" w:eastAsia="Times New Roman" w:hAnsi="Palatino Linotype" w:cs="Times New Roman"/>
          <w:iCs/>
          <w:sz w:val="22"/>
          <w:szCs w:val="22"/>
        </w:rPr>
        <w:t>”</w:t>
      </w:r>
    </w:p>
    <w:p w14:paraId="64329BBA" w14:textId="77777777" w:rsidR="003D674B" w:rsidRPr="00135C14" w:rsidRDefault="003D674B" w:rsidP="003D674B">
      <w:pPr>
        <w:rPr>
          <w:rFonts w:ascii="Palatino Linotype" w:eastAsia="Calibri" w:hAnsi="Palatino Linotype" w:cs="Arial"/>
          <w:color w:val="000000" w:themeColor="text1"/>
          <w:lang w:val="es-ES"/>
        </w:rPr>
      </w:pPr>
    </w:p>
    <w:p w14:paraId="73595913" w14:textId="3D9E3576" w:rsidR="003D674B" w:rsidRPr="00135C14" w:rsidRDefault="003D674B"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En </w:t>
      </w:r>
      <w:r w:rsidRPr="00135C14">
        <w:rPr>
          <w:rFonts w:ascii="Palatino Linotype" w:hAnsi="Palatino Linotype" w:cs="Arial"/>
          <w:color w:val="000000" w:themeColor="text1"/>
        </w:rPr>
        <w:t xml:space="preserve">el presente asunto, de las constancias que obran en el expediente digital del </w:t>
      </w:r>
      <w:r w:rsidRPr="00135C14">
        <w:rPr>
          <w:rFonts w:ascii="Palatino Linotype" w:hAnsi="Palatino Linotype" w:cs="Arial"/>
          <w:b/>
          <w:bCs/>
          <w:color w:val="000000" w:themeColor="text1"/>
        </w:rPr>
        <w:t>SAIMEX</w:t>
      </w:r>
      <w:r w:rsidRPr="00135C14">
        <w:rPr>
          <w:rFonts w:ascii="Palatino Linotype" w:hAnsi="Palatino Linotype" w:cs="Arial"/>
          <w:color w:val="000000" w:themeColor="text1"/>
        </w:rPr>
        <w:t xml:space="preserve">, dentro del apartado de </w:t>
      </w:r>
      <w:r w:rsidRPr="00135C14">
        <w:rPr>
          <w:rFonts w:ascii="Palatino Linotype" w:hAnsi="Palatino Linotype" w:cs="Arial"/>
          <w:i/>
          <w:iCs/>
          <w:color w:val="000000" w:themeColor="text1"/>
        </w:rPr>
        <w:t>Requerimientos</w:t>
      </w:r>
      <w:r w:rsidRPr="00135C14">
        <w:rPr>
          <w:rFonts w:ascii="Palatino Linotype" w:hAnsi="Palatino Linotype" w:cs="Arial"/>
          <w:color w:val="000000" w:themeColor="text1"/>
        </w:rPr>
        <w:t xml:space="preserve">, </w:t>
      </w:r>
      <w:bookmarkStart w:id="48" w:name="_Hlk68613656"/>
      <w:r w:rsidRPr="00135C14">
        <w:rPr>
          <w:rFonts w:ascii="Palatino Linotype" w:hAnsi="Palatino Linotype" w:cs="Arial"/>
          <w:color w:val="000000" w:themeColor="text1"/>
        </w:rPr>
        <w:t xml:space="preserve">se aprecia que la Unidad de Transparencia turnó la solicitud de información a un área administrativa o servidor </w:t>
      </w:r>
      <w:r w:rsidRPr="00135C14">
        <w:rPr>
          <w:rFonts w:ascii="Palatino Linotype" w:hAnsi="Palatino Linotype" w:cs="Arial"/>
          <w:color w:val="000000" w:themeColor="text1"/>
        </w:rPr>
        <w:lastRenderedPageBreak/>
        <w:t>público habilitado</w:t>
      </w:r>
      <w:bookmarkEnd w:id="48"/>
      <w:r w:rsidRPr="00135C14">
        <w:rPr>
          <w:rFonts w:ascii="Palatino Linotype" w:hAnsi="Palatino Linotype" w:cs="Arial"/>
          <w:color w:val="000000" w:themeColor="text1"/>
        </w:rPr>
        <w:t xml:space="preserve">, </w:t>
      </w:r>
      <w:r w:rsidR="003A33FE" w:rsidRPr="00135C14">
        <w:rPr>
          <w:rFonts w:ascii="Palatino Linotype" w:hAnsi="Palatino Linotype" w:cs="Arial"/>
          <w:color w:val="000000" w:themeColor="text1"/>
        </w:rPr>
        <w:t>sin embargo, no</w:t>
      </w:r>
      <w:r w:rsidRPr="00135C14">
        <w:rPr>
          <w:rFonts w:ascii="Palatino Linotype" w:hAnsi="Palatino Linotype" w:cs="Arial"/>
          <w:color w:val="000000" w:themeColor="text1"/>
        </w:rPr>
        <w:t xml:space="preserve"> dio respuesta al turno de mérito</w:t>
      </w:r>
      <w:r w:rsidR="003A33FE" w:rsidRPr="00135C14">
        <w:rPr>
          <w:rFonts w:ascii="Palatino Linotype" w:hAnsi="Palatino Linotype" w:cs="Arial"/>
          <w:color w:val="000000" w:themeColor="text1"/>
        </w:rPr>
        <w:t xml:space="preserve">, </w:t>
      </w:r>
      <w:r w:rsidRPr="00135C14">
        <w:rPr>
          <w:rFonts w:ascii="Palatino Linotype" w:hAnsi="Palatino Linotype" w:cs="Arial"/>
          <w:color w:val="000000" w:themeColor="text1"/>
        </w:rPr>
        <w:t>como lo muestran las siguientes capturas</w:t>
      </w:r>
      <w:r w:rsidR="003A33FE" w:rsidRPr="00135C14">
        <w:rPr>
          <w:rFonts w:ascii="Palatino Linotype" w:hAnsi="Palatino Linotype" w:cs="Arial"/>
          <w:color w:val="000000" w:themeColor="text1"/>
        </w:rPr>
        <w:t>:</w:t>
      </w:r>
    </w:p>
    <w:p w14:paraId="670E169A" w14:textId="228606B0" w:rsidR="003D674B" w:rsidRPr="00135C14" w:rsidRDefault="003D674B" w:rsidP="003D674B">
      <w:pPr>
        <w:pStyle w:val="Prrafodelista"/>
        <w:tabs>
          <w:tab w:val="left" w:pos="426"/>
          <w:tab w:val="left" w:pos="567"/>
        </w:tabs>
        <w:spacing w:line="360" w:lineRule="auto"/>
        <w:ind w:left="0"/>
        <w:jc w:val="both"/>
        <w:rPr>
          <w:rFonts w:ascii="Palatino Linotype" w:hAnsi="Palatino Linotype" w:cs="Arial"/>
          <w:color w:val="000000" w:themeColor="text1"/>
        </w:rPr>
      </w:pPr>
    </w:p>
    <w:p w14:paraId="0ABB4144" w14:textId="5B2B0B49" w:rsidR="003D674B" w:rsidRPr="00135C14" w:rsidRDefault="003D674B" w:rsidP="003D674B">
      <w:pPr>
        <w:pStyle w:val="Prrafodelista"/>
        <w:tabs>
          <w:tab w:val="left" w:pos="426"/>
          <w:tab w:val="left" w:pos="567"/>
        </w:tabs>
        <w:spacing w:line="360" w:lineRule="auto"/>
        <w:ind w:left="0"/>
        <w:jc w:val="both"/>
        <w:rPr>
          <w:rFonts w:ascii="Palatino Linotype" w:hAnsi="Palatino Linotype" w:cs="Arial"/>
          <w:color w:val="000000" w:themeColor="text1"/>
        </w:rPr>
      </w:pPr>
      <w:r w:rsidRPr="00135C14">
        <w:rPr>
          <w:rFonts w:ascii="Palatino Linotype" w:hAnsi="Palatino Linotype" w:cs="Arial"/>
          <w:noProof/>
          <w:color w:val="000000" w:themeColor="text1"/>
          <w:lang w:val="es-MX" w:eastAsia="es-MX"/>
        </w:rPr>
        <w:drawing>
          <wp:inline distT="0" distB="0" distL="0" distR="0" wp14:anchorId="1D5CE742" wp14:editId="2FA0EFDC">
            <wp:extent cx="5579745" cy="2793365"/>
            <wp:effectExtent l="12700" t="12700" r="8255" b="133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stretch>
                      <a:fillRect/>
                    </a:stretch>
                  </pic:blipFill>
                  <pic:spPr>
                    <a:xfrm>
                      <a:off x="0" y="0"/>
                      <a:ext cx="5579745" cy="2793365"/>
                    </a:xfrm>
                    <a:prstGeom prst="rect">
                      <a:avLst/>
                    </a:prstGeom>
                    <a:ln>
                      <a:solidFill>
                        <a:schemeClr val="tx1"/>
                      </a:solidFill>
                    </a:ln>
                  </pic:spPr>
                </pic:pic>
              </a:graphicData>
            </a:graphic>
          </wp:inline>
        </w:drawing>
      </w:r>
    </w:p>
    <w:p w14:paraId="05AF5753" w14:textId="5C1381D0" w:rsidR="003D674B" w:rsidRPr="00135C14" w:rsidRDefault="003A33FE" w:rsidP="003D674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135C14">
        <w:rPr>
          <w:rFonts w:ascii="Palatino Linotype" w:eastAsia="Calibri" w:hAnsi="Palatino Linotype" w:cs="Arial"/>
          <w:noProof/>
          <w:color w:val="000000" w:themeColor="text1"/>
          <w:lang w:val="es-MX" w:eastAsia="es-MX"/>
        </w:rPr>
        <w:drawing>
          <wp:inline distT="0" distB="0" distL="0" distR="0" wp14:anchorId="7367E39A" wp14:editId="72AA411B">
            <wp:extent cx="5579745" cy="471805"/>
            <wp:effectExtent l="12700" t="12700" r="8255" b="1079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0"/>
                    <a:stretch>
                      <a:fillRect/>
                    </a:stretch>
                  </pic:blipFill>
                  <pic:spPr>
                    <a:xfrm>
                      <a:off x="0" y="0"/>
                      <a:ext cx="5579745" cy="471805"/>
                    </a:xfrm>
                    <a:prstGeom prst="rect">
                      <a:avLst/>
                    </a:prstGeom>
                    <a:ln>
                      <a:solidFill>
                        <a:schemeClr val="tx1"/>
                      </a:solidFill>
                    </a:ln>
                  </pic:spPr>
                </pic:pic>
              </a:graphicData>
            </a:graphic>
          </wp:inline>
        </w:drawing>
      </w:r>
    </w:p>
    <w:p w14:paraId="5807BC3A" w14:textId="77777777" w:rsidR="003D674B" w:rsidRPr="00135C14" w:rsidRDefault="003D674B" w:rsidP="003A33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B983E7" w14:textId="77777777" w:rsidR="003A33FE" w:rsidRPr="00135C14" w:rsidRDefault="003A33FE" w:rsidP="003A33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En </w:t>
      </w:r>
      <w:r w:rsidRPr="00135C14">
        <w:rPr>
          <w:rFonts w:ascii="Palatino Linotype" w:hAnsi="Palatino Linotype" w:cs="Arial"/>
          <w:color w:val="000000" w:themeColor="text1"/>
        </w:rPr>
        <w:t xml:space="preserve">consecuencia, toda vez que el Ayuntamiento de Zinacantepec </w:t>
      </w:r>
      <w:r w:rsidRPr="00135C14">
        <w:rPr>
          <w:rFonts w:ascii="Palatino Linotype" w:hAnsi="Palatino Linotype" w:cs="Arial"/>
          <w:b/>
          <w:bCs/>
          <w:color w:val="000000" w:themeColor="text1"/>
        </w:rPr>
        <w:t>no respondió a la solicitud de información</w:t>
      </w:r>
      <w:r w:rsidRPr="00135C14">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135C14">
        <w:rPr>
          <w:rFonts w:ascii="Palatino Linotype" w:hAnsi="Palatino Linotype" w:cs="Arial"/>
          <w:b/>
          <w:color w:val="000000" w:themeColor="text1"/>
        </w:rPr>
        <w:t>SUJETO OBLIGADO</w:t>
      </w:r>
      <w:r w:rsidRPr="00135C14">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w:t>
      </w:r>
      <w:r w:rsidRPr="00135C14">
        <w:rPr>
          <w:rFonts w:ascii="Palatino Linotype" w:hAnsi="Palatino Linotype" w:cs="Arial"/>
          <w:color w:val="000000" w:themeColor="text1"/>
        </w:rPr>
        <w:lastRenderedPageBreak/>
        <w:t xml:space="preserve">el </w:t>
      </w:r>
      <w:r w:rsidRPr="00135C14">
        <w:rPr>
          <w:rFonts w:ascii="Palatino Linotype" w:hAnsi="Palatino Linotype" w:cs="Arial"/>
          <w:b/>
          <w:color w:val="000000" w:themeColor="text1"/>
        </w:rPr>
        <w:t>SUJETO OBLIGADO</w:t>
      </w:r>
      <w:r w:rsidRPr="00135C14">
        <w:rPr>
          <w:rFonts w:ascii="Palatino Linotype" w:hAnsi="Palatino Linotype" w:cs="Arial"/>
          <w:color w:val="000000" w:themeColor="text1"/>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3F768E61" w14:textId="77777777" w:rsidR="003A33FE" w:rsidRPr="00135C14" w:rsidRDefault="003A33FE" w:rsidP="003A33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1E883F" w14:textId="2E436B60" w:rsidR="003A33FE" w:rsidRPr="00135C14" w:rsidRDefault="003A33FE" w:rsidP="003A33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w:t>
      </w:r>
      <w:r w:rsidRPr="00135C14">
        <w:rPr>
          <w:rFonts w:ascii="Palatino Linotype" w:eastAsia="MS Mincho" w:hAnsi="Palatino Linotype" w:cstheme="majorBidi"/>
        </w:rPr>
        <w:t>lo tanto,</w:t>
      </w:r>
      <w:r w:rsidRPr="00135C14">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135C14">
        <w:rPr>
          <w:rFonts w:ascii="Palatino Linotype" w:eastAsia="MS Mincho" w:hAnsi="Palatino Linotype" w:cstheme="majorBidi"/>
          <w:b/>
          <w:lang w:val="es-ES"/>
        </w:rPr>
        <w:t>RECURRENTE</w:t>
      </w:r>
      <w:r w:rsidRPr="00135C14">
        <w:rPr>
          <w:rFonts w:ascii="Palatino Linotype" w:eastAsia="MS Mincho" w:hAnsi="Palatino Linotype" w:cstheme="majorBidi"/>
          <w:lang w:val="es-ES"/>
        </w:rPr>
        <w:t xml:space="preserve"> dentro del recurso de revisión </w:t>
      </w:r>
      <w:r w:rsidRPr="00135C14">
        <w:rPr>
          <w:rFonts w:ascii="Palatino Linotype" w:eastAsia="MS Mincho" w:hAnsi="Palatino Linotype" w:cstheme="majorBidi"/>
          <w:b/>
          <w:lang w:val="es-ES"/>
        </w:rPr>
        <w:t>17228/INFOEM/IP/RR/2022</w:t>
      </w:r>
      <w:r w:rsidRPr="00135C14">
        <w:rPr>
          <w:rFonts w:ascii="Palatino Linotype" w:eastAsia="MS Mincho" w:hAnsi="Palatino Linotype" w:cstheme="majorBidi"/>
          <w:lang w:val="es-ES"/>
        </w:rPr>
        <w:t xml:space="preserve">; por ello, y con fundamento en la fracción IV del numeral 186 de la Ley de Transparencia y Acceso a la Información Pública del Estado de México y Municipios, se </w:t>
      </w:r>
      <w:r w:rsidRPr="00135C14">
        <w:rPr>
          <w:rFonts w:ascii="Palatino Linotype" w:eastAsia="MS Mincho" w:hAnsi="Palatino Linotype" w:cstheme="majorBidi"/>
          <w:b/>
          <w:lang w:val="es-ES"/>
        </w:rPr>
        <w:t>ORDENA</w:t>
      </w:r>
      <w:r w:rsidRPr="00135C14">
        <w:rPr>
          <w:rFonts w:ascii="Palatino Linotype" w:eastAsia="MS Mincho" w:hAnsi="Palatino Linotype" w:cstheme="majorBidi"/>
          <w:lang w:val="es-ES"/>
        </w:rPr>
        <w:t xml:space="preserve"> atender la solicitud de información </w:t>
      </w:r>
      <w:r w:rsidRPr="00135C14">
        <w:rPr>
          <w:rFonts w:ascii="Palatino Linotype" w:eastAsia="MS Mincho" w:hAnsi="Palatino Linotype" w:cstheme="majorBidi"/>
          <w:b/>
          <w:lang w:val="es-ES"/>
        </w:rPr>
        <w:t>01207/ZINACANT/IP/2022</w:t>
      </w:r>
      <w:r w:rsidRPr="00135C14">
        <w:rPr>
          <w:rFonts w:ascii="Palatino Linotype" w:eastAsia="MS Mincho" w:hAnsi="Palatino Linotype" w:cstheme="majorBidi"/>
          <w:lang w:val="es-ES"/>
        </w:rPr>
        <w:t>.</w:t>
      </w:r>
    </w:p>
    <w:p w14:paraId="409C24B5" w14:textId="2A5D920F" w:rsidR="003A33FE" w:rsidRPr="00135C14" w:rsidRDefault="003A33FE" w:rsidP="003A33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33"/>
    <w:bookmarkEnd w:id="34"/>
    <w:bookmarkEnd w:id="35"/>
    <w:bookmarkEnd w:id="36"/>
    <w:p w14:paraId="556C236E" w14:textId="38C7651E" w:rsidR="002C26FE" w:rsidRPr="00135C14"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35C14">
        <w:rPr>
          <w:rFonts w:ascii="Palatino Linotype" w:eastAsia="Calibri" w:hAnsi="Palatino Linotype" w:cs="Arial"/>
          <w:color w:val="000000" w:themeColor="text1"/>
          <w:lang w:val="es-ES"/>
        </w:rPr>
        <w:t xml:space="preserve">Por lo anteriormente expuesto y fundado, este </w:t>
      </w:r>
      <w:r w:rsidRPr="00135C14">
        <w:rPr>
          <w:rFonts w:ascii="Palatino Linotype" w:eastAsia="Calibri" w:hAnsi="Palatino Linotype" w:cs="Arial"/>
          <w:b/>
          <w:color w:val="000000" w:themeColor="text1"/>
          <w:lang w:val="es-ES"/>
        </w:rPr>
        <w:t>ÓRGANO GARANTE</w:t>
      </w:r>
      <w:r w:rsidRPr="00135C14">
        <w:rPr>
          <w:rFonts w:ascii="Palatino Linotype" w:eastAsia="Calibri" w:hAnsi="Palatino Linotype" w:cs="Arial"/>
          <w:color w:val="000000" w:themeColor="text1"/>
          <w:lang w:val="es-ES"/>
        </w:rPr>
        <w:t xml:space="preserve"> emite los siguientes:</w:t>
      </w:r>
    </w:p>
    <w:p w14:paraId="05D23B28" w14:textId="77777777" w:rsidR="000912F1" w:rsidRPr="00135C14" w:rsidRDefault="000912F1"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135C14" w:rsidRDefault="002C26FE" w:rsidP="002C26FE">
      <w:pPr>
        <w:spacing w:line="360" w:lineRule="auto"/>
        <w:jc w:val="center"/>
        <w:rPr>
          <w:rFonts w:ascii="Palatino Linotype" w:hAnsi="Palatino Linotype"/>
          <w:b/>
          <w:lang w:val="es-ES"/>
        </w:rPr>
      </w:pPr>
      <w:r w:rsidRPr="00135C14">
        <w:rPr>
          <w:rFonts w:ascii="Palatino Linotype" w:hAnsi="Palatino Linotype"/>
          <w:b/>
          <w:lang w:val="es-ES"/>
        </w:rPr>
        <w:t>R E S O L U T I V O S</w:t>
      </w:r>
    </w:p>
    <w:p w14:paraId="56CDA803" w14:textId="77777777" w:rsidR="002C26FE" w:rsidRPr="00135C14" w:rsidRDefault="002C26FE" w:rsidP="0099101B">
      <w:pPr>
        <w:spacing w:line="360" w:lineRule="auto"/>
        <w:jc w:val="both"/>
        <w:rPr>
          <w:rFonts w:ascii="Palatino Linotype" w:hAnsi="Palatino Linotype"/>
          <w:lang w:val="es-ES"/>
        </w:rPr>
      </w:pPr>
    </w:p>
    <w:p w14:paraId="7FD66D49" w14:textId="4BCDB9A2" w:rsidR="00264F36" w:rsidRPr="00135C14" w:rsidRDefault="001C3518" w:rsidP="000912F1">
      <w:pPr>
        <w:spacing w:line="360" w:lineRule="auto"/>
        <w:ind w:right="48"/>
        <w:jc w:val="both"/>
        <w:rPr>
          <w:rFonts w:ascii="Palatino Linotype" w:hAnsi="Palatino Linotype" w:cs="Arial"/>
          <w:bCs/>
        </w:rPr>
      </w:pPr>
      <w:r w:rsidRPr="00135C14">
        <w:rPr>
          <w:rFonts w:ascii="Palatino Linotype" w:hAnsi="Palatino Linotype" w:cs="Arial"/>
          <w:b/>
        </w:rPr>
        <w:t xml:space="preserve">PRIMERO. </w:t>
      </w:r>
      <w:r w:rsidR="003A33FE" w:rsidRPr="00135C14">
        <w:rPr>
          <w:rFonts w:ascii="Palatino Linotype" w:eastAsia="Times New Roman" w:hAnsi="Palatino Linotype" w:cs="Arial"/>
        </w:rPr>
        <w:t>Resultan fundadas las</w:t>
      </w:r>
      <w:r w:rsidR="003A33FE" w:rsidRPr="00135C14">
        <w:rPr>
          <w:rFonts w:ascii="Palatino Linotype" w:eastAsia="Times New Roman" w:hAnsi="Palatino Linotype" w:cs="Arial"/>
          <w:b/>
        </w:rPr>
        <w:t xml:space="preserve"> </w:t>
      </w:r>
      <w:r w:rsidR="003A33FE" w:rsidRPr="00135C14">
        <w:rPr>
          <w:rFonts w:ascii="Palatino Linotype" w:eastAsia="Times New Roman" w:hAnsi="Palatino Linotype" w:cs="Arial"/>
          <w:lang w:val="es-ES"/>
        </w:rPr>
        <w:t xml:space="preserve">razones o motivos de inconformidad hechos valer </w:t>
      </w:r>
      <w:r w:rsidR="003A33FE" w:rsidRPr="00135C14">
        <w:rPr>
          <w:rFonts w:ascii="Palatino Linotype" w:eastAsia="Calibri" w:hAnsi="Palatino Linotype" w:cs="Arial"/>
          <w:lang w:val="es-ES"/>
        </w:rPr>
        <w:t xml:space="preserve">en el recurso de revisión </w:t>
      </w:r>
      <w:r w:rsidR="003A33FE" w:rsidRPr="00135C14">
        <w:rPr>
          <w:rFonts w:ascii="Palatino Linotype" w:eastAsia="Times New Roman" w:hAnsi="Palatino Linotype" w:cs="Times New Roman"/>
          <w:b/>
        </w:rPr>
        <w:t xml:space="preserve">17228/INFOEM/IP/RR/2022 </w:t>
      </w:r>
      <w:r w:rsidR="003A33FE" w:rsidRPr="00135C14">
        <w:rPr>
          <w:rFonts w:ascii="Palatino Linotype" w:eastAsia="Times New Roman" w:hAnsi="Palatino Linotype" w:cs="Times New Roman"/>
        </w:rPr>
        <w:t>en términos de los</w:t>
      </w:r>
      <w:r w:rsidR="003A33FE" w:rsidRPr="00135C14">
        <w:rPr>
          <w:rFonts w:ascii="Palatino Linotype" w:eastAsia="Times New Roman" w:hAnsi="Palatino Linotype" w:cs="Times New Roman"/>
          <w:b/>
          <w:bCs/>
        </w:rPr>
        <w:t xml:space="preserve"> Considerandos CUARTO </w:t>
      </w:r>
      <w:r w:rsidR="003A33FE" w:rsidRPr="00135C14">
        <w:rPr>
          <w:rFonts w:ascii="Palatino Linotype" w:eastAsia="Times New Roman" w:hAnsi="Palatino Linotype" w:cs="Times New Roman"/>
          <w:bCs/>
        </w:rPr>
        <w:t>y</w:t>
      </w:r>
      <w:r w:rsidR="003A33FE" w:rsidRPr="00135C14">
        <w:rPr>
          <w:rFonts w:ascii="Palatino Linotype" w:eastAsia="Times New Roman" w:hAnsi="Palatino Linotype" w:cs="Times New Roman"/>
        </w:rPr>
        <w:t xml:space="preserve"> </w:t>
      </w:r>
      <w:r w:rsidR="003A33FE" w:rsidRPr="00135C14">
        <w:rPr>
          <w:rFonts w:ascii="Palatino Linotype" w:eastAsia="Times New Roman" w:hAnsi="Palatino Linotype" w:cs="Times New Roman"/>
          <w:b/>
        </w:rPr>
        <w:t>QUINTO</w:t>
      </w:r>
      <w:r w:rsidR="003A33FE" w:rsidRPr="00135C14">
        <w:rPr>
          <w:rFonts w:ascii="Palatino Linotype" w:eastAsia="Times New Roman" w:hAnsi="Palatino Linotype" w:cs="Times New Roman"/>
        </w:rPr>
        <w:t xml:space="preserve"> de la presente resolución.</w:t>
      </w:r>
    </w:p>
    <w:p w14:paraId="2254BFCF" w14:textId="3DA8D29D" w:rsidR="001C3518" w:rsidRPr="00135C14" w:rsidRDefault="001C3518" w:rsidP="001C3518">
      <w:pPr>
        <w:spacing w:line="360" w:lineRule="auto"/>
        <w:ind w:right="48"/>
        <w:jc w:val="both"/>
        <w:rPr>
          <w:rFonts w:ascii="Palatino Linotype" w:hAnsi="Palatino Linotype" w:cs="Arial"/>
          <w:lang w:val="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135C14">
        <w:rPr>
          <w:rFonts w:ascii="Palatino Linotype" w:hAnsi="Palatino Linotype"/>
          <w:b/>
        </w:rPr>
        <w:lastRenderedPageBreak/>
        <w:t>SEGUNDO.</w:t>
      </w:r>
      <w:r w:rsidRPr="00135C14">
        <w:rPr>
          <w:rStyle w:val="Ttulo2Car"/>
          <w:rFonts w:ascii="Palatino Linotype" w:hAnsi="Palatino Linotype"/>
          <w:sz w:val="24"/>
          <w:szCs w:val="24"/>
        </w:rPr>
        <w:t xml:space="preserve"> </w:t>
      </w:r>
      <w:bookmarkEnd w:id="49"/>
      <w:bookmarkEnd w:id="50"/>
      <w:bookmarkEnd w:id="51"/>
      <w:bookmarkEnd w:id="52"/>
      <w:bookmarkEnd w:id="53"/>
      <w:bookmarkEnd w:id="54"/>
      <w:bookmarkEnd w:id="55"/>
      <w:r w:rsidRPr="00135C14">
        <w:rPr>
          <w:rFonts w:ascii="Palatino Linotype" w:eastAsia="Calibri" w:hAnsi="Palatino Linotype" w:cs="Arial"/>
          <w:lang w:val="es-ES"/>
        </w:rPr>
        <w:t>Se</w:t>
      </w:r>
      <w:r w:rsidRPr="00135C14">
        <w:rPr>
          <w:rFonts w:ascii="Palatino Linotype" w:eastAsia="Calibri" w:hAnsi="Palatino Linotype" w:cs="Arial"/>
          <w:b/>
          <w:lang w:val="es-ES"/>
        </w:rPr>
        <w:t xml:space="preserve"> </w:t>
      </w:r>
      <w:r w:rsidR="003A33FE" w:rsidRPr="00135C14">
        <w:rPr>
          <w:rFonts w:ascii="Palatino Linotype" w:eastAsia="Calibri" w:hAnsi="Palatino Linotype" w:cs="Arial"/>
          <w:b/>
          <w:lang w:val="es-ES"/>
        </w:rPr>
        <w:t>ORDENA</w:t>
      </w:r>
      <w:r w:rsidR="003A33FE" w:rsidRPr="00135C14">
        <w:rPr>
          <w:rFonts w:ascii="Palatino Linotype" w:eastAsia="Calibri" w:hAnsi="Palatino Linotype" w:cs="Arial"/>
          <w:lang w:val="es-ES"/>
        </w:rPr>
        <w:t xml:space="preserve"> al </w:t>
      </w:r>
      <w:r w:rsidR="003A33FE" w:rsidRPr="00135C14">
        <w:rPr>
          <w:rFonts w:ascii="Palatino Linotype" w:eastAsia="Calibri" w:hAnsi="Palatino Linotype" w:cs="Arial"/>
          <w:b/>
        </w:rPr>
        <w:t xml:space="preserve">Ayuntamiento de Zinacantepec </w:t>
      </w:r>
      <w:r w:rsidR="003A33FE" w:rsidRPr="00135C14">
        <w:rPr>
          <w:rFonts w:ascii="Palatino Linotype" w:eastAsia="Calibri" w:hAnsi="Palatino Linotype" w:cs="Arial"/>
          <w:bCs/>
        </w:rPr>
        <w:t xml:space="preserve">dar atención a la solicitud </w:t>
      </w:r>
      <w:r w:rsidR="003A33FE" w:rsidRPr="00135C14">
        <w:rPr>
          <w:rFonts w:ascii="Palatino Linotype" w:eastAsia="Calibri" w:hAnsi="Palatino Linotype" w:cs="Arial"/>
          <w:b/>
        </w:rPr>
        <w:t xml:space="preserve">01207/ZINACANT/IP/2022 </w:t>
      </w:r>
      <w:r w:rsidR="003A33FE" w:rsidRPr="00135C14">
        <w:rPr>
          <w:rFonts w:ascii="Palatino Linotype" w:eastAsia="Calibri" w:hAnsi="Palatino Linotype" w:cs="Arial"/>
        </w:rPr>
        <w:t xml:space="preserve">y </w:t>
      </w:r>
      <w:r w:rsidR="003A33FE" w:rsidRPr="00135C14">
        <w:rPr>
          <w:rFonts w:ascii="Palatino Linotype" w:eastAsia="Calibri" w:hAnsi="Palatino Linotype" w:cs="Arial"/>
          <w:lang w:val="es-ES"/>
        </w:rPr>
        <w:t>entregar, a través del Sistema de Acceso a la Información Pública Mexiquense (SAIMEX)</w:t>
      </w:r>
      <w:r w:rsidR="003A33FE" w:rsidRPr="00135C14">
        <w:rPr>
          <w:rFonts w:ascii="Palatino Linotype" w:eastAsia="Times New Roman" w:hAnsi="Palatino Linotype" w:cs="Arial"/>
          <w:color w:val="000000"/>
        </w:rPr>
        <w:t>, de ser procedente en versión pública, los documentos donde conste la siguiente información:</w:t>
      </w:r>
    </w:p>
    <w:p w14:paraId="1F4DCAC5" w14:textId="77777777" w:rsidR="001C3518" w:rsidRPr="00135C14" w:rsidRDefault="001C3518" w:rsidP="001C3518">
      <w:pPr>
        <w:spacing w:line="360" w:lineRule="auto"/>
        <w:ind w:right="48"/>
        <w:jc w:val="both"/>
        <w:rPr>
          <w:rFonts w:ascii="Palatino Linotype" w:hAnsi="Palatino Linotype" w:cs="Arial"/>
          <w:lang w:val="es-ES"/>
        </w:rPr>
      </w:pPr>
    </w:p>
    <w:p w14:paraId="28EF3FFE" w14:textId="36268DE9" w:rsidR="002C26FE" w:rsidRPr="00135C14" w:rsidRDefault="003A33FE" w:rsidP="00836ADD">
      <w:pPr>
        <w:pStyle w:val="Prrafodelista"/>
        <w:numPr>
          <w:ilvl w:val="0"/>
          <w:numId w:val="22"/>
        </w:numPr>
        <w:spacing w:line="360" w:lineRule="auto"/>
        <w:ind w:left="567" w:right="565" w:hanging="141"/>
        <w:jc w:val="both"/>
        <w:rPr>
          <w:rFonts w:ascii="Palatino Linotype" w:hAnsi="Palatino Linotype" w:cs="Arial"/>
          <w:bCs/>
        </w:rPr>
      </w:pPr>
      <w:r w:rsidRPr="00135C14">
        <w:rPr>
          <w:rFonts w:ascii="Palatino Linotype" w:hAnsi="Palatino Linotype"/>
          <w:b/>
          <w:lang w:eastAsia="en-US"/>
        </w:rPr>
        <w:t>T</w:t>
      </w:r>
      <w:r w:rsidRPr="00135C14">
        <w:rPr>
          <w:rFonts w:ascii="Palatino Linotype" w:eastAsia="Calibri" w:hAnsi="Palatino Linotype" w:cs="Arial"/>
          <w:b/>
          <w:bCs/>
          <w:color w:val="000000" w:themeColor="text1"/>
          <w:lang w:val="es-ES"/>
        </w:rPr>
        <w:t>odos los contratos de apertura de cuentas bancarias del uno de enero al nueve de noviembre de dos mil veintidós.</w:t>
      </w:r>
    </w:p>
    <w:p w14:paraId="732F11E5" w14:textId="77777777" w:rsidR="002A4AF7" w:rsidRPr="00135C14" w:rsidRDefault="002A4AF7" w:rsidP="002A4AF7">
      <w:pPr>
        <w:pStyle w:val="Prrafodelista"/>
        <w:spacing w:line="360" w:lineRule="auto"/>
        <w:ind w:left="567" w:right="565"/>
        <w:jc w:val="both"/>
        <w:rPr>
          <w:rFonts w:ascii="Palatino Linotype" w:hAnsi="Palatino Linotype" w:cs="Arial"/>
          <w:bCs/>
        </w:rPr>
      </w:pPr>
    </w:p>
    <w:p w14:paraId="1876154F" w14:textId="77777777" w:rsidR="003A33FE" w:rsidRPr="00135C14" w:rsidRDefault="003A33FE" w:rsidP="003A33FE">
      <w:pPr>
        <w:tabs>
          <w:tab w:val="left" w:pos="993"/>
        </w:tabs>
        <w:spacing w:line="360" w:lineRule="auto"/>
        <w:jc w:val="both"/>
        <w:rPr>
          <w:rFonts w:ascii="Palatino Linotype" w:eastAsia="Calibri" w:hAnsi="Palatino Linotype" w:cs="Arial"/>
        </w:rPr>
      </w:pPr>
      <w:r w:rsidRPr="00135C14">
        <w:rPr>
          <w:rFonts w:ascii="Palatino Linotype" w:hAnsi="Palatino Linotype"/>
          <w:color w:val="000000"/>
        </w:rPr>
        <w:t xml:space="preserve">Para </w:t>
      </w:r>
      <w:r w:rsidRPr="00135C14">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135C14">
        <w:rPr>
          <w:rFonts w:ascii="Palatino Linotype" w:eastAsia="Calibri" w:hAnsi="Palatino Linotype" w:cs="Arial"/>
          <w:b/>
        </w:rPr>
        <w:t>RECURRENTE</w:t>
      </w:r>
      <w:r w:rsidRPr="00135C14">
        <w:rPr>
          <w:rFonts w:ascii="Palatino Linotype" w:eastAsia="Calibri" w:hAnsi="Palatino Linotype" w:cs="Arial"/>
        </w:rPr>
        <w:t>.</w:t>
      </w:r>
    </w:p>
    <w:p w14:paraId="14AE4C1C" w14:textId="77777777" w:rsidR="002A4AF7" w:rsidRPr="00135C14" w:rsidRDefault="002A4AF7" w:rsidP="002A4AF7">
      <w:pPr>
        <w:spacing w:line="360" w:lineRule="auto"/>
        <w:ind w:right="565"/>
        <w:jc w:val="both"/>
        <w:rPr>
          <w:rFonts w:ascii="Palatino Linotype" w:hAnsi="Palatino Linotype" w:cs="Arial"/>
          <w:bCs/>
        </w:rPr>
      </w:pPr>
    </w:p>
    <w:p w14:paraId="01F8FE94" w14:textId="77777777" w:rsidR="001C3518" w:rsidRPr="00135C14"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135C14">
        <w:rPr>
          <w:rFonts w:ascii="Palatino Linotype" w:eastAsia="Palatino Linotype" w:hAnsi="Palatino Linotype" w:cs="Palatino Linotype"/>
          <w:b/>
        </w:rPr>
        <w:t xml:space="preserve">TERCERO. Notifíquese </w:t>
      </w:r>
      <w:r w:rsidRPr="00135C14">
        <w:rPr>
          <w:rFonts w:ascii="Palatino Linotype" w:eastAsia="Palatino Linotype" w:hAnsi="Palatino Linotype" w:cs="Palatino Linotype"/>
        </w:rPr>
        <w:t xml:space="preserve">al Titular de la Unidad de Transparencia del </w:t>
      </w:r>
      <w:r w:rsidRPr="00135C14">
        <w:rPr>
          <w:rFonts w:ascii="Palatino Linotype" w:eastAsia="Palatino Linotype" w:hAnsi="Palatino Linotype" w:cs="Palatino Linotype"/>
          <w:b/>
        </w:rPr>
        <w:t>SUJETO OBLIGADO</w:t>
      </w:r>
      <w:r w:rsidRPr="00135C1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35C1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F20E04E" w14:textId="77777777" w:rsidR="006C050A" w:rsidRPr="00135C14"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2FF4F780" w14:textId="1C73B22E" w:rsidR="001C3518" w:rsidRPr="00135C14" w:rsidRDefault="001C3518" w:rsidP="001C3518">
      <w:pPr>
        <w:shd w:val="clear" w:color="auto" w:fill="FFFFFF"/>
        <w:spacing w:line="360" w:lineRule="auto"/>
        <w:ind w:right="48"/>
        <w:jc w:val="both"/>
        <w:rPr>
          <w:rFonts w:ascii="Palatino Linotype" w:hAnsi="Palatino Linotype"/>
          <w:b/>
        </w:rPr>
      </w:pPr>
      <w:r w:rsidRPr="00135C14">
        <w:rPr>
          <w:rFonts w:ascii="Palatino Linotype" w:hAnsi="Palatino Linotype" w:cs="Arial"/>
          <w:b/>
        </w:rPr>
        <w:lastRenderedPageBreak/>
        <w:t xml:space="preserve">CUARTO. </w:t>
      </w:r>
      <w:r w:rsidRPr="00135C14">
        <w:rPr>
          <w:rFonts w:ascii="Palatino Linotype" w:hAnsi="Palatino Linotype"/>
          <w:b/>
          <w:bCs/>
          <w:lang w:val="es-ES"/>
        </w:rPr>
        <w:t>Notifíquese al RECURRENTE</w:t>
      </w:r>
      <w:r w:rsidR="00005C3D" w:rsidRPr="00135C14">
        <w:rPr>
          <w:rFonts w:ascii="Palatino Linotype" w:hAnsi="Palatino Linotype"/>
        </w:rPr>
        <w:t xml:space="preserve"> la presente resolución a través de </w:t>
      </w:r>
      <w:r w:rsidR="00005C3D" w:rsidRPr="00135C14">
        <w:rPr>
          <w:rFonts w:ascii="Palatino Linotype" w:hAnsi="Palatino Linotype"/>
          <w:b/>
        </w:rPr>
        <w:t>SAIMEX.</w:t>
      </w:r>
    </w:p>
    <w:p w14:paraId="1D8750CD" w14:textId="77777777" w:rsidR="003A33FE" w:rsidRPr="00135C14" w:rsidRDefault="003A33FE" w:rsidP="001C3518">
      <w:pPr>
        <w:shd w:val="clear" w:color="auto" w:fill="FFFFFF"/>
        <w:spacing w:line="360" w:lineRule="auto"/>
        <w:ind w:right="48"/>
        <w:jc w:val="both"/>
        <w:rPr>
          <w:rFonts w:ascii="Palatino Linotype" w:hAnsi="Palatino Linotype"/>
        </w:rPr>
      </w:pPr>
    </w:p>
    <w:p w14:paraId="013636F0" w14:textId="059A6CB1" w:rsidR="001C3518" w:rsidRPr="00135C14" w:rsidRDefault="001C3518" w:rsidP="001C3518">
      <w:pPr>
        <w:spacing w:line="360" w:lineRule="auto"/>
        <w:ind w:right="48"/>
        <w:jc w:val="both"/>
        <w:rPr>
          <w:rFonts w:ascii="Palatino Linotype" w:eastAsia="MS Mincho" w:hAnsi="Palatino Linotype"/>
          <w:lang w:val="es-ES"/>
        </w:rPr>
      </w:pPr>
      <w:r w:rsidRPr="00135C14">
        <w:rPr>
          <w:rFonts w:ascii="Palatino Linotype" w:eastAsia="MS Mincho" w:hAnsi="Palatino Linotype"/>
          <w:b/>
        </w:rPr>
        <w:t>QUINTO.</w:t>
      </w:r>
      <w:r w:rsidRPr="00135C14">
        <w:rPr>
          <w:rFonts w:ascii="Palatino Linotype" w:eastAsia="MS Mincho" w:hAnsi="Palatino Linotype"/>
        </w:rPr>
        <w:t xml:space="preserve"> </w:t>
      </w:r>
      <w:r w:rsidRPr="00135C14">
        <w:rPr>
          <w:rFonts w:ascii="Palatino Linotype" w:eastAsia="MS Mincho" w:hAnsi="Palatino Linotype"/>
          <w:lang w:val="es-ES"/>
        </w:rPr>
        <w:t xml:space="preserve">Se hace del conocimiento del </w:t>
      </w:r>
      <w:r w:rsidRPr="00135C14">
        <w:rPr>
          <w:rFonts w:ascii="Palatino Linotype" w:hAnsi="Palatino Linotype"/>
          <w:b/>
        </w:rPr>
        <w:t>RECURRENTE</w:t>
      </w:r>
      <w:r w:rsidRPr="00135C14">
        <w:rPr>
          <w:rFonts w:ascii="Palatino Linotype" w:hAnsi="Palatino Linotype"/>
        </w:rPr>
        <w:t xml:space="preserve"> </w:t>
      </w:r>
      <w:r w:rsidRPr="00135C1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A92A08" w:rsidRPr="00135C14">
        <w:rPr>
          <w:rFonts w:ascii="Palatino Linotype" w:eastAsia="MS Mincho" w:hAnsi="Palatino Linotype"/>
          <w:lang w:val="es-ES"/>
        </w:rPr>
        <w:t xml:space="preserve">lgún perjuicio podrá impugnarla </w:t>
      </w:r>
      <w:r w:rsidRPr="00135C14">
        <w:rPr>
          <w:rFonts w:ascii="Palatino Linotype" w:eastAsia="MS Mincho" w:hAnsi="Palatino Linotype"/>
          <w:bCs/>
          <w:lang w:val="es-ES"/>
        </w:rPr>
        <w:t>vía juicio de amparo</w:t>
      </w:r>
      <w:r w:rsidR="00A92A08" w:rsidRPr="00135C14">
        <w:rPr>
          <w:rFonts w:ascii="Palatino Linotype" w:eastAsia="MS Mincho" w:hAnsi="Palatino Linotype"/>
          <w:lang w:val="es-ES"/>
        </w:rPr>
        <w:t xml:space="preserve"> </w:t>
      </w:r>
      <w:r w:rsidRPr="00135C14">
        <w:rPr>
          <w:rFonts w:ascii="Palatino Linotype" w:eastAsia="MS Mincho" w:hAnsi="Palatino Linotype"/>
          <w:lang w:val="es-ES"/>
        </w:rPr>
        <w:t>en los términos de las leyes aplicables.</w:t>
      </w:r>
    </w:p>
    <w:p w14:paraId="77A9BCFF" w14:textId="77777777" w:rsidR="001C3518" w:rsidRPr="00135C14" w:rsidRDefault="001C3518" w:rsidP="001C3518">
      <w:pPr>
        <w:spacing w:line="360" w:lineRule="auto"/>
        <w:ind w:right="48"/>
        <w:jc w:val="both"/>
        <w:rPr>
          <w:rFonts w:ascii="Palatino Linotype" w:eastAsia="MS Mincho" w:hAnsi="Palatino Linotype"/>
          <w:lang w:val="es-ES"/>
        </w:rPr>
      </w:pPr>
    </w:p>
    <w:p w14:paraId="32579D3E" w14:textId="0166EF31" w:rsidR="003A33FE" w:rsidRPr="00135C14" w:rsidRDefault="001C3518" w:rsidP="001C3518">
      <w:pPr>
        <w:spacing w:line="360" w:lineRule="auto"/>
        <w:ind w:right="48"/>
        <w:jc w:val="both"/>
        <w:rPr>
          <w:rFonts w:ascii="Palatino Linotype" w:hAnsi="Palatino Linotype"/>
          <w:b/>
          <w:color w:val="000000"/>
          <w:shd w:val="clear" w:color="auto" w:fill="FFFFFF"/>
        </w:rPr>
      </w:pPr>
      <w:r w:rsidRPr="00135C14">
        <w:rPr>
          <w:rFonts w:ascii="Palatino Linotype" w:hAnsi="Palatino Linotype"/>
          <w:b/>
          <w:color w:val="000000"/>
          <w:shd w:val="clear" w:color="auto" w:fill="FFFFFF"/>
        </w:rPr>
        <w:t xml:space="preserve">SEXTO. </w:t>
      </w:r>
      <w:r w:rsidR="003A33FE" w:rsidRPr="00135C14">
        <w:rPr>
          <w:rFonts w:ascii="Palatino Linotype" w:eastAsia="MS Mincho" w:hAnsi="Palatino Linotype" w:cs="Times New Roman"/>
          <w:lang w:val="es-ES"/>
        </w:rPr>
        <w:t xml:space="preserve">Hágase del conocimiento del </w:t>
      </w:r>
      <w:r w:rsidR="003A33FE" w:rsidRPr="00135C14">
        <w:rPr>
          <w:rFonts w:ascii="Palatino Linotype" w:hAnsi="Palatino Linotype"/>
          <w:b/>
          <w:bCs/>
        </w:rPr>
        <w:t>RECURRENTE</w:t>
      </w:r>
      <w:r w:rsidR="003A33FE" w:rsidRPr="00135C14">
        <w:rPr>
          <w:rFonts w:ascii="Palatino Linotype" w:hAnsi="Palatino Linotype"/>
          <w:b/>
        </w:rPr>
        <w:t xml:space="preserve"> </w:t>
      </w:r>
      <w:r w:rsidR="003A33FE" w:rsidRPr="00135C14">
        <w:rPr>
          <w:rFonts w:ascii="Palatino Linotype" w:eastAsia="MS Mincho" w:hAnsi="Palatino Linotype" w:cs="Times New Roman"/>
          <w:lang w:val="es-ES"/>
        </w:rPr>
        <w:t>que la respuesta que dé el</w:t>
      </w:r>
      <w:r w:rsidR="003A33FE" w:rsidRPr="00135C14">
        <w:rPr>
          <w:rFonts w:ascii="Palatino Linotype" w:eastAsia="MS Mincho" w:hAnsi="Palatino Linotype" w:cs="Times New Roman"/>
          <w:b/>
          <w:lang w:val="es-ES"/>
        </w:rPr>
        <w:t xml:space="preserve"> SUJETO OBLIGADO</w:t>
      </w:r>
      <w:r w:rsidR="003A33FE" w:rsidRPr="00135C14">
        <w:rPr>
          <w:rFonts w:ascii="Palatino Linotype" w:eastAsia="MS Mincho" w:hAnsi="Palatino Linotype" w:cs="Times New Roman"/>
          <w:lang w:val="es-ES"/>
        </w:rPr>
        <w:t xml:space="preserve"> derivada de la presente resolución es susceptible de ser impugnada nuevamente, mediante recurso de revisión, ante este Instituto, en términos del artículo 179, último párrafo, de la Ley de Transparencia y Acceso a la Información Pública del Estado de México y Municipios.</w:t>
      </w:r>
    </w:p>
    <w:p w14:paraId="11E6B4D8" w14:textId="26311F41" w:rsidR="003A33FE" w:rsidRPr="00135C14" w:rsidRDefault="003A33FE" w:rsidP="001C3518">
      <w:pPr>
        <w:spacing w:line="360" w:lineRule="auto"/>
        <w:ind w:right="48"/>
        <w:jc w:val="both"/>
        <w:rPr>
          <w:rFonts w:ascii="Palatino Linotype" w:hAnsi="Palatino Linotype"/>
          <w:b/>
          <w:color w:val="000000"/>
          <w:shd w:val="clear" w:color="auto" w:fill="FFFFFF"/>
        </w:rPr>
      </w:pPr>
    </w:p>
    <w:p w14:paraId="4588CB51" w14:textId="4A5BC9C8" w:rsidR="003A33FE" w:rsidRPr="00135C14" w:rsidRDefault="003A33FE" w:rsidP="001C3518">
      <w:pPr>
        <w:spacing w:line="360" w:lineRule="auto"/>
        <w:ind w:right="48"/>
        <w:jc w:val="both"/>
        <w:rPr>
          <w:rFonts w:ascii="Palatino Linotype" w:eastAsia="MS Mincho" w:hAnsi="Palatino Linotype" w:cs="Times New Roman"/>
          <w:b/>
        </w:rPr>
      </w:pPr>
      <w:r w:rsidRPr="00135C14">
        <w:rPr>
          <w:rFonts w:ascii="Palatino Linotype" w:hAnsi="Palatino Linotype"/>
          <w:b/>
          <w:color w:val="000000"/>
          <w:shd w:val="clear" w:color="auto" w:fill="FFFFFF"/>
        </w:rPr>
        <w:t xml:space="preserve">SÉPTIMO. </w:t>
      </w:r>
      <w:r w:rsidRPr="00135C14">
        <w:rPr>
          <w:rFonts w:ascii="Palatino Linotype" w:eastAsia="MS Mincho" w:hAnsi="Palatino Linotype" w:cs="Times New Roman"/>
        </w:rPr>
        <w:t xml:space="preserve">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35C14">
        <w:rPr>
          <w:rFonts w:ascii="Palatino Linotype" w:eastAsia="MS Mincho" w:hAnsi="Palatino Linotype" w:cs="Times New Roman"/>
          <w:b/>
        </w:rPr>
        <w:t>Considerando SEXTO.</w:t>
      </w:r>
    </w:p>
    <w:p w14:paraId="3E58D506" w14:textId="70F11913" w:rsidR="003A33FE" w:rsidRPr="00135C14" w:rsidRDefault="003A33FE" w:rsidP="001C3518">
      <w:pPr>
        <w:spacing w:line="360" w:lineRule="auto"/>
        <w:ind w:right="48"/>
        <w:jc w:val="both"/>
        <w:rPr>
          <w:rFonts w:ascii="Palatino Linotype" w:eastAsia="MS Mincho" w:hAnsi="Palatino Linotype" w:cs="Times New Roman"/>
          <w:b/>
        </w:rPr>
      </w:pPr>
    </w:p>
    <w:p w14:paraId="63C7C0A4" w14:textId="2CBA0697" w:rsidR="001C3518" w:rsidRPr="00135C14" w:rsidRDefault="003A33FE" w:rsidP="001C3518">
      <w:pPr>
        <w:spacing w:line="360" w:lineRule="auto"/>
        <w:ind w:right="48"/>
        <w:jc w:val="both"/>
        <w:rPr>
          <w:rFonts w:ascii="Palatino Linotype" w:eastAsia="MS Mincho" w:hAnsi="Palatino Linotype" w:cs="Times New Roman"/>
          <w:bCs/>
        </w:rPr>
      </w:pPr>
      <w:r w:rsidRPr="00135C14">
        <w:rPr>
          <w:rFonts w:ascii="Palatino Linotype" w:eastAsia="MS Mincho" w:hAnsi="Palatino Linotype" w:cs="Times New Roman"/>
          <w:b/>
        </w:rPr>
        <w:lastRenderedPageBreak/>
        <w:t xml:space="preserve">OCTAVO. </w:t>
      </w:r>
      <w:r w:rsidRPr="00135C14">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Pr="00135C14">
        <w:rPr>
          <w:rFonts w:ascii="Palatino Linotype" w:eastAsia="MS Mincho" w:hAnsi="Palatino Linotype" w:cs="Times New Roman"/>
          <w:b/>
          <w:bCs/>
        </w:rPr>
        <w:t xml:space="preserve">SUJETO OBLIGADO </w:t>
      </w:r>
      <w:r w:rsidRPr="00135C14">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1E95476B" w14:textId="77777777" w:rsidR="00A77234" w:rsidRPr="00135C14" w:rsidRDefault="00A77234" w:rsidP="00836ADD">
      <w:pPr>
        <w:spacing w:line="360" w:lineRule="auto"/>
        <w:jc w:val="both"/>
        <w:rPr>
          <w:rFonts w:ascii="Palatino Linotype" w:eastAsia="MS Mincho" w:hAnsi="Palatino Linotype" w:cs="Times New Roman"/>
          <w:lang w:val="es-ES"/>
        </w:rPr>
      </w:pPr>
    </w:p>
    <w:bookmarkEnd w:id="27"/>
    <w:bookmarkEnd w:id="28"/>
    <w:bookmarkEnd w:id="29"/>
    <w:p w14:paraId="4214D0B2" w14:textId="77777777" w:rsidR="00135C14" w:rsidRDefault="00135C14" w:rsidP="00135C14">
      <w:pPr>
        <w:spacing w:before="240" w:after="240" w:line="360" w:lineRule="auto"/>
        <w:jc w:val="both"/>
        <w:rPr>
          <w:rFonts w:ascii="Palatino Linotype" w:hAnsi="Palatino Linotype"/>
        </w:rPr>
      </w:pPr>
      <w:r w:rsidRPr="00135C1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bookmarkStart w:id="56" w:name="_GoBack"/>
      <w:bookmarkEnd w:id="56"/>
      <w:r w:rsidRPr="00624AAD">
        <w:rPr>
          <w:rFonts w:ascii="Palatino Linotype" w:hAnsi="Palatino Linotype"/>
        </w:rPr>
        <w:t xml:space="preserve"> </w:t>
      </w:r>
    </w:p>
    <w:p w14:paraId="6B1AA71B" w14:textId="77777777" w:rsidR="00836ADD" w:rsidRDefault="00836ADD" w:rsidP="00836ADD">
      <w:pPr>
        <w:spacing w:line="360" w:lineRule="auto"/>
        <w:jc w:val="both"/>
        <w:rPr>
          <w:rFonts w:ascii="Palatino Linotype" w:hAnsi="Palatino Linotype" w:cs="Tahoma"/>
        </w:rPr>
      </w:pPr>
    </w:p>
    <w:p w14:paraId="788994B1" w14:textId="77777777" w:rsidR="00836ADD" w:rsidRDefault="00836ADD" w:rsidP="00836ADD">
      <w:pPr>
        <w:spacing w:line="360" w:lineRule="auto"/>
        <w:jc w:val="both"/>
        <w:rPr>
          <w:rFonts w:ascii="Palatino Linotype" w:hAnsi="Palatino Linotype" w:cs="Tahoma"/>
        </w:rPr>
      </w:pPr>
    </w:p>
    <w:p w14:paraId="511A3B11" w14:textId="77777777" w:rsidR="00836ADD" w:rsidRDefault="00836ADD" w:rsidP="00836ADD">
      <w:pPr>
        <w:spacing w:line="360" w:lineRule="auto"/>
        <w:jc w:val="both"/>
        <w:rPr>
          <w:rFonts w:ascii="Palatino Linotype" w:hAnsi="Palatino Linotype" w:cs="Tahoma"/>
        </w:rPr>
      </w:pPr>
    </w:p>
    <w:p w14:paraId="7658E340" w14:textId="77777777" w:rsidR="00836ADD" w:rsidRDefault="00836ADD" w:rsidP="00836ADD">
      <w:pPr>
        <w:spacing w:line="360" w:lineRule="auto"/>
        <w:jc w:val="both"/>
        <w:rPr>
          <w:rFonts w:ascii="Palatino Linotype" w:hAnsi="Palatino Linotype" w:cs="Tahoma"/>
        </w:rPr>
      </w:pPr>
    </w:p>
    <w:p w14:paraId="4B12F38D" w14:textId="77777777" w:rsidR="00836ADD" w:rsidRDefault="00836ADD" w:rsidP="00836ADD">
      <w:pPr>
        <w:spacing w:line="360" w:lineRule="auto"/>
        <w:jc w:val="both"/>
        <w:rPr>
          <w:rFonts w:ascii="Palatino Linotype" w:hAnsi="Palatino Linotype" w:cs="Tahoma"/>
        </w:rPr>
      </w:pP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B2B1F" w14:textId="77777777" w:rsidR="003D7AA5" w:rsidRDefault="003D7AA5" w:rsidP="00587366">
      <w:r>
        <w:separator/>
      </w:r>
    </w:p>
  </w:endnote>
  <w:endnote w:type="continuationSeparator" w:id="0">
    <w:p w14:paraId="3F7F359A" w14:textId="77777777" w:rsidR="003D7AA5" w:rsidRDefault="003D7AA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5C14">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5C14">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152CFAE8" w14:textId="77777777" w:rsidR="00AA5FE2" w:rsidRDefault="00AA5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5C14" w:rsidRPr="00135C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5C14" w:rsidRPr="00135C14">
      <w:rPr>
        <w:rFonts w:ascii="Palatino Linotype" w:hAnsi="Palatino Linotype"/>
        <w:noProof/>
        <w:sz w:val="22"/>
        <w:szCs w:val="22"/>
        <w:lang w:val="es-ES"/>
      </w:rPr>
      <w:t>32</w:t>
    </w:r>
    <w:r w:rsidRPr="00883450">
      <w:rPr>
        <w:rFonts w:ascii="Palatino Linotype" w:hAnsi="Palatino Linotype"/>
        <w:sz w:val="22"/>
        <w:szCs w:val="22"/>
      </w:rPr>
      <w:fldChar w:fldCharType="end"/>
    </w:r>
  </w:p>
  <w:p w14:paraId="0C3DE2E2"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6B532" w14:textId="77777777" w:rsidR="003D7AA5" w:rsidRDefault="003D7AA5" w:rsidP="00587366">
      <w:r>
        <w:separator/>
      </w:r>
    </w:p>
  </w:footnote>
  <w:footnote w:type="continuationSeparator" w:id="0">
    <w:p w14:paraId="1CA02C30" w14:textId="77777777" w:rsidR="003D7AA5" w:rsidRDefault="003D7AA5" w:rsidP="00587366">
      <w:r>
        <w:continuationSeparator/>
      </w:r>
    </w:p>
  </w:footnote>
  <w:footnote w:id="1">
    <w:p w14:paraId="26C9BDBB" w14:textId="77777777" w:rsidR="00C9774E" w:rsidRPr="009C43C2" w:rsidRDefault="00C9774E" w:rsidP="00C9774E">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24807884" w14:textId="77777777" w:rsidR="00C9774E" w:rsidRPr="009C43C2" w:rsidRDefault="00C9774E" w:rsidP="00C9774E">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50D016A" w14:textId="77777777" w:rsidR="00C9774E" w:rsidRPr="009C43C2" w:rsidRDefault="00C9774E" w:rsidP="00C9774E">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0EFC24D0" w14:textId="77777777" w:rsidR="00C9774E" w:rsidRDefault="00C9774E" w:rsidP="00C9774E">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3FF399F6" w14:textId="77777777" w:rsidR="003D674B" w:rsidRDefault="003D674B" w:rsidP="003D674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AA5FE2" w:rsidRDefault="003F4920"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AA5FE2">
      <w:tab/>
    </w:r>
  </w:p>
  <w:p w14:paraId="32FF217F" w14:textId="77777777" w:rsidR="00AA5FE2" w:rsidRDefault="00AA5FE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FE2" w:rsidRPr="00674A46" w14:paraId="52B999F0" w14:textId="77777777" w:rsidTr="00F3586F">
      <w:trPr>
        <w:trHeight w:val="138"/>
      </w:trPr>
      <w:tc>
        <w:tcPr>
          <w:tcW w:w="3544" w:type="dxa"/>
          <w:vAlign w:val="center"/>
        </w:tcPr>
        <w:p w14:paraId="00B4D0BE" w14:textId="77777777" w:rsidR="00AA5FE2" w:rsidRPr="00F91466" w:rsidRDefault="00AA5FE2"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33B8C711" w14:textId="12D19CD2" w:rsidR="00AA5FE2" w:rsidRPr="00F91466" w:rsidRDefault="00142B9F" w:rsidP="00986821">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1</w:t>
          </w:r>
          <w:r w:rsidR="00941923">
            <w:rPr>
              <w:rFonts w:ascii="Palatino Linotype" w:hAnsi="Palatino Linotype" w:cs="Arial"/>
              <w:b/>
              <w:bCs/>
              <w:sz w:val="20"/>
              <w:szCs w:val="20"/>
              <w:lang w:eastAsia="es-MX"/>
            </w:rPr>
            <w:t>7228</w:t>
          </w:r>
          <w:r w:rsidR="00AA5FE2" w:rsidRPr="00F91466">
            <w:rPr>
              <w:rFonts w:ascii="Palatino Linotype" w:hAnsi="Palatino Linotype" w:cs="Arial"/>
              <w:b/>
              <w:bCs/>
              <w:sz w:val="20"/>
              <w:szCs w:val="20"/>
              <w:lang w:eastAsia="es-MX"/>
            </w:rPr>
            <w:t>/INFOEM/IP/RR/202</w:t>
          </w:r>
          <w:r w:rsidR="001430CA" w:rsidRPr="00F91466">
            <w:rPr>
              <w:rFonts w:ascii="Palatino Linotype" w:hAnsi="Palatino Linotype" w:cs="Arial"/>
              <w:b/>
              <w:bCs/>
              <w:sz w:val="20"/>
              <w:szCs w:val="20"/>
              <w:lang w:eastAsia="es-MX"/>
            </w:rPr>
            <w:t>2</w:t>
          </w:r>
        </w:p>
      </w:tc>
    </w:tr>
    <w:tr w:rsidR="00AA5FE2" w:rsidRPr="00674A46" w14:paraId="43CB6082" w14:textId="77777777" w:rsidTr="00F3586F">
      <w:trPr>
        <w:trHeight w:val="233"/>
      </w:trPr>
      <w:tc>
        <w:tcPr>
          <w:tcW w:w="3544" w:type="dxa"/>
          <w:vAlign w:val="center"/>
        </w:tcPr>
        <w:p w14:paraId="35536B76" w14:textId="77777777" w:rsidR="00AA5FE2" w:rsidRPr="00F91466" w:rsidRDefault="00AA5FE2"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5C4E52CD" w14:textId="7D58991F" w:rsidR="00AA5FE2" w:rsidRPr="00F91466" w:rsidRDefault="00071F28"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00941923">
            <w:rPr>
              <w:rFonts w:ascii="Palatino Linotype" w:eastAsia="Times New Roman" w:hAnsi="Palatino Linotype"/>
              <w:b/>
              <w:sz w:val="20"/>
              <w:szCs w:val="20"/>
            </w:rPr>
            <w:t>Zinacantepec</w:t>
          </w:r>
        </w:p>
      </w:tc>
    </w:tr>
    <w:tr w:rsidR="00AA5FE2" w:rsidRPr="00674A46" w14:paraId="17E61498" w14:textId="77777777" w:rsidTr="00F3586F">
      <w:trPr>
        <w:trHeight w:val="321"/>
      </w:trPr>
      <w:tc>
        <w:tcPr>
          <w:tcW w:w="3544" w:type="dxa"/>
          <w:vAlign w:val="center"/>
        </w:tcPr>
        <w:p w14:paraId="6C42337D" w14:textId="77777777" w:rsidR="00AA5FE2" w:rsidRPr="00F91466" w:rsidRDefault="00AA5FE2"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42BE4190" w14:textId="77777777" w:rsidR="00AA5FE2" w:rsidRPr="00F91466" w:rsidRDefault="00AA5FE2"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70B0D88B" w14:textId="7777777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AA5FE2" w:rsidRDefault="003D7AA5" w:rsidP="00472C41">
    <w:pPr>
      <w:pStyle w:val="Encabezado"/>
      <w:tabs>
        <w:tab w:val="clear" w:pos="4252"/>
        <w:tab w:val="clear" w:pos="8504"/>
        <w:tab w:val="left" w:pos="3103"/>
      </w:tabs>
    </w:pPr>
    <w:r>
      <w:rPr>
        <w:noProof/>
        <w:lang w:val="es-MX" w:eastAsia="es-MX"/>
      </w:rPr>
      <w:pict w14:anchorId="3E571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FE2" w:rsidRPr="00674A46" w14:paraId="184152C7" w14:textId="77777777" w:rsidTr="00F3586F">
      <w:trPr>
        <w:trHeight w:val="138"/>
      </w:trPr>
      <w:tc>
        <w:tcPr>
          <w:tcW w:w="3261" w:type="dxa"/>
          <w:vAlign w:val="center"/>
        </w:tcPr>
        <w:p w14:paraId="1818144A"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6ECF0D62" w14:textId="280089D3" w:rsidR="00AA5FE2" w:rsidRPr="00F91466" w:rsidRDefault="00142B9F" w:rsidP="00184C8E">
          <w:pPr>
            <w:pStyle w:val="Encabezado"/>
            <w:rPr>
              <w:rFonts w:ascii="Palatino Linotype" w:hAnsi="Palatino Linotype"/>
              <w:b/>
              <w:sz w:val="20"/>
              <w:szCs w:val="20"/>
            </w:rPr>
          </w:pPr>
          <w:r>
            <w:rPr>
              <w:rFonts w:ascii="Palatino Linotype" w:hAnsi="Palatino Linotype" w:cs="Arial"/>
              <w:b/>
              <w:bCs/>
              <w:sz w:val="20"/>
              <w:szCs w:val="20"/>
              <w:lang w:eastAsia="es-MX"/>
            </w:rPr>
            <w:t>1</w:t>
          </w:r>
          <w:r w:rsidR="00071F28">
            <w:rPr>
              <w:rFonts w:ascii="Palatino Linotype" w:hAnsi="Palatino Linotype" w:cs="Arial"/>
              <w:b/>
              <w:bCs/>
              <w:sz w:val="20"/>
              <w:szCs w:val="20"/>
              <w:lang w:eastAsia="es-MX"/>
            </w:rPr>
            <w:t>7</w:t>
          </w:r>
          <w:r w:rsidR="00941923">
            <w:rPr>
              <w:rFonts w:ascii="Palatino Linotype" w:hAnsi="Palatino Linotype" w:cs="Arial"/>
              <w:b/>
              <w:bCs/>
              <w:sz w:val="20"/>
              <w:szCs w:val="20"/>
              <w:lang w:eastAsia="es-MX"/>
            </w:rPr>
            <w:t>228</w:t>
          </w:r>
          <w:r w:rsidR="00AA5FE2" w:rsidRPr="00F91466">
            <w:rPr>
              <w:rFonts w:ascii="Palatino Linotype" w:hAnsi="Palatino Linotype" w:cs="Arial"/>
              <w:b/>
              <w:bCs/>
              <w:sz w:val="20"/>
              <w:szCs w:val="20"/>
              <w:lang w:eastAsia="es-MX"/>
            </w:rPr>
            <w:t>/INFOEM/IP/RR/202</w:t>
          </w:r>
          <w:r w:rsidR="001430CA" w:rsidRPr="00F91466">
            <w:rPr>
              <w:rFonts w:ascii="Palatino Linotype" w:hAnsi="Palatino Linotype" w:cs="Arial"/>
              <w:b/>
              <w:bCs/>
              <w:sz w:val="20"/>
              <w:szCs w:val="20"/>
              <w:lang w:eastAsia="es-MX"/>
            </w:rPr>
            <w:t>2</w:t>
          </w:r>
        </w:p>
      </w:tc>
    </w:tr>
    <w:tr w:rsidR="00AA5FE2" w:rsidRPr="00B75F20" w14:paraId="17C185E7" w14:textId="77777777" w:rsidTr="00F3586F">
      <w:trPr>
        <w:trHeight w:val="233"/>
      </w:trPr>
      <w:tc>
        <w:tcPr>
          <w:tcW w:w="3261" w:type="dxa"/>
          <w:vAlign w:val="center"/>
        </w:tcPr>
        <w:p w14:paraId="1D115E9B"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3E6730A2" w14:textId="204CC50B" w:rsidR="00AA5FE2" w:rsidRPr="00F91466" w:rsidRDefault="00AA5FE2" w:rsidP="00F0190C">
          <w:pPr>
            <w:pStyle w:val="Encabezado"/>
            <w:ind w:right="234"/>
            <w:rPr>
              <w:rFonts w:ascii="Palatino Linotype" w:hAnsi="Palatino Linotype"/>
              <w:b/>
              <w:sz w:val="20"/>
              <w:szCs w:val="20"/>
            </w:rPr>
          </w:pPr>
        </w:p>
      </w:tc>
    </w:tr>
    <w:tr w:rsidR="00AA5FE2" w:rsidRPr="00674A46" w14:paraId="38F539EF" w14:textId="77777777" w:rsidTr="00F3586F">
      <w:trPr>
        <w:trHeight w:val="321"/>
      </w:trPr>
      <w:tc>
        <w:tcPr>
          <w:tcW w:w="3261" w:type="dxa"/>
          <w:vAlign w:val="center"/>
        </w:tcPr>
        <w:p w14:paraId="763ABA98"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46154497" w14:textId="70B13E98" w:rsidR="00AA5FE2" w:rsidRPr="00F91466" w:rsidRDefault="00071F28"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00941923">
            <w:rPr>
              <w:rFonts w:ascii="Palatino Linotype" w:eastAsia="Times New Roman" w:hAnsi="Palatino Linotype"/>
              <w:b/>
              <w:sz w:val="20"/>
              <w:szCs w:val="20"/>
            </w:rPr>
            <w:t>Zinacantepec</w:t>
          </w:r>
        </w:p>
      </w:tc>
    </w:tr>
    <w:tr w:rsidR="00AA5FE2" w:rsidRPr="00674A46" w14:paraId="42DF337E" w14:textId="77777777" w:rsidTr="00F3586F">
      <w:trPr>
        <w:trHeight w:val="321"/>
      </w:trPr>
      <w:tc>
        <w:tcPr>
          <w:tcW w:w="3261" w:type="dxa"/>
          <w:vAlign w:val="center"/>
        </w:tcPr>
        <w:p w14:paraId="32BC60F0"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7FDFAC3A" w14:textId="77777777" w:rsidR="00AA5FE2" w:rsidRPr="00F91466" w:rsidRDefault="00AA5FE2"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07C73D85" w14:textId="77777777"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215D1A"/>
    <w:multiLevelType w:val="hybridMultilevel"/>
    <w:tmpl w:val="10747F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515F23"/>
    <w:multiLevelType w:val="hybridMultilevel"/>
    <w:tmpl w:val="3F1C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ACD0E7E"/>
    <w:multiLevelType w:val="hybridMultilevel"/>
    <w:tmpl w:val="5D40D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7">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
  </w:num>
  <w:num w:numId="3">
    <w:abstractNumId w:val="25"/>
  </w:num>
  <w:num w:numId="4">
    <w:abstractNumId w:val="2"/>
  </w:num>
  <w:num w:numId="5">
    <w:abstractNumId w:val="27"/>
  </w:num>
  <w:num w:numId="6">
    <w:abstractNumId w:val="26"/>
  </w:num>
  <w:num w:numId="7">
    <w:abstractNumId w:val="13"/>
  </w:num>
  <w:num w:numId="8">
    <w:abstractNumId w:val="21"/>
  </w:num>
  <w:num w:numId="9">
    <w:abstractNumId w:val="22"/>
  </w:num>
  <w:num w:numId="10">
    <w:abstractNumId w:val="14"/>
  </w:num>
  <w:num w:numId="11">
    <w:abstractNumId w:val="9"/>
  </w:num>
  <w:num w:numId="12">
    <w:abstractNumId w:val="28"/>
  </w:num>
  <w:num w:numId="13">
    <w:abstractNumId w:val="15"/>
  </w:num>
  <w:num w:numId="14">
    <w:abstractNumId w:val="6"/>
  </w:num>
  <w:num w:numId="15">
    <w:abstractNumId w:val="23"/>
  </w:num>
  <w:num w:numId="16">
    <w:abstractNumId w:val="8"/>
  </w:num>
  <w:num w:numId="17">
    <w:abstractNumId w:val="4"/>
  </w:num>
  <w:num w:numId="18">
    <w:abstractNumId w:val="5"/>
  </w:num>
  <w:num w:numId="19">
    <w:abstractNumId w:val="0"/>
  </w:num>
  <w:num w:numId="20">
    <w:abstractNumId w:val="19"/>
  </w:num>
  <w:num w:numId="21">
    <w:abstractNumId w:val="12"/>
  </w:num>
  <w:num w:numId="22">
    <w:abstractNumId w:val="20"/>
  </w:num>
  <w:num w:numId="23">
    <w:abstractNumId w:val="11"/>
  </w:num>
  <w:num w:numId="24">
    <w:abstractNumId w:val="16"/>
  </w:num>
  <w:num w:numId="25">
    <w:abstractNumId w:val="18"/>
  </w:num>
  <w:num w:numId="26">
    <w:abstractNumId w:val="10"/>
  </w:num>
  <w:num w:numId="27">
    <w:abstractNumId w:val="17"/>
  </w:num>
  <w:num w:numId="28">
    <w:abstractNumId w:val="3"/>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1F28"/>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2F1"/>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95A"/>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5B9"/>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275"/>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5C14"/>
    <w:rsid w:val="0013673A"/>
    <w:rsid w:val="00137045"/>
    <w:rsid w:val="0013727C"/>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6ED"/>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AF7"/>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246"/>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33FE"/>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D674B"/>
    <w:rsid w:val="003D7AA5"/>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51C"/>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23F2"/>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16D"/>
    <w:rsid w:val="007B74D9"/>
    <w:rsid w:val="007B753F"/>
    <w:rsid w:val="007C0013"/>
    <w:rsid w:val="007C0537"/>
    <w:rsid w:val="007C05FF"/>
    <w:rsid w:val="007C0C12"/>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565"/>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022"/>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1960"/>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923"/>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0FE7"/>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142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4AAE"/>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2D09"/>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5FAF"/>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2C0F"/>
    <w:rsid w:val="00C8322A"/>
    <w:rsid w:val="00C83EA7"/>
    <w:rsid w:val="00C84557"/>
    <w:rsid w:val="00C84559"/>
    <w:rsid w:val="00C8456F"/>
    <w:rsid w:val="00C85EC8"/>
    <w:rsid w:val="00C862C4"/>
    <w:rsid w:val="00C86B34"/>
    <w:rsid w:val="00C908F8"/>
    <w:rsid w:val="00C9125B"/>
    <w:rsid w:val="00C9249D"/>
    <w:rsid w:val="00C924D7"/>
    <w:rsid w:val="00C93293"/>
    <w:rsid w:val="00C94989"/>
    <w:rsid w:val="00C9520E"/>
    <w:rsid w:val="00C95593"/>
    <w:rsid w:val="00C957E7"/>
    <w:rsid w:val="00C95BAD"/>
    <w:rsid w:val="00C96A63"/>
    <w:rsid w:val="00C97093"/>
    <w:rsid w:val="00C9742A"/>
    <w:rsid w:val="00C97602"/>
    <w:rsid w:val="00C9774E"/>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76A64"/>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ABA"/>
    <w:rsid w:val="00FC3C70"/>
    <w:rsid w:val="00FC44A1"/>
    <w:rsid w:val="00FC453A"/>
    <w:rsid w:val="00FC4DEB"/>
    <w:rsid w:val="00FC511E"/>
    <w:rsid w:val="00FC72AD"/>
    <w:rsid w:val="00FC77FF"/>
    <w:rsid w:val="00FC7E40"/>
    <w:rsid w:val="00FD03AB"/>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FC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630842">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3625539">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4C86-20C8-47A0-90CB-FAF8A46E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6615</Words>
  <Characters>36387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2019-01-21T23:42:00Z</cp:lastPrinted>
  <dcterms:created xsi:type="dcterms:W3CDTF">2023-02-16T18:20:00Z</dcterms:created>
  <dcterms:modified xsi:type="dcterms:W3CDTF">2023-02-22T16:49:00Z</dcterms:modified>
</cp:coreProperties>
</file>