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32AC54" w14:textId="77777777" w:rsidR="0078708B" w:rsidRPr="00C77556" w:rsidRDefault="00A82FD4">
      <w:pPr>
        <w:spacing w:before="240" w:after="240" w:line="360" w:lineRule="auto"/>
        <w:jc w:val="both"/>
        <w:rPr>
          <w:rFonts w:ascii="Palatino Linotype" w:eastAsia="Palatino Linotype" w:hAnsi="Palatino Linotype" w:cs="Palatino Linotype"/>
        </w:rPr>
      </w:pPr>
      <w:bookmarkStart w:id="0" w:name="_heading=h.tyjcwt" w:colFirst="0" w:colLast="0"/>
      <w:bookmarkEnd w:id="0"/>
      <w:r w:rsidRPr="00C7755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trece de septiembre de dos mil veintitrés. </w:t>
      </w:r>
    </w:p>
    <w:p w14:paraId="4809CC23" w14:textId="136FE24C"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VISTO</w:t>
      </w:r>
      <w:r w:rsidRPr="00C77556">
        <w:rPr>
          <w:rFonts w:ascii="Palatino Linotype" w:eastAsia="Palatino Linotype" w:hAnsi="Palatino Linotype" w:cs="Palatino Linotype"/>
        </w:rPr>
        <w:t xml:space="preserve"> el expediente formado con motivo del recurso de revisión </w:t>
      </w:r>
      <w:r w:rsidRPr="00C77556">
        <w:rPr>
          <w:rFonts w:ascii="Palatino Linotype" w:eastAsia="Palatino Linotype" w:hAnsi="Palatino Linotype" w:cs="Palatino Linotype"/>
          <w:b/>
        </w:rPr>
        <w:t>15679/INFOEM/IP/RR/2022</w:t>
      </w:r>
      <w:r w:rsidRPr="00C77556">
        <w:rPr>
          <w:rFonts w:ascii="Palatino Linotype" w:eastAsia="Palatino Linotype" w:hAnsi="Palatino Linotype" w:cs="Palatino Linotype"/>
        </w:rPr>
        <w:t xml:space="preserve">, interpuesto por </w:t>
      </w:r>
      <w:r w:rsidR="0031182B">
        <w:rPr>
          <w:rFonts w:ascii="Palatino Linotype" w:eastAsia="Palatino Linotype" w:hAnsi="Palatino Linotype" w:cs="Palatino Linotype"/>
          <w:b/>
        </w:rPr>
        <w:t>XXXXXXX XXXXXX XX X</w:t>
      </w:r>
      <w:bookmarkStart w:id="1" w:name="_GoBack"/>
      <w:bookmarkEnd w:id="1"/>
      <w:r w:rsidRPr="00C77556">
        <w:rPr>
          <w:rFonts w:ascii="Palatino Linotype" w:eastAsia="Palatino Linotype" w:hAnsi="Palatino Linotype" w:cs="Palatino Linotype"/>
          <w:b/>
        </w:rPr>
        <w:t xml:space="preserve"> </w:t>
      </w:r>
      <w:r w:rsidRPr="00C77556">
        <w:rPr>
          <w:rFonts w:ascii="Palatino Linotype" w:eastAsia="Palatino Linotype" w:hAnsi="Palatino Linotype" w:cs="Palatino Linotype"/>
        </w:rPr>
        <w:t>y</w:t>
      </w:r>
      <w:r w:rsidRPr="00C77556">
        <w:rPr>
          <w:rFonts w:ascii="Palatino Linotype" w:eastAsia="Palatino Linotype" w:hAnsi="Palatino Linotype" w:cs="Palatino Linotype"/>
          <w:b/>
        </w:rPr>
        <w:t xml:space="preserve"> </w:t>
      </w:r>
      <w:r w:rsidRPr="00C77556">
        <w:rPr>
          <w:rFonts w:ascii="Palatino Linotype" w:eastAsia="Palatino Linotype" w:hAnsi="Palatino Linotype" w:cs="Palatino Linotype"/>
        </w:rPr>
        <w:t>quien en lo sucesivo</w:t>
      </w:r>
      <w:r w:rsidRPr="00C77556">
        <w:rPr>
          <w:rFonts w:ascii="Palatino Linotype" w:eastAsia="Palatino Linotype" w:hAnsi="Palatino Linotype" w:cs="Palatino Linotype"/>
          <w:b/>
        </w:rPr>
        <w:t xml:space="preserve"> </w:t>
      </w:r>
      <w:r w:rsidRPr="00C77556">
        <w:rPr>
          <w:rFonts w:ascii="Palatino Linotype" w:eastAsia="Palatino Linotype" w:hAnsi="Palatino Linotype" w:cs="Palatino Linotype"/>
        </w:rPr>
        <w:t xml:space="preserve">será identificado en su calidad de la parte </w:t>
      </w:r>
      <w:r w:rsidRPr="00C77556">
        <w:rPr>
          <w:rFonts w:ascii="Palatino Linotype" w:eastAsia="Palatino Linotype" w:hAnsi="Palatino Linotype" w:cs="Palatino Linotype"/>
          <w:b/>
        </w:rPr>
        <w:t>Recurrente,</w:t>
      </w:r>
      <w:r w:rsidRPr="00C77556">
        <w:rPr>
          <w:rFonts w:ascii="Palatino Linotype" w:eastAsia="Palatino Linotype" w:hAnsi="Palatino Linotype" w:cs="Palatino Linotype"/>
        </w:rPr>
        <w:t xml:space="preserve"> en contra de la respuesta del </w:t>
      </w:r>
      <w:r w:rsidRPr="00C77556">
        <w:rPr>
          <w:rFonts w:ascii="Palatino Linotype" w:eastAsia="Palatino Linotype" w:hAnsi="Palatino Linotype" w:cs="Palatino Linotype"/>
          <w:b/>
        </w:rPr>
        <w:t xml:space="preserve">Instituto de Seguridad Social del Estado de México y Municipios, </w:t>
      </w:r>
      <w:r w:rsidRPr="00C77556">
        <w:rPr>
          <w:rFonts w:ascii="Palatino Linotype" w:eastAsia="Palatino Linotype" w:hAnsi="Palatino Linotype" w:cs="Palatino Linotype"/>
        </w:rPr>
        <w:t xml:space="preserve">en lo sucesivo el </w:t>
      </w:r>
      <w:r w:rsidRPr="00C77556">
        <w:rPr>
          <w:rFonts w:ascii="Palatino Linotype" w:eastAsia="Palatino Linotype" w:hAnsi="Palatino Linotype" w:cs="Palatino Linotype"/>
          <w:b/>
        </w:rPr>
        <w:t xml:space="preserve">Sujeto Obligado, </w:t>
      </w:r>
      <w:r w:rsidRPr="00C77556">
        <w:rPr>
          <w:rFonts w:ascii="Palatino Linotype" w:eastAsia="Palatino Linotype" w:hAnsi="Palatino Linotype" w:cs="Palatino Linotype"/>
        </w:rPr>
        <w:t xml:space="preserve">se procede a dictar la presente resolución con base en los siguientes: </w:t>
      </w:r>
    </w:p>
    <w:p w14:paraId="3AE92857" w14:textId="77777777" w:rsidR="0078708B" w:rsidRPr="00C77556" w:rsidRDefault="00A82FD4">
      <w:pPr>
        <w:spacing w:before="240" w:after="240" w:line="360" w:lineRule="auto"/>
        <w:jc w:val="center"/>
        <w:rPr>
          <w:rFonts w:ascii="Palatino Linotype" w:eastAsia="Palatino Linotype" w:hAnsi="Palatino Linotype" w:cs="Palatino Linotype"/>
          <w:b/>
          <w:sz w:val="28"/>
          <w:szCs w:val="28"/>
        </w:rPr>
      </w:pPr>
      <w:bookmarkStart w:id="2" w:name="_heading=h.3znysh7" w:colFirst="0" w:colLast="0"/>
      <w:bookmarkEnd w:id="2"/>
      <w:r w:rsidRPr="00C77556">
        <w:rPr>
          <w:rFonts w:ascii="Palatino Linotype" w:eastAsia="Palatino Linotype" w:hAnsi="Palatino Linotype" w:cs="Palatino Linotype"/>
          <w:b/>
        </w:rPr>
        <w:t>I. A N T E C E D E N T E S</w:t>
      </w:r>
    </w:p>
    <w:p w14:paraId="1DBD7257"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1. Solicitud de acceso a la información.</w:t>
      </w:r>
      <w:r w:rsidRPr="00C77556">
        <w:rPr>
          <w:rFonts w:ascii="Palatino Linotype" w:eastAsia="Palatino Linotype" w:hAnsi="Palatino Linotype" w:cs="Palatino Linotype"/>
        </w:rPr>
        <w:t xml:space="preserve"> El </w:t>
      </w:r>
      <w:r w:rsidRPr="00C77556">
        <w:rPr>
          <w:rFonts w:ascii="Palatino Linotype" w:eastAsia="Palatino Linotype" w:hAnsi="Palatino Linotype" w:cs="Palatino Linotype"/>
          <w:b/>
        </w:rPr>
        <w:t>veintinueve de septiembre de dos mil veintidós,</w:t>
      </w:r>
      <w:r w:rsidRPr="00C77556">
        <w:rPr>
          <w:rFonts w:ascii="Palatino Linotype" w:eastAsia="Palatino Linotype" w:hAnsi="Palatino Linotype" w:cs="Palatino Linotype"/>
        </w:rPr>
        <w:t xml:space="preserve"> la parte </w:t>
      </w:r>
      <w:r w:rsidRPr="00C77556">
        <w:rPr>
          <w:rFonts w:ascii="Palatino Linotype" w:eastAsia="Palatino Linotype" w:hAnsi="Palatino Linotype" w:cs="Palatino Linotype"/>
          <w:b/>
        </w:rPr>
        <w:t xml:space="preserve">Recurrente </w:t>
      </w:r>
      <w:r w:rsidRPr="00C77556">
        <w:rPr>
          <w:rFonts w:ascii="Palatino Linotype" w:eastAsia="Palatino Linotype" w:hAnsi="Palatino Linotype" w:cs="Palatino Linotype"/>
        </w:rPr>
        <w:t>presentó a través del Sistema de Acceso a la Información Mexiquense (</w:t>
      </w:r>
      <w:r w:rsidRPr="00C77556">
        <w:rPr>
          <w:rFonts w:ascii="Palatino Linotype" w:eastAsia="Palatino Linotype" w:hAnsi="Palatino Linotype" w:cs="Palatino Linotype"/>
          <w:b/>
        </w:rPr>
        <w:t>SAIMEX),</w:t>
      </w:r>
      <w:r w:rsidRPr="00C77556">
        <w:rPr>
          <w:rFonts w:ascii="Palatino Linotype" w:eastAsia="Palatino Linotype" w:hAnsi="Palatino Linotype" w:cs="Palatino Linotype"/>
        </w:rPr>
        <w:t xml:space="preserve"> la solicitud de acceso a la información pública registrada con el número </w:t>
      </w:r>
      <w:r w:rsidRPr="00C77556">
        <w:rPr>
          <w:rFonts w:ascii="Palatino Linotype" w:eastAsia="Palatino Linotype" w:hAnsi="Palatino Linotype" w:cs="Palatino Linotype"/>
          <w:b/>
        </w:rPr>
        <w:t xml:space="preserve">00794/ISSEMYM/IP/2022, </w:t>
      </w:r>
      <w:r w:rsidRPr="00C77556">
        <w:rPr>
          <w:rFonts w:ascii="Palatino Linotype" w:eastAsia="Palatino Linotype" w:hAnsi="Palatino Linotype" w:cs="Palatino Linotype"/>
        </w:rPr>
        <w:t xml:space="preserve">mediante la cual requirió la información siguiente: </w:t>
      </w:r>
    </w:p>
    <w:p w14:paraId="07D83A31"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bookmarkStart w:id="3" w:name="_heading=h.gjdgxs" w:colFirst="0" w:colLast="0"/>
      <w:bookmarkEnd w:id="3"/>
      <w:r w:rsidRPr="00C77556">
        <w:rPr>
          <w:rFonts w:ascii="Palatino Linotype" w:eastAsia="Palatino Linotype" w:hAnsi="Palatino Linotype" w:cs="Palatino Linotype"/>
          <w:i/>
          <w:sz w:val="22"/>
          <w:szCs w:val="22"/>
        </w:rPr>
        <w:t xml:space="preserve">“Realizo la solicitud de la siguiente información: ¿Cuál es el procedimiento para solicitar el seguro por fallecimiento? ¿Cuánto tiempo se tarda en dar respuesta para emitir el pago de seguro por fallecimiento? ¿Existe una cédula de trámites y servicios respecto al trámite de seguro por fallecimiento? De ser así proporcionar la misma de forma actualizada y la pagina donde esta publicada ¿En caso de no cumplir con la fecha estipulada en dicha cédula, a que está obligado el </w:t>
      </w:r>
      <w:proofErr w:type="spellStart"/>
      <w:r w:rsidRPr="00C77556">
        <w:rPr>
          <w:rFonts w:ascii="Palatino Linotype" w:eastAsia="Palatino Linotype" w:hAnsi="Palatino Linotype" w:cs="Palatino Linotype"/>
          <w:i/>
          <w:sz w:val="22"/>
          <w:szCs w:val="22"/>
        </w:rPr>
        <w:t>issemym</w:t>
      </w:r>
      <w:proofErr w:type="spellEnd"/>
      <w:r w:rsidRPr="00C77556">
        <w:rPr>
          <w:rFonts w:ascii="Palatino Linotype" w:eastAsia="Palatino Linotype" w:hAnsi="Palatino Linotype" w:cs="Palatino Linotype"/>
          <w:i/>
          <w:sz w:val="22"/>
          <w:szCs w:val="22"/>
        </w:rPr>
        <w:t xml:space="preserve">, y que puede hacer el peticionario? ¿A cuánto asciende el pago de seguro por fallecimiento o como esta </w:t>
      </w:r>
      <w:r w:rsidRPr="00C77556">
        <w:rPr>
          <w:rFonts w:ascii="Palatino Linotype" w:eastAsia="Palatino Linotype" w:hAnsi="Palatino Linotype" w:cs="Palatino Linotype"/>
          <w:i/>
          <w:sz w:val="22"/>
          <w:szCs w:val="22"/>
        </w:rPr>
        <w:lastRenderedPageBreak/>
        <w:t xml:space="preserve">tabulado? ¿Esta publicada esa tabulación? Y ¿en dónde? ¿En caso de que el pago sea menor al estipulado que procede? ¿Cuál es el área responsable del seguimiento al seguro por fallecimiento así como el número telefónico y titular? ¿A cuánto asciende el presupuesto otorgado para cubrir dicho seguro? A partir de enero a diciembre 2021 ¿cuantos tramites de seguro por fallecimiento han ingresado al </w:t>
      </w:r>
      <w:proofErr w:type="spellStart"/>
      <w:r w:rsidRPr="00C77556">
        <w:rPr>
          <w:rFonts w:ascii="Palatino Linotype" w:eastAsia="Palatino Linotype" w:hAnsi="Palatino Linotype" w:cs="Palatino Linotype"/>
          <w:i/>
          <w:sz w:val="22"/>
          <w:szCs w:val="22"/>
        </w:rPr>
        <w:t>issemym</w:t>
      </w:r>
      <w:proofErr w:type="spellEnd"/>
      <w:r w:rsidRPr="00C77556">
        <w:rPr>
          <w:rFonts w:ascii="Palatino Linotype" w:eastAsia="Palatino Linotype" w:hAnsi="Palatino Linotype" w:cs="Palatino Linotype"/>
          <w:i/>
          <w:sz w:val="22"/>
          <w:szCs w:val="22"/>
        </w:rPr>
        <w:t xml:space="preserve">? ¿Cuántos pagos de seguro por fallecimiento se han otorgado?, y del último pago efectuado, ¿en qué mes hizo el trámite la persona solicitante? ¿Qué es el pago de marcha que otorga el </w:t>
      </w:r>
      <w:proofErr w:type="spellStart"/>
      <w:r w:rsidRPr="00C77556">
        <w:rPr>
          <w:rFonts w:ascii="Palatino Linotype" w:eastAsia="Palatino Linotype" w:hAnsi="Palatino Linotype" w:cs="Palatino Linotype"/>
          <w:i/>
          <w:sz w:val="22"/>
          <w:szCs w:val="22"/>
        </w:rPr>
        <w:t>issemym</w:t>
      </w:r>
      <w:proofErr w:type="spellEnd"/>
      <w:r w:rsidRPr="00C77556">
        <w:rPr>
          <w:rFonts w:ascii="Palatino Linotype" w:eastAsia="Palatino Linotype" w:hAnsi="Palatino Linotype" w:cs="Palatino Linotype"/>
          <w:i/>
          <w:sz w:val="22"/>
          <w:szCs w:val="22"/>
        </w:rPr>
        <w:t xml:space="preserve">? ¿De cuánto es la deuda que tiene el </w:t>
      </w:r>
      <w:proofErr w:type="spellStart"/>
      <w:r w:rsidRPr="00C77556">
        <w:rPr>
          <w:rFonts w:ascii="Palatino Linotype" w:eastAsia="Palatino Linotype" w:hAnsi="Palatino Linotype" w:cs="Palatino Linotype"/>
          <w:i/>
          <w:sz w:val="22"/>
          <w:szCs w:val="22"/>
        </w:rPr>
        <w:t>issemym</w:t>
      </w:r>
      <w:proofErr w:type="spellEnd"/>
      <w:r w:rsidRPr="00C77556">
        <w:rPr>
          <w:rFonts w:ascii="Palatino Linotype" w:eastAsia="Palatino Linotype" w:hAnsi="Palatino Linotype" w:cs="Palatino Linotype"/>
          <w:i/>
          <w:sz w:val="22"/>
          <w:szCs w:val="22"/>
        </w:rPr>
        <w:t xml:space="preserve"> relativo al pago de seguros por fallecimiento? Después de llamar infinidad de veces y estar dando respuestas de llame en 20 días después llame en dos o tres meses y que como respuesta digan que el trámite está en proceso de pago ¿Cuánto tiempo tardan el liberar dicho pago? Todo lo anterior decirlo bajo protesta de decir verdad, con evidencia respectiva de ser el caso.” (Sic)</w:t>
      </w:r>
    </w:p>
    <w:p w14:paraId="0D3D2153"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Modalidad de Entrega:</w:t>
      </w:r>
      <w:r w:rsidRPr="00C77556">
        <w:rPr>
          <w:rFonts w:ascii="Palatino Linotype" w:eastAsia="Palatino Linotype" w:hAnsi="Palatino Linotype" w:cs="Palatino Linotype"/>
        </w:rPr>
        <w:t xml:space="preserve"> A través del Sistema de Acceso a la Información Mexiquense (SAIMEX). </w:t>
      </w:r>
    </w:p>
    <w:p w14:paraId="7D34377A"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 xml:space="preserve">2. Respuesta. </w:t>
      </w:r>
      <w:r w:rsidRPr="00C77556">
        <w:rPr>
          <w:rFonts w:ascii="Palatino Linotype" w:eastAsia="Palatino Linotype" w:hAnsi="Palatino Linotype" w:cs="Palatino Linotype"/>
        </w:rPr>
        <w:t xml:space="preserve">El </w:t>
      </w:r>
      <w:r w:rsidRPr="00C77556">
        <w:rPr>
          <w:rFonts w:ascii="Palatino Linotype" w:eastAsia="Palatino Linotype" w:hAnsi="Palatino Linotype" w:cs="Palatino Linotype"/>
          <w:b/>
        </w:rPr>
        <w:t xml:space="preserve">dieciocho de octubre de dos mil veintidós, </w:t>
      </w:r>
      <w:r w:rsidRPr="00C77556">
        <w:rPr>
          <w:rFonts w:ascii="Palatino Linotype" w:eastAsia="Palatino Linotype" w:hAnsi="Palatino Linotype" w:cs="Palatino Linotype"/>
        </w:rPr>
        <w:t xml:space="preserve">el </w:t>
      </w:r>
      <w:r w:rsidRPr="00C77556">
        <w:rPr>
          <w:rFonts w:ascii="Palatino Linotype" w:eastAsia="Palatino Linotype" w:hAnsi="Palatino Linotype" w:cs="Palatino Linotype"/>
          <w:b/>
        </w:rPr>
        <w:t xml:space="preserve">Sujeto Obligado </w:t>
      </w:r>
      <w:r w:rsidRPr="00C77556">
        <w:rPr>
          <w:rFonts w:ascii="Palatino Linotype" w:eastAsia="Palatino Linotype" w:hAnsi="Palatino Linotype" w:cs="Palatino Linotype"/>
        </w:rPr>
        <w:t xml:space="preserve">respondió a la solicitud en los siguientes términos: </w:t>
      </w:r>
    </w:p>
    <w:p w14:paraId="57414AB7"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“Como archivos adjuntos, encontrará el oficio que dará respuesta a su solicitud de información. Para cualquier duda o aclaración respecto a la presente respuesta, nos ponemos a sus órdenes en el teléfono (01722) 2261900 extensiones 1434072 y 1434073. MUY IMPORTANTE: Se hace de su conocimiento que, hasta nuevo aviso, por la contingencia sanitaria el horario para trámites en el Módulo de Transparencia es de 9: 00 a 15:00 horas. Es indispensable que al presentarse lo realice con cubrebocas y pluma o bolígrafo personal, como medidas de seguridad sanitaria.” (Sic)</w:t>
      </w:r>
    </w:p>
    <w:p w14:paraId="7EDC3102" w14:textId="77777777" w:rsidR="0078708B" w:rsidRPr="00C77556" w:rsidRDefault="00A82FD4">
      <w:pPr>
        <w:spacing w:before="240" w:after="240" w:line="360" w:lineRule="auto"/>
        <w:ind w:right="49"/>
        <w:jc w:val="both"/>
        <w:rPr>
          <w:rFonts w:ascii="Palatino Linotype" w:eastAsia="Palatino Linotype" w:hAnsi="Palatino Linotype" w:cs="Palatino Linotype"/>
          <w:b/>
        </w:rPr>
      </w:pPr>
      <w:r w:rsidRPr="00C77556">
        <w:rPr>
          <w:rFonts w:ascii="Palatino Linotype" w:eastAsia="Palatino Linotype" w:hAnsi="Palatino Linotype" w:cs="Palatino Linotype"/>
        </w:rPr>
        <w:t xml:space="preserve">Pronunciamiento al que adjuntó el archivo electrónico identificado como </w:t>
      </w:r>
      <w:r w:rsidRPr="00C77556">
        <w:rPr>
          <w:rFonts w:ascii="Palatino Linotype" w:eastAsia="Palatino Linotype" w:hAnsi="Palatino Linotype" w:cs="Palatino Linotype"/>
          <w:b/>
          <w:i/>
        </w:rPr>
        <w:t xml:space="preserve">RESPUESTA 794.IP.pdf </w:t>
      </w:r>
      <w:r w:rsidRPr="00C77556">
        <w:rPr>
          <w:rFonts w:ascii="Palatino Linotype" w:eastAsia="Palatino Linotype" w:hAnsi="Palatino Linotype" w:cs="Palatino Linotype"/>
        </w:rPr>
        <w:t xml:space="preserve">que contiene el oficio número 207C 0401210001S-UT-1773/2022 de fecha diecisiete de octubre de dos mil veintidós, suscrito y signado por </w:t>
      </w:r>
      <w:r w:rsidRPr="00C77556">
        <w:rPr>
          <w:rFonts w:ascii="Palatino Linotype" w:eastAsia="Palatino Linotype" w:hAnsi="Palatino Linotype" w:cs="Palatino Linotype"/>
        </w:rPr>
        <w:lastRenderedPageBreak/>
        <w:t xml:space="preserve">la Responsable y Titular de la Unidad de Transparencia, por medio del cual respondió a cada uno de los planteamientos formulados por la parte </w:t>
      </w:r>
      <w:r w:rsidRPr="00C77556">
        <w:rPr>
          <w:rFonts w:ascii="Palatino Linotype" w:eastAsia="Palatino Linotype" w:hAnsi="Palatino Linotype" w:cs="Palatino Linotype"/>
          <w:b/>
        </w:rPr>
        <w:t xml:space="preserve">Recurrente. </w:t>
      </w:r>
    </w:p>
    <w:p w14:paraId="60511475" w14:textId="77777777" w:rsidR="0078708B" w:rsidRPr="00C77556" w:rsidRDefault="00A82FD4">
      <w:pPr>
        <w:spacing w:before="240" w:after="240" w:line="360" w:lineRule="auto"/>
        <w:ind w:right="49"/>
        <w:jc w:val="both"/>
        <w:rPr>
          <w:rFonts w:ascii="Palatino Linotype" w:eastAsia="Palatino Linotype" w:hAnsi="Palatino Linotype" w:cs="Palatino Linotype"/>
          <w:b/>
          <w:i/>
        </w:rPr>
      </w:pPr>
      <w:r w:rsidRPr="00C77556">
        <w:rPr>
          <w:rFonts w:ascii="Palatino Linotype" w:eastAsia="Palatino Linotype" w:hAnsi="Palatino Linotype" w:cs="Palatino Linotype"/>
          <w:b/>
        </w:rPr>
        <w:t xml:space="preserve">3. Interposición del recurso de revisión.  </w:t>
      </w:r>
      <w:r w:rsidRPr="00C77556">
        <w:rPr>
          <w:rFonts w:ascii="Palatino Linotype" w:eastAsia="Palatino Linotype" w:hAnsi="Palatino Linotype" w:cs="Palatino Linotype"/>
        </w:rPr>
        <w:t xml:space="preserve">El </w:t>
      </w:r>
      <w:r w:rsidRPr="00C77556">
        <w:rPr>
          <w:rFonts w:ascii="Palatino Linotype" w:eastAsia="Palatino Linotype" w:hAnsi="Palatino Linotype" w:cs="Palatino Linotype"/>
          <w:b/>
        </w:rPr>
        <w:t xml:space="preserve">diecinueve de octubre de dos mil veintidós </w:t>
      </w:r>
      <w:r w:rsidRPr="00C77556">
        <w:rPr>
          <w:rFonts w:ascii="Palatino Linotype" w:eastAsia="Palatino Linotype" w:hAnsi="Palatino Linotype" w:cs="Palatino Linotype"/>
        </w:rPr>
        <w:t xml:space="preserve">la parte </w:t>
      </w:r>
      <w:r w:rsidRPr="00C77556">
        <w:rPr>
          <w:rFonts w:ascii="Palatino Linotype" w:eastAsia="Palatino Linotype" w:hAnsi="Palatino Linotype" w:cs="Palatino Linotype"/>
          <w:b/>
        </w:rPr>
        <w:t xml:space="preserve">Recurrente </w:t>
      </w:r>
      <w:r w:rsidRPr="00C77556">
        <w:rPr>
          <w:rFonts w:ascii="Palatino Linotype" w:eastAsia="Palatino Linotype" w:hAnsi="Palatino Linotype" w:cs="Palatino Linotype"/>
        </w:rPr>
        <w:t>inconforme con la respuesta, interpuso el recurso de revisión en el que expresó lo siguiente:</w:t>
      </w:r>
    </w:p>
    <w:p w14:paraId="218ABABA" w14:textId="77777777" w:rsidR="0078708B" w:rsidRPr="00C77556" w:rsidRDefault="00A82FD4">
      <w:pPr>
        <w:spacing w:before="240" w:after="240" w:line="360" w:lineRule="auto"/>
        <w:ind w:right="49"/>
        <w:jc w:val="both"/>
        <w:rPr>
          <w:rFonts w:ascii="Palatino Linotype" w:eastAsia="Palatino Linotype" w:hAnsi="Palatino Linotype" w:cs="Palatino Linotype"/>
          <w:i/>
          <w:sz w:val="2"/>
          <w:szCs w:val="2"/>
        </w:rPr>
      </w:pPr>
      <w:r w:rsidRPr="00C77556">
        <w:rPr>
          <w:rFonts w:ascii="Palatino Linotype" w:eastAsia="Palatino Linotype" w:hAnsi="Palatino Linotype" w:cs="Palatino Linotype"/>
          <w:b/>
        </w:rPr>
        <w:t xml:space="preserve">Acto impugnado: </w:t>
      </w:r>
    </w:p>
    <w:p w14:paraId="622A2C76"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“Respecto al cuestionamiento de enero a diciembre 2022... de cuántos trámites de seguro por fallecimiento al ingresado al </w:t>
      </w:r>
      <w:proofErr w:type="spellStart"/>
      <w:r w:rsidRPr="00C77556">
        <w:rPr>
          <w:rFonts w:ascii="Palatino Linotype" w:eastAsia="Palatino Linotype" w:hAnsi="Palatino Linotype" w:cs="Palatino Linotype"/>
          <w:i/>
          <w:sz w:val="22"/>
          <w:szCs w:val="22"/>
        </w:rPr>
        <w:t>issemym</w:t>
      </w:r>
      <w:proofErr w:type="spellEnd"/>
      <w:r w:rsidRPr="00C77556">
        <w:rPr>
          <w:rFonts w:ascii="Palatino Linotype" w:eastAsia="Palatino Linotype" w:hAnsi="Palatino Linotype" w:cs="Palatino Linotype"/>
          <w:i/>
          <w:sz w:val="22"/>
          <w:szCs w:val="22"/>
        </w:rPr>
        <w:t xml:space="preserve">, cuántos pagos de seguro por fallecimiento de han otorgado, y la deuda que tiene el </w:t>
      </w:r>
      <w:proofErr w:type="spellStart"/>
      <w:r w:rsidRPr="00C77556">
        <w:rPr>
          <w:rFonts w:ascii="Palatino Linotype" w:eastAsia="Palatino Linotype" w:hAnsi="Palatino Linotype" w:cs="Palatino Linotype"/>
          <w:i/>
          <w:sz w:val="22"/>
          <w:szCs w:val="22"/>
        </w:rPr>
        <w:t>issemym</w:t>
      </w:r>
      <w:proofErr w:type="spellEnd"/>
      <w:r w:rsidRPr="00C77556">
        <w:rPr>
          <w:rFonts w:ascii="Palatino Linotype" w:eastAsia="Palatino Linotype" w:hAnsi="Palatino Linotype" w:cs="Palatino Linotype"/>
          <w:i/>
          <w:sz w:val="22"/>
          <w:szCs w:val="22"/>
        </w:rPr>
        <w:t xml:space="preserve"> respecto a los seguros por fallecimiento; Se da una respuesta relacionada a qué han recibido 3753, atendido 2666 y al final mencionan que están pendientes por atender 3077. La segunda y última cantidad no cuadra con la primera respuesta proporcionada. Además de ser incoherente con sus respuesta ya que mi trámite lo inicie en octubre y dice que su respuesta oscila entre los 10 y 12 meses y mi trámite para ser exactos lleva 1 año 5 días, ahora bien, responden que han cubierto hasta el mes de agosto, la pregunta es, hasta que mes se entregará septiembre y octubre, siendo que ya estamos a finales de año y comienzan vacaciones. Abra presupuesto</w:t>
      </w:r>
      <w:proofErr w:type="gramStart"/>
      <w:r w:rsidRPr="00C77556">
        <w:rPr>
          <w:rFonts w:ascii="Palatino Linotype" w:eastAsia="Palatino Linotype" w:hAnsi="Palatino Linotype" w:cs="Palatino Linotype"/>
          <w:i/>
          <w:sz w:val="22"/>
          <w:szCs w:val="22"/>
        </w:rPr>
        <w:t>?</w:t>
      </w:r>
      <w:proofErr w:type="gramEnd"/>
      <w:r w:rsidRPr="00C77556">
        <w:rPr>
          <w:rFonts w:ascii="Palatino Linotype" w:eastAsia="Palatino Linotype" w:hAnsi="Palatino Linotype" w:cs="Palatino Linotype"/>
          <w:i/>
          <w:sz w:val="22"/>
          <w:szCs w:val="22"/>
        </w:rPr>
        <w:t xml:space="preserve"> Saldrán en este año,"(Sic)</w:t>
      </w:r>
    </w:p>
    <w:p w14:paraId="06F8A23B" w14:textId="77777777" w:rsidR="0078708B" w:rsidRPr="00C77556" w:rsidRDefault="00A82FD4">
      <w:pPr>
        <w:spacing w:before="240" w:after="240" w:line="360" w:lineRule="auto"/>
        <w:ind w:right="616"/>
        <w:jc w:val="both"/>
        <w:rPr>
          <w:rFonts w:ascii="Palatino Linotype" w:eastAsia="Palatino Linotype" w:hAnsi="Palatino Linotype" w:cs="Palatino Linotype"/>
          <w:b/>
          <w:sz w:val="22"/>
          <w:szCs w:val="22"/>
        </w:rPr>
      </w:pPr>
      <w:r w:rsidRPr="00C77556">
        <w:rPr>
          <w:rFonts w:ascii="Palatino Linotype" w:eastAsia="Palatino Linotype" w:hAnsi="Palatino Linotype" w:cs="Palatino Linotype"/>
          <w:b/>
        </w:rPr>
        <w:t>Razones o motivos de inconformidad</w:t>
      </w:r>
      <w:r w:rsidRPr="00C77556">
        <w:rPr>
          <w:rFonts w:ascii="Palatino Linotype" w:eastAsia="Palatino Linotype" w:hAnsi="Palatino Linotype" w:cs="Palatino Linotype"/>
          <w:b/>
          <w:sz w:val="22"/>
          <w:szCs w:val="22"/>
        </w:rPr>
        <w:t xml:space="preserve">: </w:t>
      </w:r>
    </w:p>
    <w:p w14:paraId="0B74727A"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“No es clara, es repetitiva la información, no es verídico el dato proporcionado en cuánto a trámites. No muestra los formatos, solo ligas de internet."(Sic)</w:t>
      </w:r>
    </w:p>
    <w:p w14:paraId="0D5858E9" w14:textId="77777777" w:rsidR="0078708B" w:rsidRPr="00C77556" w:rsidRDefault="0078708B">
      <w:pPr>
        <w:spacing w:before="240" w:after="240" w:line="360" w:lineRule="auto"/>
        <w:jc w:val="both"/>
        <w:rPr>
          <w:rFonts w:ascii="Palatino Linotype" w:eastAsia="Palatino Linotype" w:hAnsi="Palatino Linotype" w:cs="Palatino Linotype"/>
          <w:sz w:val="2"/>
          <w:szCs w:val="2"/>
        </w:rPr>
      </w:pPr>
    </w:p>
    <w:p w14:paraId="1157AB07"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4. Turno.</w:t>
      </w:r>
      <w:r w:rsidRPr="00C77556">
        <w:rPr>
          <w:rFonts w:ascii="Palatino Linotype" w:eastAsia="Palatino Linotype" w:hAnsi="Palatino Linotype" w:cs="Palatino Linotype"/>
          <w:b/>
          <w:sz w:val="28"/>
          <w:szCs w:val="28"/>
        </w:rPr>
        <w:t xml:space="preserve"> </w:t>
      </w:r>
      <w:r w:rsidRPr="00C77556">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C77556">
        <w:rPr>
          <w:rFonts w:ascii="Palatino Linotype" w:eastAsia="Palatino Linotype" w:hAnsi="Palatino Linotype" w:cs="Palatino Linotype"/>
        </w:rPr>
        <w:lastRenderedPageBreak/>
        <w:t xml:space="preserve">del Estado de México y Municipios, a la Comisionada </w:t>
      </w:r>
      <w:r w:rsidRPr="00C77556">
        <w:rPr>
          <w:rFonts w:ascii="Palatino Linotype" w:eastAsia="Palatino Linotype" w:hAnsi="Palatino Linotype" w:cs="Palatino Linotype"/>
          <w:b/>
        </w:rPr>
        <w:t xml:space="preserve">Guadalupe Ramírez Peña, </w:t>
      </w:r>
      <w:r w:rsidRPr="00C77556">
        <w:rPr>
          <w:rFonts w:ascii="Palatino Linotype" w:eastAsia="Palatino Linotype" w:hAnsi="Palatino Linotype" w:cs="Palatino Linotype"/>
        </w:rPr>
        <w:t xml:space="preserve">a efecto de que analizara sobre su admisión o su </w:t>
      </w:r>
      <w:proofErr w:type="spellStart"/>
      <w:r w:rsidRPr="00C77556">
        <w:rPr>
          <w:rFonts w:ascii="Palatino Linotype" w:eastAsia="Palatino Linotype" w:hAnsi="Palatino Linotype" w:cs="Palatino Linotype"/>
        </w:rPr>
        <w:t>desechamiento</w:t>
      </w:r>
      <w:proofErr w:type="spellEnd"/>
      <w:r w:rsidRPr="00C77556">
        <w:rPr>
          <w:rFonts w:ascii="Palatino Linotype" w:eastAsia="Palatino Linotype" w:hAnsi="Palatino Linotype" w:cs="Palatino Linotype"/>
        </w:rPr>
        <w:t>.</w:t>
      </w:r>
    </w:p>
    <w:p w14:paraId="6B48F0D9" w14:textId="77777777" w:rsidR="0078708B" w:rsidRPr="00C77556" w:rsidRDefault="00A82FD4">
      <w:pPr>
        <w:spacing w:before="240" w:after="240" w:line="360" w:lineRule="auto"/>
        <w:jc w:val="both"/>
        <w:rPr>
          <w:rFonts w:ascii="Palatino Linotype" w:eastAsia="Palatino Linotype" w:hAnsi="Palatino Linotype" w:cs="Palatino Linotype"/>
          <w:b/>
        </w:rPr>
      </w:pPr>
      <w:r w:rsidRPr="00C77556">
        <w:rPr>
          <w:rFonts w:ascii="Palatino Linotype" w:eastAsia="Palatino Linotype" w:hAnsi="Palatino Linotype" w:cs="Palatino Linotype"/>
          <w:b/>
        </w:rPr>
        <w:t>5.</w:t>
      </w:r>
      <w:r w:rsidRPr="00C77556">
        <w:rPr>
          <w:rFonts w:ascii="Palatino Linotype" w:eastAsia="Palatino Linotype" w:hAnsi="Palatino Linotype" w:cs="Palatino Linotype"/>
          <w:b/>
          <w:i/>
        </w:rPr>
        <w:t xml:space="preserve"> </w:t>
      </w:r>
      <w:r w:rsidRPr="00C77556">
        <w:rPr>
          <w:rFonts w:ascii="Palatino Linotype" w:eastAsia="Palatino Linotype" w:hAnsi="Palatino Linotype" w:cs="Palatino Linotype"/>
          <w:b/>
        </w:rPr>
        <w:t>Admisión del Recurso de revisión.</w:t>
      </w:r>
      <w:r w:rsidRPr="00C77556">
        <w:rPr>
          <w:rFonts w:ascii="Palatino Linotype" w:eastAsia="Palatino Linotype" w:hAnsi="Palatino Linotype" w:cs="Palatino Linotype"/>
          <w:sz w:val="28"/>
          <w:szCs w:val="28"/>
        </w:rPr>
        <w:t xml:space="preserve"> El</w:t>
      </w:r>
      <w:r w:rsidRPr="00C77556">
        <w:rPr>
          <w:rFonts w:ascii="Palatino Linotype" w:eastAsia="Palatino Linotype" w:hAnsi="Palatino Linotype" w:cs="Palatino Linotype"/>
          <w:b/>
        </w:rPr>
        <w:t xml:space="preserve"> veinticuatro de octubre de dos mil veintidós, </w:t>
      </w:r>
      <w:r w:rsidRPr="00C77556">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C77556">
        <w:rPr>
          <w:rFonts w:ascii="Palatino Linotype" w:eastAsia="Palatino Linotype" w:hAnsi="Palatino Linotype" w:cs="Palatino Linotype"/>
          <w:b/>
        </w:rPr>
        <w:t>Sujeto Obligado</w:t>
      </w:r>
      <w:r w:rsidRPr="00C77556">
        <w:rPr>
          <w:rFonts w:ascii="Palatino Linotype" w:eastAsia="Palatino Linotype" w:hAnsi="Palatino Linotype" w:cs="Palatino Linotype"/>
        </w:rPr>
        <w:t xml:space="preserve"> presentara su informe justificado.</w:t>
      </w:r>
    </w:p>
    <w:p w14:paraId="684CB5B5" w14:textId="77777777" w:rsidR="0078708B" w:rsidRPr="00C77556" w:rsidRDefault="00A82FD4">
      <w:pPr>
        <w:widowControl w:val="0"/>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6. Manifestaciones</w:t>
      </w:r>
      <w:r w:rsidRPr="00C77556">
        <w:rPr>
          <w:rFonts w:ascii="Palatino Linotype" w:eastAsia="Palatino Linotype" w:hAnsi="Palatino Linotype" w:cs="Palatino Linotype"/>
        </w:rPr>
        <w:t xml:space="preserve">. El </w:t>
      </w:r>
      <w:r w:rsidRPr="00C77556">
        <w:rPr>
          <w:rFonts w:ascii="Palatino Linotype" w:eastAsia="Palatino Linotype" w:hAnsi="Palatino Linotype" w:cs="Palatino Linotype"/>
          <w:b/>
        </w:rPr>
        <w:t xml:space="preserve">uno de noviembre de dos mil veintidós </w:t>
      </w:r>
      <w:r w:rsidRPr="00C77556">
        <w:rPr>
          <w:rFonts w:ascii="Palatino Linotype" w:eastAsia="Palatino Linotype" w:hAnsi="Palatino Linotype" w:cs="Palatino Linotype"/>
        </w:rPr>
        <w:t xml:space="preserve">el </w:t>
      </w:r>
      <w:r w:rsidRPr="00C77556">
        <w:rPr>
          <w:rFonts w:ascii="Palatino Linotype" w:eastAsia="Palatino Linotype" w:hAnsi="Palatino Linotype" w:cs="Palatino Linotype"/>
          <w:b/>
        </w:rPr>
        <w:t xml:space="preserve">Sujeto Obligado </w:t>
      </w:r>
      <w:r w:rsidRPr="00C77556">
        <w:rPr>
          <w:rFonts w:ascii="Palatino Linotype" w:eastAsia="Palatino Linotype" w:hAnsi="Palatino Linotype" w:cs="Palatino Linotype"/>
        </w:rPr>
        <w:t xml:space="preserve">rindió su informe justificado consistente en los archivos denominados y descritos en el siguiente orden. </w:t>
      </w:r>
    </w:p>
    <w:p w14:paraId="61E3CAC7" w14:textId="77777777" w:rsidR="0078708B" w:rsidRPr="00C77556" w:rsidRDefault="00A82FD4">
      <w:pPr>
        <w:widowControl w:val="0"/>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b/>
        </w:rPr>
      </w:pPr>
      <w:r w:rsidRPr="00C77556">
        <w:rPr>
          <w:rFonts w:ascii="Palatino Linotype" w:eastAsia="Palatino Linotype" w:hAnsi="Palatino Linotype" w:cs="Palatino Linotype"/>
          <w:b/>
          <w:i/>
        </w:rPr>
        <w:t xml:space="preserve">INFORME JUSTIFICADO 794.IP.pdf: </w:t>
      </w:r>
      <w:r w:rsidRPr="00C77556">
        <w:rPr>
          <w:rFonts w:ascii="Palatino Linotype" w:eastAsia="Palatino Linotype" w:hAnsi="Palatino Linotype" w:cs="Palatino Linotype"/>
        </w:rPr>
        <w:t xml:space="preserve">Oficio 207C0401210001S-UT-1517/2022 de fecha treinta y uno de octubre de dos mil veintidós, emitido por la Jefa del Departamento de Acceso a la Información Institucional por medio del cual ratificó las respuestas otorgadas a cada uno de los cuestionamientos realizados por la parte </w:t>
      </w:r>
      <w:r w:rsidRPr="00C77556">
        <w:rPr>
          <w:rFonts w:ascii="Palatino Linotype" w:eastAsia="Palatino Linotype" w:hAnsi="Palatino Linotype" w:cs="Palatino Linotype"/>
          <w:b/>
        </w:rPr>
        <w:t xml:space="preserve">Recurrente. </w:t>
      </w:r>
    </w:p>
    <w:p w14:paraId="7AE70EF4" w14:textId="77777777" w:rsidR="0078708B" w:rsidRPr="00C77556" w:rsidRDefault="00A82FD4">
      <w:pPr>
        <w:widowControl w:val="0"/>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b/>
          <w:i/>
        </w:rPr>
      </w:pPr>
      <w:r w:rsidRPr="00C77556">
        <w:rPr>
          <w:rFonts w:ascii="Palatino Linotype" w:eastAsia="Palatino Linotype" w:hAnsi="Palatino Linotype" w:cs="Palatino Linotype"/>
          <w:b/>
          <w:i/>
        </w:rPr>
        <w:t xml:space="preserve">FORMATO RR.794.IP.pdf: </w:t>
      </w:r>
      <w:r w:rsidRPr="00C77556">
        <w:rPr>
          <w:rFonts w:ascii="Palatino Linotype" w:eastAsia="Palatino Linotype" w:hAnsi="Palatino Linotype" w:cs="Palatino Linotype"/>
        </w:rPr>
        <w:t>Contiene el formato “</w:t>
      </w:r>
      <w:r w:rsidRPr="00C77556">
        <w:rPr>
          <w:rFonts w:ascii="Palatino Linotype" w:eastAsia="Palatino Linotype" w:hAnsi="Palatino Linotype" w:cs="Palatino Linotype"/>
          <w:i/>
        </w:rPr>
        <w:t xml:space="preserve">SOLICITUD DE SEGURO DE FALLECIMIENTO”  </w:t>
      </w:r>
    </w:p>
    <w:p w14:paraId="0D359E9B" w14:textId="77777777" w:rsidR="0078708B" w:rsidRPr="00C77556" w:rsidRDefault="00A82FD4">
      <w:pPr>
        <w:widowControl w:val="0"/>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 xml:space="preserve"> </w:t>
      </w:r>
      <w:r w:rsidRPr="00C77556">
        <w:rPr>
          <w:rFonts w:ascii="Palatino Linotype" w:eastAsia="Palatino Linotype" w:hAnsi="Palatino Linotype" w:cs="Palatino Linotype"/>
        </w:rPr>
        <w:t xml:space="preserve">Documentos que el dieciséis de agosto de dos mil veintitrés, </w:t>
      </w:r>
      <w:proofErr w:type="spellStart"/>
      <w:r w:rsidRPr="00C77556">
        <w:rPr>
          <w:rFonts w:ascii="Palatino Linotype" w:eastAsia="Palatino Linotype" w:hAnsi="Palatino Linotype" w:cs="Palatino Linotype"/>
        </w:rPr>
        <w:t>mediente</w:t>
      </w:r>
      <w:proofErr w:type="spellEnd"/>
      <w:r w:rsidRPr="00C77556">
        <w:rPr>
          <w:rFonts w:ascii="Palatino Linotype" w:eastAsia="Palatino Linotype" w:hAnsi="Palatino Linotype" w:cs="Palatino Linotype"/>
        </w:rPr>
        <w:t xml:space="preserve"> acuerdo, se notificaron a la parte </w:t>
      </w:r>
      <w:r w:rsidRPr="00C77556">
        <w:rPr>
          <w:rFonts w:ascii="Palatino Linotype" w:eastAsia="Palatino Linotype" w:hAnsi="Palatino Linotype" w:cs="Palatino Linotype"/>
          <w:b/>
        </w:rPr>
        <w:t xml:space="preserve">Recurrente </w:t>
      </w:r>
      <w:r w:rsidRPr="00C77556">
        <w:rPr>
          <w:rFonts w:ascii="Palatino Linotype" w:eastAsia="Palatino Linotype" w:hAnsi="Palatino Linotype" w:cs="Palatino Linotype"/>
        </w:rPr>
        <w:t xml:space="preserve">para su conocimiento.  </w:t>
      </w:r>
    </w:p>
    <w:p w14:paraId="5D124C71" w14:textId="77777777" w:rsidR="0078708B" w:rsidRPr="00C77556" w:rsidRDefault="00A82FD4">
      <w:pPr>
        <w:widowControl w:val="0"/>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lastRenderedPageBreak/>
        <w:t xml:space="preserve">7. Ampliación del plazo para emitir resolución. </w:t>
      </w:r>
      <w:r w:rsidRPr="00C77556">
        <w:rPr>
          <w:rFonts w:ascii="Palatino Linotype" w:eastAsia="Palatino Linotype" w:hAnsi="Palatino Linotype" w:cs="Palatino Linotype"/>
        </w:rPr>
        <w:t xml:space="preserve">El </w:t>
      </w:r>
      <w:r w:rsidRPr="00C77556">
        <w:rPr>
          <w:rFonts w:ascii="Palatino Linotype" w:eastAsia="Palatino Linotype" w:hAnsi="Palatino Linotype" w:cs="Palatino Linotype"/>
          <w:b/>
        </w:rPr>
        <w:t>dieciséis de agosto de dos mil veintitrés</w:t>
      </w:r>
      <w:r w:rsidRPr="00C77556">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ampliar el plazo para emitir la presente resolución. </w:t>
      </w:r>
    </w:p>
    <w:p w14:paraId="220B645E"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14:paraId="2A163168"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07232A8"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80E22A3"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1538541" w14:textId="77777777" w:rsidR="0078708B" w:rsidRPr="00C77556" w:rsidRDefault="00A82FD4">
      <w:pPr>
        <w:spacing w:before="240" w:after="240" w:line="360" w:lineRule="auto"/>
        <w:jc w:val="both"/>
        <w:rPr>
          <w:rFonts w:ascii="Palatino Linotype" w:eastAsia="Palatino Linotype" w:hAnsi="Palatino Linotype" w:cs="Palatino Linotype"/>
          <w:strike/>
        </w:rPr>
      </w:pPr>
      <w:r w:rsidRPr="00C77556">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3C2BF7BD" w14:textId="77777777" w:rsidR="0078708B" w:rsidRPr="00C77556" w:rsidRDefault="00A82FD4">
      <w:pPr>
        <w:numPr>
          <w:ilvl w:val="0"/>
          <w:numId w:val="1"/>
        </w:num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DCBE16D" w14:textId="77777777" w:rsidR="0078708B" w:rsidRPr="00C77556" w:rsidRDefault="00A82FD4">
      <w:pPr>
        <w:numPr>
          <w:ilvl w:val="0"/>
          <w:numId w:val="1"/>
        </w:num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Actividad Procesal del interesado. Acciones u omisiones del interesado.</w:t>
      </w:r>
    </w:p>
    <w:p w14:paraId="119415A7" w14:textId="77777777" w:rsidR="0078708B" w:rsidRPr="00C77556" w:rsidRDefault="00A82FD4">
      <w:pPr>
        <w:numPr>
          <w:ilvl w:val="0"/>
          <w:numId w:val="1"/>
        </w:num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Conducta de la Autoridad: Las Acciones u omisiones realizadas en el procedimiento. Así como si la autoridad actuó con la debida diligencia.</w:t>
      </w:r>
    </w:p>
    <w:p w14:paraId="790F4F4D" w14:textId="77777777" w:rsidR="0078708B" w:rsidRPr="00C77556" w:rsidRDefault="00A82FD4">
      <w:pPr>
        <w:spacing w:before="240" w:after="240" w:line="360" w:lineRule="auto"/>
        <w:ind w:left="567"/>
        <w:jc w:val="both"/>
        <w:rPr>
          <w:rFonts w:ascii="Palatino Linotype" w:eastAsia="Palatino Linotype" w:hAnsi="Palatino Linotype" w:cs="Palatino Linotype"/>
        </w:rPr>
      </w:pPr>
      <w:r w:rsidRPr="00C77556">
        <w:rPr>
          <w:rFonts w:ascii="Palatino Linotype" w:eastAsia="Palatino Linotype" w:hAnsi="Palatino Linotype" w:cs="Palatino Linotype"/>
        </w:rPr>
        <w:t>d) La afectación generada en la situación jurídica de la persona involucrada en el proceso: Violación a sus derechos humanos.</w:t>
      </w:r>
    </w:p>
    <w:p w14:paraId="5B62408C"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C77556">
        <w:rPr>
          <w:rFonts w:ascii="Palatino Linotype" w:eastAsia="Palatino Linotype" w:hAnsi="Palatino Linotype" w:cs="Palatino Linotype"/>
        </w:rPr>
        <w:lastRenderedPageBreak/>
        <w:t>relación con la actuación del funcionario, como ha acontecido en el caso que nos ocupa.</w:t>
      </w:r>
    </w:p>
    <w:p w14:paraId="63531333" w14:textId="77777777" w:rsidR="0078708B" w:rsidRPr="00C77556" w:rsidRDefault="00A82FD4">
      <w:pPr>
        <w:spacing w:before="240" w:after="240" w:line="360" w:lineRule="auto"/>
        <w:jc w:val="both"/>
        <w:rPr>
          <w:rFonts w:ascii="Palatino Linotype" w:eastAsia="Palatino Linotype" w:hAnsi="Palatino Linotype" w:cs="Palatino Linotype"/>
          <w:b/>
        </w:rPr>
      </w:pPr>
      <w:r w:rsidRPr="00C77556">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C77556">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C77556">
        <w:rPr>
          <w:rFonts w:ascii="Palatino Linotype" w:eastAsia="Palatino Linotype" w:hAnsi="Palatino Linotype" w:cs="Palatino Linotype"/>
        </w:rPr>
        <w:t>, visible en la Gaceta del Seminario Judicial de la Federación con el registro digital 205635.</w:t>
      </w:r>
    </w:p>
    <w:p w14:paraId="05146B4A"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B64AE9A"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608B370A"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lastRenderedPageBreak/>
        <w:t xml:space="preserve"> </w:t>
      </w:r>
      <w:r w:rsidRPr="00C77556">
        <w:rPr>
          <w:rFonts w:ascii="Palatino Linotype" w:eastAsia="Palatino Linotype" w:hAnsi="Palatino Linotype" w:cs="Palatino Linotype"/>
          <w:i/>
        </w:rPr>
        <w:t>“PLAZO RAZONABLE PARA RESOLVER. DIMENSIÓN Y EFECTOS DE ESTE CONCEPTO CUANDO SE ADUCE EXCESIVA CARGA DE TRABAJO.”</w:t>
      </w:r>
      <w:r w:rsidRPr="00C77556">
        <w:rPr>
          <w:rFonts w:ascii="Palatino Linotype" w:eastAsia="Palatino Linotype" w:hAnsi="Palatino Linotype" w:cs="Palatino Linotype"/>
        </w:rPr>
        <w:t xml:space="preserve"> consultable en el Seminario Judicial de la Federación y su gaceta, con el registro digital 2002351.</w:t>
      </w:r>
    </w:p>
    <w:p w14:paraId="57CB6674"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i/>
        </w:rPr>
        <w:t>“PLAZO RAZONABLE PARA RESOLVER. CONCEPTO Y ELEMENTOS QUE LO INTEGRAN A LA LUZ DEL DERECHO INTERNACIONAL DE LOS DERECHOS HUMANOS.”</w:t>
      </w:r>
      <w:r w:rsidRPr="00C77556">
        <w:rPr>
          <w:rFonts w:ascii="Palatino Linotype" w:eastAsia="Palatino Linotype" w:hAnsi="Palatino Linotype" w:cs="Palatino Linotype"/>
        </w:rPr>
        <w:t>, visible en el Seminario Judicial de la Federación y su gaceta, con el registro digital 2002350.</w:t>
      </w:r>
    </w:p>
    <w:p w14:paraId="31265898"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27217AA4" w14:textId="77777777" w:rsidR="0078708B" w:rsidRPr="00C77556" w:rsidRDefault="00A82FD4">
      <w:pPr>
        <w:widowControl w:val="0"/>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8. Cierre de instrucción</w:t>
      </w:r>
      <w:r w:rsidRPr="00C77556">
        <w:rPr>
          <w:rFonts w:ascii="Palatino Linotype" w:eastAsia="Palatino Linotype" w:hAnsi="Palatino Linotype" w:cs="Palatino Linotype"/>
        </w:rPr>
        <w:t xml:space="preserve">. Una vez transcurrido el periodo otorgado a las partes para realizar sus manifestaciones y no habiendo documentos que integrar al expediente, el </w:t>
      </w:r>
      <w:r w:rsidRPr="00C77556">
        <w:rPr>
          <w:rFonts w:ascii="Palatino Linotype" w:eastAsia="Palatino Linotype" w:hAnsi="Palatino Linotype" w:cs="Palatino Linotype"/>
          <w:b/>
        </w:rPr>
        <w:t>veintidós de agosto de dos mil veintitrés</w:t>
      </w:r>
      <w:r w:rsidRPr="00C77556">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A6A9AA1" w14:textId="77777777" w:rsidR="0078708B" w:rsidRPr="00C77556" w:rsidRDefault="00A82FD4">
      <w:pPr>
        <w:widowControl w:val="0"/>
        <w:spacing w:before="240" w:after="240" w:line="360" w:lineRule="auto"/>
        <w:jc w:val="both"/>
        <w:rPr>
          <w:rFonts w:ascii="Palatino Linotype" w:eastAsia="Palatino Linotype" w:hAnsi="Palatino Linotype" w:cs="Palatino Linotype"/>
          <w:b/>
        </w:rPr>
      </w:pPr>
      <w:r w:rsidRPr="00C77556">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w:t>
      </w:r>
      <w:r w:rsidRPr="00C77556">
        <w:rPr>
          <w:rFonts w:ascii="Palatino Linotype" w:eastAsia="Palatino Linotype" w:hAnsi="Palatino Linotype" w:cs="Palatino Linotype"/>
          <w:b/>
        </w:rPr>
        <w:t xml:space="preserve"> </w:t>
      </w:r>
    </w:p>
    <w:p w14:paraId="76BADD0A" w14:textId="77777777" w:rsidR="0078708B" w:rsidRPr="00C77556" w:rsidRDefault="0078708B">
      <w:pPr>
        <w:widowControl w:val="0"/>
        <w:spacing w:before="240" w:after="240" w:line="360" w:lineRule="auto"/>
        <w:jc w:val="both"/>
        <w:rPr>
          <w:rFonts w:ascii="Palatino Linotype" w:eastAsia="Palatino Linotype" w:hAnsi="Palatino Linotype" w:cs="Palatino Linotype"/>
          <w:b/>
        </w:rPr>
      </w:pPr>
    </w:p>
    <w:p w14:paraId="79BEBE91" w14:textId="77777777" w:rsidR="0078708B" w:rsidRPr="00C77556" w:rsidRDefault="0078708B">
      <w:pPr>
        <w:widowControl w:val="0"/>
        <w:spacing w:before="240" w:after="240" w:line="360" w:lineRule="auto"/>
        <w:jc w:val="both"/>
        <w:rPr>
          <w:rFonts w:ascii="Palatino Linotype" w:eastAsia="Palatino Linotype" w:hAnsi="Palatino Linotype" w:cs="Palatino Linotype"/>
          <w:b/>
        </w:rPr>
      </w:pPr>
    </w:p>
    <w:p w14:paraId="25A1BD49" w14:textId="77777777" w:rsidR="0078708B" w:rsidRPr="00C77556" w:rsidRDefault="00A82FD4">
      <w:pPr>
        <w:widowControl w:val="0"/>
        <w:spacing w:before="240" w:after="240" w:line="360" w:lineRule="auto"/>
        <w:jc w:val="center"/>
        <w:rPr>
          <w:rFonts w:ascii="Palatino Linotype" w:eastAsia="Palatino Linotype" w:hAnsi="Palatino Linotype" w:cs="Palatino Linotype"/>
          <w:b/>
        </w:rPr>
      </w:pPr>
      <w:r w:rsidRPr="00C77556">
        <w:rPr>
          <w:rFonts w:ascii="Palatino Linotype" w:eastAsia="Palatino Linotype" w:hAnsi="Palatino Linotype" w:cs="Palatino Linotype"/>
          <w:b/>
        </w:rPr>
        <w:lastRenderedPageBreak/>
        <w:t>II. C O N S I D E R A N D O S</w:t>
      </w:r>
    </w:p>
    <w:p w14:paraId="48E74FB1"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Primero. Competencia.</w:t>
      </w:r>
      <w:r w:rsidRPr="00C77556">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CE91FA7" w14:textId="77777777" w:rsidR="0078708B" w:rsidRPr="00C77556" w:rsidRDefault="00A82FD4">
      <w:pPr>
        <w:spacing w:before="240" w:after="240" w:line="360" w:lineRule="auto"/>
        <w:jc w:val="both"/>
        <w:rPr>
          <w:rFonts w:ascii="Palatino Linotype" w:eastAsia="Palatino Linotype" w:hAnsi="Palatino Linotype" w:cs="Palatino Linotype"/>
        </w:rPr>
      </w:pPr>
      <w:bookmarkStart w:id="4" w:name="_heading=h.1fob9te" w:colFirst="0" w:colLast="0"/>
      <w:bookmarkEnd w:id="4"/>
      <w:r w:rsidRPr="00C77556">
        <w:rPr>
          <w:rFonts w:ascii="Palatino Linotype" w:eastAsia="Palatino Linotype" w:hAnsi="Palatino Linotype" w:cs="Palatino Linotype"/>
          <w:b/>
        </w:rPr>
        <w:t>Segundo. Oportunidad y Procedibilidad del Recurso de Revisión</w:t>
      </w:r>
      <w:r w:rsidRPr="00C77556">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6702827" w14:textId="77777777" w:rsidR="0078708B" w:rsidRPr="00C77556" w:rsidRDefault="00A82FD4">
      <w:pPr>
        <w:spacing w:before="240" w:after="240"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C77556">
        <w:rPr>
          <w:rFonts w:ascii="Palatino Linotype" w:eastAsia="Palatino Linotype" w:hAnsi="Palatino Linotype" w:cs="Palatino Linotype"/>
          <w:b/>
        </w:rPr>
        <w:t>Sujeto Obligado</w:t>
      </w:r>
      <w:r w:rsidRPr="00C77556">
        <w:rPr>
          <w:rFonts w:ascii="Palatino Linotype" w:eastAsia="Palatino Linotype" w:hAnsi="Palatino Linotype" w:cs="Palatino Linotype"/>
        </w:rPr>
        <w:t xml:space="preserve"> respondió a la solicitud de información el </w:t>
      </w:r>
      <w:r w:rsidRPr="00C77556">
        <w:rPr>
          <w:rFonts w:ascii="Palatino Linotype" w:eastAsia="Palatino Linotype" w:hAnsi="Palatino Linotype" w:cs="Palatino Linotype"/>
          <w:b/>
        </w:rPr>
        <w:t xml:space="preserve">dieciocho de octubre de dos mil veintidós, </w:t>
      </w:r>
      <w:r w:rsidRPr="00C77556">
        <w:rPr>
          <w:rFonts w:ascii="Palatino Linotype" w:eastAsia="Palatino Linotype" w:hAnsi="Palatino Linotype" w:cs="Palatino Linotype"/>
        </w:rPr>
        <w:t xml:space="preserve">mientras que el recurso de revisión se interpuso el </w:t>
      </w:r>
      <w:r w:rsidRPr="00C77556">
        <w:rPr>
          <w:rFonts w:ascii="Palatino Linotype" w:eastAsia="Palatino Linotype" w:hAnsi="Palatino Linotype" w:cs="Palatino Linotype"/>
          <w:b/>
        </w:rPr>
        <w:t xml:space="preserve">diecinueve de octubre </w:t>
      </w:r>
      <w:r w:rsidRPr="00C77556">
        <w:rPr>
          <w:rFonts w:ascii="Palatino Linotype" w:eastAsia="Palatino Linotype" w:hAnsi="Palatino Linotype" w:cs="Palatino Linotype"/>
          <w:b/>
        </w:rPr>
        <w:lastRenderedPageBreak/>
        <w:t xml:space="preserve">de dos mil veintidós; </w:t>
      </w:r>
      <w:r w:rsidRPr="00C77556">
        <w:rPr>
          <w:rFonts w:ascii="Palatino Linotype" w:eastAsia="Palatino Linotype" w:hAnsi="Palatino Linotype" w:cs="Palatino Linotype"/>
        </w:rPr>
        <w:t>esto es, el primer día hábil posterior en que tuvo conocimiento de la respuesta impugnada.</w:t>
      </w:r>
    </w:p>
    <w:p w14:paraId="57C13BF4"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En este sentido, al considerar la fecha en que se formuló la solicitud y la fecha en que respondió a esta el </w:t>
      </w:r>
      <w:r w:rsidRPr="00C77556">
        <w:rPr>
          <w:rFonts w:ascii="Palatino Linotype" w:eastAsia="Palatino Linotype" w:hAnsi="Palatino Linotype" w:cs="Palatino Linotype"/>
          <w:b/>
        </w:rPr>
        <w:t>Sujeto Obligado</w:t>
      </w:r>
      <w:r w:rsidRPr="00C77556">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14:paraId="2B25ED0A"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Por otro lado, es de suma importancia mencionar que, si bien la parte</w:t>
      </w:r>
      <w:r w:rsidRPr="00C77556">
        <w:rPr>
          <w:rFonts w:ascii="Palatino Linotype" w:eastAsia="Palatino Linotype" w:hAnsi="Palatino Linotype" w:cs="Palatino Linotype"/>
          <w:b/>
        </w:rPr>
        <w:t xml:space="preserve"> Recurrente</w:t>
      </w:r>
      <w:r w:rsidRPr="00C77556">
        <w:rPr>
          <w:rFonts w:ascii="Palatino Linotype" w:eastAsia="Palatino Linotype" w:hAnsi="Palatino Linotype" w:cs="Palatino Linotype"/>
        </w:rPr>
        <w:t xml:space="preserve"> no proporcionó nombre completo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9035399" w14:textId="77777777" w:rsidR="0078708B" w:rsidRPr="00C77556" w:rsidRDefault="00A82FD4">
      <w:pPr>
        <w:spacing w:before="120" w:after="120" w:line="276" w:lineRule="auto"/>
        <w:ind w:left="851" w:right="902"/>
        <w:jc w:val="both"/>
        <w:rPr>
          <w:rFonts w:ascii="Palatino Linotype" w:eastAsia="Palatino Linotype" w:hAnsi="Palatino Linotype" w:cs="Palatino Linotype"/>
          <w:sz w:val="22"/>
          <w:szCs w:val="22"/>
        </w:rPr>
      </w:pPr>
      <w:r w:rsidRPr="00C77556">
        <w:rPr>
          <w:rFonts w:ascii="Palatino Linotype" w:eastAsia="Palatino Linotype" w:hAnsi="Palatino Linotype" w:cs="Palatino Linotype"/>
          <w:i/>
          <w:sz w:val="22"/>
          <w:szCs w:val="22"/>
        </w:rPr>
        <w:t>"</w:t>
      </w:r>
      <w:r w:rsidRPr="00C77556">
        <w:rPr>
          <w:rFonts w:ascii="Palatino Linotype" w:eastAsia="Palatino Linotype" w:hAnsi="Palatino Linotype" w:cs="Palatino Linotype"/>
          <w:b/>
          <w:i/>
          <w:sz w:val="22"/>
          <w:szCs w:val="22"/>
        </w:rPr>
        <w:t>Las solicitudes anónimas</w:t>
      </w:r>
      <w:r w:rsidRPr="00C77556">
        <w:rPr>
          <w:rFonts w:ascii="Palatino Linotype" w:eastAsia="Palatino Linotype" w:hAnsi="Palatino Linotype" w:cs="Palatino Linotype"/>
          <w:i/>
          <w:sz w:val="22"/>
          <w:szCs w:val="22"/>
        </w:rPr>
        <w:t>, con nombre incompleto o seudónimo </w:t>
      </w:r>
      <w:r w:rsidRPr="00C77556">
        <w:rPr>
          <w:rFonts w:ascii="Palatino Linotype" w:eastAsia="Palatino Linotype" w:hAnsi="Palatino Linotype" w:cs="Palatino Linotype"/>
          <w:b/>
          <w:i/>
          <w:sz w:val="22"/>
          <w:szCs w:val="22"/>
        </w:rPr>
        <w:t>serán procedentes para su trámite por parte del sujeto obligado ante quien se presente</w:t>
      </w:r>
      <w:r w:rsidRPr="00C77556">
        <w:rPr>
          <w:rFonts w:ascii="Palatino Linotype" w:eastAsia="Palatino Linotype" w:hAnsi="Palatino Linotype" w:cs="Palatino Linotype"/>
          <w:i/>
          <w:sz w:val="22"/>
          <w:szCs w:val="22"/>
        </w:rPr>
        <w:t>. No podrá requerirse información adicional con motivo del nombre proporcionado por el solicitante."</w:t>
      </w:r>
    </w:p>
    <w:p w14:paraId="3FAB12E9" w14:textId="77777777" w:rsidR="0078708B" w:rsidRPr="00C77556" w:rsidRDefault="00A82FD4">
      <w:pPr>
        <w:spacing w:before="240" w:after="240" w:line="360" w:lineRule="auto"/>
        <w:jc w:val="both"/>
        <w:rPr>
          <w:rFonts w:ascii="Palatino Linotype" w:eastAsia="Palatino Linotype" w:hAnsi="Palatino Linotype" w:cs="Palatino Linotype"/>
          <w:b/>
        </w:rPr>
      </w:pPr>
      <w:r w:rsidRPr="00C77556">
        <w:rPr>
          <w:rFonts w:ascii="Palatino Linotype" w:eastAsia="Palatino Linotype" w:hAnsi="Palatino Linotype" w:cs="Palatino Linotype"/>
        </w:rPr>
        <w:t>Asimismo, se acreditan los elementos formales exigidos por el artículo 180 de la Ley de Transparencia y Acceso a la Información Pública del Estado de México y Municipios, en atención a que fue presentado mediante el formato visible en el</w:t>
      </w:r>
      <w:r w:rsidRPr="00C77556">
        <w:rPr>
          <w:rFonts w:ascii="Palatino Linotype" w:eastAsia="Palatino Linotype" w:hAnsi="Palatino Linotype" w:cs="Palatino Linotype"/>
          <w:b/>
        </w:rPr>
        <w:t xml:space="preserve"> SAIMEX. </w:t>
      </w:r>
    </w:p>
    <w:p w14:paraId="210157ED"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lastRenderedPageBreak/>
        <w:t xml:space="preserve">Finalmente, se advierte que resulta procedente la interposición del recurso, según lo manifestado por la parte </w:t>
      </w:r>
      <w:r w:rsidRPr="00C77556">
        <w:rPr>
          <w:rFonts w:ascii="Palatino Linotype" w:eastAsia="Palatino Linotype" w:hAnsi="Palatino Linotype" w:cs="Palatino Linotype"/>
          <w:b/>
        </w:rPr>
        <w:t>Recurrente</w:t>
      </w:r>
      <w:r w:rsidRPr="00C77556">
        <w:rPr>
          <w:rFonts w:ascii="Palatino Linotype" w:eastAsia="Palatino Linotype" w:hAnsi="Palatino Linotype" w:cs="Palatino Linotype"/>
        </w:rPr>
        <w:t xml:space="preserve"> en sus motivos de inconformidad, de acuerdo al artículo 179, fracción VIII del ordenamiento legal citado, que a la letra dice: </w:t>
      </w:r>
    </w:p>
    <w:p w14:paraId="4B96EC6C" w14:textId="77777777" w:rsidR="0078708B" w:rsidRPr="00C77556" w:rsidRDefault="00A82FD4">
      <w:pPr>
        <w:spacing w:before="120" w:after="120"/>
        <w:ind w:left="993" w:right="902"/>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w:t>
      </w:r>
      <w:r w:rsidRPr="00C77556">
        <w:rPr>
          <w:rFonts w:ascii="Palatino Linotype" w:eastAsia="Palatino Linotype" w:hAnsi="Palatino Linotype" w:cs="Palatino Linotype"/>
          <w:b/>
          <w:i/>
          <w:sz w:val="22"/>
          <w:szCs w:val="22"/>
        </w:rPr>
        <w:t>Artículo 179.</w:t>
      </w:r>
      <w:r w:rsidRPr="00C77556">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77F8D674" w14:textId="77777777" w:rsidR="0078708B" w:rsidRPr="00C77556" w:rsidRDefault="00A82FD4">
      <w:pPr>
        <w:spacing w:before="120" w:after="120"/>
        <w:ind w:left="993" w:right="902"/>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w:t>
      </w:r>
    </w:p>
    <w:p w14:paraId="20481D93" w14:textId="77777777" w:rsidR="0078708B" w:rsidRPr="00C77556" w:rsidRDefault="00A82FD4">
      <w:pPr>
        <w:spacing w:before="120" w:after="120"/>
        <w:ind w:left="1134" w:right="902"/>
        <w:rPr>
          <w:rFonts w:ascii="Palatino Linotype" w:eastAsia="Palatino Linotype" w:hAnsi="Palatino Linotype" w:cs="Palatino Linotype"/>
          <w:i/>
          <w:sz w:val="22"/>
          <w:szCs w:val="22"/>
        </w:rPr>
      </w:pPr>
      <w:r w:rsidRPr="00C77556">
        <w:rPr>
          <w:rFonts w:ascii="Palatino Linotype" w:eastAsia="Palatino Linotype" w:hAnsi="Palatino Linotype" w:cs="Palatino Linotype"/>
          <w:b/>
          <w:i/>
          <w:sz w:val="22"/>
          <w:szCs w:val="22"/>
        </w:rPr>
        <w:t>VIII.</w:t>
      </w:r>
      <w:r w:rsidRPr="00C77556">
        <w:rPr>
          <w:rFonts w:ascii="Palatino Linotype" w:eastAsia="Palatino Linotype" w:hAnsi="Palatino Linotype" w:cs="Palatino Linotype"/>
          <w:i/>
          <w:sz w:val="22"/>
          <w:szCs w:val="22"/>
        </w:rPr>
        <w:t xml:space="preserve"> . La notificación, entrega o puesta a disposición de información en una modalidad o formato distinto al solicitado;”</w:t>
      </w:r>
    </w:p>
    <w:p w14:paraId="09A34694" w14:textId="77777777" w:rsidR="0078708B" w:rsidRPr="00C77556" w:rsidRDefault="0078708B">
      <w:pPr>
        <w:spacing w:before="120" w:line="360" w:lineRule="auto"/>
        <w:ind w:right="62"/>
        <w:jc w:val="both"/>
        <w:rPr>
          <w:rFonts w:ascii="Palatino Linotype" w:eastAsia="Palatino Linotype" w:hAnsi="Palatino Linotype" w:cs="Palatino Linotype"/>
          <w:b/>
        </w:rPr>
      </w:pPr>
    </w:p>
    <w:p w14:paraId="57D75BC1" w14:textId="77777777" w:rsidR="0078708B" w:rsidRPr="00C77556" w:rsidRDefault="00A82FD4">
      <w:pPr>
        <w:spacing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Tercero. Análisis de las causales de improcedencia y sobreseimiento</w:t>
      </w:r>
      <w:r w:rsidRPr="00C77556">
        <w:rPr>
          <w:rFonts w:ascii="Palatino Linotype" w:eastAsia="Palatino Linotype" w:hAnsi="Palatino Linotype" w:cs="Palatino Linotype"/>
        </w:rPr>
        <w:t xml:space="preserve"> En primera instancia, debe apuntarse que del análisis al recurso de revisión que ahora se resuelve, se tiene que se actualiza la causal de sobreseimiento del recurso de revisión establecido en la fracción III del artículo 192</w:t>
      </w:r>
      <w:r w:rsidRPr="00C77556">
        <w:rPr>
          <w:rFonts w:ascii="Palatino Linotype" w:eastAsia="Palatino Linotype" w:hAnsi="Palatino Linotype" w:cs="Palatino Linotype"/>
          <w:vertAlign w:val="superscript"/>
        </w:rPr>
        <w:footnoteReference w:id="1"/>
      </w:r>
      <w:r w:rsidRPr="00C77556">
        <w:rPr>
          <w:rFonts w:ascii="Palatino Linotype" w:eastAsia="Palatino Linotype" w:hAnsi="Palatino Linotype" w:cs="Palatino Linotype"/>
        </w:rPr>
        <w:t xml:space="preserve"> en relación con el diverso 186 fracción I</w:t>
      </w:r>
      <w:r w:rsidRPr="00C77556">
        <w:rPr>
          <w:rFonts w:ascii="Palatino Linotype" w:eastAsia="Palatino Linotype" w:hAnsi="Palatino Linotype" w:cs="Palatino Linotype"/>
          <w:vertAlign w:val="superscript"/>
        </w:rPr>
        <w:footnoteReference w:id="2"/>
      </w:r>
      <w:r w:rsidRPr="00C77556">
        <w:rPr>
          <w:rFonts w:ascii="Palatino Linotype" w:eastAsia="Palatino Linotype" w:hAnsi="Palatino Linotype" w:cs="Palatino Linotype"/>
        </w:rPr>
        <w:t xml:space="preserve">, ambos de la Ley de Transparencia y Acceso a la Información Pública del Estado de México y Municipios, derivado del contenido del informe justificado, rendido por el </w:t>
      </w:r>
      <w:r w:rsidRPr="00C77556">
        <w:rPr>
          <w:rFonts w:ascii="Palatino Linotype" w:eastAsia="Palatino Linotype" w:hAnsi="Palatino Linotype" w:cs="Palatino Linotype"/>
          <w:b/>
        </w:rPr>
        <w:t>Sujeto Obligado.</w:t>
      </w:r>
      <w:r w:rsidRPr="00C77556">
        <w:rPr>
          <w:rFonts w:ascii="Palatino Linotype" w:eastAsia="Palatino Linotype" w:hAnsi="Palatino Linotype" w:cs="Palatino Linotype"/>
        </w:rPr>
        <w:t xml:space="preserve"> </w:t>
      </w:r>
    </w:p>
    <w:p w14:paraId="7BE7D998" w14:textId="77777777" w:rsidR="0078708B" w:rsidRPr="00C77556" w:rsidRDefault="00A82FD4">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Para una mejor comprensión del asunto, de las constancias que obran en el expediente electrónico, valoradas anteriormente, el Pleno de este Instituto considera necesario mencionar que, por cuestiones de técnica jurídica, así como para </w:t>
      </w:r>
      <w:r w:rsidRPr="00C77556">
        <w:rPr>
          <w:rFonts w:ascii="Palatino Linotype" w:eastAsia="Palatino Linotype" w:hAnsi="Palatino Linotype" w:cs="Palatino Linotype"/>
        </w:rPr>
        <w:lastRenderedPageBreak/>
        <w:t xml:space="preserve">determinar si las respuestas emitidas por el Sujeto Obligado, atendieron de manera puntual a todos y cada uno de los requerimientos formulados por la parte </w:t>
      </w:r>
      <w:r w:rsidRPr="00C77556">
        <w:rPr>
          <w:rFonts w:ascii="Palatino Linotype" w:eastAsia="Palatino Linotype" w:hAnsi="Palatino Linotype" w:cs="Palatino Linotype"/>
          <w:b/>
        </w:rPr>
        <w:t>Recurrente</w:t>
      </w:r>
      <w:r w:rsidRPr="00C77556">
        <w:rPr>
          <w:rFonts w:ascii="Palatino Linotype" w:eastAsia="Palatino Linotype" w:hAnsi="Palatino Linotype" w:cs="Palatino Linotype"/>
        </w:rPr>
        <w:t>, se considera pertinente elaborar un cuadro de análisis, mismo que se inserta a continuación.</w:t>
      </w:r>
    </w:p>
    <w:tbl>
      <w:tblPr>
        <w:tblStyle w:val="a"/>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4"/>
        <w:gridCol w:w="4368"/>
        <w:gridCol w:w="1474"/>
        <w:gridCol w:w="1060"/>
      </w:tblGrid>
      <w:tr w:rsidR="00C77556" w:rsidRPr="00C77556" w14:paraId="71D93957" w14:textId="77777777">
        <w:tc>
          <w:tcPr>
            <w:tcW w:w="2024" w:type="dxa"/>
            <w:shd w:val="clear" w:color="auto" w:fill="BFBFBF"/>
            <w:vAlign w:val="center"/>
          </w:tcPr>
          <w:p w14:paraId="08939E4C" w14:textId="77777777" w:rsidR="0078708B" w:rsidRPr="00C77556" w:rsidRDefault="00A82FD4">
            <w:pPr>
              <w:tabs>
                <w:tab w:val="left" w:pos="426"/>
              </w:tabs>
              <w:spacing w:before="240" w:after="240"/>
              <w:jc w:val="center"/>
              <w:rPr>
                <w:rFonts w:ascii="Palatino Linotype" w:eastAsia="Palatino Linotype" w:hAnsi="Palatino Linotype" w:cs="Palatino Linotype"/>
                <w:b/>
                <w:i/>
                <w:sz w:val="18"/>
                <w:szCs w:val="18"/>
              </w:rPr>
            </w:pPr>
            <w:r w:rsidRPr="00C77556">
              <w:rPr>
                <w:rFonts w:ascii="Palatino Linotype" w:eastAsia="Palatino Linotype" w:hAnsi="Palatino Linotype" w:cs="Palatino Linotype"/>
                <w:b/>
                <w:i/>
                <w:sz w:val="18"/>
                <w:szCs w:val="18"/>
              </w:rPr>
              <w:t>Información requerida</w:t>
            </w:r>
          </w:p>
        </w:tc>
        <w:tc>
          <w:tcPr>
            <w:tcW w:w="4368" w:type="dxa"/>
            <w:shd w:val="clear" w:color="auto" w:fill="BFBFBF"/>
          </w:tcPr>
          <w:p w14:paraId="222C89AD" w14:textId="77777777" w:rsidR="0078708B" w:rsidRPr="00C77556" w:rsidRDefault="0078708B">
            <w:pPr>
              <w:tabs>
                <w:tab w:val="left" w:pos="426"/>
              </w:tabs>
              <w:spacing w:before="240"/>
              <w:jc w:val="center"/>
              <w:rPr>
                <w:rFonts w:ascii="Palatino Linotype" w:eastAsia="Palatino Linotype" w:hAnsi="Palatino Linotype" w:cs="Palatino Linotype"/>
                <w:b/>
                <w:i/>
                <w:sz w:val="18"/>
                <w:szCs w:val="18"/>
              </w:rPr>
            </w:pPr>
          </w:p>
          <w:p w14:paraId="21AA70F1" w14:textId="77777777" w:rsidR="0078708B" w:rsidRPr="00C77556" w:rsidRDefault="00A82FD4">
            <w:pPr>
              <w:tabs>
                <w:tab w:val="left" w:pos="426"/>
              </w:tabs>
              <w:spacing w:after="240"/>
              <w:jc w:val="center"/>
              <w:rPr>
                <w:rFonts w:ascii="Palatino Linotype" w:eastAsia="Palatino Linotype" w:hAnsi="Palatino Linotype" w:cs="Palatino Linotype"/>
                <w:b/>
                <w:i/>
                <w:sz w:val="18"/>
                <w:szCs w:val="18"/>
              </w:rPr>
            </w:pPr>
            <w:r w:rsidRPr="00C77556">
              <w:rPr>
                <w:rFonts w:ascii="Palatino Linotype" w:eastAsia="Palatino Linotype" w:hAnsi="Palatino Linotype" w:cs="Palatino Linotype"/>
                <w:b/>
                <w:i/>
                <w:sz w:val="18"/>
                <w:szCs w:val="18"/>
              </w:rPr>
              <w:t>Respuesta</w:t>
            </w:r>
          </w:p>
        </w:tc>
        <w:tc>
          <w:tcPr>
            <w:tcW w:w="1474" w:type="dxa"/>
            <w:shd w:val="clear" w:color="auto" w:fill="BFBFBF"/>
          </w:tcPr>
          <w:p w14:paraId="22BB7EC8" w14:textId="77777777" w:rsidR="0078708B" w:rsidRPr="00C77556" w:rsidRDefault="0078708B">
            <w:pPr>
              <w:tabs>
                <w:tab w:val="left" w:pos="426"/>
              </w:tabs>
              <w:spacing w:before="240"/>
              <w:jc w:val="center"/>
              <w:rPr>
                <w:rFonts w:ascii="Palatino Linotype" w:eastAsia="Palatino Linotype" w:hAnsi="Palatino Linotype" w:cs="Palatino Linotype"/>
                <w:b/>
                <w:i/>
                <w:sz w:val="18"/>
                <w:szCs w:val="18"/>
              </w:rPr>
            </w:pPr>
          </w:p>
          <w:p w14:paraId="0DFB7F19" w14:textId="77777777" w:rsidR="0078708B" w:rsidRPr="00C77556" w:rsidRDefault="00A82FD4">
            <w:pPr>
              <w:tabs>
                <w:tab w:val="left" w:pos="426"/>
              </w:tabs>
              <w:spacing w:after="240"/>
              <w:jc w:val="center"/>
              <w:rPr>
                <w:rFonts w:ascii="Palatino Linotype" w:eastAsia="Palatino Linotype" w:hAnsi="Palatino Linotype" w:cs="Palatino Linotype"/>
                <w:b/>
                <w:i/>
                <w:sz w:val="18"/>
                <w:szCs w:val="18"/>
              </w:rPr>
            </w:pPr>
            <w:r w:rsidRPr="00C77556">
              <w:rPr>
                <w:rFonts w:ascii="Palatino Linotype" w:eastAsia="Palatino Linotype" w:hAnsi="Palatino Linotype" w:cs="Palatino Linotype"/>
                <w:b/>
                <w:i/>
                <w:sz w:val="18"/>
                <w:szCs w:val="18"/>
              </w:rPr>
              <w:t>Inconformidad</w:t>
            </w:r>
          </w:p>
        </w:tc>
        <w:tc>
          <w:tcPr>
            <w:tcW w:w="1060" w:type="dxa"/>
            <w:shd w:val="clear" w:color="auto" w:fill="BFBFBF"/>
          </w:tcPr>
          <w:p w14:paraId="04479DA7" w14:textId="77777777" w:rsidR="0078708B" w:rsidRPr="00C77556" w:rsidRDefault="0078708B">
            <w:pPr>
              <w:tabs>
                <w:tab w:val="left" w:pos="426"/>
              </w:tabs>
              <w:spacing w:before="240"/>
              <w:jc w:val="center"/>
              <w:rPr>
                <w:rFonts w:ascii="Palatino Linotype" w:eastAsia="Palatino Linotype" w:hAnsi="Palatino Linotype" w:cs="Palatino Linotype"/>
                <w:b/>
                <w:i/>
                <w:sz w:val="18"/>
                <w:szCs w:val="18"/>
              </w:rPr>
            </w:pPr>
          </w:p>
          <w:p w14:paraId="4A77D2A7" w14:textId="77777777" w:rsidR="0078708B" w:rsidRPr="00C77556" w:rsidRDefault="00A82FD4">
            <w:pPr>
              <w:tabs>
                <w:tab w:val="left" w:pos="426"/>
              </w:tabs>
              <w:spacing w:after="240"/>
              <w:jc w:val="center"/>
              <w:rPr>
                <w:rFonts w:ascii="Palatino Linotype" w:eastAsia="Palatino Linotype" w:hAnsi="Palatino Linotype" w:cs="Palatino Linotype"/>
                <w:b/>
                <w:i/>
                <w:sz w:val="18"/>
                <w:szCs w:val="18"/>
              </w:rPr>
            </w:pPr>
            <w:r w:rsidRPr="00C77556">
              <w:rPr>
                <w:rFonts w:ascii="Palatino Linotype" w:eastAsia="Palatino Linotype" w:hAnsi="Palatino Linotype" w:cs="Palatino Linotype"/>
                <w:b/>
                <w:i/>
                <w:sz w:val="18"/>
                <w:szCs w:val="18"/>
              </w:rPr>
              <w:t>Colma</w:t>
            </w:r>
          </w:p>
        </w:tc>
      </w:tr>
      <w:tr w:rsidR="00C77556" w:rsidRPr="00C77556" w14:paraId="55FE86D8" w14:textId="77777777">
        <w:tc>
          <w:tcPr>
            <w:tcW w:w="2024" w:type="dxa"/>
          </w:tcPr>
          <w:p w14:paraId="3579B54B" w14:textId="77777777" w:rsidR="0078708B" w:rsidRPr="00C77556" w:rsidRDefault="00A82FD4">
            <w:pPr>
              <w:pBdr>
                <w:top w:val="nil"/>
                <w:left w:val="nil"/>
                <w:bottom w:val="nil"/>
                <w:right w:val="nil"/>
                <w:between w:val="nil"/>
              </w:pBdr>
              <w:spacing w:before="240" w:after="240"/>
              <w:ind w:left="29"/>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1. ¿Cuál es el procedimiento para solicitar el seguro por fallecimiento?</w:t>
            </w:r>
          </w:p>
        </w:tc>
        <w:tc>
          <w:tcPr>
            <w:tcW w:w="4368" w:type="dxa"/>
          </w:tcPr>
          <w:p w14:paraId="192CCD4C" w14:textId="77777777" w:rsidR="0078708B" w:rsidRPr="00C77556" w:rsidRDefault="00A82FD4">
            <w:pPr>
              <w:tabs>
                <w:tab w:val="left" w:pos="426"/>
              </w:tabs>
              <w:spacing w:before="240"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La Jefa del Departamento de Pensiones adscrita al Servidor Público Habilitado de la Coordinación de Prestaciones y Seguridad Social describió el </w:t>
            </w:r>
            <w:r w:rsidRPr="00C77556">
              <w:rPr>
                <w:rFonts w:ascii="Palatino Linotype" w:eastAsia="Palatino Linotype" w:hAnsi="Palatino Linotype" w:cs="Palatino Linotype"/>
                <w:b/>
                <w:sz w:val="18"/>
                <w:szCs w:val="18"/>
              </w:rPr>
              <w:t>procedimiento que deben seguir las personas interesadas ante la Unidad u Oficina de Atención al Derechohabiente</w:t>
            </w:r>
            <w:r w:rsidRPr="00C77556">
              <w:rPr>
                <w:rFonts w:ascii="Palatino Linotype" w:eastAsia="Palatino Linotype" w:hAnsi="Palatino Linotype" w:cs="Palatino Linotype"/>
                <w:sz w:val="18"/>
                <w:szCs w:val="18"/>
              </w:rPr>
              <w:t xml:space="preserve">. </w:t>
            </w:r>
          </w:p>
        </w:tc>
        <w:tc>
          <w:tcPr>
            <w:tcW w:w="1474" w:type="dxa"/>
            <w:vAlign w:val="center"/>
          </w:tcPr>
          <w:p w14:paraId="66CCA849" w14:textId="77777777" w:rsidR="0078708B" w:rsidRPr="00C77556" w:rsidRDefault="0078708B">
            <w:pPr>
              <w:tabs>
                <w:tab w:val="left" w:pos="426"/>
              </w:tabs>
              <w:spacing w:before="240"/>
              <w:jc w:val="both"/>
              <w:rPr>
                <w:rFonts w:ascii="Palatino Linotype" w:eastAsia="Palatino Linotype" w:hAnsi="Palatino Linotype" w:cs="Palatino Linotype"/>
                <w:sz w:val="18"/>
                <w:szCs w:val="18"/>
              </w:rPr>
            </w:pPr>
          </w:p>
          <w:p w14:paraId="5460E3E4" w14:textId="77777777" w:rsidR="0078708B" w:rsidRPr="00C77556" w:rsidRDefault="00A82FD4">
            <w:pPr>
              <w:tabs>
                <w:tab w:val="left" w:pos="426"/>
              </w:tabs>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No manifestó inconformidad </w:t>
            </w:r>
          </w:p>
          <w:p w14:paraId="241386D5" w14:textId="77777777" w:rsidR="0078708B" w:rsidRPr="00C77556" w:rsidRDefault="00A82FD4">
            <w:pPr>
              <w:tabs>
                <w:tab w:val="left" w:pos="426"/>
              </w:tabs>
              <w:spacing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(Actos Consentidos) </w:t>
            </w:r>
          </w:p>
        </w:tc>
        <w:tc>
          <w:tcPr>
            <w:tcW w:w="1060" w:type="dxa"/>
            <w:vAlign w:val="center"/>
          </w:tcPr>
          <w:p w14:paraId="1C286D87" w14:textId="77777777" w:rsidR="0078708B" w:rsidRPr="00C77556" w:rsidRDefault="00A82FD4">
            <w:pPr>
              <w:tabs>
                <w:tab w:val="left" w:pos="426"/>
              </w:tabs>
              <w:spacing w:before="240" w:after="240"/>
              <w:jc w:val="center"/>
              <w:rPr>
                <w:rFonts w:ascii="Palatino Linotype" w:eastAsia="Palatino Linotype" w:hAnsi="Palatino Linotype" w:cs="Palatino Linotype"/>
                <w:b/>
                <w:sz w:val="18"/>
                <w:szCs w:val="18"/>
              </w:rPr>
            </w:pPr>
            <w:r w:rsidRPr="00C77556">
              <w:rPr>
                <w:rFonts w:ascii="Palatino Linotype" w:eastAsia="Palatino Linotype" w:hAnsi="Palatino Linotype" w:cs="Palatino Linotype"/>
                <w:b/>
                <w:sz w:val="18"/>
                <w:szCs w:val="18"/>
              </w:rPr>
              <w:t xml:space="preserve">Sí </w:t>
            </w:r>
          </w:p>
        </w:tc>
      </w:tr>
      <w:tr w:rsidR="00C77556" w:rsidRPr="00C77556" w14:paraId="3B52BCFA" w14:textId="77777777">
        <w:tc>
          <w:tcPr>
            <w:tcW w:w="2024" w:type="dxa"/>
          </w:tcPr>
          <w:p w14:paraId="2087EC28" w14:textId="77777777" w:rsidR="0078708B" w:rsidRPr="00C77556" w:rsidRDefault="00A82FD4">
            <w:pPr>
              <w:spacing w:before="240"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2. ¿Cuánto tiempo se tarda en dar respuesta para emitir el pago de seguro por fallecimiento?</w:t>
            </w:r>
          </w:p>
        </w:tc>
        <w:tc>
          <w:tcPr>
            <w:tcW w:w="4368" w:type="dxa"/>
          </w:tcPr>
          <w:p w14:paraId="197B6C49" w14:textId="77777777" w:rsidR="0078708B" w:rsidRPr="00C77556" w:rsidRDefault="00A82FD4">
            <w:pPr>
              <w:tabs>
                <w:tab w:val="left" w:pos="426"/>
              </w:tabs>
              <w:spacing w:before="240"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sz w:val="18"/>
                <w:szCs w:val="18"/>
              </w:rPr>
              <w:t xml:space="preserve">La Jefa del Departamento de Pensiones adscrita al Servidor Público Habilitado de la Coordinación de Prestaciones y Seguridad Social informó: </w:t>
            </w:r>
            <w:r w:rsidRPr="00C77556">
              <w:rPr>
                <w:rFonts w:ascii="Palatino Linotype" w:eastAsia="Palatino Linotype" w:hAnsi="Palatino Linotype" w:cs="Palatino Linotype"/>
                <w:i/>
                <w:sz w:val="18"/>
                <w:szCs w:val="18"/>
              </w:rPr>
              <w:t xml:space="preserve">“al día de la fecha todos los trámites de seguro por fallecimiento son atendidos conforme al orden de prelación y de acuerdo al presupuesto asignado para cada emisión, motivo por el cual para el año en curso el tiempo de respuesta oscila </w:t>
            </w:r>
            <w:r w:rsidRPr="00C77556">
              <w:rPr>
                <w:rFonts w:ascii="Palatino Linotype" w:eastAsia="Palatino Linotype" w:hAnsi="Palatino Linotype" w:cs="Palatino Linotype"/>
                <w:b/>
                <w:i/>
                <w:sz w:val="18"/>
                <w:szCs w:val="18"/>
              </w:rPr>
              <w:t>entre los 10 y 12 meses</w:t>
            </w:r>
            <w:r w:rsidRPr="00C77556">
              <w:rPr>
                <w:rFonts w:ascii="Palatino Linotype" w:eastAsia="Palatino Linotype" w:hAnsi="Palatino Linotype" w:cs="Palatino Linotype"/>
                <w:i/>
                <w:sz w:val="18"/>
                <w:szCs w:val="18"/>
              </w:rPr>
              <w:t xml:space="preserve"> </w:t>
            </w:r>
          </w:p>
        </w:tc>
        <w:tc>
          <w:tcPr>
            <w:tcW w:w="1474" w:type="dxa"/>
          </w:tcPr>
          <w:p w14:paraId="2EF5F760" w14:textId="77777777" w:rsidR="0078708B" w:rsidRPr="00C77556" w:rsidRDefault="00A82FD4">
            <w:pPr>
              <w:tabs>
                <w:tab w:val="left" w:pos="426"/>
              </w:tabs>
              <w:spacing w:before="240"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t>“Además de ser incoherente con sus respuesta ya que mi trámite lo inicie en octubre y dice que su respuesta oscila entre los 10 y 12 meses y mi trámite para ser exactos lleva 1 año 5 días” (Sic)</w:t>
            </w:r>
          </w:p>
        </w:tc>
        <w:tc>
          <w:tcPr>
            <w:tcW w:w="1060" w:type="dxa"/>
            <w:vAlign w:val="center"/>
          </w:tcPr>
          <w:p w14:paraId="2D1FE2F6" w14:textId="77777777" w:rsidR="0078708B" w:rsidRPr="00C77556" w:rsidRDefault="00A82FD4">
            <w:pPr>
              <w:tabs>
                <w:tab w:val="left" w:pos="426"/>
              </w:tabs>
              <w:spacing w:before="240" w:after="240"/>
              <w:jc w:val="center"/>
              <w:rPr>
                <w:rFonts w:ascii="Palatino Linotype" w:eastAsia="Palatino Linotype" w:hAnsi="Palatino Linotype" w:cs="Palatino Linotype"/>
                <w:sz w:val="18"/>
                <w:szCs w:val="18"/>
              </w:rPr>
            </w:pPr>
            <w:r w:rsidRPr="00C77556">
              <w:rPr>
                <w:rFonts w:ascii="Palatino Linotype" w:eastAsia="Palatino Linotype" w:hAnsi="Palatino Linotype" w:cs="Palatino Linotype"/>
                <w:b/>
                <w:sz w:val="18"/>
                <w:szCs w:val="18"/>
              </w:rPr>
              <w:t>Sí</w:t>
            </w:r>
          </w:p>
        </w:tc>
      </w:tr>
      <w:tr w:rsidR="00C77556" w:rsidRPr="00C77556" w14:paraId="2D100B5A" w14:textId="77777777">
        <w:tc>
          <w:tcPr>
            <w:tcW w:w="2024" w:type="dxa"/>
          </w:tcPr>
          <w:p w14:paraId="702892D7" w14:textId="77777777" w:rsidR="0078708B" w:rsidRPr="00C77556" w:rsidRDefault="00A82FD4">
            <w:pPr>
              <w:spacing w:before="240"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3. ¿Existe una </w:t>
            </w:r>
            <w:r w:rsidRPr="00C77556">
              <w:rPr>
                <w:rFonts w:ascii="Palatino Linotype" w:eastAsia="Palatino Linotype" w:hAnsi="Palatino Linotype" w:cs="Palatino Linotype"/>
                <w:b/>
                <w:sz w:val="18"/>
                <w:szCs w:val="18"/>
              </w:rPr>
              <w:t>cédula de trámites</w:t>
            </w:r>
            <w:r w:rsidRPr="00C77556">
              <w:rPr>
                <w:rFonts w:ascii="Palatino Linotype" w:eastAsia="Palatino Linotype" w:hAnsi="Palatino Linotype" w:cs="Palatino Linotype"/>
                <w:sz w:val="18"/>
                <w:szCs w:val="18"/>
              </w:rPr>
              <w:t xml:space="preserve"> y servicios respecto al trámite de seguro por fallecimiento? De ser así </w:t>
            </w:r>
            <w:r w:rsidRPr="00C77556">
              <w:rPr>
                <w:rFonts w:ascii="Palatino Linotype" w:eastAsia="Palatino Linotype" w:hAnsi="Palatino Linotype" w:cs="Palatino Linotype"/>
                <w:b/>
                <w:sz w:val="18"/>
                <w:szCs w:val="18"/>
              </w:rPr>
              <w:t>proporcionar la misma</w:t>
            </w:r>
            <w:r w:rsidRPr="00C77556">
              <w:rPr>
                <w:rFonts w:ascii="Palatino Linotype" w:eastAsia="Palatino Linotype" w:hAnsi="Palatino Linotype" w:cs="Palatino Linotype"/>
                <w:sz w:val="18"/>
                <w:szCs w:val="18"/>
              </w:rPr>
              <w:t xml:space="preserve"> de forma actualizada y la pagina donde esta publicada</w:t>
            </w:r>
          </w:p>
        </w:tc>
        <w:tc>
          <w:tcPr>
            <w:tcW w:w="4368" w:type="dxa"/>
          </w:tcPr>
          <w:p w14:paraId="5F964202" w14:textId="77777777" w:rsidR="0078708B" w:rsidRPr="00C77556" w:rsidRDefault="00A82FD4">
            <w:pPr>
              <w:tabs>
                <w:tab w:val="left" w:pos="426"/>
              </w:tabs>
              <w:spacing w:before="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sz w:val="18"/>
                <w:szCs w:val="18"/>
              </w:rPr>
              <w:t xml:space="preserve">La Jefa del Departamento de Pensiones adscrita al Servidor Público Habilitado de la Coordinación de Prestaciones y Seguridad Social informó: </w:t>
            </w:r>
            <w:r w:rsidRPr="00C77556">
              <w:rPr>
                <w:rFonts w:ascii="Palatino Linotype" w:eastAsia="Palatino Linotype" w:hAnsi="Palatino Linotype" w:cs="Palatino Linotype"/>
                <w:i/>
                <w:sz w:val="18"/>
                <w:szCs w:val="18"/>
              </w:rPr>
              <w:t>“…a través de la página electrónica del Registro Estatal de Trámites y Servicios del Estado de México (</w:t>
            </w:r>
            <w:proofErr w:type="spellStart"/>
            <w:r w:rsidRPr="00C77556">
              <w:rPr>
                <w:rFonts w:ascii="Palatino Linotype" w:eastAsia="Palatino Linotype" w:hAnsi="Palatino Linotype" w:cs="Palatino Linotype"/>
                <w:i/>
                <w:sz w:val="18"/>
                <w:szCs w:val="18"/>
              </w:rPr>
              <w:t>RETyS</w:t>
            </w:r>
            <w:proofErr w:type="spellEnd"/>
            <w:r w:rsidRPr="00C77556">
              <w:rPr>
                <w:rFonts w:ascii="Palatino Linotype" w:eastAsia="Palatino Linotype" w:hAnsi="Palatino Linotype" w:cs="Palatino Linotype"/>
                <w:i/>
                <w:sz w:val="18"/>
                <w:szCs w:val="18"/>
              </w:rPr>
              <w:t xml:space="preserve">), las personas interesadas pueden consultar la cédula informativa del trámite de seguro por fallecimiento a través de la siguiente dirección electrónica: </w:t>
            </w:r>
          </w:p>
          <w:p w14:paraId="226F22F7" w14:textId="77777777" w:rsidR="0078708B" w:rsidRPr="00C77556" w:rsidRDefault="0031182B">
            <w:pPr>
              <w:tabs>
                <w:tab w:val="left" w:pos="426"/>
              </w:tabs>
              <w:jc w:val="both"/>
              <w:rPr>
                <w:rFonts w:ascii="Palatino Linotype" w:eastAsia="Palatino Linotype" w:hAnsi="Palatino Linotype" w:cs="Palatino Linotype"/>
                <w:i/>
                <w:sz w:val="18"/>
                <w:szCs w:val="18"/>
              </w:rPr>
            </w:pPr>
            <w:hyperlink r:id="rId8">
              <w:r w:rsidR="00A82FD4" w:rsidRPr="00C77556">
                <w:rPr>
                  <w:rFonts w:ascii="Palatino Linotype" w:eastAsia="Palatino Linotype" w:hAnsi="Palatino Linotype" w:cs="Palatino Linotype"/>
                  <w:i/>
                  <w:sz w:val="18"/>
                  <w:szCs w:val="18"/>
                  <w:u w:val="single"/>
                </w:rPr>
                <w:t>https://retys.edomex.gob.mx/cedulaifo/628?#</w:t>
              </w:r>
            </w:hyperlink>
          </w:p>
          <w:p w14:paraId="1C9D2836" w14:textId="77777777" w:rsidR="0078708B" w:rsidRPr="00C77556" w:rsidRDefault="00A82FD4">
            <w:pPr>
              <w:tabs>
                <w:tab w:val="left" w:pos="426"/>
              </w:tabs>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lastRenderedPageBreak/>
              <w:t xml:space="preserve">Dicho trámite también está disponible para su consulta en el Sistema de Información Pública de Oficio Mexiquense (IPOMEX) correspondiente a la facción XXIV “Trámites, requisitos y formatos que ofrecen” de la Ley de Transparencia y Acceso a la Información Pública del Estado de México y Municipios, en la siguiente dirección electrónica. </w:t>
            </w:r>
            <w:hyperlink r:id="rId9">
              <w:r w:rsidRPr="00C77556">
                <w:rPr>
                  <w:rFonts w:ascii="Palatino Linotype" w:eastAsia="Palatino Linotype" w:hAnsi="Palatino Linotype" w:cs="Palatino Linotype"/>
                  <w:i/>
                  <w:sz w:val="18"/>
                  <w:szCs w:val="18"/>
                  <w:u w:val="single"/>
                </w:rPr>
                <w:t>https://www.ipomex.org.mx/ipo3/lgt/indice/issemym.web</w:t>
              </w:r>
            </w:hyperlink>
          </w:p>
          <w:p w14:paraId="541C6839" w14:textId="77777777" w:rsidR="0078708B" w:rsidRPr="00C77556" w:rsidRDefault="00A82FD4">
            <w:pPr>
              <w:tabs>
                <w:tab w:val="left" w:pos="426"/>
              </w:tabs>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t xml:space="preserve">Aunado a lo anterior, el Director de Atención al Derechohabiente adscrito al Servidor Público Habilitado de la Coordinación de Prestaciones y Seguridad Social, menciona sobre al numeral tres que, no se cuenta con una cédula de trámites y servicios, sin embrago, existe el formato “Solicitud de seguro por fallecimiento (FO CPSS DP SPE DP 91), mismo que la o el interesado deberá </w:t>
            </w:r>
            <w:proofErr w:type="spellStart"/>
            <w:r w:rsidRPr="00C77556">
              <w:rPr>
                <w:rFonts w:ascii="Palatino Linotype" w:eastAsia="Palatino Linotype" w:hAnsi="Palatino Linotype" w:cs="Palatino Linotype"/>
                <w:i/>
                <w:sz w:val="18"/>
                <w:szCs w:val="18"/>
              </w:rPr>
              <w:t>requisitar</w:t>
            </w:r>
            <w:proofErr w:type="spellEnd"/>
            <w:r w:rsidRPr="00C77556">
              <w:rPr>
                <w:rFonts w:ascii="Palatino Linotype" w:eastAsia="Palatino Linotype" w:hAnsi="Palatino Linotype" w:cs="Palatino Linotype"/>
                <w:i/>
                <w:sz w:val="18"/>
                <w:szCs w:val="18"/>
              </w:rPr>
              <w:t xml:space="preserve"> en la Unidad u Oficina de Atención al Derechohabiente a través de una cita realizada en la siguiente dirección electrónica </w:t>
            </w:r>
            <w:hyperlink r:id="rId10">
              <w:r w:rsidRPr="00C77556">
                <w:rPr>
                  <w:rFonts w:ascii="Palatino Linotype" w:eastAsia="Palatino Linotype" w:hAnsi="Palatino Linotype" w:cs="Palatino Linotype"/>
                  <w:i/>
                  <w:sz w:val="18"/>
                  <w:szCs w:val="18"/>
                  <w:u w:val="single"/>
                </w:rPr>
                <w:t>https://sistemas.issemym.gob.mx/citas/citasinicio.aspx</w:t>
              </w:r>
            </w:hyperlink>
          </w:p>
          <w:p w14:paraId="60D72CEB" w14:textId="77777777" w:rsidR="0078708B" w:rsidRPr="00C77556" w:rsidRDefault="0078708B">
            <w:pPr>
              <w:tabs>
                <w:tab w:val="left" w:pos="426"/>
              </w:tabs>
              <w:spacing w:after="240"/>
              <w:jc w:val="both"/>
              <w:rPr>
                <w:rFonts w:ascii="Palatino Linotype" w:eastAsia="Palatino Linotype" w:hAnsi="Palatino Linotype" w:cs="Palatino Linotype"/>
                <w:i/>
                <w:sz w:val="18"/>
                <w:szCs w:val="18"/>
              </w:rPr>
            </w:pPr>
          </w:p>
        </w:tc>
        <w:tc>
          <w:tcPr>
            <w:tcW w:w="1474" w:type="dxa"/>
            <w:vAlign w:val="center"/>
          </w:tcPr>
          <w:p w14:paraId="39E327E3" w14:textId="77777777" w:rsidR="0078708B" w:rsidRPr="00C77556" w:rsidRDefault="00A82FD4">
            <w:pPr>
              <w:tabs>
                <w:tab w:val="left" w:pos="426"/>
              </w:tabs>
              <w:spacing w:before="240"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lastRenderedPageBreak/>
              <w:t>“No muestra los formatos solo ligas de internet.</w:t>
            </w:r>
          </w:p>
        </w:tc>
        <w:tc>
          <w:tcPr>
            <w:tcW w:w="1060" w:type="dxa"/>
            <w:vAlign w:val="center"/>
          </w:tcPr>
          <w:p w14:paraId="5A7DF43F" w14:textId="77777777" w:rsidR="0078708B" w:rsidRPr="00C77556" w:rsidRDefault="00A82FD4">
            <w:pPr>
              <w:tabs>
                <w:tab w:val="left" w:pos="426"/>
              </w:tabs>
              <w:spacing w:before="240" w:after="240"/>
              <w:jc w:val="center"/>
              <w:rPr>
                <w:rFonts w:ascii="Palatino Linotype" w:eastAsia="Palatino Linotype" w:hAnsi="Palatino Linotype" w:cs="Palatino Linotype"/>
                <w:b/>
                <w:sz w:val="18"/>
                <w:szCs w:val="18"/>
              </w:rPr>
            </w:pPr>
            <w:r w:rsidRPr="00C77556">
              <w:rPr>
                <w:rFonts w:ascii="Palatino Linotype" w:eastAsia="Palatino Linotype" w:hAnsi="Palatino Linotype" w:cs="Palatino Linotype"/>
                <w:b/>
                <w:sz w:val="18"/>
                <w:szCs w:val="18"/>
              </w:rPr>
              <w:t>No</w:t>
            </w:r>
          </w:p>
        </w:tc>
      </w:tr>
      <w:tr w:rsidR="00C77556" w:rsidRPr="00C77556" w14:paraId="6BF13369" w14:textId="77777777">
        <w:tc>
          <w:tcPr>
            <w:tcW w:w="2024" w:type="dxa"/>
          </w:tcPr>
          <w:p w14:paraId="5B9035D7" w14:textId="77777777" w:rsidR="0078708B" w:rsidRPr="00C77556" w:rsidRDefault="00A82FD4">
            <w:pPr>
              <w:tabs>
                <w:tab w:val="left" w:pos="7513"/>
              </w:tabs>
              <w:spacing w:before="240" w:after="240"/>
              <w:ind w:right="49"/>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lastRenderedPageBreak/>
              <w:t xml:space="preserve">4. ¿En caso de no cumplir con la fecha estipulada en dicha cédula, a que está obligado el ISSEMYM, y que puede hacer el peticionario? </w:t>
            </w:r>
          </w:p>
        </w:tc>
        <w:tc>
          <w:tcPr>
            <w:tcW w:w="4368" w:type="dxa"/>
          </w:tcPr>
          <w:p w14:paraId="466E5125" w14:textId="77777777" w:rsidR="0078708B" w:rsidRPr="00C77556" w:rsidRDefault="00A82FD4">
            <w:pPr>
              <w:tabs>
                <w:tab w:val="left" w:pos="426"/>
              </w:tabs>
              <w:spacing w:before="240"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sz w:val="18"/>
                <w:szCs w:val="18"/>
              </w:rPr>
              <w:t xml:space="preserve">La Jefa del Departamento de Pensiones adscrita al Servidor Público Habilitado de la Coordinación de Prestaciones y Seguridad Social informó: </w:t>
            </w:r>
            <w:r w:rsidRPr="00C77556">
              <w:rPr>
                <w:rFonts w:ascii="Palatino Linotype" w:eastAsia="Palatino Linotype" w:hAnsi="Palatino Linotype" w:cs="Palatino Linotype"/>
                <w:i/>
                <w:sz w:val="18"/>
                <w:szCs w:val="18"/>
              </w:rPr>
              <w:t xml:space="preserve">“la normatividad vigente y aplicable en materia de seguridad social, no establecen un plazo especifico en el que este Instituto se Seguridad Social deba cubrir el pago del seguro por fallecimiento que han sido ingresados, sin embargo, actualmente debido a la gran cantidad de tramites de seguro por fallecimiento que han sido ingresados, todos son atendidos conforme al orden de prelación y de acuerdo al presupuesto asignado pata cada emisión, por lo que para el año en curso el tiempo de respuesta respecto a los trámites de seguro por fallecimiento oscila entre los 10 y 12 meses a partir de que el trámite se encuentre en la Sección de Seguros por Fallecimiento del Departamento de Pensiones. </w:t>
            </w:r>
          </w:p>
        </w:tc>
        <w:tc>
          <w:tcPr>
            <w:tcW w:w="1474" w:type="dxa"/>
            <w:vAlign w:val="center"/>
          </w:tcPr>
          <w:p w14:paraId="112BE2B1" w14:textId="77777777" w:rsidR="0078708B" w:rsidRPr="00C77556" w:rsidRDefault="00A82FD4">
            <w:pPr>
              <w:tabs>
                <w:tab w:val="left" w:pos="426"/>
              </w:tabs>
              <w:spacing w:before="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No manifestó inconformidad </w:t>
            </w:r>
          </w:p>
          <w:p w14:paraId="5BA46981" w14:textId="77777777" w:rsidR="0078708B" w:rsidRPr="00C77556" w:rsidRDefault="00A82FD4">
            <w:pPr>
              <w:tabs>
                <w:tab w:val="left" w:pos="426"/>
              </w:tabs>
              <w:spacing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(Actos Consentidos)</w:t>
            </w:r>
          </w:p>
        </w:tc>
        <w:tc>
          <w:tcPr>
            <w:tcW w:w="1060" w:type="dxa"/>
          </w:tcPr>
          <w:p w14:paraId="4D706576" w14:textId="77777777" w:rsidR="0078708B" w:rsidRPr="00C77556" w:rsidRDefault="00A82FD4">
            <w:pPr>
              <w:tabs>
                <w:tab w:val="left" w:pos="426"/>
              </w:tabs>
              <w:spacing w:before="240" w:after="240"/>
              <w:jc w:val="center"/>
              <w:rPr>
                <w:rFonts w:ascii="Palatino Linotype" w:eastAsia="Palatino Linotype" w:hAnsi="Palatino Linotype" w:cs="Palatino Linotype"/>
                <w:b/>
                <w:sz w:val="18"/>
                <w:szCs w:val="18"/>
              </w:rPr>
            </w:pPr>
            <w:r w:rsidRPr="00C77556">
              <w:rPr>
                <w:rFonts w:ascii="Palatino Linotype" w:eastAsia="Palatino Linotype" w:hAnsi="Palatino Linotype" w:cs="Palatino Linotype"/>
                <w:b/>
                <w:sz w:val="18"/>
                <w:szCs w:val="18"/>
              </w:rPr>
              <w:t xml:space="preserve">Sí </w:t>
            </w:r>
          </w:p>
        </w:tc>
      </w:tr>
      <w:tr w:rsidR="00C77556" w:rsidRPr="00C77556" w14:paraId="16B63C07" w14:textId="77777777">
        <w:tc>
          <w:tcPr>
            <w:tcW w:w="2024" w:type="dxa"/>
          </w:tcPr>
          <w:p w14:paraId="1F4E314B" w14:textId="77777777" w:rsidR="0078708B" w:rsidRPr="00C77556" w:rsidRDefault="00A82FD4">
            <w:pPr>
              <w:pBdr>
                <w:top w:val="nil"/>
                <w:left w:val="nil"/>
                <w:bottom w:val="nil"/>
                <w:right w:val="nil"/>
                <w:between w:val="nil"/>
              </w:pBdr>
              <w:spacing w:before="240" w:after="240"/>
              <w:ind w:left="29"/>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5. ¿A cuánto asciende el pago de seguro por fallecimiento o como esta tabulado? ¿Esta publicada esa </w:t>
            </w:r>
            <w:r w:rsidRPr="00C77556">
              <w:rPr>
                <w:rFonts w:ascii="Palatino Linotype" w:eastAsia="Palatino Linotype" w:hAnsi="Palatino Linotype" w:cs="Palatino Linotype"/>
                <w:sz w:val="18"/>
                <w:szCs w:val="18"/>
              </w:rPr>
              <w:lastRenderedPageBreak/>
              <w:t>tabulación? Y ¿en dónde?</w:t>
            </w:r>
          </w:p>
        </w:tc>
        <w:tc>
          <w:tcPr>
            <w:tcW w:w="4368" w:type="dxa"/>
          </w:tcPr>
          <w:p w14:paraId="15C5BE53" w14:textId="77777777" w:rsidR="0078708B" w:rsidRPr="00C77556" w:rsidRDefault="00A82FD4">
            <w:pPr>
              <w:tabs>
                <w:tab w:val="left" w:pos="426"/>
              </w:tabs>
              <w:spacing w:before="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lastRenderedPageBreak/>
              <w:t xml:space="preserve">“…al respecto el artículo 133 de la vigente Ley de Seguridad Social para los Servidores Públicos del Estado de México y Municipios, dispone que el monto del seguro por fallecimiento nunca será menor a 500 salarios mínimos. </w:t>
            </w:r>
          </w:p>
          <w:p w14:paraId="5E2332D8" w14:textId="77777777" w:rsidR="0078708B" w:rsidRPr="00C77556" w:rsidRDefault="00A82FD4">
            <w:pPr>
              <w:tabs>
                <w:tab w:val="left" w:pos="426"/>
              </w:tabs>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lastRenderedPageBreak/>
              <w:t xml:space="preserve">Sin embargo, dicho artículo fue retomado a través del Decreto número 21 publicado en el Periódico Oficial “Gaceta del Gobierno” de fecha 31 de enero del año 2022, por lo que derivado de dicha reforma el  monto del seguro por fallecimiento nunca será menor de 790.56 Unidades de Medida de Actualización diarias. </w:t>
            </w:r>
          </w:p>
          <w:p w14:paraId="07626742" w14:textId="77777777" w:rsidR="0078708B" w:rsidRPr="00C77556" w:rsidRDefault="00A82FD4">
            <w:pPr>
              <w:tabs>
                <w:tab w:val="left" w:pos="426"/>
              </w:tabs>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sz w:val="18"/>
                <w:szCs w:val="18"/>
              </w:rPr>
              <w:t>En cuanto a la tabulación informó que: “…</w:t>
            </w:r>
            <w:r w:rsidRPr="00C77556">
              <w:rPr>
                <w:rFonts w:ascii="Palatino Linotype" w:eastAsia="Palatino Linotype" w:hAnsi="Palatino Linotype" w:cs="Palatino Linotype"/>
                <w:i/>
                <w:sz w:val="18"/>
                <w:szCs w:val="18"/>
              </w:rPr>
              <w:t xml:space="preserve">la vigente Ley de Seguridad para los Servidores Públicos del Estado de México y Municipios, fue publicado en el Periódico Oficial “Gaceta del Gobierno” de fecha 3 de enero del año 2002. </w:t>
            </w:r>
          </w:p>
          <w:p w14:paraId="651FF9D5" w14:textId="77777777" w:rsidR="0078708B" w:rsidRPr="00C77556" w:rsidRDefault="00A82FD4">
            <w:pPr>
              <w:tabs>
                <w:tab w:val="left" w:pos="426"/>
              </w:tabs>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t xml:space="preserve">Así mismo, el Decreto número 21 fue publicado en el Periódico Oficial “Gaceta del Gobierno” de fecha 31 de enero del año en curso. </w:t>
            </w:r>
          </w:p>
          <w:p w14:paraId="16C05CB0" w14:textId="77777777" w:rsidR="0078708B" w:rsidRPr="00C77556" w:rsidRDefault="00A82FD4">
            <w:pPr>
              <w:tabs>
                <w:tab w:val="left" w:pos="426"/>
              </w:tabs>
              <w:spacing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El Sujeto Obligado proporcionó las ligas en que se encuentran publicados dichos ordenamientos. </w:t>
            </w:r>
          </w:p>
        </w:tc>
        <w:tc>
          <w:tcPr>
            <w:tcW w:w="1474" w:type="dxa"/>
            <w:vAlign w:val="center"/>
          </w:tcPr>
          <w:p w14:paraId="6CB08C86" w14:textId="77777777" w:rsidR="0078708B" w:rsidRPr="00C77556" w:rsidRDefault="00A82FD4">
            <w:pPr>
              <w:tabs>
                <w:tab w:val="left" w:pos="426"/>
              </w:tabs>
              <w:spacing w:before="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lastRenderedPageBreak/>
              <w:t xml:space="preserve">No manifestó inconformidad </w:t>
            </w:r>
          </w:p>
          <w:p w14:paraId="4C0BE08C" w14:textId="77777777" w:rsidR="0078708B" w:rsidRPr="00C77556" w:rsidRDefault="00A82FD4">
            <w:pPr>
              <w:tabs>
                <w:tab w:val="left" w:pos="426"/>
              </w:tabs>
              <w:spacing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(Actos Consentidos)</w:t>
            </w:r>
          </w:p>
        </w:tc>
        <w:tc>
          <w:tcPr>
            <w:tcW w:w="1060" w:type="dxa"/>
            <w:vAlign w:val="center"/>
          </w:tcPr>
          <w:p w14:paraId="7EB23C0A" w14:textId="77777777" w:rsidR="0078708B" w:rsidRPr="00C77556" w:rsidRDefault="00A82FD4">
            <w:pPr>
              <w:tabs>
                <w:tab w:val="left" w:pos="426"/>
              </w:tabs>
              <w:spacing w:before="240" w:after="240"/>
              <w:jc w:val="center"/>
              <w:rPr>
                <w:rFonts w:ascii="Palatino Linotype" w:eastAsia="Palatino Linotype" w:hAnsi="Palatino Linotype" w:cs="Palatino Linotype"/>
                <w:b/>
                <w:sz w:val="18"/>
                <w:szCs w:val="18"/>
              </w:rPr>
            </w:pPr>
            <w:r w:rsidRPr="00C77556">
              <w:rPr>
                <w:rFonts w:ascii="Palatino Linotype" w:eastAsia="Palatino Linotype" w:hAnsi="Palatino Linotype" w:cs="Palatino Linotype"/>
                <w:b/>
                <w:sz w:val="18"/>
                <w:szCs w:val="18"/>
              </w:rPr>
              <w:t>Sí</w:t>
            </w:r>
          </w:p>
        </w:tc>
      </w:tr>
      <w:tr w:rsidR="00C77556" w:rsidRPr="00C77556" w14:paraId="7D51EF8D" w14:textId="77777777">
        <w:tc>
          <w:tcPr>
            <w:tcW w:w="2024" w:type="dxa"/>
          </w:tcPr>
          <w:p w14:paraId="68299DB3" w14:textId="77777777" w:rsidR="0078708B" w:rsidRPr="00C77556" w:rsidRDefault="00A82FD4">
            <w:pPr>
              <w:pBdr>
                <w:top w:val="nil"/>
                <w:left w:val="nil"/>
                <w:bottom w:val="nil"/>
                <w:right w:val="nil"/>
                <w:between w:val="nil"/>
              </w:pBdr>
              <w:spacing w:before="240" w:after="240"/>
              <w:ind w:left="29"/>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lastRenderedPageBreak/>
              <w:t>6. ¿En caso de que el pago sea menor al estipulado que procede?</w:t>
            </w:r>
          </w:p>
        </w:tc>
        <w:tc>
          <w:tcPr>
            <w:tcW w:w="4368" w:type="dxa"/>
          </w:tcPr>
          <w:p w14:paraId="1F93CEF8" w14:textId="77777777" w:rsidR="0078708B" w:rsidRPr="00C77556" w:rsidRDefault="00A82FD4">
            <w:pPr>
              <w:tabs>
                <w:tab w:val="left" w:pos="426"/>
              </w:tabs>
              <w:spacing w:before="240"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t xml:space="preserve">“…toda vez que la normatividad vigente establece que el monto del seguro por fallecimiento nunca será menor de 790.56 Unidades de Medida de Actualización diarias, en caso de que no se cumpla con dicho supuesto el beneficio tiene a su alcance el Recurso Administrativo de Inconformidad ante este Instituto o Juicio Administrativo ante el Tribunal de Justicia Administrativa del Estado de México, con fundamento en los artículos 186, 188 y 238 del Código de Procedimientos Administrativos del Estado de México. </w:t>
            </w:r>
          </w:p>
        </w:tc>
        <w:tc>
          <w:tcPr>
            <w:tcW w:w="1474" w:type="dxa"/>
            <w:vAlign w:val="center"/>
          </w:tcPr>
          <w:p w14:paraId="0477CC00" w14:textId="77777777" w:rsidR="0078708B" w:rsidRPr="00C77556" w:rsidRDefault="00A82FD4">
            <w:pPr>
              <w:tabs>
                <w:tab w:val="left" w:pos="426"/>
              </w:tabs>
              <w:spacing w:before="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No manifestó inconformidad </w:t>
            </w:r>
          </w:p>
          <w:p w14:paraId="02D9CF8E" w14:textId="77777777" w:rsidR="0078708B" w:rsidRPr="00C77556" w:rsidRDefault="00A82FD4">
            <w:pPr>
              <w:tabs>
                <w:tab w:val="left" w:pos="426"/>
              </w:tabs>
              <w:spacing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(Actos Consentidos)</w:t>
            </w:r>
          </w:p>
        </w:tc>
        <w:tc>
          <w:tcPr>
            <w:tcW w:w="1060" w:type="dxa"/>
            <w:vAlign w:val="center"/>
          </w:tcPr>
          <w:p w14:paraId="78FC2CDC" w14:textId="77777777" w:rsidR="0078708B" w:rsidRPr="00C77556" w:rsidRDefault="00A82FD4">
            <w:pPr>
              <w:tabs>
                <w:tab w:val="left" w:pos="426"/>
              </w:tabs>
              <w:spacing w:before="240" w:after="240"/>
              <w:jc w:val="center"/>
              <w:rPr>
                <w:rFonts w:ascii="Palatino Linotype" w:eastAsia="Palatino Linotype" w:hAnsi="Palatino Linotype" w:cs="Palatino Linotype"/>
                <w:sz w:val="18"/>
                <w:szCs w:val="18"/>
              </w:rPr>
            </w:pPr>
            <w:r w:rsidRPr="00C77556">
              <w:rPr>
                <w:rFonts w:ascii="Palatino Linotype" w:eastAsia="Palatino Linotype" w:hAnsi="Palatino Linotype" w:cs="Palatino Linotype"/>
                <w:b/>
                <w:sz w:val="18"/>
                <w:szCs w:val="18"/>
              </w:rPr>
              <w:t>Sí</w:t>
            </w:r>
          </w:p>
        </w:tc>
      </w:tr>
      <w:tr w:rsidR="00C77556" w:rsidRPr="00C77556" w14:paraId="4CE9F5F4" w14:textId="77777777">
        <w:tc>
          <w:tcPr>
            <w:tcW w:w="2024" w:type="dxa"/>
          </w:tcPr>
          <w:p w14:paraId="4B600043" w14:textId="77777777" w:rsidR="0078708B" w:rsidRPr="00C77556" w:rsidRDefault="00A82FD4">
            <w:pPr>
              <w:tabs>
                <w:tab w:val="left" w:pos="7513"/>
              </w:tabs>
              <w:spacing w:before="240" w:after="240"/>
              <w:ind w:right="49"/>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7. ¿Cuál es el área responsable del seguimiento al seguro por fallecimiento así como el número telefónico y titular?</w:t>
            </w:r>
          </w:p>
        </w:tc>
        <w:tc>
          <w:tcPr>
            <w:tcW w:w="4368" w:type="dxa"/>
          </w:tcPr>
          <w:p w14:paraId="3CF6F6E9" w14:textId="77777777" w:rsidR="0078708B" w:rsidRPr="00C77556" w:rsidRDefault="00A82FD4">
            <w:pPr>
              <w:tabs>
                <w:tab w:val="left" w:pos="426"/>
              </w:tabs>
              <w:spacing w:before="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De acuerdo al Manual de Organización de este Instituto de Seguridad Social, las áreas encargadas de brindar información a los interesados respecto al estatus que guardan los diversos trámites presentados  con las Unidades u Oficinas de Atención al Derechohabiente, cuyo número telefónico y ubicación se puede consultar en la liga proporcionada. </w:t>
            </w:r>
          </w:p>
          <w:p w14:paraId="696B2A0D" w14:textId="77777777" w:rsidR="0078708B" w:rsidRPr="00C77556" w:rsidRDefault="0078708B">
            <w:pPr>
              <w:tabs>
                <w:tab w:val="left" w:pos="426"/>
              </w:tabs>
              <w:jc w:val="both"/>
              <w:rPr>
                <w:rFonts w:ascii="Palatino Linotype" w:eastAsia="Palatino Linotype" w:hAnsi="Palatino Linotype" w:cs="Palatino Linotype"/>
                <w:sz w:val="18"/>
                <w:szCs w:val="18"/>
              </w:rPr>
            </w:pPr>
          </w:p>
          <w:p w14:paraId="4F3913A8" w14:textId="77777777" w:rsidR="0078708B" w:rsidRPr="00C77556" w:rsidRDefault="00A82FD4">
            <w:pPr>
              <w:tabs>
                <w:tab w:val="left" w:pos="426"/>
              </w:tabs>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Asimismo, informó que la Sección de Seguros por Fallecimiento del Departamento de Pensiones, es el área encargada de dar viabilidad al trámite conforme al orden de prelación para ser considerado en alguna emisión, encontrándose a cargo la C. Erika Lara Hidalgo Carrillo, sección que cuenta con el número telefónico 722 226 19 00 extensión 1392046. </w:t>
            </w:r>
          </w:p>
          <w:p w14:paraId="5BB3F330" w14:textId="77777777" w:rsidR="0078708B" w:rsidRPr="00C77556" w:rsidRDefault="0078708B">
            <w:pPr>
              <w:tabs>
                <w:tab w:val="left" w:pos="426"/>
              </w:tabs>
              <w:spacing w:after="240"/>
              <w:jc w:val="both"/>
              <w:rPr>
                <w:rFonts w:ascii="Palatino Linotype" w:eastAsia="Palatino Linotype" w:hAnsi="Palatino Linotype" w:cs="Palatino Linotype"/>
                <w:i/>
                <w:sz w:val="18"/>
                <w:szCs w:val="18"/>
              </w:rPr>
            </w:pPr>
          </w:p>
        </w:tc>
        <w:tc>
          <w:tcPr>
            <w:tcW w:w="1474" w:type="dxa"/>
            <w:vAlign w:val="center"/>
          </w:tcPr>
          <w:p w14:paraId="21856C81" w14:textId="77777777" w:rsidR="0078708B" w:rsidRPr="00C77556" w:rsidRDefault="00A82FD4">
            <w:pPr>
              <w:tabs>
                <w:tab w:val="left" w:pos="426"/>
              </w:tabs>
              <w:spacing w:before="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lastRenderedPageBreak/>
              <w:t xml:space="preserve">No manifestó inconformidad </w:t>
            </w:r>
          </w:p>
          <w:p w14:paraId="16A05234" w14:textId="77777777" w:rsidR="0078708B" w:rsidRPr="00C77556" w:rsidRDefault="00A82FD4">
            <w:pPr>
              <w:tabs>
                <w:tab w:val="left" w:pos="426"/>
              </w:tabs>
              <w:spacing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(Actos Consentidos)</w:t>
            </w:r>
          </w:p>
        </w:tc>
        <w:tc>
          <w:tcPr>
            <w:tcW w:w="1060" w:type="dxa"/>
            <w:vAlign w:val="center"/>
          </w:tcPr>
          <w:p w14:paraId="1F7E575B" w14:textId="77777777" w:rsidR="0078708B" w:rsidRPr="00C77556" w:rsidRDefault="00A82FD4">
            <w:pPr>
              <w:tabs>
                <w:tab w:val="left" w:pos="426"/>
              </w:tabs>
              <w:spacing w:before="240" w:after="240"/>
              <w:jc w:val="center"/>
              <w:rPr>
                <w:rFonts w:ascii="Palatino Linotype" w:eastAsia="Palatino Linotype" w:hAnsi="Palatino Linotype" w:cs="Palatino Linotype"/>
                <w:b/>
                <w:sz w:val="18"/>
                <w:szCs w:val="18"/>
              </w:rPr>
            </w:pPr>
            <w:r w:rsidRPr="00C77556">
              <w:rPr>
                <w:rFonts w:ascii="Palatino Linotype" w:eastAsia="Palatino Linotype" w:hAnsi="Palatino Linotype" w:cs="Palatino Linotype"/>
                <w:b/>
                <w:sz w:val="18"/>
                <w:szCs w:val="18"/>
              </w:rPr>
              <w:t>Sí</w:t>
            </w:r>
          </w:p>
        </w:tc>
      </w:tr>
      <w:tr w:rsidR="00C77556" w:rsidRPr="00C77556" w14:paraId="48E037BD" w14:textId="77777777">
        <w:tc>
          <w:tcPr>
            <w:tcW w:w="2024" w:type="dxa"/>
          </w:tcPr>
          <w:p w14:paraId="468D7ED0" w14:textId="77777777" w:rsidR="0078708B" w:rsidRPr="00C77556" w:rsidRDefault="00A82FD4">
            <w:pPr>
              <w:tabs>
                <w:tab w:val="left" w:pos="7513"/>
              </w:tabs>
              <w:spacing w:before="240" w:after="240"/>
              <w:ind w:right="49"/>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lastRenderedPageBreak/>
              <w:t xml:space="preserve">8. ¿A cuánto asciende el presupuesto otorgado para cubrir dicho seguro? </w:t>
            </w:r>
          </w:p>
        </w:tc>
        <w:tc>
          <w:tcPr>
            <w:tcW w:w="4368" w:type="dxa"/>
          </w:tcPr>
          <w:p w14:paraId="3D46BDFD" w14:textId="77777777" w:rsidR="0078708B" w:rsidRPr="00C77556" w:rsidRDefault="00A82FD4">
            <w:pPr>
              <w:tabs>
                <w:tab w:val="left" w:pos="426"/>
              </w:tabs>
              <w:spacing w:before="240"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t xml:space="preserve">“..de acuerdo a la información registrada en el Sistema Financiero con el que cuenta esta unidad administrativa para el ejercicio 2022, la autorización anual asciende a $121,987,800.00 (Ciento veintiún millones novecientos ochenta y siete mil ochocientos pesos 00/100). </w:t>
            </w:r>
          </w:p>
        </w:tc>
        <w:tc>
          <w:tcPr>
            <w:tcW w:w="1474" w:type="dxa"/>
            <w:vAlign w:val="center"/>
          </w:tcPr>
          <w:p w14:paraId="5DF3773D" w14:textId="77777777" w:rsidR="0078708B" w:rsidRPr="00C77556" w:rsidRDefault="00A82FD4">
            <w:pPr>
              <w:tabs>
                <w:tab w:val="left" w:pos="426"/>
              </w:tabs>
              <w:spacing w:before="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No manifestó inconformidad </w:t>
            </w:r>
          </w:p>
          <w:p w14:paraId="60324151" w14:textId="77777777" w:rsidR="0078708B" w:rsidRPr="00C77556" w:rsidRDefault="00A82FD4">
            <w:pPr>
              <w:tabs>
                <w:tab w:val="left" w:pos="426"/>
              </w:tabs>
              <w:spacing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(Actos Consentidos)</w:t>
            </w:r>
          </w:p>
        </w:tc>
        <w:tc>
          <w:tcPr>
            <w:tcW w:w="1060" w:type="dxa"/>
            <w:vAlign w:val="center"/>
          </w:tcPr>
          <w:p w14:paraId="03009852" w14:textId="77777777" w:rsidR="0078708B" w:rsidRPr="00C77556" w:rsidRDefault="00A82FD4">
            <w:pPr>
              <w:tabs>
                <w:tab w:val="left" w:pos="426"/>
              </w:tabs>
              <w:spacing w:before="240" w:after="240"/>
              <w:jc w:val="center"/>
              <w:rPr>
                <w:rFonts w:ascii="Palatino Linotype" w:eastAsia="Palatino Linotype" w:hAnsi="Palatino Linotype" w:cs="Palatino Linotype"/>
                <w:b/>
                <w:sz w:val="18"/>
                <w:szCs w:val="18"/>
              </w:rPr>
            </w:pPr>
            <w:r w:rsidRPr="00C77556">
              <w:rPr>
                <w:rFonts w:ascii="Palatino Linotype" w:eastAsia="Palatino Linotype" w:hAnsi="Palatino Linotype" w:cs="Palatino Linotype"/>
                <w:b/>
                <w:sz w:val="18"/>
                <w:szCs w:val="18"/>
              </w:rPr>
              <w:t>Sí</w:t>
            </w:r>
          </w:p>
        </w:tc>
      </w:tr>
      <w:tr w:rsidR="00C77556" w:rsidRPr="00C77556" w14:paraId="3DF60332" w14:textId="77777777">
        <w:tc>
          <w:tcPr>
            <w:tcW w:w="2024" w:type="dxa"/>
          </w:tcPr>
          <w:p w14:paraId="5CC71F1C" w14:textId="77777777" w:rsidR="0078708B" w:rsidRPr="00C77556" w:rsidRDefault="00A82FD4">
            <w:pPr>
              <w:tabs>
                <w:tab w:val="left" w:pos="7513"/>
              </w:tabs>
              <w:spacing w:before="240" w:after="240"/>
              <w:ind w:right="49"/>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9. A partir de enero a diciembre 2021 ¿Cuantos tramites de seguro por fallecimiento han ingresado al ISSEMYM?</w:t>
            </w:r>
          </w:p>
        </w:tc>
        <w:tc>
          <w:tcPr>
            <w:tcW w:w="4368" w:type="dxa"/>
          </w:tcPr>
          <w:p w14:paraId="5E0150A8" w14:textId="77777777" w:rsidR="0078708B" w:rsidRPr="00C77556" w:rsidRDefault="00A82FD4">
            <w:pPr>
              <w:tabs>
                <w:tab w:val="left" w:pos="426"/>
              </w:tabs>
              <w:spacing w:before="240"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sz w:val="18"/>
                <w:szCs w:val="18"/>
              </w:rPr>
              <w:t>“…</w:t>
            </w:r>
            <w:r w:rsidRPr="00C77556">
              <w:rPr>
                <w:rFonts w:ascii="Palatino Linotype" w:eastAsia="Palatino Linotype" w:hAnsi="Palatino Linotype" w:cs="Palatino Linotype"/>
                <w:i/>
                <w:sz w:val="18"/>
                <w:szCs w:val="18"/>
              </w:rPr>
              <w:t xml:space="preserve">se recibieron </w:t>
            </w:r>
            <w:r w:rsidRPr="00C77556">
              <w:rPr>
                <w:rFonts w:ascii="Palatino Linotype" w:eastAsia="Palatino Linotype" w:hAnsi="Palatino Linotype" w:cs="Palatino Linotype"/>
                <w:b/>
                <w:i/>
                <w:sz w:val="18"/>
                <w:szCs w:val="18"/>
              </w:rPr>
              <w:t>3,753</w:t>
            </w:r>
            <w:r w:rsidRPr="00C77556">
              <w:rPr>
                <w:rFonts w:ascii="Palatino Linotype" w:eastAsia="Palatino Linotype" w:hAnsi="Palatino Linotype" w:cs="Palatino Linotype"/>
                <w:i/>
                <w:sz w:val="18"/>
                <w:szCs w:val="18"/>
              </w:rPr>
              <w:t xml:space="preserve"> tramites de seguro por fallecimiento” </w:t>
            </w:r>
          </w:p>
        </w:tc>
        <w:tc>
          <w:tcPr>
            <w:tcW w:w="1474" w:type="dxa"/>
            <w:vAlign w:val="center"/>
          </w:tcPr>
          <w:p w14:paraId="738034EA" w14:textId="77777777" w:rsidR="0078708B" w:rsidRPr="00C77556" w:rsidRDefault="00A82FD4">
            <w:pPr>
              <w:tabs>
                <w:tab w:val="left" w:pos="426"/>
              </w:tabs>
              <w:spacing w:before="240"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t>“Se da una respuesta relacionada a qué han recibido 3753, atendido 2666 y al final mencionan que están pendientes por atender 3077. La segunda y última cantidad no cuadra con la primera respuesta proporcionada.”</w:t>
            </w:r>
          </w:p>
        </w:tc>
        <w:tc>
          <w:tcPr>
            <w:tcW w:w="1060" w:type="dxa"/>
            <w:vAlign w:val="center"/>
          </w:tcPr>
          <w:p w14:paraId="187AE6D4" w14:textId="77777777" w:rsidR="0078708B" w:rsidRPr="00C77556" w:rsidRDefault="00A82FD4">
            <w:pPr>
              <w:tabs>
                <w:tab w:val="left" w:pos="426"/>
              </w:tabs>
              <w:spacing w:before="240" w:after="240"/>
              <w:jc w:val="center"/>
              <w:rPr>
                <w:rFonts w:ascii="Palatino Linotype" w:eastAsia="Palatino Linotype" w:hAnsi="Palatino Linotype" w:cs="Palatino Linotype"/>
                <w:b/>
                <w:sz w:val="18"/>
                <w:szCs w:val="18"/>
              </w:rPr>
            </w:pPr>
            <w:r w:rsidRPr="00C77556">
              <w:rPr>
                <w:rFonts w:ascii="Palatino Linotype" w:eastAsia="Palatino Linotype" w:hAnsi="Palatino Linotype" w:cs="Palatino Linotype"/>
                <w:b/>
                <w:sz w:val="18"/>
                <w:szCs w:val="18"/>
              </w:rPr>
              <w:t>Sí</w:t>
            </w:r>
          </w:p>
        </w:tc>
      </w:tr>
      <w:tr w:rsidR="00C77556" w:rsidRPr="00C77556" w14:paraId="4FB728E3" w14:textId="77777777">
        <w:tc>
          <w:tcPr>
            <w:tcW w:w="2024" w:type="dxa"/>
          </w:tcPr>
          <w:p w14:paraId="21E56723" w14:textId="77777777" w:rsidR="0078708B" w:rsidRPr="00C77556" w:rsidRDefault="00A82FD4">
            <w:pPr>
              <w:tabs>
                <w:tab w:val="left" w:pos="7513"/>
              </w:tabs>
              <w:spacing w:before="240" w:after="240"/>
              <w:ind w:right="49"/>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10 ¿Cuántos pagos de seguro por fallecimiento se han otorgado?, y del último pago efectuado, ¿en qué mes hizo el trámite la persona solicitante?</w:t>
            </w:r>
          </w:p>
        </w:tc>
        <w:tc>
          <w:tcPr>
            <w:tcW w:w="4368" w:type="dxa"/>
          </w:tcPr>
          <w:p w14:paraId="78B2789C" w14:textId="77777777" w:rsidR="0078708B" w:rsidRPr="00C77556" w:rsidRDefault="0078708B">
            <w:pPr>
              <w:tabs>
                <w:tab w:val="left" w:pos="426"/>
              </w:tabs>
              <w:spacing w:before="240"/>
              <w:jc w:val="both"/>
              <w:rPr>
                <w:rFonts w:ascii="Palatino Linotype" w:eastAsia="Palatino Linotype" w:hAnsi="Palatino Linotype" w:cs="Palatino Linotype"/>
                <w:i/>
                <w:sz w:val="18"/>
                <w:szCs w:val="18"/>
              </w:rPr>
            </w:pPr>
          </w:p>
          <w:p w14:paraId="71CA0323" w14:textId="77777777" w:rsidR="0078708B" w:rsidRPr="00C77556" w:rsidRDefault="00A82FD4">
            <w:pPr>
              <w:tabs>
                <w:tab w:val="left" w:pos="426"/>
              </w:tabs>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t xml:space="preserve">“…se han atendido 2,666 trámites de seguro por fallecimiento.” </w:t>
            </w:r>
          </w:p>
          <w:p w14:paraId="6DE74954" w14:textId="77777777" w:rsidR="0078708B" w:rsidRPr="00C77556" w:rsidRDefault="00A82FD4">
            <w:pPr>
              <w:tabs>
                <w:tab w:val="left" w:pos="426"/>
              </w:tabs>
              <w:spacing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t xml:space="preserve">“…los últimos pagos efectuados corresponden a trámites efectuados en el mes de agosto del año 2021” </w:t>
            </w:r>
          </w:p>
        </w:tc>
        <w:tc>
          <w:tcPr>
            <w:tcW w:w="1474" w:type="dxa"/>
          </w:tcPr>
          <w:p w14:paraId="5CF4FFD8" w14:textId="77777777" w:rsidR="0078708B" w:rsidRPr="00C77556" w:rsidRDefault="00A82FD4">
            <w:pPr>
              <w:tabs>
                <w:tab w:val="left" w:pos="426"/>
              </w:tabs>
              <w:spacing w:before="240"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i/>
                <w:sz w:val="18"/>
                <w:szCs w:val="18"/>
              </w:rPr>
              <w:t>“Se da una respuesta relacionada a qué han recibido 3753, atendido 2666 y al final mencionan que están pendientes por atender 3077. La segunda y última cantidad no cuadra con la primera respuesta proporcionada.”</w:t>
            </w:r>
          </w:p>
        </w:tc>
        <w:tc>
          <w:tcPr>
            <w:tcW w:w="1060" w:type="dxa"/>
            <w:vAlign w:val="center"/>
          </w:tcPr>
          <w:p w14:paraId="3E07E3B3" w14:textId="77777777" w:rsidR="0078708B" w:rsidRPr="00C77556" w:rsidRDefault="00A82FD4">
            <w:pPr>
              <w:tabs>
                <w:tab w:val="left" w:pos="426"/>
              </w:tabs>
              <w:spacing w:before="240" w:after="240"/>
              <w:jc w:val="center"/>
              <w:rPr>
                <w:rFonts w:ascii="Palatino Linotype" w:eastAsia="Palatino Linotype" w:hAnsi="Palatino Linotype" w:cs="Palatino Linotype"/>
                <w:b/>
                <w:sz w:val="18"/>
                <w:szCs w:val="18"/>
              </w:rPr>
            </w:pPr>
            <w:r w:rsidRPr="00C77556">
              <w:rPr>
                <w:rFonts w:ascii="Palatino Linotype" w:eastAsia="Palatino Linotype" w:hAnsi="Palatino Linotype" w:cs="Palatino Linotype"/>
                <w:b/>
                <w:sz w:val="18"/>
                <w:szCs w:val="18"/>
              </w:rPr>
              <w:t>Sí</w:t>
            </w:r>
          </w:p>
        </w:tc>
      </w:tr>
      <w:tr w:rsidR="00C77556" w:rsidRPr="00C77556" w14:paraId="029E3347" w14:textId="77777777">
        <w:tc>
          <w:tcPr>
            <w:tcW w:w="2024" w:type="dxa"/>
          </w:tcPr>
          <w:p w14:paraId="40A864A8" w14:textId="77777777" w:rsidR="0078708B" w:rsidRPr="00C77556" w:rsidRDefault="00A82FD4">
            <w:pPr>
              <w:tabs>
                <w:tab w:val="left" w:pos="7513"/>
              </w:tabs>
              <w:spacing w:before="240" w:after="240"/>
              <w:ind w:right="49"/>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lastRenderedPageBreak/>
              <w:t>11. ¿Qué es el pago de marcha que otorga el ISSEMYM?</w:t>
            </w:r>
          </w:p>
        </w:tc>
        <w:tc>
          <w:tcPr>
            <w:tcW w:w="4368" w:type="dxa"/>
          </w:tcPr>
          <w:p w14:paraId="172A52DB" w14:textId="77777777" w:rsidR="0078708B" w:rsidRPr="00C77556" w:rsidRDefault="00A82FD4">
            <w:pPr>
              <w:tabs>
                <w:tab w:val="left" w:pos="426"/>
              </w:tabs>
              <w:spacing w:before="240"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t>“…corresponde al seguro por fallecimiento establecido en el artículo 132 de la vigente Ley de Seguridad Social para los servidores Públicos del estado de México y Municipios.”</w:t>
            </w:r>
          </w:p>
        </w:tc>
        <w:tc>
          <w:tcPr>
            <w:tcW w:w="1474" w:type="dxa"/>
            <w:vAlign w:val="center"/>
          </w:tcPr>
          <w:p w14:paraId="4DB95C85" w14:textId="77777777" w:rsidR="0078708B" w:rsidRPr="00C77556" w:rsidRDefault="00A82FD4">
            <w:pPr>
              <w:tabs>
                <w:tab w:val="left" w:pos="426"/>
              </w:tabs>
              <w:spacing w:before="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No manifestó inconformidad </w:t>
            </w:r>
          </w:p>
          <w:p w14:paraId="5B1F46A9" w14:textId="77777777" w:rsidR="0078708B" w:rsidRPr="00C77556" w:rsidRDefault="00A82FD4">
            <w:pPr>
              <w:tabs>
                <w:tab w:val="left" w:pos="426"/>
              </w:tabs>
              <w:spacing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(Actos Consentidos)</w:t>
            </w:r>
          </w:p>
        </w:tc>
        <w:tc>
          <w:tcPr>
            <w:tcW w:w="1060" w:type="dxa"/>
            <w:vAlign w:val="center"/>
          </w:tcPr>
          <w:p w14:paraId="59E6B442" w14:textId="77777777" w:rsidR="0078708B" w:rsidRPr="00C77556" w:rsidRDefault="00A82FD4">
            <w:pPr>
              <w:tabs>
                <w:tab w:val="left" w:pos="426"/>
              </w:tabs>
              <w:spacing w:before="240" w:after="240"/>
              <w:jc w:val="center"/>
              <w:rPr>
                <w:rFonts w:ascii="Palatino Linotype" w:eastAsia="Palatino Linotype" w:hAnsi="Palatino Linotype" w:cs="Palatino Linotype"/>
                <w:b/>
                <w:sz w:val="18"/>
                <w:szCs w:val="18"/>
              </w:rPr>
            </w:pPr>
            <w:r w:rsidRPr="00C77556">
              <w:rPr>
                <w:rFonts w:ascii="Palatino Linotype" w:eastAsia="Palatino Linotype" w:hAnsi="Palatino Linotype" w:cs="Palatino Linotype"/>
                <w:b/>
                <w:sz w:val="18"/>
                <w:szCs w:val="18"/>
              </w:rPr>
              <w:t>Sí</w:t>
            </w:r>
          </w:p>
        </w:tc>
      </w:tr>
      <w:tr w:rsidR="00C77556" w:rsidRPr="00C77556" w14:paraId="06F6462A" w14:textId="77777777">
        <w:tc>
          <w:tcPr>
            <w:tcW w:w="2024" w:type="dxa"/>
          </w:tcPr>
          <w:p w14:paraId="0A21E278" w14:textId="77777777" w:rsidR="0078708B" w:rsidRPr="00C77556" w:rsidRDefault="00A82FD4">
            <w:pPr>
              <w:tabs>
                <w:tab w:val="left" w:pos="7513"/>
              </w:tabs>
              <w:spacing w:before="240" w:after="240"/>
              <w:ind w:right="49"/>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12. ¿De cuánto es la deuda que tiene el ISSEMYM relativo al pago de seguros por fallecimiento?</w:t>
            </w:r>
          </w:p>
        </w:tc>
        <w:tc>
          <w:tcPr>
            <w:tcW w:w="4368" w:type="dxa"/>
          </w:tcPr>
          <w:p w14:paraId="50F9C77F" w14:textId="77777777" w:rsidR="0078708B" w:rsidRPr="00C77556" w:rsidRDefault="00A82FD4">
            <w:pPr>
              <w:tabs>
                <w:tab w:val="left" w:pos="426"/>
              </w:tabs>
              <w:spacing w:before="240"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sz w:val="18"/>
                <w:szCs w:val="18"/>
              </w:rPr>
              <w:t>“…</w:t>
            </w:r>
            <w:r w:rsidRPr="00C77556">
              <w:rPr>
                <w:rFonts w:ascii="Palatino Linotype" w:eastAsia="Palatino Linotype" w:hAnsi="Palatino Linotype" w:cs="Palatino Linotype"/>
                <w:i/>
                <w:sz w:val="18"/>
                <w:szCs w:val="18"/>
              </w:rPr>
              <w:t xml:space="preserve">Al respecto se informa que no se cuenta con un monto estimado, no obstante, lo anterior se informa que al 30 de septiembre  se tiene cuantificados 3,077 trámites de seguro por fallecimiento pendientes por atender. </w:t>
            </w:r>
          </w:p>
        </w:tc>
        <w:tc>
          <w:tcPr>
            <w:tcW w:w="1474" w:type="dxa"/>
            <w:vAlign w:val="center"/>
          </w:tcPr>
          <w:p w14:paraId="196742EC" w14:textId="77777777" w:rsidR="0078708B" w:rsidRPr="00C77556" w:rsidRDefault="00A82FD4">
            <w:pPr>
              <w:tabs>
                <w:tab w:val="left" w:pos="426"/>
              </w:tabs>
              <w:spacing w:before="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 xml:space="preserve">No manifestó inconformidad </w:t>
            </w:r>
          </w:p>
          <w:p w14:paraId="297F2297" w14:textId="77777777" w:rsidR="0078708B" w:rsidRPr="00C77556" w:rsidRDefault="00A82FD4">
            <w:pPr>
              <w:tabs>
                <w:tab w:val="left" w:pos="426"/>
              </w:tabs>
              <w:spacing w:after="240"/>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(Actos Consentidos)</w:t>
            </w:r>
          </w:p>
        </w:tc>
        <w:tc>
          <w:tcPr>
            <w:tcW w:w="1060" w:type="dxa"/>
            <w:vAlign w:val="center"/>
          </w:tcPr>
          <w:p w14:paraId="0D5EBFF1" w14:textId="77777777" w:rsidR="0078708B" w:rsidRPr="00C77556" w:rsidRDefault="00A82FD4">
            <w:pPr>
              <w:tabs>
                <w:tab w:val="left" w:pos="426"/>
              </w:tabs>
              <w:spacing w:before="240" w:after="240"/>
              <w:jc w:val="center"/>
              <w:rPr>
                <w:rFonts w:ascii="Palatino Linotype" w:eastAsia="Palatino Linotype" w:hAnsi="Palatino Linotype" w:cs="Palatino Linotype"/>
                <w:b/>
                <w:sz w:val="18"/>
                <w:szCs w:val="18"/>
              </w:rPr>
            </w:pPr>
            <w:r w:rsidRPr="00C77556">
              <w:rPr>
                <w:rFonts w:ascii="Palatino Linotype" w:eastAsia="Palatino Linotype" w:hAnsi="Palatino Linotype" w:cs="Palatino Linotype"/>
                <w:b/>
                <w:sz w:val="18"/>
                <w:szCs w:val="18"/>
              </w:rPr>
              <w:t xml:space="preserve">Sí </w:t>
            </w:r>
          </w:p>
        </w:tc>
      </w:tr>
      <w:tr w:rsidR="0078708B" w:rsidRPr="00C77556" w14:paraId="31EC82D8" w14:textId="77777777">
        <w:tc>
          <w:tcPr>
            <w:tcW w:w="2024" w:type="dxa"/>
          </w:tcPr>
          <w:p w14:paraId="30EE62EB" w14:textId="77777777" w:rsidR="0078708B" w:rsidRPr="00C77556" w:rsidRDefault="00A82FD4">
            <w:pPr>
              <w:tabs>
                <w:tab w:val="left" w:pos="7513"/>
              </w:tabs>
              <w:spacing w:before="240" w:after="240"/>
              <w:ind w:right="49"/>
              <w:jc w:val="both"/>
              <w:rPr>
                <w:rFonts w:ascii="Palatino Linotype" w:eastAsia="Palatino Linotype" w:hAnsi="Palatino Linotype" w:cs="Palatino Linotype"/>
                <w:sz w:val="18"/>
                <w:szCs w:val="18"/>
              </w:rPr>
            </w:pPr>
            <w:r w:rsidRPr="00C77556">
              <w:rPr>
                <w:rFonts w:ascii="Palatino Linotype" w:eastAsia="Palatino Linotype" w:hAnsi="Palatino Linotype" w:cs="Palatino Linotype"/>
                <w:sz w:val="18"/>
                <w:szCs w:val="18"/>
              </w:rPr>
              <w:t>13. Después de llamar infinidad de veces y estar dando respuestas de llame en 20 días después llame en dos o tres meses y que como respuesta digan que el trámite está en proceso de pago ¿Cuánto tiempo tardan el liberar dicho pago?</w:t>
            </w:r>
          </w:p>
        </w:tc>
        <w:tc>
          <w:tcPr>
            <w:tcW w:w="4368" w:type="dxa"/>
          </w:tcPr>
          <w:p w14:paraId="4455AAE9" w14:textId="77777777" w:rsidR="0078708B" w:rsidRPr="00C77556" w:rsidRDefault="00A82FD4">
            <w:pPr>
              <w:tabs>
                <w:tab w:val="left" w:pos="426"/>
              </w:tabs>
              <w:spacing w:before="240"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sz w:val="18"/>
                <w:szCs w:val="18"/>
              </w:rPr>
              <w:t>“…</w:t>
            </w:r>
            <w:r w:rsidRPr="00C77556">
              <w:rPr>
                <w:rFonts w:ascii="Palatino Linotype" w:eastAsia="Palatino Linotype" w:hAnsi="Palatino Linotype" w:cs="Palatino Linotype"/>
                <w:i/>
                <w:sz w:val="18"/>
                <w:szCs w:val="18"/>
              </w:rPr>
              <w:t xml:space="preserve">Tal y como se ha citado en los puntos que anteceden, actualmente todos los trámites de seguro por fallecimiento son atendidos conforme al orden de prelación y de acuerdo con el presupuesto asignado para cada emisión, motivo por el cual para el año en curso, el tiempo de respuesta oscila entre 10 y 12 meses a partir de que el trámite se encuentre en la Sección de Seguros por Fallecimiento del Departamento de Pensiones por lo que no es viable proporcionar un fecha aproximada o definitiva de pago.” </w:t>
            </w:r>
          </w:p>
        </w:tc>
        <w:tc>
          <w:tcPr>
            <w:tcW w:w="1474" w:type="dxa"/>
          </w:tcPr>
          <w:p w14:paraId="258A88CF" w14:textId="77777777" w:rsidR="0078708B" w:rsidRPr="00C77556" w:rsidRDefault="00A82FD4">
            <w:pPr>
              <w:tabs>
                <w:tab w:val="left" w:pos="426"/>
              </w:tabs>
              <w:spacing w:before="240" w:after="240"/>
              <w:jc w:val="both"/>
              <w:rPr>
                <w:rFonts w:ascii="Palatino Linotype" w:eastAsia="Palatino Linotype" w:hAnsi="Palatino Linotype" w:cs="Palatino Linotype"/>
                <w:i/>
                <w:sz w:val="18"/>
                <w:szCs w:val="18"/>
              </w:rPr>
            </w:pPr>
            <w:r w:rsidRPr="00C77556">
              <w:rPr>
                <w:rFonts w:ascii="Palatino Linotype" w:eastAsia="Palatino Linotype" w:hAnsi="Palatino Linotype" w:cs="Palatino Linotype"/>
                <w:i/>
                <w:sz w:val="18"/>
                <w:szCs w:val="18"/>
              </w:rPr>
              <w:t>“..mi trámite lo inicie en octubre y dice que su respuesta oscila entre los 10 y 12 meses y mi trámite para ser exactos lleva 1 año 5 días, ahora bien, responden que han cubierto hasta el mes de agosto, la pregunta es, hasta que mes se entregará septiembre y octubre, siendo que ya estamos a finales de año y comienzan vacaciones. Abra presupuesto</w:t>
            </w:r>
            <w:proofErr w:type="gramStart"/>
            <w:r w:rsidRPr="00C77556">
              <w:rPr>
                <w:rFonts w:ascii="Palatino Linotype" w:eastAsia="Palatino Linotype" w:hAnsi="Palatino Linotype" w:cs="Palatino Linotype"/>
                <w:i/>
                <w:sz w:val="18"/>
                <w:szCs w:val="18"/>
              </w:rPr>
              <w:t>?</w:t>
            </w:r>
            <w:proofErr w:type="gramEnd"/>
            <w:r w:rsidRPr="00C77556">
              <w:rPr>
                <w:rFonts w:ascii="Palatino Linotype" w:eastAsia="Palatino Linotype" w:hAnsi="Palatino Linotype" w:cs="Palatino Linotype"/>
                <w:i/>
                <w:sz w:val="18"/>
                <w:szCs w:val="18"/>
              </w:rPr>
              <w:t xml:space="preserve"> Saldrán en este año,” (Sic)</w:t>
            </w:r>
          </w:p>
        </w:tc>
        <w:tc>
          <w:tcPr>
            <w:tcW w:w="1060" w:type="dxa"/>
            <w:vAlign w:val="center"/>
          </w:tcPr>
          <w:p w14:paraId="4EAF30B6" w14:textId="77777777" w:rsidR="0078708B" w:rsidRPr="00C77556" w:rsidRDefault="00A82FD4">
            <w:pPr>
              <w:tabs>
                <w:tab w:val="left" w:pos="426"/>
              </w:tabs>
              <w:spacing w:before="240" w:after="240"/>
              <w:jc w:val="center"/>
              <w:rPr>
                <w:rFonts w:ascii="Palatino Linotype" w:eastAsia="Palatino Linotype" w:hAnsi="Palatino Linotype" w:cs="Palatino Linotype"/>
                <w:b/>
                <w:sz w:val="18"/>
                <w:szCs w:val="18"/>
              </w:rPr>
            </w:pPr>
            <w:r w:rsidRPr="00C77556">
              <w:rPr>
                <w:rFonts w:ascii="Palatino Linotype" w:eastAsia="Palatino Linotype" w:hAnsi="Palatino Linotype" w:cs="Palatino Linotype"/>
                <w:b/>
                <w:sz w:val="18"/>
                <w:szCs w:val="18"/>
              </w:rPr>
              <w:t>Sí</w:t>
            </w:r>
          </w:p>
        </w:tc>
      </w:tr>
    </w:tbl>
    <w:p w14:paraId="5964724E" w14:textId="77777777" w:rsidR="0078708B" w:rsidRPr="00C77556" w:rsidRDefault="0078708B">
      <w:pPr>
        <w:spacing w:before="240" w:after="240" w:line="360" w:lineRule="auto"/>
        <w:jc w:val="both"/>
        <w:rPr>
          <w:rFonts w:ascii="Palatino Linotype" w:eastAsia="Palatino Linotype" w:hAnsi="Palatino Linotype" w:cs="Palatino Linotype"/>
        </w:rPr>
      </w:pPr>
    </w:p>
    <w:p w14:paraId="7D82125E" w14:textId="77777777" w:rsidR="0078708B" w:rsidRPr="00C77556" w:rsidRDefault="00A82FD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lastRenderedPageBreak/>
        <w:t xml:space="preserve">Acotado lo anterior, es necesario precisar que a pesar de que los requerimientos se realizaron a manera de cuestionamiento, también lo es que, el </w:t>
      </w:r>
      <w:r w:rsidRPr="00C77556">
        <w:rPr>
          <w:rFonts w:ascii="Palatino Linotype" w:eastAsia="Palatino Linotype" w:hAnsi="Palatino Linotype" w:cs="Palatino Linotype"/>
          <w:b/>
        </w:rPr>
        <w:t xml:space="preserve">Sujeto Obligado </w:t>
      </w:r>
      <w:r w:rsidRPr="00C77556">
        <w:rPr>
          <w:rFonts w:ascii="Palatino Linotype" w:eastAsia="Palatino Linotype" w:hAnsi="Palatino Linotype" w:cs="Palatino Linotype"/>
        </w:rPr>
        <w:t>con el objeto de garantizar el derecho de acceso a la información del particular y en el ejercicio de máxima publicidad respondió a los requerimientos planteados en los términos previamente precisados y en ese tenor es importante invocar el contenido de los artículos 162, 163, 164 y 165 de la Ley de Transparencia y Acceso a la Información Pública del Estado de México y Municipios, que rezan así:</w:t>
      </w:r>
    </w:p>
    <w:p w14:paraId="02079FE8" w14:textId="77777777" w:rsidR="0078708B" w:rsidRPr="00C77556" w:rsidRDefault="0078708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798E2F37" w14:textId="77777777" w:rsidR="0078708B" w:rsidRPr="00C77556" w:rsidRDefault="00A82FD4">
      <w:pPr>
        <w:spacing w:after="120" w:line="276" w:lineRule="auto"/>
        <w:ind w:left="851" w:right="900"/>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b/>
          <w:i/>
          <w:sz w:val="22"/>
          <w:szCs w:val="22"/>
        </w:rPr>
        <w:t>“Artículo 162.</w:t>
      </w:r>
      <w:r w:rsidRPr="00C77556">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5EB64A11" w14:textId="77777777" w:rsidR="0078708B" w:rsidRPr="00C77556" w:rsidRDefault="00A82FD4">
      <w:pPr>
        <w:spacing w:after="120" w:line="276" w:lineRule="auto"/>
        <w:ind w:left="851" w:right="900"/>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b/>
          <w:i/>
          <w:sz w:val="22"/>
          <w:szCs w:val="22"/>
        </w:rPr>
        <w:t>Artículo 163.</w:t>
      </w:r>
      <w:r w:rsidRPr="00C77556">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12444D1D" w14:textId="77777777" w:rsidR="0078708B" w:rsidRPr="00C77556" w:rsidRDefault="00A82FD4">
      <w:pPr>
        <w:spacing w:after="120" w:line="276" w:lineRule="auto"/>
        <w:ind w:left="851" w:right="900"/>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614F0A54" w14:textId="77777777" w:rsidR="0078708B" w:rsidRPr="00C77556" w:rsidRDefault="00A82FD4">
      <w:pPr>
        <w:spacing w:after="120" w:line="276" w:lineRule="auto"/>
        <w:ind w:left="851" w:right="900"/>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b/>
          <w:i/>
          <w:sz w:val="22"/>
          <w:szCs w:val="22"/>
        </w:rPr>
        <w:t>Artículo 164.</w:t>
      </w:r>
      <w:r w:rsidRPr="00C77556">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304C2C95" w14:textId="77777777" w:rsidR="0078708B" w:rsidRPr="00C77556" w:rsidRDefault="00A82FD4">
      <w:pPr>
        <w:spacing w:after="120" w:line="276" w:lineRule="auto"/>
        <w:ind w:left="851" w:right="900"/>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lastRenderedPageBreak/>
        <w:t xml:space="preserve">En cualquier caso, se deberá fundar y motivar la necesidad de ofrecer otras modalidades.  </w:t>
      </w:r>
    </w:p>
    <w:p w14:paraId="75571177" w14:textId="77777777" w:rsidR="0078708B" w:rsidRPr="00C77556" w:rsidRDefault="00A82FD4">
      <w:pPr>
        <w:spacing w:after="120" w:line="276" w:lineRule="auto"/>
        <w:ind w:left="851" w:right="900"/>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b/>
          <w:i/>
          <w:sz w:val="22"/>
          <w:szCs w:val="22"/>
        </w:rPr>
        <w:t>Artículo 165.</w:t>
      </w:r>
      <w:r w:rsidRPr="00C77556">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2845EB0F" w14:textId="77777777" w:rsidR="0078708B" w:rsidRPr="00C77556" w:rsidRDefault="00A82FD4">
      <w:pPr>
        <w:spacing w:before="240" w:after="240"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1D57566C" w14:textId="77777777" w:rsidR="0078708B" w:rsidRPr="00C77556" w:rsidRDefault="00A82FD4">
      <w:pPr>
        <w:spacing w:before="240" w:after="240"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t>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14:paraId="3A9B3B03"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En el caso concreto, la Titular de la Unidad de Transparencia, turnó la solicitud de información al Servidor Público Habilitado de la Coordinación de Prestaciones que de conformidad con lo dispuesto en el artículo 17 del Reglamento Interior del Instituto de Seguridad Social del Estado de México y Municipios cuenta con las siguientes atribuciones. </w:t>
      </w:r>
    </w:p>
    <w:p w14:paraId="7033AA65"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b/>
          <w:i/>
          <w:sz w:val="22"/>
          <w:szCs w:val="22"/>
        </w:rPr>
        <w:t>“Artículo 17.-</w:t>
      </w:r>
      <w:r w:rsidRPr="00C77556">
        <w:rPr>
          <w:rFonts w:ascii="Palatino Linotype" w:eastAsia="Palatino Linotype" w:hAnsi="Palatino Linotype" w:cs="Palatino Linotype"/>
          <w:i/>
          <w:sz w:val="22"/>
          <w:szCs w:val="22"/>
        </w:rPr>
        <w:t xml:space="preserve"> Corresponden a la Coordinación de Prestaciones y Seguridad Social las atribuciones siguientes: </w:t>
      </w:r>
    </w:p>
    <w:p w14:paraId="091CC966"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I. Establecer lineamientos y mecanismos que garanticen a los derechohabientes su acceso a las prestaciones establecidas en la Ley y vigilar que se otorguen en términos de la normatividad aplicable. </w:t>
      </w:r>
    </w:p>
    <w:p w14:paraId="30670654"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lastRenderedPageBreak/>
        <w:t>II. Promover que el régimen de seguridad social cuente con datos de la vigencia de derechos de los servidores públicos y sus dependientes económicos afiliados, así como del pensionado o pensionista.</w:t>
      </w:r>
    </w:p>
    <w:p w14:paraId="7B6A87CC"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III. Elaborar conjuntamente con la Coordinación de Servicios de Salud, el proyecto de aportaciones por concepto de riesgo de trabajo. </w:t>
      </w:r>
    </w:p>
    <w:p w14:paraId="40E8A1A8"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IV. Elaborar el proyecto de cuotas y aportaciones por concepto de las prestaciones señaladas en el Título Cuarto de la Ley y someterlo a la consideración del Director General. </w:t>
      </w:r>
    </w:p>
    <w:p w14:paraId="378E904F"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V. Presentar al Director General el proyecto de incremento anual de montos de pensiones, de conformidad con lo establecido por la Ley. </w:t>
      </w:r>
    </w:p>
    <w:p w14:paraId="7342FE36"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VI. Elaborar los proyectos de montos máximos a otorgar para los créditos a corto, mediano y largo plazos, y someterlos a la consideración del Director General. </w:t>
      </w:r>
    </w:p>
    <w:p w14:paraId="6C1F63D0"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VII. Elaborar los proyectos de convenios de portabilidad de derechos, en coordinación con la Unidad Jurídica Consultiva y de Igualdad de Género, y someterlos a consideración del Director General. </w:t>
      </w:r>
    </w:p>
    <w:p w14:paraId="0B4508B1"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VIII. Celebrar convenios con terceros que ofrezcan bienes o servicios, a fin de promover la protección al salario de los servidores públicos afiliados al régimen de seguridad social, con base en los mecanismos que para tal efecto se establezcan. </w:t>
      </w:r>
    </w:p>
    <w:p w14:paraId="726B37F4"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IX. Solicitar a las instituciones públicas y derechohabientes, los documentos y datos necesarios para cumplir con las funciones que en materia de seguridad social establece la Ley. </w:t>
      </w:r>
    </w:p>
    <w:p w14:paraId="164E7AB0"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X. Establecer procedimientos y mecanismos para que los derechohabientes se registren en el sistema que les permita acceder a las prestaciones que establece la Ley.</w:t>
      </w:r>
    </w:p>
    <w:p w14:paraId="5BC56CE8"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 XI. Presentar a la consideración del Director General el proyecto de fondo de garantía para los créditos a corto, mediano y largo plazos. </w:t>
      </w:r>
    </w:p>
    <w:p w14:paraId="3FEFD83F"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lastRenderedPageBreak/>
        <w:t>XII. Las demás que le confieren otras disposiciones aplicables y aquellas que le encomiende el Director General.</w:t>
      </w:r>
    </w:p>
    <w:p w14:paraId="6F47CC2A"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En este orden de ideas, el Departamento de Pensiones, dependiente de la Subdirección de Administración del Sistema para el Retiro, la cual forma parte de la estructura orgánica de la Coordinación de Prestaciones y Seguridad Social, cuenta con las atribuciones conferidas en el Manual General de Organización del Instituto de Seguridad Social del Estado de México y Municipios, publicado en Gaceta del Gobierno de fecha 27 de mayo de dos mil veintiuno, a saber: </w:t>
      </w:r>
    </w:p>
    <w:p w14:paraId="30705AF3" w14:textId="77777777" w:rsidR="0078708B" w:rsidRPr="00C77556" w:rsidRDefault="00A82FD4">
      <w:pPr>
        <w:spacing w:before="240" w:after="240" w:line="276" w:lineRule="auto"/>
        <w:ind w:left="851" w:right="616"/>
        <w:jc w:val="both"/>
        <w:rPr>
          <w:rFonts w:ascii="Palatino Linotype" w:eastAsia="Palatino Linotype" w:hAnsi="Palatino Linotype" w:cs="Palatino Linotype"/>
          <w:b/>
          <w:i/>
          <w:sz w:val="22"/>
          <w:szCs w:val="22"/>
        </w:rPr>
      </w:pPr>
      <w:r w:rsidRPr="00C77556">
        <w:rPr>
          <w:rFonts w:ascii="Palatino Linotype" w:eastAsia="Palatino Linotype" w:hAnsi="Palatino Linotype" w:cs="Palatino Linotype"/>
          <w:b/>
          <w:i/>
          <w:sz w:val="22"/>
          <w:szCs w:val="22"/>
        </w:rPr>
        <w:t xml:space="preserve">207C0401520101L DEPARTAMENTO DE PENSIONES </w:t>
      </w:r>
    </w:p>
    <w:p w14:paraId="615DE122"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b/>
          <w:i/>
          <w:sz w:val="22"/>
          <w:szCs w:val="22"/>
        </w:rPr>
        <w:t>OBJETIVO</w:t>
      </w:r>
      <w:r w:rsidRPr="00C77556">
        <w:rPr>
          <w:rFonts w:ascii="Palatino Linotype" w:eastAsia="Palatino Linotype" w:hAnsi="Palatino Linotype" w:cs="Palatino Linotype"/>
          <w:i/>
          <w:sz w:val="22"/>
          <w:szCs w:val="22"/>
        </w:rPr>
        <w:t xml:space="preserve">: Realizar las acciones relacionadas con la determinación de las prestaciones de pensiones, seguro por fallecimiento y estímulo por permanencia en el servicio, otorgadas por el Instituto, derivadas del sistema solidario de reparto. </w:t>
      </w:r>
    </w:p>
    <w:p w14:paraId="6992D2C8"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b/>
          <w:i/>
          <w:sz w:val="22"/>
          <w:szCs w:val="22"/>
        </w:rPr>
        <w:t>FUNCIONES</w:t>
      </w:r>
      <w:r w:rsidRPr="00C77556">
        <w:rPr>
          <w:rFonts w:ascii="Palatino Linotype" w:eastAsia="Palatino Linotype" w:hAnsi="Palatino Linotype" w:cs="Palatino Linotype"/>
          <w:i/>
          <w:sz w:val="22"/>
          <w:szCs w:val="22"/>
        </w:rPr>
        <w:t xml:space="preserve">: </w:t>
      </w:r>
    </w:p>
    <w:p w14:paraId="40AD1F0B"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 Aplicar los incrementos del monto diario de pensión aprobados por el Consejo Directivo, conforme a la Ley de Seguridad Social para los Servidores Públicos del Estado de México y Municipios. </w:t>
      </w:r>
    </w:p>
    <w:p w14:paraId="4C8CC169"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 </w:t>
      </w:r>
      <w:r w:rsidRPr="00C77556">
        <w:rPr>
          <w:rFonts w:ascii="Palatino Linotype" w:eastAsia="Palatino Linotype" w:hAnsi="Palatino Linotype" w:cs="Palatino Linotype"/>
          <w:b/>
          <w:i/>
          <w:sz w:val="22"/>
          <w:szCs w:val="22"/>
          <w:u w:val="single"/>
        </w:rPr>
        <w:t>Calcular y determinar las cantidades a pagar para los pagos por primera vez por concepto de pensiones</w:t>
      </w:r>
      <w:r w:rsidRPr="00C77556">
        <w:rPr>
          <w:rFonts w:ascii="Palatino Linotype" w:eastAsia="Palatino Linotype" w:hAnsi="Palatino Linotype" w:cs="Palatino Linotype"/>
          <w:i/>
          <w:sz w:val="22"/>
          <w:szCs w:val="22"/>
        </w:rPr>
        <w:t xml:space="preserve"> y estímulo por permanencia en el servicio, así como aplicar el monto autorizado por el Consejo Directivo para el pago del seguro por fallecimiento.</w:t>
      </w:r>
    </w:p>
    <w:p w14:paraId="4EE4BFDF"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 − Ejecutar, en el ámbito de su competencia, las sentencias o requerimientos de las autoridades judiciales o administrativas para su debido cumplimiento. </w:t>
      </w:r>
    </w:p>
    <w:p w14:paraId="38A1A8FA"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 Mantener actualizadas las bases de datos de pensiones y de seguros por fallecimiento, para el control de los beneficios otorgados. </w:t>
      </w:r>
    </w:p>
    <w:p w14:paraId="2CDC45EE" w14:textId="77777777" w:rsidR="0078708B" w:rsidRPr="00C77556" w:rsidRDefault="00A82FD4">
      <w:pPr>
        <w:spacing w:before="240" w:after="240" w:line="276" w:lineRule="auto"/>
        <w:ind w:left="851" w:right="616"/>
        <w:jc w:val="both"/>
        <w:rPr>
          <w:rFonts w:ascii="Palatino Linotype" w:eastAsia="Palatino Linotype" w:hAnsi="Palatino Linotype" w:cs="Palatino Linotype"/>
          <w:b/>
          <w:i/>
          <w:sz w:val="22"/>
          <w:szCs w:val="22"/>
          <w:u w:val="single"/>
        </w:rPr>
      </w:pPr>
      <w:r w:rsidRPr="00C77556">
        <w:rPr>
          <w:rFonts w:ascii="Palatino Linotype" w:eastAsia="Palatino Linotype" w:hAnsi="Palatino Linotype" w:cs="Palatino Linotype"/>
          <w:i/>
          <w:sz w:val="22"/>
          <w:szCs w:val="22"/>
        </w:rPr>
        <w:lastRenderedPageBreak/>
        <w:t xml:space="preserve">− </w:t>
      </w:r>
      <w:r w:rsidRPr="00C77556">
        <w:rPr>
          <w:rFonts w:ascii="Palatino Linotype" w:eastAsia="Palatino Linotype" w:hAnsi="Palatino Linotype" w:cs="Palatino Linotype"/>
          <w:b/>
          <w:i/>
          <w:sz w:val="22"/>
          <w:szCs w:val="22"/>
          <w:u w:val="single"/>
        </w:rPr>
        <w:t xml:space="preserve">Ejecutar las acciones relacionadas con el otorgamiento de pensiones, verificando que el cálculo de los montos diarios se realice conforme a los parámetros establecidos. </w:t>
      </w:r>
    </w:p>
    <w:p w14:paraId="19737D67"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 Elaborar el informe de las actividades que realiza el Comité de Pensiones para el conocimiento del Consejo Directivo. </w:t>
      </w:r>
    </w:p>
    <w:p w14:paraId="7E9E85E5" w14:textId="77777777" w:rsidR="0078708B" w:rsidRPr="00C77556" w:rsidRDefault="00A82FD4">
      <w:pPr>
        <w:spacing w:before="240" w:after="240" w:line="276" w:lineRule="auto"/>
        <w:ind w:left="851" w:right="616"/>
        <w:jc w:val="both"/>
        <w:rPr>
          <w:rFonts w:ascii="Palatino Linotype" w:eastAsia="Palatino Linotype" w:hAnsi="Palatino Linotype" w:cs="Palatino Linotype"/>
          <w:b/>
          <w:i/>
          <w:sz w:val="22"/>
          <w:szCs w:val="22"/>
          <w:u w:val="single"/>
        </w:rPr>
      </w:pPr>
      <w:r w:rsidRPr="00C77556">
        <w:rPr>
          <w:rFonts w:ascii="Palatino Linotype" w:eastAsia="Palatino Linotype" w:hAnsi="Palatino Linotype" w:cs="Palatino Linotype"/>
          <w:i/>
          <w:sz w:val="22"/>
          <w:szCs w:val="22"/>
        </w:rPr>
        <w:t xml:space="preserve">− </w:t>
      </w:r>
      <w:r w:rsidRPr="00C77556">
        <w:rPr>
          <w:rFonts w:ascii="Palatino Linotype" w:eastAsia="Palatino Linotype" w:hAnsi="Palatino Linotype" w:cs="Palatino Linotype"/>
          <w:b/>
          <w:i/>
          <w:sz w:val="22"/>
          <w:szCs w:val="22"/>
          <w:u w:val="single"/>
        </w:rPr>
        <w:t xml:space="preserve">Revisar que las solicitudes recibidas en el departamento cumplan con los requisitos establecidos por la legislación de seguridad social para el otorgamiento de la prestación. </w:t>
      </w:r>
    </w:p>
    <w:p w14:paraId="2283AC36"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Verificar el cumplimiento de los requisitos para el trámite de pensiones, seguros por  fallecimiento y estímulos por permanencia en el servicio.</w:t>
      </w:r>
    </w:p>
    <w:p w14:paraId="30725D93"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 Verificar que se realicen los registros de supervivencia, altas, bajas y cambios realizados en la nómina de pensionadas y pensionados y pensionistas, a fin de controlar la procedencia de los pagos que el Instituto eroga quincenalmente por este rubro. </w:t>
      </w:r>
    </w:p>
    <w:p w14:paraId="2E7C8E98" w14:textId="77777777" w:rsidR="0078708B" w:rsidRPr="00C77556" w:rsidRDefault="00A82FD4">
      <w:pPr>
        <w:spacing w:before="240" w:after="240"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Desarrollar las demás funciones inherentes al área de su competencia.</w:t>
      </w:r>
    </w:p>
    <w:p w14:paraId="7B772DEA"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Ahora bien, una vez descritos los requerimientos, analizadas las respuesta y referidos los motivos de inconformidad; se tiene que, la parte </w:t>
      </w:r>
      <w:r w:rsidRPr="00C77556">
        <w:rPr>
          <w:rFonts w:ascii="Palatino Linotype" w:eastAsia="Palatino Linotype" w:hAnsi="Palatino Linotype" w:cs="Palatino Linotype"/>
          <w:b/>
        </w:rPr>
        <w:t xml:space="preserve">Recurrente </w:t>
      </w:r>
      <w:r w:rsidRPr="00C77556">
        <w:rPr>
          <w:rFonts w:ascii="Palatino Linotype" w:eastAsia="Palatino Linotype" w:hAnsi="Palatino Linotype" w:cs="Palatino Linotype"/>
        </w:rPr>
        <w:t xml:space="preserve">no expresó razón o motivo de inconformidad en contra de las respuesta emitidas a los requerimientos descritos en los numerales 1, 4, 5, 6, 7, 8, 11 y 12 del cuadro de análisis que antecede,    en consecuencia los puntos en comento deben declararse atendidos, pues se entiende que la parte </w:t>
      </w:r>
      <w:r w:rsidRPr="00C77556">
        <w:rPr>
          <w:rFonts w:ascii="Palatino Linotype" w:eastAsia="Palatino Linotype" w:hAnsi="Palatino Linotype" w:cs="Palatino Linotype"/>
          <w:b/>
        </w:rPr>
        <w:t>Recurrente</w:t>
      </w:r>
      <w:r w:rsidRPr="00C77556">
        <w:rPr>
          <w:rFonts w:ascii="Palatino Linotype" w:eastAsia="Palatino Linotype" w:hAnsi="Palatino Linotype" w:cs="Palatino Linotype"/>
        </w:rPr>
        <w:t xml:space="preserve"> está conforme con la información entregada al no controvertirlos. </w:t>
      </w:r>
    </w:p>
    <w:p w14:paraId="26295BE7"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lastRenderedPageBreak/>
        <w:t>Sirve de apoyo a lo anterior, por analogía, la Tesis Jurisprudencial Número 3ª./J.7/91, publicada en el Semanario Judicial de la Federación y su Gaceta bajo el número de registro 174,177, que establece lo siguiente:</w:t>
      </w:r>
    </w:p>
    <w:p w14:paraId="1BB763FE" w14:textId="77777777" w:rsidR="0078708B" w:rsidRPr="00C77556" w:rsidRDefault="00A82FD4">
      <w:pPr>
        <w:ind w:left="851" w:right="851"/>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sz w:val="22"/>
          <w:szCs w:val="22"/>
        </w:rPr>
        <w:t>“</w:t>
      </w:r>
      <w:r w:rsidRPr="00C77556">
        <w:rPr>
          <w:rFonts w:ascii="Palatino Linotype" w:eastAsia="Palatino Linotype" w:hAnsi="Palatino Linotype" w:cs="Palatino Linotype"/>
          <w:b/>
          <w:i/>
          <w:sz w:val="22"/>
          <w:szCs w:val="22"/>
        </w:rPr>
        <w:t>REVISIÓN EN AMPARO. LOS RESOLUTIVOS NO COMBATIDOS DEBEN DECLARARSE FIRMES</w:t>
      </w:r>
      <w:r w:rsidRPr="00C77556">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6583CE27" w14:textId="77777777" w:rsidR="0078708B" w:rsidRPr="00C77556" w:rsidRDefault="0078708B">
      <w:pPr>
        <w:ind w:left="851" w:right="851"/>
        <w:jc w:val="both"/>
        <w:rPr>
          <w:rFonts w:ascii="Palatino Linotype" w:eastAsia="Palatino Linotype" w:hAnsi="Palatino Linotype" w:cs="Palatino Linotype"/>
          <w:sz w:val="22"/>
          <w:szCs w:val="22"/>
        </w:rPr>
      </w:pPr>
    </w:p>
    <w:p w14:paraId="0C88A7EE"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Así, la parte de la solicitud que no fue impugnada debe declararse consentida por  la parte </w:t>
      </w:r>
      <w:r w:rsidRPr="00C77556">
        <w:rPr>
          <w:rFonts w:ascii="Palatino Linotype" w:eastAsia="Palatino Linotype" w:hAnsi="Palatino Linotype" w:cs="Palatino Linotype"/>
          <w:b/>
        </w:rPr>
        <w:t>Recurrente</w:t>
      </w:r>
      <w:r w:rsidRPr="00C77556">
        <w:rPr>
          <w:rFonts w:ascii="Palatino Linotype" w:eastAsia="Palatino Linotype" w:hAnsi="Palatino Linotype" w:cs="Palatino Linotype"/>
        </w:rPr>
        <w:t xml:space="preserve">, toda vez que no se realizaron manifestaciones de inconformidad, por lo que no pueden producir efectos jurídicos tendentes a revocar, confirmar o modificar el acto reclamado, pues en la Ley Local que rige la materia no existe dispositivo que permita a este Organismo Garante estudiar lo no combatido por los recurrentes, pues se entiende que éstos al interponer sus recursos de revisión, lo hacen con el fin de exponer los agravios que se han cometido en su perjuicio,  contrariamente, lo no expuesto se presume que no causa agravio a su persona. </w:t>
      </w:r>
    </w:p>
    <w:p w14:paraId="719F0F4E"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7E1B05DD" w14:textId="77777777" w:rsidR="0078708B" w:rsidRPr="00C77556" w:rsidRDefault="00A82FD4">
      <w:pPr>
        <w:ind w:left="851" w:right="851"/>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w:t>
      </w:r>
      <w:r w:rsidRPr="00C77556">
        <w:rPr>
          <w:rFonts w:ascii="Palatino Linotype" w:eastAsia="Palatino Linotype" w:hAnsi="Palatino Linotype" w:cs="Palatino Linotype"/>
          <w:b/>
          <w:i/>
          <w:sz w:val="22"/>
          <w:szCs w:val="22"/>
        </w:rPr>
        <w:t>ACTOS CONSENTIDOS. SON LOS QUE NO SE IMPUGNAN MEDIANTE EL RECURSO IDÓNEO.</w:t>
      </w:r>
      <w:r w:rsidRPr="00C77556">
        <w:rPr>
          <w:rFonts w:ascii="Palatino Linotype" w:eastAsia="Palatino Linotype" w:hAnsi="Palatino Linotype" w:cs="Palatino Linotype"/>
          <w:i/>
          <w:sz w:val="22"/>
          <w:szCs w:val="22"/>
        </w:rPr>
        <w:t xml:space="preserve"> Debe reputarse como consentido el acto </w:t>
      </w:r>
      <w:r w:rsidRPr="00C77556">
        <w:rPr>
          <w:rFonts w:ascii="Palatino Linotype" w:eastAsia="Palatino Linotype" w:hAnsi="Palatino Linotype" w:cs="Palatino Linotype"/>
          <w:i/>
          <w:sz w:val="22"/>
          <w:szCs w:val="22"/>
        </w:rPr>
        <w:lastRenderedPageBreak/>
        <w:t>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DBCEA17" w14:textId="77777777" w:rsidR="0078708B" w:rsidRPr="00C77556" w:rsidRDefault="0078708B">
      <w:pPr>
        <w:ind w:left="851" w:right="851"/>
        <w:jc w:val="both"/>
        <w:rPr>
          <w:rFonts w:ascii="Palatino Linotype" w:eastAsia="Palatino Linotype" w:hAnsi="Palatino Linotype" w:cs="Palatino Linotype"/>
          <w:i/>
          <w:sz w:val="22"/>
          <w:szCs w:val="22"/>
        </w:rPr>
      </w:pPr>
    </w:p>
    <w:p w14:paraId="036D6979" w14:textId="77777777" w:rsidR="0078708B" w:rsidRPr="00C77556" w:rsidRDefault="00A82FD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Ahora bien, por cuanto hace a los cuestionamientos referidos en los numerales 2 y 13 consistente en: </w:t>
      </w:r>
    </w:p>
    <w:p w14:paraId="1773F6D7" w14:textId="77777777" w:rsidR="0078708B" w:rsidRPr="00C77556" w:rsidRDefault="0078708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56D14C34" w14:textId="77777777" w:rsidR="0078708B" w:rsidRPr="00C77556" w:rsidRDefault="00A82FD4">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0"/>
          <w:szCs w:val="20"/>
        </w:rPr>
      </w:pPr>
      <w:r w:rsidRPr="00C77556">
        <w:rPr>
          <w:rFonts w:ascii="Palatino Linotype" w:eastAsia="Palatino Linotype" w:hAnsi="Palatino Linotype" w:cs="Palatino Linotype"/>
          <w:i/>
          <w:sz w:val="20"/>
          <w:szCs w:val="20"/>
        </w:rPr>
        <w:t>2. ¿Cuánto tiempo se tarda en dar respuesta para emitir el pago de seguro por fallecimiento?</w:t>
      </w:r>
    </w:p>
    <w:p w14:paraId="36654646" w14:textId="77777777" w:rsidR="0078708B" w:rsidRPr="00C77556" w:rsidRDefault="00A82FD4">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0"/>
          <w:szCs w:val="20"/>
        </w:rPr>
      </w:pPr>
      <w:r w:rsidRPr="00C77556">
        <w:rPr>
          <w:rFonts w:ascii="Palatino Linotype" w:eastAsia="Palatino Linotype" w:hAnsi="Palatino Linotype" w:cs="Palatino Linotype"/>
          <w:i/>
          <w:sz w:val="20"/>
          <w:szCs w:val="20"/>
        </w:rPr>
        <w:t>13. Después de llamar infinidad de veces y estar dando respuestas de llame en 20 días después llame en dos o tres meses y que como respuesta digan que el trámite está en proceso de pago ¿Cuánto tiempo tardan el liberar dicho pago?</w:t>
      </w:r>
    </w:p>
    <w:p w14:paraId="6645CE09" w14:textId="77777777" w:rsidR="0078708B" w:rsidRPr="00C77556" w:rsidRDefault="0078708B">
      <w:pPr>
        <w:pBdr>
          <w:top w:val="nil"/>
          <w:left w:val="nil"/>
          <w:bottom w:val="nil"/>
          <w:right w:val="nil"/>
          <w:between w:val="nil"/>
        </w:pBdr>
        <w:spacing w:line="360" w:lineRule="auto"/>
        <w:ind w:left="851" w:right="616"/>
        <w:jc w:val="both"/>
        <w:rPr>
          <w:rFonts w:ascii="Palatino Linotype" w:eastAsia="Palatino Linotype" w:hAnsi="Palatino Linotype" w:cs="Palatino Linotype"/>
          <w:i/>
          <w:sz w:val="20"/>
          <w:szCs w:val="20"/>
        </w:rPr>
      </w:pPr>
    </w:p>
    <w:p w14:paraId="1EFE0A9C" w14:textId="77777777" w:rsidR="0078708B" w:rsidRPr="00C77556" w:rsidRDefault="00A82FD4">
      <w:pPr>
        <w:spacing w:line="360" w:lineRule="auto"/>
        <w:ind w:right="616"/>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El </w:t>
      </w:r>
      <w:r w:rsidRPr="00C77556">
        <w:rPr>
          <w:rFonts w:ascii="Palatino Linotype" w:eastAsia="Palatino Linotype" w:hAnsi="Palatino Linotype" w:cs="Palatino Linotype"/>
          <w:b/>
        </w:rPr>
        <w:t xml:space="preserve">Sujeto Obligado </w:t>
      </w:r>
      <w:r w:rsidRPr="00C77556">
        <w:rPr>
          <w:rFonts w:ascii="Palatino Linotype" w:eastAsia="Palatino Linotype" w:hAnsi="Palatino Linotype" w:cs="Palatino Linotype"/>
        </w:rPr>
        <w:t xml:space="preserve">respondió que en términos generales el tiempo de respondió que el tiempo de respuesta oscila entre 10 y 12 meses a partir de que el trámite se encuentre en la Sección de Seguros por Fallecimiento del Departamento de Pensiones por lo que no es viable proporcionar una fecha aproximada o definitiva de pago. </w:t>
      </w:r>
    </w:p>
    <w:p w14:paraId="12E9C643" w14:textId="77777777" w:rsidR="0078708B" w:rsidRPr="00C77556" w:rsidRDefault="0078708B">
      <w:pPr>
        <w:spacing w:line="360" w:lineRule="auto"/>
        <w:ind w:right="616"/>
        <w:jc w:val="both"/>
        <w:rPr>
          <w:rFonts w:ascii="Palatino Linotype" w:eastAsia="Palatino Linotype" w:hAnsi="Palatino Linotype" w:cs="Palatino Linotype"/>
        </w:rPr>
      </w:pPr>
    </w:p>
    <w:p w14:paraId="2D67A5AC" w14:textId="77777777" w:rsidR="0078708B" w:rsidRPr="00C77556" w:rsidRDefault="00A82FD4">
      <w:pPr>
        <w:spacing w:line="360" w:lineRule="auto"/>
        <w:ind w:right="616"/>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La parte </w:t>
      </w:r>
      <w:r w:rsidRPr="00C77556">
        <w:rPr>
          <w:rFonts w:ascii="Palatino Linotype" w:eastAsia="Palatino Linotype" w:hAnsi="Palatino Linotype" w:cs="Palatino Linotype"/>
          <w:b/>
        </w:rPr>
        <w:t xml:space="preserve">Recurrente </w:t>
      </w:r>
      <w:r w:rsidRPr="00C77556">
        <w:rPr>
          <w:rFonts w:ascii="Palatino Linotype" w:eastAsia="Palatino Linotype" w:hAnsi="Palatino Linotype" w:cs="Palatino Linotype"/>
        </w:rPr>
        <w:t xml:space="preserve">inconforme con la respuesta a los planteamientos que se analizan en este punto manifestó: </w:t>
      </w:r>
    </w:p>
    <w:p w14:paraId="7C4B8D33" w14:textId="77777777" w:rsidR="0078708B" w:rsidRPr="00C77556" w:rsidRDefault="00A82FD4">
      <w:pPr>
        <w:spacing w:line="276" w:lineRule="auto"/>
        <w:ind w:left="851" w:right="616"/>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“…Además de ser incoherente con sus respuesta ya que mi trámite lo inicie en octubre y dice que su respuesta oscila entre los 10 y 12 meses y mi trámite para ser exactos lleva 1 año 5 días…</w:t>
      </w:r>
      <w:r w:rsidRPr="00C77556">
        <w:rPr>
          <w:sz w:val="22"/>
          <w:szCs w:val="22"/>
        </w:rPr>
        <w:t xml:space="preserve"> </w:t>
      </w:r>
      <w:r w:rsidRPr="00C77556">
        <w:rPr>
          <w:rFonts w:ascii="Palatino Linotype" w:eastAsia="Palatino Linotype" w:hAnsi="Palatino Linotype" w:cs="Palatino Linotype"/>
          <w:i/>
          <w:sz w:val="22"/>
          <w:szCs w:val="22"/>
        </w:rPr>
        <w:t>mi trámite lo inicie en octubre y dice que su respuesta oscila entre los 10 y 12 meses y mi trámite para ser exactos lleva 1 año 5 días,..”</w:t>
      </w:r>
    </w:p>
    <w:p w14:paraId="7974D5EF" w14:textId="77777777" w:rsidR="0078708B" w:rsidRPr="00C77556" w:rsidRDefault="0078708B">
      <w:pPr>
        <w:spacing w:line="276" w:lineRule="auto"/>
        <w:ind w:right="616"/>
        <w:jc w:val="both"/>
        <w:rPr>
          <w:rFonts w:ascii="Palatino Linotype" w:eastAsia="Palatino Linotype" w:hAnsi="Palatino Linotype" w:cs="Palatino Linotype"/>
        </w:rPr>
      </w:pPr>
    </w:p>
    <w:p w14:paraId="12402E22" w14:textId="77777777" w:rsidR="0078708B" w:rsidRPr="00C77556" w:rsidRDefault="00A82FD4">
      <w:pPr>
        <w:spacing w:line="360" w:lineRule="auto"/>
        <w:ind w:right="616"/>
        <w:jc w:val="both"/>
        <w:rPr>
          <w:rFonts w:ascii="Palatino Linotype" w:eastAsia="Palatino Linotype" w:hAnsi="Palatino Linotype" w:cs="Palatino Linotype"/>
        </w:rPr>
      </w:pPr>
      <w:r w:rsidRPr="00C77556">
        <w:rPr>
          <w:rFonts w:ascii="Palatino Linotype" w:eastAsia="Palatino Linotype" w:hAnsi="Palatino Linotype" w:cs="Palatino Linotype"/>
        </w:rPr>
        <w:lastRenderedPageBreak/>
        <w:t xml:space="preserve">Al respecto, es de señalar que tal pronunciamiento no constituye el ejercicio del derecho de acceso a la información pública, sino que se trata de manifestaciones vertidas por la parte </w:t>
      </w:r>
      <w:r w:rsidRPr="00C77556">
        <w:rPr>
          <w:rFonts w:ascii="Palatino Linotype" w:eastAsia="Palatino Linotype" w:hAnsi="Palatino Linotype" w:cs="Palatino Linotype"/>
          <w:b/>
        </w:rPr>
        <w:t xml:space="preserve">Recurrente, </w:t>
      </w:r>
      <w:r w:rsidRPr="00C77556">
        <w:rPr>
          <w:rFonts w:ascii="Palatino Linotype" w:eastAsia="Palatino Linotype" w:hAnsi="Palatino Linotype" w:cs="Palatino Linotype"/>
        </w:rPr>
        <w:t xml:space="preserve">declaraciones que no se colman con la entrega de documentos, por lo que, se trata de expresiones que no son atendible mediante el ejercicio del derecho enunciado, por lo que este Organismo Garante no se encuentra facultado para ordenar al </w:t>
      </w:r>
      <w:r w:rsidRPr="00C77556">
        <w:rPr>
          <w:rFonts w:ascii="Palatino Linotype" w:eastAsia="Palatino Linotype" w:hAnsi="Palatino Linotype" w:cs="Palatino Linotype"/>
          <w:b/>
        </w:rPr>
        <w:t xml:space="preserve">Sujeto Obligado </w:t>
      </w:r>
      <w:r w:rsidRPr="00C77556">
        <w:rPr>
          <w:rFonts w:ascii="Palatino Linotype" w:eastAsia="Palatino Linotype" w:hAnsi="Palatino Linotype" w:cs="Palatino Linotype"/>
        </w:rPr>
        <w:t>a realizar acciones respecto las manifestaciones que no son atendibles por esta vía.</w:t>
      </w:r>
    </w:p>
    <w:p w14:paraId="43368F04"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Asimismo, una vez conocida la respuesta sobre los puntos que ahora se analizan, la parte </w:t>
      </w:r>
      <w:r w:rsidRPr="00C77556">
        <w:rPr>
          <w:rFonts w:ascii="Palatino Linotype" w:eastAsia="Palatino Linotype" w:hAnsi="Palatino Linotype" w:cs="Palatino Linotype"/>
          <w:b/>
        </w:rPr>
        <w:t xml:space="preserve">Recurrente </w:t>
      </w:r>
      <w:r w:rsidRPr="00C77556">
        <w:rPr>
          <w:rFonts w:ascii="Palatino Linotype" w:eastAsia="Palatino Linotype" w:hAnsi="Palatino Linotype" w:cs="Palatino Linotype"/>
        </w:rPr>
        <w:t>en sus motivos de inconformidad agregó: “…</w:t>
      </w:r>
      <w:r w:rsidRPr="00C77556">
        <w:rPr>
          <w:rFonts w:ascii="Palatino Linotype" w:eastAsia="Palatino Linotype" w:hAnsi="Palatino Linotype" w:cs="Palatino Linotype"/>
          <w:i/>
        </w:rPr>
        <w:t xml:space="preserve">ahora bien, responden que han cubierto hasta el mes de agosto, la pregunta es, </w:t>
      </w:r>
      <w:r w:rsidRPr="00C77556">
        <w:rPr>
          <w:rFonts w:ascii="Palatino Linotype" w:eastAsia="Palatino Linotype" w:hAnsi="Palatino Linotype" w:cs="Palatino Linotype"/>
          <w:b/>
          <w:i/>
          <w:u w:val="single"/>
        </w:rPr>
        <w:t>hasta que mes se entregará septiembre y octubre</w:t>
      </w:r>
      <w:r w:rsidRPr="00C77556">
        <w:rPr>
          <w:rFonts w:ascii="Palatino Linotype" w:eastAsia="Palatino Linotype" w:hAnsi="Palatino Linotype" w:cs="Palatino Linotype"/>
          <w:i/>
        </w:rPr>
        <w:t xml:space="preserve">, siendo que ya estamos a finales de año y comienzan vacaciones. </w:t>
      </w:r>
      <w:r w:rsidRPr="00C77556">
        <w:rPr>
          <w:rFonts w:ascii="Palatino Linotype" w:eastAsia="Palatino Linotype" w:hAnsi="Palatino Linotype" w:cs="Palatino Linotype"/>
          <w:b/>
          <w:i/>
          <w:u w:val="single"/>
        </w:rPr>
        <w:t>Abra presupuesto</w:t>
      </w:r>
      <w:proofErr w:type="gramStart"/>
      <w:r w:rsidRPr="00C77556">
        <w:rPr>
          <w:rFonts w:ascii="Palatino Linotype" w:eastAsia="Palatino Linotype" w:hAnsi="Palatino Linotype" w:cs="Palatino Linotype"/>
          <w:b/>
          <w:i/>
          <w:u w:val="single"/>
        </w:rPr>
        <w:t>?</w:t>
      </w:r>
      <w:proofErr w:type="gramEnd"/>
      <w:r w:rsidRPr="00C77556">
        <w:rPr>
          <w:rFonts w:ascii="Palatino Linotype" w:eastAsia="Palatino Linotype" w:hAnsi="Palatino Linotype" w:cs="Palatino Linotype"/>
          <w:b/>
          <w:i/>
          <w:u w:val="single"/>
        </w:rPr>
        <w:t xml:space="preserve"> Saldrán en este año</w:t>
      </w:r>
      <w:r w:rsidRPr="00C77556">
        <w:rPr>
          <w:rFonts w:ascii="Palatino Linotype" w:eastAsia="Palatino Linotype" w:hAnsi="Palatino Linotype" w:cs="Palatino Linotype"/>
          <w:i/>
        </w:rPr>
        <w:t>,” (Sic)”</w:t>
      </w:r>
      <w:r w:rsidRPr="00C77556">
        <w:rPr>
          <w:rFonts w:ascii="Palatino Linotype" w:eastAsia="Palatino Linotype" w:hAnsi="Palatino Linotype" w:cs="Palatino Linotype"/>
        </w:rPr>
        <w:t xml:space="preserve"> en este sentido, cabe señalar que de la confronta a la solicitud de información y el acto impugnado y las razones o motivos de inconformidad, dicha circunstancia no fue solicitada por el particular, como se desprende del antecedente marcado con el numeral 1 de la presente resolución, por lo que constituyen nuevos requerimientos de información, configurándose así lo que se conoce como </w:t>
      </w:r>
      <w:r w:rsidRPr="00C77556">
        <w:rPr>
          <w:rFonts w:ascii="Palatino Linotype" w:eastAsia="Palatino Linotype" w:hAnsi="Palatino Linotype" w:cs="Palatino Linotype"/>
          <w:i/>
        </w:rPr>
        <w:t xml:space="preserve">plus </w:t>
      </w:r>
      <w:proofErr w:type="spellStart"/>
      <w:r w:rsidRPr="00C77556">
        <w:rPr>
          <w:rFonts w:ascii="Palatino Linotype" w:eastAsia="Palatino Linotype" w:hAnsi="Palatino Linotype" w:cs="Palatino Linotype"/>
          <w:i/>
        </w:rPr>
        <w:t>petitio</w:t>
      </w:r>
      <w:proofErr w:type="spellEnd"/>
      <w:r w:rsidRPr="00C77556">
        <w:rPr>
          <w:rFonts w:ascii="Palatino Linotype" w:eastAsia="Palatino Linotype" w:hAnsi="Palatino Linotype" w:cs="Palatino Linotype"/>
          <w:b/>
          <w:i/>
        </w:rPr>
        <w:t xml:space="preserve">, </w:t>
      </w:r>
      <w:r w:rsidRPr="00C77556">
        <w:rPr>
          <w:rFonts w:ascii="Palatino Linotype" w:eastAsia="Palatino Linotype" w:hAnsi="Palatino Linotype" w:cs="Palatino Linotype"/>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la parte Recurrente amplíe su solicitud en el Recurso de Revisión, </w:t>
      </w:r>
      <w:r w:rsidRPr="00C77556">
        <w:rPr>
          <w:rFonts w:ascii="Palatino Linotype" w:eastAsia="Palatino Linotype" w:hAnsi="Palatino Linotype" w:cs="Palatino Linotype"/>
          <w:b/>
          <w:u w:val="single"/>
        </w:rPr>
        <w:t xml:space="preserve">únicamente respecto de los nuevos contenidos; </w:t>
      </w:r>
      <w:r w:rsidRPr="00C77556">
        <w:rPr>
          <w:rFonts w:ascii="Palatino Linotype" w:eastAsia="Palatino Linotype" w:hAnsi="Palatino Linotype" w:cs="Palatino Linotype"/>
        </w:rPr>
        <w:t xml:space="preserve">cuestión que tuvo lugar en el presente caso, pues </w:t>
      </w:r>
      <w:r w:rsidRPr="00C77556">
        <w:rPr>
          <w:rFonts w:ascii="Palatino Linotype" w:eastAsia="Palatino Linotype" w:hAnsi="Palatino Linotype" w:cs="Palatino Linotype"/>
        </w:rPr>
        <w:lastRenderedPageBreak/>
        <w:t xml:space="preserve">la parte </w:t>
      </w:r>
      <w:r w:rsidRPr="00C77556">
        <w:rPr>
          <w:rFonts w:ascii="Palatino Linotype" w:eastAsia="Palatino Linotype" w:hAnsi="Palatino Linotype" w:cs="Palatino Linotype"/>
          <w:b/>
        </w:rPr>
        <w:t>Recurrente</w:t>
      </w:r>
      <w:r w:rsidRPr="00C77556">
        <w:rPr>
          <w:rFonts w:ascii="Palatino Linotype" w:eastAsia="Palatino Linotype" w:hAnsi="Palatino Linotype" w:cs="Palatino Linotype"/>
        </w:rPr>
        <w:t xml:space="preserve"> formuló nuevos cuestionamientos, en los que solicitó información con particularidades que no formaron parte de su solicitud inicial y por lo tanto son inatendibles a través del recurso de revisión.</w:t>
      </w:r>
    </w:p>
    <w:p w14:paraId="1F195CEE"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En este tenor, es posible determinar que para los puntos que se analizan, se trata nuevos requerimientos de información, que no se encuentran relacionados con lo solicitado en un primer momento. </w:t>
      </w:r>
    </w:p>
    <w:p w14:paraId="2B0ECD16"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En este orden de ideas, una vez formulada su solicitud inicial,</w:t>
      </w:r>
      <w:r w:rsidRPr="00C77556">
        <w:rPr>
          <w:rFonts w:ascii="Palatino Linotype" w:eastAsia="Palatino Linotype" w:hAnsi="Palatino Linotype" w:cs="Palatino Linotype"/>
          <w:i/>
        </w:rPr>
        <w:t xml:space="preserve"> </w:t>
      </w:r>
      <w:r w:rsidRPr="00C77556">
        <w:rPr>
          <w:rFonts w:ascii="Palatino Linotype" w:eastAsia="Palatino Linotype" w:hAnsi="Palatino Linotype" w:cs="Palatino Linotype"/>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71DE886D" w14:textId="77777777" w:rsidR="0078708B" w:rsidRPr="00C77556" w:rsidRDefault="00A82FD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0124A9B9" w14:textId="77777777" w:rsidR="0078708B" w:rsidRPr="00C77556" w:rsidRDefault="00A82FD4">
      <w:pPr>
        <w:spacing w:line="276" w:lineRule="auto"/>
        <w:ind w:left="851" w:right="616"/>
        <w:jc w:val="both"/>
        <w:rPr>
          <w:rFonts w:ascii="Palatino Linotype" w:eastAsia="Palatino Linotype" w:hAnsi="Palatino Linotype" w:cs="Palatino Linotype"/>
        </w:rPr>
      </w:pPr>
      <w:r w:rsidRPr="00C77556">
        <w:rPr>
          <w:rFonts w:ascii="Palatino Linotype" w:eastAsia="Palatino Linotype" w:hAnsi="Palatino Linotype" w:cs="Palatino Linotype"/>
          <w:i/>
          <w:sz w:val="22"/>
          <w:szCs w:val="22"/>
        </w:rPr>
        <w:t>“</w:t>
      </w:r>
      <w:r w:rsidRPr="00C77556">
        <w:rPr>
          <w:rFonts w:ascii="Palatino Linotype" w:eastAsia="Palatino Linotype" w:hAnsi="Palatino Linotype" w:cs="Palatino Linotype"/>
          <w:b/>
          <w:i/>
          <w:sz w:val="22"/>
          <w:szCs w:val="22"/>
        </w:rPr>
        <w:t xml:space="preserve">Es improcedente ampliar las solicitudes de acceso a información, a través de la interposición del recurso de revisión. </w:t>
      </w:r>
      <w:r w:rsidRPr="00C77556">
        <w:rPr>
          <w:rFonts w:ascii="Palatino Linotype" w:eastAsia="Palatino Linotype" w:hAnsi="Palatino Linotype" w:cs="Palatino Linotype"/>
          <w:i/>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C77556">
        <w:rPr>
          <w:rFonts w:ascii="Palatino Linotype" w:eastAsia="Palatino Linotype" w:hAnsi="Palatino Linotype" w:cs="Palatino Linotype"/>
          <w:b/>
          <w:i/>
          <w:sz w:val="22"/>
          <w:szCs w:val="22"/>
        </w:rPr>
        <w:t>.</w:t>
      </w:r>
      <w:r w:rsidRPr="00C77556">
        <w:rPr>
          <w:rFonts w:ascii="Palatino Linotype" w:eastAsia="Palatino Linotype" w:hAnsi="Palatino Linotype" w:cs="Palatino Linotype"/>
          <w:i/>
          <w:sz w:val="22"/>
          <w:szCs w:val="22"/>
        </w:rPr>
        <w:t>”</w:t>
      </w:r>
    </w:p>
    <w:p w14:paraId="768FD5E0" w14:textId="77777777" w:rsidR="0078708B" w:rsidRPr="00C77556" w:rsidRDefault="0078708B">
      <w:pPr>
        <w:spacing w:line="276" w:lineRule="auto"/>
        <w:ind w:left="851" w:right="616"/>
        <w:jc w:val="both"/>
        <w:rPr>
          <w:rFonts w:ascii="Palatino Linotype" w:eastAsia="Palatino Linotype" w:hAnsi="Palatino Linotype" w:cs="Palatino Linotype"/>
        </w:rPr>
      </w:pPr>
    </w:p>
    <w:p w14:paraId="070CF102"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Por lo que, en atención a las consideraciones previamente señaladas, el Pleno de este Instituto determina que se tienen por atendidos los puntos descritos en los numerales 2 y 13 del cuadro de análisis relacionados con el tiempo de respuesta para emitir el pago de seguro por fallecimiento. </w:t>
      </w:r>
    </w:p>
    <w:p w14:paraId="168697B2" w14:textId="77777777" w:rsidR="0078708B" w:rsidRPr="00C77556" w:rsidRDefault="00A82FD4">
      <w:pPr>
        <w:spacing w:before="240" w:line="360" w:lineRule="auto"/>
        <w:ind w:right="62"/>
        <w:jc w:val="both"/>
        <w:rPr>
          <w:rFonts w:ascii="Palatino Linotype" w:eastAsia="Palatino Linotype" w:hAnsi="Palatino Linotype" w:cs="Palatino Linotype"/>
          <w:u w:val="single"/>
        </w:rPr>
      </w:pPr>
      <w:r w:rsidRPr="00C77556">
        <w:rPr>
          <w:rFonts w:ascii="Palatino Linotype" w:eastAsia="Palatino Linotype" w:hAnsi="Palatino Linotype" w:cs="Palatino Linotype"/>
        </w:rPr>
        <w:t xml:space="preserve">Ahora bien, respecto a la información solicitada en los numerales 9 y 10 consistente en el </w:t>
      </w:r>
      <w:r w:rsidRPr="00C77556">
        <w:rPr>
          <w:rFonts w:ascii="Palatino Linotype" w:eastAsia="Palatino Linotype" w:hAnsi="Palatino Linotype" w:cs="Palatino Linotype"/>
          <w:u w:val="single"/>
        </w:rPr>
        <w:t>número de trámites de seguro por fallecimiento han ingresado al ISSEMYM y el número, el número de pagos de seguro por fallecimiento que se han otorgado y el mes en que se realizó el último trámite</w:t>
      </w:r>
      <w:r w:rsidRPr="00C77556">
        <w:rPr>
          <w:rFonts w:ascii="Palatino Linotype" w:eastAsia="Palatino Linotype" w:hAnsi="Palatino Linotype" w:cs="Palatino Linotype"/>
        </w:rPr>
        <w:t xml:space="preserve"> </w:t>
      </w:r>
      <w:r w:rsidRPr="00C77556">
        <w:rPr>
          <w:rFonts w:ascii="Palatino Linotype" w:eastAsia="Palatino Linotype" w:hAnsi="Palatino Linotype" w:cs="Palatino Linotype"/>
          <w:u w:val="single"/>
        </w:rPr>
        <w:t xml:space="preserve">de enero a diciembre de dos mil veintiuno. </w:t>
      </w:r>
    </w:p>
    <w:p w14:paraId="44764375" w14:textId="77777777" w:rsidR="0078708B" w:rsidRPr="00C77556" w:rsidRDefault="0078708B">
      <w:pPr>
        <w:spacing w:line="360" w:lineRule="auto"/>
        <w:ind w:right="62"/>
        <w:jc w:val="both"/>
        <w:rPr>
          <w:rFonts w:ascii="Palatino Linotype" w:eastAsia="Palatino Linotype" w:hAnsi="Palatino Linotype" w:cs="Palatino Linotype"/>
        </w:rPr>
      </w:pPr>
    </w:p>
    <w:p w14:paraId="0806B766" w14:textId="77777777" w:rsidR="0078708B" w:rsidRPr="00C77556" w:rsidRDefault="00A82FD4">
      <w:pPr>
        <w:spacing w:line="360" w:lineRule="auto"/>
        <w:ind w:right="62"/>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El Jefe de Pensiones adscrito a la Coordinación de Prestaciones y Seguridad Social, Servidor Público Habilitado de Sujeto Obligado, que de conformidad con las atribuciones que la normatividad le confiere, genera, administra y posee la información pública solicitada informó: </w:t>
      </w:r>
    </w:p>
    <w:p w14:paraId="04B67A02" w14:textId="77777777" w:rsidR="0078708B" w:rsidRPr="00C77556" w:rsidRDefault="0078708B">
      <w:pPr>
        <w:spacing w:line="360" w:lineRule="auto"/>
        <w:ind w:right="62"/>
        <w:jc w:val="both"/>
        <w:rPr>
          <w:rFonts w:ascii="Palatino Linotype" w:eastAsia="Palatino Linotype" w:hAnsi="Palatino Linotype" w:cs="Palatino Linotype"/>
        </w:rPr>
      </w:pPr>
    </w:p>
    <w:p w14:paraId="677349CF" w14:textId="77777777" w:rsidR="0078708B" w:rsidRPr="00C77556" w:rsidRDefault="00A82FD4">
      <w:pPr>
        <w:spacing w:line="360" w:lineRule="auto"/>
        <w:ind w:right="62"/>
        <w:jc w:val="both"/>
        <w:rPr>
          <w:rFonts w:ascii="Palatino Linotype" w:eastAsia="Palatino Linotype" w:hAnsi="Palatino Linotype" w:cs="Palatino Linotype"/>
        </w:rPr>
      </w:pPr>
      <w:r w:rsidRPr="00C77556">
        <w:rPr>
          <w:rFonts w:ascii="Palatino Linotype" w:eastAsia="Palatino Linotype" w:hAnsi="Palatino Linotype" w:cs="Palatino Linotype"/>
          <w:noProof/>
        </w:rPr>
        <w:drawing>
          <wp:inline distT="0" distB="0" distL="0" distR="0" wp14:anchorId="19B1E940" wp14:editId="594DFCE9">
            <wp:extent cx="5612130" cy="1546225"/>
            <wp:effectExtent l="0" t="0" r="0" b="0"/>
            <wp:docPr id="4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2130" cy="1546225"/>
                    </a:xfrm>
                    <a:prstGeom prst="rect">
                      <a:avLst/>
                    </a:prstGeom>
                    <a:ln/>
                  </pic:spPr>
                </pic:pic>
              </a:graphicData>
            </a:graphic>
          </wp:inline>
        </w:drawing>
      </w:r>
    </w:p>
    <w:p w14:paraId="4CE3750C" w14:textId="77777777" w:rsidR="0078708B" w:rsidRPr="00C77556" w:rsidRDefault="0078708B">
      <w:pPr>
        <w:spacing w:line="360" w:lineRule="auto"/>
        <w:ind w:right="62"/>
        <w:jc w:val="both"/>
        <w:rPr>
          <w:rFonts w:ascii="Palatino Linotype" w:eastAsia="Palatino Linotype" w:hAnsi="Palatino Linotype" w:cs="Palatino Linotype"/>
        </w:rPr>
      </w:pPr>
    </w:p>
    <w:p w14:paraId="4D0E27F2" w14:textId="77777777" w:rsidR="0078708B" w:rsidRPr="00C77556" w:rsidRDefault="00A82FD4">
      <w:pPr>
        <w:spacing w:line="360" w:lineRule="auto"/>
        <w:ind w:right="62"/>
        <w:jc w:val="both"/>
        <w:rPr>
          <w:rFonts w:ascii="Palatino Linotype" w:eastAsia="Palatino Linotype" w:hAnsi="Palatino Linotype" w:cs="Palatino Linotype"/>
        </w:rPr>
      </w:pPr>
      <w:r w:rsidRPr="00C77556">
        <w:rPr>
          <w:rFonts w:ascii="Palatino Linotype" w:eastAsia="Palatino Linotype" w:hAnsi="Palatino Linotype" w:cs="Palatino Linotype"/>
        </w:rPr>
        <w:lastRenderedPageBreak/>
        <w:t xml:space="preserve">Conocida la respuesta por la parte </w:t>
      </w:r>
      <w:r w:rsidRPr="00C77556">
        <w:rPr>
          <w:rFonts w:ascii="Palatino Linotype" w:eastAsia="Palatino Linotype" w:hAnsi="Palatino Linotype" w:cs="Palatino Linotype"/>
          <w:b/>
        </w:rPr>
        <w:t xml:space="preserve">Recurrente </w:t>
      </w:r>
      <w:r w:rsidRPr="00C77556">
        <w:rPr>
          <w:rFonts w:ascii="Palatino Linotype" w:eastAsia="Palatino Linotype" w:hAnsi="Palatino Linotype" w:cs="Palatino Linotype"/>
        </w:rPr>
        <w:t xml:space="preserve">manifestó su inconformidad en los siguientes términos. </w:t>
      </w:r>
    </w:p>
    <w:p w14:paraId="331F5FE8" w14:textId="77777777" w:rsidR="0078708B" w:rsidRPr="00C77556" w:rsidRDefault="00A82FD4">
      <w:pPr>
        <w:spacing w:line="276" w:lineRule="auto"/>
        <w:ind w:left="851" w:right="616"/>
        <w:jc w:val="both"/>
        <w:rPr>
          <w:rFonts w:ascii="Palatino Linotype" w:eastAsia="Palatino Linotype" w:hAnsi="Palatino Linotype" w:cs="Palatino Linotype"/>
          <w:sz w:val="22"/>
          <w:szCs w:val="22"/>
        </w:rPr>
      </w:pPr>
      <w:r w:rsidRPr="00C77556">
        <w:rPr>
          <w:rFonts w:ascii="Palatino Linotype" w:eastAsia="Palatino Linotype" w:hAnsi="Palatino Linotype" w:cs="Palatino Linotype"/>
          <w:i/>
          <w:sz w:val="18"/>
          <w:szCs w:val="18"/>
        </w:rPr>
        <w:t>“</w:t>
      </w:r>
      <w:r w:rsidRPr="00C77556">
        <w:rPr>
          <w:rFonts w:ascii="Palatino Linotype" w:eastAsia="Palatino Linotype" w:hAnsi="Palatino Linotype" w:cs="Palatino Linotype"/>
          <w:i/>
          <w:sz w:val="22"/>
          <w:szCs w:val="22"/>
        </w:rPr>
        <w:t>Se da una respuesta relacionada a qué han recibido 3753, atendido 2666 y al final mencionan que están pendientes por atender 3077. La segunda y última cantidad no cuadra con la primera respuesta proporcionada.”</w:t>
      </w:r>
    </w:p>
    <w:p w14:paraId="55AF1DD3" w14:textId="77777777" w:rsidR="0078708B" w:rsidRPr="00C77556" w:rsidRDefault="0078708B">
      <w:pPr>
        <w:spacing w:line="360" w:lineRule="auto"/>
        <w:ind w:right="51"/>
        <w:jc w:val="both"/>
        <w:rPr>
          <w:rFonts w:ascii="Palatino Linotype" w:eastAsia="Palatino Linotype" w:hAnsi="Palatino Linotype" w:cs="Palatino Linotype"/>
        </w:rPr>
      </w:pPr>
    </w:p>
    <w:p w14:paraId="3A17F9A0" w14:textId="77777777" w:rsidR="0078708B" w:rsidRPr="00C77556" w:rsidRDefault="00A82FD4">
      <w:pPr>
        <w:spacing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En este orden de ideas, el </w:t>
      </w:r>
      <w:r w:rsidRPr="00C77556">
        <w:rPr>
          <w:rFonts w:ascii="Palatino Linotype" w:eastAsia="Palatino Linotype" w:hAnsi="Palatino Linotype" w:cs="Palatino Linotype"/>
          <w:b/>
        </w:rPr>
        <w:t xml:space="preserve">Sujeto Obligado </w:t>
      </w:r>
      <w:r w:rsidRPr="00C77556">
        <w:rPr>
          <w:rFonts w:ascii="Palatino Linotype" w:eastAsia="Palatino Linotype" w:hAnsi="Palatino Linotype" w:cs="Palatino Linotype"/>
        </w:rPr>
        <w:t xml:space="preserve">haciendo uso de su derecho y al rendir el informe justificado ratificó la respuesta inicial sobre estos puntos que se analizan, tal como se muestra en la siguiente imagen. </w:t>
      </w:r>
    </w:p>
    <w:p w14:paraId="44D03E06"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noProof/>
        </w:rPr>
        <w:lastRenderedPageBreak/>
        <w:drawing>
          <wp:inline distT="0" distB="0" distL="0" distR="0" wp14:anchorId="1FEC6D7C" wp14:editId="4C30E4AB">
            <wp:extent cx="5612130" cy="6962775"/>
            <wp:effectExtent l="0" t="0" r="0" b="0"/>
            <wp:docPr id="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5612130" cy="6962775"/>
                    </a:xfrm>
                    <a:prstGeom prst="rect">
                      <a:avLst/>
                    </a:prstGeom>
                    <a:ln/>
                  </pic:spPr>
                </pic:pic>
              </a:graphicData>
            </a:graphic>
          </wp:inline>
        </w:drawing>
      </w:r>
    </w:p>
    <w:p w14:paraId="03E8504A"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lastRenderedPageBreak/>
        <w:t xml:space="preserve">Documento del cual se desprende que el </w:t>
      </w:r>
      <w:r w:rsidRPr="00C77556">
        <w:rPr>
          <w:rFonts w:ascii="Palatino Linotype" w:eastAsia="Palatino Linotype" w:hAnsi="Palatino Linotype" w:cs="Palatino Linotype"/>
          <w:b/>
        </w:rPr>
        <w:t xml:space="preserve">Sujeto Obligado </w:t>
      </w:r>
      <w:r w:rsidRPr="00C77556">
        <w:rPr>
          <w:rFonts w:ascii="Palatino Linotype" w:eastAsia="Palatino Linotype" w:hAnsi="Palatino Linotype" w:cs="Palatino Linotype"/>
        </w:rPr>
        <w:t xml:space="preserve">precisó en la respuesta al cuestionamiento relativo a la deuda que tiene el ISSEMYM relativo al pago de fallecimientos y refirió que de enero de dos mil veintiuno al treinta de septiembre de dos mil veintidós se tienen cuantificados 3,077 trámites pendientes; es decir 1,087 de dos mil veintiuno más 1990 de enero a septiembre de dos mil veintidós. </w:t>
      </w:r>
    </w:p>
    <w:p w14:paraId="025CCDC6" w14:textId="77777777" w:rsidR="0078708B" w:rsidRPr="00C77556" w:rsidRDefault="00A82FD4">
      <w:pPr>
        <w:spacing w:line="360" w:lineRule="auto"/>
        <w:ind w:right="-93"/>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Una vez precisado lo anterior, no escapa de la óptica de este Organismo Garante que la parte </w:t>
      </w:r>
      <w:r w:rsidRPr="00C77556">
        <w:rPr>
          <w:rFonts w:ascii="Palatino Linotype" w:eastAsia="Palatino Linotype" w:hAnsi="Palatino Linotype" w:cs="Palatino Linotype"/>
          <w:b/>
        </w:rPr>
        <w:t xml:space="preserve">Recurrente </w:t>
      </w:r>
      <w:r w:rsidRPr="00C77556">
        <w:rPr>
          <w:rFonts w:ascii="Palatino Linotype" w:eastAsia="Palatino Linotype" w:hAnsi="Palatino Linotype" w:cs="Palatino Linotype"/>
        </w:rPr>
        <w:t xml:space="preserve">manifestó que </w:t>
      </w:r>
      <w:r w:rsidRPr="00C77556">
        <w:rPr>
          <w:rFonts w:ascii="Palatino Linotype" w:eastAsia="Palatino Linotype" w:hAnsi="Palatino Linotype" w:cs="Palatino Linotype"/>
          <w:i/>
        </w:rPr>
        <w:t xml:space="preserve">“no es verídico el dato proporcionado en cuánto a trámites” </w:t>
      </w:r>
      <w:r w:rsidRPr="00C77556">
        <w:rPr>
          <w:rFonts w:ascii="Palatino Linotype" w:eastAsia="Palatino Linotype" w:hAnsi="Palatino Linotype" w:cs="Palatino Linotype"/>
        </w:rPr>
        <w:t xml:space="preserve">en este sentido se advierte que la persona solicitante combate la autenticidad o veracidad de la información proporcionada por el </w:t>
      </w:r>
      <w:r w:rsidRPr="00C77556">
        <w:rPr>
          <w:rFonts w:ascii="Palatino Linotype" w:eastAsia="Palatino Linotype" w:hAnsi="Palatino Linotype" w:cs="Palatino Linotype"/>
          <w:b/>
        </w:rPr>
        <w:t xml:space="preserve">Sujeto Obligado, </w:t>
      </w:r>
      <w:r w:rsidRPr="00C77556">
        <w:rPr>
          <w:rFonts w:ascii="Palatino Linotype" w:eastAsia="Palatino Linotype" w:hAnsi="Palatino Linotype" w:cs="Palatino Linotype"/>
        </w:rPr>
        <w:t xml:space="preserve">no obstante como ya se destacó, la respuesta fue proporcionada por el área competente. </w:t>
      </w:r>
    </w:p>
    <w:p w14:paraId="3D4EE2D2" w14:textId="77777777" w:rsidR="0078708B" w:rsidRPr="00C77556" w:rsidRDefault="0078708B">
      <w:pPr>
        <w:spacing w:line="360" w:lineRule="auto"/>
        <w:ind w:right="-93"/>
        <w:jc w:val="both"/>
        <w:rPr>
          <w:rFonts w:ascii="Palatino Linotype" w:eastAsia="Palatino Linotype" w:hAnsi="Palatino Linotype" w:cs="Palatino Linotype"/>
        </w:rPr>
      </w:pPr>
    </w:p>
    <w:p w14:paraId="16606D7B" w14:textId="77777777" w:rsidR="0078708B" w:rsidRPr="00C77556" w:rsidRDefault="00A82FD4">
      <w:pPr>
        <w:spacing w:after="240"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En este sentido al haber existido un pronunciamiento por parte del </w:t>
      </w:r>
      <w:r w:rsidRPr="00C77556">
        <w:rPr>
          <w:rFonts w:ascii="Palatino Linotype" w:eastAsia="Palatino Linotype" w:hAnsi="Palatino Linotype" w:cs="Palatino Linotype"/>
          <w:b/>
        </w:rPr>
        <w:t>Sujeto Obligado</w:t>
      </w:r>
      <w:r w:rsidRPr="00C77556">
        <w:rPr>
          <w:rFonts w:ascii="Palatino Linotype" w:eastAsia="Palatino Linotype" w:hAnsi="Palatino Linotype" w:cs="Palatino Linotype"/>
        </w:rPr>
        <w:t>, específicamente del servidor público habilitado competente, respecto del requerimiento de información, este Organismo Garante no está facultado para manifestarse sobre la veracidad de lo proporcionado, pues no existe precepto legal alguno en la Ley de la materia que lo faculte para ello, por tanto, el punto en estudio, se tiene por satisfecho.</w:t>
      </w:r>
    </w:p>
    <w:p w14:paraId="0C54D457" w14:textId="77777777" w:rsidR="0078708B" w:rsidRPr="00C77556" w:rsidRDefault="00A82FD4">
      <w:pPr>
        <w:pBdr>
          <w:top w:val="nil"/>
          <w:left w:val="nil"/>
          <w:bottom w:val="nil"/>
          <w:right w:val="nil"/>
          <w:between w:val="nil"/>
        </w:pBdr>
        <w:spacing w:before="240" w:after="240" w:line="360" w:lineRule="auto"/>
        <w:jc w:val="both"/>
      </w:pPr>
      <w:r w:rsidRPr="00C77556">
        <w:rPr>
          <w:rFonts w:ascii="Palatino Linotype" w:eastAsia="Palatino Linotype" w:hAnsi="Palatino Linotype" w:cs="Palatino Linotype"/>
        </w:rPr>
        <w:t>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14:paraId="2D62BA1D" w14:textId="77777777" w:rsidR="0078708B" w:rsidRPr="00C77556" w:rsidRDefault="00A82FD4">
      <w:pPr>
        <w:spacing w:before="240" w:after="240"/>
        <w:ind w:left="851" w:right="900"/>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b/>
          <w:i/>
          <w:sz w:val="22"/>
          <w:szCs w:val="22"/>
        </w:rPr>
        <w:lastRenderedPageBreak/>
        <w:t xml:space="preserve"> “El Instituto Federal de Acceso a la Información y Protección de Datos no cuenta con facultades para pronunciarse respecto de la veracidad de los documentos proporcionados por los sujetos obligados</w:t>
      </w:r>
      <w:r w:rsidRPr="00C77556">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14:paraId="3F8AC054" w14:textId="77777777" w:rsidR="0078708B" w:rsidRPr="00C77556" w:rsidRDefault="00A82FD4">
      <w:pPr>
        <w:spacing w:before="240" w:after="240" w:line="360" w:lineRule="auto"/>
        <w:jc w:val="both"/>
        <w:rPr>
          <w:rFonts w:ascii="Palatino Linotype" w:eastAsia="Palatino Linotype" w:hAnsi="Palatino Linotype" w:cs="Palatino Linotype"/>
          <w:b/>
        </w:rPr>
      </w:pPr>
      <w:r w:rsidRPr="00C77556">
        <w:rPr>
          <w:rFonts w:ascii="Palatino Linotype" w:eastAsia="Palatino Linotype" w:hAnsi="Palatino Linotype" w:cs="Palatino Linotype"/>
        </w:rPr>
        <w:t xml:space="preserve">Por lo que, se tienen por satisfechos los puntos analizados en este rubro toda vez que el Servidor Público respondió y proporcionó las cantidades específicas requeridas por la parte </w:t>
      </w:r>
      <w:r w:rsidRPr="00C77556">
        <w:rPr>
          <w:rFonts w:ascii="Palatino Linotype" w:eastAsia="Palatino Linotype" w:hAnsi="Palatino Linotype" w:cs="Palatino Linotype"/>
          <w:b/>
        </w:rPr>
        <w:t xml:space="preserve">Recurrente </w:t>
      </w:r>
    </w:p>
    <w:p w14:paraId="49012F88" w14:textId="77777777" w:rsidR="0078708B" w:rsidRPr="00C77556" w:rsidRDefault="00A82FD4">
      <w:pPr>
        <w:spacing w:line="360" w:lineRule="auto"/>
        <w:ind w:right="-93"/>
        <w:jc w:val="both"/>
        <w:rPr>
          <w:rFonts w:ascii="Palatino Linotype" w:eastAsia="Palatino Linotype" w:hAnsi="Palatino Linotype" w:cs="Palatino Linotype"/>
          <w:b/>
        </w:rPr>
      </w:pPr>
      <w:r w:rsidRPr="00C77556">
        <w:rPr>
          <w:rFonts w:ascii="Palatino Linotype" w:eastAsia="Palatino Linotype" w:hAnsi="Palatino Linotype" w:cs="Palatino Linotype"/>
        </w:rPr>
        <w:t xml:space="preserve">Lo anterior, ya que si bien el derecho de acceso a la información pública se satisface en aquellos casos en que se entregue el soporte documental en que conste la información pública, sin la necesidad de elaborar documentos </w:t>
      </w:r>
      <w:r w:rsidRPr="00C77556">
        <w:rPr>
          <w:rFonts w:ascii="Palatino Linotype" w:eastAsia="Palatino Linotype" w:hAnsi="Palatino Linotype" w:cs="Palatino Linotype"/>
          <w:i/>
        </w:rPr>
        <w:t>ad hoc</w:t>
      </w:r>
      <w:r w:rsidRPr="00C77556">
        <w:rPr>
          <w:rFonts w:ascii="Palatino Linotype" w:eastAsia="Palatino Linotype" w:hAnsi="Palatino Linotype" w:cs="Palatino Linotype"/>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Sujeto Obligado, elaboró un documento ad hoc para dar cabal cumplimiento al derecho de acceso a la información del particular aún y </w:t>
      </w:r>
      <w:r w:rsidRPr="00C77556">
        <w:rPr>
          <w:rFonts w:ascii="Palatino Linotype" w:eastAsia="Palatino Linotype" w:hAnsi="Palatino Linotype" w:cs="Palatino Linotype"/>
          <w:b/>
        </w:rPr>
        <w:t>cuando no es una obligación de las autoridades</w:t>
      </w:r>
      <w:r w:rsidRPr="00C77556">
        <w:rPr>
          <w:rFonts w:ascii="Palatino Linotype" w:eastAsia="Palatino Linotype" w:hAnsi="Palatino Linotype" w:cs="Palatino Linotype"/>
        </w:rPr>
        <w:t xml:space="preserve"> tal y como lo señala el Criterio 09-10, emitido por el Pleno del entonces Instituto Federal de Acceso a la Información y Protección de </w:t>
      </w:r>
      <w:r w:rsidRPr="00C77556">
        <w:rPr>
          <w:rFonts w:ascii="Palatino Linotype" w:eastAsia="Palatino Linotype" w:hAnsi="Palatino Linotype" w:cs="Palatino Linotype"/>
        </w:rPr>
        <w:lastRenderedPageBreak/>
        <w:t>Datos, ahora Instituto Nacional de Transparencia, Acceso a la Información y Protección de Datos Personales, que dice:</w:t>
      </w:r>
      <w:r w:rsidRPr="00C77556">
        <w:rPr>
          <w:rFonts w:ascii="Palatino Linotype" w:eastAsia="Palatino Linotype" w:hAnsi="Palatino Linotype" w:cs="Palatino Linotype"/>
          <w:b/>
        </w:rPr>
        <w:t xml:space="preserve"> </w:t>
      </w:r>
    </w:p>
    <w:p w14:paraId="4D894627" w14:textId="77777777" w:rsidR="0078708B" w:rsidRPr="00C77556" w:rsidRDefault="00A82FD4">
      <w:pPr>
        <w:spacing w:line="276" w:lineRule="auto"/>
        <w:ind w:left="851" w:right="851"/>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26552687" w14:textId="77777777" w:rsidR="0078708B" w:rsidRPr="00C77556" w:rsidRDefault="00A82FD4">
      <w:pPr>
        <w:spacing w:line="276" w:lineRule="auto"/>
        <w:ind w:left="851" w:right="851"/>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Expedientes:</w:t>
      </w:r>
    </w:p>
    <w:p w14:paraId="2BB3D326" w14:textId="77777777" w:rsidR="0078708B" w:rsidRPr="00C77556" w:rsidRDefault="00A82FD4">
      <w:pPr>
        <w:spacing w:line="276" w:lineRule="auto"/>
        <w:ind w:left="851" w:right="851"/>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0438/08 Pemex Exploración y Producción – Alonso Lujambio Irazábal</w:t>
      </w:r>
    </w:p>
    <w:p w14:paraId="2CB824EF" w14:textId="77777777" w:rsidR="0078708B" w:rsidRPr="00C77556" w:rsidRDefault="00A82FD4">
      <w:pPr>
        <w:spacing w:line="276" w:lineRule="auto"/>
        <w:ind w:left="851" w:right="851"/>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1751/09 Laboratorios de Biológicos y Reactivos de México S.A. de C.V. –</w:t>
      </w:r>
    </w:p>
    <w:p w14:paraId="2F6DAD48" w14:textId="77777777" w:rsidR="0078708B" w:rsidRPr="00C77556" w:rsidRDefault="00A82FD4">
      <w:pPr>
        <w:spacing w:line="276" w:lineRule="auto"/>
        <w:ind w:left="851" w:right="851"/>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María </w:t>
      </w:r>
      <w:proofErr w:type="spellStart"/>
      <w:r w:rsidRPr="00C77556">
        <w:rPr>
          <w:rFonts w:ascii="Palatino Linotype" w:eastAsia="Palatino Linotype" w:hAnsi="Palatino Linotype" w:cs="Palatino Linotype"/>
          <w:i/>
          <w:sz w:val="22"/>
          <w:szCs w:val="22"/>
        </w:rPr>
        <w:t>Marván</w:t>
      </w:r>
      <w:proofErr w:type="spellEnd"/>
      <w:r w:rsidRPr="00C77556">
        <w:rPr>
          <w:rFonts w:ascii="Palatino Linotype" w:eastAsia="Palatino Linotype" w:hAnsi="Palatino Linotype" w:cs="Palatino Linotype"/>
          <w:i/>
          <w:sz w:val="22"/>
          <w:szCs w:val="22"/>
        </w:rPr>
        <w:t xml:space="preserve"> Laborde</w:t>
      </w:r>
    </w:p>
    <w:p w14:paraId="1D9D6F70" w14:textId="77777777" w:rsidR="0078708B" w:rsidRPr="00C77556" w:rsidRDefault="00A82FD4">
      <w:pPr>
        <w:spacing w:line="276" w:lineRule="auto"/>
        <w:ind w:left="851" w:right="851"/>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2868/09 Consejo Nacional de Ciencia y Tecnología – Jacqueline </w:t>
      </w:r>
      <w:proofErr w:type="spellStart"/>
      <w:r w:rsidRPr="00C77556">
        <w:rPr>
          <w:rFonts w:ascii="Palatino Linotype" w:eastAsia="Palatino Linotype" w:hAnsi="Palatino Linotype" w:cs="Palatino Linotype"/>
          <w:i/>
          <w:sz w:val="22"/>
          <w:szCs w:val="22"/>
        </w:rPr>
        <w:t>Peschard</w:t>
      </w:r>
      <w:proofErr w:type="spellEnd"/>
    </w:p>
    <w:p w14:paraId="3BC8CBB8" w14:textId="77777777" w:rsidR="0078708B" w:rsidRPr="00C77556" w:rsidRDefault="00A82FD4">
      <w:pPr>
        <w:spacing w:line="276" w:lineRule="auto"/>
        <w:ind w:left="851" w:right="851"/>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Mariscal</w:t>
      </w:r>
    </w:p>
    <w:p w14:paraId="213C15E1" w14:textId="77777777" w:rsidR="0078708B" w:rsidRPr="00C77556" w:rsidRDefault="00A82FD4">
      <w:pPr>
        <w:spacing w:line="276" w:lineRule="auto"/>
        <w:ind w:left="851" w:right="851"/>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5160/09 Secretaría de Hacienda y Crédito Público – Ángel Trinidad Zaldívar</w:t>
      </w:r>
    </w:p>
    <w:p w14:paraId="19202FE2" w14:textId="77777777" w:rsidR="0078708B" w:rsidRPr="00C77556" w:rsidRDefault="00A82FD4">
      <w:pPr>
        <w:spacing w:line="276" w:lineRule="auto"/>
        <w:ind w:left="851" w:right="851"/>
        <w:jc w:val="both"/>
        <w:rPr>
          <w:rFonts w:ascii="Palatino Linotype" w:eastAsia="Palatino Linotype" w:hAnsi="Palatino Linotype" w:cs="Palatino Linotype"/>
          <w:i/>
          <w:sz w:val="22"/>
          <w:szCs w:val="22"/>
        </w:rPr>
      </w:pPr>
      <w:r w:rsidRPr="00C77556">
        <w:rPr>
          <w:rFonts w:ascii="Palatino Linotype" w:eastAsia="Palatino Linotype" w:hAnsi="Palatino Linotype" w:cs="Palatino Linotype"/>
          <w:i/>
          <w:sz w:val="22"/>
          <w:szCs w:val="22"/>
        </w:rPr>
        <w:t xml:space="preserve">0304/10 Instituto Nacional de Cancerología – Jacqueline </w:t>
      </w:r>
      <w:proofErr w:type="spellStart"/>
      <w:r w:rsidRPr="00C77556">
        <w:rPr>
          <w:rFonts w:ascii="Palatino Linotype" w:eastAsia="Palatino Linotype" w:hAnsi="Palatino Linotype" w:cs="Palatino Linotype"/>
          <w:i/>
          <w:sz w:val="22"/>
          <w:szCs w:val="22"/>
        </w:rPr>
        <w:t>Peschard</w:t>
      </w:r>
      <w:proofErr w:type="spellEnd"/>
      <w:r w:rsidRPr="00C77556">
        <w:rPr>
          <w:rFonts w:ascii="Palatino Linotype" w:eastAsia="Palatino Linotype" w:hAnsi="Palatino Linotype" w:cs="Palatino Linotype"/>
          <w:i/>
          <w:sz w:val="22"/>
          <w:szCs w:val="22"/>
        </w:rPr>
        <w:t xml:space="preserve"> Mariscal</w:t>
      </w:r>
    </w:p>
    <w:p w14:paraId="02D9AE19" w14:textId="77777777" w:rsidR="0078708B" w:rsidRPr="00C77556" w:rsidRDefault="0078708B">
      <w:pPr>
        <w:spacing w:line="360" w:lineRule="auto"/>
        <w:ind w:right="-93"/>
        <w:jc w:val="both"/>
        <w:rPr>
          <w:rFonts w:ascii="Palatino Linotype" w:eastAsia="Palatino Linotype" w:hAnsi="Palatino Linotype" w:cs="Palatino Linotype"/>
        </w:rPr>
      </w:pPr>
    </w:p>
    <w:p w14:paraId="73F8A303" w14:textId="77777777" w:rsidR="0078708B" w:rsidRPr="00C77556" w:rsidRDefault="00A82FD4">
      <w:pPr>
        <w:spacing w:line="360" w:lineRule="auto"/>
        <w:ind w:right="-93"/>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Entonces, dado a que el criterio en mención establece que las autoridades </w:t>
      </w:r>
      <w:r w:rsidRPr="00C77556">
        <w:rPr>
          <w:rFonts w:ascii="Palatino Linotype" w:eastAsia="Palatino Linotype" w:hAnsi="Palatino Linotype" w:cs="Palatino Linotype"/>
          <w:b/>
        </w:rPr>
        <w:t xml:space="preserve">no están obligadas a generar documentos “ad hoc” </w:t>
      </w:r>
      <w:r w:rsidRPr="00C77556">
        <w:rPr>
          <w:rFonts w:ascii="Palatino Linotype" w:eastAsia="Palatino Linotype" w:hAnsi="Palatino Linotype" w:cs="Palatino Linotype"/>
        </w:rPr>
        <w:t>en contrario sensu, dicho criterio se puede interpretar resultando que las autoridades no están impedidas a generar documentos “ad hoc”, esto, siempre que con dicho documento elaborado se dé cabal cumplimiento a los requerimientos planteados.</w:t>
      </w:r>
    </w:p>
    <w:p w14:paraId="24929132" w14:textId="77777777" w:rsidR="0078708B" w:rsidRPr="00C77556" w:rsidRDefault="0078708B">
      <w:pPr>
        <w:spacing w:line="360" w:lineRule="auto"/>
        <w:ind w:right="-93"/>
        <w:jc w:val="both"/>
        <w:rPr>
          <w:rFonts w:ascii="Palatino Linotype" w:eastAsia="Palatino Linotype" w:hAnsi="Palatino Linotype" w:cs="Palatino Linotype"/>
        </w:rPr>
      </w:pPr>
    </w:p>
    <w:p w14:paraId="25D8F352" w14:textId="77777777" w:rsidR="0078708B" w:rsidRPr="00C77556" w:rsidRDefault="00A82FD4">
      <w:pPr>
        <w:spacing w:before="240" w:after="240" w:line="360" w:lineRule="auto"/>
        <w:jc w:val="both"/>
        <w:rPr>
          <w:rFonts w:ascii="Palatino Linotype" w:eastAsia="Palatino Linotype" w:hAnsi="Palatino Linotype" w:cs="Palatino Linotype"/>
          <w:i/>
        </w:rPr>
      </w:pPr>
      <w:r w:rsidRPr="00C77556">
        <w:rPr>
          <w:rFonts w:ascii="Palatino Linotype" w:eastAsia="Palatino Linotype" w:hAnsi="Palatino Linotype" w:cs="Palatino Linotype"/>
        </w:rPr>
        <w:lastRenderedPageBreak/>
        <w:t xml:space="preserve">Finalmente, en relación al cuestionamiento del numeral 3 </w:t>
      </w:r>
      <w:r w:rsidRPr="00C77556">
        <w:rPr>
          <w:rFonts w:ascii="Palatino Linotype" w:eastAsia="Palatino Linotype" w:hAnsi="Palatino Linotype" w:cs="Palatino Linotype"/>
          <w:i/>
        </w:rPr>
        <w:t xml:space="preserve">¿Existe una cédula de trámites y servicios respecto al trámite de seguro por fallecimiento? De ser así proporcionar la misma de forma actualizada y la pagina donde esta publicada. </w:t>
      </w:r>
    </w:p>
    <w:p w14:paraId="0EFB678F"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El Jefe del Departamento de Pensiones adscrita al Servidor Público Habilitado de la Coordinación de Prestaciones y Seguridad Social informó: “…</w:t>
      </w:r>
      <w:r w:rsidRPr="00C77556">
        <w:rPr>
          <w:rFonts w:ascii="Palatino Linotype" w:eastAsia="Palatino Linotype" w:hAnsi="Palatino Linotype" w:cs="Palatino Linotype"/>
          <w:i/>
        </w:rPr>
        <w:t>a través de la página electrónica del Registro Estatal de Trámites y Servicios del Estado de México (</w:t>
      </w:r>
      <w:proofErr w:type="spellStart"/>
      <w:r w:rsidRPr="00C77556">
        <w:rPr>
          <w:rFonts w:ascii="Palatino Linotype" w:eastAsia="Palatino Linotype" w:hAnsi="Palatino Linotype" w:cs="Palatino Linotype"/>
          <w:i/>
        </w:rPr>
        <w:t>RETyS</w:t>
      </w:r>
      <w:proofErr w:type="spellEnd"/>
      <w:r w:rsidRPr="00C77556">
        <w:rPr>
          <w:rFonts w:ascii="Palatino Linotype" w:eastAsia="Palatino Linotype" w:hAnsi="Palatino Linotype" w:cs="Palatino Linotype"/>
          <w:i/>
        </w:rPr>
        <w:t>), las personas interesadas pueden consultar la cédula informativa del trámite de seguro por fallecimiento a través de la siguiente dirección electrónica</w:t>
      </w:r>
      <w:r w:rsidRPr="00C77556">
        <w:rPr>
          <w:rFonts w:ascii="Palatino Linotype" w:eastAsia="Palatino Linotype" w:hAnsi="Palatino Linotype" w:cs="Palatino Linotype"/>
        </w:rPr>
        <w:t xml:space="preserve">: </w:t>
      </w:r>
    </w:p>
    <w:p w14:paraId="5DC09976" w14:textId="77777777" w:rsidR="0078708B" w:rsidRPr="00C77556" w:rsidRDefault="0031182B">
      <w:pPr>
        <w:spacing w:before="240" w:after="240" w:line="360" w:lineRule="auto"/>
        <w:jc w:val="both"/>
        <w:rPr>
          <w:rFonts w:ascii="Palatino Linotype" w:eastAsia="Palatino Linotype" w:hAnsi="Palatino Linotype" w:cs="Palatino Linotype"/>
        </w:rPr>
      </w:pPr>
      <w:hyperlink r:id="rId13">
        <w:r w:rsidR="00A82FD4" w:rsidRPr="00C77556">
          <w:rPr>
            <w:rFonts w:ascii="Palatino Linotype" w:eastAsia="Palatino Linotype" w:hAnsi="Palatino Linotype" w:cs="Palatino Linotype"/>
            <w:u w:val="single"/>
          </w:rPr>
          <w:t>https://retys.edomex.gob.mx/cedulainfo/628?#</w:t>
        </w:r>
      </w:hyperlink>
      <w:r w:rsidR="00A82FD4" w:rsidRPr="00C77556">
        <w:rPr>
          <w:rFonts w:ascii="Palatino Linotype" w:eastAsia="Palatino Linotype" w:hAnsi="Palatino Linotype" w:cs="Palatino Linotype"/>
        </w:rPr>
        <w:t xml:space="preserve"> </w:t>
      </w:r>
    </w:p>
    <w:p w14:paraId="40CC2CC4"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Liga electrónica que una vez consultada se puede advertir la siguiente imagen. </w:t>
      </w:r>
    </w:p>
    <w:p w14:paraId="73DE406E"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noProof/>
        </w:rPr>
        <w:drawing>
          <wp:inline distT="0" distB="0" distL="0" distR="0" wp14:anchorId="0AC15DEC" wp14:editId="373CEC7E">
            <wp:extent cx="5612130" cy="3321050"/>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612130" cy="3321050"/>
                    </a:xfrm>
                    <a:prstGeom prst="rect">
                      <a:avLst/>
                    </a:prstGeom>
                    <a:ln/>
                  </pic:spPr>
                </pic:pic>
              </a:graphicData>
            </a:graphic>
          </wp:inline>
        </w:drawing>
      </w:r>
    </w:p>
    <w:p w14:paraId="305AA503"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lastRenderedPageBreak/>
        <w:t xml:space="preserve">Cabe referir que al seleccionar la opción descargar información, se puede consultar un documento integrado por siete páginas titulado </w:t>
      </w:r>
      <w:r w:rsidRPr="00C77556">
        <w:rPr>
          <w:rFonts w:ascii="Palatino Linotype" w:eastAsia="Palatino Linotype" w:hAnsi="Palatino Linotype" w:cs="Palatino Linotype"/>
          <w:i/>
        </w:rPr>
        <w:t xml:space="preserve">“Seguro de Fallecimiento” </w:t>
      </w:r>
      <w:r w:rsidRPr="00C77556">
        <w:rPr>
          <w:rFonts w:ascii="Palatino Linotype" w:eastAsia="Palatino Linotype" w:hAnsi="Palatino Linotype" w:cs="Palatino Linotype"/>
        </w:rPr>
        <w:t xml:space="preserve">y que para efectos ejemplificativos se inserta la primera foja. </w:t>
      </w:r>
    </w:p>
    <w:p w14:paraId="2079310B"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noProof/>
        </w:rPr>
        <w:drawing>
          <wp:inline distT="0" distB="0" distL="0" distR="0" wp14:anchorId="37497BBC" wp14:editId="191CAC99">
            <wp:extent cx="5612130" cy="5829300"/>
            <wp:effectExtent l="0" t="0" r="0" b="0"/>
            <wp:docPr id="4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612130" cy="5829300"/>
                    </a:xfrm>
                    <a:prstGeom prst="rect">
                      <a:avLst/>
                    </a:prstGeom>
                    <a:ln/>
                  </pic:spPr>
                </pic:pic>
              </a:graphicData>
            </a:graphic>
          </wp:inline>
        </w:drawing>
      </w:r>
    </w:p>
    <w:p w14:paraId="645B3B60"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lastRenderedPageBreak/>
        <w:t xml:space="preserve">Asimismo, informó que dicho trámite también está disponible para su consulta en el Sistema de Información Pública de Oficio Mexiquense (IPOMEX) correspondiente a la facción XXIV “Trámites, requisitos y formatos que ofrecen” de la Ley de Transparencia y Acceso a la Información Pública del Estado de México y Municipios, en la siguiente dirección electrónica. </w:t>
      </w:r>
      <w:hyperlink r:id="rId16">
        <w:r w:rsidRPr="00C77556">
          <w:rPr>
            <w:rFonts w:ascii="Palatino Linotype" w:eastAsia="Palatino Linotype" w:hAnsi="Palatino Linotype" w:cs="Palatino Linotype"/>
            <w:u w:val="single"/>
          </w:rPr>
          <w:t>https://www.ipomex.org.mx/ipo3/lgt/indice/issemym.web</w:t>
        </w:r>
      </w:hyperlink>
      <w:r w:rsidRPr="00C77556">
        <w:rPr>
          <w:rFonts w:ascii="Palatino Linotype" w:eastAsia="Palatino Linotype" w:hAnsi="Palatino Linotype" w:cs="Palatino Linotype"/>
        </w:rPr>
        <w:t xml:space="preserve"> en la que se puede consultar. </w:t>
      </w:r>
    </w:p>
    <w:p w14:paraId="1B01BD8D" w14:textId="77777777" w:rsidR="0078708B" w:rsidRPr="00C77556" w:rsidRDefault="0078708B">
      <w:pPr>
        <w:spacing w:before="240" w:after="240" w:line="360" w:lineRule="auto"/>
        <w:jc w:val="both"/>
        <w:rPr>
          <w:rFonts w:ascii="Palatino Linotype" w:eastAsia="Palatino Linotype" w:hAnsi="Palatino Linotype" w:cs="Palatino Linotype"/>
        </w:rPr>
      </w:pPr>
    </w:p>
    <w:p w14:paraId="2CD17E60"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noProof/>
        </w:rPr>
        <w:drawing>
          <wp:inline distT="0" distB="0" distL="0" distR="0" wp14:anchorId="7C162020" wp14:editId="77DB74D1">
            <wp:extent cx="5612130" cy="3713480"/>
            <wp:effectExtent l="0" t="0" r="0" b="0"/>
            <wp:docPr id="4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12130" cy="3713480"/>
                    </a:xfrm>
                    <a:prstGeom prst="rect">
                      <a:avLst/>
                    </a:prstGeom>
                    <a:ln/>
                  </pic:spPr>
                </pic:pic>
              </a:graphicData>
            </a:graphic>
          </wp:inline>
        </w:drawing>
      </w:r>
    </w:p>
    <w:p w14:paraId="7BE9EC88" w14:textId="77777777" w:rsidR="0078708B" w:rsidRPr="00C77556" w:rsidRDefault="0078708B">
      <w:pPr>
        <w:spacing w:before="240" w:after="240" w:line="360" w:lineRule="auto"/>
        <w:jc w:val="both"/>
        <w:rPr>
          <w:rFonts w:ascii="Palatino Linotype" w:eastAsia="Palatino Linotype" w:hAnsi="Palatino Linotype" w:cs="Palatino Linotype"/>
        </w:rPr>
      </w:pPr>
    </w:p>
    <w:p w14:paraId="58241E6E"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noProof/>
        </w:rPr>
        <w:lastRenderedPageBreak/>
        <w:drawing>
          <wp:inline distT="0" distB="0" distL="0" distR="0" wp14:anchorId="391D663E" wp14:editId="37E83D27">
            <wp:extent cx="5612130" cy="1638300"/>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5612130" cy="1638300"/>
                    </a:xfrm>
                    <a:prstGeom prst="rect">
                      <a:avLst/>
                    </a:prstGeom>
                    <a:ln/>
                  </pic:spPr>
                </pic:pic>
              </a:graphicData>
            </a:graphic>
          </wp:inline>
        </w:drawing>
      </w:r>
    </w:p>
    <w:p w14:paraId="7CB05A11"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Sobre la liga proporcionada, si bien es cierto, que el Sujeto Obligado refirió que la fracción XXIV, también lo es que, al consultarla se observa información de 2018, 2022 y 2023. </w:t>
      </w:r>
    </w:p>
    <w:p w14:paraId="147C44E6"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noProof/>
        </w:rPr>
        <w:drawing>
          <wp:inline distT="0" distB="0" distL="0" distR="0" wp14:anchorId="637ED8D5" wp14:editId="14515127">
            <wp:extent cx="5515745" cy="2915057"/>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515745" cy="2915057"/>
                    </a:xfrm>
                    <a:prstGeom prst="rect">
                      <a:avLst/>
                    </a:prstGeom>
                    <a:ln/>
                  </pic:spPr>
                </pic:pic>
              </a:graphicData>
            </a:graphic>
          </wp:inline>
        </w:drawing>
      </w:r>
    </w:p>
    <w:p w14:paraId="7E6BF5CE" w14:textId="77777777" w:rsidR="0078708B" w:rsidRPr="00C77556" w:rsidRDefault="00A82FD4">
      <w:pPr>
        <w:spacing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t>De ello, como se logra observar el vínculo proporcionado por el Sujeto Obligado dirige a la fracción XXIV trámites y servicios, de modo que, es importante traer a colación que el artículo 161</w:t>
      </w:r>
      <w:r w:rsidRPr="00C77556">
        <w:rPr>
          <w:rFonts w:ascii="Palatino Linotype" w:eastAsia="Palatino Linotype" w:hAnsi="Palatino Linotype" w:cs="Palatino Linotype"/>
          <w:vertAlign w:val="superscript"/>
        </w:rPr>
        <w:t xml:space="preserve"> </w:t>
      </w:r>
      <w:r w:rsidRPr="00C77556">
        <w:rPr>
          <w:rFonts w:ascii="Palatino Linotype" w:eastAsia="Palatino Linotype" w:hAnsi="Palatino Linotype" w:cs="Palatino Linotype"/>
        </w:rPr>
        <w:t xml:space="preserve">de la Ley de Transparencia y Acceso a la Información </w:t>
      </w:r>
      <w:r w:rsidRPr="00C77556">
        <w:rPr>
          <w:rFonts w:ascii="Palatino Linotype" w:eastAsia="Palatino Linotype" w:hAnsi="Palatino Linotype" w:cs="Palatino Linotype"/>
        </w:rPr>
        <w:lastRenderedPageBreak/>
        <w:t>Pública del Estado de México y Municipios</w:t>
      </w:r>
      <w:r w:rsidRPr="00C77556">
        <w:rPr>
          <w:rFonts w:ascii="Palatino Linotype" w:eastAsia="Palatino Linotype" w:hAnsi="Palatino Linotype" w:cs="Palatino Linotype"/>
          <w:i/>
        </w:rPr>
        <w:t xml:space="preserve"> </w:t>
      </w:r>
      <w:r w:rsidRPr="00C77556">
        <w:rPr>
          <w:rFonts w:ascii="Palatino Linotype" w:eastAsia="Palatino Linotype" w:hAnsi="Palatino Linotype" w:cs="Palatino Linotype"/>
        </w:rPr>
        <w:t xml:space="preserve">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w:t>
      </w:r>
      <w:r w:rsidRPr="00C77556">
        <w:rPr>
          <w:rFonts w:ascii="Palatino Linotype" w:eastAsia="Palatino Linotype" w:hAnsi="Palatino Linotype" w:cs="Palatino Linotype"/>
          <w:b/>
          <w:u w:val="single"/>
        </w:rPr>
        <w:t>en un plazo no mayor a cinco días hábiles</w:t>
      </w:r>
      <w:r w:rsidRPr="00C77556">
        <w:rPr>
          <w:rFonts w:ascii="Palatino Linotype" w:eastAsia="Palatino Linotype" w:hAnsi="Palatino Linotype" w:cs="Palatino Linotype"/>
        </w:rPr>
        <w:t>, comprendiendo:</w:t>
      </w:r>
    </w:p>
    <w:p w14:paraId="0EC1E044" w14:textId="77777777" w:rsidR="0078708B" w:rsidRPr="00C77556" w:rsidRDefault="0078708B">
      <w:pPr>
        <w:spacing w:line="360" w:lineRule="auto"/>
        <w:ind w:right="49"/>
        <w:jc w:val="both"/>
        <w:rPr>
          <w:rFonts w:ascii="Palatino Linotype" w:eastAsia="Palatino Linotype" w:hAnsi="Palatino Linotype" w:cs="Palatino Linotype"/>
        </w:rPr>
      </w:pPr>
    </w:p>
    <w:p w14:paraId="3EC55111" w14:textId="77777777" w:rsidR="0078708B" w:rsidRPr="00C77556" w:rsidRDefault="00A82FD4">
      <w:pPr>
        <w:spacing w:line="276" w:lineRule="auto"/>
        <w:ind w:left="284" w:right="49"/>
        <w:jc w:val="both"/>
        <w:rPr>
          <w:rFonts w:ascii="Palatino Linotype" w:eastAsia="Palatino Linotype" w:hAnsi="Palatino Linotype" w:cs="Palatino Linotype"/>
        </w:rPr>
      </w:pPr>
      <w:r w:rsidRPr="00C77556">
        <w:rPr>
          <w:rFonts w:ascii="Palatino Linotype" w:eastAsia="Palatino Linotype" w:hAnsi="Palatino Linotype" w:cs="Palatino Linotype"/>
        </w:rPr>
        <w:t>a) La fuente</w:t>
      </w:r>
    </w:p>
    <w:p w14:paraId="32C3D424" w14:textId="77777777" w:rsidR="0078708B" w:rsidRPr="00C77556" w:rsidRDefault="00A82FD4">
      <w:pPr>
        <w:spacing w:line="276" w:lineRule="auto"/>
        <w:ind w:left="284" w:right="49"/>
        <w:jc w:val="both"/>
        <w:rPr>
          <w:rFonts w:ascii="Palatino Linotype" w:eastAsia="Palatino Linotype" w:hAnsi="Palatino Linotype" w:cs="Palatino Linotype"/>
        </w:rPr>
      </w:pPr>
      <w:r w:rsidRPr="00C77556">
        <w:rPr>
          <w:rFonts w:ascii="Palatino Linotype" w:eastAsia="Palatino Linotype" w:hAnsi="Palatino Linotype" w:cs="Palatino Linotype"/>
        </w:rPr>
        <w:t>b) El lugar y</w:t>
      </w:r>
    </w:p>
    <w:p w14:paraId="1DAE3030" w14:textId="77777777" w:rsidR="0078708B" w:rsidRPr="00C77556" w:rsidRDefault="00A82FD4">
      <w:pPr>
        <w:spacing w:line="276" w:lineRule="auto"/>
        <w:ind w:left="284" w:right="49"/>
        <w:jc w:val="both"/>
        <w:rPr>
          <w:rFonts w:ascii="Palatino Linotype" w:eastAsia="Palatino Linotype" w:hAnsi="Palatino Linotype" w:cs="Palatino Linotype"/>
        </w:rPr>
      </w:pPr>
      <w:r w:rsidRPr="00C77556">
        <w:rPr>
          <w:rFonts w:ascii="Palatino Linotype" w:eastAsia="Palatino Linotype" w:hAnsi="Palatino Linotype" w:cs="Palatino Linotype"/>
        </w:rPr>
        <w:t>c) La forma</w:t>
      </w:r>
    </w:p>
    <w:p w14:paraId="3E7B6360" w14:textId="77777777" w:rsidR="0078708B" w:rsidRPr="00C77556" w:rsidRDefault="0078708B">
      <w:pPr>
        <w:spacing w:line="276" w:lineRule="auto"/>
        <w:ind w:left="284" w:right="49"/>
        <w:jc w:val="both"/>
        <w:rPr>
          <w:rFonts w:ascii="Palatino Linotype" w:eastAsia="Palatino Linotype" w:hAnsi="Palatino Linotype" w:cs="Palatino Linotype"/>
        </w:rPr>
      </w:pPr>
    </w:p>
    <w:p w14:paraId="1EA02DB9" w14:textId="77777777" w:rsidR="0078708B" w:rsidRPr="00C77556" w:rsidRDefault="00A82FD4">
      <w:pPr>
        <w:spacing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t>Asimismo, se establece que la fuente de la información deberá ser:</w:t>
      </w:r>
    </w:p>
    <w:p w14:paraId="0206CF81" w14:textId="77777777" w:rsidR="0078708B" w:rsidRPr="00C77556" w:rsidRDefault="00A82FD4">
      <w:pPr>
        <w:spacing w:line="276" w:lineRule="auto"/>
        <w:ind w:left="284" w:right="49"/>
        <w:jc w:val="both"/>
        <w:rPr>
          <w:rFonts w:ascii="Palatino Linotype" w:eastAsia="Palatino Linotype" w:hAnsi="Palatino Linotype" w:cs="Palatino Linotype"/>
        </w:rPr>
      </w:pPr>
      <w:r w:rsidRPr="00C77556">
        <w:rPr>
          <w:rFonts w:ascii="Palatino Linotype" w:eastAsia="Palatino Linotype" w:hAnsi="Palatino Linotype" w:cs="Palatino Linotype"/>
        </w:rPr>
        <w:t>a) Precisa</w:t>
      </w:r>
    </w:p>
    <w:p w14:paraId="5A532B4E" w14:textId="77777777" w:rsidR="0078708B" w:rsidRPr="00C77556" w:rsidRDefault="00A82FD4">
      <w:pPr>
        <w:spacing w:line="276" w:lineRule="auto"/>
        <w:ind w:left="284" w:right="49"/>
        <w:jc w:val="both"/>
        <w:rPr>
          <w:rFonts w:ascii="Palatino Linotype" w:eastAsia="Palatino Linotype" w:hAnsi="Palatino Linotype" w:cs="Palatino Linotype"/>
        </w:rPr>
      </w:pPr>
      <w:r w:rsidRPr="00C77556">
        <w:rPr>
          <w:rFonts w:ascii="Palatino Linotype" w:eastAsia="Palatino Linotype" w:hAnsi="Palatino Linotype" w:cs="Palatino Linotype"/>
        </w:rPr>
        <w:t>b) Concreta</w:t>
      </w:r>
    </w:p>
    <w:p w14:paraId="43B125F5" w14:textId="77777777" w:rsidR="0078708B" w:rsidRPr="00C77556" w:rsidRDefault="00A82FD4">
      <w:pPr>
        <w:spacing w:line="360" w:lineRule="auto"/>
        <w:ind w:left="284" w:right="560"/>
        <w:jc w:val="both"/>
        <w:rPr>
          <w:rFonts w:ascii="Palatino Linotype" w:eastAsia="Palatino Linotype" w:hAnsi="Palatino Linotype" w:cs="Palatino Linotype"/>
          <w:b/>
          <w:u w:val="single"/>
        </w:rPr>
      </w:pPr>
      <w:r w:rsidRPr="00C77556">
        <w:rPr>
          <w:rFonts w:ascii="Palatino Linotype" w:eastAsia="Palatino Linotype" w:hAnsi="Palatino Linotype" w:cs="Palatino Linotype"/>
          <w:b/>
          <w:u w:val="single"/>
        </w:rPr>
        <w:t>c) Y no debe implicar que el solicitante realice una búsqueda en toda la información que se encuentre disponible.</w:t>
      </w:r>
    </w:p>
    <w:p w14:paraId="7E09F194" w14:textId="77777777" w:rsidR="0078708B" w:rsidRPr="00C77556" w:rsidRDefault="0078708B">
      <w:pPr>
        <w:spacing w:line="360" w:lineRule="auto"/>
        <w:ind w:right="51"/>
        <w:jc w:val="both"/>
        <w:rPr>
          <w:rFonts w:ascii="Palatino Linotype" w:eastAsia="Palatino Linotype" w:hAnsi="Palatino Linotype" w:cs="Palatino Linotype"/>
        </w:rPr>
      </w:pPr>
    </w:p>
    <w:p w14:paraId="5E85C934" w14:textId="77777777" w:rsidR="0078708B" w:rsidRPr="00C77556" w:rsidRDefault="00A82FD4">
      <w:pPr>
        <w:spacing w:line="360" w:lineRule="auto"/>
        <w:ind w:right="51"/>
        <w:jc w:val="both"/>
        <w:rPr>
          <w:rFonts w:ascii="Palatino Linotype" w:eastAsia="Palatino Linotype" w:hAnsi="Palatino Linotype" w:cs="Palatino Linotype"/>
        </w:rPr>
      </w:pPr>
      <w:r w:rsidRPr="00C77556">
        <w:rPr>
          <w:rFonts w:ascii="Palatino Linotype" w:eastAsia="Palatino Linotype" w:hAnsi="Palatino Linotype" w:cs="Palatino Linotype"/>
        </w:rPr>
        <w:t>Imperativos legales que detallan el procedimiento que debe seguir el Sujeto Obligado para que pueda tomarse como válida su orientación sobre la forma en que puede consultar la información requerida.</w:t>
      </w:r>
    </w:p>
    <w:p w14:paraId="4D84B545"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Dicho esto, se tiene que, respecto a la información que la persona Solicitante requirió, la liga electrónica que proporcionó el Sujeto Obligado </w:t>
      </w:r>
      <w:r w:rsidRPr="00C77556">
        <w:rPr>
          <w:rFonts w:ascii="Palatino Linotype" w:eastAsia="Palatino Linotype" w:hAnsi="Palatino Linotype" w:cs="Palatino Linotype"/>
          <w:b/>
          <w:u w:val="single"/>
        </w:rPr>
        <w:t>no redirige directamente a la información</w:t>
      </w:r>
      <w:r w:rsidRPr="00C77556">
        <w:rPr>
          <w:rFonts w:ascii="Palatino Linotype" w:eastAsia="Palatino Linotype" w:hAnsi="Palatino Linotype" w:cs="Palatino Linotype"/>
        </w:rPr>
        <w:t xml:space="preserve">, por el contrario implica que este tenga que realizar una búsqueda en </w:t>
      </w:r>
      <w:r w:rsidRPr="00C77556">
        <w:rPr>
          <w:rFonts w:ascii="Palatino Linotype" w:eastAsia="Palatino Linotype" w:hAnsi="Palatino Linotype" w:cs="Palatino Linotype"/>
        </w:rPr>
        <w:lastRenderedPageBreak/>
        <w:t xml:space="preserve">la página proporcionada, por lo que, se determina que el </w:t>
      </w:r>
      <w:r w:rsidRPr="00C77556">
        <w:rPr>
          <w:rFonts w:ascii="Palatino Linotype" w:eastAsia="Palatino Linotype" w:hAnsi="Palatino Linotype" w:cs="Palatino Linotype"/>
          <w:b/>
        </w:rPr>
        <w:t>Sujeto Obligado</w:t>
      </w:r>
      <w:r w:rsidRPr="00C77556">
        <w:rPr>
          <w:rFonts w:ascii="Palatino Linotype" w:eastAsia="Palatino Linotype" w:hAnsi="Palatino Linotype" w:cs="Palatino Linotype"/>
        </w:rPr>
        <w:t xml:space="preserve"> no observó lo que dispone el artículo 161 de la Ley en la materia</w:t>
      </w:r>
    </w:p>
    <w:p w14:paraId="772AE8B0" w14:textId="77777777" w:rsidR="0078708B" w:rsidRPr="00C77556" w:rsidRDefault="00A82FD4">
      <w:pPr>
        <w:spacing w:before="240" w:after="240" w:line="360" w:lineRule="auto"/>
        <w:jc w:val="both"/>
        <w:rPr>
          <w:rFonts w:ascii="Palatino Linotype" w:eastAsia="Palatino Linotype" w:hAnsi="Palatino Linotype" w:cs="Palatino Linotype"/>
          <w:i/>
        </w:rPr>
      </w:pPr>
      <w:r w:rsidRPr="00C77556">
        <w:rPr>
          <w:rFonts w:ascii="Palatino Linotype" w:eastAsia="Palatino Linotype" w:hAnsi="Palatino Linotype" w:cs="Palatino Linotype"/>
        </w:rPr>
        <w:t>Contrario a lo anterior, el Director de Atención al Derechohabiente adscrito al Servidor Público Habilitado de la Coordinación de Prestaciones y Seguridad Social, menciona sobre al numeral tres que, “</w:t>
      </w:r>
      <w:r w:rsidRPr="00C77556">
        <w:rPr>
          <w:rFonts w:ascii="Palatino Linotype" w:eastAsia="Palatino Linotype" w:hAnsi="Palatino Linotype" w:cs="Palatino Linotype"/>
          <w:b/>
          <w:i/>
          <w:u w:val="single"/>
        </w:rPr>
        <w:t>no se cuenta con una cédula de trámites y servicios</w:t>
      </w:r>
      <w:r w:rsidRPr="00C77556">
        <w:rPr>
          <w:rFonts w:ascii="Palatino Linotype" w:eastAsia="Palatino Linotype" w:hAnsi="Palatino Linotype" w:cs="Palatino Linotype"/>
          <w:i/>
        </w:rPr>
        <w:t xml:space="preserve">, sin embrago, existe el formato “Solicitud de seguro por fallecimiento (FO CPSS DP SPE DP 91), mismo que la o el interesado deberá </w:t>
      </w:r>
      <w:proofErr w:type="spellStart"/>
      <w:r w:rsidRPr="00C77556">
        <w:rPr>
          <w:rFonts w:ascii="Palatino Linotype" w:eastAsia="Palatino Linotype" w:hAnsi="Palatino Linotype" w:cs="Palatino Linotype"/>
          <w:i/>
        </w:rPr>
        <w:t>requisitar</w:t>
      </w:r>
      <w:proofErr w:type="spellEnd"/>
      <w:r w:rsidRPr="00C77556">
        <w:rPr>
          <w:rFonts w:ascii="Palatino Linotype" w:eastAsia="Palatino Linotype" w:hAnsi="Palatino Linotype" w:cs="Palatino Linotype"/>
          <w:i/>
        </w:rPr>
        <w:t xml:space="preserve"> en la Unidad u Oficina de Atención al Derechohabiente a través de una cita realizada en la siguiente dirección electrónica </w:t>
      </w:r>
      <w:hyperlink r:id="rId20">
        <w:r w:rsidRPr="00C77556">
          <w:rPr>
            <w:rFonts w:ascii="Palatino Linotype" w:eastAsia="Palatino Linotype" w:hAnsi="Palatino Linotype" w:cs="Palatino Linotype"/>
            <w:i/>
            <w:u w:val="single"/>
          </w:rPr>
          <w:t>https://sistemas.issemym.gob.mx/citas/citasinicio.aspx</w:t>
        </w:r>
      </w:hyperlink>
      <w:r w:rsidRPr="00C77556">
        <w:rPr>
          <w:rFonts w:ascii="Palatino Linotype" w:eastAsia="Palatino Linotype" w:hAnsi="Palatino Linotype" w:cs="Palatino Linotype"/>
          <w:i/>
        </w:rPr>
        <w:t xml:space="preserve">” </w:t>
      </w:r>
    </w:p>
    <w:p w14:paraId="442D92DC" w14:textId="77777777" w:rsidR="0078708B" w:rsidRPr="00C77556" w:rsidRDefault="00A82FD4">
      <w:pPr>
        <w:spacing w:before="240" w:after="240" w:line="360" w:lineRule="auto"/>
        <w:jc w:val="both"/>
        <w:rPr>
          <w:rFonts w:ascii="Palatino Linotype" w:eastAsia="Palatino Linotype" w:hAnsi="Palatino Linotype" w:cs="Palatino Linotype"/>
          <w:i/>
        </w:rPr>
      </w:pPr>
      <w:bookmarkStart w:id="5" w:name="_heading=h.3dy6vkm" w:colFirst="0" w:colLast="0"/>
      <w:bookmarkEnd w:id="5"/>
      <w:r w:rsidRPr="00C77556">
        <w:rPr>
          <w:rFonts w:ascii="Palatino Linotype" w:eastAsia="Palatino Linotype" w:hAnsi="Palatino Linotype" w:cs="Palatino Linotype"/>
        </w:rPr>
        <w:t xml:space="preserve">Es así que, una vez conocida la respuesta sobre este punto, la parte </w:t>
      </w:r>
      <w:r w:rsidRPr="00C77556">
        <w:rPr>
          <w:rFonts w:ascii="Palatino Linotype" w:eastAsia="Palatino Linotype" w:hAnsi="Palatino Linotype" w:cs="Palatino Linotype"/>
          <w:b/>
        </w:rPr>
        <w:t xml:space="preserve">Recurrente </w:t>
      </w:r>
      <w:r w:rsidRPr="00C77556">
        <w:rPr>
          <w:rFonts w:ascii="Palatino Linotype" w:eastAsia="Palatino Linotype" w:hAnsi="Palatino Linotype" w:cs="Palatino Linotype"/>
        </w:rPr>
        <w:t xml:space="preserve">señaló como razones o motivos de inconformidad que </w:t>
      </w:r>
      <w:proofErr w:type="gramStart"/>
      <w:r w:rsidRPr="00C77556">
        <w:rPr>
          <w:rFonts w:ascii="Palatino Linotype" w:eastAsia="Palatino Linotype" w:hAnsi="Palatino Linotype" w:cs="Palatino Linotype"/>
          <w:i/>
        </w:rPr>
        <w:t>“ No</w:t>
      </w:r>
      <w:proofErr w:type="gramEnd"/>
      <w:r w:rsidRPr="00C77556">
        <w:rPr>
          <w:rFonts w:ascii="Palatino Linotype" w:eastAsia="Palatino Linotype" w:hAnsi="Palatino Linotype" w:cs="Palatino Linotype"/>
          <w:i/>
        </w:rPr>
        <w:t xml:space="preserve"> muestra los formatos, solo ligas de internet.” </w:t>
      </w:r>
    </w:p>
    <w:p w14:paraId="2367E38E" w14:textId="77777777" w:rsidR="0078708B" w:rsidRPr="00C77556" w:rsidRDefault="00A82FD4">
      <w:pPr>
        <w:spacing w:before="240" w:after="240" w:line="360" w:lineRule="auto"/>
        <w:jc w:val="both"/>
        <w:rPr>
          <w:rFonts w:ascii="Palatino Linotype" w:eastAsia="Palatino Linotype" w:hAnsi="Palatino Linotype" w:cs="Palatino Linotype"/>
          <w:i/>
        </w:rPr>
      </w:pPr>
      <w:r w:rsidRPr="00C77556">
        <w:rPr>
          <w:rFonts w:ascii="Palatino Linotype" w:eastAsia="Palatino Linotype" w:hAnsi="Palatino Linotype" w:cs="Palatino Linotype"/>
        </w:rPr>
        <w:t xml:space="preserve">Es este sentido, es oportuno que la parte </w:t>
      </w:r>
      <w:r w:rsidRPr="00C77556">
        <w:rPr>
          <w:rFonts w:ascii="Palatino Linotype" w:eastAsia="Palatino Linotype" w:hAnsi="Palatino Linotype" w:cs="Palatino Linotype"/>
          <w:b/>
        </w:rPr>
        <w:t xml:space="preserve">Recurrente </w:t>
      </w:r>
      <w:r w:rsidRPr="00C77556">
        <w:rPr>
          <w:rFonts w:ascii="Palatino Linotype" w:eastAsia="Palatino Linotype" w:hAnsi="Palatino Linotype" w:cs="Palatino Linotype"/>
        </w:rPr>
        <w:t xml:space="preserve">refiere que no le muestra los formatos sino ligas de internet; pronunciamiento realizado en razón de que la respuesta del </w:t>
      </w:r>
      <w:r w:rsidRPr="00C77556">
        <w:rPr>
          <w:rFonts w:ascii="Palatino Linotype" w:eastAsia="Palatino Linotype" w:hAnsi="Palatino Linotype" w:cs="Palatino Linotype"/>
          <w:b/>
        </w:rPr>
        <w:t xml:space="preserve">Sujeto Obligado </w:t>
      </w:r>
      <w:r w:rsidRPr="00C77556">
        <w:rPr>
          <w:rFonts w:ascii="Palatino Linotype" w:eastAsia="Palatino Linotype" w:hAnsi="Palatino Linotype" w:cs="Palatino Linotype"/>
        </w:rPr>
        <w:t>sobre este rubro no otorga certeza al particular toda vez que por un lado el Jefe de Pensiones remite a un documento que se entiende que es la cédula de trámites y servicios y por otro lado la Unidad u Oficina de Atención al Derechohabiente manifestó que no cuenta con una dicha cédula sino que existe el formato “</w:t>
      </w:r>
      <w:r w:rsidRPr="00C77556">
        <w:rPr>
          <w:rFonts w:ascii="Palatino Linotype" w:eastAsia="Palatino Linotype" w:hAnsi="Palatino Linotype" w:cs="Palatino Linotype"/>
          <w:i/>
        </w:rPr>
        <w:t xml:space="preserve">Solicitud de seguro por fallecimiento (FO CPSS DP SPE DP 91)” </w:t>
      </w:r>
    </w:p>
    <w:p w14:paraId="63918C0F"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No obstante lo anterior, una vez interpuesto el recurso de revisión, el </w:t>
      </w:r>
      <w:r w:rsidRPr="00C77556">
        <w:rPr>
          <w:rFonts w:ascii="Palatino Linotype" w:eastAsia="Palatino Linotype" w:hAnsi="Palatino Linotype" w:cs="Palatino Linotype"/>
          <w:b/>
        </w:rPr>
        <w:t xml:space="preserve">Sujeto Obligado </w:t>
      </w:r>
      <w:r w:rsidRPr="00C77556">
        <w:rPr>
          <w:rFonts w:ascii="Palatino Linotype" w:eastAsia="Palatino Linotype" w:hAnsi="Palatino Linotype" w:cs="Palatino Linotype"/>
        </w:rPr>
        <w:t xml:space="preserve">haciendo uso de su derecho remitió el formato que refirió en respuesta a </w:t>
      </w:r>
      <w:r w:rsidRPr="00C77556">
        <w:rPr>
          <w:rFonts w:ascii="Palatino Linotype" w:eastAsia="Palatino Linotype" w:hAnsi="Palatino Linotype" w:cs="Palatino Linotype"/>
        </w:rPr>
        <w:lastRenderedPageBreak/>
        <w:t xml:space="preserve">la solicitud en el archivo identificado como </w:t>
      </w:r>
      <w:r w:rsidRPr="00C77556">
        <w:rPr>
          <w:rFonts w:ascii="Palatino Linotype" w:eastAsia="Palatino Linotype" w:hAnsi="Palatino Linotype" w:cs="Palatino Linotype"/>
          <w:b/>
          <w:i/>
        </w:rPr>
        <w:t>FORMATO RR.794.IP.pdf,</w:t>
      </w:r>
      <w:r w:rsidRPr="00C77556">
        <w:rPr>
          <w:rFonts w:ascii="Palatino Linotype" w:eastAsia="Palatino Linotype" w:hAnsi="Palatino Linotype" w:cs="Palatino Linotype"/>
          <w:b/>
        </w:rPr>
        <w:t xml:space="preserve"> </w:t>
      </w:r>
      <w:r w:rsidRPr="00C77556">
        <w:rPr>
          <w:rFonts w:ascii="Palatino Linotype" w:eastAsia="Palatino Linotype" w:hAnsi="Palatino Linotype" w:cs="Palatino Linotype"/>
        </w:rPr>
        <w:t xml:space="preserve">cuyo contenido es el siguiente. </w:t>
      </w:r>
    </w:p>
    <w:p w14:paraId="61B7149B"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noProof/>
        </w:rPr>
        <w:drawing>
          <wp:inline distT="0" distB="0" distL="0" distR="0" wp14:anchorId="0EA2FC9E" wp14:editId="1DC1FCC3">
            <wp:extent cx="5619750" cy="5229225"/>
            <wp:effectExtent l="0" t="0" r="0" b="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619750" cy="5229225"/>
                    </a:xfrm>
                    <a:prstGeom prst="rect">
                      <a:avLst/>
                    </a:prstGeom>
                    <a:ln/>
                  </pic:spPr>
                </pic:pic>
              </a:graphicData>
            </a:graphic>
          </wp:inline>
        </w:drawing>
      </w:r>
    </w:p>
    <w:p w14:paraId="479E737F" w14:textId="77777777" w:rsidR="0078708B" w:rsidRPr="00C77556" w:rsidRDefault="0078708B">
      <w:pPr>
        <w:spacing w:before="240" w:after="240" w:line="360" w:lineRule="auto"/>
        <w:jc w:val="both"/>
        <w:rPr>
          <w:rFonts w:ascii="Palatino Linotype" w:eastAsia="Palatino Linotype" w:hAnsi="Palatino Linotype" w:cs="Palatino Linotype"/>
        </w:rPr>
      </w:pPr>
    </w:p>
    <w:p w14:paraId="24C1AC46" w14:textId="77777777" w:rsidR="0078708B" w:rsidRPr="00C77556" w:rsidRDefault="00A82FD4">
      <w:pPr>
        <w:pBdr>
          <w:top w:val="nil"/>
          <w:left w:val="nil"/>
          <w:bottom w:val="nil"/>
          <w:right w:val="nil"/>
          <w:between w:val="nil"/>
        </w:pBdr>
        <w:spacing w:before="240" w:after="240" w:line="360" w:lineRule="auto"/>
        <w:jc w:val="both"/>
      </w:pPr>
      <w:r w:rsidRPr="00C77556">
        <w:rPr>
          <w:rFonts w:ascii="Palatino Linotype" w:eastAsia="Palatino Linotype" w:hAnsi="Palatino Linotype" w:cs="Palatino Linotype"/>
        </w:rPr>
        <w:lastRenderedPageBreak/>
        <w:t>En consecuencia, ante la información adicional y precisa remitida vía informe justificado, conviene hacer alusión a lo que señala el artículo 192, fracción III de la Ley de Transparencia y Acceso a la Información Pública del Estado de México y Municipios vigente, a saber:</w:t>
      </w:r>
    </w:p>
    <w:p w14:paraId="34FACACE" w14:textId="77777777" w:rsidR="0078708B" w:rsidRPr="00C77556" w:rsidRDefault="00A82FD4">
      <w:pPr>
        <w:pBdr>
          <w:top w:val="nil"/>
          <w:left w:val="nil"/>
          <w:bottom w:val="nil"/>
          <w:right w:val="nil"/>
          <w:between w:val="nil"/>
        </w:pBdr>
        <w:spacing w:before="240" w:after="240"/>
        <w:ind w:left="851" w:right="900"/>
        <w:jc w:val="both"/>
      </w:pPr>
      <w:r w:rsidRPr="00C77556">
        <w:rPr>
          <w:rFonts w:ascii="Palatino Linotype" w:eastAsia="Palatino Linotype" w:hAnsi="Palatino Linotype" w:cs="Palatino Linotype"/>
          <w:i/>
          <w:sz w:val="22"/>
          <w:szCs w:val="22"/>
        </w:rPr>
        <w:t>“</w:t>
      </w:r>
      <w:r w:rsidRPr="00C77556">
        <w:rPr>
          <w:rFonts w:ascii="Palatino Linotype" w:eastAsia="Palatino Linotype" w:hAnsi="Palatino Linotype" w:cs="Palatino Linotype"/>
          <w:b/>
          <w:i/>
          <w:sz w:val="22"/>
          <w:szCs w:val="22"/>
        </w:rPr>
        <w:t>Artículo 192</w:t>
      </w:r>
      <w:r w:rsidRPr="00C77556">
        <w:rPr>
          <w:rFonts w:ascii="Palatino Linotype" w:eastAsia="Palatino Linotype" w:hAnsi="Palatino Linotype" w:cs="Palatino Linotype"/>
          <w:i/>
          <w:sz w:val="22"/>
          <w:szCs w:val="22"/>
        </w:rPr>
        <w:t xml:space="preserve">. </w:t>
      </w:r>
      <w:r w:rsidRPr="00C77556">
        <w:rPr>
          <w:rFonts w:ascii="Palatino Linotype" w:eastAsia="Palatino Linotype" w:hAnsi="Palatino Linotype" w:cs="Palatino Linotype"/>
          <w:b/>
          <w:i/>
          <w:sz w:val="22"/>
          <w:szCs w:val="22"/>
        </w:rPr>
        <w:t>El recurso será sobreseído</w:t>
      </w:r>
      <w:r w:rsidRPr="00C77556">
        <w:rPr>
          <w:rFonts w:ascii="Palatino Linotype" w:eastAsia="Palatino Linotype" w:hAnsi="Palatino Linotype" w:cs="Palatino Linotype"/>
          <w:i/>
          <w:sz w:val="22"/>
          <w:szCs w:val="22"/>
        </w:rPr>
        <w:t xml:space="preserve">, </w:t>
      </w:r>
      <w:r w:rsidRPr="00C77556">
        <w:rPr>
          <w:rFonts w:ascii="Palatino Linotype" w:eastAsia="Palatino Linotype" w:hAnsi="Palatino Linotype" w:cs="Palatino Linotype"/>
          <w:b/>
          <w:i/>
          <w:sz w:val="22"/>
          <w:szCs w:val="22"/>
        </w:rPr>
        <w:t>en todo o en parte,</w:t>
      </w:r>
      <w:r w:rsidRPr="00C77556">
        <w:rPr>
          <w:rFonts w:ascii="Palatino Linotype" w:eastAsia="Palatino Linotype" w:hAnsi="Palatino Linotype" w:cs="Palatino Linotype"/>
          <w:i/>
          <w:sz w:val="22"/>
          <w:szCs w:val="22"/>
        </w:rPr>
        <w:t xml:space="preserve"> </w:t>
      </w:r>
      <w:r w:rsidRPr="00C77556">
        <w:rPr>
          <w:rFonts w:ascii="Palatino Linotype" w:eastAsia="Palatino Linotype" w:hAnsi="Palatino Linotype" w:cs="Palatino Linotype"/>
          <w:b/>
          <w:i/>
          <w:sz w:val="22"/>
          <w:szCs w:val="22"/>
        </w:rPr>
        <w:t>cuando una vez admitido, se actualicen alguno de los siguientes supuestos</w:t>
      </w:r>
      <w:r w:rsidRPr="00C77556">
        <w:rPr>
          <w:rFonts w:ascii="Palatino Linotype" w:eastAsia="Palatino Linotype" w:hAnsi="Palatino Linotype" w:cs="Palatino Linotype"/>
          <w:i/>
          <w:sz w:val="22"/>
          <w:szCs w:val="22"/>
        </w:rPr>
        <w:t>: </w:t>
      </w:r>
    </w:p>
    <w:p w14:paraId="1442FE5B" w14:textId="77777777" w:rsidR="0078708B" w:rsidRPr="00C77556" w:rsidRDefault="00A82FD4">
      <w:pPr>
        <w:pBdr>
          <w:top w:val="nil"/>
          <w:left w:val="nil"/>
          <w:bottom w:val="nil"/>
          <w:right w:val="nil"/>
          <w:between w:val="nil"/>
        </w:pBdr>
        <w:spacing w:before="240" w:after="240"/>
        <w:ind w:left="1134" w:right="900"/>
        <w:jc w:val="both"/>
      </w:pPr>
      <w:r w:rsidRPr="00C77556">
        <w:rPr>
          <w:rFonts w:ascii="Palatino Linotype" w:eastAsia="Palatino Linotype" w:hAnsi="Palatino Linotype" w:cs="Palatino Linotype"/>
          <w:i/>
          <w:sz w:val="22"/>
          <w:szCs w:val="22"/>
        </w:rPr>
        <w:t>(…)</w:t>
      </w:r>
    </w:p>
    <w:p w14:paraId="6924A167" w14:textId="77777777" w:rsidR="0078708B" w:rsidRPr="00C77556" w:rsidRDefault="00A82FD4">
      <w:pPr>
        <w:pBdr>
          <w:top w:val="nil"/>
          <w:left w:val="nil"/>
          <w:bottom w:val="nil"/>
          <w:right w:val="nil"/>
          <w:between w:val="nil"/>
        </w:pBdr>
        <w:spacing w:before="240" w:after="240"/>
        <w:ind w:left="1134" w:right="900"/>
        <w:jc w:val="both"/>
      </w:pPr>
      <w:r w:rsidRPr="00C77556">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C77556">
        <w:rPr>
          <w:rFonts w:ascii="Palatino Linotype" w:eastAsia="Palatino Linotype" w:hAnsi="Palatino Linotype" w:cs="Palatino Linotype"/>
          <w:i/>
          <w:sz w:val="22"/>
          <w:szCs w:val="22"/>
        </w:rPr>
        <w:t>”</w:t>
      </w:r>
    </w:p>
    <w:p w14:paraId="3D50DD09" w14:textId="77777777" w:rsidR="0078708B" w:rsidRPr="00C77556" w:rsidRDefault="00A82FD4">
      <w:pPr>
        <w:pBdr>
          <w:top w:val="nil"/>
          <w:left w:val="nil"/>
          <w:bottom w:val="nil"/>
          <w:right w:val="nil"/>
          <w:between w:val="nil"/>
        </w:pBdr>
        <w:spacing w:before="240" w:after="240" w:line="360" w:lineRule="auto"/>
        <w:jc w:val="both"/>
      </w:pPr>
      <w:r w:rsidRPr="00C77556">
        <w:rPr>
          <w:rFonts w:ascii="Palatino Linotype" w:eastAsia="Palatino Linotype" w:hAnsi="Palatino Linotype" w:cs="Palatino Linotype"/>
        </w:rPr>
        <w:t>De lo establecido en el precepto legal citado se advierte que el sobreseimiento del recurso de revisión procede en los siguientes casos:</w:t>
      </w:r>
    </w:p>
    <w:p w14:paraId="623C7C55" w14:textId="77777777" w:rsidR="0078708B" w:rsidRPr="00C77556" w:rsidRDefault="00A82FD4">
      <w:pPr>
        <w:pBdr>
          <w:top w:val="nil"/>
          <w:left w:val="nil"/>
          <w:bottom w:val="nil"/>
          <w:right w:val="nil"/>
          <w:between w:val="nil"/>
        </w:pBdr>
        <w:spacing w:before="240" w:after="240"/>
        <w:ind w:left="284"/>
        <w:jc w:val="both"/>
      </w:pPr>
      <w:r w:rsidRPr="00C77556">
        <w:rPr>
          <w:rFonts w:ascii="Palatino Linotype" w:eastAsia="Palatino Linotype" w:hAnsi="Palatino Linotype" w:cs="Palatino Linotype"/>
        </w:rPr>
        <w:t>a) Cuando el Sujeto Obligado modifique el acto impugnado. </w:t>
      </w:r>
    </w:p>
    <w:p w14:paraId="457AAF75" w14:textId="77777777" w:rsidR="0078708B" w:rsidRPr="00C77556" w:rsidRDefault="00A82FD4">
      <w:pPr>
        <w:pBdr>
          <w:top w:val="nil"/>
          <w:left w:val="nil"/>
          <w:bottom w:val="nil"/>
          <w:right w:val="nil"/>
          <w:between w:val="nil"/>
        </w:pBdr>
        <w:spacing w:before="240" w:after="240"/>
        <w:ind w:left="284"/>
        <w:jc w:val="both"/>
      </w:pPr>
      <w:r w:rsidRPr="00C77556">
        <w:rPr>
          <w:rFonts w:ascii="Palatino Linotype" w:eastAsia="Palatino Linotype" w:hAnsi="Palatino Linotype" w:cs="Palatino Linotype"/>
        </w:rPr>
        <w:t>b) Cuando el Sujeto Obligado revoque el acto impugnado; </w:t>
      </w:r>
    </w:p>
    <w:p w14:paraId="0EA9E889" w14:textId="77777777" w:rsidR="0078708B" w:rsidRPr="00C77556" w:rsidRDefault="00A82FD4">
      <w:pPr>
        <w:pBdr>
          <w:top w:val="nil"/>
          <w:left w:val="nil"/>
          <w:bottom w:val="nil"/>
          <w:right w:val="nil"/>
          <w:between w:val="nil"/>
        </w:pBdr>
        <w:spacing w:before="240" w:after="240" w:line="360" w:lineRule="auto"/>
        <w:jc w:val="both"/>
      </w:pPr>
      <w:r w:rsidRPr="00C77556">
        <w:rPr>
          <w:rFonts w:ascii="Palatino Linotype" w:eastAsia="Palatino Linotype" w:hAnsi="Palatino Linotype" w:cs="Palatino Linotype"/>
        </w:rPr>
        <w:t>Quedando en ambos casos el acto combatido sin materia o sin efectos.</w:t>
      </w:r>
    </w:p>
    <w:p w14:paraId="274A78C2" w14:textId="77777777" w:rsidR="0078708B" w:rsidRPr="00C77556" w:rsidRDefault="00A82FD4">
      <w:pPr>
        <w:pBdr>
          <w:top w:val="nil"/>
          <w:left w:val="nil"/>
          <w:bottom w:val="nil"/>
          <w:right w:val="nil"/>
          <w:between w:val="nil"/>
        </w:pBdr>
        <w:spacing w:before="240" w:after="240" w:line="360" w:lineRule="auto"/>
        <w:jc w:val="both"/>
      </w:pPr>
      <w:r w:rsidRPr="00C77556">
        <w:rPr>
          <w:rFonts w:ascii="Palatino Linotype" w:eastAsia="Palatino Linotype" w:hAnsi="Palatino Linotype" w:cs="Palatino Linotype"/>
        </w:rPr>
        <w:t>Como se observa de lo anterior, un acto impugnado es modificado en aquellos casos en los que el Sujeto Obligado después de haber otorgado una respuesta, o haber omitido hacerlo (acto de no hacer), emite una o una diversa de manera posterior y en esta subsanó las deficiencias que hubiera tenido, quedando satisfecho el derecho subjetivo accionado por la parte recurrente.</w:t>
      </w:r>
    </w:p>
    <w:p w14:paraId="6F076BA9" w14:textId="77777777" w:rsidR="0078708B" w:rsidRPr="00C77556" w:rsidRDefault="00A82FD4">
      <w:pPr>
        <w:pBdr>
          <w:top w:val="nil"/>
          <w:left w:val="nil"/>
          <w:bottom w:val="nil"/>
          <w:right w:val="nil"/>
          <w:between w:val="nil"/>
        </w:pBdr>
        <w:spacing w:before="240" w:after="240" w:line="360" w:lineRule="auto"/>
        <w:jc w:val="both"/>
      </w:pPr>
      <w:r w:rsidRPr="00C77556">
        <w:rPr>
          <w:rFonts w:ascii="Palatino Linotype" w:eastAsia="Palatino Linotype" w:hAnsi="Palatino Linotype" w:cs="Palatino Linotype"/>
        </w:rPr>
        <w:t xml:space="preserve">Por lo que hace a la revocación, esta se actualiza cuando el Sujeto Obligado deja sin efectos la primera respuesta o su primer acto y en su lugar emite otro con las </w:t>
      </w:r>
      <w:r w:rsidRPr="00C77556">
        <w:rPr>
          <w:rFonts w:ascii="Palatino Linotype" w:eastAsia="Palatino Linotype" w:hAnsi="Palatino Linotype" w:cs="Palatino Linotype"/>
        </w:rPr>
        <w:lastRenderedPageBreak/>
        <w:t>características y cualidades suficientes para dejar satisfecho el ejercicio del derecho al acceso a la información pública.</w:t>
      </w:r>
    </w:p>
    <w:p w14:paraId="0ABA33A6" w14:textId="77777777" w:rsidR="0078708B" w:rsidRPr="00C77556" w:rsidRDefault="00A82FD4">
      <w:pPr>
        <w:pBdr>
          <w:top w:val="nil"/>
          <w:left w:val="nil"/>
          <w:bottom w:val="nil"/>
          <w:right w:val="nil"/>
          <w:between w:val="nil"/>
        </w:pBdr>
        <w:spacing w:before="240" w:after="240" w:line="360" w:lineRule="auto"/>
        <w:jc w:val="both"/>
      </w:pPr>
      <w:r w:rsidRPr="00C77556">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14:paraId="245C2785" w14:textId="77777777" w:rsidR="0078708B" w:rsidRPr="00C77556" w:rsidRDefault="00A82FD4">
      <w:pPr>
        <w:pBdr>
          <w:top w:val="nil"/>
          <w:left w:val="nil"/>
          <w:bottom w:val="nil"/>
          <w:right w:val="nil"/>
          <w:between w:val="nil"/>
        </w:pBdr>
        <w:spacing w:before="240" w:after="240" w:line="360" w:lineRule="auto"/>
        <w:jc w:val="both"/>
      </w:pPr>
      <w:r w:rsidRPr="00C77556">
        <w:rPr>
          <w:rFonts w:ascii="Palatino Linotype" w:eastAsia="Palatino Linotype" w:hAnsi="Palatino Linotype" w:cs="Palatino Linotype"/>
        </w:rPr>
        <w:t>En tanto que, un acto impugnado queda sin materia, cuando ha sido satisfecha la pretensión del recurrente de manera que el Sujeto Obligado entrega una respuesta completa aunque sea posterior a los términos previstos en la ley y mediante ésta concede la información solicitada.</w:t>
      </w:r>
    </w:p>
    <w:p w14:paraId="7E64E657" w14:textId="77777777" w:rsidR="0078708B" w:rsidRPr="00C77556" w:rsidRDefault="00A82FD4">
      <w:pPr>
        <w:pBdr>
          <w:top w:val="nil"/>
          <w:left w:val="nil"/>
          <w:bottom w:val="nil"/>
          <w:right w:val="nil"/>
          <w:between w:val="nil"/>
        </w:pBdr>
        <w:spacing w:before="240" w:after="240" w:line="360" w:lineRule="auto"/>
        <w:jc w:val="both"/>
      </w:pPr>
      <w:r w:rsidRPr="00C77556">
        <w:rPr>
          <w:rFonts w:ascii="Palatino Linotype" w:eastAsia="Palatino Linotype" w:hAnsi="Palatino Linotype" w:cs="Palatino Linotype"/>
        </w:rPr>
        <w:t xml:space="preserve">Ahora bien, en el caso concreto, es evidente que el </w:t>
      </w:r>
      <w:r w:rsidRPr="00C77556">
        <w:rPr>
          <w:rFonts w:ascii="Palatino Linotype" w:eastAsia="Palatino Linotype" w:hAnsi="Palatino Linotype" w:cs="Palatino Linotype"/>
          <w:b/>
        </w:rPr>
        <w:t>Sujeto Obligado</w:t>
      </w:r>
      <w:r w:rsidRPr="00C77556">
        <w:rPr>
          <w:rFonts w:ascii="Palatino Linotype" w:eastAsia="Palatino Linotype" w:hAnsi="Palatino Linotype" w:cs="Palatino Linotype"/>
        </w:rPr>
        <w:t xml:space="preserve"> modificó su respuesta, ya que, a través de su pronunciamiento emitido en la etapa de manifestaciones, proporcionó la información faltante.</w:t>
      </w:r>
    </w:p>
    <w:p w14:paraId="7FE58D50" w14:textId="77777777" w:rsidR="0078708B" w:rsidRPr="00C77556" w:rsidRDefault="00A82FD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De este modo, cuando el </w:t>
      </w:r>
      <w:r w:rsidRPr="00C77556">
        <w:rPr>
          <w:rFonts w:ascii="Palatino Linotype" w:eastAsia="Palatino Linotype" w:hAnsi="Palatino Linotype" w:cs="Palatino Linotype"/>
          <w:b/>
        </w:rPr>
        <w:t xml:space="preserve">Sujeto Obligado, </w:t>
      </w:r>
      <w:r w:rsidRPr="00C77556">
        <w:rPr>
          <w:rFonts w:ascii="Palatino Linotype" w:eastAsia="Palatino Linotype" w:hAnsi="Palatino Linotype" w:cs="Palatino Linotype"/>
        </w:rPr>
        <w:t xml:space="preserve">antes de que se dicte resolución definitiva, entrega la información solicitada o </w:t>
      </w:r>
      <w:r w:rsidRPr="00C77556">
        <w:rPr>
          <w:rFonts w:ascii="Palatino Linotype" w:eastAsia="Palatino Linotype" w:hAnsi="Palatino Linotype" w:cs="Palatino Linotype"/>
          <w:u w:val="single"/>
        </w:rPr>
        <w:t>completa la respuesta que en un primer momento fue incompleta</w:t>
      </w:r>
      <w:r w:rsidRPr="00C77556">
        <w:rPr>
          <w:rFonts w:ascii="Palatino Linotype" w:eastAsia="Palatino Linotype" w:hAnsi="Palatino Linotype" w:cs="Palatino Linotype"/>
        </w:rPr>
        <w:t xml:space="preserve"> o no correspondió con lo solicitado; el recurso de revisión que al efecto se haya interpuesto queda sin materia lo que imposibilita el estudio de fondo de la </w:t>
      </w:r>
      <w:r w:rsidRPr="00C77556">
        <w:rPr>
          <w:rFonts w:ascii="Palatino Linotype" w:eastAsia="Palatino Linotype" w:hAnsi="Palatino Linotype" w:cs="Palatino Linotype"/>
          <w:i/>
        </w:rPr>
        <w:t>litis</w:t>
      </w:r>
      <w:r w:rsidRPr="00C77556">
        <w:rPr>
          <w:rFonts w:ascii="Palatino Linotype" w:eastAsia="Palatino Linotype" w:hAnsi="Palatino Linotype" w:cs="Palatino Linotype"/>
        </w:rPr>
        <w:t xml:space="preserve"> planteada, debido a que la afectación en su esfera de derechos fue restituida por la propia autoridad que emitió el acto motivo de impugnación.</w:t>
      </w:r>
    </w:p>
    <w:p w14:paraId="246B440E" w14:textId="77777777" w:rsidR="0078708B" w:rsidRPr="00C77556" w:rsidRDefault="0078708B">
      <w:pPr>
        <w:pBdr>
          <w:top w:val="nil"/>
          <w:left w:val="nil"/>
          <w:bottom w:val="nil"/>
          <w:right w:val="nil"/>
          <w:between w:val="nil"/>
        </w:pBdr>
        <w:ind w:left="720"/>
        <w:rPr>
          <w:rFonts w:ascii="Palatino Linotype" w:eastAsia="Palatino Linotype" w:hAnsi="Palatino Linotype" w:cs="Palatino Linotype"/>
        </w:rPr>
      </w:pPr>
    </w:p>
    <w:p w14:paraId="421E88A7" w14:textId="77777777" w:rsidR="0078708B" w:rsidRPr="00C77556" w:rsidRDefault="00A82FD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Por lo tanto, para que se actualice el sobreseimiento de un recurso de revisión, el </w:t>
      </w:r>
      <w:r w:rsidRPr="00C77556">
        <w:rPr>
          <w:rFonts w:ascii="Palatino Linotype" w:eastAsia="Palatino Linotype" w:hAnsi="Palatino Linotype" w:cs="Palatino Linotype"/>
          <w:b/>
        </w:rPr>
        <w:t>Sujeto Obligado</w:t>
      </w:r>
      <w:r w:rsidRPr="00C77556">
        <w:rPr>
          <w:rFonts w:ascii="Palatino Linotype" w:eastAsia="Palatino Linotype" w:hAnsi="Palatino Linotype" w:cs="Palatino Linotype"/>
        </w:rPr>
        <w:t xml:space="preserve"> puede entregar o completar la información al momento de rendir </w:t>
      </w:r>
      <w:r w:rsidRPr="00C77556">
        <w:rPr>
          <w:rFonts w:ascii="Palatino Linotype" w:eastAsia="Palatino Linotype" w:hAnsi="Palatino Linotype" w:cs="Palatino Linotype"/>
        </w:rPr>
        <w:lastRenderedPageBreak/>
        <w:t xml:space="preserve">su </w:t>
      </w:r>
      <w:r w:rsidRPr="00C77556">
        <w:rPr>
          <w:rFonts w:ascii="Palatino Linotype" w:eastAsia="Palatino Linotype" w:hAnsi="Palatino Linotype" w:cs="Palatino Linotype"/>
          <w:b/>
          <w:u w:val="single"/>
        </w:rPr>
        <w:t>informe de justificación</w:t>
      </w:r>
      <w:r w:rsidRPr="00C77556">
        <w:rPr>
          <w:rFonts w:ascii="Palatino Linotype" w:eastAsia="Palatino Linotype" w:hAnsi="Palatino Linotype" w:cs="Palatino Linotype"/>
        </w:rPr>
        <w:t xml:space="preserve"> </w:t>
      </w:r>
      <w:r w:rsidRPr="00C77556">
        <w:rPr>
          <w:rFonts w:ascii="Palatino Linotype" w:eastAsia="Palatino Linotype" w:hAnsi="Palatino Linotype" w:cs="Palatino Linotype"/>
          <w:b/>
          <w:u w:val="single"/>
        </w:rPr>
        <w:t>dentro de los siete días</w:t>
      </w:r>
      <w:r w:rsidRPr="00C77556">
        <w:rPr>
          <w:rFonts w:ascii="Palatino Linotype" w:eastAsia="Palatino Linotype" w:hAnsi="Palatino Linotype" w:cs="Palatino Linotype"/>
        </w:rPr>
        <w:t xml:space="preserve"> previstos para manifestar lo que a su derecho convenga, </w:t>
      </w:r>
      <w:r w:rsidRPr="00C77556">
        <w:rPr>
          <w:rFonts w:ascii="Palatino Linotype" w:eastAsia="Palatino Linotype" w:hAnsi="Palatino Linotype" w:cs="Palatino Linotype"/>
          <w:b/>
          <w:u w:val="single"/>
        </w:rPr>
        <w:t>lo anterior también puede ocurrir si entrega la información después de ese lapso, pero antes del cierre de instrucción</w:t>
      </w:r>
      <w:r w:rsidRPr="00C77556">
        <w:rPr>
          <w:rFonts w:ascii="Palatino Linotype" w:eastAsia="Palatino Linotype" w:hAnsi="Palatino Linotype" w:cs="Palatino Linotype"/>
        </w:rPr>
        <w:t xml:space="preserve">. </w:t>
      </w:r>
    </w:p>
    <w:p w14:paraId="286D5805" w14:textId="77777777" w:rsidR="0078708B" w:rsidRPr="00C77556" w:rsidRDefault="0078708B">
      <w:pPr>
        <w:pBdr>
          <w:top w:val="nil"/>
          <w:left w:val="nil"/>
          <w:bottom w:val="nil"/>
          <w:right w:val="nil"/>
          <w:between w:val="nil"/>
        </w:pBdr>
        <w:ind w:left="720"/>
        <w:rPr>
          <w:rFonts w:ascii="Palatino Linotype" w:eastAsia="Palatino Linotype" w:hAnsi="Palatino Linotype" w:cs="Palatino Linotype"/>
        </w:rPr>
      </w:pPr>
    </w:p>
    <w:p w14:paraId="05D67A22" w14:textId="77777777" w:rsidR="0078708B" w:rsidRPr="00C77556" w:rsidRDefault="00A82FD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Este Pleno advierte que el </w:t>
      </w:r>
      <w:r w:rsidRPr="00C77556">
        <w:rPr>
          <w:rFonts w:ascii="Palatino Linotype" w:eastAsia="Palatino Linotype" w:hAnsi="Palatino Linotype" w:cs="Palatino Linotype"/>
          <w:b/>
        </w:rPr>
        <w:t>Sujeto Obligado</w:t>
      </w:r>
      <w:r w:rsidRPr="00C77556">
        <w:rPr>
          <w:rFonts w:ascii="Palatino Linotype" w:eastAsia="Palatino Linotype" w:hAnsi="Palatino Linotype" w:cs="Palatino Linotype"/>
        </w:rPr>
        <w:t xml:space="preserve"> con la información enviada, </w:t>
      </w:r>
      <w:r w:rsidRPr="00C77556">
        <w:rPr>
          <w:rFonts w:ascii="Palatino Linotype" w:eastAsia="Palatino Linotype" w:hAnsi="Palatino Linotype" w:cs="Palatino Linotype"/>
          <w:b/>
        </w:rPr>
        <w:t>modifica</w:t>
      </w:r>
      <w:r w:rsidRPr="00C77556">
        <w:rPr>
          <w:rFonts w:ascii="Palatino Linotype" w:eastAsia="Palatino Linotype" w:hAnsi="Palatino Linotype" w:cs="Palatino Linotype"/>
        </w:rPr>
        <w:t xml:space="preserve"> </w:t>
      </w:r>
      <w:r w:rsidRPr="00C77556">
        <w:rPr>
          <w:rFonts w:ascii="Palatino Linotype" w:eastAsia="Palatino Linotype" w:hAnsi="Palatino Linotype" w:cs="Palatino Linotype"/>
          <w:u w:val="single"/>
        </w:rPr>
        <w:t>el acto que le dio origen al recurso de revisión, por lo que trae como consecuencia que el mismo quede sin materia</w:t>
      </w:r>
      <w:r w:rsidRPr="00C77556">
        <w:rPr>
          <w:rFonts w:ascii="Palatino Linotype" w:eastAsia="Palatino Linotype" w:hAnsi="Palatino Linotype" w:cs="Palatino Linotype"/>
        </w:rPr>
        <w:t xml:space="preserve">, actualizándose de este modo, la hipótesis jurídica contenida en la </w:t>
      </w:r>
      <w:r w:rsidRPr="00C77556">
        <w:rPr>
          <w:rFonts w:ascii="Palatino Linotype" w:eastAsia="Palatino Linotype" w:hAnsi="Palatino Linotype" w:cs="Palatino Linotype"/>
          <w:b/>
        </w:rPr>
        <w:t>fracción III</w:t>
      </w:r>
      <w:r w:rsidRPr="00C77556">
        <w:rPr>
          <w:rFonts w:ascii="Palatino Linotype" w:eastAsia="Palatino Linotype" w:hAnsi="Palatino Linotype" w:cs="Palatino Linotype"/>
        </w:rPr>
        <w:t xml:space="preserve"> del citado artículo </w:t>
      </w:r>
      <w:r w:rsidRPr="00C77556">
        <w:rPr>
          <w:rFonts w:ascii="Palatino Linotype" w:eastAsia="Palatino Linotype" w:hAnsi="Palatino Linotype" w:cs="Palatino Linotype"/>
          <w:b/>
        </w:rPr>
        <w:t>192</w:t>
      </w:r>
      <w:r w:rsidRPr="00C77556">
        <w:rPr>
          <w:rFonts w:ascii="Palatino Linotype" w:eastAsia="Palatino Linotype" w:hAnsi="Palatino Linotype" w:cs="Palatino Linotype"/>
        </w:rPr>
        <w:t>.</w:t>
      </w:r>
    </w:p>
    <w:p w14:paraId="10181451" w14:textId="77777777" w:rsidR="0078708B" w:rsidRPr="00C77556" w:rsidRDefault="0078708B">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p>
    <w:p w14:paraId="06D0101E" w14:textId="77777777" w:rsidR="0078708B" w:rsidRPr="00C77556" w:rsidRDefault="00A82FD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Así, siendo el </w:t>
      </w:r>
      <w:r w:rsidRPr="00C77556">
        <w:rPr>
          <w:rFonts w:ascii="Palatino Linotype" w:eastAsia="Palatino Linotype" w:hAnsi="Palatino Linotype" w:cs="Palatino Linotype"/>
          <w:i/>
        </w:rPr>
        <w:t>sobreseimiento</w:t>
      </w:r>
      <w:r w:rsidRPr="00C77556">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la parte Recurrente, este Instituto se encuentra imposibilitado para entrar al estudio de fondo del recurso de revisión, lo anterior con apoyo en la Tesis Aislada del Segundo Tribunal Colegiado del Segundo Distrito, de la Suprema Corte de Justicia de la Nación, registrada con el rubro: SOBRESEIMIENTO, NO PERMITE ENTRAR AL ESTUDIO DE LAS CUESTIONES DE FONDO</w:t>
      </w:r>
    </w:p>
    <w:p w14:paraId="7706F436" w14:textId="77777777" w:rsidR="0078708B" w:rsidRPr="00C77556" w:rsidRDefault="0078708B">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60D3A6FD" w14:textId="77777777" w:rsidR="0078708B" w:rsidRPr="00C77556" w:rsidRDefault="00A82FD4">
      <w:pPr>
        <w:pBdr>
          <w:top w:val="nil"/>
          <w:left w:val="nil"/>
          <w:bottom w:val="nil"/>
          <w:right w:val="nil"/>
          <w:between w:val="nil"/>
        </w:pBdr>
        <w:tabs>
          <w:tab w:val="left" w:pos="0"/>
        </w:tabs>
        <w:spacing w:line="360" w:lineRule="auto"/>
        <w:ind w:right="49"/>
        <w:jc w:val="both"/>
        <w:rPr>
          <w:rFonts w:ascii="Palatino Linotype" w:eastAsia="Palatino Linotype" w:hAnsi="Palatino Linotype" w:cs="Palatino Linotype"/>
        </w:rPr>
      </w:pPr>
      <w:r w:rsidRPr="00C77556">
        <w:rPr>
          <w:rFonts w:ascii="Palatino Linotype" w:eastAsia="Palatino Linotype" w:hAnsi="Palatino Linotype" w:cs="Palatino Linotype"/>
        </w:rPr>
        <w:t xml:space="preserve">Por lo tanto, en términos del artículo 186 fracción I este Pleno determina el </w:t>
      </w:r>
      <w:r w:rsidRPr="00C77556">
        <w:rPr>
          <w:rFonts w:ascii="Palatino Linotype" w:eastAsia="Palatino Linotype" w:hAnsi="Palatino Linotype" w:cs="Palatino Linotype"/>
          <w:b/>
        </w:rPr>
        <w:t xml:space="preserve">Sobreseimiento </w:t>
      </w:r>
      <w:r w:rsidRPr="00C77556">
        <w:rPr>
          <w:rFonts w:ascii="Palatino Linotype" w:eastAsia="Palatino Linotype" w:hAnsi="Palatino Linotype" w:cs="Palatino Linotype"/>
        </w:rPr>
        <w:t>del presente recurso de revisión, toda vez que la afectación al derecho de acceso a la información pública establecido constitucionalmente a favor del particular ha sido resarcida al proporcionar la información que ha sido observada por este Organismo Garante.</w:t>
      </w:r>
    </w:p>
    <w:p w14:paraId="32BA1CFD" w14:textId="77777777" w:rsidR="0078708B" w:rsidRPr="00C77556" w:rsidRDefault="0078708B">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28F6F106" w14:textId="77777777" w:rsidR="0078708B" w:rsidRPr="00C77556" w:rsidRDefault="00A82FD4">
      <w:pPr>
        <w:pBdr>
          <w:top w:val="nil"/>
          <w:left w:val="nil"/>
          <w:bottom w:val="nil"/>
          <w:right w:val="nil"/>
          <w:between w:val="nil"/>
        </w:pBdr>
        <w:spacing w:line="360" w:lineRule="auto"/>
        <w:ind w:right="96"/>
        <w:jc w:val="both"/>
        <w:rPr>
          <w:rFonts w:ascii="Palatino Linotype" w:eastAsia="Palatino Linotype" w:hAnsi="Palatino Linotype" w:cs="Palatino Linotype"/>
        </w:rPr>
      </w:pPr>
      <w:r w:rsidRPr="00C77556">
        <w:rPr>
          <w:rFonts w:ascii="Palatino Linotype" w:eastAsia="Palatino Linotype" w:hAnsi="Palatino Linotype" w:cs="Palatino Linotype"/>
        </w:rPr>
        <w:lastRenderedPageBreak/>
        <w:t>Así, con fundamento en lo prescrito en los artículos 5 párrafos trigésimo segundo, trigésimo tercero y trigésimo cuarto fracciones IV y V de la Constitución Política del Estado Libre y Soberano de México; 2, fracción II; 29, 36 fracciones I y II; 176, 178, 181, 185 y 186 fracción II de la Ley de Transparencia y Acceso a la Información Pública del Estado de México y Municipios, este Pleno:</w:t>
      </w:r>
    </w:p>
    <w:p w14:paraId="2489483A" w14:textId="77777777" w:rsidR="0078708B" w:rsidRPr="00C77556" w:rsidRDefault="0078708B">
      <w:pPr>
        <w:pBdr>
          <w:top w:val="nil"/>
          <w:left w:val="nil"/>
          <w:bottom w:val="nil"/>
          <w:right w:val="nil"/>
          <w:between w:val="nil"/>
        </w:pBdr>
        <w:spacing w:line="360" w:lineRule="auto"/>
        <w:ind w:right="96"/>
        <w:jc w:val="both"/>
        <w:rPr>
          <w:rFonts w:ascii="Palatino Linotype" w:eastAsia="Palatino Linotype" w:hAnsi="Palatino Linotype" w:cs="Palatino Linotype"/>
        </w:rPr>
      </w:pPr>
    </w:p>
    <w:p w14:paraId="41A492C4" w14:textId="77777777" w:rsidR="0078708B" w:rsidRPr="00C77556" w:rsidRDefault="00A82FD4">
      <w:pPr>
        <w:numPr>
          <w:ilvl w:val="0"/>
          <w:numId w:val="2"/>
        </w:numPr>
        <w:pBdr>
          <w:top w:val="nil"/>
          <w:left w:val="nil"/>
          <w:bottom w:val="nil"/>
          <w:right w:val="nil"/>
          <w:between w:val="nil"/>
        </w:pBdr>
        <w:spacing w:after="240" w:line="360" w:lineRule="auto"/>
        <w:jc w:val="center"/>
        <w:rPr>
          <w:rFonts w:ascii="Palatino Linotype" w:eastAsia="Palatino Linotype" w:hAnsi="Palatino Linotype" w:cs="Palatino Linotype"/>
          <w:b/>
        </w:rPr>
      </w:pPr>
      <w:r w:rsidRPr="00C77556">
        <w:rPr>
          <w:rFonts w:ascii="Palatino Linotype" w:eastAsia="Palatino Linotype" w:hAnsi="Palatino Linotype" w:cs="Palatino Linotype"/>
          <w:b/>
        </w:rPr>
        <w:t>R E S U E L V E:</w:t>
      </w:r>
    </w:p>
    <w:p w14:paraId="619F3DCC" w14:textId="77777777" w:rsidR="0078708B" w:rsidRPr="00C77556" w:rsidRDefault="00A82FD4">
      <w:pPr>
        <w:spacing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 xml:space="preserve">Primero. </w:t>
      </w:r>
      <w:r w:rsidRPr="00C77556">
        <w:rPr>
          <w:rFonts w:ascii="Palatino Linotype" w:eastAsia="Palatino Linotype" w:hAnsi="Palatino Linotype" w:cs="Palatino Linotype"/>
        </w:rPr>
        <w:t>Se</w:t>
      </w:r>
      <w:r w:rsidRPr="00C77556">
        <w:rPr>
          <w:rFonts w:ascii="Palatino Linotype" w:eastAsia="Palatino Linotype" w:hAnsi="Palatino Linotype" w:cs="Palatino Linotype"/>
          <w:b/>
        </w:rPr>
        <w:t xml:space="preserve"> Sobresee </w:t>
      </w:r>
      <w:r w:rsidRPr="00C77556">
        <w:rPr>
          <w:rFonts w:ascii="Palatino Linotype" w:eastAsia="Palatino Linotype" w:hAnsi="Palatino Linotype" w:cs="Palatino Linotype"/>
        </w:rPr>
        <w:t xml:space="preserve">el recurso de revisión número </w:t>
      </w:r>
      <w:r w:rsidRPr="00C77556">
        <w:rPr>
          <w:rFonts w:ascii="Palatino Linotype" w:eastAsia="Palatino Linotype" w:hAnsi="Palatino Linotype" w:cs="Palatino Linotype"/>
          <w:b/>
        </w:rPr>
        <w:t xml:space="preserve">15679/INFOEM/IP/RR/2022, </w:t>
      </w:r>
      <w:r w:rsidRPr="00C77556">
        <w:rPr>
          <w:rFonts w:ascii="Palatino Linotype" w:eastAsia="Palatino Linotype" w:hAnsi="Palatino Linotype" w:cs="Palatino Linotype"/>
        </w:rPr>
        <w:t xml:space="preserve">porque al </w:t>
      </w:r>
      <w:r w:rsidRPr="00C77556">
        <w:rPr>
          <w:rFonts w:ascii="Palatino Linotype" w:eastAsia="Palatino Linotype" w:hAnsi="Palatino Linotype" w:cs="Palatino Linotype"/>
          <w:b/>
        </w:rPr>
        <w:t>modificar la respuesta</w:t>
      </w:r>
      <w:r w:rsidRPr="00C77556">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C77556">
        <w:rPr>
          <w:rFonts w:ascii="Palatino Linotype" w:eastAsia="Palatino Linotype" w:hAnsi="Palatino Linotype" w:cs="Palatino Linotype"/>
          <w:b/>
        </w:rPr>
        <w:t xml:space="preserve">Tercero </w:t>
      </w:r>
      <w:r w:rsidRPr="00C77556">
        <w:rPr>
          <w:rFonts w:ascii="Palatino Linotype" w:eastAsia="Palatino Linotype" w:hAnsi="Palatino Linotype" w:cs="Palatino Linotype"/>
        </w:rPr>
        <w:t>de la presente Resolución.</w:t>
      </w:r>
    </w:p>
    <w:p w14:paraId="351297B9" w14:textId="77777777" w:rsidR="0078708B" w:rsidRPr="00C77556" w:rsidRDefault="00A82FD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 xml:space="preserve">Segundo. Notifíquese, </w:t>
      </w:r>
      <w:r w:rsidRPr="00C77556">
        <w:rPr>
          <w:rFonts w:ascii="Palatino Linotype" w:eastAsia="Palatino Linotype" w:hAnsi="Palatino Linotype" w:cs="Palatino Linotype"/>
        </w:rPr>
        <w:t xml:space="preserve">al Titular de la Unidad de Transparencia del </w:t>
      </w:r>
      <w:r w:rsidRPr="00C77556">
        <w:rPr>
          <w:rFonts w:ascii="Palatino Linotype" w:eastAsia="Palatino Linotype" w:hAnsi="Palatino Linotype" w:cs="Palatino Linotype"/>
          <w:b/>
        </w:rPr>
        <w:t>Sujeto Obligado</w:t>
      </w:r>
      <w:r w:rsidRPr="00C77556">
        <w:rPr>
          <w:rFonts w:ascii="Palatino Linotype" w:eastAsia="Palatino Linotype" w:hAnsi="Palatino Linotype" w:cs="Palatino Linotype"/>
        </w:rPr>
        <w:t xml:space="preserve"> la presente resolución, para su conocimiento.</w:t>
      </w:r>
    </w:p>
    <w:p w14:paraId="25535B2B" w14:textId="77777777" w:rsidR="0078708B" w:rsidRPr="00C77556" w:rsidRDefault="00A82FD4">
      <w:pPr>
        <w:spacing w:before="240" w:after="240" w:line="360" w:lineRule="auto"/>
        <w:jc w:val="both"/>
        <w:rPr>
          <w:rFonts w:ascii="Palatino Linotype" w:eastAsia="Palatino Linotype" w:hAnsi="Palatino Linotype" w:cs="Palatino Linotype"/>
        </w:rPr>
      </w:pPr>
      <w:r w:rsidRPr="00C77556">
        <w:rPr>
          <w:rFonts w:ascii="Palatino Linotype" w:eastAsia="Palatino Linotype" w:hAnsi="Palatino Linotype" w:cs="Palatino Linotype"/>
          <w:b/>
        </w:rPr>
        <w:t xml:space="preserve">Tercero. Notifíquese, </w:t>
      </w:r>
      <w:r w:rsidRPr="00C77556">
        <w:rPr>
          <w:rFonts w:ascii="Palatino Linotype" w:eastAsia="Palatino Linotype" w:hAnsi="Palatino Linotype" w:cs="Palatino Linotype"/>
        </w:rPr>
        <w:t>vía</w:t>
      </w:r>
      <w:r w:rsidRPr="00C77556">
        <w:rPr>
          <w:rFonts w:ascii="Palatino Linotype" w:eastAsia="Palatino Linotype" w:hAnsi="Palatino Linotype" w:cs="Palatino Linotype"/>
          <w:b/>
        </w:rPr>
        <w:t xml:space="preserve"> SAIMEX</w:t>
      </w:r>
      <w:r w:rsidRPr="00C77556">
        <w:rPr>
          <w:rFonts w:ascii="Palatino Linotype" w:eastAsia="Palatino Linotype" w:hAnsi="Palatino Linotype" w:cs="Palatino Linotype"/>
        </w:rPr>
        <w:t>, a</w:t>
      </w:r>
      <w:r w:rsidRPr="00C77556">
        <w:rPr>
          <w:rFonts w:ascii="Palatino Linotype" w:eastAsia="Palatino Linotype" w:hAnsi="Palatino Linotype" w:cs="Palatino Linotype"/>
          <w:b/>
        </w:rPr>
        <w:t xml:space="preserve"> </w:t>
      </w:r>
      <w:r w:rsidRPr="00C77556">
        <w:rPr>
          <w:rFonts w:ascii="Palatino Linotype" w:eastAsia="Palatino Linotype" w:hAnsi="Palatino Linotype" w:cs="Palatino Linotype"/>
        </w:rPr>
        <w:t xml:space="preserve">la parte </w:t>
      </w:r>
      <w:r w:rsidRPr="00C77556">
        <w:rPr>
          <w:rFonts w:ascii="Palatino Linotype" w:eastAsia="Palatino Linotype" w:hAnsi="Palatino Linotype" w:cs="Palatino Linotype"/>
          <w:b/>
        </w:rPr>
        <w:t>Recurrente</w:t>
      </w:r>
      <w:r w:rsidRPr="00C77556">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09DD34A0" w14:textId="77777777" w:rsidR="0078708B" w:rsidRPr="00C77556" w:rsidRDefault="00A82FD4">
      <w:pPr>
        <w:spacing w:before="240" w:after="240" w:line="360" w:lineRule="auto"/>
        <w:jc w:val="both"/>
        <w:rPr>
          <w:rFonts w:ascii="Palatino Linotype" w:eastAsia="Palatino Linotype" w:hAnsi="Palatino Linotype" w:cs="Palatino Linotype"/>
          <w:sz w:val="20"/>
          <w:szCs w:val="20"/>
        </w:rPr>
      </w:pPr>
      <w:r w:rsidRPr="00C77556">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sidRPr="00C77556">
        <w:rPr>
          <w:rFonts w:ascii="Palatino Linotype" w:eastAsia="Palatino Linotype" w:hAnsi="Palatino Linotype" w:cs="Palatino Linotype"/>
        </w:rPr>
        <w:lastRenderedPageBreak/>
        <w:t>MUNICIPIOS, CONFORMADO POR LOS COMISIONADOS JOSÉ MARTÍNEZ VILCHIS; MARÍA DEL ROSARIO MEJÍA AYALA, SHARON CRISTINA MORALES MARTÍNEZ; LUIS GUSTAVO PARRA NORIEGA Y GUADALUPE RAMÍREZ PEÑA; EN LA TRIGÉSIMA TERCERA SESIÓN ORDINARIA CELEBRADA EL TRECE DE SEPTIEMBRE DE DOS MIL VEINTITRÉS, ANTE EL SECRETARIO TÉCNICO DEL PLENO, ALEXIS TAPIA RAMÍREZ.</w:t>
      </w:r>
    </w:p>
    <w:p w14:paraId="063893DA" w14:textId="7FD3AD51" w:rsidR="0078708B" w:rsidRPr="00C77556" w:rsidRDefault="0052502D">
      <w:pPr>
        <w:spacing w:before="240" w:after="240"/>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rPr>
        <mc:AlternateContent>
          <mc:Choice Requires="wps">
            <w:drawing>
              <wp:anchor distT="0" distB="0" distL="114300" distR="114300" simplePos="0" relativeHeight="251659264" behindDoc="0" locked="0" layoutInCell="1" allowOverlap="1" wp14:anchorId="76ACFC1A" wp14:editId="066484DA">
                <wp:simplePos x="0" y="0"/>
                <wp:positionH relativeFrom="column">
                  <wp:posOffset>224789</wp:posOffset>
                </wp:positionH>
                <wp:positionV relativeFrom="paragraph">
                  <wp:posOffset>29210</wp:posOffset>
                </wp:positionV>
                <wp:extent cx="5095875" cy="510540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095875" cy="5105400"/>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8A99F3"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7pt,2.3pt" to="418.95pt,40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" strokecolor="#4f81bd [3204]"/>
            </w:pict>
          </mc:Fallback>
        </mc:AlternateContent>
      </w:r>
    </w:p>
    <w:p w14:paraId="438CCEBD" w14:textId="77777777" w:rsidR="0078708B" w:rsidRPr="00C77556" w:rsidRDefault="0078708B">
      <w:pPr>
        <w:spacing w:before="240" w:after="240"/>
        <w:jc w:val="both"/>
        <w:rPr>
          <w:rFonts w:ascii="Palatino Linotype" w:eastAsia="Palatino Linotype" w:hAnsi="Palatino Linotype" w:cs="Palatino Linotype"/>
          <w:sz w:val="20"/>
          <w:szCs w:val="20"/>
        </w:rPr>
      </w:pPr>
    </w:p>
    <w:p w14:paraId="0BE3F983" w14:textId="77777777" w:rsidR="0078708B" w:rsidRPr="00C77556" w:rsidRDefault="0078708B">
      <w:pPr>
        <w:spacing w:before="240" w:after="240"/>
        <w:jc w:val="both"/>
        <w:rPr>
          <w:rFonts w:ascii="Palatino Linotype" w:eastAsia="Palatino Linotype" w:hAnsi="Palatino Linotype" w:cs="Palatino Linotype"/>
          <w:sz w:val="20"/>
          <w:szCs w:val="20"/>
        </w:rPr>
      </w:pPr>
    </w:p>
    <w:p w14:paraId="43E7C9B1" w14:textId="77777777" w:rsidR="0078708B" w:rsidRPr="00C77556" w:rsidRDefault="0078708B">
      <w:pPr>
        <w:spacing w:before="240" w:after="240"/>
        <w:jc w:val="both"/>
        <w:rPr>
          <w:rFonts w:ascii="Palatino Linotype" w:eastAsia="Palatino Linotype" w:hAnsi="Palatino Linotype" w:cs="Palatino Linotype"/>
          <w:sz w:val="20"/>
          <w:szCs w:val="20"/>
        </w:rPr>
      </w:pPr>
    </w:p>
    <w:p w14:paraId="2E31607F" w14:textId="77777777" w:rsidR="0078708B" w:rsidRPr="00C77556" w:rsidRDefault="0078708B">
      <w:pPr>
        <w:spacing w:before="240" w:after="240"/>
        <w:jc w:val="both"/>
        <w:rPr>
          <w:rFonts w:ascii="Palatino Linotype" w:eastAsia="Palatino Linotype" w:hAnsi="Palatino Linotype" w:cs="Palatino Linotype"/>
          <w:sz w:val="20"/>
          <w:szCs w:val="20"/>
        </w:rPr>
      </w:pPr>
    </w:p>
    <w:p w14:paraId="374FAFC5" w14:textId="77777777" w:rsidR="0078708B" w:rsidRPr="00C77556" w:rsidRDefault="0078708B">
      <w:pPr>
        <w:spacing w:before="240" w:after="240"/>
        <w:jc w:val="both"/>
        <w:rPr>
          <w:rFonts w:ascii="Palatino Linotype" w:eastAsia="Palatino Linotype" w:hAnsi="Palatino Linotype" w:cs="Palatino Linotype"/>
          <w:sz w:val="20"/>
          <w:szCs w:val="20"/>
        </w:rPr>
      </w:pPr>
    </w:p>
    <w:p w14:paraId="0716E4EC" w14:textId="77777777" w:rsidR="0078708B" w:rsidRPr="00C77556" w:rsidRDefault="0078708B">
      <w:pPr>
        <w:spacing w:before="240" w:after="240"/>
        <w:jc w:val="both"/>
        <w:rPr>
          <w:rFonts w:ascii="Palatino Linotype" w:eastAsia="Palatino Linotype" w:hAnsi="Palatino Linotype" w:cs="Palatino Linotype"/>
          <w:sz w:val="20"/>
          <w:szCs w:val="20"/>
        </w:rPr>
      </w:pPr>
    </w:p>
    <w:p w14:paraId="1458E8BC" w14:textId="77777777" w:rsidR="0078708B" w:rsidRPr="00C77556" w:rsidRDefault="0078708B">
      <w:pPr>
        <w:spacing w:before="240" w:after="240"/>
        <w:jc w:val="both"/>
        <w:rPr>
          <w:rFonts w:ascii="Palatino Linotype" w:eastAsia="Palatino Linotype" w:hAnsi="Palatino Linotype" w:cs="Palatino Linotype"/>
          <w:sz w:val="20"/>
          <w:szCs w:val="20"/>
        </w:rPr>
      </w:pPr>
    </w:p>
    <w:p w14:paraId="31E53436" w14:textId="77777777" w:rsidR="0078708B" w:rsidRPr="00C77556" w:rsidRDefault="0078708B">
      <w:pPr>
        <w:spacing w:before="240" w:after="240"/>
        <w:jc w:val="both"/>
        <w:rPr>
          <w:rFonts w:ascii="Palatino Linotype" w:eastAsia="Palatino Linotype" w:hAnsi="Palatino Linotype" w:cs="Palatino Linotype"/>
          <w:sz w:val="20"/>
          <w:szCs w:val="20"/>
        </w:rPr>
      </w:pPr>
    </w:p>
    <w:p w14:paraId="4110D322" w14:textId="77777777" w:rsidR="0078708B" w:rsidRPr="00C77556" w:rsidRDefault="0078708B">
      <w:pPr>
        <w:spacing w:before="240" w:after="240"/>
        <w:jc w:val="both"/>
        <w:rPr>
          <w:rFonts w:ascii="Palatino Linotype" w:eastAsia="Palatino Linotype" w:hAnsi="Palatino Linotype" w:cs="Palatino Linotype"/>
          <w:sz w:val="20"/>
          <w:szCs w:val="20"/>
        </w:rPr>
      </w:pPr>
    </w:p>
    <w:p w14:paraId="3D809F2F" w14:textId="77777777" w:rsidR="0078708B" w:rsidRPr="00C77556" w:rsidRDefault="0078708B">
      <w:pPr>
        <w:spacing w:before="240" w:after="240"/>
        <w:jc w:val="both"/>
        <w:rPr>
          <w:rFonts w:ascii="Palatino Linotype" w:eastAsia="Palatino Linotype" w:hAnsi="Palatino Linotype" w:cs="Palatino Linotype"/>
          <w:sz w:val="20"/>
          <w:szCs w:val="20"/>
        </w:rPr>
      </w:pPr>
    </w:p>
    <w:p w14:paraId="0A67B421" w14:textId="77777777" w:rsidR="0078708B" w:rsidRPr="00C77556" w:rsidRDefault="0078708B">
      <w:pPr>
        <w:spacing w:before="240" w:after="240"/>
        <w:jc w:val="both"/>
        <w:rPr>
          <w:rFonts w:ascii="Palatino Linotype" w:eastAsia="Palatino Linotype" w:hAnsi="Palatino Linotype" w:cs="Palatino Linotype"/>
          <w:sz w:val="20"/>
          <w:szCs w:val="20"/>
        </w:rPr>
      </w:pPr>
    </w:p>
    <w:p w14:paraId="47761899" w14:textId="77777777" w:rsidR="0078708B" w:rsidRPr="00C77556" w:rsidRDefault="0078708B">
      <w:pPr>
        <w:spacing w:before="240" w:after="240"/>
        <w:jc w:val="both"/>
        <w:rPr>
          <w:rFonts w:ascii="Palatino Linotype" w:eastAsia="Palatino Linotype" w:hAnsi="Palatino Linotype" w:cs="Palatino Linotype"/>
          <w:sz w:val="20"/>
          <w:szCs w:val="20"/>
        </w:rPr>
      </w:pPr>
    </w:p>
    <w:p w14:paraId="189A91C8" w14:textId="77777777" w:rsidR="0078708B" w:rsidRPr="00C77556" w:rsidRDefault="0078708B">
      <w:pPr>
        <w:spacing w:before="240" w:after="240"/>
        <w:jc w:val="both"/>
        <w:rPr>
          <w:rFonts w:ascii="Palatino Linotype" w:eastAsia="Palatino Linotype" w:hAnsi="Palatino Linotype" w:cs="Palatino Linotype"/>
          <w:sz w:val="20"/>
          <w:szCs w:val="20"/>
        </w:rPr>
      </w:pPr>
    </w:p>
    <w:p w14:paraId="7CD76438" w14:textId="77777777" w:rsidR="0078708B" w:rsidRPr="00C77556" w:rsidRDefault="0078708B">
      <w:pPr>
        <w:spacing w:before="240" w:after="240"/>
        <w:jc w:val="both"/>
        <w:rPr>
          <w:rFonts w:ascii="Palatino Linotype" w:eastAsia="Palatino Linotype" w:hAnsi="Palatino Linotype" w:cs="Palatino Linotype"/>
          <w:sz w:val="20"/>
          <w:szCs w:val="20"/>
        </w:rPr>
      </w:pPr>
    </w:p>
    <w:p w14:paraId="6E2CABE1" w14:textId="77777777" w:rsidR="0078708B" w:rsidRPr="00C77556" w:rsidRDefault="0078708B">
      <w:pPr>
        <w:spacing w:before="240" w:after="240"/>
        <w:jc w:val="both"/>
        <w:rPr>
          <w:rFonts w:ascii="Palatino Linotype" w:eastAsia="Palatino Linotype" w:hAnsi="Palatino Linotype" w:cs="Palatino Linotype"/>
          <w:sz w:val="20"/>
          <w:szCs w:val="20"/>
        </w:rPr>
      </w:pPr>
    </w:p>
    <w:p w14:paraId="42CADA8A" w14:textId="77777777" w:rsidR="0078708B" w:rsidRPr="00C77556" w:rsidRDefault="0078708B">
      <w:pPr>
        <w:spacing w:before="240" w:after="240"/>
        <w:jc w:val="both"/>
        <w:rPr>
          <w:rFonts w:ascii="Palatino Linotype" w:eastAsia="Palatino Linotype" w:hAnsi="Palatino Linotype" w:cs="Palatino Linotype"/>
          <w:sz w:val="20"/>
          <w:szCs w:val="20"/>
        </w:rPr>
      </w:pPr>
    </w:p>
    <w:p w14:paraId="7B2EA716" w14:textId="77777777" w:rsidR="0078708B" w:rsidRPr="00C77556" w:rsidRDefault="0078708B">
      <w:pPr>
        <w:spacing w:before="240" w:after="240"/>
        <w:jc w:val="both"/>
        <w:rPr>
          <w:rFonts w:ascii="Palatino Linotype" w:eastAsia="Palatino Linotype" w:hAnsi="Palatino Linotype" w:cs="Palatino Linotype"/>
          <w:sz w:val="20"/>
          <w:szCs w:val="20"/>
        </w:rPr>
      </w:pPr>
    </w:p>
    <w:p w14:paraId="47CCF7B8" w14:textId="77777777" w:rsidR="0078708B" w:rsidRPr="00C77556" w:rsidRDefault="0078708B">
      <w:pPr>
        <w:spacing w:before="240" w:after="240"/>
        <w:jc w:val="both"/>
        <w:rPr>
          <w:rFonts w:ascii="Palatino Linotype" w:eastAsia="Palatino Linotype" w:hAnsi="Palatino Linotype" w:cs="Palatino Linotype"/>
          <w:sz w:val="20"/>
          <w:szCs w:val="20"/>
        </w:rPr>
      </w:pPr>
    </w:p>
    <w:p w14:paraId="1D482A15" w14:textId="77777777" w:rsidR="0078708B" w:rsidRPr="00C77556" w:rsidRDefault="0078708B">
      <w:pPr>
        <w:spacing w:before="240" w:after="240"/>
        <w:jc w:val="both"/>
        <w:rPr>
          <w:rFonts w:ascii="Palatino Linotype" w:eastAsia="Palatino Linotype" w:hAnsi="Palatino Linotype" w:cs="Palatino Linotype"/>
          <w:sz w:val="20"/>
          <w:szCs w:val="20"/>
        </w:rPr>
      </w:pPr>
    </w:p>
    <w:p w14:paraId="7483321B" w14:textId="77777777" w:rsidR="0078708B" w:rsidRPr="00C77556" w:rsidRDefault="0078708B">
      <w:pPr>
        <w:spacing w:before="240" w:after="240"/>
        <w:jc w:val="both"/>
        <w:rPr>
          <w:rFonts w:ascii="Palatino Linotype" w:eastAsia="Palatino Linotype" w:hAnsi="Palatino Linotype" w:cs="Palatino Linotype"/>
          <w:sz w:val="20"/>
          <w:szCs w:val="20"/>
        </w:rPr>
      </w:pPr>
    </w:p>
    <w:p w14:paraId="682624C6" w14:textId="77777777" w:rsidR="0078708B" w:rsidRPr="00C77556" w:rsidRDefault="0078708B">
      <w:pPr>
        <w:spacing w:before="240" w:after="240"/>
        <w:jc w:val="both"/>
        <w:rPr>
          <w:rFonts w:ascii="Palatino Linotype" w:eastAsia="Palatino Linotype" w:hAnsi="Palatino Linotype" w:cs="Palatino Linotype"/>
          <w:sz w:val="20"/>
          <w:szCs w:val="20"/>
        </w:rPr>
      </w:pPr>
    </w:p>
    <w:p w14:paraId="1A5DC096" w14:textId="77777777" w:rsidR="0078708B" w:rsidRPr="00C77556" w:rsidRDefault="0078708B">
      <w:pPr>
        <w:spacing w:before="240" w:after="240"/>
        <w:jc w:val="both"/>
        <w:rPr>
          <w:rFonts w:ascii="Palatino Linotype" w:eastAsia="Palatino Linotype" w:hAnsi="Palatino Linotype" w:cs="Palatino Linotype"/>
          <w:sz w:val="20"/>
          <w:szCs w:val="20"/>
        </w:rPr>
      </w:pPr>
    </w:p>
    <w:sectPr w:rsidR="0078708B" w:rsidRPr="00C77556">
      <w:headerReference w:type="default" r:id="rId22"/>
      <w:footerReference w:type="default" r:id="rId23"/>
      <w:headerReference w:type="first" r:id="rId24"/>
      <w:footerReference w:type="first" r:id="rId25"/>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6F6B72" w14:textId="77777777" w:rsidR="00C540C9" w:rsidRDefault="00C540C9">
      <w:r>
        <w:separator/>
      </w:r>
    </w:p>
  </w:endnote>
  <w:endnote w:type="continuationSeparator" w:id="0">
    <w:p w14:paraId="711B4315" w14:textId="77777777" w:rsidR="00C540C9" w:rsidRDefault="00C54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709B2" w14:textId="77777777" w:rsidR="0078708B" w:rsidRDefault="00A82FD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1182B">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1182B">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4F4BD937" w14:textId="77777777" w:rsidR="0078708B" w:rsidRDefault="0078708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B1A7B7" w14:textId="77777777" w:rsidR="0078708B" w:rsidRDefault="00A82FD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1182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1182B">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3B7C07F3" w14:textId="77777777" w:rsidR="0078708B" w:rsidRDefault="0078708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EC3E98" w14:textId="77777777" w:rsidR="00C540C9" w:rsidRDefault="00C540C9">
      <w:r>
        <w:separator/>
      </w:r>
    </w:p>
  </w:footnote>
  <w:footnote w:type="continuationSeparator" w:id="0">
    <w:p w14:paraId="4018D673" w14:textId="77777777" w:rsidR="00C540C9" w:rsidRDefault="00C540C9">
      <w:r>
        <w:continuationSeparator/>
      </w:r>
    </w:p>
  </w:footnote>
  <w:footnote w:id="1">
    <w:p w14:paraId="4D260610" w14:textId="77777777" w:rsidR="0078708B" w:rsidRDefault="00A82FD4">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16"/>
          <w:szCs w:val="16"/>
        </w:rPr>
        <w:t xml:space="preserve"> </w:t>
      </w:r>
      <w:r>
        <w:rPr>
          <w:rFonts w:ascii="Palatino Linotype" w:eastAsia="Palatino Linotype" w:hAnsi="Palatino Linotype" w:cs="Palatino Linotype"/>
          <w:b/>
          <w:color w:val="000000"/>
          <w:sz w:val="16"/>
          <w:szCs w:val="16"/>
        </w:rPr>
        <w:t>Artículo 192.</w:t>
      </w:r>
      <w:r>
        <w:rPr>
          <w:rFonts w:ascii="Palatino Linotype" w:eastAsia="Palatino Linotype" w:hAnsi="Palatino Linotype" w:cs="Palatino Linotype"/>
          <w:color w:val="000000"/>
          <w:sz w:val="16"/>
          <w:szCs w:val="16"/>
        </w:rPr>
        <w:t xml:space="preserve"> El recurso será sobreseído, en todo o en parte, cuando una vez admitido, se actualicen alguno de los siguientes supuestos:</w:t>
      </w:r>
    </w:p>
    <w:p w14:paraId="46C37CDD" w14:textId="77777777" w:rsidR="0078708B" w:rsidRDefault="00A82FD4">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w:t>
      </w:r>
    </w:p>
    <w:p w14:paraId="5499F716" w14:textId="77777777" w:rsidR="0078708B" w:rsidRDefault="00A82FD4">
      <w:pPr>
        <w:pBdr>
          <w:top w:val="nil"/>
          <w:left w:val="nil"/>
          <w:bottom w:val="nil"/>
          <w:right w:val="nil"/>
          <w:between w:val="nil"/>
        </w:pBdr>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III. El sujeto obligado responsable del acto lo modifique o revoque de tal manera que el recurso de revisión quede sin materia;</w:t>
      </w:r>
    </w:p>
  </w:footnote>
  <w:footnote w:id="2">
    <w:p w14:paraId="31A8E7CD" w14:textId="77777777" w:rsidR="0078708B" w:rsidRDefault="00A82FD4">
      <w:pPr>
        <w:pBdr>
          <w:top w:val="nil"/>
          <w:left w:val="nil"/>
          <w:bottom w:val="nil"/>
          <w:right w:val="nil"/>
          <w:between w:val="nil"/>
        </w:pBdr>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186</w:t>
      </w:r>
      <w:r>
        <w:rPr>
          <w:rFonts w:ascii="Palatino Linotype" w:eastAsia="Palatino Linotype" w:hAnsi="Palatino Linotype" w:cs="Palatino Linotype"/>
          <w:color w:val="000000"/>
          <w:sz w:val="16"/>
          <w:szCs w:val="16"/>
        </w:rPr>
        <w:t>. Las resoluciones del Instituto podrán:</w:t>
      </w:r>
    </w:p>
    <w:p w14:paraId="37D17106" w14:textId="77777777" w:rsidR="0078708B" w:rsidRDefault="00A82FD4">
      <w:pPr>
        <w:pBdr>
          <w:top w:val="nil"/>
          <w:left w:val="nil"/>
          <w:bottom w:val="nil"/>
          <w:right w:val="nil"/>
          <w:between w:val="nil"/>
        </w:pBdr>
        <w:rPr>
          <w:rFonts w:ascii="Cambria" w:eastAsia="Cambria" w:hAnsi="Cambria" w:cs="Cambria"/>
          <w:color w:val="000000"/>
          <w:sz w:val="16"/>
          <w:szCs w:val="16"/>
        </w:rPr>
      </w:pPr>
      <w:r>
        <w:rPr>
          <w:rFonts w:ascii="Palatino Linotype" w:eastAsia="Palatino Linotype" w:hAnsi="Palatino Linotype" w:cs="Palatino Linotype"/>
          <w:color w:val="000000"/>
          <w:sz w:val="16"/>
          <w:szCs w:val="16"/>
        </w:rPr>
        <w:t>I. Desechar o sobreseer el recurso;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1F33E" w14:textId="77777777" w:rsidR="0078708B" w:rsidRDefault="00A82FD4">
    <w:pPr>
      <w:rPr>
        <w:rFonts w:ascii="Cambria" w:eastAsia="Cambria" w:hAnsi="Cambria" w:cs="Cambria"/>
        <w:color w:val="000000"/>
      </w:rPr>
    </w:pPr>
    <w:r>
      <w:rPr>
        <w:noProof/>
      </w:rPr>
      <w:drawing>
        <wp:anchor distT="0" distB="0" distL="0" distR="0" simplePos="0" relativeHeight="251658240" behindDoc="1" locked="0" layoutInCell="1" hidden="0" allowOverlap="1" wp14:anchorId="65040953" wp14:editId="66E6B248">
          <wp:simplePos x="0" y="0"/>
          <wp:positionH relativeFrom="column">
            <wp:posOffset>-1080126</wp:posOffset>
          </wp:positionH>
          <wp:positionV relativeFrom="paragraph">
            <wp:posOffset>-396393</wp:posOffset>
          </wp:positionV>
          <wp:extent cx="7809865" cy="10165715"/>
          <wp:effectExtent l="0" t="0" r="0" b="0"/>
          <wp:wrapNone/>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78708B" w14:paraId="1993616D" w14:textId="77777777">
      <w:tc>
        <w:tcPr>
          <w:tcW w:w="2489" w:type="dxa"/>
          <w:shd w:val="clear" w:color="auto" w:fill="auto"/>
        </w:tcPr>
        <w:p w14:paraId="6DCD76C0" w14:textId="77777777" w:rsidR="0078708B" w:rsidRDefault="00A82FD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7E518CCC" w14:textId="77777777" w:rsidR="0078708B" w:rsidRDefault="00A82FD4">
          <w:pPr>
            <w:ind w:right="175"/>
            <w:jc w:val="both"/>
            <w:rPr>
              <w:rFonts w:ascii="Palatino Linotype" w:eastAsia="Palatino Linotype" w:hAnsi="Palatino Linotype" w:cs="Palatino Linotype"/>
              <w:b/>
            </w:rPr>
          </w:pPr>
          <w:r>
            <w:rPr>
              <w:rFonts w:ascii="Palatino Linotype" w:eastAsia="Palatino Linotype" w:hAnsi="Palatino Linotype" w:cs="Palatino Linotype"/>
              <w:b/>
            </w:rPr>
            <w:t>15679/INFOEM/IP/RR/2022</w:t>
          </w:r>
        </w:p>
      </w:tc>
    </w:tr>
    <w:tr w:rsidR="0078708B" w14:paraId="672D6A2D" w14:textId="77777777">
      <w:trPr>
        <w:trHeight w:val="228"/>
      </w:trPr>
      <w:tc>
        <w:tcPr>
          <w:tcW w:w="2489" w:type="dxa"/>
          <w:shd w:val="clear" w:color="auto" w:fill="auto"/>
          <w:vAlign w:val="center"/>
        </w:tcPr>
        <w:p w14:paraId="460D5B0E" w14:textId="77777777" w:rsidR="0078708B" w:rsidRDefault="00A82FD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096AF45E" w14:textId="77777777" w:rsidR="0078708B" w:rsidRDefault="00A82FD4">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Instituto de Seguridad Social del Estado de México y Municipios</w:t>
          </w:r>
        </w:p>
      </w:tc>
    </w:tr>
    <w:tr w:rsidR="0078708B" w14:paraId="1ADEF667" w14:textId="77777777">
      <w:trPr>
        <w:trHeight w:val="311"/>
      </w:trPr>
      <w:tc>
        <w:tcPr>
          <w:tcW w:w="2489" w:type="dxa"/>
          <w:shd w:val="clear" w:color="auto" w:fill="auto"/>
          <w:vAlign w:val="center"/>
        </w:tcPr>
        <w:p w14:paraId="544F2ABF" w14:textId="77777777" w:rsidR="0078708B" w:rsidRDefault="00A82FD4">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7C27B886" w14:textId="77777777" w:rsidR="0078708B" w:rsidRDefault="00A82FD4">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769F7B7F" w14:textId="77777777" w:rsidR="0078708B" w:rsidRDefault="00A82FD4">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A4427" w14:textId="77777777" w:rsidR="0078708B" w:rsidRDefault="00A82FD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B525B09" wp14:editId="617B2ACE">
          <wp:simplePos x="0" y="0"/>
          <wp:positionH relativeFrom="column">
            <wp:posOffset>-699132</wp:posOffset>
          </wp:positionH>
          <wp:positionV relativeFrom="paragraph">
            <wp:posOffset>-644522</wp:posOffset>
          </wp:positionV>
          <wp:extent cx="7809865" cy="10165715"/>
          <wp:effectExtent l="0" t="0" r="0" b="0"/>
          <wp:wrapNone/>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0"/>
      <w:tblW w:w="6095" w:type="dxa"/>
      <w:tblInd w:w="2762" w:type="dxa"/>
      <w:tblLayout w:type="fixed"/>
      <w:tblLook w:val="0400" w:firstRow="0" w:lastRow="0" w:firstColumn="0" w:lastColumn="0" w:noHBand="0" w:noVBand="1"/>
    </w:tblPr>
    <w:tblGrid>
      <w:gridCol w:w="2551"/>
      <w:gridCol w:w="3544"/>
    </w:tblGrid>
    <w:tr w:rsidR="0078708B" w14:paraId="43C1EB4F" w14:textId="77777777">
      <w:tc>
        <w:tcPr>
          <w:tcW w:w="2551" w:type="dxa"/>
          <w:shd w:val="clear" w:color="auto" w:fill="auto"/>
          <w:vAlign w:val="center"/>
        </w:tcPr>
        <w:p w14:paraId="3C85523A" w14:textId="77777777" w:rsidR="0078708B" w:rsidRDefault="00A82FD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544" w:type="dxa"/>
          <w:shd w:val="clear" w:color="auto" w:fill="auto"/>
          <w:vAlign w:val="center"/>
        </w:tcPr>
        <w:p w14:paraId="61B04E8A" w14:textId="77777777" w:rsidR="0078708B" w:rsidRDefault="00A82FD4">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15679/INFOEM/IP/RR/2022</w:t>
          </w:r>
        </w:p>
      </w:tc>
    </w:tr>
    <w:tr w:rsidR="0078708B" w14:paraId="09ABDD90" w14:textId="77777777">
      <w:trPr>
        <w:trHeight w:val="130"/>
      </w:trPr>
      <w:tc>
        <w:tcPr>
          <w:tcW w:w="2551" w:type="dxa"/>
          <w:shd w:val="clear" w:color="auto" w:fill="auto"/>
          <w:vAlign w:val="center"/>
        </w:tcPr>
        <w:p w14:paraId="016D141D" w14:textId="77777777" w:rsidR="0078708B" w:rsidRDefault="00A82FD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544" w:type="dxa"/>
          <w:shd w:val="clear" w:color="auto" w:fill="auto"/>
          <w:vAlign w:val="center"/>
        </w:tcPr>
        <w:p w14:paraId="50A94AEA" w14:textId="29AF7809" w:rsidR="0078708B" w:rsidRDefault="0031182B" w:rsidP="0031182B">
          <w:pPr>
            <w:jc w:val="both"/>
            <w:rPr>
              <w:rFonts w:ascii="Palatino Linotype" w:eastAsia="Palatino Linotype" w:hAnsi="Palatino Linotype" w:cs="Palatino Linotype"/>
              <w:b/>
            </w:rPr>
          </w:pPr>
          <w:r>
            <w:rPr>
              <w:rFonts w:ascii="Palatino Linotype" w:eastAsia="Palatino Linotype" w:hAnsi="Palatino Linotype" w:cs="Palatino Linotype"/>
              <w:b/>
            </w:rPr>
            <w:t>XXXXXXX XXXXXX XX X</w:t>
          </w:r>
        </w:p>
      </w:tc>
    </w:tr>
    <w:tr w:rsidR="0078708B" w14:paraId="08FBEA55" w14:textId="77777777">
      <w:trPr>
        <w:trHeight w:val="228"/>
      </w:trPr>
      <w:tc>
        <w:tcPr>
          <w:tcW w:w="2551" w:type="dxa"/>
          <w:shd w:val="clear" w:color="auto" w:fill="auto"/>
          <w:vAlign w:val="center"/>
        </w:tcPr>
        <w:p w14:paraId="215F8121" w14:textId="77777777" w:rsidR="0078708B" w:rsidRDefault="00A82FD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544" w:type="dxa"/>
          <w:shd w:val="clear" w:color="auto" w:fill="auto"/>
          <w:vAlign w:val="center"/>
        </w:tcPr>
        <w:p w14:paraId="67E9A215" w14:textId="77777777" w:rsidR="0078708B" w:rsidRDefault="00A82FD4">
          <w:pPr>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Instituto de Seguridad Social del Estado de México y Municipios</w:t>
          </w:r>
        </w:p>
      </w:tc>
    </w:tr>
    <w:tr w:rsidR="0078708B" w14:paraId="08F8B892" w14:textId="77777777">
      <w:tc>
        <w:tcPr>
          <w:tcW w:w="2551" w:type="dxa"/>
          <w:shd w:val="clear" w:color="auto" w:fill="auto"/>
          <w:vAlign w:val="center"/>
        </w:tcPr>
        <w:p w14:paraId="4359652B" w14:textId="77777777" w:rsidR="0078708B" w:rsidRDefault="00A82FD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544" w:type="dxa"/>
          <w:shd w:val="clear" w:color="auto" w:fill="auto"/>
          <w:vAlign w:val="center"/>
        </w:tcPr>
        <w:p w14:paraId="578AF57E" w14:textId="77777777" w:rsidR="0078708B" w:rsidRDefault="00A82FD4">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48CD6BB1" w14:textId="77777777" w:rsidR="0078708B" w:rsidRDefault="0078708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2B64DA"/>
    <w:multiLevelType w:val="multilevel"/>
    <w:tmpl w:val="86144A2C"/>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48DC6D55"/>
    <w:multiLevelType w:val="multilevel"/>
    <w:tmpl w:val="50682FD6"/>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4657421"/>
    <w:multiLevelType w:val="multilevel"/>
    <w:tmpl w:val="E5AE038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nsid w:val="673E0608"/>
    <w:multiLevelType w:val="multilevel"/>
    <w:tmpl w:val="2E96BDD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928"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708B"/>
    <w:rsid w:val="0031182B"/>
    <w:rsid w:val="0052502D"/>
    <w:rsid w:val="006A503F"/>
    <w:rsid w:val="0078708B"/>
    <w:rsid w:val="00A82FD4"/>
    <w:rsid w:val="00C540C9"/>
    <w:rsid w:val="00C77556"/>
    <w:rsid w:val="00E13B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7CCFD"/>
  <w15:docId w15:val="{1E29126A-0338-439F-996C-BF3B9022E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51F7"/>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12">
    <w:name w:val="12"/>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11">
    <w:name w:val="11"/>
    <w:basedOn w:val="TableNormal1"/>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
    <w:tblPr>
      <w:tblStyleRowBandSize w:val="1"/>
      <w:tblStyleColBandSize w:val="1"/>
      <w:tblCellMar>
        <w:top w:w="0" w:type="dxa"/>
        <w:left w:w="115" w:type="dxa"/>
        <w:bottom w:w="0" w:type="dxa"/>
        <w:right w:w="115" w:type="dxa"/>
      </w:tblCellMar>
    </w:tblPr>
  </w:style>
  <w:style w:type="table" w:customStyle="1" w:styleId="9">
    <w:name w:val="9"/>
    <w:basedOn w:val="TableNormal1"/>
    <w:tblPr>
      <w:tblStyleRowBandSize w:val="1"/>
      <w:tblStyleColBandSize w:val="1"/>
      <w:tblCellMar>
        <w:top w:w="0" w:type="dxa"/>
        <w:left w:w="115" w:type="dxa"/>
        <w:bottom w:w="0" w:type="dxa"/>
        <w:right w:w="115" w:type="dxa"/>
      </w:tblCellMar>
    </w:tblPr>
  </w:style>
  <w:style w:type="table" w:customStyle="1" w:styleId="8">
    <w:name w:val="8"/>
    <w:basedOn w:val="TableNormal1"/>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6">
    <w:name w:val="6"/>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5">
    <w:name w:val="5"/>
    <w:basedOn w:val="TableNormal2"/>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3">
    <w:name w:val="3"/>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2">
    <w:name w:val="2"/>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1">
    <w:name w:val="1"/>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1F195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18"/>
    <w:basedOn w:val="TableNormal4"/>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17">
    <w:name w:val="17"/>
    <w:basedOn w:val="TableNormal4"/>
    <w:tblPr>
      <w:tblStyleRowBandSize w:val="1"/>
      <w:tblStyleColBandSize w:val="1"/>
      <w:tblCellMar>
        <w:top w:w="0" w:type="dxa"/>
        <w:left w:w="70" w:type="dxa"/>
        <w:bottom w:w="0" w:type="dxa"/>
        <w:right w:w="70" w:type="dxa"/>
      </w:tblCellMar>
    </w:tblPr>
  </w:style>
  <w:style w:type="table" w:customStyle="1" w:styleId="16">
    <w:name w:val="16"/>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15">
    <w:name w:val="15"/>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14">
    <w:name w:val="14"/>
    <w:basedOn w:val="TableNormal5"/>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3">
    <w:name w:val="13"/>
    <w:basedOn w:val="TableNormal5"/>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Listaconvietas2">
    <w:name w:val="List Bullet 2"/>
    <w:basedOn w:val="Normal"/>
    <w:uiPriority w:val="99"/>
    <w:unhideWhenUsed/>
    <w:rsid w:val="00282C5F"/>
    <w:pPr>
      <w:numPr>
        <w:numId w:val="4"/>
      </w:numPr>
      <w:contextualSpacing/>
    </w:pPr>
  </w:style>
  <w:style w:type="table" w:customStyle="1" w:styleId="23">
    <w:name w:val="23"/>
    <w:basedOn w:val="TableNormal6"/>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22">
    <w:name w:val="22"/>
    <w:basedOn w:val="TableNormal6"/>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21">
    <w:name w:val="21"/>
    <w:basedOn w:val="TableNormal7"/>
    <w:tblPr>
      <w:tblStyleRowBandSize w:val="1"/>
      <w:tblStyleColBandSize w:val="1"/>
      <w:tblCellMar>
        <w:top w:w="0" w:type="dxa"/>
        <w:left w:w="115" w:type="dxa"/>
        <w:bottom w:w="0" w:type="dxa"/>
        <w:right w:w="115" w:type="dxa"/>
      </w:tblCellMar>
    </w:tblPr>
  </w:style>
  <w:style w:type="table" w:customStyle="1" w:styleId="20">
    <w:name w:val="20"/>
    <w:basedOn w:val="TableNormal7"/>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19">
    <w:name w:val="19"/>
    <w:basedOn w:val="TableNormal7"/>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paragraph" w:styleId="Cita">
    <w:name w:val="Quote"/>
    <w:basedOn w:val="Normal"/>
    <w:next w:val="Normal"/>
    <w:link w:val="CitaCar"/>
    <w:uiPriority w:val="29"/>
    <w:qFormat/>
    <w:rsid w:val="00150527"/>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150527"/>
    <w:rPr>
      <w:i/>
      <w:iCs/>
      <w:color w:val="404040" w:themeColor="text1" w:themeTint="BF"/>
    </w:rPr>
  </w:style>
  <w:style w:type="table" w:customStyle="1" w:styleId="a">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 w:type="table" w:customStyle="1" w:styleId="a2">
    <w:basedOn w:val="TableNormal0"/>
    <w:rPr>
      <w:rFonts w:ascii="Calibri" w:eastAsia="Calibri" w:hAnsi="Calibri" w:cs="Calibri"/>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retys.edomex.gob.mx/cedulaifo/628?" TargetMode="External"/><Relationship Id="rId13" Type="http://schemas.openxmlformats.org/officeDocument/2006/relationships/hyperlink" Target="https://retys.edomex.gob.mx/cedulainfo/628?"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ipomex.org.mx/ipo3/lgt/indice/issemym.web" TargetMode="External"/><Relationship Id="rId20" Type="http://schemas.openxmlformats.org/officeDocument/2006/relationships/hyperlink" Target="https://sistemas.issemym.gob.mx/citas/citasinicio.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sistemas.issemym.gob.mx/citas/citasinicio.aspx"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ipomex.org.mx/ipo3/lgt/indice/issemym.web"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QbwVuHvsJb3dD6YPwHtr2SOArg==">CgMxLjAyCGgudHlqY3d0MgloLjN6bnlzaDcyCGguZ2pkZ3hzMgloLjFmb2I5dGUyCWguM2R5NnZrbTgAciExY1R3alJTSEhkb1MxaU0zVzIwNDlYQl9FRHZlSFpscEc=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9208</Words>
  <Characters>50645</Characters>
  <Application>Microsoft Office Word</Application>
  <DocSecurity>0</DocSecurity>
  <Lines>422</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2023-09-15T19:25:00Z</cp:lastPrinted>
  <dcterms:created xsi:type="dcterms:W3CDTF">2023-09-26T20:01:00Z</dcterms:created>
  <dcterms:modified xsi:type="dcterms:W3CDTF">2023-09-26T20:01:00Z</dcterms:modified>
</cp:coreProperties>
</file>