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749" w:rsidRDefault="00AB4749" w:rsidP="00AB4749">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F34141">
        <w:rPr>
          <w:rFonts w:ascii="Palatino Linotype" w:hAnsi="Palatino Linotype"/>
        </w:rPr>
        <w:t>veintinueve</w:t>
      </w:r>
      <w:r>
        <w:rPr>
          <w:rFonts w:ascii="Palatino Linotype" w:hAnsi="Palatino Linotype"/>
        </w:rPr>
        <w:t xml:space="preserve"> de marzo de dos mil veintitrés</w:t>
      </w:r>
      <w:r w:rsidRPr="0024200F">
        <w:rPr>
          <w:rFonts w:ascii="Palatino Linotype" w:hAnsi="Palatino Linotype"/>
        </w:rPr>
        <w:t>.</w:t>
      </w:r>
    </w:p>
    <w:p w:rsidR="00AB4749" w:rsidRDefault="00AB4749" w:rsidP="00AB4749">
      <w:pPr>
        <w:tabs>
          <w:tab w:val="left" w:pos="1701"/>
        </w:tabs>
        <w:spacing w:line="360" w:lineRule="auto"/>
        <w:jc w:val="both"/>
        <w:rPr>
          <w:rFonts w:ascii="Palatino Linotype" w:hAnsi="Palatino Linotype"/>
          <w:b/>
        </w:rPr>
      </w:pPr>
    </w:p>
    <w:p w:rsidR="00AB4749" w:rsidRPr="00BF0355" w:rsidRDefault="00AB4749" w:rsidP="00AB4749">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el</w:t>
      </w:r>
      <w:r w:rsidRPr="0024200F">
        <w:rPr>
          <w:rFonts w:ascii="Palatino Linotype" w:hAnsi="Palatino Linotype"/>
        </w:rPr>
        <w:t xml:space="preserve"> expediente formado con motivo del recurso de revisión </w:t>
      </w:r>
      <w:r>
        <w:rPr>
          <w:rFonts w:ascii="Palatino Linotype" w:hAnsi="Palatino Linotype"/>
          <w:b/>
        </w:rPr>
        <w:t xml:space="preserve">017145/INFOEM/IP/RR/2022, </w:t>
      </w:r>
      <w:r w:rsidRPr="00BF0355">
        <w:rPr>
          <w:rFonts w:ascii="Palatino Linotype" w:eastAsiaTheme="minorHAnsi" w:hAnsi="Palatino Linotype" w:cs="Arial"/>
          <w:lang w:val="es-MX" w:eastAsia="en-US"/>
        </w:rPr>
        <w:t>interpuesto por</w:t>
      </w:r>
      <w:r>
        <w:rPr>
          <w:rFonts w:ascii="Palatino Linotype" w:eastAsiaTheme="minorHAnsi" w:hAnsi="Palatino Linotype" w:cs="Arial"/>
          <w:lang w:val="es-MX" w:eastAsia="en-US"/>
        </w:rPr>
        <w:t xml:space="preserve"> quien al momento de ingresar la solicitud de información y de interponer el recurso de revisión, señalo el seudónimo con el cual desea ser identificado, el de</w:t>
      </w:r>
      <w:r w:rsidRPr="00BF0355">
        <w:rPr>
          <w:rFonts w:ascii="Palatino Linotype" w:eastAsiaTheme="minorHAnsi" w:hAnsi="Palatino Linotype" w:cs="Arial"/>
          <w:lang w:val="es-MX" w:eastAsia="en-US"/>
        </w:rPr>
        <w:t xml:space="preserve"> </w:t>
      </w:r>
      <w:r w:rsidR="003945F1">
        <w:rPr>
          <w:rFonts w:ascii="Palatino Linotype" w:eastAsiaTheme="minorHAnsi" w:hAnsi="Palatino Linotype" w:cs="Arial"/>
          <w:b/>
          <w:lang w:val="es-MX" w:eastAsia="en-US"/>
        </w:rPr>
        <w:t>XXXXXXXXXXXXXXXXXXX</w:t>
      </w:r>
      <w:bookmarkStart w:id="0" w:name="_GoBack"/>
      <w:bookmarkEnd w:id="0"/>
      <w:r w:rsidRPr="00BF0355">
        <w:rPr>
          <w:rFonts w:ascii="Palatino Linotype" w:eastAsiaTheme="minorHAnsi" w:hAnsi="Palatino Linotype" w:cs="Arial"/>
          <w:lang w:val="es-MX" w:eastAsia="en-US"/>
        </w:rPr>
        <w:t xml:space="preserve">, quien en lo sucesivo y para efectos prácticos se le denominara </w:t>
      </w:r>
      <w:r>
        <w:rPr>
          <w:rFonts w:ascii="Palatino Linotype" w:eastAsiaTheme="minorHAnsi" w:hAnsi="Palatino Linotype" w:cs="Arial"/>
          <w:lang w:val="es-MX" w:eastAsia="en-US"/>
        </w:rPr>
        <w:t>la</w:t>
      </w:r>
      <w:r w:rsidRPr="00BF0355">
        <w:rPr>
          <w:rFonts w:ascii="Palatino Linotype" w:eastAsiaTheme="minorHAnsi" w:hAnsi="Palatino Linotype" w:cs="Arial"/>
          <w:b/>
          <w:lang w:val="es-MX" w:eastAsia="en-US"/>
        </w:rPr>
        <w:t xml:space="preserve"> Recurrente</w:t>
      </w:r>
      <w:r w:rsidRPr="00BF0355">
        <w:rPr>
          <w:rFonts w:ascii="Palatino Linotype" w:eastAsiaTheme="minorHAnsi" w:hAnsi="Palatino Linotype" w:cs="Arial"/>
          <w:lang w:val="es-MX" w:eastAsia="en-US"/>
        </w:rPr>
        <w:t xml:space="preserve">, en contra de la respuesta del </w:t>
      </w:r>
      <w:r w:rsidRPr="00AB4749">
        <w:rPr>
          <w:rFonts w:ascii="Palatino Linotype" w:eastAsiaTheme="minorHAnsi" w:hAnsi="Palatino Linotype" w:cs="Arial"/>
          <w:b/>
          <w:lang w:val="es-MX" w:eastAsia="en-US"/>
        </w:rPr>
        <w:t>Ayuntamiento de Rayón</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rsidR="00AB4749" w:rsidRPr="002478BC" w:rsidRDefault="00AB4749" w:rsidP="00AB4749">
      <w:pPr>
        <w:spacing w:line="360" w:lineRule="auto"/>
        <w:jc w:val="both"/>
        <w:rPr>
          <w:rFonts w:ascii="Palatino Linotype" w:hAnsi="Palatino Linotype"/>
          <w:b/>
          <w:bCs/>
          <w:spacing w:val="60"/>
          <w:lang w:val="es-ES_tradnl"/>
        </w:rPr>
      </w:pPr>
    </w:p>
    <w:p w:rsidR="00AB4749" w:rsidRPr="0024200F" w:rsidRDefault="00AB4749" w:rsidP="00AB474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AB4749" w:rsidRPr="0024200F" w:rsidRDefault="00AB4749" w:rsidP="00AB4749">
      <w:pPr>
        <w:spacing w:line="360" w:lineRule="auto"/>
        <w:jc w:val="center"/>
        <w:rPr>
          <w:rFonts w:ascii="Palatino Linotype" w:hAnsi="Palatino Linotype"/>
          <w:b/>
          <w:bCs/>
          <w:spacing w:val="60"/>
          <w:lang w:val="es-ES_tradnl"/>
        </w:rPr>
      </w:pPr>
    </w:p>
    <w:p w:rsidR="00AB4749" w:rsidRDefault="00AB4749" w:rsidP="00AB4749">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2C3EC8">
        <w:rPr>
          <w:rFonts w:ascii="Palatino Linotype" w:hAnsi="Palatino Linotype"/>
          <w:b/>
          <w:sz w:val="28"/>
          <w:szCs w:val="28"/>
        </w:rPr>
        <w:t xml:space="preserve">De </w:t>
      </w:r>
      <w:r>
        <w:rPr>
          <w:rFonts w:ascii="Palatino Linotype" w:hAnsi="Palatino Linotype"/>
          <w:b/>
          <w:sz w:val="28"/>
          <w:szCs w:val="28"/>
        </w:rPr>
        <w:t>la s</w:t>
      </w:r>
      <w:r w:rsidRPr="002C3EC8">
        <w:rPr>
          <w:rFonts w:ascii="Palatino Linotype" w:hAnsi="Palatino Linotype"/>
          <w:b/>
          <w:sz w:val="28"/>
          <w:szCs w:val="28"/>
        </w:rPr>
        <w:t>olicitud de Información.</w:t>
      </w:r>
    </w:p>
    <w:p w:rsidR="00AB4749" w:rsidRPr="0024200F" w:rsidRDefault="00AB4749" w:rsidP="00AB4749">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dieciocho de noviembre de dos mil veintidós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 xml:space="preserve"> asignó el</w:t>
      </w:r>
      <w:r w:rsidRPr="0024200F">
        <w:rPr>
          <w:rFonts w:ascii="Palatino Linotype" w:hAnsi="Palatino Linotype"/>
        </w:rPr>
        <w:t xml:space="preserve"> número</w:t>
      </w:r>
      <w:r>
        <w:rPr>
          <w:rFonts w:ascii="Palatino Linotype" w:hAnsi="Palatino Linotype"/>
        </w:rPr>
        <w:t xml:space="preserve"> </w:t>
      </w:r>
      <w:r w:rsidRPr="00AB4749">
        <w:rPr>
          <w:rFonts w:ascii="Palatino Linotype" w:hAnsi="Palatino Linotype"/>
          <w:b/>
        </w:rPr>
        <w:t>00155/RAYON/IP/2022</w:t>
      </w:r>
      <w:r>
        <w:rPr>
          <w:rFonts w:ascii="Palatino Linotype" w:hAnsi="Palatino Linotype"/>
        </w:rPr>
        <w:t>,</w:t>
      </w:r>
      <w:r>
        <w:rPr>
          <w:rFonts w:ascii="Palatino Linotype" w:hAnsi="Palatino Linotype"/>
          <w:bCs/>
        </w:rPr>
        <w:t xml:space="preserve"> </w:t>
      </w:r>
      <w:r w:rsidRPr="0024200F">
        <w:rPr>
          <w:rFonts w:ascii="Palatino Linotype" w:hAnsi="Palatino Linotype"/>
        </w:rPr>
        <w:t>mediante la cual solicitó, lo siguiente:</w:t>
      </w:r>
    </w:p>
    <w:p w:rsidR="00AB4749" w:rsidRDefault="00AB4749" w:rsidP="00AB4749">
      <w:pPr>
        <w:spacing w:line="360" w:lineRule="auto"/>
        <w:jc w:val="both"/>
        <w:rPr>
          <w:rFonts w:ascii="Palatino Linotype" w:hAnsi="Palatino Linotype" w:cs="Arial"/>
        </w:rPr>
      </w:pPr>
    </w:p>
    <w:p w:rsidR="00AB4749" w:rsidRPr="00AB5B5B" w:rsidRDefault="00AB4749" w:rsidP="00AB4749">
      <w:pPr>
        <w:ind w:left="567" w:right="616"/>
        <w:jc w:val="both"/>
        <w:rPr>
          <w:rFonts w:ascii="Palatino Linotype" w:hAnsi="Palatino Linotype"/>
          <w:i/>
          <w:sz w:val="22"/>
          <w:szCs w:val="28"/>
          <w:lang w:val="es-MX"/>
        </w:rPr>
      </w:pPr>
      <w:r>
        <w:rPr>
          <w:rFonts w:ascii="Palatino Linotype" w:hAnsi="Palatino Linotype"/>
          <w:i/>
          <w:sz w:val="22"/>
          <w:szCs w:val="28"/>
          <w:lang w:val="es-MX"/>
        </w:rPr>
        <w:t>“</w:t>
      </w:r>
      <w:r w:rsidRPr="00AB4749">
        <w:rPr>
          <w:rFonts w:ascii="Palatino Linotype" w:hAnsi="Palatino Linotype"/>
          <w:i/>
          <w:sz w:val="22"/>
          <w:szCs w:val="28"/>
          <w:lang w:val="es-MX"/>
        </w:rPr>
        <w:t xml:space="preserve">Ubicación de los conjuntos urbanos habitacionales autorizados existentes en su municipio a la fecha, representándolos mediante polígono en formato digital </w:t>
      </w:r>
      <w:proofErr w:type="spellStart"/>
      <w:r w:rsidRPr="00AB4749">
        <w:rPr>
          <w:rFonts w:ascii="Palatino Linotype" w:hAnsi="Palatino Linotype"/>
          <w:i/>
          <w:sz w:val="22"/>
          <w:szCs w:val="28"/>
          <w:lang w:val="es-MX"/>
        </w:rPr>
        <w:t>kml</w:t>
      </w:r>
      <w:proofErr w:type="spellEnd"/>
      <w:r w:rsidRPr="00AB4749">
        <w:rPr>
          <w:rFonts w:ascii="Palatino Linotype" w:hAnsi="Palatino Linotype"/>
          <w:i/>
          <w:sz w:val="22"/>
          <w:szCs w:val="28"/>
          <w:lang w:val="es-MX"/>
        </w:rPr>
        <w:t xml:space="preserve"> o </w:t>
      </w:r>
      <w:proofErr w:type="spellStart"/>
      <w:r w:rsidRPr="00AB4749">
        <w:rPr>
          <w:rFonts w:ascii="Palatino Linotype" w:hAnsi="Palatino Linotype"/>
          <w:i/>
          <w:sz w:val="22"/>
          <w:szCs w:val="28"/>
          <w:lang w:val="es-MX"/>
        </w:rPr>
        <w:t>shp</w:t>
      </w:r>
      <w:proofErr w:type="spellEnd"/>
      <w:r w:rsidRPr="00AB4749">
        <w:rPr>
          <w:rFonts w:ascii="Palatino Linotype" w:hAnsi="Palatino Linotype"/>
          <w:i/>
          <w:sz w:val="22"/>
          <w:szCs w:val="28"/>
          <w:lang w:val="es-MX"/>
        </w:rPr>
        <w:t>. Clasificados de la siguiente manera. A) Social progresivo B) Interés social C) Popular D) Medio E) Residencial F) Residencial alto G) Campestre La clasificación se realiza de acuerdo al Artículo 50 del Reglamento del libro quinto del código administrativo del Estado de México</w:t>
      </w:r>
      <w:r>
        <w:rPr>
          <w:rFonts w:ascii="Palatino Linotype" w:hAnsi="Palatino Linotype"/>
          <w:i/>
          <w:sz w:val="22"/>
          <w:szCs w:val="28"/>
          <w:lang w:val="es-MX"/>
        </w:rPr>
        <w:t>”</w:t>
      </w:r>
    </w:p>
    <w:p w:rsidR="00AB4749" w:rsidRDefault="00AB4749" w:rsidP="00AB4749">
      <w:pPr>
        <w:spacing w:line="360" w:lineRule="auto"/>
        <w:jc w:val="both"/>
        <w:rPr>
          <w:rFonts w:ascii="Palatino Linotype" w:hAnsi="Palatino Linotype"/>
          <w:szCs w:val="28"/>
          <w:lang w:val="es-MX"/>
        </w:rPr>
      </w:pPr>
      <w:r w:rsidRPr="0024200F">
        <w:rPr>
          <w:rFonts w:ascii="Palatino Linotype" w:hAnsi="Palatino Linotype"/>
          <w:szCs w:val="28"/>
          <w:lang w:val="es-MX"/>
        </w:rPr>
        <w:lastRenderedPageBreak/>
        <w:t>Modalidad de entrega:</w:t>
      </w:r>
      <w:r w:rsidRPr="00E41476">
        <w:rPr>
          <w:rFonts w:ascii="Palatino Linotype" w:hAnsi="Palatino Linotype"/>
          <w:b/>
          <w:i/>
          <w:szCs w:val="28"/>
          <w:lang w:val="es-MX"/>
        </w:rPr>
        <w:t xml:space="preserve"> a través del SAIMEX</w:t>
      </w:r>
    </w:p>
    <w:p w:rsidR="00AB4749" w:rsidRDefault="00AB4749" w:rsidP="00AB4749">
      <w:pPr>
        <w:spacing w:line="360" w:lineRule="auto"/>
        <w:jc w:val="both"/>
        <w:rPr>
          <w:rFonts w:ascii="Palatino Linotype" w:hAnsi="Palatino Linotype"/>
          <w:szCs w:val="28"/>
          <w:lang w:val="es-MX"/>
        </w:rPr>
      </w:pPr>
    </w:p>
    <w:p w:rsidR="00AB4749" w:rsidRPr="002C3EC8" w:rsidRDefault="00AB4749" w:rsidP="00AB4749">
      <w:pPr>
        <w:spacing w:line="360" w:lineRule="auto"/>
        <w:jc w:val="both"/>
        <w:rPr>
          <w:rFonts w:ascii="Palatino Linotype" w:hAnsi="Palatino Linotype" w:cs="Arial"/>
          <w:b/>
          <w:sz w:val="28"/>
        </w:rPr>
      </w:pPr>
      <w:r w:rsidRPr="006027FC">
        <w:rPr>
          <w:rFonts w:ascii="Palatino Linotype" w:hAnsi="Palatino Linotype" w:cs="Arial"/>
          <w:b/>
          <w:sz w:val="28"/>
        </w:rPr>
        <w:t xml:space="preserve">SEGUNDO. </w:t>
      </w:r>
      <w:r w:rsidRPr="006027FC">
        <w:rPr>
          <w:rFonts w:ascii="Palatino Linotype" w:hAnsi="Palatino Linotype" w:cs="Arial"/>
          <w:b/>
          <w:sz w:val="28"/>
          <w:szCs w:val="20"/>
        </w:rPr>
        <w:t>De la</w:t>
      </w:r>
      <w:r>
        <w:rPr>
          <w:rFonts w:ascii="Palatino Linotype" w:hAnsi="Palatino Linotype" w:cs="Arial"/>
          <w:b/>
          <w:sz w:val="28"/>
          <w:szCs w:val="20"/>
        </w:rPr>
        <w:t xml:space="preserve"> respuesta</w:t>
      </w:r>
      <w:r w:rsidRPr="002C3EC8">
        <w:rPr>
          <w:rFonts w:ascii="Palatino Linotype" w:hAnsi="Palatino Linotype" w:cs="Arial"/>
          <w:b/>
          <w:sz w:val="28"/>
          <w:szCs w:val="20"/>
        </w:rPr>
        <w:t>.</w:t>
      </w:r>
    </w:p>
    <w:p w:rsidR="00AB4749" w:rsidRDefault="00AB4749" w:rsidP="00AB4749">
      <w:pPr>
        <w:spacing w:line="360" w:lineRule="auto"/>
        <w:jc w:val="both"/>
        <w:rPr>
          <w:rFonts w:ascii="Palatino Linotype" w:hAnsi="Palatino Linotype" w:cs="Arial"/>
        </w:rPr>
      </w:pPr>
      <w:r w:rsidRPr="00991598">
        <w:rPr>
          <w:rFonts w:ascii="Palatino Linotype" w:hAnsi="Palatino Linotype" w:cs="Arial"/>
        </w:rPr>
        <w:t xml:space="preserve">En el expediente electrónico </w:t>
      </w:r>
      <w:r w:rsidRPr="00991598">
        <w:rPr>
          <w:rFonts w:ascii="Palatino Linotype" w:hAnsi="Palatino Linotype" w:cs="Arial"/>
          <w:b/>
        </w:rPr>
        <w:t xml:space="preserve">SAIMEX, </w:t>
      </w:r>
      <w:r w:rsidRPr="00991598">
        <w:rPr>
          <w:rFonts w:ascii="Palatino Linotype" w:hAnsi="Palatino Linotype" w:cs="Arial"/>
        </w:rPr>
        <w:t xml:space="preserve">se aprecia que </w:t>
      </w:r>
      <w:r>
        <w:rPr>
          <w:rFonts w:ascii="Palatino Linotype" w:hAnsi="Palatino Linotype" w:cs="Arial"/>
        </w:rPr>
        <w:t xml:space="preserve">en fecha seis de diciembre </w:t>
      </w:r>
      <w:r w:rsidRPr="00991598">
        <w:rPr>
          <w:rFonts w:ascii="Palatino Linotype" w:hAnsi="Palatino Linotype" w:cs="Arial"/>
        </w:rPr>
        <w:t xml:space="preserve">de dos mil veintidós, </w:t>
      </w:r>
      <w:r w:rsidRPr="006817BF">
        <w:rPr>
          <w:rFonts w:ascii="Palatino Linotype" w:hAnsi="Palatino Linotype" w:cs="Arial"/>
        </w:rPr>
        <w:t>el</w:t>
      </w:r>
      <w:r w:rsidRPr="00991598">
        <w:rPr>
          <w:rFonts w:ascii="Palatino Linotype" w:hAnsi="Palatino Linotype" w:cs="Arial"/>
          <w:b/>
        </w:rPr>
        <w:t xml:space="preserve"> Sujeto Obligado </w:t>
      </w:r>
      <w:r>
        <w:rPr>
          <w:rFonts w:ascii="Palatino Linotype" w:hAnsi="Palatino Linotype" w:cs="Arial"/>
        </w:rPr>
        <w:t>notificó al entonces Solicitante, la respuesta la solicitud de información, en los términos siguientes</w:t>
      </w:r>
      <w:r w:rsidRPr="00991598">
        <w:rPr>
          <w:rFonts w:ascii="Palatino Linotype" w:hAnsi="Palatino Linotype" w:cs="Arial"/>
        </w:rPr>
        <w:t>:</w:t>
      </w:r>
    </w:p>
    <w:p w:rsidR="00AB4749" w:rsidRDefault="00AB4749" w:rsidP="00AB4749">
      <w:pPr>
        <w:spacing w:line="360" w:lineRule="auto"/>
        <w:jc w:val="both"/>
        <w:rPr>
          <w:rFonts w:ascii="Palatino Linotype" w:hAnsi="Palatino Linotype" w:cs="Arial"/>
        </w:rPr>
      </w:pPr>
    </w:p>
    <w:p w:rsidR="00AB4749" w:rsidRDefault="00AB4749" w:rsidP="00AB4749">
      <w:pPr>
        <w:ind w:left="567" w:right="567"/>
        <w:jc w:val="both"/>
        <w:rPr>
          <w:rFonts w:ascii="Palatino Linotype" w:hAnsi="Palatino Linotype" w:cs="Arial"/>
          <w:sz w:val="22"/>
        </w:rPr>
      </w:pPr>
      <w:r w:rsidRPr="005330DC">
        <w:rPr>
          <w:rFonts w:ascii="Palatino Linotype" w:hAnsi="Palatino Linotype" w:cs="Arial"/>
          <w:i/>
          <w:sz w:val="22"/>
        </w:rPr>
        <w:t>“</w:t>
      </w:r>
      <w:r w:rsidRPr="00AB4749">
        <w:rPr>
          <w:rFonts w:ascii="Palatino Linotype" w:hAnsi="Palatino Linotype" w:cs="Arial"/>
          <w:i/>
          <w:sz w:val="22"/>
        </w:rPr>
        <w:t>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a interponer recurso de revisión en términos de lo establecido en los artículos 176, 177 y 178 de la Ley invocada.” ATENTAMENTE Mtra. NORMA ARANSASU VALDES PEDRAZA Unidad de Transparencia Ayuntamiento de Rayón ATENTAMENTE Mtra. NORMA ARANSASU VALDES PEDRAZA Unidad de Transparencia Ayuntamiento de Rayón</w:t>
      </w:r>
      <w:r>
        <w:rPr>
          <w:rFonts w:ascii="Palatino Linotype" w:hAnsi="Palatino Linotype" w:cs="Arial"/>
          <w:i/>
          <w:sz w:val="22"/>
        </w:rPr>
        <w:t>”</w:t>
      </w:r>
    </w:p>
    <w:p w:rsidR="00AB4749" w:rsidRDefault="00AB4749" w:rsidP="00AB4749">
      <w:pPr>
        <w:spacing w:line="360" w:lineRule="auto"/>
        <w:jc w:val="both"/>
        <w:rPr>
          <w:rFonts w:ascii="Palatino Linotype" w:hAnsi="Palatino Linotype" w:cs="Arial"/>
        </w:rPr>
      </w:pPr>
    </w:p>
    <w:p w:rsidR="00AB4749" w:rsidRPr="00B9794C" w:rsidRDefault="00AB4749" w:rsidP="00AB4749">
      <w:pPr>
        <w:spacing w:line="360" w:lineRule="auto"/>
        <w:jc w:val="both"/>
        <w:rPr>
          <w:rFonts w:ascii="Palatino Linotype" w:hAnsi="Palatino Linotype" w:cs="Arial"/>
        </w:rPr>
      </w:pPr>
      <w:r>
        <w:rPr>
          <w:rFonts w:ascii="Palatino Linotype" w:hAnsi="Palatino Linotype" w:cs="Arial"/>
        </w:rPr>
        <w:t>Se hace constar que, si bien el</w:t>
      </w:r>
      <w:r w:rsidRPr="00B9794C">
        <w:rPr>
          <w:rFonts w:ascii="Palatino Linotype" w:hAnsi="Palatino Linotype" w:cs="Arial"/>
        </w:rPr>
        <w:t xml:space="preserve"> </w:t>
      </w:r>
      <w:r w:rsidRPr="00550BFD">
        <w:rPr>
          <w:rFonts w:ascii="Palatino Linotype" w:hAnsi="Palatino Linotype" w:cs="Arial"/>
          <w:b/>
        </w:rPr>
        <w:t>Sujeto Obligado</w:t>
      </w:r>
      <w:r w:rsidRPr="00B9794C">
        <w:rPr>
          <w:rFonts w:ascii="Palatino Linotype" w:hAnsi="Palatino Linotype" w:cs="Arial"/>
        </w:rPr>
        <w:t xml:space="preserve"> </w:t>
      </w:r>
      <w:r>
        <w:rPr>
          <w:rFonts w:ascii="Palatino Linotype" w:hAnsi="Palatino Linotype" w:cs="Arial"/>
        </w:rPr>
        <w:t>manifestó adjuntar la respuesta</w:t>
      </w:r>
      <w:r w:rsidRPr="00B9794C">
        <w:rPr>
          <w:rFonts w:ascii="Palatino Linotype" w:hAnsi="Palatino Linotype" w:cs="Arial"/>
        </w:rPr>
        <w:t xml:space="preserve"> </w:t>
      </w:r>
      <w:r>
        <w:rPr>
          <w:rFonts w:ascii="Palatino Linotype" w:hAnsi="Palatino Linotype" w:cs="Arial"/>
        </w:rPr>
        <w:t>en archivo adjunto, de las constancias que integran el expediente electrónico, se acredita no obrar documento alguno.</w:t>
      </w:r>
    </w:p>
    <w:p w:rsidR="00AB4749" w:rsidRPr="00E27343" w:rsidRDefault="00AB4749" w:rsidP="00AB4749">
      <w:pPr>
        <w:spacing w:line="360" w:lineRule="auto"/>
        <w:jc w:val="both"/>
        <w:rPr>
          <w:rFonts w:ascii="Palatino Linotype" w:hAnsi="Palatino Linotype" w:cs="Arial"/>
        </w:rPr>
      </w:pPr>
    </w:p>
    <w:p w:rsidR="00AB4749" w:rsidRPr="002C3EC8" w:rsidRDefault="00AB4749" w:rsidP="00AB4749">
      <w:pPr>
        <w:spacing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rsidR="00AB4749" w:rsidRDefault="00AB4749" w:rsidP="00AB4749">
      <w:pPr>
        <w:spacing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la</w:t>
      </w:r>
      <w:r w:rsidRPr="002C3EC8">
        <w:rPr>
          <w:rFonts w:ascii="Palatino Linotype" w:hAnsi="Palatino Linotype" w:cs="Arial"/>
          <w:b/>
        </w:rPr>
        <w:t xml:space="preserve"> Recurrente </w:t>
      </w:r>
      <w:r w:rsidRPr="002C3EC8">
        <w:rPr>
          <w:rFonts w:ascii="Palatino Linotype" w:hAnsi="Palatino Linotype" w:cs="Arial"/>
        </w:rPr>
        <w:t>interpuso recurso de revisión, en fecha</w:t>
      </w:r>
      <w:r>
        <w:rPr>
          <w:rFonts w:ascii="Palatino Linotype" w:hAnsi="Palatino Linotype" w:cs="Arial"/>
        </w:rPr>
        <w:t xml:space="preserve"> </w:t>
      </w:r>
      <w:r w:rsidR="00D84B8A">
        <w:rPr>
          <w:rFonts w:ascii="Palatino Linotype" w:hAnsi="Palatino Linotype" w:cs="Arial"/>
        </w:rPr>
        <w:t xml:space="preserve">siete de diciembre </w:t>
      </w:r>
      <w:r w:rsidRPr="002C3EC8">
        <w:rPr>
          <w:rFonts w:ascii="Palatino Linotype" w:hAnsi="Palatino Linotype" w:cs="Arial"/>
        </w:rPr>
        <w:t xml:space="preserve">de dos mil veintidós,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números </w:t>
      </w:r>
      <w:r w:rsidRPr="00550BFD">
        <w:rPr>
          <w:rFonts w:ascii="Palatino Linotype" w:hAnsi="Palatino Linotype" w:cs="Arial"/>
          <w:b/>
        </w:rPr>
        <w:t>0</w:t>
      </w:r>
      <w:r>
        <w:rPr>
          <w:rFonts w:ascii="Palatino Linotype" w:hAnsi="Palatino Linotype" w:cs="Arial"/>
          <w:b/>
        </w:rPr>
        <w:t>1</w:t>
      </w:r>
      <w:r w:rsidR="00D84B8A">
        <w:rPr>
          <w:rFonts w:ascii="Palatino Linotype" w:hAnsi="Palatino Linotype" w:cs="Arial"/>
          <w:b/>
        </w:rPr>
        <w:t>7145</w:t>
      </w:r>
      <w:r w:rsidRPr="00550BFD">
        <w:rPr>
          <w:rFonts w:ascii="Palatino Linotype" w:hAnsi="Palatino Linotype" w:cs="Arial"/>
          <w:b/>
        </w:rPr>
        <w:t>/INFOEM/IP/RR/2022</w:t>
      </w:r>
      <w:r>
        <w:rPr>
          <w:rFonts w:ascii="Palatino Linotype" w:hAnsi="Palatino Linotype" w:cs="Arial"/>
        </w:rPr>
        <w:t xml:space="preserve">, en el cual señalo como acto impugnado y razones o motivos de inconformidad, los </w:t>
      </w:r>
      <w:r w:rsidR="00D84B8A">
        <w:rPr>
          <w:rFonts w:ascii="Palatino Linotype" w:hAnsi="Palatino Linotype" w:cs="Arial"/>
        </w:rPr>
        <w:t>siguientes</w:t>
      </w:r>
      <w:r>
        <w:rPr>
          <w:rFonts w:ascii="Palatino Linotype" w:hAnsi="Palatino Linotype" w:cs="Arial"/>
        </w:rPr>
        <w:t>:</w:t>
      </w:r>
    </w:p>
    <w:p w:rsidR="00AB4749" w:rsidRDefault="00AB4749" w:rsidP="00AB4749">
      <w:pPr>
        <w:spacing w:line="360" w:lineRule="auto"/>
        <w:jc w:val="both"/>
        <w:rPr>
          <w:rFonts w:ascii="Palatino Linotype" w:hAnsi="Palatino Linotype" w:cs="Arial"/>
        </w:rPr>
      </w:pPr>
      <w:r w:rsidRPr="001A004F">
        <w:rPr>
          <w:rFonts w:ascii="Palatino Linotype" w:hAnsi="Palatino Linotype" w:cs="Arial"/>
          <w:b/>
        </w:rPr>
        <w:lastRenderedPageBreak/>
        <w:t>Acto impugnado</w:t>
      </w:r>
      <w:r>
        <w:rPr>
          <w:rFonts w:ascii="Palatino Linotype" w:hAnsi="Palatino Linotype" w:cs="Arial"/>
          <w:b/>
        </w:rPr>
        <w:t>:</w:t>
      </w:r>
    </w:p>
    <w:p w:rsidR="00AB4749" w:rsidRPr="00A465CE" w:rsidRDefault="00AB4749" w:rsidP="00AB4749">
      <w:pPr>
        <w:spacing w:line="360" w:lineRule="auto"/>
        <w:jc w:val="both"/>
        <w:rPr>
          <w:rFonts w:ascii="Palatino Linotype" w:hAnsi="Palatino Linotype" w:cs="Arial"/>
        </w:rPr>
      </w:pPr>
    </w:p>
    <w:p w:rsidR="00AB4749" w:rsidRDefault="00AB4749" w:rsidP="00AB4749">
      <w:pPr>
        <w:ind w:left="567" w:right="616"/>
        <w:jc w:val="both"/>
        <w:rPr>
          <w:rFonts w:ascii="Palatino Linotype" w:hAnsi="Palatino Linotype" w:cs="Arial"/>
          <w:sz w:val="22"/>
        </w:rPr>
      </w:pPr>
      <w:r w:rsidRPr="001A004F">
        <w:rPr>
          <w:rFonts w:ascii="Palatino Linotype" w:hAnsi="Palatino Linotype" w:cs="Arial"/>
          <w:i/>
          <w:sz w:val="22"/>
        </w:rPr>
        <w:t>“</w:t>
      </w:r>
      <w:r w:rsidR="00D84B8A" w:rsidRPr="00D84B8A">
        <w:rPr>
          <w:rFonts w:ascii="Palatino Linotype" w:hAnsi="Palatino Linotype" w:cs="Arial"/>
          <w:i/>
          <w:sz w:val="22"/>
        </w:rPr>
        <w:t>respuesta a la solicitud con folio 00155/RAYON/IP/2022</w:t>
      </w:r>
      <w:r w:rsidRPr="001A004F">
        <w:rPr>
          <w:rFonts w:ascii="Palatino Linotype" w:hAnsi="Palatino Linotype" w:cs="Arial"/>
          <w:i/>
          <w:sz w:val="22"/>
        </w:rPr>
        <w:t>” (sic)</w:t>
      </w:r>
    </w:p>
    <w:p w:rsidR="00AB4749" w:rsidRDefault="00AB4749" w:rsidP="00AB4749">
      <w:pPr>
        <w:spacing w:line="360" w:lineRule="auto"/>
        <w:jc w:val="both"/>
        <w:rPr>
          <w:rFonts w:ascii="Palatino Linotype" w:hAnsi="Palatino Linotype" w:cs="Arial"/>
        </w:rPr>
      </w:pPr>
    </w:p>
    <w:p w:rsidR="00AB4749" w:rsidRDefault="00AB4749" w:rsidP="00AB4749">
      <w:pPr>
        <w:spacing w:line="360" w:lineRule="auto"/>
        <w:jc w:val="both"/>
        <w:rPr>
          <w:rFonts w:ascii="Palatino Linotype" w:hAnsi="Palatino Linotype" w:cs="Arial"/>
        </w:rPr>
      </w:pPr>
      <w:r>
        <w:rPr>
          <w:rFonts w:ascii="Palatino Linotype" w:hAnsi="Palatino Linotype" w:cs="Arial"/>
          <w:b/>
        </w:rPr>
        <w:t>R</w:t>
      </w:r>
      <w:r w:rsidRPr="001A004F">
        <w:rPr>
          <w:rFonts w:ascii="Palatino Linotype" w:hAnsi="Palatino Linotype" w:cs="Arial"/>
          <w:b/>
        </w:rPr>
        <w:t>azones o motivos de inconformidad</w:t>
      </w:r>
      <w:r>
        <w:rPr>
          <w:rFonts w:ascii="Palatino Linotype" w:hAnsi="Palatino Linotype" w:cs="Arial"/>
          <w:b/>
        </w:rPr>
        <w:t>:</w:t>
      </w:r>
    </w:p>
    <w:p w:rsidR="00AB4749" w:rsidRPr="00A465CE" w:rsidRDefault="00AB4749" w:rsidP="00AB4749">
      <w:pPr>
        <w:spacing w:line="360" w:lineRule="auto"/>
        <w:jc w:val="both"/>
        <w:rPr>
          <w:rFonts w:ascii="Palatino Linotype" w:hAnsi="Palatino Linotype" w:cs="Arial"/>
        </w:rPr>
      </w:pPr>
    </w:p>
    <w:p w:rsidR="00AB4749" w:rsidRDefault="00AB4749" w:rsidP="00AB4749">
      <w:pPr>
        <w:ind w:left="567" w:right="616"/>
        <w:jc w:val="both"/>
        <w:rPr>
          <w:rFonts w:ascii="Palatino Linotype" w:hAnsi="Palatino Linotype" w:cs="Arial"/>
          <w:sz w:val="22"/>
        </w:rPr>
      </w:pPr>
      <w:r w:rsidRPr="001A004F">
        <w:rPr>
          <w:rFonts w:ascii="Palatino Linotype" w:hAnsi="Palatino Linotype" w:cs="Arial"/>
          <w:i/>
          <w:sz w:val="22"/>
        </w:rPr>
        <w:t>“</w:t>
      </w:r>
      <w:r w:rsidR="00D84B8A" w:rsidRPr="00D84B8A">
        <w:rPr>
          <w:rFonts w:ascii="Palatino Linotype" w:hAnsi="Palatino Linotype" w:cs="Arial"/>
          <w:i/>
          <w:sz w:val="22"/>
        </w:rPr>
        <w:t xml:space="preserve">No se </w:t>
      </w:r>
      <w:proofErr w:type="spellStart"/>
      <w:r w:rsidR="00D84B8A" w:rsidRPr="00D84B8A">
        <w:rPr>
          <w:rFonts w:ascii="Palatino Linotype" w:hAnsi="Palatino Linotype" w:cs="Arial"/>
          <w:i/>
          <w:sz w:val="22"/>
        </w:rPr>
        <w:t>entrego</w:t>
      </w:r>
      <w:proofErr w:type="spellEnd"/>
      <w:r w:rsidR="00D84B8A" w:rsidRPr="00D84B8A">
        <w:rPr>
          <w:rFonts w:ascii="Palatino Linotype" w:hAnsi="Palatino Linotype" w:cs="Arial"/>
          <w:i/>
          <w:sz w:val="22"/>
        </w:rPr>
        <w:t xml:space="preserve"> archivo adjunto</w:t>
      </w:r>
      <w:r w:rsidRPr="001A004F">
        <w:rPr>
          <w:rFonts w:ascii="Palatino Linotype" w:hAnsi="Palatino Linotype" w:cs="Arial"/>
          <w:i/>
          <w:sz w:val="22"/>
        </w:rPr>
        <w:t>” (sic)</w:t>
      </w:r>
    </w:p>
    <w:p w:rsidR="00AB4749" w:rsidRDefault="00AB4749" w:rsidP="00AB4749">
      <w:pPr>
        <w:spacing w:line="360" w:lineRule="auto"/>
        <w:jc w:val="both"/>
        <w:rPr>
          <w:rFonts w:ascii="Palatino Linotype" w:hAnsi="Palatino Linotype" w:cs="Arial"/>
        </w:rPr>
      </w:pPr>
    </w:p>
    <w:p w:rsidR="00AB4749" w:rsidRPr="002C3EC8" w:rsidRDefault="00AB4749" w:rsidP="00AB4749">
      <w:pPr>
        <w:spacing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 de</w:t>
      </w:r>
      <w:r>
        <w:rPr>
          <w:rFonts w:ascii="Palatino Linotype" w:hAnsi="Palatino Linotype" w:cs="Arial"/>
          <w:b/>
          <w:sz w:val="28"/>
          <w:szCs w:val="28"/>
        </w:rPr>
        <w:t xml:space="preserve"> </w:t>
      </w:r>
      <w:r w:rsidRPr="002C3EC8">
        <w:rPr>
          <w:rFonts w:ascii="Palatino Linotype" w:hAnsi="Palatino Linotype" w:cs="Arial"/>
          <w:b/>
          <w:sz w:val="28"/>
          <w:szCs w:val="28"/>
        </w:rPr>
        <w:t>l</w:t>
      </w:r>
      <w:r>
        <w:rPr>
          <w:rFonts w:ascii="Palatino Linotype" w:hAnsi="Palatino Linotype" w:cs="Arial"/>
          <w:b/>
          <w:sz w:val="28"/>
          <w:szCs w:val="28"/>
        </w:rPr>
        <w:t>os</w:t>
      </w:r>
      <w:r w:rsidRPr="002C3EC8">
        <w:rPr>
          <w:rFonts w:ascii="Palatino Linotype" w:hAnsi="Palatino Linotype" w:cs="Arial"/>
          <w:b/>
          <w:sz w:val="28"/>
          <w:szCs w:val="28"/>
        </w:rPr>
        <w:t xml:space="preserve"> recurso</w:t>
      </w:r>
      <w:r>
        <w:rPr>
          <w:rFonts w:ascii="Palatino Linotype" w:hAnsi="Palatino Linotype" w:cs="Arial"/>
          <w:b/>
          <w:sz w:val="28"/>
          <w:szCs w:val="28"/>
        </w:rPr>
        <w:t>s</w:t>
      </w:r>
      <w:r w:rsidRPr="002C3EC8">
        <w:rPr>
          <w:rFonts w:ascii="Palatino Linotype" w:hAnsi="Palatino Linotype" w:cs="Arial"/>
          <w:b/>
          <w:sz w:val="28"/>
          <w:szCs w:val="28"/>
        </w:rPr>
        <w:t xml:space="preserve"> de revisión.</w:t>
      </w:r>
    </w:p>
    <w:p w:rsidR="00AB4749" w:rsidRPr="002C3EC8" w:rsidRDefault="00AB4749" w:rsidP="00AB4749">
      <w:pPr>
        <w:spacing w:line="360" w:lineRule="auto"/>
        <w:jc w:val="both"/>
        <w:rPr>
          <w:rFonts w:ascii="Palatino Linotype" w:hAnsi="Palatino Linotype" w:cs="Arial"/>
          <w:sz w:val="28"/>
        </w:rPr>
      </w:pPr>
      <w:r>
        <w:rPr>
          <w:rFonts w:ascii="Palatino Linotype" w:hAnsi="Palatino Linotype"/>
        </w:rPr>
        <w:t>Medio de impugnación que, fue turnado al Comisionado Presidente</w:t>
      </w:r>
      <w:r w:rsidRPr="002C3EC8">
        <w:rPr>
          <w:rFonts w:ascii="Palatino Linotype" w:hAnsi="Palatino Linotype"/>
        </w:rPr>
        <w:t xml:space="preserve"> </w:t>
      </w:r>
      <w:r w:rsidRPr="007B13E3">
        <w:rPr>
          <w:rFonts w:ascii="Palatino Linotype" w:hAnsi="Palatino Linotype"/>
          <w:b/>
        </w:rPr>
        <w:t xml:space="preserve">José Martínez Vilchis, </w:t>
      </w:r>
      <w:r w:rsidRPr="002C3EC8">
        <w:rPr>
          <w:rFonts w:ascii="Palatino Linotype" w:hAnsi="Palatino Linotype"/>
        </w:rPr>
        <w:t>por medio del sistema electrónico SAIMEX, en términos del arábigo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sidRPr="002C3EC8">
        <w:rPr>
          <w:rFonts w:ascii="Palatino Linotype" w:hAnsi="Palatino Linotype"/>
        </w:rPr>
        <w:t xml:space="preserve"> en fecha </w:t>
      </w:r>
      <w:r w:rsidR="00D84B8A">
        <w:rPr>
          <w:rFonts w:ascii="Palatino Linotype" w:hAnsi="Palatino Linotype"/>
        </w:rPr>
        <w:t>doce</w:t>
      </w:r>
      <w:r>
        <w:rPr>
          <w:rFonts w:ascii="Palatino Linotype" w:hAnsi="Palatino Linotype"/>
        </w:rPr>
        <w:t xml:space="preserve"> de diciembre </w:t>
      </w:r>
      <w:r w:rsidRPr="002C3EC8">
        <w:rPr>
          <w:rFonts w:ascii="Palatino Linotype" w:hAnsi="Palatino Linotype"/>
        </w:rPr>
        <w:t>de dos mil veintidós, determinándose en ellos, un plazo de siete días para que las partes manifestaran lo que a su derecho corresponda en términos del numeral ya citado.</w:t>
      </w:r>
    </w:p>
    <w:p w:rsidR="00AB4749" w:rsidRPr="002C3EC8" w:rsidRDefault="00AB4749" w:rsidP="00AB4749">
      <w:pPr>
        <w:spacing w:line="360" w:lineRule="auto"/>
        <w:jc w:val="both"/>
        <w:rPr>
          <w:rFonts w:ascii="Palatino Linotype" w:hAnsi="Palatino Linotype" w:cs="Arial"/>
        </w:rPr>
      </w:pPr>
    </w:p>
    <w:p w:rsidR="00AB4749" w:rsidRPr="00E52C83" w:rsidRDefault="00AB4749" w:rsidP="00AB4749">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Pr="002C3EC8">
        <w:rPr>
          <w:rFonts w:ascii="Palatino Linotype" w:hAnsi="Palatino Linotype" w:cs="Arial"/>
          <w:b/>
          <w:sz w:val="28"/>
          <w:szCs w:val="28"/>
        </w:rPr>
        <w:t>. De la etapa de instrucción.</w:t>
      </w:r>
    </w:p>
    <w:p w:rsidR="00D84B8A" w:rsidRDefault="00AB4749" w:rsidP="00AB4749">
      <w:pPr>
        <w:spacing w:line="360" w:lineRule="auto"/>
        <w:jc w:val="both"/>
        <w:rPr>
          <w:rFonts w:ascii="Palatino Linotype" w:hAnsi="Palatino Linotype" w:cs="Arial"/>
        </w:rPr>
      </w:pPr>
      <w:r w:rsidRPr="00DD3A8A">
        <w:rPr>
          <w:rFonts w:ascii="Palatino Linotype" w:hAnsi="Palatino Linotype" w:cs="Arial"/>
        </w:rPr>
        <w:t>Una vez abierta la etapa de instrucción, se advierte que</w:t>
      </w:r>
      <w:r>
        <w:rPr>
          <w:rFonts w:ascii="Palatino Linotype" w:hAnsi="Palatino Linotype" w:cs="Arial"/>
        </w:rPr>
        <w:t xml:space="preserve"> </w:t>
      </w:r>
      <w:r w:rsidRPr="00DD3A8A">
        <w:rPr>
          <w:rFonts w:ascii="Palatino Linotype" w:hAnsi="Palatino Linotype" w:cs="Arial"/>
        </w:rPr>
        <w:t xml:space="preserve">el </w:t>
      </w:r>
      <w:r w:rsidRPr="00756413">
        <w:rPr>
          <w:rFonts w:ascii="Palatino Linotype" w:hAnsi="Palatino Linotype" w:cs="Arial"/>
          <w:b/>
        </w:rPr>
        <w:t>Sujeto Obligado</w:t>
      </w:r>
      <w:r w:rsidRPr="00DD3A8A">
        <w:rPr>
          <w:rFonts w:ascii="Palatino Linotype" w:hAnsi="Palatino Linotype" w:cs="Arial"/>
        </w:rPr>
        <w:t xml:space="preserve"> </w:t>
      </w:r>
      <w:r w:rsidR="00D84B8A">
        <w:rPr>
          <w:rFonts w:ascii="Palatino Linotype" w:hAnsi="Palatino Linotype" w:cs="Arial"/>
        </w:rPr>
        <w:t>rindió su informe justificado, a través de los documentos electrónicos “</w:t>
      </w:r>
      <w:r w:rsidR="00D84B8A" w:rsidRPr="00736B1C">
        <w:rPr>
          <w:rFonts w:ascii="Palatino Linotype" w:hAnsi="Palatino Linotype" w:cs="Arial"/>
          <w:b/>
          <w:i/>
        </w:rPr>
        <w:t>155 solicitud 16122022.pdf</w:t>
      </w:r>
      <w:r w:rsidR="00D84B8A" w:rsidRPr="00736B1C">
        <w:rPr>
          <w:rFonts w:ascii="Palatino Linotype" w:hAnsi="Palatino Linotype" w:cs="Arial"/>
        </w:rPr>
        <w:t xml:space="preserve"> </w:t>
      </w:r>
      <w:r w:rsidR="00736B1C">
        <w:rPr>
          <w:rFonts w:ascii="Palatino Linotype" w:hAnsi="Palatino Linotype" w:cs="Arial"/>
        </w:rPr>
        <w:t>e</w:t>
      </w:r>
      <w:r w:rsidR="00D84B8A" w:rsidRPr="00736B1C">
        <w:rPr>
          <w:rFonts w:ascii="Palatino Linotype" w:hAnsi="Palatino Linotype" w:cs="Arial"/>
        </w:rPr>
        <w:t xml:space="preserve"> </w:t>
      </w:r>
      <w:r w:rsidR="00D84B8A" w:rsidRPr="00736B1C">
        <w:rPr>
          <w:rFonts w:ascii="Palatino Linotype" w:hAnsi="Palatino Linotype" w:cs="Arial"/>
          <w:b/>
          <w:i/>
        </w:rPr>
        <w:t>INFORME solicitud 155.pdf</w:t>
      </w:r>
      <w:r w:rsidR="00D84B8A">
        <w:rPr>
          <w:rFonts w:ascii="Palatino Linotype" w:hAnsi="Palatino Linotype" w:cs="Arial"/>
        </w:rPr>
        <w:t xml:space="preserve">”, los cuales fueron puestos a la vista del </w:t>
      </w:r>
      <w:r w:rsidRPr="003E7A2F">
        <w:rPr>
          <w:rFonts w:ascii="Palatino Linotype" w:hAnsi="Palatino Linotype" w:cs="Arial"/>
          <w:b/>
        </w:rPr>
        <w:t>Recurrente</w:t>
      </w:r>
      <w:r>
        <w:rPr>
          <w:rFonts w:ascii="Palatino Linotype" w:hAnsi="Palatino Linotype" w:cs="Arial"/>
        </w:rPr>
        <w:t xml:space="preserve">, </w:t>
      </w:r>
      <w:r w:rsidR="00D84B8A">
        <w:rPr>
          <w:rFonts w:ascii="Palatino Linotype" w:hAnsi="Palatino Linotype" w:cs="Arial"/>
        </w:rPr>
        <w:t xml:space="preserve">a efecto que presentara </w:t>
      </w:r>
      <w:r>
        <w:rPr>
          <w:rFonts w:ascii="Palatino Linotype" w:hAnsi="Palatino Linotype" w:cs="Arial"/>
        </w:rPr>
        <w:t>las manifestaciones</w:t>
      </w:r>
      <w:r w:rsidR="00D84B8A">
        <w:rPr>
          <w:rFonts w:ascii="Palatino Linotype" w:hAnsi="Palatino Linotype" w:cs="Arial"/>
        </w:rPr>
        <w:t xml:space="preserve"> que a sus intereses conviniera</w:t>
      </w:r>
      <w:r>
        <w:rPr>
          <w:rFonts w:ascii="Palatino Linotype" w:hAnsi="Palatino Linotype" w:cs="Arial"/>
        </w:rPr>
        <w:t xml:space="preserve">. </w:t>
      </w:r>
    </w:p>
    <w:p w:rsidR="00D84B8A" w:rsidRDefault="00D84B8A" w:rsidP="00AB4749">
      <w:pPr>
        <w:spacing w:line="360" w:lineRule="auto"/>
        <w:jc w:val="both"/>
        <w:rPr>
          <w:rFonts w:ascii="Palatino Linotype" w:hAnsi="Palatino Linotype" w:cs="Arial"/>
        </w:rPr>
      </w:pPr>
    </w:p>
    <w:p w:rsidR="00AB4749" w:rsidRDefault="00AB4749" w:rsidP="00AB4749">
      <w:pPr>
        <w:spacing w:line="360" w:lineRule="auto"/>
        <w:jc w:val="both"/>
        <w:rPr>
          <w:rFonts w:ascii="Palatino Linotype" w:hAnsi="Palatino Linotype" w:cs="Arial"/>
        </w:rPr>
      </w:pPr>
      <w:r w:rsidRPr="00DD3A8A">
        <w:rPr>
          <w:rFonts w:ascii="Palatino Linotype" w:hAnsi="Palatino Linotype" w:cs="Arial"/>
        </w:rPr>
        <w:t xml:space="preserve">Así mismo, </w:t>
      </w:r>
      <w:r w:rsidR="00D84B8A">
        <w:rPr>
          <w:rFonts w:ascii="Palatino Linotype" w:hAnsi="Palatino Linotype" w:cs="Arial"/>
        </w:rPr>
        <w:t xml:space="preserve">de las constancias electrónicas, </w:t>
      </w:r>
      <w:r w:rsidRPr="00DD3A8A">
        <w:rPr>
          <w:rFonts w:ascii="Palatino Linotype" w:hAnsi="Palatino Linotype" w:cs="Arial"/>
        </w:rPr>
        <w:t xml:space="preserve">se aprecia que no se llevaron a cabo audiencias durante la sustanciación del recurso de revisión, ni se ofrecieron pruebas por parte de la </w:t>
      </w:r>
      <w:r w:rsidRPr="00DD3A8A">
        <w:rPr>
          <w:rFonts w:ascii="Palatino Linotype" w:hAnsi="Palatino Linotype" w:cs="Arial"/>
          <w:b/>
        </w:rPr>
        <w:t>Recurrente</w:t>
      </w:r>
      <w:r w:rsidRPr="00DD3A8A">
        <w:rPr>
          <w:rFonts w:ascii="Palatino Linotype" w:hAnsi="Palatino Linotype" w:cs="Arial"/>
        </w:rPr>
        <w:t xml:space="preserve">; todo lo anterior en términos de los artículos 185 fracciones </w:t>
      </w:r>
      <w:r w:rsidRPr="00DD3A8A">
        <w:rPr>
          <w:rFonts w:ascii="Palatino Linotype" w:hAnsi="Palatino Linotype" w:cs="Arial"/>
        </w:rPr>
        <w:lastRenderedPageBreak/>
        <w:t>II y IV, y 195 de la Ley de Transparencia y Acceso a la Información Pública del Estado de México y Municipios</w:t>
      </w:r>
      <w:r>
        <w:rPr>
          <w:rFonts w:ascii="Palatino Linotype" w:hAnsi="Palatino Linotype" w:cs="Arial"/>
        </w:rPr>
        <w:t>.</w:t>
      </w:r>
    </w:p>
    <w:p w:rsidR="00AB4749" w:rsidRDefault="00AB4749" w:rsidP="00AB4749">
      <w:pPr>
        <w:spacing w:line="360" w:lineRule="auto"/>
        <w:jc w:val="both"/>
        <w:rPr>
          <w:rFonts w:ascii="Palatino Linotype" w:hAnsi="Palatino Linotype" w:cs="Arial"/>
        </w:rPr>
      </w:pPr>
    </w:p>
    <w:p w:rsidR="00AB4749" w:rsidRPr="002C3EC8" w:rsidRDefault="00AB4749" w:rsidP="00AB4749">
      <w:pPr>
        <w:spacing w:line="360" w:lineRule="auto"/>
        <w:jc w:val="both"/>
        <w:rPr>
          <w:rFonts w:ascii="Palatino Linotype" w:hAnsi="Palatino Linotype" w:cs="Arial"/>
          <w:b/>
          <w:sz w:val="28"/>
          <w:szCs w:val="28"/>
        </w:rPr>
      </w:pPr>
      <w:r>
        <w:rPr>
          <w:rFonts w:ascii="Palatino Linotype" w:hAnsi="Palatino Linotype" w:cs="Arial"/>
          <w:b/>
          <w:sz w:val="28"/>
          <w:szCs w:val="28"/>
        </w:rPr>
        <w:t xml:space="preserve">SEXTO. </w:t>
      </w:r>
      <w:r w:rsidRPr="002C3EC8">
        <w:rPr>
          <w:rFonts w:ascii="Palatino Linotype" w:hAnsi="Palatino Linotype" w:cs="Arial"/>
          <w:b/>
          <w:sz w:val="28"/>
          <w:szCs w:val="28"/>
        </w:rPr>
        <w:t>Del Cierre de Instrucción.</w:t>
      </w:r>
    </w:p>
    <w:p w:rsidR="00AB4749" w:rsidRDefault="00AB4749" w:rsidP="00AB4749">
      <w:pPr>
        <w:spacing w:line="360" w:lineRule="auto"/>
        <w:jc w:val="both"/>
        <w:rPr>
          <w:rFonts w:ascii="Palatino Linotype" w:hAnsi="Palatino Linotype" w:cs="Arial"/>
        </w:rPr>
      </w:pPr>
      <w:r w:rsidRPr="002C3EC8">
        <w:rPr>
          <w:rFonts w:ascii="Palatino Linotype" w:hAnsi="Palatino Linotype" w:cs="Arial"/>
        </w:rPr>
        <w:t>Por lo que una vez transcurrido</w:t>
      </w:r>
      <w:r>
        <w:rPr>
          <w:rFonts w:ascii="Palatino Linotype" w:hAnsi="Palatino Linotype" w:cs="Arial"/>
        </w:rPr>
        <w:t>s</w:t>
      </w:r>
      <w:r w:rsidRPr="002C3EC8">
        <w:rPr>
          <w:rFonts w:ascii="Palatino Linotype" w:hAnsi="Palatino Linotype" w:cs="Arial"/>
        </w:rPr>
        <w:t xml:space="preserve"> </w:t>
      </w:r>
      <w:r>
        <w:rPr>
          <w:rFonts w:ascii="Palatino Linotype" w:hAnsi="Palatino Linotype" w:cs="Arial"/>
        </w:rPr>
        <w:t>los</w:t>
      </w:r>
      <w:r w:rsidRPr="002C3EC8">
        <w:rPr>
          <w:rFonts w:ascii="Palatino Linotype" w:hAnsi="Palatino Linotype" w:cs="Arial"/>
        </w:rPr>
        <w:t xml:space="preserve"> periodo</w:t>
      </w:r>
      <w:r>
        <w:rPr>
          <w:rFonts w:ascii="Palatino Linotype" w:hAnsi="Palatino Linotype" w:cs="Arial"/>
        </w:rPr>
        <w:t>s</w:t>
      </w:r>
      <w:r w:rsidRPr="002C3EC8">
        <w:rPr>
          <w:rFonts w:ascii="Palatino Linotype" w:hAnsi="Palatino Linotype" w:cs="Arial"/>
        </w:rPr>
        <w:t xml:space="preserve"> otorgado</w:t>
      </w:r>
      <w:r>
        <w:rPr>
          <w:rFonts w:ascii="Palatino Linotype" w:hAnsi="Palatino Linotype" w:cs="Arial"/>
        </w:rPr>
        <w:t>s</w:t>
      </w:r>
      <w:r w:rsidRPr="002C3EC8">
        <w:rPr>
          <w:rFonts w:ascii="Palatino Linotype" w:hAnsi="Palatino Linotype" w:cs="Arial"/>
        </w:rPr>
        <w:t xml:space="preserve"> a las partes de siete días hábiles para realizar sus manifestaciones en el acuerdo de admisión, y no habiendo prueba pendiente por desahogar, ni que documentos que integrar al expediente electrónico, se decretó el cierre de instrucción en fecha </w:t>
      </w:r>
      <w:r w:rsidR="00D84B8A">
        <w:rPr>
          <w:rFonts w:ascii="Palatino Linotype" w:hAnsi="Palatino Linotype" w:cs="Arial"/>
        </w:rPr>
        <w:t xml:space="preserve">once de enero </w:t>
      </w:r>
      <w:r w:rsidRPr="003E7A2F">
        <w:rPr>
          <w:rFonts w:ascii="Palatino Linotype" w:hAnsi="Palatino Linotype" w:cs="Arial"/>
        </w:rPr>
        <w:t xml:space="preserve">de dos mil </w:t>
      </w:r>
      <w:r w:rsidR="00D84B8A">
        <w:rPr>
          <w:rFonts w:ascii="Palatino Linotype" w:hAnsi="Palatino Linotype" w:cs="Arial"/>
        </w:rPr>
        <w:t>veintitrés</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AB4749" w:rsidRDefault="00AB4749" w:rsidP="00AB4749">
      <w:pPr>
        <w:spacing w:line="360" w:lineRule="auto"/>
        <w:jc w:val="both"/>
        <w:rPr>
          <w:rFonts w:ascii="Palatino Linotype" w:hAnsi="Palatino Linotype" w:cs="Arial"/>
        </w:rPr>
      </w:pPr>
    </w:p>
    <w:p w:rsidR="00AB4749" w:rsidRPr="009E5E8F" w:rsidRDefault="00AB4749" w:rsidP="00AB4749">
      <w:pPr>
        <w:spacing w:line="360" w:lineRule="auto"/>
        <w:jc w:val="both"/>
        <w:rPr>
          <w:rFonts w:ascii="Palatino Linotype" w:hAnsi="Palatino Linotype" w:cs="Arial"/>
          <w:b/>
          <w:sz w:val="28"/>
        </w:rPr>
      </w:pPr>
      <w:r>
        <w:rPr>
          <w:rFonts w:ascii="Palatino Linotype" w:hAnsi="Palatino Linotype" w:cs="Arial"/>
          <w:b/>
          <w:sz w:val="28"/>
          <w:szCs w:val="28"/>
        </w:rPr>
        <w:t>SÉPTIMO</w:t>
      </w:r>
      <w:r w:rsidRPr="00FE67DF">
        <w:rPr>
          <w:rFonts w:ascii="Palatino Linotype" w:hAnsi="Palatino Linotype" w:cs="Arial"/>
          <w:b/>
          <w:sz w:val="28"/>
          <w:szCs w:val="28"/>
        </w:rPr>
        <w:t>.</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rsidR="00AB4749" w:rsidRPr="000424E1" w:rsidRDefault="00AB4749" w:rsidP="00AB4749">
      <w:pPr>
        <w:spacing w:line="360" w:lineRule="auto"/>
        <w:jc w:val="both"/>
        <w:rPr>
          <w:rFonts w:ascii="Palatino Linotype" w:hAnsi="Palatino Linotype" w:cs="Arial"/>
        </w:rPr>
      </w:pPr>
      <w:r w:rsidRPr="000424E1">
        <w:rPr>
          <w:rFonts w:ascii="Palatino Linotype" w:hAnsi="Palatino Linotype" w:cs="Arial"/>
        </w:rPr>
        <w:t>De las constancias que inte</w:t>
      </w:r>
      <w:r>
        <w:rPr>
          <w:rFonts w:ascii="Palatino Linotype" w:hAnsi="Palatino Linotype" w:cs="Arial"/>
        </w:rPr>
        <w:t>gran el expediente electrónico,</w:t>
      </w:r>
      <w:r w:rsidRPr="000424E1">
        <w:rPr>
          <w:rFonts w:ascii="Palatino Linotype" w:hAnsi="Palatino Linotype" w:cs="Arial"/>
        </w:rPr>
        <w:t xml:space="preserve"> se advierte que ha transcurrido el término de Ley, para la emisión de la resolución en el presente recurso de revisión, por lo que en fecha </w:t>
      </w:r>
      <w:r w:rsidR="00D84B8A">
        <w:rPr>
          <w:rFonts w:ascii="Palatino Linotype" w:hAnsi="Palatino Linotype" w:cs="Arial"/>
        </w:rPr>
        <w:t xml:space="preserve">nueve de febrero </w:t>
      </w:r>
      <w:r>
        <w:rPr>
          <w:rFonts w:ascii="Palatino Linotype" w:hAnsi="Palatino Linotype" w:cs="Arial"/>
        </w:rPr>
        <w:t>de dos mil veintitrés</w:t>
      </w:r>
      <w:r w:rsidRPr="000424E1">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AB4749" w:rsidRPr="000424E1" w:rsidRDefault="00AB4749" w:rsidP="00AB4749">
      <w:pPr>
        <w:spacing w:line="360" w:lineRule="auto"/>
        <w:jc w:val="both"/>
        <w:rPr>
          <w:rFonts w:ascii="Palatino Linotype" w:hAnsi="Palatino Linotype" w:cs="Arial"/>
        </w:rPr>
      </w:pPr>
    </w:p>
    <w:p w:rsidR="00AB4749" w:rsidRPr="000424E1" w:rsidRDefault="00AB4749" w:rsidP="00AB4749">
      <w:pPr>
        <w:spacing w:line="360" w:lineRule="auto"/>
        <w:ind w:right="49"/>
        <w:jc w:val="both"/>
        <w:rPr>
          <w:rFonts w:ascii="Palatino Linotype" w:hAnsi="Palatino Linotype" w:cs="Arial"/>
        </w:rPr>
      </w:pPr>
      <w:r w:rsidRPr="000424E1">
        <w:rPr>
          <w:rFonts w:ascii="Palatino Linotype" w:hAnsi="Palatino Linotype" w:cs="Arial"/>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0424E1">
        <w:rPr>
          <w:rFonts w:ascii="Palatino Linotype" w:hAnsi="Palatino Linotype" w:cs="Arial"/>
        </w:rPr>
        <w:lastRenderedPageBreak/>
        <w:t>aproximadamente un 400%, circunstancia atípica que ha rebasado las capacidades técnicas y humanas del personal encargado de la proyección de las resoluciones a dichos medios de impugnación.</w:t>
      </w:r>
    </w:p>
    <w:p w:rsidR="00AB4749" w:rsidRPr="000424E1" w:rsidRDefault="00AB4749" w:rsidP="00AB4749">
      <w:pPr>
        <w:spacing w:line="360" w:lineRule="auto"/>
        <w:ind w:right="49"/>
        <w:jc w:val="both"/>
        <w:rPr>
          <w:rFonts w:ascii="Palatino Linotype" w:hAnsi="Palatino Linotype" w:cs="Arial"/>
        </w:rPr>
      </w:pPr>
      <w:r w:rsidRPr="000424E1">
        <w:rPr>
          <w:rFonts w:ascii="Palatino Linotype" w:hAnsi="Palatino Linotype" w:cs="Arial"/>
        </w:rPr>
        <w:t xml:space="preserve"> </w:t>
      </w:r>
    </w:p>
    <w:p w:rsidR="00AB4749" w:rsidRDefault="00AB4749" w:rsidP="00AB4749">
      <w:pPr>
        <w:spacing w:line="360" w:lineRule="auto"/>
        <w:ind w:right="49"/>
        <w:jc w:val="both"/>
        <w:rPr>
          <w:rFonts w:ascii="Palatino Linotype" w:hAnsi="Palatino Linotype" w:cs="Arial"/>
        </w:rPr>
      </w:pPr>
      <w:r w:rsidRPr="000424E1">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AB4749" w:rsidRPr="000424E1" w:rsidRDefault="00AB4749" w:rsidP="00AB4749">
      <w:pPr>
        <w:spacing w:line="360" w:lineRule="auto"/>
        <w:ind w:right="49"/>
        <w:jc w:val="both"/>
        <w:rPr>
          <w:rFonts w:ascii="Palatino Linotype" w:hAnsi="Palatino Linotype" w:cs="Arial"/>
        </w:rPr>
      </w:pPr>
    </w:p>
    <w:p w:rsidR="00AB4749" w:rsidRPr="000424E1" w:rsidRDefault="00AB4749" w:rsidP="00AB4749">
      <w:pPr>
        <w:spacing w:line="360" w:lineRule="auto"/>
        <w:ind w:right="49"/>
        <w:jc w:val="both"/>
        <w:rPr>
          <w:rFonts w:ascii="Palatino Linotype" w:hAnsi="Palatino Linotype" w:cs="Arial"/>
        </w:rPr>
      </w:pPr>
      <w:r w:rsidRPr="000424E1">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B4749" w:rsidRPr="000424E1" w:rsidRDefault="00AB4749" w:rsidP="00AB4749">
      <w:pPr>
        <w:spacing w:line="360" w:lineRule="auto"/>
        <w:ind w:right="49"/>
        <w:jc w:val="both"/>
        <w:rPr>
          <w:rFonts w:ascii="Palatino Linotype" w:hAnsi="Palatino Linotype" w:cs="Arial"/>
        </w:rPr>
      </w:pPr>
      <w:r w:rsidRPr="000424E1">
        <w:rPr>
          <w:rFonts w:ascii="Palatino Linotype" w:hAnsi="Palatino Linotype" w:cs="Arial"/>
        </w:rPr>
        <w:t xml:space="preserve"> </w:t>
      </w:r>
    </w:p>
    <w:p w:rsidR="00AB4749" w:rsidRPr="000424E1" w:rsidRDefault="00AB4749" w:rsidP="00AB4749">
      <w:pPr>
        <w:spacing w:line="360" w:lineRule="auto"/>
        <w:ind w:right="49"/>
        <w:jc w:val="both"/>
        <w:rPr>
          <w:rFonts w:ascii="Palatino Linotype" w:hAnsi="Palatino Linotype" w:cs="Arial"/>
        </w:rPr>
      </w:pPr>
      <w:r w:rsidRPr="000424E1">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AB4749" w:rsidRPr="000424E1" w:rsidRDefault="00AB4749" w:rsidP="00AB4749">
      <w:pPr>
        <w:spacing w:line="360" w:lineRule="auto"/>
        <w:ind w:right="49"/>
        <w:jc w:val="both"/>
        <w:rPr>
          <w:rFonts w:ascii="Palatino Linotype" w:hAnsi="Palatino Linotype" w:cs="Arial"/>
        </w:rPr>
      </w:pPr>
      <w:r w:rsidRPr="000424E1">
        <w:rPr>
          <w:rFonts w:ascii="Palatino Linotype" w:hAnsi="Palatino Linotype" w:cs="Arial"/>
        </w:rPr>
        <w:t xml:space="preserve"> </w:t>
      </w:r>
    </w:p>
    <w:p w:rsidR="00AB4749" w:rsidRDefault="00AB4749" w:rsidP="00AB4749">
      <w:pPr>
        <w:spacing w:line="360" w:lineRule="auto"/>
        <w:ind w:right="49"/>
        <w:jc w:val="both"/>
        <w:rPr>
          <w:rFonts w:ascii="Palatino Linotype" w:hAnsi="Palatino Linotype" w:cs="Arial"/>
        </w:rPr>
      </w:pPr>
      <w:r w:rsidRPr="000424E1">
        <w:rPr>
          <w:rFonts w:ascii="Palatino Linotype" w:hAnsi="Palatino Linotype" w:cs="Arial"/>
        </w:rPr>
        <w:t>Por ello, excepcionalmente, si un asunto es resuelto con posterioridad a los plazos señalados por la norma debe analizarse la razonabilidad del tiempo necesario para su resolución, atent</w:t>
      </w:r>
      <w:r>
        <w:rPr>
          <w:rFonts w:ascii="Palatino Linotype" w:hAnsi="Palatino Linotype" w:cs="Arial"/>
        </w:rPr>
        <w:t>os a los siguientes criterios:</w:t>
      </w:r>
    </w:p>
    <w:p w:rsidR="00AB4749" w:rsidRPr="000424E1" w:rsidRDefault="00AB4749" w:rsidP="00AB4749">
      <w:pPr>
        <w:spacing w:line="360" w:lineRule="auto"/>
        <w:ind w:right="49"/>
        <w:jc w:val="both"/>
        <w:rPr>
          <w:rFonts w:ascii="Palatino Linotype" w:hAnsi="Palatino Linotype" w:cs="Arial"/>
        </w:rPr>
      </w:pPr>
    </w:p>
    <w:p w:rsidR="00AB4749" w:rsidRPr="000424E1" w:rsidRDefault="00AB4749" w:rsidP="00AB4749">
      <w:pPr>
        <w:spacing w:line="360" w:lineRule="auto"/>
        <w:ind w:left="993" w:right="49" w:hanging="426"/>
        <w:jc w:val="both"/>
        <w:rPr>
          <w:rFonts w:ascii="Palatino Linotype" w:hAnsi="Palatino Linotype" w:cs="Arial"/>
        </w:rPr>
      </w:pPr>
      <w:r w:rsidRPr="000424E1">
        <w:rPr>
          <w:rFonts w:ascii="Palatino Linotype" w:hAnsi="Palatino Linotype" w:cs="Arial"/>
          <w:b/>
        </w:rPr>
        <w:lastRenderedPageBreak/>
        <w:t xml:space="preserve">a) </w:t>
      </w:r>
      <w:r w:rsidRPr="000424E1">
        <w:rPr>
          <w:rFonts w:ascii="Palatino Linotype" w:hAnsi="Palatino Linotype" w:cs="Arial"/>
          <w:b/>
        </w:rPr>
        <w:tab/>
        <w:t>Complejidad del asunto:</w:t>
      </w:r>
      <w:r w:rsidRPr="000424E1">
        <w:rPr>
          <w:rFonts w:ascii="Palatino Linotype" w:hAnsi="Palatino Linotype" w:cs="Arial"/>
        </w:rPr>
        <w:t xml:space="preserve"> La complejidad de la prueba, la pluralidad de sujetos procesales, el tiempo transcurrido, las características y contexto del recurso.</w:t>
      </w:r>
    </w:p>
    <w:p w:rsidR="00AB4749" w:rsidRPr="000424E1" w:rsidRDefault="00AB4749" w:rsidP="00AB4749">
      <w:pPr>
        <w:spacing w:line="360" w:lineRule="auto"/>
        <w:ind w:left="993" w:right="49" w:hanging="426"/>
        <w:jc w:val="both"/>
        <w:rPr>
          <w:rFonts w:ascii="Palatino Linotype" w:hAnsi="Palatino Linotype" w:cs="Arial"/>
        </w:rPr>
      </w:pPr>
      <w:r w:rsidRPr="000424E1">
        <w:rPr>
          <w:rFonts w:ascii="Palatino Linotype" w:hAnsi="Palatino Linotype" w:cs="Arial"/>
          <w:b/>
        </w:rPr>
        <w:t xml:space="preserve">b) </w:t>
      </w:r>
      <w:r w:rsidRPr="000424E1">
        <w:rPr>
          <w:rFonts w:ascii="Palatino Linotype" w:hAnsi="Palatino Linotype" w:cs="Arial"/>
          <w:b/>
        </w:rPr>
        <w:tab/>
        <w:t>Actividad Procesal del interesado:</w:t>
      </w:r>
      <w:r w:rsidRPr="000424E1">
        <w:rPr>
          <w:rFonts w:ascii="Palatino Linotype" w:hAnsi="Palatino Linotype" w:cs="Arial"/>
        </w:rPr>
        <w:t xml:space="preserve"> Acciones u omisiones del interesado.</w:t>
      </w:r>
    </w:p>
    <w:p w:rsidR="00AB4749" w:rsidRPr="000424E1" w:rsidRDefault="00AB4749" w:rsidP="00AB4749">
      <w:pPr>
        <w:spacing w:line="360" w:lineRule="auto"/>
        <w:ind w:left="993" w:right="49" w:hanging="426"/>
        <w:jc w:val="both"/>
        <w:rPr>
          <w:rFonts w:ascii="Palatino Linotype" w:hAnsi="Palatino Linotype" w:cs="Arial"/>
        </w:rPr>
      </w:pPr>
      <w:r w:rsidRPr="000424E1">
        <w:rPr>
          <w:rFonts w:ascii="Palatino Linotype" w:hAnsi="Palatino Linotype" w:cs="Arial"/>
          <w:b/>
        </w:rPr>
        <w:t xml:space="preserve">c) </w:t>
      </w:r>
      <w:r w:rsidRPr="000424E1">
        <w:rPr>
          <w:rFonts w:ascii="Palatino Linotype" w:hAnsi="Palatino Linotype" w:cs="Arial"/>
          <w:b/>
        </w:rPr>
        <w:tab/>
        <w:t>Conducta de la Autoridad:</w:t>
      </w:r>
      <w:r w:rsidRPr="000424E1">
        <w:rPr>
          <w:rFonts w:ascii="Palatino Linotype" w:hAnsi="Palatino Linotype" w:cs="Arial"/>
        </w:rPr>
        <w:t xml:space="preserve"> Las Acciones u omisiones realizadas en el procedimiento. Así como si la autoridad actuó con la debida diligencia.</w:t>
      </w:r>
    </w:p>
    <w:p w:rsidR="00AB4749" w:rsidRPr="000424E1" w:rsidRDefault="00AB4749" w:rsidP="00AB4749">
      <w:pPr>
        <w:spacing w:line="360" w:lineRule="auto"/>
        <w:ind w:left="993" w:right="49" w:hanging="426"/>
        <w:jc w:val="both"/>
        <w:rPr>
          <w:rFonts w:ascii="Palatino Linotype" w:hAnsi="Palatino Linotype" w:cs="Arial"/>
        </w:rPr>
      </w:pPr>
      <w:r w:rsidRPr="000424E1">
        <w:rPr>
          <w:rFonts w:ascii="Palatino Linotype" w:hAnsi="Palatino Linotype" w:cs="Arial"/>
          <w:b/>
        </w:rPr>
        <w:t xml:space="preserve">d) </w:t>
      </w:r>
      <w:r w:rsidRPr="000424E1">
        <w:rPr>
          <w:rFonts w:ascii="Palatino Linotype" w:hAnsi="Palatino Linotype" w:cs="Arial"/>
          <w:b/>
        </w:rPr>
        <w:tab/>
        <w:t>La afectación generada en la situación jurídica de la persona involucrada en el proceso:</w:t>
      </w:r>
      <w:r w:rsidRPr="000424E1">
        <w:rPr>
          <w:rFonts w:ascii="Palatino Linotype" w:hAnsi="Palatino Linotype" w:cs="Arial"/>
        </w:rPr>
        <w:t xml:space="preserve"> Violación a sus derechos humanos.</w:t>
      </w:r>
    </w:p>
    <w:p w:rsidR="00AB4749" w:rsidRDefault="00AB4749" w:rsidP="00AB4749">
      <w:pPr>
        <w:spacing w:line="360" w:lineRule="auto"/>
        <w:ind w:right="49"/>
        <w:jc w:val="both"/>
        <w:rPr>
          <w:rFonts w:ascii="Palatino Linotype" w:hAnsi="Palatino Linotype" w:cs="Arial"/>
        </w:rPr>
      </w:pPr>
    </w:p>
    <w:p w:rsidR="00AB4749" w:rsidRPr="000424E1" w:rsidRDefault="00AB4749" w:rsidP="00AB4749">
      <w:pPr>
        <w:spacing w:line="360" w:lineRule="auto"/>
        <w:ind w:right="49"/>
        <w:jc w:val="both"/>
        <w:rPr>
          <w:rFonts w:ascii="Palatino Linotype" w:hAnsi="Palatino Linotype" w:cs="Arial"/>
        </w:rPr>
      </w:pPr>
      <w:r w:rsidRPr="000424E1">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B4749" w:rsidRPr="000424E1" w:rsidRDefault="00AB4749" w:rsidP="00AB4749">
      <w:pPr>
        <w:spacing w:line="360" w:lineRule="auto"/>
        <w:ind w:right="49"/>
        <w:jc w:val="both"/>
        <w:rPr>
          <w:rFonts w:ascii="Palatino Linotype" w:hAnsi="Palatino Linotype" w:cs="Arial"/>
        </w:rPr>
      </w:pPr>
    </w:p>
    <w:p w:rsidR="00AB4749" w:rsidRPr="000424E1" w:rsidRDefault="00AB4749" w:rsidP="00AB4749">
      <w:pPr>
        <w:spacing w:line="360" w:lineRule="auto"/>
        <w:ind w:right="49"/>
        <w:jc w:val="both"/>
        <w:rPr>
          <w:rFonts w:ascii="Palatino Linotype" w:hAnsi="Palatino Linotype" w:cs="Arial"/>
        </w:rPr>
      </w:pPr>
      <w:r w:rsidRPr="000424E1">
        <w:rPr>
          <w:rFonts w:ascii="Palatino Linotype" w:hAnsi="Palatino Linotype" w:cs="Arial"/>
        </w:rPr>
        <w:t>Argumento que encuentra sustento en la jurisprudencia P</w:t>
      </w:r>
      <w:proofErr w:type="gramStart"/>
      <w:r w:rsidRPr="000424E1">
        <w:rPr>
          <w:rFonts w:ascii="Palatino Linotype" w:hAnsi="Palatino Linotype" w:cs="Arial"/>
        </w:rPr>
        <w:t>./</w:t>
      </w:r>
      <w:proofErr w:type="gramEnd"/>
      <w:r w:rsidRPr="000424E1">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AB4749" w:rsidRPr="000424E1" w:rsidRDefault="00AB4749" w:rsidP="00AB4749">
      <w:pPr>
        <w:spacing w:line="360" w:lineRule="auto"/>
        <w:ind w:right="49"/>
        <w:jc w:val="both"/>
        <w:rPr>
          <w:rFonts w:ascii="Palatino Linotype" w:hAnsi="Palatino Linotype" w:cs="Arial"/>
        </w:rPr>
      </w:pPr>
    </w:p>
    <w:p w:rsidR="00AB4749" w:rsidRDefault="00AB4749" w:rsidP="00AB4749">
      <w:pPr>
        <w:spacing w:line="360" w:lineRule="auto"/>
        <w:ind w:right="49"/>
        <w:jc w:val="both"/>
        <w:rPr>
          <w:rFonts w:ascii="Palatino Linotype" w:hAnsi="Palatino Linotype" w:cs="Arial"/>
        </w:rPr>
      </w:pPr>
      <w:r w:rsidRPr="000424E1">
        <w:rPr>
          <w:rFonts w:ascii="Palatino Linotype" w:hAnsi="Palatino Linotype" w:cs="Arial"/>
        </w:rPr>
        <w:t xml:space="preserve">Razones por las cuales cabe concluir que, la resolución al recurso de revisión se solventa hasta esta fecha, debido a que existe una excesiva carga de trabajo en </w:t>
      </w:r>
      <w:r w:rsidRPr="000424E1">
        <w:rPr>
          <w:rFonts w:ascii="Palatino Linotype" w:hAnsi="Palatino Linotype" w:cs="Arial"/>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AB4749" w:rsidRPr="000424E1" w:rsidRDefault="00AB4749" w:rsidP="00AB4749">
      <w:pPr>
        <w:spacing w:line="360" w:lineRule="auto"/>
        <w:ind w:right="49"/>
        <w:jc w:val="both"/>
        <w:rPr>
          <w:rFonts w:ascii="Palatino Linotype" w:hAnsi="Palatino Linotype" w:cs="Arial"/>
        </w:rPr>
      </w:pPr>
    </w:p>
    <w:p w:rsidR="00AB4749" w:rsidRPr="000424E1" w:rsidRDefault="00AB4749" w:rsidP="00AB4749">
      <w:pPr>
        <w:spacing w:line="360" w:lineRule="auto"/>
        <w:ind w:right="49"/>
        <w:jc w:val="both"/>
        <w:rPr>
          <w:rFonts w:ascii="Palatino Linotype" w:hAnsi="Palatino Linotype" w:cs="Arial"/>
        </w:rPr>
      </w:pPr>
      <w:r w:rsidRPr="000424E1">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rsidR="00AB4749" w:rsidRPr="000424E1" w:rsidRDefault="00AB4749" w:rsidP="00AB4749">
      <w:pPr>
        <w:spacing w:line="360" w:lineRule="auto"/>
        <w:ind w:right="49"/>
        <w:jc w:val="both"/>
        <w:rPr>
          <w:rFonts w:ascii="Palatino Linotype" w:hAnsi="Palatino Linotype" w:cs="Arial"/>
        </w:rPr>
      </w:pPr>
      <w:r w:rsidRPr="000424E1">
        <w:rPr>
          <w:rFonts w:ascii="Palatino Linotype" w:hAnsi="Palatino Linotype" w:cs="Arial"/>
        </w:rPr>
        <w:t xml:space="preserve"> </w:t>
      </w:r>
    </w:p>
    <w:p w:rsidR="00AB4749" w:rsidRPr="000424E1" w:rsidRDefault="00AB4749" w:rsidP="00AB4749">
      <w:pPr>
        <w:spacing w:line="360" w:lineRule="auto"/>
        <w:ind w:right="49"/>
        <w:jc w:val="both"/>
        <w:rPr>
          <w:rFonts w:ascii="Palatino Linotype" w:hAnsi="Palatino Linotype" w:cs="Arial"/>
        </w:rPr>
      </w:pPr>
      <w:r w:rsidRPr="000424E1">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rsidR="00AB4749" w:rsidRPr="000424E1" w:rsidRDefault="00AB4749" w:rsidP="00AB4749">
      <w:pPr>
        <w:spacing w:line="360" w:lineRule="auto"/>
        <w:ind w:right="49"/>
        <w:jc w:val="both"/>
        <w:rPr>
          <w:rFonts w:ascii="Palatino Linotype" w:hAnsi="Palatino Linotype" w:cs="Arial"/>
        </w:rPr>
      </w:pPr>
      <w:r w:rsidRPr="000424E1">
        <w:rPr>
          <w:rFonts w:ascii="Palatino Linotype" w:hAnsi="Palatino Linotype" w:cs="Arial"/>
        </w:rPr>
        <w:t xml:space="preserve"> </w:t>
      </w:r>
    </w:p>
    <w:p w:rsidR="00AB4749" w:rsidRPr="000424E1" w:rsidRDefault="00AB4749" w:rsidP="00AB4749">
      <w:pPr>
        <w:spacing w:line="360" w:lineRule="auto"/>
        <w:ind w:right="49"/>
        <w:jc w:val="both"/>
        <w:rPr>
          <w:rFonts w:ascii="Palatino Linotype" w:hAnsi="Palatino Linotype" w:cs="Arial"/>
        </w:rPr>
      </w:pPr>
      <w:r w:rsidRPr="000424E1">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rsidR="00AB4749" w:rsidRPr="000424E1" w:rsidRDefault="00AB4749" w:rsidP="00AB4749">
      <w:pPr>
        <w:spacing w:line="360" w:lineRule="auto"/>
        <w:ind w:right="49"/>
        <w:jc w:val="both"/>
        <w:rPr>
          <w:rFonts w:ascii="Palatino Linotype" w:hAnsi="Palatino Linotype" w:cs="Arial"/>
        </w:rPr>
      </w:pPr>
    </w:p>
    <w:p w:rsidR="00AB4749" w:rsidRPr="000424E1" w:rsidRDefault="00AB4749" w:rsidP="00AB4749">
      <w:pPr>
        <w:spacing w:line="360" w:lineRule="auto"/>
        <w:ind w:right="49"/>
        <w:jc w:val="both"/>
        <w:rPr>
          <w:rFonts w:ascii="Palatino Linotype" w:hAnsi="Palatino Linotype" w:cs="Arial"/>
        </w:rPr>
      </w:pPr>
      <w:r w:rsidRPr="000424E1">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rsidR="00AB4749" w:rsidRPr="00CB45F6" w:rsidRDefault="00AB4749" w:rsidP="00AB4749">
      <w:pPr>
        <w:spacing w:line="360" w:lineRule="auto"/>
        <w:jc w:val="center"/>
        <w:rPr>
          <w:rFonts w:ascii="Palatino Linotype" w:hAnsi="Palatino Linotype" w:cs="Arial"/>
        </w:rPr>
      </w:pPr>
      <w:r w:rsidRPr="00CB45F6">
        <w:rPr>
          <w:rFonts w:ascii="Palatino Linotype" w:hAnsi="Palatino Linotype" w:cs="Arial"/>
          <w:b/>
          <w:sz w:val="28"/>
        </w:rPr>
        <w:lastRenderedPageBreak/>
        <w:t xml:space="preserve">C O N S I D E R A N D O </w:t>
      </w:r>
    </w:p>
    <w:p w:rsidR="00AB4749" w:rsidRPr="00CB45F6" w:rsidRDefault="00AB4749" w:rsidP="00AB4749">
      <w:pPr>
        <w:spacing w:line="360" w:lineRule="auto"/>
        <w:jc w:val="center"/>
        <w:rPr>
          <w:rFonts w:ascii="Palatino Linotype" w:hAnsi="Palatino Linotype" w:cs="Arial"/>
        </w:rPr>
      </w:pPr>
    </w:p>
    <w:p w:rsidR="00AB4749" w:rsidRPr="00CB45F6" w:rsidRDefault="00AB4749" w:rsidP="00AB4749">
      <w:pPr>
        <w:spacing w:line="360" w:lineRule="auto"/>
        <w:jc w:val="both"/>
        <w:rPr>
          <w:rFonts w:ascii="Palatino Linotype" w:hAnsi="Palatino Linotype" w:cs="Arial"/>
          <w:sz w:val="28"/>
          <w:szCs w:val="28"/>
        </w:rPr>
      </w:pPr>
      <w:r w:rsidRPr="00CB45F6">
        <w:rPr>
          <w:rFonts w:ascii="Palatino Linotype" w:hAnsi="Palatino Linotype" w:cs="Arial"/>
          <w:b/>
          <w:sz w:val="28"/>
          <w:szCs w:val="28"/>
        </w:rPr>
        <w:t xml:space="preserve">PRIMERO. </w:t>
      </w:r>
      <w:r w:rsidRPr="00CB45F6">
        <w:rPr>
          <w:rFonts w:ascii="Palatino Linotype" w:hAnsi="Palatino Linotype" w:cs="Arial"/>
          <w:b/>
          <w:sz w:val="26"/>
          <w:szCs w:val="26"/>
        </w:rPr>
        <w:t>De la competencia</w:t>
      </w:r>
      <w:r w:rsidRPr="00CB45F6">
        <w:rPr>
          <w:rFonts w:ascii="Palatino Linotype" w:hAnsi="Palatino Linotype" w:cs="Arial"/>
          <w:sz w:val="26"/>
          <w:szCs w:val="26"/>
        </w:rPr>
        <w:t>.</w:t>
      </w:r>
    </w:p>
    <w:p w:rsidR="00AB4749" w:rsidRPr="00CB45F6" w:rsidRDefault="00AB4749" w:rsidP="00AB4749">
      <w:pPr>
        <w:spacing w:line="360" w:lineRule="auto"/>
        <w:jc w:val="both"/>
        <w:rPr>
          <w:rFonts w:ascii="Palatino Linotype" w:hAnsi="Palatino Linotype" w:cs="Arial"/>
        </w:rPr>
      </w:pPr>
      <w:r w:rsidRPr="00CB45F6">
        <w:rPr>
          <w:rFonts w:ascii="Palatino Linotype" w:hAnsi="Palatino Linotype" w:cs="Arial"/>
        </w:rPr>
        <w:t xml:space="preserve">Este Instituto de Transparencia, Acceso a la Información Pública y Protección de Datos Personales del Estado de México y Municipios, es competente para conocer y resolver </w:t>
      </w:r>
      <w:r>
        <w:rPr>
          <w:rFonts w:ascii="Palatino Linotype" w:hAnsi="Palatino Linotype" w:cs="Arial"/>
        </w:rPr>
        <w:t>los</w:t>
      </w:r>
      <w:r w:rsidRPr="00CB45F6">
        <w:rPr>
          <w:rFonts w:ascii="Palatino Linotype" w:hAnsi="Palatino Linotype" w:cs="Arial"/>
        </w:rPr>
        <w:t xml:space="preserve"> presente</w:t>
      </w:r>
      <w:r>
        <w:rPr>
          <w:rFonts w:ascii="Palatino Linotype" w:hAnsi="Palatino Linotype" w:cs="Arial"/>
        </w:rPr>
        <w:t>s</w:t>
      </w:r>
      <w:r w:rsidRPr="00CB45F6">
        <w:rPr>
          <w:rFonts w:ascii="Palatino Linotype" w:hAnsi="Palatino Linotype" w:cs="Arial"/>
        </w:rPr>
        <w:t xml:space="preserve"> recurso</w:t>
      </w:r>
      <w:r>
        <w:rPr>
          <w:rFonts w:ascii="Palatino Linotype" w:hAnsi="Palatino Linotype" w:cs="Arial"/>
        </w:rPr>
        <w:t>s</w:t>
      </w:r>
      <w:r w:rsidRPr="00CB45F6">
        <w:rPr>
          <w:rFonts w:ascii="Palatino Linotype" w:hAnsi="Palatino Linotype" w:cs="Arial"/>
        </w:rPr>
        <w:t xml:space="preserve"> de revisión interpuesto</w:t>
      </w:r>
      <w:r>
        <w:rPr>
          <w:rFonts w:ascii="Palatino Linotype" w:hAnsi="Palatino Linotype" w:cs="Arial"/>
        </w:rPr>
        <w:t>s</w:t>
      </w:r>
      <w:r w:rsidRPr="00CB45F6">
        <w:rPr>
          <w:rFonts w:ascii="Palatino Linotype" w:hAnsi="Palatino Linotype" w:cs="Arial"/>
        </w:rPr>
        <w:t xml:space="preserve"> por el ahora </w:t>
      </w:r>
      <w:r w:rsidRPr="00CB45F6">
        <w:rPr>
          <w:rFonts w:ascii="Palatino Linotype" w:hAnsi="Palatino Linotype" w:cs="Arial"/>
          <w:b/>
        </w:rPr>
        <w:t>Recurrente</w:t>
      </w:r>
      <w:r w:rsidRPr="00CB45F6">
        <w:rPr>
          <w:rFonts w:ascii="Palatino Linotype" w:hAnsi="Palatino Linotype" w:cs="Arial"/>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B4749" w:rsidRDefault="00AB4749" w:rsidP="00AB4749">
      <w:pPr>
        <w:spacing w:line="360" w:lineRule="auto"/>
        <w:jc w:val="both"/>
        <w:rPr>
          <w:rFonts w:ascii="Palatino Linotype" w:hAnsi="Palatino Linotype" w:cs="Arial"/>
        </w:rPr>
      </w:pPr>
    </w:p>
    <w:p w:rsidR="00AB4749" w:rsidRPr="00FF0E01" w:rsidRDefault="00AB4749" w:rsidP="00AB4749">
      <w:pPr>
        <w:autoSpaceDE w:val="0"/>
        <w:autoSpaceDN w:val="0"/>
        <w:adjustRightInd w:val="0"/>
        <w:spacing w:line="360" w:lineRule="auto"/>
        <w:jc w:val="both"/>
        <w:rPr>
          <w:rFonts w:ascii="Palatino Linotype" w:hAnsi="Palatino Linotype" w:cs="Arial"/>
          <w:bCs/>
        </w:rPr>
      </w:pPr>
      <w:r w:rsidRPr="00FF0E01">
        <w:rPr>
          <w:rFonts w:ascii="Palatino Linotype" w:hAnsi="Palatino Linotype" w:cs="Arial"/>
          <w:b/>
          <w:sz w:val="28"/>
          <w:szCs w:val="28"/>
        </w:rPr>
        <w:t>SEGUNDO. Del alcance del recurso de revisión.</w:t>
      </w:r>
      <w:r w:rsidRPr="00FF0E01">
        <w:rPr>
          <w:rFonts w:ascii="Palatino Linotype" w:hAnsi="Palatino Linotype" w:cs="Arial"/>
          <w:bCs/>
          <w:sz w:val="28"/>
          <w:szCs w:val="28"/>
        </w:rPr>
        <w:t xml:space="preserve"> </w:t>
      </w:r>
    </w:p>
    <w:p w:rsidR="00AB4749" w:rsidRPr="005664AC" w:rsidRDefault="00AB4749" w:rsidP="00AB4749">
      <w:pPr>
        <w:autoSpaceDE w:val="0"/>
        <w:autoSpaceDN w:val="0"/>
        <w:adjustRightInd w:val="0"/>
        <w:spacing w:line="360" w:lineRule="auto"/>
        <w:jc w:val="both"/>
        <w:rPr>
          <w:rFonts w:ascii="Palatino Linotype" w:eastAsiaTheme="minorHAnsi" w:hAnsi="Palatino Linotype" w:cs="Arial"/>
          <w:bCs/>
          <w:lang w:val="es-MX" w:eastAsia="en-US"/>
        </w:rPr>
      </w:pPr>
      <w:r w:rsidRPr="005664AC">
        <w:rPr>
          <w:rFonts w:ascii="Palatino Linotype" w:eastAsiaTheme="minorHAnsi" w:hAnsi="Palatino Linotype" w:cs="Arial"/>
          <w:bCs/>
          <w:lang w:val="es-MX" w:eastAsia="en-U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AB4749" w:rsidRPr="005664AC" w:rsidRDefault="00AB4749" w:rsidP="00AB4749">
      <w:pPr>
        <w:autoSpaceDE w:val="0"/>
        <w:autoSpaceDN w:val="0"/>
        <w:adjustRightInd w:val="0"/>
        <w:spacing w:line="360" w:lineRule="auto"/>
        <w:jc w:val="both"/>
        <w:rPr>
          <w:rFonts w:ascii="Palatino Linotype" w:eastAsiaTheme="minorHAnsi" w:hAnsi="Palatino Linotype" w:cs="Arial"/>
          <w:bCs/>
          <w:lang w:val="es-MX" w:eastAsia="en-US"/>
        </w:rPr>
      </w:pPr>
    </w:p>
    <w:p w:rsidR="00AB4749" w:rsidRDefault="00AB4749" w:rsidP="00AB4749">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lastRenderedPageBreak/>
        <w:t xml:space="preserve">Anterior a todo debe destacarse que </w:t>
      </w:r>
      <w:r>
        <w:rPr>
          <w:rFonts w:ascii="Palatino Linotype" w:eastAsiaTheme="minorHAnsi" w:hAnsi="Palatino Linotype" w:cs="Arial"/>
          <w:lang w:val="es-MX" w:eastAsia="en-US"/>
        </w:rPr>
        <w:t>los</w:t>
      </w:r>
      <w:r w:rsidRPr="005664AC">
        <w:rPr>
          <w:rFonts w:ascii="Palatino Linotype" w:eastAsiaTheme="minorHAnsi" w:hAnsi="Palatino Linotype" w:cs="Arial"/>
          <w:lang w:val="es-MX" w:eastAsia="en-US"/>
        </w:rPr>
        <w:t xml:space="preserve"> recurso</w:t>
      </w:r>
      <w:r>
        <w:rPr>
          <w:rFonts w:ascii="Palatino Linotype" w:eastAsiaTheme="minorHAnsi" w:hAnsi="Palatino Linotype" w:cs="Arial"/>
          <w:lang w:val="es-MX" w:eastAsia="en-US"/>
        </w:rPr>
        <w:t>s</w:t>
      </w:r>
      <w:r w:rsidRPr="005664AC">
        <w:rPr>
          <w:rFonts w:ascii="Palatino Linotype" w:eastAsiaTheme="minorHAnsi" w:hAnsi="Palatino Linotype" w:cs="Arial"/>
          <w:lang w:val="es-MX" w:eastAsia="en-US"/>
        </w:rPr>
        <w:t xml:space="preserve">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B4749" w:rsidRDefault="00AB4749" w:rsidP="00AB474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r w:rsidRPr="00D84B8A">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t>“</w:t>
      </w:r>
      <w:r w:rsidRPr="00D84B8A">
        <w:rPr>
          <w:rFonts w:ascii="Palatino Linotype" w:eastAsiaTheme="minorHAnsi" w:hAnsi="Palatino Linotype" w:cs="Arial"/>
          <w:b/>
          <w:i/>
          <w:sz w:val="22"/>
          <w:lang w:val="es-MX" w:eastAsia="en-US"/>
        </w:rPr>
        <w:t>Artículo 180</w:t>
      </w:r>
      <w:r w:rsidRPr="00D84B8A">
        <w:rPr>
          <w:rFonts w:ascii="Palatino Linotype" w:eastAsiaTheme="minorHAnsi" w:hAnsi="Palatino Linotype" w:cs="Arial"/>
          <w:i/>
          <w:sz w:val="22"/>
          <w:lang w:val="es-MX" w:eastAsia="en-US"/>
        </w:rPr>
        <w:t xml:space="preserve">. El recurso de revisión contendrá: </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b/>
          <w:i/>
          <w:sz w:val="22"/>
          <w:lang w:val="es-MX" w:eastAsia="en-US"/>
        </w:rPr>
        <w:t>I</w:t>
      </w:r>
      <w:r w:rsidRPr="00D84B8A">
        <w:rPr>
          <w:rFonts w:ascii="Palatino Linotype" w:eastAsiaTheme="minorHAnsi" w:hAnsi="Palatino Linotype" w:cs="Arial"/>
          <w:i/>
          <w:sz w:val="22"/>
          <w:lang w:val="es-MX" w:eastAsia="en-US"/>
        </w:rPr>
        <w:t xml:space="preserve">. El Sujeto Obligado ante la cual se presentó la solicitud; </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b/>
          <w:i/>
          <w:sz w:val="22"/>
          <w:lang w:val="es-MX" w:eastAsia="en-US"/>
        </w:rPr>
        <w:t>II</w:t>
      </w:r>
      <w:r w:rsidRPr="00D84B8A">
        <w:rPr>
          <w:rFonts w:ascii="Palatino Linotype" w:eastAsiaTheme="minorHAnsi" w:hAnsi="Palatino Linotype" w:cs="Arial"/>
          <w:i/>
          <w:sz w:val="22"/>
          <w:lang w:val="es-MX" w:eastAsia="en-US"/>
        </w:rPr>
        <w:t xml:space="preserve">. </w:t>
      </w:r>
      <w:r w:rsidRPr="00D84B8A">
        <w:rPr>
          <w:rFonts w:ascii="Palatino Linotype" w:eastAsiaTheme="minorHAnsi" w:hAnsi="Palatino Linotype" w:cs="Arial"/>
          <w:i/>
          <w:sz w:val="22"/>
          <w:u w:val="single"/>
          <w:lang w:val="es-MX" w:eastAsia="en-US"/>
        </w:rPr>
        <w:t>El nombre del solicitante</w:t>
      </w:r>
      <w:r w:rsidRPr="00D84B8A">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b/>
          <w:i/>
          <w:sz w:val="22"/>
          <w:lang w:val="es-MX" w:eastAsia="en-US"/>
        </w:rPr>
        <w:t>III</w:t>
      </w:r>
      <w:r w:rsidRPr="00D84B8A">
        <w:rPr>
          <w:rFonts w:ascii="Palatino Linotype" w:eastAsiaTheme="minorHAnsi" w:hAnsi="Palatino Linotype" w:cs="Arial"/>
          <w:i/>
          <w:sz w:val="22"/>
          <w:lang w:val="es-MX" w:eastAsia="en-US"/>
        </w:rPr>
        <w:t xml:space="preserve">. El número de folio de respuesta de la solicitud de acceso; </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b/>
          <w:i/>
          <w:sz w:val="22"/>
          <w:lang w:val="es-MX" w:eastAsia="en-US"/>
        </w:rPr>
        <w:t>IV</w:t>
      </w:r>
      <w:r w:rsidRPr="00D84B8A">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b/>
          <w:i/>
          <w:sz w:val="22"/>
          <w:lang w:val="es-MX" w:eastAsia="en-US"/>
        </w:rPr>
        <w:t>V</w:t>
      </w:r>
      <w:r w:rsidRPr="00D84B8A">
        <w:rPr>
          <w:rFonts w:ascii="Palatino Linotype" w:eastAsiaTheme="minorHAnsi" w:hAnsi="Palatino Linotype" w:cs="Arial"/>
          <w:i/>
          <w:sz w:val="22"/>
          <w:lang w:val="es-MX" w:eastAsia="en-US"/>
        </w:rPr>
        <w:t xml:space="preserve">. El acto que se recurre; </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b/>
          <w:i/>
          <w:sz w:val="22"/>
          <w:lang w:val="es-MX" w:eastAsia="en-US"/>
        </w:rPr>
        <w:t>VI</w:t>
      </w:r>
      <w:r w:rsidRPr="00D84B8A">
        <w:rPr>
          <w:rFonts w:ascii="Palatino Linotype" w:eastAsiaTheme="minorHAnsi" w:hAnsi="Palatino Linotype" w:cs="Arial"/>
          <w:i/>
          <w:sz w:val="22"/>
          <w:lang w:val="es-MX" w:eastAsia="en-US"/>
        </w:rPr>
        <w:t xml:space="preserve">. Las razones o motivos de inconformidad; </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b/>
          <w:i/>
          <w:sz w:val="22"/>
          <w:lang w:val="es-MX" w:eastAsia="en-US"/>
        </w:rPr>
        <w:t>VII</w:t>
      </w:r>
      <w:r w:rsidRPr="00D84B8A">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b/>
          <w:i/>
          <w:sz w:val="22"/>
          <w:lang w:val="es-MX" w:eastAsia="en-US"/>
        </w:rPr>
        <w:t>VIII</w:t>
      </w:r>
      <w:r w:rsidRPr="00D84B8A">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t xml:space="preserve">En ningún caso será necesario que el particular ratifique el recurso de revisión interpuesto. </w:t>
      </w:r>
    </w:p>
    <w:p w:rsidR="00D84B8A" w:rsidRPr="00D84B8A" w:rsidRDefault="00D84B8A" w:rsidP="00D84B8A">
      <w:pPr>
        <w:autoSpaceDE w:val="0"/>
        <w:autoSpaceDN w:val="0"/>
        <w:adjustRightInd w:val="0"/>
        <w:ind w:left="567" w:right="567"/>
        <w:jc w:val="both"/>
        <w:rPr>
          <w:rFonts w:ascii="Palatino Linotype" w:eastAsiaTheme="minorHAnsi" w:hAnsi="Palatino Linotype" w:cs="Arial"/>
          <w:sz w:val="22"/>
          <w:lang w:val="es-MX" w:eastAsia="en-US"/>
        </w:rPr>
      </w:pPr>
      <w:r w:rsidRPr="00D84B8A">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D84B8A" w:rsidRPr="00D84B8A" w:rsidRDefault="00D84B8A" w:rsidP="00D84B8A">
      <w:pPr>
        <w:autoSpaceDE w:val="0"/>
        <w:autoSpaceDN w:val="0"/>
        <w:adjustRightInd w:val="0"/>
        <w:ind w:left="567" w:right="567"/>
        <w:jc w:val="both"/>
        <w:rPr>
          <w:rFonts w:ascii="Palatino Linotype" w:eastAsiaTheme="minorHAnsi" w:hAnsi="Palatino Linotype" w:cs="Arial"/>
          <w:sz w:val="22"/>
          <w:lang w:val="es-MX" w:eastAsia="en-US"/>
        </w:rPr>
      </w:pPr>
    </w:p>
    <w:p w:rsidR="00D84B8A" w:rsidRPr="00D84B8A" w:rsidRDefault="00D84B8A" w:rsidP="00D84B8A">
      <w:pPr>
        <w:autoSpaceDE w:val="0"/>
        <w:autoSpaceDN w:val="0"/>
        <w:adjustRightInd w:val="0"/>
        <w:ind w:left="567" w:right="567"/>
        <w:jc w:val="right"/>
        <w:rPr>
          <w:rFonts w:ascii="Palatino Linotype" w:eastAsiaTheme="minorHAnsi" w:hAnsi="Palatino Linotype" w:cs="Arial"/>
          <w:sz w:val="22"/>
          <w:lang w:val="es-MX" w:eastAsia="en-US"/>
        </w:rPr>
      </w:pPr>
      <w:r w:rsidRPr="00D84B8A">
        <w:rPr>
          <w:rFonts w:ascii="Palatino Linotype" w:eastAsiaTheme="minorHAnsi" w:hAnsi="Palatino Linotype" w:cs="Arial"/>
          <w:sz w:val="22"/>
          <w:lang w:val="es-MX" w:eastAsia="en-US"/>
        </w:rPr>
        <w:t>(Énfasis añadido)</w:t>
      </w: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r w:rsidRPr="00D84B8A">
        <w:rPr>
          <w:rFonts w:ascii="Palatino Linotype" w:eastAsiaTheme="minorHAnsi" w:hAnsi="Palatino Linotype" w:cs="Arial"/>
          <w:lang w:val="es-MX" w:eastAsia="en-US"/>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D84B8A">
        <w:rPr>
          <w:rFonts w:ascii="Palatino Linotype" w:eastAsiaTheme="minorHAnsi" w:hAnsi="Palatino Linotype" w:cs="Arial"/>
          <w:b/>
          <w:lang w:val="es-MX" w:eastAsia="en-US"/>
        </w:rPr>
        <w:t>Recurrente</w:t>
      </w:r>
      <w:r w:rsidRPr="00D84B8A">
        <w:rPr>
          <w:rFonts w:ascii="Palatino Linotype" w:eastAsiaTheme="minorHAnsi" w:hAnsi="Palatino Linotype" w:cs="Arial"/>
          <w:lang w:val="es-MX" w:eastAsia="en-US"/>
        </w:rPr>
        <w:t xml:space="preserve">, en ejercicio de su derecho de acceso a la información pública, no proporcionó un nombre para que sea identificado, ya que en el apartado de “DATOS DEL SOLICITANTE”, señalo </w:t>
      </w:r>
      <w:r>
        <w:rPr>
          <w:rFonts w:ascii="Palatino Linotype" w:eastAsiaTheme="minorHAnsi" w:hAnsi="Palatino Linotype" w:cs="Arial"/>
          <w:lang w:val="es-MX" w:eastAsia="en-US"/>
        </w:rPr>
        <w:t xml:space="preserve">como </w:t>
      </w:r>
      <w:r w:rsidRPr="00D84B8A">
        <w:rPr>
          <w:rFonts w:ascii="Palatino Linotype" w:eastAsiaTheme="minorHAnsi" w:hAnsi="Palatino Linotype" w:cs="Arial"/>
          <w:lang w:val="es-MX" w:eastAsia="en-US"/>
        </w:rPr>
        <w:t>seudónimo con el cual desee identificarse</w:t>
      </w:r>
      <w:r>
        <w:rPr>
          <w:rFonts w:ascii="Palatino Linotype" w:eastAsiaTheme="minorHAnsi" w:hAnsi="Palatino Linotype" w:cs="Arial"/>
          <w:lang w:val="es-MX" w:eastAsia="en-US"/>
        </w:rPr>
        <w:t xml:space="preserve"> el de “</w:t>
      </w:r>
      <w:r w:rsidR="003945F1">
        <w:rPr>
          <w:rFonts w:ascii="Palatino Linotype" w:eastAsiaTheme="minorHAnsi" w:hAnsi="Palatino Linotype" w:cs="Arial"/>
          <w:b/>
          <w:lang w:val="es-MX" w:eastAsia="en-US"/>
        </w:rPr>
        <w:t>XXXXXXXXXXXXXXXXXXXXX</w:t>
      </w:r>
      <w:r>
        <w:rPr>
          <w:rFonts w:ascii="Palatino Linotype" w:eastAsiaTheme="minorHAnsi" w:hAnsi="Palatino Linotype" w:cs="Arial"/>
          <w:lang w:val="es-MX" w:eastAsia="en-US"/>
        </w:rPr>
        <w:t>”</w:t>
      </w:r>
      <w:r w:rsidRPr="00D84B8A">
        <w:rPr>
          <w:rFonts w:ascii="Palatino Linotype" w:eastAsiaTheme="minorHAnsi" w:hAnsi="Palatino Linotype" w:cs="Arial"/>
          <w:lang w:val="es-MX" w:eastAsia="en-US"/>
        </w:rPr>
        <w:t>, por lo que no tiene certeza sobre su identidad, lo que en estricto sentido, no se colmarían los requisitos establecidos en el citado artículo 180 de la Ley de Transparencia.</w:t>
      </w: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r w:rsidRPr="00D84B8A">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D84B8A">
        <w:rPr>
          <w:rFonts w:ascii="Palatino Linotype" w:eastAsiaTheme="minorHAnsi" w:hAnsi="Palatino Linotype" w:cs="Arial"/>
          <w:i/>
          <w:lang w:val="es-MX" w:eastAsia="en-US"/>
        </w:rPr>
        <w:t>sine qua non</w:t>
      </w:r>
      <w:r w:rsidRPr="00D84B8A">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p>
    <w:p w:rsid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r w:rsidRPr="00D84B8A">
        <w:rPr>
          <w:rFonts w:ascii="Palatino Linotype" w:eastAsiaTheme="minorHAnsi" w:hAnsi="Palatino Linotype" w:cs="Arial"/>
          <w:lang w:val="es-MX" w:eastAsia="en-US"/>
        </w:rPr>
        <w:t xml:space="preserve">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w:t>
      </w:r>
      <w:r w:rsidRPr="00D84B8A">
        <w:rPr>
          <w:rFonts w:ascii="Palatino Linotype" w:eastAsiaTheme="minorHAnsi" w:hAnsi="Palatino Linotype" w:cs="Arial"/>
          <w:lang w:val="es-MX" w:eastAsia="en-US"/>
        </w:rPr>
        <w:lastRenderedPageBreak/>
        <w:t>acreditar interés alguno o justificar su utilización, tendrá acceso gratuito a la información pública; preceptos cuyo texto y sentido literal es el siguiente:</w:t>
      </w: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p>
    <w:p w:rsidR="00D84B8A" w:rsidRPr="00D84B8A" w:rsidRDefault="00D84B8A" w:rsidP="00D84B8A">
      <w:pPr>
        <w:autoSpaceDE w:val="0"/>
        <w:autoSpaceDN w:val="0"/>
        <w:adjustRightInd w:val="0"/>
        <w:jc w:val="center"/>
        <w:rPr>
          <w:rFonts w:ascii="Palatino Linotype" w:eastAsiaTheme="minorHAnsi" w:hAnsi="Palatino Linotype" w:cs="Arial"/>
          <w:b/>
          <w:i/>
          <w:sz w:val="22"/>
          <w:szCs w:val="22"/>
          <w:lang w:val="es-MX" w:eastAsia="en-US"/>
        </w:rPr>
      </w:pPr>
      <w:r w:rsidRPr="00D84B8A">
        <w:rPr>
          <w:rFonts w:ascii="Palatino Linotype" w:eastAsiaTheme="minorHAnsi" w:hAnsi="Palatino Linotype" w:cs="Arial"/>
          <w:b/>
          <w:i/>
          <w:sz w:val="22"/>
          <w:szCs w:val="22"/>
          <w:lang w:val="es-MX" w:eastAsia="en-US"/>
        </w:rPr>
        <w:t>Constitución Política de los Estados Unidos Mexicanos</w:t>
      </w:r>
    </w:p>
    <w:p w:rsidR="00D84B8A" w:rsidRPr="00D84B8A" w:rsidRDefault="00D84B8A" w:rsidP="00D84B8A">
      <w:pPr>
        <w:autoSpaceDE w:val="0"/>
        <w:autoSpaceDN w:val="0"/>
        <w:adjustRightInd w:val="0"/>
        <w:jc w:val="both"/>
        <w:rPr>
          <w:rFonts w:ascii="Palatino Linotype" w:eastAsiaTheme="minorHAnsi" w:hAnsi="Palatino Linotype" w:cs="Arial"/>
          <w:sz w:val="22"/>
          <w:szCs w:val="22"/>
          <w:lang w:val="es-MX" w:eastAsia="en-US"/>
        </w:rPr>
      </w:pP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szCs w:val="22"/>
          <w:lang w:val="es-MX" w:eastAsia="en-US"/>
        </w:rPr>
      </w:pPr>
      <w:r w:rsidRPr="00D84B8A">
        <w:rPr>
          <w:rFonts w:ascii="Palatino Linotype" w:eastAsiaTheme="minorHAnsi" w:hAnsi="Palatino Linotype" w:cs="Arial"/>
          <w:i/>
          <w:sz w:val="22"/>
          <w:szCs w:val="22"/>
          <w:lang w:val="es-MX" w:eastAsia="en-US"/>
        </w:rPr>
        <w:t>“</w:t>
      </w:r>
      <w:r w:rsidRPr="00D84B8A">
        <w:rPr>
          <w:rFonts w:ascii="Palatino Linotype" w:eastAsiaTheme="minorHAnsi" w:hAnsi="Palatino Linotype" w:cs="Arial"/>
          <w:b/>
          <w:i/>
          <w:sz w:val="22"/>
          <w:szCs w:val="22"/>
          <w:lang w:val="es-MX" w:eastAsia="en-US"/>
        </w:rPr>
        <w:t>Artículo 6o</w:t>
      </w:r>
      <w:r w:rsidRPr="00D84B8A">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t>Para efectos de lo dispuesto en el presente artículo se observará lo siguiente:</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b/>
          <w:i/>
          <w:sz w:val="22"/>
          <w:lang w:val="es-MX" w:eastAsia="en-US"/>
        </w:rPr>
        <w:t>A</w:t>
      </w:r>
      <w:r w:rsidRPr="00D84B8A">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b/>
          <w:i/>
          <w:sz w:val="22"/>
          <w:lang w:val="es-MX" w:eastAsia="en-US"/>
        </w:rPr>
        <w:t>I</w:t>
      </w:r>
      <w:r w:rsidRPr="00D84B8A">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t>…</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b/>
          <w:i/>
          <w:sz w:val="22"/>
          <w:lang w:val="es-MX" w:eastAsia="en-US"/>
        </w:rPr>
        <w:t>III.</w:t>
      </w:r>
      <w:r w:rsidRPr="00D84B8A">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t>…</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b/>
          <w:i/>
          <w:sz w:val="22"/>
          <w:lang w:val="es-MX" w:eastAsia="en-US"/>
        </w:rPr>
        <w:t>V</w:t>
      </w:r>
      <w:r w:rsidRPr="00D84B8A">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b/>
          <w:i/>
          <w:sz w:val="22"/>
          <w:lang w:val="es-MX" w:eastAsia="en-US"/>
        </w:rPr>
        <w:t>VI.</w:t>
      </w:r>
      <w:r w:rsidRPr="00D84B8A">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t>…</w:t>
      </w:r>
    </w:p>
    <w:p w:rsid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lastRenderedPageBreak/>
        <w:t>La ley establecerá aquella información que se considere reservada o confidencial.</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p>
    <w:p w:rsidR="00D84B8A" w:rsidRPr="00D84B8A" w:rsidRDefault="00D84B8A" w:rsidP="00D84B8A">
      <w:pPr>
        <w:autoSpaceDE w:val="0"/>
        <w:autoSpaceDN w:val="0"/>
        <w:adjustRightInd w:val="0"/>
        <w:ind w:left="567" w:right="567"/>
        <w:jc w:val="center"/>
        <w:rPr>
          <w:rFonts w:ascii="Palatino Linotype" w:eastAsiaTheme="minorHAnsi" w:hAnsi="Palatino Linotype" w:cs="Arial"/>
          <w:b/>
          <w:i/>
          <w:sz w:val="22"/>
          <w:lang w:val="es-MX" w:eastAsia="en-US"/>
        </w:rPr>
      </w:pPr>
      <w:r w:rsidRPr="00D84B8A">
        <w:rPr>
          <w:rFonts w:ascii="Palatino Linotype" w:eastAsiaTheme="minorHAnsi" w:hAnsi="Palatino Linotype" w:cs="Arial"/>
          <w:b/>
          <w:i/>
          <w:sz w:val="22"/>
          <w:lang w:val="es-MX" w:eastAsia="en-US"/>
        </w:rPr>
        <w:t>Constitución Política del Estado Libre y Soberano de México</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t>“</w:t>
      </w:r>
      <w:r w:rsidRPr="00D84B8A">
        <w:rPr>
          <w:rFonts w:ascii="Palatino Linotype" w:eastAsiaTheme="minorHAnsi" w:hAnsi="Palatino Linotype" w:cs="Arial"/>
          <w:b/>
          <w:i/>
          <w:sz w:val="22"/>
          <w:lang w:val="es-MX" w:eastAsia="en-US"/>
        </w:rPr>
        <w:t>Artículo 5</w:t>
      </w:r>
      <w:r w:rsidRPr="00D84B8A">
        <w:rPr>
          <w:rFonts w:ascii="Palatino Linotype" w:eastAsiaTheme="minorHAnsi" w:hAnsi="Palatino Linotype" w:cs="Arial"/>
          <w:i/>
          <w:sz w:val="22"/>
          <w:lang w:val="es-MX" w:eastAsia="en-US"/>
        </w:rPr>
        <w:t xml:space="preserve">. … </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t>…</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t>Este derecho se regirá por los principios y bases siguientes:</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b/>
          <w:i/>
          <w:sz w:val="22"/>
          <w:lang w:val="es-MX" w:eastAsia="en-US"/>
        </w:rPr>
        <w:t>I</w:t>
      </w:r>
      <w:r w:rsidRPr="00D84B8A">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t>…</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b/>
          <w:i/>
          <w:sz w:val="22"/>
          <w:lang w:val="es-MX" w:eastAsia="en-US"/>
        </w:rPr>
        <w:t>III</w:t>
      </w:r>
      <w:r w:rsidRPr="00D84B8A">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D84B8A" w:rsidRPr="00D84B8A" w:rsidRDefault="00D84B8A" w:rsidP="00D84B8A">
      <w:pPr>
        <w:autoSpaceDE w:val="0"/>
        <w:autoSpaceDN w:val="0"/>
        <w:adjustRightInd w:val="0"/>
        <w:ind w:left="567" w:right="567"/>
        <w:jc w:val="right"/>
        <w:rPr>
          <w:rFonts w:ascii="Palatino Linotype" w:eastAsiaTheme="minorHAnsi" w:hAnsi="Palatino Linotype" w:cs="Arial"/>
          <w:sz w:val="22"/>
          <w:lang w:val="es-MX" w:eastAsia="en-US"/>
        </w:rPr>
      </w:pPr>
      <w:r w:rsidRPr="00D84B8A">
        <w:rPr>
          <w:rFonts w:ascii="Palatino Linotype" w:eastAsiaTheme="minorHAnsi" w:hAnsi="Palatino Linotype" w:cs="Arial"/>
          <w:sz w:val="22"/>
          <w:lang w:val="es-MX" w:eastAsia="en-US"/>
        </w:rPr>
        <w:t>(Énfasis añadido)</w:t>
      </w: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r w:rsidRPr="00D84B8A">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t>“</w:t>
      </w:r>
      <w:r w:rsidRPr="00D84B8A">
        <w:rPr>
          <w:rFonts w:ascii="Palatino Linotype" w:eastAsiaTheme="minorHAnsi" w:hAnsi="Palatino Linotype" w:cs="Arial"/>
          <w:b/>
          <w:i/>
          <w:sz w:val="22"/>
          <w:lang w:val="es-MX" w:eastAsia="en-US"/>
        </w:rPr>
        <w:t>Artículo 1o.</w:t>
      </w:r>
      <w:r w:rsidRPr="00D84B8A">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lastRenderedPageBreak/>
        <w:t>Las normas relativas a los derechos humanos se interpretarán de conformidad con esta Constitución y con los tratados internacionales de la materia favoreciendo en todo tiempo a las personas la protección más amplia.</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r w:rsidRPr="00D84B8A">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r w:rsidRPr="00D84B8A">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2"/>
          <w:lang w:val="es-MX" w:eastAsia="en-US"/>
        </w:rPr>
      </w:pPr>
      <w:r w:rsidRPr="00D84B8A">
        <w:rPr>
          <w:rFonts w:ascii="Palatino Linotype" w:eastAsiaTheme="minorHAnsi" w:hAnsi="Palatino Linotype" w:cs="Arial"/>
          <w:i/>
          <w:sz w:val="22"/>
          <w:lang w:val="es-MX" w:eastAsia="en-US"/>
        </w:rPr>
        <w:t>“</w:t>
      </w:r>
      <w:r w:rsidRPr="00D84B8A">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D84B8A">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w:t>
      </w:r>
      <w:r w:rsidRPr="00D84B8A">
        <w:rPr>
          <w:rFonts w:ascii="Palatino Linotype" w:eastAsiaTheme="minorHAnsi" w:hAnsi="Palatino Linotype" w:cs="Arial"/>
          <w:i/>
          <w:sz w:val="22"/>
          <w:lang w:val="es-MX" w:eastAsia="en-US"/>
        </w:rPr>
        <w:lastRenderedPageBreak/>
        <w:t>asegurarse de que, en su caso, se haya cubierto el pago de reproducción y envío de la información, mediante la exhibición del recibo correspondiente.</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0"/>
          <w:lang w:val="es-MX" w:eastAsia="en-US"/>
        </w:rPr>
      </w:pPr>
      <w:r w:rsidRPr="00D84B8A">
        <w:rPr>
          <w:rFonts w:ascii="Palatino Linotype" w:eastAsiaTheme="minorHAnsi" w:hAnsi="Palatino Linotype" w:cs="Arial"/>
          <w:i/>
          <w:sz w:val="20"/>
          <w:lang w:val="es-MX" w:eastAsia="en-US"/>
        </w:rPr>
        <w:t>Resoluciones</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0"/>
          <w:lang w:val="es-MX" w:eastAsia="en-US"/>
        </w:rPr>
      </w:pPr>
      <w:r w:rsidRPr="00D84B8A">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0"/>
          <w:lang w:val="es-MX" w:eastAsia="en-US"/>
        </w:rPr>
      </w:pPr>
      <w:r w:rsidRPr="00D84B8A">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D84B8A">
        <w:rPr>
          <w:rFonts w:ascii="Palatino Linotype" w:eastAsiaTheme="minorHAnsi" w:hAnsi="Palatino Linotype" w:cs="Arial"/>
          <w:i/>
          <w:sz w:val="20"/>
          <w:lang w:val="es-MX" w:eastAsia="en-US"/>
        </w:rPr>
        <w:t>Laveaga</w:t>
      </w:r>
      <w:proofErr w:type="spellEnd"/>
      <w:r w:rsidRPr="00D84B8A">
        <w:rPr>
          <w:rFonts w:ascii="Palatino Linotype" w:eastAsiaTheme="minorHAnsi" w:hAnsi="Palatino Linotype" w:cs="Arial"/>
          <w:i/>
          <w:sz w:val="20"/>
          <w:lang w:val="es-MX" w:eastAsia="en-US"/>
        </w:rPr>
        <w:t xml:space="preserve"> Rendón.</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0"/>
          <w:lang w:val="es-MX" w:eastAsia="en-US"/>
        </w:rPr>
      </w:pPr>
      <w:r w:rsidRPr="00D84B8A">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D84B8A">
        <w:rPr>
          <w:rFonts w:ascii="Palatino Linotype" w:eastAsiaTheme="minorHAnsi" w:hAnsi="Palatino Linotype" w:cs="Arial"/>
          <w:i/>
          <w:sz w:val="20"/>
          <w:lang w:val="es-MX" w:eastAsia="en-US"/>
        </w:rPr>
        <w:t>Arzt</w:t>
      </w:r>
      <w:proofErr w:type="spellEnd"/>
      <w:r w:rsidRPr="00D84B8A">
        <w:rPr>
          <w:rFonts w:ascii="Palatino Linotype" w:eastAsiaTheme="minorHAnsi" w:hAnsi="Palatino Linotype" w:cs="Arial"/>
          <w:i/>
          <w:sz w:val="20"/>
          <w:lang w:val="es-MX" w:eastAsia="en-US"/>
        </w:rPr>
        <w:t xml:space="preserve"> Colunga.</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0"/>
          <w:lang w:val="es-MX" w:eastAsia="en-US"/>
        </w:rPr>
      </w:pPr>
      <w:r w:rsidRPr="00D84B8A">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D84B8A" w:rsidRPr="00D84B8A" w:rsidRDefault="00D84B8A" w:rsidP="00D84B8A">
      <w:pPr>
        <w:autoSpaceDE w:val="0"/>
        <w:autoSpaceDN w:val="0"/>
        <w:adjustRightInd w:val="0"/>
        <w:ind w:left="567" w:right="567"/>
        <w:jc w:val="both"/>
        <w:rPr>
          <w:rFonts w:ascii="Palatino Linotype" w:eastAsiaTheme="minorHAnsi" w:hAnsi="Palatino Linotype" w:cs="Arial"/>
          <w:i/>
          <w:sz w:val="20"/>
          <w:lang w:val="es-MX" w:eastAsia="en-US"/>
        </w:rPr>
      </w:pPr>
      <w:r w:rsidRPr="00D84B8A">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D84B8A">
        <w:rPr>
          <w:rFonts w:ascii="Palatino Linotype" w:eastAsiaTheme="minorHAnsi" w:hAnsi="Palatino Linotype" w:cs="Arial"/>
          <w:i/>
          <w:sz w:val="20"/>
          <w:lang w:val="es-MX" w:eastAsia="en-US"/>
        </w:rPr>
        <w:t>Peschard</w:t>
      </w:r>
      <w:proofErr w:type="spellEnd"/>
      <w:r w:rsidRPr="00D84B8A">
        <w:rPr>
          <w:rFonts w:ascii="Palatino Linotype" w:eastAsiaTheme="minorHAnsi" w:hAnsi="Palatino Linotype" w:cs="Arial"/>
          <w:i/>
          <w:sz w:val="20"/>
          <w:lang w:val="es-MX" w:eastAsia="en-US"/>
        </w:rPr>
        <w:t xml:space="preserve"> Mariscal.”</w:t>
      </w: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r w:rsidRPr="00D84B8A">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D84B8A">
        <w:rPr>
          <w:rFonts w:ascii="Palatino Linotype" w:eastAsiaTheme="minorHAnsi" w:hAnsi="Palatino Linotype" w:cs="Arial"/>
          <w:b/>
          <w:lang w:val="es-MX" w:eastAsia="en-US"/>
        </w:rPr>
        <w:t>Recurrente</w:t>
      </w:r>
      <w:r w:rsidRPr="00D84B8A">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r w:rsidRPr="00D84B8A">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r w:rsidRPr="00D84B8A">
        <w:rPr>
          <w:rFonts w:ascii="Palatino Linotype" w:eastAsiaTheme="minorHAnsi" w:hAnsi="Palatino Linotype" w:cs="Arial"/>
          <w:lang w:val="es-MX" w:eastAsia="en-US"/>
        </w:rPr>
        <w:lastRenderedPageBreak/>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p>
    <w:p w:rsidR="00D84B8A" w:rsidRPr="00D84B8A" w:rsidRDefault="00D84B8A" w:rsidP="00D84B8A">
      <w:pPr>
        <w:autoSpaceDE w:val="0"/>
        <w:autoSpaceDN w:val="0"/>
        <w:adjustRightInd w:val="0"/>
        <w:spacing w:line="360" w:lineRule="auto"/>
        <w:jc w:val="both"/>
        <w:rPr>
          <w:rFonts w:ascii="Palatino Linotype" w:eastAsiaTheme="minorHAnsi" w:hAnsi="Palatino Linotype" w:cs="Arial"/>
          <w:lang w:val="es-MX" w:eastAsia="en-US"/>
        </w:rPr>
      </w:pPr>
      <w:r w:rsidRPr="00D84B8A">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D84B8A" w:rsidRPr="00D84B8A" w:rsidRDefault="00D84B8A" w:rsidP="00AB474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MX" w:eastAsia="es-MX"/>
        </w:rPr>
      </w:pPr>
    </w:p>
    <w:p w:rsidR="00320792" w:rsidRPr="00320792" w:rsidRDefault="00320792" w:rsidP="00320792">
      <w:pPr>
        <w:spacing w:line="360" w:lineRule="auto"/>
        <w:jc w:val="both"/>
        <w:rPr>
          <w:rFonts w:ascii="Palatino Linotype" w:eastAsiaTheme="minorEastAsia" w:hAnsi="Palatino Linotype" w:cs="Arial"/>
          <w:b/>
          <w:sz w:val="28"/>
          <w:szCs w:val="28"/>
          <w:lang w:val="es-ES_tradnl"/>
        </w:rPr>
      </w:pPr>
      <w:r w:rsidRPr="00320792">
        <w:rPr>
          <w:rFonts w:ascii="Palatino Linotype" w:eastAsiaTheme="minorEastAsia" w:hAnsi="Palatino Linotype" w:cs="Arial"/>
          <w:b/>
          <w:sz w:val="28"/>
          <w:szCs w:val="28"/>
          <w:lang w:val="es-ES_tradnl"/>
        </w:rPr>
        <w:t>TERCERO. Del estudio de las causas de improcedencia y sobreseimiento.</w:t>
      </w:r>
    </w:p>
    <w:p w:rsidR="00320792" w:rsidRPr="00320792" w:rsidRDefault="00320792" w:rsidP="00320792">
      <w:pPr>
        <w:autoSpaceDE w:val="0"/>
        <w:autoSpaceDN w:val="0"/>
        <w:adjustRightInd w:val="0"/>
        <w:spacing w:line="360" w:lineRule="auto"/>
        <w:contextualSpacing/>
        <w:jc w:val="both"/>
        <w:rPr>
          <w:rFonts w:ascii="Palatino Linotype" w:eastAsiaTheme="minorEastAsia" w:hAnsi="Palatino Linotype" w:cs="Arial"/>
          <w:lang w:val="es-ES_tradnl"/>
        </w:rPr>
      </w:pPr>
      <w:r w:rsidRPr="00320792">
        <w:rPr>
          <w:rFonts w:ascii="Palatino Linotype" w:eastAsiaTheme="minorEastAsia" w:hAnsi="Palatino Linotype" w:cs="Arial"/>
          <w:lang w:val="es-ES_tradn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sidRPr="00320792">
        <w:rPr>
          <w:rFonts w:ascii="Palatino Linotype" w:eastAsiaTheme="minorEastAsia" w:hAnsi="Palatino Linotype" w:cs="Arial"/>
          <w:lang w:val="es-ES_tradnl"/>
        </w:rPr>
        <w:lastRenderedPageBreak/>
        <w:t>y Acceso a la Información Pública del Estado de México y Municipios, en correlación con la seguridad jurídica que debe generar lo actuado ante este Organismo Garante.</w:t>
      </w:r>
    </w:p>
    <w:p w:rsidR="00320792" w:rsidRPr="00320792" w:rsidRDefault="00320792" w:rsidP="00320792">
      <w:pPr>
        <w:autoSpaceDE w:val="0"/>
        <w:autoSpaceDN w:val="0"/>
        <w:adjustRightInd w:val="0"/>
        <w:spacing w:line="360" w:lineRule="auto"/>
        <w:contextualSpacing/>
        <w:jc w:val="both"/>
        <w:rPr>
          <w:rFonts w:ascii="Palatino Linotype" w:eastAsiaTheme="minorEastAsia" w:hAnsi="Palatino Linotype" w:cs="Arial"/>
          <w:lang w:val="es-ES_tradnl"/>
        </w:rPr>
      </w:pPr>
    </w:p>
    <w:p w:rsidR="00320792" w:rsidRPr="00320792" w:rsidRDefault="00320792" w:rsidP="00320792">
      <w:pPr>
        <w:autoSpaceDE w:val="0"/>
        <w:autoSpaceDN w:val="0"/>
        <w:adjustRightInd w:val="0"/>
        <w:spacing w:line="360" w:lineRule="auto"/>
        <w:contextualSpacing/>
        <w:jc w:val="both"/>
        <w:rPr>
          <w:rFonts w:ascii="Palatino Linotype" w:eastAsiaTheme="minorEastAsia" w:hAnsi="Palatino Linotype" w:cs="Arial"/>
          <w:lang w:val="es-ES_tradnl"/>
        </w:rPr>
      </w:pPr>
      <w:r w:rsidRPr="00320792">
        <w:rPr>
          <w:rFonts w:ascii="Palatino Linotype" w:eastAsiaTheme="minorEastAsia" w:hAnsi="Palatino Linotype" w:cs="Arial"/>
          <w:lang w:val="es-ES_tradnl"/>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rsidR="00320792" w:rsidRPr="00320792" w:rsidRDefault="00320792" w:rsidP="00320792">
      <w:pPr>
        <w:autoSpaceDE w:val="0"/>
        <w:autoSpaceDN w:val="0"/>
        <w:adjustRightInd w:val="0"/>
        <w:spacing w:line="360" w:lineRule="auto"/>
        <w:contextualSpacing/>
        <w:jc w:val="both"/>
        <w:rPr>
          <w:rFonts w:ascii="Palatino Linotype" w:eastAsiaTheme="minorEastAsia" w:hAnsi="Palatino Linotype" w:cs="Arial"/>
          <w:lang w:val="es-ES_tradnl"/>
        </w:rPr>
      </w:pPr>
    </w:p>
    <w:p w:rsidR="00320792" w:rsidRPr="00320792" w:rsidRDefault="00320792" w:rsidP="00320792">
      <w:pPr>
        <w:autoSpaceDE w:val="0"/>
        <w:autoSpaceDN w:val="0"/>
        <w:adjustRightInd w:val="0"/>
        <w:ind w:left="567" w:right="567"/>
        <w:contextualSpacing/>
        <w:jc w:val="both"/>
        <w:rPr>
          <w:rFonts w:ascii="Palatino Linotype" w:eastAsiaTheme="minorEastAsia" w:hAnsi="Palatino Linotype" w:cs="Arial"/>
          <w:i/>
          <w:sz w:val="22"/>
          <w:lang w:val="es-ES_tradnl"/>
        </w:rPr>
      </w:pPr>
      <w:r w:rsidRPr="00320792">
        <w:rPr>
          <w:rFonts w:ascii="Palatino Linotype" w:eastAsiaTheme="minorEastAsia" w:hAnsi="Palatino Linotype" w:cs="Arial"/>
          <w:i/>
          <w:sz w:val="22"/>
          <w:lang w:val="es-ES_tradnl"/>
        </w:rPr>
        <w:t>“</w:t>
      </w:r>
      <w:r w:rsidRPr="00320792">
        <w:rPr>
          <w:rFonts w:ascii="Palatino Linotype" w:eastAsiaTheme="minorEastAsia" w:hAnsi="Palatino Linotype" w:cs="Arial"/>
          <w:b/>
          <w:i/>
          <w:sz w:val="22"/>
          <w:lang w:val="es-ES_tradnl"/>
        </w:rPr>
        <w:t>IMPROCEDENCIA, CAUSALES DE. EN EL JUICIO DE AMPARO.</w:t>
      </w:r>
      <w:r w:rsidRPr="00320792">
        <w:rPr>
          <w:rFonts w:ascii="Palatino Linotype" w:eastAsiaTheme="minorEastAsia" w:hAnsi="Palatino Linotype" w:cs="Arial"/>
          <w:i/>
          <w:sz w:val="22"/>
          <w:lang w:val="es-ES_tradnl"/>
        </w:rPr>
        <w:t xml:space="preserve"> Las causales de improcedencia del juicio de amparo, por ser de orden público deben estudiarse previamente, lo aleguen o no las partes, cualquiera que sea la instancia”.</w:t>
      </w:r>
    </w:p>
    <w:p w:rsidR="00320792" w:rsidRPr="00320792" w:rsidRDefault="00320792" w:rsidP="00320792">
      <w:pPr>
        <w:autoSpaceDE w:val="0"/>
        <w:autoSpaceDN w:val="0"/>
        <w:adjustRightInd w:val="0"/>
        <w:spacing w:line="360" w:lineRule="auto"/>
        <w:contextualSpacing/>
        <w:jc w:val="both"/>
        <w:rPr>
          <w:rFonts w:ascii="Palatino Linotype" w:eastAsiaTheme="minorEastAsia" w:hAnsi="Palatino Linotype" w:cs="Arial"/>
          <w:lang w:val="es-ES_tradnl"/>
        </w:rPr>
      </w:pPr>
    </w:p>
    <w:p w:rsidR="00320792" w:rsidRPr="00320792" w:rsidRDefault="00320792" w:rsidP="00320792">
      <w:pPr>
        <w:autoSpaceDE w:val="0"/>
        <w:autoSpaceDN w:val="0"/>
        <w:adjustRightInd w:val="0"/>
        <w:spacing w:line="360" w:lineRule="auto"/>
        <w:contextualSpacing/>
        <w:jc w:val="both"/>
        <w:rPr>
          <w:rFonts w:ascii="Palatino Linotype" w:eastAsiaTheme="minorEastAsia" w:hAnsi="Palatino Linotype" w:cs="Arial"/>
          <w:lang w:val="es-ES_tradnl"/>
        </w:rPr>
      </w:pPr>
      <w:r w:rsidRPr="00320792">
        <w:rPr>
          <w:rFonts w:ascii="Palatino Linotype" w:eastAsiaTheme="minorEastAsia" w:hAnsi="Palatino Linotype" w:cs="Arial"/>
          <w:lang w:val="es-ES_tradn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w:t>
      </w:r>
      <w:r>
        <w:rPr>
          <w:rFonts w:ascii="Palatino Linotype" w:eastAsiaTheme="minorEastAsia" w:hAnsi="Palatino Linotype" w:cs="Arial"/>
          <w:lang w:val="es-ES_tradnl"/>
        </w:rPr>
        <w:t xml:space="preserve">órgano </w:t>
      </w:r>
      <w:r w:rsidRPr="00320792">
        <w:rPr>
          <w:rFonts w:ascii="Palatino Linotype" w:eastAsiaTheme="minorEastAsia" w:hAnsi="Palatino Linotype" w:cs="Arial"/>
          <w:lang w:val="es-ES_tradnl"/>
        </w:rPr>
        <w:t>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320792">
        <w:rPr>
          <w:rFonts w:ascii="Palatino Linotype" w:eastAsiaTheme="minorEastAsia" w:hAnsi="Palatino Linotype" w:cs="Arial"/>
          <w:vertAlign w:val="superscript"/>
          <w:lang w:val="es-ES_tradnl"/>
        </w:rPr>
        <w:footnoteReference w:id="1"/>
      </w:r>
      <w:r w:rsidRPr="00320792">
        <w:rPr>
          <w:rFonts w:ascii="Palatino Linotype" w:eastAsiaTheme="minorEastAsia" w:hAnsi="Palatino Linotype" w:cs="Arial"/>
          <w:lang w:val="es-ES_tradnl"/>
        </w:rPr>
        <w:t>.</w:t>
      </w:r>
    </w:p>
    <w:p w:rsidR="00320792" w:rsidRPr="00320792" w:rsidRDefault="00320792" w:rsidP="00320792">
      <w:pPr>
        <w:autoSpaceDE w:val="0"/>
        <w:autoSpaceDN w:val="0"/>
        <w:adjustRightInd w:val="0"/>
        <w:spacing w:line="360" w:lineRule="auto"/>
        <w:jc w:val="both"/>
        <w:rPr>
          <w:rFonts w:ascii="Palatino Linotype" w:eastAsiaTheme="minorEastAsia" w:hAnsi="Palatino Linotype" w:cs="Arial"/>
          <w:lang w:val="es-ES_tradnl"/>
        </w:rPr>
      </w:pPr>
      <w:r w:rsidRPr="00320792">
        <w:rPr>
          <w:rFonts w:ascii="Palatino Linotype" w:eastAsiaTheme="minorEastAsia" w:hAnsi="Palatino Linotype" w:cs="Arial"/>
          <w:lang w:val="es-ES_tradnl"/>
        </w:rPr>
        <w:lastRenderedPageBreak/>
        <w:t xml:space="preserve">En primer término es necesario hacer alusión a la solicitud de información ya que de ella deriva por un lado al procedimiento de acceso a la información ante el </w:t>
      </w:r>
      <w:r w:rsidRPr="00320792">
        <w:rPr>
          <w:rFonts w:ascii="Palatino Linotype" w:eastAsiaTheme="minorEastAsia" w:hAnsi="Palatino Linotype" w:cs="Arial"/>
          <w:b/>
          <w:lang w:val="es-ES_tradnl"/>
        </w:rPr>
        <w:t>Sujeto Obligado</w:t>
      </w:r>
      <w:r w:rsidRPr="00320792">
        <w:rPr>
          <w:rFonts w:ascii="Palatino Linotype" w:eastAsiaTheme="minorEastAsia" w:hAnsi="Palatino Linotype" w:cs="Arial"/>
          <w:lang w:val="es-ES_tradnl"/>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p>
    <w:p w:rsidR="00320792" w:rsidRPr="00320792" w:rsidRDefault="00320792" w:rsidP="00320792">
      <w:pPr>
        <w:autoSpaceDE w:val="0"/>
        <w:autoSpaceDN w:val="0"/>
        <w:adjustRightInd w:val="0"/>
        <w:spacing w:line="360" w:lineRule="auto"/>
        <w:jc w:val="both"/>
        <w:rPr>
          <w:rFonts w:ascii="Palatino Linotype" w:eastAsiaTheme="minorEastAsia" w:hAnsi="Palatino Linotype" w:cs="Arial"/>
          <w:lang w:val="es-ES_tradnl"/>
        </w:rPr>
      </w:pPr>
    </w:p>
    <w:p w:rsidR="00320792" w:rsidRPr="00320792" w:rsidRDefault="00320792" w:rsidP="00320792">
      <w:pPr>
        <w:autoSpaceDE w:val="0"/>
        <w:autoSpaceDN w:val="0"/>
        <w:adjustRightInd w:val="0"/>
        <w:spacing w:line="360" w:lineRule="auto"/>
        <w:jc w:val="both"/>
        <w:rPr>
          <w:rFonts w:ascii="Palatino Linotype" w:eastAsiaTheme="minorEastAsia" w:hAnsi="Palatino Linotype" w:cs="Arial"/>
          <w:lang w:val="es-ES_tradnl"/>
        </w:rPr>
      </w:pPr>
      <w:r w:rsidRPr="00320792">
        <w:rPr>
          <w:rFonts w:ascii="Palatino Linotype" w:eastAsiaTheme="minorEastAsia" w:hAnsi="Palatino Linotype" w:cs="Arial"/>
          <w:lang w:val="es-ES_tradnl"/>
        </w:rPr>
        <w:t xml:space="preserve">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320792">
        <w:rPr>
          <w:rFonts w:ascii="Palatino Linotype" w:eastAsiaTheme="minorEastAsia" w:hAnsi="Palatino Linotype" w:cs="Arial"/>
          <w:b/>
          <w:lang w:val="es-ES_tradnl"/>
        </w:rPr>
        <w:t>Sujeto Obligado</w:t>
      </w:r>
      <w:r w:rsidRPr="00320792">
        <w:rPr>
          <w:rFonts w:ascii="Palatino Linotype" w:eastAsiaTheme="minorEastAsia" w:hAnsi="Palatino Linotype" w:cs="Arial"/>
          <w:lang w:val="es-ES_tradnl"/>
        </w:rPr>
        <w:t xml:space="preserve"> puede considerar una circunstancia en particular diversa a la que el particular objetivamente requiere.</w:t>
      </w:r>
    </w:p>
    <w:p w:rsidR="00320792" w:rsidRPr="00320792" w:rsidRDefault="00320792" w:rsidP="00320792">
      <w:pPr>
        <w:autoSpaceDE w:val="0"/>
        <w:autoSpaceDN w:val="0"/>
        <w:adjustRightInd w:val="0"/>
        <w:spacing w:line="360" w:lineRule="auto"/>
        <w:jc w:val="both"/>
        <w:rPr>
          <w:rFonts w:ascii="Palatino Linotype" w:eastAsiaTheme="minorEastAsia" w:hAnsi="Palatino Linotype" w:cs="Arial"/>
          <w:lang w:val="es-ES_tradnl"/>
        </w:rPr>
      </w:pPr>
    </w:p>
    <w:p w:rsidR="00320792" w:rsidRPr="00320792" w:rsidRDefault="00320792" w:rsidP="00320792">
      <w:pPr>
        <w:autoSpaceDE w:val="0"/>
        <w:autoSpaceDN w:val="0"/>
        <w:adjustRightInd w:val="0"/>
        <w:spacing w:line="360" w:lineRule="auto"/>
        <w:jc w:val="both"/>
        <w:rPr>
          <w:rFonts w:ascii="Palatino Linotype" w:eastAsiaTheme="minorEastAsia" w:hAnsi="Palatino Linotype" w:cs="Arial"/>
          <w:lang w:val="es-ES_tradnl"/>
        </w:rPr>
      </w:pPr>
      <w:r w:rsidRPr="00320792">
        <w:rPr>
          <w:rFonts w:ascii="Palatino Linotype" w:eastAsiaTheme="minorEastAsia" w:hAnsi="Palatino Linotype" w:cs="Arial"/>
          <w:lang w:val="es-ES_tradnl"/>
        </w:rPr>
        <w:t xml:space="preserve">Ya que el planteamiento del problema es de toral importancia, a efecto de determinar la intención o voluntad del </w:t>
      </w:r>
      <w:r w:rsidRPr="00320792">
        <w:rPr>
          <w:rFonts w:ascii="Palatino Linotype" w:eastAsiaTheme="minorEastAsia" w:hAnsi="Palatino Linotype" w:cs="Arial"/>
          <w:b/>
          <w:lang w:val="es-ES_tradnl"/>
        </w:rPr>
        <w:t>Recurrente</w:t>
      </w:r>
      <w:r w:rsidRPr="00320792">
        <w:rPr>
          <w:rFonts w:ascii="Palatino Linotype" w:eastAsiaTheme="minorEastAsia" w:hAnsi="Palatino Linotype" w:cs="Arial"/>
          <w:lang w:val="es-ES_tradnl"/>
        </w:rPr>
        <w:t xml:space="preserve"> a la luz de la interpretación de la solicitud de información, y que puede generar de forma objetiva y material el </w:t>
      </w:r>
      <w:r w:rsidRPr="00320792">
        <w:rPr>
          <w:rFonts w:ascii="Palatino Linotype" w:eastAsiaTheme="minorEastAsia" w:hAnsi="Palatino Linotype" w:cs="Arial"/>
          <w:b/>
          <w:lang w:val="es-ES_tradnl"/>
        </w:rPr>
        <w:t>Sujeto Obligado</w:t>
      </w:r>
      <w:r w:rsidRPr="00320792">
        <w:rPr>
          <w:rFonts w:ascii="Palatino Linotype" w:eastAsiaTheme="minorEastAsia" w:hAnsi="Palatino Linotype" w:cs="Arial"/>
          <w:lang w:val="es-ES_tradnl"/>
        </w:rPr>
        <w:t xml:space="preserve"> que se relacione con esa intención, respecto del presente asunto se realiza a continuación.</w:t>
      </w:r>
    </w:p>
    <w:p w:rsidR="00AB4749" w:rsidRPr="00320792" w:rsidRDefault="00AB4749" w:rsidP="00AB4749">
      <w:pPr>
        <w:autoSpaceDE w:val="0"/>
        <w:autoSpaceDN w:val="0"/>
        <w:adjustRightInd w:val="0"/>
        <w:spacing w:line="360" w:lineRule="auto"/>
        <w:jc w:val="both"/>
        <w:rPr>
          <w:rFonts w:ascii="Palatino Linotype" w:hAnsi="Palatino Linotype" w:cs="Arial"/>
          <w:lang w:val="es-ES_tradnl"/>
        </w:rPr>
      </w:pPr>
    </w:p>
    <w:p w:rsidR="00AB4749" w:rsidRPr="007C033C" w:rsidRDefault="00AB4749" w:rsidP="007C033C">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En primer lugar, podemos </w:t>
      </w:r>
      <w:r w:rsidR="00320792">
        <w:rPr>
          <w:rFonts w:ascii="Palatino Linotype" w:hAnsi="Palatino Linotype" w:cs="Arial"/>
        </w:rPr>
        <w:t>establecer</w:t>
      </w:r>
      <w:r>
        <w:rPr>
          <w:rFonts w:ascii="Palatino Linotype" w:hAnsi="Palatino Linotype" w:cs="Arial"/>
        </w:rPr>
        <w:t xml:space="preserve"> que de</w:t>
      </w:r>
      <w:r w:rsidR="00320792">
        <w:rPr>
          <w:rFonts w:ascii="Palatino Linotype" w:hAnsi="Palatino Linotype" w:cs="Arial"/>
        </w:rPr>
        <w:t xml:space="preserve"> conformidad con</w:t>
      </w:r>
      <w:r>
        <w:rPr>
          <w:rFonts w:ascii="Palatino Linotype" w:hAnsi="Palatino Linotype" w:cs="Arial"/>
        </w:rPr>
        <w:t xml:space="preserve"> la redacción de la solicitud de información, </w:t>
      </w:r>
      <w:r w:rsidR="00320792">
        <w:rPr>
          <w:rFonts w:ascii="Palatino Linotype" w:hAnsi="Palatino Linotype" w:cs="Arial"/>
        </w:rPr>
        <w:t>se formula el requerimiento de información siguiente</w:t>
      </w:r>
      <w:r>
        <w:rPr>
          <w:rFonts w:ascii="Palatino Linotype" w:hAnsi="Palatino Linotype" w:cs="Arial"/>
        </w:rPr>
        <w:t>:</w:t>
      </w:r>
    </w:p>
    <w:p w:rsidR="00AB4749" w:rsidRDefault="00AB4749" w:rsidP="00AB4749">
      <w:pPr>
        <w:autoSpaceDE w:val="0"/>
        <w:autoSpaceDN w:val="0"/>
        <w:adjustRightInd w:val="0"/>
        <w:spacing w:line="360" w:lineRule="auto"/>
        <w:jc w:val="both"/>
        <w:rPr>
          <w:rFonts w:ascii="Palatino Linotype" w:hAnsi="Palatino Linotype" w:cs="Arial"/>
        </w:rPr>
      </w:pPr>
    </w:p>
    <w:p w:rsidR="00AF5F57" w:rsidRDefault="007C033C" w:rsidP="00AF5F57">
      <w:pPr>
        <w:pStyle w:val="Prrafodelista"/>
        <w:numPr>
          <w:ilvl w:val="0"/>
          <w:numId w:val="7"/>
        </w:numPr>
        <w:autoSpaceDE w:val="0"/>
        <w:autoSpaceDN w:val="0"/>
        <w:adjustRightInd w:val="0"/>
        <w:spacing w:line="360" w:lineRule="auto"/>
        <w:jc w:val="both"/>
        <w:rPr>
          <w:rFonts w:ascii="Palatino Linotype" w:hAnsi="Palatino Linotype" w:cs="Arial"/>
        </w:rPr>
      </w:pPr>
      <w:r w:rsidRPr="00AF5F57">
        <w:rPr>
          <w:rFonts w:ascii="Palatino Linotype" w:hAnsi="Palatino Linotype" w:cs="Arial"/>
        </w:rPr>
        <w:t>Ubicación de los conjuntos urbanos habitacionales autorizados existentes en su municipio a la fecha, representándolos mediante polígo</w:t>
      </w:r>
      <w:r w:rsidR="00C1600B">
        <w:rPr>
          <w:rFonts w:ascii="Palatino Linotype" w:hAnsi="Palatino Linotype" w:cs="Arial"/>
        </w:rPr>
        <w:t xml:space="preserve">no en formato digital </w:t>
      </w:r>
      <w:proofErr w:type="spellStart"/>
      <w:r w:rsidR="00C1600B" w:rsidRPr="007C7B8A">
        <w:rPr>
          <w:rFonts w:ascii="Palatino Linotype" w:hAnsi="Palatino Linotype" w:cs="Arial"/>
          <w:u w:val="single"/>
        </w:rPr>
        <w:t>kml</w:t>
      </w:r>
      <w:proofErr w:type="spellEnd"/>
      <w:r w:rsidR="00C1600B">
        <w:rPr>
          <w:rFonts w:ascii="Palatino Linotype" w:hAnsi="Palatino Linotype" w:cs="Arial"/>
        </w:rPr>
        <w:t xml:space="preserve"> o </w:t>
      </w:r>
      <w:proofErr w:type="spellStart"/>
      <w:r w:rsidR="00C1600B" w:rsidRPr="007C7B8A">
        <w:rPr>
          <w:rFonts w:ascii="Palatino Linotype" w:hAnsi="Palatino Linotype" w:cs="Arial"/>
          <w:u w:val="single"/>
        </w:rPr>
        <w:t>shp</w:t>
      </w:r>
      <w:proofErr w:type="spellEnd"/>
      <w:r w:rsidR="00C1600B">
        <w:rPr>
          <w:rFonts w:ascii="Palatino Linotype" w:hAnsi="Palatino Linotype" w:cs="Arial"/>
        </w:rPr>
        <w:t>,</w:t>
      </w:r>
      <w:r w:rsidRPr="00AF5F57">
        <w:rPr>
          <w:rFonts w:ascii="Palatino Linotype" w:hAnsi="Palatino Linotype" w:cs="Arial"/>
        </w:rPr>
        <w:t xml:space="preserve"> </w:t>
      </w:r>
      <w:r w:rsidR="00C1600B">
        <w:rPr>
          <w:rFonts w:ascii="Palatino Linotype" w:hAnsi="Palatino Linotype" w:cs="Arial"/>
        </w:rPr>
        <w:t>c</w:t>
      </w:r>
      <w:r w:rsidRPr="00AF5F57">
        <w:rPr>
          <w:rFonts w:ascii="Palatino Linotype" w:hAnsi="Palatino Linotype" w:cs="Arial"/>
        </w:rPr>
        <w:t>lasificados</w:t>
      </w:r>
      <w:r w:rsidR="00AF5F57">
        <w:rPr>
          <w:rFonts w:ascii="Palatino Linotype" w:hAnsi="Palatino Linotype" w:cs="Arial"/>
        </w:rPr>
        <w:t xml:space="preserve"> </w:t>
      </w:r>
      <w:r w:rsidR="00AF5F57" w:rsidRPr="00AF5F57">
        <w:rPr>
          <w:rFonts w:ascii="Palatino Linotype" w:hAnsi="Palatino Linotype" w:cs="Arial"/>
        </w:rPr>
        <w:t>de acuerdo al Artículo 50 del Reglamento del libro quinto del código administrativo del Estado de México</w:t>
      </w:r>
      <w:r w:rsidR="00AF5F57">
        <w:rPr>
          <w:rFonts w:ascii="Palatino Linotype" w:hAnsi="Palatino Linotype" w:cs="Arial"/>
        </w:rPr>
        <w:t>,</w:t>
      </w:r>
      <w:r w:rsidRPr="00AF5F57">
        <w:rPr>
          <w:rFonts w:ascii="Palatino Linotype" w:hAnsi="Palatino Linotype" w:cs="Arial"/>
        </w:rPr>
        <w:t xml:space="preserve"> de la siguiente manera. </w:t>
      </w:r>
    </w:p>
    <w:p w:rsidR="00AF5F57" w:rsidRDefault="00C1600B" w:rsidP="00AF5F57">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1.1</w:t>
      </w:r>
      <w:r w:rsidR="007C033C" w:rsidRPr="00AF5F57">
        <w:rPr>
          <w:rFonts w:ascii="Palatino Linotype" w:hAnsi="Palatino Linotype" w:cs="Arial"/>
        </w:rPr>
        <w:t xml:space="preserve"> Social progresivo </w:t>
      </w:r>
    </w:p>
    <w:p w:rsidR="00AF5F57" w:rsidRDefault="00C1600B" w:rsidP="00AF5F57">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1.2</w:t>
      </w:r>
      <w:r w:rsidR="007C033C" w:rsidRPr="00AF5F57">
        <w:rPr>
          <w:rFonts w:ascii="Palatino Linotype" w:hAnsi="Palatino Linotype" w:cs="Arial"/>
        </w:rPr>
        <w:t xml:space="preserve"> Interés social </w:t>
      </w:r>
    </w:p>
    <w:p w:rsidR="00AF5F57" w:rsidRDefault="00C1600B" w:rsidP="00AF5F57">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1.3</w:t>
      </w:r>
      <w:r w:rsidR="007C033C" w:rsidRPr="00AF5F57">
        <w:rPr>
          <w:rFonts w:ascii="Palatino Linotype" w:hAnsi="Palatino Linotype" w:cs="Arial"/>
        </w:rPr>
        <w:t xml:space="preserve"> Popular </w:t>
      </w:r>
    </w:p>
    <w:p w:rsidR="00AF5F57" w:rsidRDefault="00C1600B" w:rsidP="00AF5F57">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1.4</w:t>
      </w:r>
      <w:r w:rsidR="007C033C" w:rsidRPr="00AF5F57">
        <w:rPr>
          <w:rFonts w:ascii="Palatino Linotype" w:hAnsi="Palatino Linotype" w:cs="Arial"/>
        </w:rPr>
        <w:t xml:space="preserve"> Medio </w:t>
      </w:r>
    </w:p>
    <w:p w:rsidR="00AF5F57" w:rsidRDefault="00C1600B" w:rsidP="00AF5F57">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1.5</w:t>
      </w:r>
      <w:r w:rsidR="007C033C" w:rsidRPr="00AF5F57">
        <w:rPr>
          <w:rFonts w:ascii="Palatino Linotype" w:hAnsi="Palatino Linotype" w:cs="Arial"/>
        </w:rPr>
        <w:t xml:space="preserve"> Residencial </w:t>
      </w:r>
    </w:p>
    <w:p w:rsidR="00AF5F57" w:rsidRDefault="00C1600B" w:rsidP="00AF5F57">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1.6</w:t>
      </w:r>
      <w:r w:rsidR="007C033C" w:rsidRPr="00AF5F57">
        <w:rPr>
          <w:rFonts w:ascii="Palatino Linotype" w:hAnsi="Palatino Linotype" w:cs="Arial"/>
        </w:rPr>
        <w:t xml:space="preserve"> Residencial alto </w:t>
      </w:r>
    </w:p>
    <w:p w:rsidR="007C033C" w:rsidRPr="00AF5F57" w:rsidRDefault="00C1600B" w:rsidP="00AF5F57">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1.7</w:t>
      </w:r>
      <w:r w:rsidR="007C033C" w:rsidRPr="00AF5F57">
        <w:rPr>
          <w:rFonts w:ascii="Palatino Linotype" w:hAnsi="Palatino Linotype" w:cs="Arial"/>
        </w:rPr>
        <w:t xml:space="preserve"> Campestre </w:t>
      </w:r>
    </w:p>
    <w:p w:rsidR="007C033C" w:rsidRDefault="007C033C" w:rsidP="00AB4749">
      <w:pPr>
        <w:autoSpaceDE w:val="0"/>
        <w:autoSpaceDN w:val="0"/>
        <w:adjustRightInd w:val="0"/>
        <w:spacing w:line="360" w:lineRule="auto"/>
        <w:jc w:val="both"/>
        <w:rPr>
          <w:rFonts w:ascii="Palatino Linotype" w:hAnsi="Palatino Linotype" w:cs="Arial"/>
        </w:rPr>
      </w:pPr>
    </w:p>
    <w:p w:rsidR="00736B1C" w:rsidRDefault="00AB4749" w:rsidP="00736B1C">
      <w:pPr>
        <w:spacing w:line="360" w:lineRule="auto"/>
        <w:jc w:val="both"/>
        <w:rPr>
          <w:rFonts w:ascii="Palatino Linotype" w:eastAsiaTheme="minorHAnsi" w:hAnsi="Palatino Linotype" w:cs="Arial"/>
          <w:szCs w:val="22"/>
          <w:lang w:val="es-ES_tradnl" w:eastAsia="en-US"/>
        </w:rPr>
      </w:pPr>
      <w:r>
        <w:rPr>
          <w:rFonts w:ascii="Palatino Linotype" w:eastAsiaTheme="minorHAnsi" w:hAnsi="Palatino Linotype" w:cs="Arial"/>
          <w:szCs w:val="22"/>
          <w:lang w:val="es-ES_tradnl" w:eastAsia="en-US"/>
        </w:rPr>
        <w:t xml:space="preserve">Atentos a lo anterior, en primer lugar, se logra apreciar que de manera inmediata, </w:t>
      </w:r>
      <w:r w:rsidR="007C7B8A">
        <w:rPr>
          <w:rFonts w:ascii="Palatino Linotype" w:eastAsiaTheme="minorHAnsi" w:hAnsi="Palatino Linotype" w:cs="Arial"/>
          <w:szCs w:val="22"/>
          <w:lang w:val="es-ES_tradnl" w:eastAsia="en-US"/>
        </w:rPr>
        <w:t xml:space="preserve">el Recurrente peticiona la entrega de la información en formatos de tipo específico </w:t>
      </w:r>
      <w:proofErr w:type="spellStart"/>
      <w:r w:rsidR="007C7B8A">
        <w:rPr>
          <w:rFonts w:ascii="Palatino Linotype" w:eastAsiaTheme="minorHAnsi" w:hAnsi="Palatino Linotype" w:cs="Arial"/>
          <w:b/>
          <w:szCs w:val="22"/>
          <w:lang w:val="es-ES_tradnl" w:eastAsia="en-US"/>
        </w:rPr>
        <w:t>kml</w:t>
      </w:r>
      <w:proofErr w:type="spellEnd"/>
      <w:r w:rsidR="007C7B8A">
        <w:rPr>
          <w:rFonts w:ascii="Palatino Linotype" w:eastAsiaTheme="minorHAnsi" w:hAnsi="Palatino Linotype" w:cs="Arial"/>
          <w:b/>
          <w:szCs w:val="22"/>
          <w:lang w:val="es-ES_tradnl" w:eastAsia="en-US"/>
        </w:rPr>
        <w:t xml:space="preserve"> </w:t>
      </w:r>
      <w:r w:rsidR="007C7B8A" w:rsidRPr="00736B1C">
        <w:rPr>
          <w:rFonts w:ascii="Palatino Linotype" w:eastAsiaTheme="minorHAnsi" w:hAnsi="Palatino Linotype" w:cs="Arial"/>
          <w:szCs w:val="22"/>
          <w:lang w:val="es-ES_tradnl" w:eastAsia="en-US"/>
        </w:rPr>
        <w:t>(</w:t>
      </w:r>
      <w:proofErr w:type="spellStart"/>
      <w:r w:rsidR="00736B1C" w:rsidRPr="00736B1C">
        <w:rPr>
          <w:rFonts w:ascii="Palatino Linotype" w:eastAsiaTheme="minorHAnsi" w:hAnsi="Palatino Linotype" w:cs="Arial"/>
          <w:szCs w:val="22"/>
          <w:lang w:val="es-ES_tradnl" w:eastAsia="en-US"/>
        </w:rPr>
        <w:t>Keyhole</w:t>
      </w:r>
      <w:proofErr w:type="spellEnd"/>
      <w:r w:rsidR="00736B1C" w:rsidRPr="00736B1C">
        <w:rPr>
          <w:rFonts w:ascii="Palatino Linotype" w:eastAsiaTheme="minorHAnsi" w:hAnsi="Palatino Linotype" w:cs="Arial"/>
          <w:szCs w:val="22"/>
          <w:lang w:val="es-ES_tradnl" w:eastAsia="en-US"/>
        </w:rPr>
        <w:t xml:space="preserve"> </w:t>
      </w:r>
      <w:proofErr w:type="spellStart"/>
      <w:r w:rsidR="00736B1C" w:rsidRPr="00736B1C">
        <w:rPr>
          <w:rFonts w:ascii="Palatino Linotype" w:eastAsiaTheme="minorHAnsi" w:hAnsi="Palatino Linotype" w:cs="Arial"/>
          <w:szCs w:val="22"/>
          <w:lang w:val="es-ES_tradnl" w:eastAsia="en-US"/>
        </w:rPr>
        <w:t>Markup</w:t>
      </w:r>
      <w:proofErr w:type="spellEnd"/>
      <w:r w:rsidR="00736B1C" w:rsidRPr="00736B1C">
        <w:rPr>
          <w:rFonts w:ascii="Palatino Linotype" w:eastAsiaTheme="minorHAnsi" w:hAnsi="Palatino Linotype" w:cs="Arial"/>
          <w:szCs w:val="22"/>
          <w:lang w:val="es-ES_tradnl" w:eastAsia="en-US"/>
        </w:rPr>
        <w:t xml:space="preserve"> </w:t>
      </w:r>
      <w:proofErr w:type="spellStart"/>
      <w:r w:rsidR="00736B1C" w:rsidRPr="00736B1C">
        <w:rPr>
          <w:rFonts w:ascii="Palatino Linotype" w:eastAsiaTheme="minorHAnsi" w:hAnsi="Palatino Linotype" w:cs="Arial"/>
          <w:szCs w:val="22"/>
          <w:lang w:val="es-ES_tradnl" w:eastAsia="en-US"/>
        </w:rPr>
        <w:t>Language</w:t>
      </w:r>
      <w:proofErr w:type="spellEnd"/>
      <w:r w:rsidR="00736B1C" w:rsidRPr="00736B1C">
        <w:rPr>
          <w:rFonts w:ascii="Palatino Linotype" w:eastAsiaTheme="minorHAnsi" w:hAnsi="Palatino Linotype" w:cs="Arial"/>
          <w:szCs w:val="22"/>
          <w:lang w:val="es-ES_tradnl" w:eastAsia="en-US"/>
        </w:rPr>
        <w:t xml:space="preserve"> o en español lenguaje de marcación de punto clave) o</w:t>
      </w:r>
      <w:r w:rsidR="00736B1C">
        <w:rPr>
          <w:rFonts w:ascii="Palatino Linotype" w:eastAsiaTheme="minorHAnsi" w:hAnsi="Palatino Linotype" w:cs="Arial"/>
          <w:b/>
          <w:szCs w:val="22"/>
          <w:lang w:val="es-ES_tradnl" w:eastAsia="en-US"/>
        </w:rPr>
        <w:t xml:space="preserve"> </w:t>
      </w:r>
      <w:proofErr w:type="spellStart"/>
      <w:r w:rsidR="00736B1C">
        <w:rPr>
          <w:rFonts w:ascii="Palatino Linotype" w:eastAsiaTheme="minorHAnsi" w:hAnsi="Palatino Linotype" w:cs="Arial"/>
          <w:b/>
          <w:szCs w:val="22"/>
          <w:lang w:val="es-ES_tradnl" w:eastAsia="en-US"/>
        </w:rPr>
        <w:t>sph</w:t>
      </w:r>
      <w:proofErr w:type="spellEnd"/>
      <w:r w:rsidR="00736B1C">
        <w:rPr>
          <w:rFonts w:ascii="Palatino Linotype" w:eastAsiaTheme="minorHAnsi" w:hAnsi="Palatino Linotype" w:cs="Arial"/>
          <w:b/>
          <w:szCs w:val="22"/>
          <w:lang w:val="es-ES_tradnl" w:eastAsia="en-US"/>
        </w:rPr>
        <w:t xml:space="preserve"> </w:t>
      </w:r>
      <w:r w:rsidR="00736B1C" w:rsidRPr="00736B1C">
        <w:rPr>
          <w:rFonts w:ascii="Palatino Linotype" w:eastAsiaTheme="minorHAnsi" w:hAnsi="Palatino Linotype" w:cs="Arial"/>
          <w:szCs w:val="22"/>
          <w:lang w:val="es-ES_tradnl" w:eastAsia="en-US"/>
        </w:rPr>
        <w:t>(</w:t>
      </w:r>
      <w:proofErr w:type="spellStart"/>
      <w:r w:rsidR="00736B1C" w:rsidRPr="00736B1C">
        <w:rPr>
          <w:rFonts w:ascii="Palatino Linotype" w:eastAsiaTheme="minorHAnsi" w:hAnsi="Palatino Linotype" w:cs="Arial"/>
          <w:szCs w:val="22"/>
          <w:lang w:val="es-ES_tradnl" w:eastAsia="en-US"/>
        </w:rPr>
        <w:t>Shape</w:t>
      </w:r>
      <w:proofErr w:type="spellEnd"/>
      <w:r w:rsidR="00736B1C" w:rsidRPr="00736B1C">
        <w:rPr>
          <w:rFonts w:ascii="Palatino Linotype" w:eastAsiaTheme="minorHAnsi" w:hAnsi="Palatino Linotype" w:cs="Arial"/>
          <w:szCs w:val="22"/>
          <w:lang w:val="es-ES_tradnl" w:eastAsia="en-US"/>
        </w:rPr>
        <w:t>)</w:t>
      </w:r>
      <w:r w:rsidR="00736B1C">
        <w:rPr>
          <w:rFonts w:ascii="Palatino Linotype" w:eastAsiaTheme="minorHAnsi" w:hAnsi="Palatino Linotype" w:cs="Arial"/>
          <w:szCs w:val="22"/>
          <w:lang w:val="es-ES_tradnl" w:eastAsia="en-US"/>
        </w:rPr>
        <w:t xml:space="preserve">. </w:t>
      </w:r>
    </w:p>
    <w:p w:rsidR="00736B1C" w:rsidRDefault="00736B1C" w:rsidP="00736B1C">
      <w:pPr>
        <w:spacing w:line="360" w:lineRule="auto"/>
        <w:jc w:val="both"/>
        <w:rPr>
          <w:rFonts w:ascii="Palatino Linotype" w:eastAsiaTheme="minorHAnsi" w:hAnsi="Palatino Linotype" w:cs="Arial"/>
          <w:szCs w:val="22"/>
          <w:lang w:val="es-ES_tradnl" w:eastAsia="en-US"/>
        </w:rPr>
      </w:pPr>
    </w:p>
    <w:p w:rsidR="00736B1C" w:rsidRDefault="00736B1C" w:rsidP="00736B1C">
      <w:pPr>
        <w:spacing w:line="360" w:lineRule="auto"/>
        <w:jc w:val="both"/>
        <w:rPr>
          <w:rFonts w:ascii="Palatino Linotype" w:eastAsiaTheme="minorHAnsi" w:hAnsi="Palatino Linotype" w:cs="Arial"/>
          <w:szCs w:val="22"/>
          <w:lang w:val="es-ES_tradnl" w:eastAsia="en-US"/>
        </w:rPr>
      </w:pPr>
      <w:r>
        <w:rPr>
          <w:rFonts w:ascii="Palatino Linotype" w:eastAsiaTheme="minorHAnsi" w:hAnsi="Palatino Linotype" w:cs="Arial"/>
          <w:szCs w:val="22"/>
          <w:lang w:val="es-ES_tradnl" w:eastAsia="en-US"/>
        </w:rPr>
        <w:t xml:space="preserve">Atentos a ello, se debe hacer del conocimiento al </w:t>
      </w:r>
      <w:r w:rsidRPr="00736B1C">
        <w:rPr>
          <w:rFonts w:ascii="Palatino Linotype" w:eastAsiaTheme="minorHAnsi" w:hAnsi="Palatino Linotype" w:cs="Arial"/>
          <w:b/>
          <w:szCs w:val="22"/>
          <w:lang w:val="es-ES_tradnl" w:eastAsia="en-US"/>
        </w:rPr>
        <w:t>Recurrente</w:t>
      </w:r>
      <w:r>
        <w:rPr>
          <w:rFonts w:ascii="Palatino Linotype" w:eastAsiaTheme="minorHAnsi" w:hAnsi="Palatino Linotype" w:cs="Arial"/>
          <w:szCs w:val="22"/>
          <w:lang w:val="es-ES_tradnl" w:eastAsia="en-US"/>
        </w:rPr>
        <w:t xml:space="preserve">, que el </w:t>
      </w:r>
      <w:r w:rsidRPr="00736B1C">
        <w:rPr>
          <w:rFonts w:ascii="Palatino Linotype" w:eastAsiaTheme="minorHAnsi" w:hAnsi="Palatino Linotype" w:cs="Arial"/>
          <w:szCs w:val="22"/>
          <w:lang w:val="es-ES_tradnl" w:eastAsia="en-US"/>
        </w:rPr>
        <w:t>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w:t>
      </w:r>
      <w:r>
        <w:rPr>
          <w:rFonts w:ascii="Palatino Linotype" w:eastAsiaTheme="minorHAnsi" w:hAnsi="Palatino Linotype" w:cs="Arial"/>
          <w:szCs w:val="22"/>
          <w:lang w:val="es-ES_tradnl" w:eastAsia="en-US"/>
        </w:rPr>
        <w:t xml:space="preserve"> o en el formato deseado</w:t>
      </w:r>
      <w:r w:rsidRPr="00736B1C">
        <w:rPr>
          <w:rFonts w:ascii="Palatino Linotype" w:eastAsiaTheme="minorHAnsi" w:hAnsi="Palatino Linotype" w:cs="Arial"/>
          <w:szCs w:val="22"/>
          <w:lang w:val="es-ES_tradnl" w:eastAsia="en-US"/>
        </w:rPr>
        <w:t xml:space="preserve">; esto es, que no tienen el deber de generar </w:t>
      </w:r>
      <w:r w:rsidRPr="00736B1C">
        <w:rPr>
          <w:rFonts w:ascii="Palatino Linotype" w:eastAsiaTheme="minorHAnsi" w:hAnsi="Palatino Linotype" w:cs="Arial"/>
          <w:szCs w:val="22"/>
          <w:lang w:val="es-ES_tradnl" w:eastAsia="en-US"/>
        </w:rPr>
        <w:lastRenderedPageBreak/>
        <w:t xml:space="preserve">un documento </w:t>
      </w:r>
      <w:r w:rsidRPr="00736B1C">
        <w:rPr>
          <w:rFonts w:ascii="Palatino Linotype" w:eastAsiaTheme="minorHAnsi" w:hAnsi="Palatino Linotype" w:cs="Arial"/>
          <w:i/>
          <w:szCs w:val="22"/>
          <w:lang w:val="es-ES_tradnl" w:eastAsia="en-US"/>
        </w:rPr>
        <w:t>ad hoc</w:t>
      </w:r>
      <w:r w:rsidRPr="00736B1C">
        <w:rPr>
          <w:rFonts w:ascii="Palatino Linotype" w:eastAsiaTheme="minorHAnsi" w:hAnsi="Palatino Linotype" w:cs="Arial"/>
          <w:szCs w:val="22"/>
          <w:lang w:val="es-ES_tradnl" w:eastAsia="en-US"/>
        </w:rPr>
        <w:t>, para satisfacer el derecho de acceso a la información pública, como lo establece el artículo 12 de la Ley de Transparencia y Acceso a la Información Pública del Estado de México y Municipios.</w:t>
      </w:r>
    </w:p>
    <w:p w:rsidR="00600ABF" w:rsidRPr="00736B1C" w:rsidRDefault="00600ABF" w:rsidP="00736B1C">
      <w:pPr>
        <w:spacing w:line="360" w:lineRule="auto"/>
        <w:jc w:val="both"/>
        <w:rPr>
          <w:rFonts w:ascii="Palatino Linotype" w:eastAsiaTheme="minorHAnsi" w:hAnsi="Palatino Linotype" w:cs="Arial"/>
          <w:szCs w:val="22"/>
          <w:lang w:val="es-ES_tradnl" w:eastAsia="en-US"/>
        </w:rPr>
      </w:pPr>
    </w:p>
    <w:p w:rsidR="00736B1C" w:rsidRPr="00736B1C" w:rsidRDefault="00736B1C" w:rsidP="00736B1C">
      <w:pPr>
        <w:spacing w:line="360" w:lineRule="auto"/>
        <w:jc w:val="both"/>
        <w:rPr>
          <w:rFonts w:ascii="Palatino Linotype" w:eastAsiaTheme="minorHAnsi" w:hAnsi="Palatino Linotype" w:cs="Arial"/>
          <w:szCs w:val="22"/>
          <w:lang w:val="es-ES_tradnl" w:eastAsia="en-US"/>
        </w:rPr>
      </w:pPr>
      <w:r w:rsidRPr="00736B1C">
        <w:rPr>
          <w:rFonts w:ascii="Palatino Linotype" w:eastAsiaTheme="minorHAnsi" w:hAnsi="Palatino Linotype" w:cs="Arial"/>
          <w:szCs w:val="22"/>
          <w:lang w:val="es-ES_tradnl" w:eastAsia="en-US"/>
        </w:rPr>
        <w:t xml:space="preserve">Como apoyo a lo anterior, es aplicable el Criterio 03-17, emitido por el Instituto Nacional de Transparencia, Acceso a la Información y Protección de Datos Personales, que dice: </w:t>
      </w:r>
    </w:p>
    <w:p w:rsidR="00736B1C" w:rsidRPr="00736B1C" w:rsidRDefault="00736B1C" w:rsidP="00736B1C">
      <w:pPr>
        <w:spacing w:line="360" w:lineRule="auto"/>
        <w:jc w:val="both"/>
        <w:rPr>
          <w:rFonts w:ascii="Palatino Linotype" w:eastAsiaTheme="minorHAnsi" w:hAnsi="Palatino Linotype" w:cs="Arial"/>
          <w:szCs w:val="22"/>
          <w:lang w:val="es-ES_tradnl" w:eastAsia="en-US"/>
        </w:rPr>
      </w:pPr>
    </w:p>
    <w:p w:rsidR="00736B1C" w:rsidRPr="00736B1C" w:rsidRDefault="00736B1C" w:rsidP="00736B1C">
      <w:pPr>
        <w:ind w:left="567" w:right="616"/>
        <w:jc w:val="both"/>
        <w:rPr>
          <w:rFonts w:ascii="Palatino Linotype" w:eastAsiaTheme="minorHAnsi" w:hAnsi="Palatino Linotype" w:cs="Arial"/>
          <w:i/>
          <w:sz w:val="22"/>
          <w:szCs w:val="22"/>
          <w:lang w:val="es-ES_tradnl" w:eastAsia="en-US"/>
        </w:rPr>
      </w:pPr>
      <w:r w:rsidRPr="00736B1C">
        <w:rPr>
          <w:rFonts w:ascii="Palatino Linotype" w:eastAsiaTheme="minorHAnsi" w:hAnsi="Palatino Linotype" w:cs="Arial"/>
          <w:i/>
          <w:sz w:val="22"/>
          <w:szCs w:val="22"/>
          <w:lang w:val="es-ES_tradnl" w:eastAsia="en-US"/>
        </w:rPr>
        <w:t>“</w:t>
      </w:r>
      <w:r w:rsidRPr="00736B1C">
        <w:rPr>
          <w:rFonts w:ascii="Palatino Linotype" w:eastAsiaTheme="minorHAnsi" w:hAnsi="Palatino Linotype" w:cs="Arial"/>
          <w:b/>
          <w:i/>
          <w:sz w:val="22"/>
          <w:szCs w:val="22"/>
          <w:lang w:val="es-ES_tradnl" w:eastAsia="en-US"/>
        </w:rPr>
        <w:t xml:space="preserve">No existe obligación de elaborar documentos ad hoc para atender las solicitudes de acceso a la información. </w:t>
      </w:r>
      <w:r w:rsidRPr="00736B1C">
        <w:rPr>
          <w:rFonts w:ascii="Palatino Linotype" w:eastAsiaTheme="minorHAnsi" w:hAnsi="Palatino Linotype" w:cs="Arial"/>
          <w:i/>
          <w:sz w:val="22"/>
          <w:szCs w:val="22"/>
          <w:lang w:val="es-ES_tradnl" w:eastAsia="en-U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36B1C" w:rsidRPr="00736B1C" w:rsidRDefault="00736B1C" w:rsidP="00736B1C">
      <w:pPr>
        <w:ind w:left="567" w:right="616"/>
        <w:jc w:val="both"/>
        <w:rPr>
          <w:rFonts w:ascii="Palatino Linotype" w:eastAsiaTheme="minorHAnsi" w:hAnsi="Palatino Linotype" w:cs="Arial"/>
          <w:b/>
          <w:i/>
          <w:sz w:val="20"/>
          <w:szCs w:val="22"/>
          <w:lang w:val="es-ES_tradnl" w:eastAsia="en-US"/>
        </w:rPr>
      </w:pPr>
      <w:r w:rsidRPr="00736B1C">
        <w:rPr>
          <w:rFonts w:ascii="Palatino Linotype" w:eastAsiaTheme="minorHAnsi" w:hAnsi="Palatino Linotype" w:cs="Arial"/>
          <w:b/>
          <w:i/>
          <w:sz w:val="20"/>
          <w:szCs w:val="22"/>
          <w:lang w:val="es-ES_tradnl" w:eastAsia="en-US"/>
        </w:rPr>
        <w:t xml:space="preserve">Resoluciones: </w:t>
      </w:r>
    </w:p>
    <w:p w:rsidR="00736B1C" w:rsidRPr="00736B1C" w:rsidRDefault="00736B1C" w:rsidP="00736B1C">
      <w:pPr>
        <w:ind w:left="567" w:right="616"/>
        <w:jc w:val="both"/>
        <w:rPr>
          <w:rFonts w:ascii="Palatino Linotype" w:eastAsiaTheme="minorHAnsi" w:hAnsi="Palatino Linotype" w:cs="Arial"/>
          <w:i/>
          <w:sz w:val="20"/>
          <w:szCs w:val="22"/>
          <w:lang w:val="es-ES_tradnl" w:eastAsia="en-US"/>
        </w:rPr>
      </w:pPr>
      <w:r w:rsidRPr="00736B1C">
        <w:rPr>
          <w:rFonts w:ascii="Palatino Linotype" w:eastAsiaTheme="minorHAnsi" w:hAnsi="Palatino Linotype" w:cs="Arial"/>
          <w:i/>
          <w:sz w:val="20"/>
          <w:szCs w:val="22"/>
          <w:lang w:val="es-ES_tradnl" w:eastAsia="en-US"/>
        </w:rPr>
        <w:t>RRA 0050/16. Instituto Nacional para la Evaluación de la Educación. 13 julio de 2016. Por unanimidad. Comisionado Ponente: Francisco Javier Acuña Llamas.</w:t>
      </w:r>
    </w:p>
    <w:p w:rsidR="00736B1C" w:rsidRPr="00736B1C" w:rsidRDefault="00736B1C" w:rsidP="00736B1C">
      <w:pPr>
        <w:ind w:left="567" w:right="616"/>
        <w:jc w:val="both"/>
        <w:rPr>
          <w:rFonts w:ascii="Palatino Linotype" w:eastAsiaTheme="minorHAnsi" w:hAnsi="Palatino Linotype" w:cs="Arial"/>
          <w:i/>
          <w:sz w:val="20"/>
          <w:szCs w:val="22"/>
          <w:lang w:val="es-ES_tradnl" w:eastAsia="en-US"/>
        </w:rPr>
      </w:pPr>
      <w:r w:rsidRPr="00736B1C">
        <w:rPr>
          <w:rFonts w:ascii="Palatino Linotype" w:eastAsiaTheme="minorHAnsi" w:hAnsi="Palatino Linotype" w:cs="Arial"/>
          <w:i/>
          <w:sz w:val="20"/>
          <w:szCs w:val="22"/>
          <w:lang w:val="es-ES_tradnl" w:eastAsia="en-US"/>
        </w:rPr>
        <w:t xml:space="preserve">RRA 0310/16. Instituto Nacional de Transparencia, Acceso a la Información y Protección de Datos Personales. 10 de agosto de 2016. Por unanimidad. Comisionada Ponente. Areli Cano Guadiana. </w:t>
      </w:r>
    </w:p>
    <w:p w:rsidR="00AB4749" w:rsidRPr="00736B1C" w:rsidRDefault="00736B1C" w:rsidP="00736B1C">
      <w:pPr>
        <w:ind w:left="567" w:right="616"/>
        <w:jc w:val="both"/>
        <w:rPr>
          <w:rFonts w:ascii="Palatino Linotype" w:eastAsiaTheme="minorHAnsi" w:hAnsi="Palatino Linotype" w:cs="Arial"/>
          <w:i/>
          <w:sz w:val="20"/>
          <w:szCs w:val="22"/>
          <w:lang w:val="es-ES_tradnl" w:eastAsia="en-US"/>
        </w:rPr>
      </w:pPr>
      <w:r w:rsidRPr="00736B1C">
        <w:rPr>
          <w:rFonts w:ascii="Palatino Linotype" w:eastAsiaTheme="minorHAnsi" w:hAnsi="Palatino Linotype" w:cs="Arial"/>
          <w:i/>
          <w:sz w:val="20"/>
          <w:szCs w:val="22"/>
          <w:lang w:val="es-ES_tradnl" w:eastAsia="en-US"/>
        </w:rPr>
        <w:t>RRA 1889/16. Secretaría de Hacienda y Crédito Público. 05 de octubre de 2016. Por unanimidad. Comisionada Ponente. Ximena Puente de la Mora.”</w:t>
      </w:r>
    </w:p>
    <w:p w:rsidR="00736B1C" w:rsidRDefault="00736B1C" w:rsidP="00AB4749">
      <w:pPr>
        <w:spacing w:line="360" w:lineRule="auto"/>
        <w:jc w:val="both"/>
        <w:rPr>
          <w:rFonts w:ascii="Palatino Linotype" w:eastAsiaTheme="minorHAnsi" w:hAnsi="Palatino Linotype" w:cs="Arial"/>
          <w:szCs w:val="22"/>
          <w:lang w:val="es-ES_tradnl" w:eastAsia="en-US"/>
        </w:rPr>
      </w:pPr>
    </w:p>
    <w:p w:rsidR="00AB4749" w:rsidRDefault="00736B1C" w:rsidP="00AB4749">
      <w:pPr>
        <w:spacing w:line="360" w:lineRule="auto"/>
        <w:jc w:val="both"/>
        <w:rPr>
          <w:rFonts w:ascii="Palatino Linotype" w:hAnsi="Palatino Linotype" w:cs="Arial"/>
        </w:rPr>
      </w:pPr>
      <w:r>
        <w:rPr>
          <w:rFonts w:ascii="Palatino Linotype" w:eastAsiaTheme="minorHAnsi" w:hAnsi="Palatino Linotype" w:cs="Arial"/>
          <w:szCs w:val="22"/>
          <w:lang w:val="es-ES_tradnl" w:eastAsia="en-US"/>
        </w:rPr>
        <w:t xml:space="preserve">Hechas las precisiones anteriores, </w:t>
      </w:r>
      <w:r w:rsidR="00AB4749" w:rsidRPr="005664AC">
        <w:rPr>
          <w:rFonts w:ascii="Palatino Linotype" w:eastAsiaTheme="minorHAnsi" w:hAnsi="Palatino Linotype" w:cs="Arial"/>
          <w:szCs w:val="22"/>
          <w:lang w:val="es-MX" w:eastAsia="en-US"/>
        </w:rPr>
        <w:t xml:space="preserve">conforme a las constancias del expediente electrónico, se observa que el </w:t>
      </w:r>
      <w:r w:rsidR="00AB4749" w:rsidRPr="005664AC">
        <w:rPr>
          <w:rFonts w:ascii="Palatino Linotype" w:eastAsiaTheme="minorHAnsi" w:hAnsi="Palatino Linotype" w:cs="Arial"/>
          <w:b/>
          <w:szCs w:val="22"/>
          <w:lang w:val="es-MX" w:eastAsia="en-US"/>
        </w:rPr>
        <w:t>Sujeto Obligado</w:t>
      </w:r>
      <w:r w:rsidR="00AB4749" w:rsidRPr="005664AC">
        <w:rPr>
          <w:rFonts w:ascii="Palatino Linotype" w:eastAsiaTheme="minorHAnsi" w:hAnsi="Palatino Linotype" w:cs="Arial"/>
          <w:szCs w:val="22"/>
          <w:lang w:val="es-MX" w:eastAsia="en-US"/>
        </w:rPr>
        <w:t xml:space="preserve"> </w:t>
      </w:r>
      <w:r w:rsidR="00AB4749" w:rsidRPr="002F3269">
        <w:rPr>
          <w:rFonts w:ascii="Palatino Linotype" w:eastAsiaTheme="minorHAnsi" w:hAnsi="Palatino Linotype" w:cs="Arial"/>
          <w:szCs w:val="22"/>
          <w:lang w:val="es-MX" w:eastAsia="en-US"/>
        </w:rPr>
        <w:t>dio respuesta</w:t>
      </w:r>
      <w:r w:rsidR="00AB4749">
        <w:rPr>
          <w:rFonts w:ascii="Palatino Linotype" w:eastAsiaTheme="minorHAnsi" w:hAnsi="Palatino Linotype" w:cs="Arial"/>
          <w:szCs w:val="22"/>
          <w:lang w:val="es-MX" w:eastAsia="en-US"/>
        </w:rPr>
        <w:t xml:space="preserve">, a través del </w:t>
      </w:r>
      <w:r>
        <w:rPr>
          <w:rFonts w:ascii="Palatino Linotype" w:eastAsiaTheme="minorHAnsi" w:hAnsi="Palatino Linotype" w:cs="Arial"/>
          <w:szCs w:val="22"/>
          <w:lang w:val="es-MX" w:eastAsia="en-US"/>
        </w:rPr>
        <w:t xml:space="preserve">sistema SAIMEX, </w:t>
      </w:r>
      <w:r>
        <w:rPr>
          <w:rFonts w:ascii="Palatino Linotype" w:hAnsi="Palatino Linotype" w:cs="Arial"/>
        </w:rPr>
        <w:t>señalando objetivamente que adjuntaba el archivo que contiene la respuesta, sin embargo, una vez revisadas las constancias electrónicas, se acredita no haber sido anexado el documento referido.</w:t>
      </w:r>
    </w:p>
    <w:p w:rsidR="00736B1C" w:rsidRDefault="00736B1C" w:rsidP="00AB4749">
      <w:pPr>
        <w:spacing w:line="360" w:lineRule="auto"/>
        <w:jc w:val="both"/>
        <w:rPr>
          <w:rFonts w:ascii="Palatino Linotype" w:hAnsi="Palatino Linotype" w:cs="Arial"/>
        </w:rPr>
      </w:pPr>
    </w:p>
    <w:p w:rsidR="00AB4749" w:rsidRDefault="00AB4749" w:rsidP="00AB4749">
      <w:pPr>
        <w:spacing w:line="360" w:lineRule="auto"/>
        <w:jc w:val="both"/>
        <w:rPr>
          <w:rFonts w:ascii="Palatino Linotype" w:hAnsi="Palatino Linotype" w:cs="Arial"/>
        </w:rPr>
      </w:pPr>
      <w:r>
        <w:rPr>
          <w:rFonts w:ascii="Palatino Linotype" w:hAnsi="Palatino Linotype" w:cs="Arial"/>
        </w:rPr>
        <w:lastRenderedPageBreak/>
        <w:t xml:space="preserve">Con motivo de la respuesta proporcionada por el </w:t>
      </w:r>
      <w:r w:rsidRPr="002704CE">
        <w:rPr>
          <w:rFonts w:ascii="Palatino Linotype" w:hAnsi="Palatino Linotype" w:cs="Arial"/>
          <w:b/>
        </w:rPr>
        <w:t>Sujeto Obligado</w:t>
      </w:r>
      <w:r>
        <w:rPr>
          <w:rFonts w:ascii="Palatino Linotype" w:hAnsi="Palatino Linotype" w:cs="Arial"/>
        </w:rPr>
        <w:t xml:space="preserve">, el </w:t>
      </w:r>
      <w:r w:rsidRPr="002704CE">
        <w:rPr>
          <w:rFonts w:ascii="Palatino Linotype" w:hAnsi="Palatino Linotype" w:cs="Arial"/>
          <w:b/>
        </w:rPr>
        <w:t>Recurrente</w:t>
      </w:r>
      <w:r>
        <w:rPr>
          <w:rFonts w:ascii="Palatino Linotype" w:hAnsi="Palatino Linotype" w:cs="Arial"/>
        </w:rPr>
        <w:t xml:space="preserve"> interpuso el recurso de revisión, señalando como razones o motivos de inconformidad </w:t>
      </w:r>
      <w:r>
        <w:rPr>
          <w:rFonts w:ascii="Palatino Linotype" w:hAnsi="Palatino Linotype" w:cs="Arial"/>
          <w:i/>
        </w:rPr>
        <w:t>“</w:t>
      </w:r>
      <w:r w:rsidR="00736B1C" w:rsidRPr="00736B1C">
        <w:rPr>
          <w:rFonts w:ascii="Palatino Linotype" w:hAnsi="Palatino Linotype" w:cs="Arial"/>
          <w:i/>
        </w:rPr>
        <w:t xml:space="preserve">No se </w:t>
      </w:r>
      <w:proofErr w:type="spellStart"/>
      <w:r w:rsidR="00736B1C" w:rsidRPr="00736B1C">
        <w:rPr>
          <w:rFonts w:ascii="Palatino Linotype" w:hAnsi="Palatino Linotype" w:cs="Arial"/>
          <w:i/>
        </w:rPr>
        <w:t>entrego</w:t>
      </w:r>
      <w:proofErr w:type="spellEnd"/>
      <w:r w:rsidR="00736B1C" w:rsidRPr="00736B1C">
        <w:rPr>
          <w:rFonts w:ascii="Palatino Linotype" w:hAnsi="Palatino Linotype" w:cs="Arial"/>
          <w:i/>
        </w:rPr>
        <w:t xml:space="preserve"> archivo adjunto</w:t>
      </w:r>
      <w:r w:rsidR="00736B1C">
        <w:rPr>
          <w:rFonts w:ascii="Palatino Linotype" w:hAnsi="Palatino Linotype" w:cs="Arial"/>
          <w:i/>
        </w:rPr>
        <w:t>”</w:t>
      </w:r>
      <w:r w:rsidR="00736B1C">
        <w:rPr>
          <w:rFonts w:ascii="Palatino Linotype" w:hAnsi="Palatino Linotype" w:cs="Arial"/>
        </w:rPr>
        <w:t>.</w:t>
      </w:r>
      <w:r>
        <w:rPr>
          <w:rFonts w:ascii="Palatino Linotype" w:hAnsi="Palatino Linotype" w:cs="Arial"/>
        </w:rPr>
        <w:t xml:space="preserve"> </w:t>
      </w:r>
      <w:r w:rsidR="00736B1C">
        <w:rPr>
          <w:rFonts w:ascii="Palatino Linotype" w:hAnsi="Palatino Linotype" w:cs="Arial"/>
        </w:rPr>
        <w:t>A</w:t>
      </w:r>
      <w:r>
        <w:rPr>
          <w:rFonts w:ascii="Palatino Linotype" w:hAnsi="Palatino Linotype" w:cs="Arial"/>
        </w:rPr>
        <w:t>rgumentaciones que</w:t>
      </w:r>
      <w:r w:rsidR="00736B1C">
        <w:rPr>
          <w:rFonts w:ascii="Palatino Linotype" w:hAnsi="Palatino Linotype" w:cs="Arial"/>
        </w:rPr>
        <w:t xml:space="preserve"> resultan fundadas al encuadrar en</w:t>
      </w:r>
      <w:r>
        <w:rPr>
          <w:rFonts w:ascii="Palatino Linotype" w:hAnsi="Palatino Linotype" w:cs="Arial"/>
        </w:rPr>
        <w:t xml:space="preserve"> la hipótesis que se encuen</w:t>
      </w:r>
      <w:r w:rsidR="00736B1C">
        <w:rPr>
          <w:rFonts w:ascii="Palatino Linotype" w:hAnsi="Palatino Linotype" w:cs="Arial"/>
        </w:rPr>
        <w:t>tra establecida en la fracción I</w:t>
      </w:r>
      <w:r>
        <w:rPr>
          <w:rFonts w:ascii="Palatino Linotype" w:hAnsi="Palatino Linotype" w:cs="Arial"/>
        </w:rPr>
        <w:t>I del artículo 179 de la Ley de Transparencia Local</w:t>
      </w:r>
      <w:r>
        <w:rPr>
          <w:rStyle w:val="Refdenotaalpie"/>
          <w:rFonts w:ascii="Palatino Linotype" w:hAnsi="Palatino Linotype" w:cs="Arial"/>
        </w:rPr>
        <w:footnoteReference w:id="2"/>
      </w:r>
      <w:r>
        <w:rPr>
          <w:rFonts w:ascii="Palatino Linotype" w:hAnsi="Palatino Linotype" w:cs="Arial"/>
        </w:rPr>
        <w:t xml:space="preserve">, relativa a la entrega de información </w:t>
      </w:r>
      <w:r w:rsidR="00736B1C">
        <w:rPr>
          <w:rFonts w:ascii="Palatino Linotype" w:hAnsi="Palatino Linotype" w:cs="Arial"/>
        </w:rPr>
        <w:t>incompleta</w:t>
      </w:r>
      <w:r>
        <w:rPr>
          <w:rFonts w:ascii="Palatino Linotype" w:hAnsi="Palatino Linotype" w:cs="Arial"/>
        </w:rPr>
        <w:t>.</w:t>
      </w:r>
    </w:p>
    <w:p w:rsidR="00736B1C" w:rsidRDefault="00736B1C" w:rsidP="00AB4749">
      <w:pPr>
        <w:spacing w:line="360" w:lineRule="auto"/>
        <w:jc w:val="both"/>
        <w:rPr>
          <w:rFonts w:ascii="Palatino Linotype" w:hAnsi="Palatino Linotype" w:cs="Arial"/>
        </w:rPr>
      </w:pPr>
    </w:p>
    <w:p w:rsidR="00736B1C" w:rsidRDefault="00736B1C" w:rsidP="00AB4749">
      <w:pPr>
        <w:spacing w:line="360" w:lineRule="auto"/>
        <w:jc w:val="both"/>
        <w:rPr>
          <w:rFonts w:ascii="Palatino Linotype" w:hAnsi="Palatino Linotype" w:cs="Arial"/>
        </w:rPr>
      </w:pPr>
      <w:r>
        <w:rPr>
          <w:rFonts w:ascii="Palatino Linotype" w:hAnsi="Palatino Linotype" w:cs="Arial"/>
        </w:rPr>
        <w:t xml:space="preserve">Derivado de la interposición del recurso de revisión, en la etapa de manifestaciones el </w:t>
      </w:r>
      <w:r w:rsidRPr="00736B1C">
        <w:rPr>
          <w:rFonts w:ascii="Palatino Linotype" w:hAnsi="Palatino Linotype" w:cs="Arial"/>
          <w:b/>
        </w:rPr>
        <w:t>Sujeto Obligado</w:t>
      </w:r>
      <w:r>
        <w:rPr>
          <w:rFonts w:ascii="Palatino Linotype" w:hAnsi="Palatino Linotype" w:cs="Arial"/>
        </w:rPr>
        <w:t xml:space="preserve"> remitió los documentos electrónicos “</w:t>
      </w:r>
      <w:r w:rsidRPr="00736B1C">
        <w:rPr>
          <w:rFonts w:ascii="Palatino Linotype" w:hAnsi="Palatino Linotype" w:cs="Arial"/>
          <w:b/>
          <w:i/>
        </w:rPr>
        <w:t>155 solicitud 16122022.pdf</w:t>
      </w:r>
      <w:r w:rsidRPr="00736B1C">
        <w:rPr>
          <w:rFonts w:ascii="Palatino Linotype" w:hAnsi="Palatino Linotype" w:cs="Arial"/>
        </w:rPr>
        <w:t xml:space="preserve"> e </w:t>
      </w:r>
      <w:r w:rsidRPr="00736B1C">
        <w:rPr>
          <w:rFonts w:ascii="Palatino Linotype" w:hAnsi="Palatino Linotype" w:cs="Arial"/>
          <w:b/>
          <w:i/>
        </w:rPr>
        <w:t>INFORME solicitud 155.pdf</w:t>
      </w:r>
      <w:r>
        <w:rPr>
          <w:rFonts w:ascii="Palatino Linotype" w:hAnsi="Palatino Linotype" w:cs="Arial"/>
        </w:rPr>
        <w:t>”, de los cuales, se desprende el contenido siguiente:</w:t>
      </w:r>
    </w:p>
    <w:p w:rsidR="00736B1C" w:rsidRDefault="00736B1C" w:rsidP="00AB4749">
      <w:pPr>
        <w:spacing w:line="360" w:lineRule="auto"/>
        <w:jc w:val="both"/>
        <w:rPr>
          <w:rFonts w:ascii="Palatino Linotype" w:hAnsi="Palatino Linotype" w:cs="Arial"/>
        </w:rPr>
      </w:pPr>
    </w:p>
    <w:p w:rsidR="00D711C6" w:rsidRPr="00736B1C" w:rsidRDefault="00D711C6" w:rsidP="00D711C6">
      <w:pPr>
        <w:pStyle w:val="Prrafodelista"/>
        <w:numPr>
          <w:ilvl w:val="0"/>
          <w:numId w:val="8"/>
        </w:numPr>
        <w:spacing w:line="360" w:lineRule="auto"/>
        <w:jc w:val="both"/>
        <w:rPr>
          <w:rFonts w:ascii="Palatino Linotype" w:hAnsi="Palatino Linotype" w:cs="Arial"/>
        </w:rPr>
      </w:pPr>
      <w:r w:rsidRPr="00736B1C">
        <w:rPr>
          <w:rFonts w:ascii="Palatino Linotype" w:hAnsi="Palatino Linotype" w:cs="Arial"/>
          <w:b/>
          <w:i/>
        </w:rPr>
        <w:t>INFORME solicitud 155.pdf</w:t>
      </w:r>
      <w:r>
        <w:rPr>
          <w:rFonts w:ascii="Palatino Linotype" w:hAnsi="Palatino Linotype" w:cs="Arial"/>
        </w:rPr>
        <w:t>: oficio sin número, de fecha dieciséis de diciembre de dos mil veintidós, remitido por la Dirección de Innovación y Transparencia del Sujeto Obligado, a esta Órgano Garante, a través del cual, manifiesta adjuntar la respuesta del área de catastro.</w:t>
      </w:r>
    </w:p>
    <w:p w:rsidR="00D711C6" w:rsidRDefault="00D711C6" w:rsidP="00AB4749">
      <w:pPr>
        <w:spacing w:line="360" w:lineRule="auto"/>
        <w:jc w:val="both"/>
        <w:rPr>
          <w:rFonts w:ascii="Palatino Linotype" w:hAnsi="Palatino Linotype" w:cs="Arial"/>
        </w:rPr>
      </w:pPr>
    </w:p>
    <w:p w:rsidR="00736B1C" w:rsidRPr="00736B1C" w:rsidRDefault="00736B1C" w:rsidP="00736B1C">
      <w:pPr>
        <w:pStyle w:val="Prrafodelista"/>
        <w:numPr>
          <w:ilvl w:val="0"/>
          <w:numId w:val="8"/>
        </w:numPr>
        <w:spacing w:line="360" w:lineRule="auto"/>
        <w:jc w:val="both"/>
        <w:rPr>
          <w:rFonts w:ascii="Palatino Linotype" w:hAnsi="Palatino Linotype" w:cs="Arial"/>
        </w:rPr>
      </w:pPr>
      <w:r w:rsidRPr="00736B1C">
        <w:rPr>
          <w:rFonts w:ascii="Palatino Linotype" w:hAnsi="Palatino Linotype" w:cs="Arial"/>
          <w:b/>
          <w:i/>
        </w:rPr>
        <w:t>155 solicitud 16122022.pdf</w:t>
      </w:r>
      <w:r>
        <w:rPr>
          <w:rFonts w:ascii="Palatino Linotype" w:hAnsi="Palatino Linotype" w:cs="Arial"/>
        </w:rPr>
        <w:t>:</w:t>
      </w:r>
      <w:r w:rsidR="001D73B8">
        <w:rPr>
          <w:rFonts w:ascii="Palatino Linotype" w:hAnsi="Palatino Linotype" w:cs="Arial"/>
        </w:rPr>
        <w:t xml:space="preserve"> oficio número PRM/DDUM/137/2022 del nueve de diciembre de dos mil veintidós, remitido por la Coordinadora de Catastro a la Titular de la Unidad de Transparencia y Proyectos de Inversión, ambos del Sujeto Obligado, en el cual informa sustancialmente lo siguiente:</w:t>
      </w:r>
    </w:p>
    <w:p w:rsidR="00AB4749" w:rsidRDefault="00AB4749" w:rsidP="00AB4749">
      <w:pPr>
        <w:spacing w:line="360" w:lineRule="auto"/>
        <w:jc w:val="both"/>
        <w:rPr>
          <w:rFonts w:ascii="Palatino Linotype" w:hAnsi="Palatino Linotype" w:cs="Arial"/>
        </w:rPr>
      </w:pPr>
    </w:p>
    <w:p w:rsidR="001D73B8" w:rsidRPr="001D73B8" w:rsidRDefault="001D73B8" w:rsidP="001D73B8">
      <w:pPr>
        <w:ind w:left="567" w:right="616"/>
        <w:jc w:val="both"/>
        <w:rPr>
          <w:rFonts w:ascii="Palatino Linotype" w:hAnsi="Palatino Linotype" w:cs="Arial"/>
          <w:i/>
          <w:sz w:val="22"/>
        </w:rPr>
      </w:pPr>
      <w:r>
        <w:rPr>
          <w:rFonts w:ascii="Palatino Linotype" w:hAnsi="Palatino Linotype" w:cs="Arial"/>
          <w:i/>
          <w:sz w:val="22"/>
        </w:rPr>
        <w:t xml:space="preserve">“…tengo a bien informarle que después de haber realizado una inspección exhaustiva en nuestros archivos, en base a la documental requerida no tenemos ninguna actualización e información </w:t>
      </w:r>
      <w:r w:rsidRPr="001D73B8">
        <w:rPr>
          <w:rFonts w:ascii="Palatino Linotype" w:hAnsi="Palatino Linotype" w:cs="Arial"/>
          <w:b/>
          <w:i/>
          <w:sz w:val="22"/>
        </w:rPr>
        <w:t>de conjuntos urbanos habitacionales autorizados.</w:t>
      </w:r>
      <w:r>
        <w:rPr>
          <w:rFonts w:ascii="Palatino Linotype" w:hAnsi="Palatino Linotype" w:cs="Arial"/>
          <w:i/>
          <w:sz w:val="22"/>
        </w:rPr>
        <w:t>”</w:t>
      </w:r>
    </w:p>
    <w:p w:rsidR="00736B1C" w:rsidRDefault="00736B1C" w:rsidP="00AB4749">
      <w:pPr>
        <w:spacing w:line="360" w:lineRule="auto"/>
        <w:jc w:val="both"/>
        <w:rPr>
          <w:rFonts w:ascii="Palatino Linotype" w:hAnsi="Palatino Linotype" w:cs="Arial"/>
        </w:rPr>
      </w:pPr>
    </w:p>
    <w:p w:rsidR="00AB4749" w:rsidRDefault="00D711C6" w:rsidP="00AB4749">
      <w:pPr>
        <w:spacing w:line="360" w:lineRule="auto"/>
        <w:jc w:val="both"/>
        <w:rPr>
          <w:rFonts w:ascii="Palatino Linotype" w:hAnsi="Palatino Linotype" w:cs="Arial"/>
        </w:rPr>
      </w:pPr>
      <w:r>
        <w:rPr>
          <w:rFonts w:ascii="Palatino Linotype" w:hAnsi="Palatino Linotype" w:cs="Arial"/>
        </w:rPr>
        <w:lastRenderedPageBreak/>
        <w:t xml:space="preserve">Atentos a la respuesta proporcionada por el </w:t>
      </w:r>
      <w:r w:rsidRPr="004B4527">
        <w:rPr>
          <w:rFonts w:ascii="Palatino Linotype" w:hAnsi="Palatino Linotype" w:cs="Arial"/>
          <w:b/>
        </w:rPr>
        <w:t>Sujeto Obligado</w:t>
      </w:r>
      <w:r>
        <w:rPr>
          <w:rFonts w:ascii="Palatino Linotype" w:hAnsi="Palatino Linotype" w:cs="Arial"/>
        </w:rPr>
        <w:t xml:space="preserve">, lo procedente es hacer estudio </w:t>
      </w:r>
      <w:r w:rsidR="00AB4749">
        <w:rPr>
          <w:rFonts w:ascii="Palatino Linotype" w:hAnsi="Palatino Linotype" w:cs="Arial"/>
        </w:rPr>
        <w:t>de</w:t>
      </w:r>
      <w:r w:rsidR="004B4527">
        <w:rPr>
          <w:rFonts w:ascii="Palatino Linotype" w:hAnsi="Palatino Linotype" w:cs="Arial"/>
        </w:rPr>
        <w:t xml:space="preserve"> su</w:t>
      </w:r>
      <w:r w:rsidR="00AB4749">
        <w:rPr>
          <w:rFonts w:ascii="Palatino Linotype" w:hAnsi="Palatino Linotype" w:cs="Arial"/>
        </w:rPr>
        <w:t xml:space="preserve"> marco normativo, a efecto de poder </w:t>
      </w:r>
      <w:r>
        <w:rPr>
          <w:rFonts w:ascii="Palatino Linotype" w:hAnsi="Palatino Linotype" w:cs="Arial"/>
        </w:rPr>
        <w:t xml:space="preserve">determinar si el área que </w:t>
      </w:r>
      <w:r w:rsidR="004B4527">
        <w:rPr>
          <w:rFonts w:ascii="Palatino Linotype" w:hAnsi="Palatino Linotype" w:cs="Arial"/>
        </w:rPr>
        <w:t xml:space="preserve">emitió </w:t>
      </w:r>
      <w:r>
        <w:rPr>
          <w:rFonts w:ascii="Palatino Linotype" w:hAnsi="Palatino Linotype" w:cs="Arial"/>
        </w:rPr>
        <w:t xml:space="preserve">respuesta, es la facultada en generar, administrar, procesa y/o tiene en sus archivos la información, en ejercicio de sus atribuciones. </w:t>
      </w:r>
    </w:p>
    <w:p w:rsidR="00D711C6" w:rsidRDefault="00D711C6" w:rsidP="00AB4749">
      <w:pPr>
        <w:spacing w:line="360" w:lineRule="auto"/>
        <w:jc w:val="both"/>
        <w:rPr>
          <w:rFonts w:ascii="Palatino Linotype" w:hAnsi="Palatino Linotype" w:cs="Arial"/>
        </w:rPr>
      </w:pPr>
    </w:p>
    <w:p w:rsidR="00D711C6" w:rsidRDefault="00D711C6" w:rsidP="00D711C6">
      <w:pPr>
        <w:spacing w:line="360" w:lineRule="auto"/>
        <w:jc w:val="both"/>
        <w:rPr>
          <w:rFonts w:ascii="Palatino Linotype" w:hAnsi="Palatino Linotype" w:cs="Arial"/>
        </w:rPr>
      </w:pPr>
      <w:r>
        <w:rPr>
          <w:rFonts w:ascii="Palatino Linotype" w:hAnsi="Palatino Linotype" w:cs="Arial"/>
        </w:rPr>
        <w:t xml:space="preserve">Por lo que se deben traer a contexto los artículos </w:t>
      </w:r>
      <w:r w:rsidR="00BB5BC0">
        <w:rPr>
          <w:rFonts w:ascii="Palatino Linotype" w:hAnsi="Palatino Linotype" w:cs="Arial"/>
        </w:rPr>
        <w:t>5.1, 5.3 fracción XVII del Código Administrativo del Estado de México, 87 y 96</w:t>
      </w:r>
      <w:r>
        <w:rPr>
          <w:rFonts w:ascii="Palatino Linotype" w:hAnsi="Palatino Linotype" w:cs="Arial"/>
        </w:rPr>
        <w:t xml:space="preserve"> de la </w:t>
      </w:r>
      <w:r w:rsidR="00652572" w:rsidRPr="00D711C6">
        <w:rPr>
          <w:rFonts w:ascii="Palatino Linotype" w:hAnsi="Palatino Linotype" w:cs="Arial"/>
        </w:rPr>
        <w:t>Ley Orgánica de la Administración</w:t>
      </w:r>
      <w:r w:rsidR="00652572">
        <w:rPr>
          <w:rFonts w:ascii="Palatino Linotype" w:hAnsi="Palatino Linotype" w:cs="Arial"/>
        </w:rPr>
        <w:t xml:space="preserve"> </w:t>
      </w:r>
      <w:r w:rsidR="00652572" w:rsidRPr="00D711C6">
        <w:rPr>
          <w:rFonts w:ascii="Palatino Linotype" w:hAnsi="Palatino Linotype" w:cs="Arial"/>
        </w:rPr>
        <w:t>Pública del Estado de México</w:t>
      </w:r>
      <w:r>
        <w:rPr>
          <w:rFonts w:ascii="Palatino Linotype" w:hAnsi="Palatino Linotype" w:cs="Arial"/>
        </w:rPr>
        <w:t xml:space="preserve">, artículos </w:t>
      </w:r>
      <w:r w:rsidR="00BB5BC0">
        <w:rPr>
          <w:rFonts w:ascii="Palatino Linotype" w:hAnsi="Palatino Linotype" w:cs="Arial"/>
        </w:rPr>
        <w:t>27 y 63</w:t>
      </w:r>
      <w:r>
        <w:rPr>
          <w:rFonts w:ascii="Palatino Linotype" w:hAnsi="Palatino Linotype" w:cs="Arial"/>
        </w:rPr>
        <w:t xml:space="preserve"> del Bando Municipal 2022 del Municipio de Rayón, los cuales señalan lo siguiente:</w:t>
      </w:r>
    </w:p>
    <w:p w:rsidR="00D711C6" w:rsidRDefault="00D711C6" w:rsidP="00D711C6">
      <w:pPr>
        <w:spacing w:line="360" w:lineRule="auto"/>
        <w:jc w:val="both"/>
        <w:rPr>
          <w:rFonts w:ascii="Palatino Linotype" w:hAnsi="Palatino Linotype" w:cs="Arial"/>
        </w:rPr>
      </w:pPr>
    </w:p>
    <w:p w:rsidR="00BB5BC0" w:rsidRPr="00BB5BC0" w:rsidRDefault="00652572" w:rsidP="00BB5BC0">
      <w:pPr>
        <w:ind w:left="567" w:right="616"/>
        <w:jc w:val="center"/>
        <w:rPr>
          <w:rFonts w:ascii="Palatino Linotype" w:hAnsi="Palatino Linotype" w:cs="Arial"/>
          <w:b/>
          <w:i/>
          <w:sz w:val="22"/>
        </w:rPr>
      </w:pPr>
      <w:r w:rsidRPr="00BB5BC0">
        <w:rPr>
          <w:rFonts w:ascii="Palatino Linotype" w:hAnsi="Palatino Linotype" w:cs="Arial"/>
          <w:b/>
          <w:i/>
          <w:sz w:val="22"/>
        </w:rPr>
        <w:t>“</w:t>
      </w:r>
      <w:r w:rsidR="00BB5BC0" w:rsidRPr="00BB5BC0">
        <w:rPr>
          <w:rFonts w:ascii="Palatino Linotype" w:hAnsi="Palatino Linotype" w:cs="Arial"/>
          <w:b/>
          <w:i/>
          <w:sz w:val="22"/>
        </w:rPr>
        <w:t>Código Administrativo del Estado de México</w:t>
      </w:r>
    </w:p>
    <w:p w:rsidR="00BB5BC0" w:rsidRDefault="00BB5BC0" w:rsidP="00652572">
      <w:pPr>
        <w:ind w:left="567" w:right="616"/>
        <w:jc w:val="both"/>
        <w:rPr>
          <w:rFonts w:ascii="Palatino Linotype" w:hAnsi="Palatino Linotype" w:cs="Arial"/>
          <w:i/>
          <w:sz w:val="22"/>
        </w:rPr>
      </w:pPr>
    </w:p>
    <w:p w:rsidR="00BB5BC0" w:rsidRDefault="00BB5BC0" w:rsidP="00652572">
      <w:pPr>
        <w:ind w:left="567" w:right="616"/>
        <w:jc w:val="both"/>
        <w:rPr>
          <w:rFonts w:ascii="Palatino Linotype" w:hAnsi="Palatino Linotype" w:cs="Arial"/>
          <w:i/>
          <w:sz w:val="22"/>
        </w:rPr>
      </w:pPr>
      <w:r w:rsidRPr="00BB5BC0">
        <w:rPr>
          <w:rFonts w:ascii="Palatino Linotype" w:hAnsi="Palatino Linotype" w:cs="Arial"/>
          <w:b/>
          <w:i/>
          <w:sz w:val="22"/>
        </w:rPr>
        <w:t>Artículo 5.1.</w:t>
      </w:r>
      <w:r w:rsidRPr="00BB5BC0">
        <w:rPr>
          <w:rFonts w:ascii="Palatino Linotype" w:hAnsi="Palatino Linotype" w:cs="Arial"/>
          <w:i/>
          <w:sz w:val="22"/>
        </w:rPr>
        <w:t xml:space="preserve"> Este Libro tiene por objeto: </w:t>
      </w:r>
    </w:p>
    <w:p w:rsidR="00BB5BC0" w:rsidRDefault="00BB5BC0" w:rsidP="00652572">
      <w:pPr>
        <w:ind w:left="567" w:right="616"/>
        <w:jc w:val="both"/>
        <w:rPr>
          <w:rFonts w:ascii="Palatino Linotype" w:hAnsi="Palatino Linotype" w:cs="Arial"/>
          <w:i/>
          <w:sz w:val="22"/>
        </w:rPr>
      </w:pPr>
      <w:r w:rsidRPr="00BB5BC0">
        <w:rPr>
          <w:rFonts w:ascii="Palatino Linotype" w:hAnsi="Palatino Linotype" w:cs="Arial"/>
          <w:i/>
          <w:sz w:val="22"/>
        </w:rPr>
        <w:t xml:space="preserve">I. Fijar las normas básicas e instrumentos para planear y regular el ordenamiento territorial de los asentamientos humanos y el desarrollo urbano en la Entidad, con pleno respeto a los derechos humanos. </w:t>
      </w:r>
    </w:p>
    <w:p w:rsidR="00BB5BC0" w:rsidRDefault="00BB5BC0" w:rsidP="00652572">
      <w:pPr>
        <w:ind w:left="567" w:right="616"/>
        <w:jc w:val="both"/>
        <w:rPr>
          <w:rFonts w:ascii="Palatino Linotype" w:hAnsi="Palatino Linotype" w:cs="Arial"/>
          <w:i/>
          <w:sz w:val="22"/>
        </w:rPr>
      </w:pPr>
      <w:r w:rsidRPr="00BB5BC0">
        <w:rPr>
          <w:rFonts w:ascii="Palatino Linotype" w:hAnsi="Palatino Linotype" w:cs="Arial"/>
          <w:i/>
          <w:sz w:val="22"/>
        </w:rPr>
        <w:t xml:space="preserve">II. Establecer la concurrencia entre el Estado y los municipios, para la ordenación y regulación de los asentamientos humanos en el territorio estatal, para la coordinación y gestión de las conurbaciones y zonas metropolitanas y el desarrollo urbano de los centros de población. </w:t>
      </w:r>
    </w:p>
    <w:p w:rsidR="00BB5BC0" w:rsidRDefault="00BB5BC0" w:rsidP="00652572">
      <w:pPr>
        <w:ind w:left="567" w:right="616"/>
        <w:jc w:val="both"/>
        <w:rPr>
          <w:rFonts w:ascii="Palatino Linotype" w:hAnsi="Palatino Linotype" w:cs="Arial"/>
          <w:i/>
          <w:sz w:val="22"/>
        </w:rPr>
      </w:pPr>
      <w:r w:rsidRPr="00BB5BC0">
        <w:rPr>
          <w:rFonts w:ascii="Palatino Linotype" w:hAnsi="Palatino Linotype" w:cs="Arial"/>
          <w:i/>
          <w:sz w:val="22"/>
        </w:rPr>
        <w:t xml:space="preserve">III. Asignar las atribuciones y responsabilidades del Estado y de los municipios en la aplicación de este Libro y su reglamentación. </w:t>
      </w:r>
    </w:p>
    <w:p w:rsidR="00BB5BC0" w:rsidRDefault="00BB5BC0" w:rsidP="00652572">
      <w:pPr>
        <w:ind w:left="567" w:right="616"/>
        <w:jc w:val="both"/>
        <w:rPr>
          <w:rFonts w:ascii="Palatino Linotype" w:hAnsi="Palatino Linotype" w:cs="Arial"/>
          <w:i/>
          <w:sz w:val="22"/>
        </w:rPr>
      </w:pPr>
      <w:r w:rsidRPr="00BB5BC0">
        <w:rPr>
          <w:rFonts w:ascii="Palatino Linotype" w:hAnsi="Palatino Linotype" w:cs="Arial"/>
          <w:i/>
          <w:sz w:val="22"/>
        </w:rPr>
        <w:t xml:space="preserve">IV. Definir los principios conforme a los cuales el Estado y los municipios ejercerán sus atribuciones para determinar las reservas, usos y destinos de áreas y predios que regulen la propiedad en los centros de población. </w:t>
      </w:r>
    </w:p>
    <w:p w:rsidR="00BB5BC0" w:rsidRDefault="00BB5BC0" w:rsidP="00652572">
      <w:pPr>
        <w:ind w:left="567" w:right="616"/>
        <w:jc w:val="both"/>
        <w:rPr>
          <w:rFonts w:ascii="Palatino Linotype" w:hAnsi="Palatino Linotype" w:cs="Arial"/>
          <w:i/>
          <w:sz w:val="22"/>
        </w:rPr>
      </w:pPr>
      <w:r w:rsidRPr="00BB5BC0">
        <w:rPr>
          <w:rFonts w:ascii="Palatino Linotype" w:hAnsi="Palatino Linotype" w:cs="Arial"/>
          <w:i/>
          <w:sz w:val="22"/>
        </w:rPr>
        <w:t xml:space="preserve">V. Determinar las bases para la participación social en los procesos de planeación, ejecución, seguimiento, evaluación y vigilancia del desarrollo urbano y del ordenamiento territorial de los asentamientos humanos en la Entidad. </w:t>
      </w:r>
    </w:p>
    <w:p w:rsidR="00BB5BC0" w:rsidRDefault="00BB5BC0" w:rsidP="00652572">
      <w:pPr>
        <w:ind w:left="567" w:right="616"/>
        <w:jc w:val="both"/>
        <w:rPr>
          <w:rFonts w:ascii="Palatino Linotype" w:hAnsi="Palatino Linotype" w:cs="Arial"/>
          <w:i/>
          <w:sz w:val="22"/>
        </w:rPr>
      </w:pPr>
      <w:r w:rsidRPr="00BB5BC0">
        <w:rPr>
          <w:rFonts w:ascii="Palatino Linotype" w:hAnsi="Palatino Linotype" w:cs="Arial"/>
          <w:i/>
          <w:sz w:val="22"/>
        </w:rPr>
        <w:t>VI. Fijar instrumentos y acciones, así como medidas de seguridad, infracciones y sanciones que permitan la aplicación del presente Libro y su reglamentación.</w:t>
      </w:r>
    </w:p>
    <w:p w:rsidR="00BB5BC0" w:rsidRDefault="00BB5BC0" w:rsidP="00652572">
      <w:pPr>
        <w:ind w:left="567" w:right="616"/>
        <w:jc w:val="both"/>
        <w:rPr>
          <w:rFonts w:ascii="Palatino Linotype" w:hAnsi="Palatino Linotype" w:cs="Arial"/>
          <w:i/>
          <w:sz w:val="22"/>
        </w:rPr>
      </w:pPr>
    </w:p>
    <w:p w:rsidR="00BB5BC0" w:rsidRDefault="00BB5BC0" w:rsidP="00652572">
      <w:pPr>
        <w:ind w:left="567" w:right="616"/>
        <w:jc w:val="both"/>
        <w:rPr>
          <w:rFonts w:ascii="Palatino Linotype" w:hAnsi="Palatino Linotype" w:cs="Arial"/>
          <w:i/>
          <w:sz w:val="22"/>
        </w:rPr>
      </w:pPr>
      <w:r w:rsidRPr="00BB5BC0">
        <w:rPr>
          <w:rFonts w:ascii="Palatino Linotype" w:hAnsi="Palatino Linotype" w:cs="Arial"/>
          <w:b/>
          <w:i/>
          <w:sz w:val="22"/>
        </w:rPr>
        <w:t>Artículo 5.3.</w:t>
      </w:r>
      <w:r w:rsidRPr="00BB5BC0">
        <w:rPr>
          <w:rFonts w:ascii="Palatino Linotype" w:hAnsi="Palatino Linotype" w:cs="Arial"/>
          <w:i/>
          <w:sz w:val="22"/>
        </w:rPr>
        <w:t xml:space="preserve"> Para los efectos de este Libro, se entenderá como:</w:t>
      </w:r>
    </w:p>
    <w:p w:rsidR="00BB5BC0" w:rsidRDefault="00BB5BC0" w:rsidP="00652572">
      <w:pPr>
        <w:ind w:left="567" w:right="616"/>
        <w:jc w:val="both"/>
        <w:rPr>
          <w:rFonts w:ascii="Palatino Linotype" w:hAnsi="Palatino Linotype" w:cs="Arial"/>
          <w:i/>
          <w:sz w:val="22"/>
        </w:rPr>
      </w:pPr>
      <w:r>
        <w:rPr>
          <w:rFonts w:ascii="Palatino Linotype" w:hAnsi="Palatino Linotype" w:cs="Arial"/>
          <w:i/>
          <w:sz w:val="22"/>
        </w:rPr>
        <w:t>…</w:t>
      </w:r>
    </w:p>
    <w:p w:rsidR="00BB5BC0" w:rsidRDefault="00BB5BC0" w:rsidP="00652572">
      <w:pPr>
        <w:ind w:left="567" w:right="616"/>
        <w:jc w:val="both"/>
        <w:rPr>
          <w:rFonts w:ascii="Palatino Linotype" w:hAnsi="Palatino Linotype" w:cs="Arial"/>
          <w:i/>
          <w:sz w:val="22"/>
        </w:rPr>
      </w:pPr>
      <w:r w:rsidRPr="00BB5BC0">
        <w:rPr>
          <w:rFonts w:ascii="Palatino Linotype" w:hAnsi="Palatino Linotype" w:cs="Arial"/>
          <w:b/>
          <w:i/>
          <w:sz w:val="22"/>
        </w:rPr>
        <w:t>XVII. Conjunto Urbano:</w:t>
      </w:r>
      <w:r w:rsidRPr="00BB5BC0">
        <w:rPr>
          <w:rFonts w:ascii="Palatino Linotype" w:hAnsi="Palatino Linotype" w:cs="Arial"/>
          <w:i/>
          <w:sz w:val="22"/>
        </w:rPr>
        <w:t xml:space="preserve"> A la modalidad que se adopta en la ejecución del desarrollo urbano que tiene por objeto estructurar o reordenar, como una unidad espacial integral, el </w:t>
      </w:r>
      <w:r w:rsidRPr="00BB5BC0">
        <w:rPr>
          <w:rFonts w:ascii="Palatino Linotype" w:hAnsi="Palatino Linotype" w:cs="Arial"/>
          <w:i/>
          <w:sz w:val="22"/>
        </w:rPr>
        <w:lastRenderedPageBreak/>
        <w:t>trazo de la infraestructura vial, la división del suelo, las normas de usos, aprovechamientos y destinos del suelo, las obras de infraestructura, urbanización y equipamiento urbano, la ubicación de edificios y la imagen urbana de un predio ubicado en áreas urbanas o urbanizables.</w:t>
      </w:r>
    </w:p>
    <w:p w:rsidR="00BB5BC0" w:rsidRDefault="00BB5BC0" w:rsidP="00652572">
      <w:pPr>
        <w:ind w:left="567" w:right="616"/>
        <w:jc w:val="both"/>
        <w:rPr>
          <w:rFonts w:ascii="Palatino Linotype" w:hAnsi="Palatino Linotype" w:cs="Arial"/>
          <w:i/>
          <w:sz w:val="22"/>
        </w:rPr>
      </w:pPr>
    </w:p>
    <w:p w:rsidR="00BB5BC0" w:rsidRPr="00BB5BC0" w:rsidRDefault="00BB5BC0" w:rsidP="00BB5BC0">
      <w:pPr>
        <w:ind w:left="567" w:right="616"/>
        <w:jc w:val="center"/>
        <w:rPr>
          <w:rFonts w:ascii="Palatino Linotype" w:hAnsi="Palatino Linotype" w:cs="Arial"/>
          <w:b/>
          <w:i/>
          <w:sz w:val="22"/>
        </w:rPr>
      </w:pPr>
      <w:r w:rsidRPr="00BB5BC0">
        <w:rPr>
          <w:rFonts w:ascii="Palatino Linotype" w:hAnsi="Palatino Linotype" w:cs="Arial"/>
          <w:b/>
          <w:i/>
          <w:sz w:val="22"/>
        </w:rPr>
        <w:t>Ley Orgánica de la Administración Pública del Estado de México</w:t>
      </w:r>
    </w:p>
    <w:p w:rsidR="00BB5BC0" w:rsidRDefault="00BB5BC0" w:rsidP="00652572">
      <w:pPr>
        <w:ind w:left="567" w:right="616"/>
        <w:jc w:val="both"/>
        <w:rPr>
          <w:rFonts w:ascii="Palatino Linotype" w:hAnsi="Palatino Linotype" w:cs="Arial"/>
          <w:i/>
          <w:sz w:val="22"/>
        </w:rPr>
      </w:pPr>
    </w:p>
    <w:p w:rsidR="00652572" w:rsidRDefault="00652572" w:rsidP="00652572">
      <w:pPr>
        <w:ind w:left="567" w:right="616"/>
        <w:jc w:val="both"/>
        <w:rPr>
          <w:rFonts w:ascii="Palatino Linotype" w:hAnsi="Palatino Linotype" w:cs="Arial"/>
          <w:i/>
          <w:sz w:val="22"/>
        </w:rPr>
      </w:pPr>
      <w:r w:rsidRPr="00BB5BC0">
        <w:rPr>
          <w:rFonts w:ascii="Palatino Linotype" w:hAnsi="Palatino Linotype" w:cs="Arial"/>
          <w:b/>
          <w:i/>
          <w:sz w:val="22"/>
        </w:rPr>
        <w:t>Artículo 87.-</w:t>
      </w:r>
      <w:r w:rsidRPr="00652572">
        <w:rPr>
          <w:rFonts w:ascii="Palatino Linotype" w:hAnsi="Palatino Linotype" w:cs="Arial"/>
          <w:i/>
          <w:sz w:val="22"/>
        </w:rPr>
        <w:t xml:space="preserve"> Para el despacho, estudio y planeación de los diversos asuntos de la administración municipal, el ayuntamiento contará por lo menos con las siguientes Dependencias: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I. La secretaría del ayuntamiento;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II. La tesorería municipal.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III. La Dirección de Obras Públicas o equivalente.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IV. La Dirección de Desarrollo Económico o equivalente.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V. La </w:t>
      </w:r>
      <w:r w:rsidRPr="00652572">
        <w:rPr>
          <w:rFonts w:ascii="Palatino Linotype" w:hAnsi="Palatino Linotype" w:cs="Arial"/>
          <w:i/>
          <w:sz w:val="22"/>
          <w:u w:val="single"/>
        </w:rPr>
        <w:t>Dirección de Desarrollo Urbano o equivalente</w:t>
      </w:r>
      <w:r w:rsidRPr="00652572">
        <w:rPr>
          <w:rFonts w:ascii="Palatino Linotype" w:hAnsi="Palatino Linotype" w:cs="Arial"/>
          <w:i/>
          <w:sz w:val="22"/>
        </w:rPr>
        <w:t xml:space="preserve">;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VI. La Dirección de Ecología o equivalente.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VII. La Dirección de Desarrollo Social o equivalente.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VIII. La Coordinación Municipal de Protección Civil o equivalente. </w:t>
      </w:r>
    </w:p>
    <w:p w:rsidR="00D711C6"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IX. La Dirección de las Mujeres o equivalente.</w:t>
      </w:r>
    </w:p>
    <w:p w:rsidR="00652572" w:rsidRDefault="00652572" w:rsidP="00652572">
      <w:pPr>
        <w:ind w:left="567" w:right="616"/>
        <w:jc w:val="both"/>
        <w:rPr>
          <w:rFonts w:ascii="Palatino Linotype" w:hAnsi="Palatino Linotype" w:cs="Arial"/>
          <w:i/>
          <w:sz w:val="22"/>
        </w:rPr>
      </w:pP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b/>
          <w:i/>
          <w:sz w:val="22"/>
        </w:rPr>
        <w:t xml:space="preserve">Artículo 96. </w:t>
      </w:r>
      <w:proofErr w:type="spellStart"/>
      <w:r w:rsidRPr="00652572">
        <w:rPr>
          <w:rFonts w:ascii="Palatino Linotype" w:hAnsi="Palatino Linotype" w:cs="Arial"/>
          <w:b/>
          <w:i/>
          <w:sz w:val="22"/>
        </w:rPr>
        <w:t>Sexies</w:t>
      </w:r>
      <w:proofErr w:type="spellEnd"/>
      <w:r w:rsidRPr="00652572">
        <w:rPr>
          <w:rFonts w:ascii="Palatino Linotype" w:hAnsi="Palatino Linotype" w:cs="Arial"/>
          <w:b/>
          <w:i/>
          <w:sz w:val="22"/>
        </w:rPr>
        <w:t>.</w:t>
      </w:r>
      <w:r w:rsidRPr="00652572">
        <w:rPr>
          <w:rFonts w:ascii="Palatino Linotype" w:hAnsi="Palatino Linotype" w:cs="Arial"/>
          <w:i/>
          <w:sz w:val="22"/>
        </w:rPr>
        <w:t xml:space="preserve"> El </w:t>
      </w:r>
      <w:r w:rsidRPr="00652572">
        <w:rPr>
          <w:rFonts w:ascii="Palatino Linotype" w:hAnsi="Palatino Linotype" w:cs="Arial"/>
          <w:i/>
          <w:sz w:val="22"/>
          <w:u w:val="single"/>
        </w:rPr>
        <w:t>Director de Desarrollo Urbano</w:t>
      </w:r>
      <w:r w:rsidRPr="00652572">
        <w:rPr>
          <w:rFonts w:ascii="Palatino Linotype" w:hAnsi="Palatino Linotype" w:cs="Arial"/>
          <w:i/>
          <w:sz w:val="22"/>
        </w:rPr>
        <w:t xml:space="preserve"> o el Titular de la Unidad Administrativa equivalente, tiene las atribuciones siguientes: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I. Ejecutar la política en materia de reordenamiento urbano;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II. Formular y conducir las políticas municipales de asentamientos humanos, urbanismo y vivienda;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III. Aplicar y vigilar el cumplimiento de las disposiciones legales en materia de ordenamiento territorial de los asentamientos humanos, del desarrollo urbano y vivienda;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IV. Proponer el plan municipal de desarrollo urbano, así como sus modificaciones, y los parciales que de ellos deriven;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V. Participar en la elaboración o modificación del respectivo plan regional de desarrollo urbano o de los parciales que de éste deriven, cuando incluya parte o la totalidad de su territorio;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VI. Analizar las cédulas informativas de zonificación, licencias de uso de suelo y licencias de construcción;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VII. Vigilar la utilización y aprovechamiento del suelo con fines urbanos, en su circunscripción territorial;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VIII. Proponer al Presidente Municipal, convenios, contratos y acuerdos, y </w:t>
      </w:r>
    </w:p>
    <w:p w:rsidR="00652572" w:rsidRP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IX. Las demás que le sean conferidas por el Presidente Municipal o por el Ayuntamiento y las establecidas en las disposiciones jurídicas aplicables.</w:t>
      </w:r>
    </w:p>
    <w:p w:rsidR="00BB5BC0" w:rsidRDefault="00BB5BC0" w:rsidP="00652572">
      <w:pPr>
        <w:ind w:left="567" w:right="616"/>
        <w:jc w:val="both"/>
        <w:rPr>
          <w:rFonts w:ascii="Palatino Linotype" w:hAnsi="Palatino Linotype" w:cs="Arial"/>
          <w:i/>
          <w:sz w:val="22"/>
        </w:rPr>
      </w:pPr>
    </w:p>
    <w:p w:rsidR="004B4527" w:rsidRDefault="004B4527" w:rsidP="00652572">
      <w:pPr>
        <w:ind w:left="567" w:right="616"/>
        <w:jc w:val="both"/>
        <w:rPr>
          <w:rFonts w:ascii="Palatino Linotype" w:hAnsi="Palatino Linotype" w:cs="Arial"/>
          <w:i/>
          <w:sz w:val="22"/>
        </w:rPr>
      </w:pPr>
    </w:p>
    <w:p w:rsidR="00BB5BC0" w:rsidRPr="00BB5BC0" w:rsidRDefault="00BB5BC0" w:rsidP="00BB5BC0">
      <w:pPr>
        <w:ind w:left="567" w:right="616"/>
        <w:jc w:val="center"/>
        <w:rPr>
          <w:rFonts w:ascii="Palatino Linotype" w:hAnsi="Palatino Linotype" w:cs="Arial"/>
          <w:b/>
          <w:i/>
          <w:sz w:val="22"/>
        </w:rPr>
      </w:pPr>
      <w:r w:rsidRPr="00BB5BC0">
        <w:rPr>
          <w:rFonts w:ascii="Palatino Linotype" w:hAnsi="Palatino Linotype" w:cs="Arial"/>
          <w:b/>
          <w:i/>
          <w:sz w:val="22"/>
        </w:rPr>
        <w:lastRenderedPageBreak/>
        <w:t>Bando Municipal 2022 del Municipio de Rayón</w:t>
      </w:r>
    </w:p>
    <w:p w:rsidR="00BB5BC0" w:rsidRDefault="00BB5BC0" w:rsidP="00652572">
      <w:pPr>
        <w:ind w:left="567" w:right="616"/>
        <w:jc w:val="both"/>
        <w:rPr>
          <w:rFonts w:ascii="Palatino Linotype" w:hAnsi="Palatino Linotype" w:cs="Arial"/>
          <w:i/>
          <w:sz w:val="22"/>
        </w:rPr>
      </w:pPr>
    </w:p>
    <w:p w:rsidR="00652572" w:rsidRDefault="00AB4749" w:rsidP="00652572">
      <w:pPr>
        <w:ind w:left="567" w:right="616"/>
        <w:jc w:val="both"/>
        <w:rPr>
          <w:rFonts w:ascii="Palatino Linotype" w:hAnsi="Palatino Linotype" w:cs="Arial"/>
          <w:i/>
          <w:sz w:val="22"/>
        </w:rPr>
      </w:pPr>
      <w:r w:rsidRPr="006950EC">
        <w:rPr>
          <w:rFonts w:ascii="Palatino Linotype" w:hAnsi="Palatino Linotype" w:cs="Arial"/>
          <w:i/>
          <w:sz w:val="22"/>
        </w:rPr>
        <w:t>“</w:t>
      </w:r>
      <w:r w:rsidR="00652572" w:rsidRPr="00BB5BC0">
        <w:rPr>
          <w:rFonts w:ascii="Palatino Linotype" w:hAnsi="Palatino Linotype" w:cs="Arial"/>
          <w:b/>
          <w:i/>
          <w:sz w:val="22"/>
        </w:rPr>
        <w:t>ARTÍCULO 27.-</w:t>
      </w:r>
      <w:r w:rsidR="00652572" w:rsidRPr="00652572">
        <w:rPr>
          <w:rFonts w:ascii="Palatino Linotype" w:hAnsi="Palatino Linotype" w:cs="Arial"/>
          <w:i/>
          <w:sz w:val="22"/>
        </w:rPr>
        <w:t xml:space="preserve"> La Administración Pública Centralizada, es una forma de organización de la Administración Pública del Municipio, la cual se integra por: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I. Secretaría del Ayuntamiento;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II. Tesorería y Administración;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III. Contraloría Municipal;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IV. Direcciones de: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a) Economía, Artesanías y Turismo;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b) Jurídica y Consultiva;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c) Identidad, Cultura y Educación;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d) Trabajo y Emprendimiento;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e) Infraestructura;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f) Gobierno;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g) Gobierno Digital y Comunicación Ciudadana;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h) Igualdad Sustantiva y Perspectiva de Género; </w:t>
      </w:r>
    </w:p>
    <w:p w:rsidR="00AB4749"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i) Juventud y Medio Ambiente;</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j) Comisaria de Seguridad Pública Municipal;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k) Del Campo; l) Desarrollo Humano y Bienestar;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m) De Salud Pública;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n) </w:t>
      </w:r>
      <w:r w:rsidRPr="00652572">
        <w:rPr>
          <w:rFonts w:ascii="Palatino Linotype" w:hAnsi="Palatino Linotype" w:cs="Arial"/>
          <w:i/>
          <w:sz w:val="22"/>
          <w:u w:val="single"/>
        </w:rPr>
        <w:t>Desarrollo Urbano, Movilidad y Catastro</w:t>
      </w:r>
      <w:r w:rsidRPr="00652572">
        <w:rPr>
          <w:rFonts w:ascii="Palatino Linotype" w:hAnsi="Palatino Linotype" w:cs="Arial"/>
          <w:i/>
          <w:sz w:val="22"/>
        </w:rPr>
        <w:t xml:space="preserve">;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o) Servicios Públicos y Mantenimiento Urbano;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p) Protección Civil; </w:t>
      </w:r>
    </w:p>
    <w:p w:rsidR="00652572" w:rsidRDefault="00652572" w:rsidP="00652572">
      <w:pPr>
        <w:ind w:left="567" w:right="616"/>
        <w:jc w:val="both"/>
        <w:rPr>
          <w:rFonts w:ascii="Palatino Linotype" w:hAnsi="Palatino Linotype" w:cs="Arial"/>
          <w:i/>
          <w:sz w:val="22"/>
        </w:rPr>
      </w:pPr>
      <w:r w:rsidRPr="00652572">
        <w:rPr>
          <w:rFonts w:ascii="Palatino Linotype" w:hAnsi="Palatino Linotype" w:cs="Arial"/>
          <w:i/>
          <w:sz w:val="22"/>
        </w:rPr>
        <w:t xml:space="preserve">q) de lo Contencioso, y </w:t>
      </w:r>
    </w:p>
    <w:p w:rsidR="00AB4749" w:rsidRDefault="00652572" w:rsidP="00AB4749">
      <w:pPr>
        <w:ind w:left="567" w:right="616"/>
        <w:jc w:val="both"/>
        <w:rPr>
          <w:rFonts w:ascii="Palatino Linotype" w:hAnsi="Palatino Linotype" w:cs="Arial"/>
          <w:i/>
          <w:sz w:val="22"/>
        </w:rPr>
      </w:pPr>
      <w:r w:rsidRPr="00652572">
        <w:rPr>
          <w:rFonts w:ascii="Palatino Linotype" w:hAnsi="Palatino Linotype" w:cs="Arial"/>
          <w:i/>
          <w:sz w:val="22"/>
        </w:rPr>
        <w:t>r) Las demás que determine crear el Ayuntamiento, a propuesta del Presidente Municipal.</w:t>
      </w:r>
    </w:p>
    <w:p w:rsidR="00652572" w:rsidRDefault="00652572" w:rsidP="00AB4749">
      <w:pPr>
        <w:ind w:left="567" w:right="616"/>
        <w:jc w:val="both"/>
        <w:rPr>
          <w:rFonts w:ascii="Palatino Linotype" w:hAnsi="Palatino Linotype" w:cs="Arial"/>
          <w:i/>
          <w:sz w:val="22"/>
        </w:rPr>
      </w:pPr>
    </w:p>
    <w:p w:rsidR="00652572" w:rsidRDefault="00652572" w:rsidP="00AB4749">
      <w:pPr>
        <w:ind w:left="567" w:right="616"/>
        <w:jc w:val="both"/>
        <w:rPr>
          <w:rFonts w:ascii="Palatino Linotype" w:hAnsi="Palatino Linotype" w:cs="Arial"/>
          <w:i/>
          <w:sz w:val="22"/>
        </w:rPr>
      </w:pPr>
      <w:r w:rsidRPr="00BB5BC0">
        <w:rPr>
          <w:rFonts w:ascii="Palatino Linotype" w:hAnsi="Palatino Linotype" w:cs="Arial"/>
          <w:b/>
          <w:i/>
          <w:sz w:val="22"/>
        </w:rPr>
        <w:t>ARTÍCULO 63.-</w:t>
      </w:r>
      <w:r w:rsidRPr="00652572">
        <w:rPr>
          <w:rFonts w:ascii="Palatino Linotype" w:hAnsi="Palatino Linotype" w:cs="Arial"/>
          <w:i/>
          <w:sz w:val="22"/>
        </w:rPr>
        <w:t xml:space="preserve"> La Dirección de Desarrollo Urbano, Movilidad y Catastro podrá ejercer las siguientes atribuciones: </w:t>
      </w:r>
    </w:p>
    <w:p w:rsidR="00652572" w:rsidRDefault="00652572" w:rsidP="00AB4749">
      <w:pPr>
        <w:ind w:left="567" w:right="616"/>
        <w:jc w:val="both"/>
        <w:rPr>
          <w:rFonts w:ascii="Palatino Linotype" w:hAnsi="Palatino Linotype" w:cs="Arial"/>
          <w:i/>
          <w:sz w:val="22"/>
        </w:rPr>
      </w:pPr>
      <w:r w:rsidRPr="00652572">
        <w:rPr>
          <w:rFonts w:ascii="Palatino Linotype" w:hAnsi="Palatino Linotype" w:cs="Arial"/>
          <w:i/>
          <w:sz w:val="22"/>
        </w:rPr>
        <w:t xml:space="preserve">I. Formular el Plan de Desarrollo Urbano Municipal, así como proceder a su evaluación, participando con el Estado cuando sea necesario; </w:t>
      </w:r>
    </w:p>
    <w:p w:rsidR="00652572" w:rsidRDefault="00652572" w:rsidP="00AB4749">
      <w:pPr>
        <w:ind w:left="567" w:right="616"/>
        <w:jc w:val="both"/>
        <w:rPr>
          <w:rFonts w:ascii="Palatino Linotype" w:hAnsi="Palatino Linotype" w:cs="Arial"/>
          <w:i/>
          <w:sz w:val="22"/>
        </w:rPr>
      </w:pPr>
      <w:r w:rsidRPr="00652572">
        <w:rPr>
          <w:rFonts w:ascii="Palatino Linotype" w:hAnsi="Palatino Linotype" w:cs="Arial"/>
          <w:i/>
          <w:sz w:val="22"/>
        </w:rPr>
        <w:t xml:space="preserve">II. Expedir las Licencias Municipales de construcción, ampliación, modificación, reparación, excavación y demolición, alineamiento y número oficial a particulares, comercios, </w:t>
      </w:r>
      <w:r w:rsidRPr="00BB5BC0">
        <w:rPr>
          <w:rFonts w:ascii="Palatino Linotype" w:hAnsi="Palatino Linotype" w:cs="Arial"/>
          <w:i/>
          <w:sz w:val="22"/>
          <w:u w:val="single"/>
        </w:rPr>
        <w:t>desarrollos urbanos</w:t>
      </w:r>
      <w:r w:rsidRPr="00652572">
        <w:rPr>
          <w:rFonts w:ascii="Palatino Linotype" w:hAnsi="Palatino Linotype" w:cs="Arial"/>
          <w:i/>
          <w:sz w:val="22"/>
        </w:rPr>
        <w:t xml:space="preserve"> e industriales; </w:t>
      </w:r>
    </w:p>
    <w:p w:rsidR="00652572" w:rsidRDefault="00652572" w:rsidP="00AB4749">
      <w:pPr>
        <w:ind w:left="567" w:right="616"/>
        <w:jc w:val="both"/>
        <w:rPr>
          <w:rFonts w:ascii="Palatino Linotype" w:hAnsi="Palatino Linotype" w:cs="Arial"/>
          <w:i/>
          <w:sz w:val="22"/>
        </w:rPr>
      </w:pPr>
      <w:r w:rsidRPr="00652572">
        <w:rPr>
          <w:rFonts w:ascii="Palatino Linotype" w:hAnsi="Palatino Linotype" w:cs="Arial"/>
          <w:i/>
          <w:sz w:val="22"/>
        </w:rPr>
        <w:t xml:space="preserve">III. Cancelar permisos de construcción, ampliación, modificación, siempre y cuando no se ajusten al destino que se les otorgue, en materia de reparación, excavación, demolición, alineamiento y número oficial, y vigilar que reúnan las condiciones necesarias de seguridad, de conformidad con el Código Administrativo del Estado de México; </w:t>
      </w:r>
    </w:p>
    <w:p w:rsidR="00652572" w:rsidRDefault="00652572" w:rsidP="00AB4749">
      <w:pPr>
        <w:ind w:left="567" w:right="616"/>
        <w:jc w:val="both"/>
        <w:rPr>
          <w:rFonts w:ascii="Palatino Linotype" w:hAnsi="Palatino Linotype" w:cs="Arial"/>
          <w:i/>
          <w:sz w:val="22"/>
        </w:rPr>
      </w:pPr>
      <w:r w:rsidRPr="00652572">
        <w:rPr>
          <w:rFonts w:ascii="Palatino Linotype" w:hAnsi="Palatino Linotype" w:cs="Arial"/>
          <w:i/>
          <w:sz w:val="22"/>
        </w:rPr>
        <w:t xml:space="preserve">IV. Informar y orientar a toda la ciudadanía sobre los trámites que deban realizar para la obtención de licencias, autorizaciones y permisos de construcción, ampliación, modificación, reparación, excavación, demolición, alineamiento y número oficial; </w:t>
      </w:r>
    </w:p>
    <w:p w:rsidR="00652572" w:rsidRDefault="00652572" w:rsidP="00AB4749">
      <w:pPr>
        <w:ind w:left="567" w:right="616"/>
        <w:jc w:val="both"/>
        <w:rPr>
          <w:rFonts w:ascii="Palatino Linotype" w:hAnsi="Palatino Linotype" w:cs="Arial"/>
          <w:i/>
          <w:sz w:val="22"/>
        </w:rPr>
      </w:pPr>
      <w:r w:rsidRPr="00652572">
        <w:rPr>
          <w:rFonts w:ascii="Palatino Linotype" w:hAnsi="Palatino Linotype" w:cs="Arial"/>
          <w:i/>
          <w:sz w:val="22"/>
        </w:rPr>
        <w:lastRenderedPageBreak/>
        <w:t xml:space="preserve">V. Autorización y regularización de números oficiales, las nomenclaturas de las calles y avenidas, callejones, andadores y demás vías de comunicación dentro del Municipio; </w:t>
      </w:r>
    </w:p>
    <w:p w:rsidR="00652572" w:rsidRDefault="00652572" w:rsidP="00AB4749">
      <w:pPr>
        <w:ind w:left="567" w:right="616"/>
        <w:jc w:val="both"/>
        <w:rPr>
          <w:rFonts w:ascii="Palatino Linotype" w:hAnsi="Palatino Linotype" w:cs="Arial"/>
          <w:i/>
          <w:sz w:val="22"/>
        </w:rPr>
      </w:pPr>
      <w:r w:rsidRPr="00652572">
        <w:rPr>
          <w:rFonts w:ascii="Palatino Linotype" w:hAnsi="Palatino Linotype" w:cs="Arial"/>
          <w:i/>
          <w:sz w:val="22"/>
        </w:rPr>
        <w:t xml:space="preserve">VI. Intervenir en la regularización de la tenencia de la tierra; </w:t>
      </w:r>
    </w:p>
    <w:p w:rsidR="00652572" w:rsidRDefault="00652572" w:rsidP="00AB4749">
      <w:pPr>
        <w:ind w:left="567" w:right="616"/>
        <w:jc w:val="both"/>
        <w:rPr>
          <w:rFonts w:ascii="Palatino Linotype" w:hAnsi="Palatino Linotype" w:cs="Arial"/>
          <w:i/>
          <w:sz w:val="22"/>
        </w:rPr>
      </w:pPr>
      <w:r w:rsidRPr="00652572">
        <w:rPr>
          <w:rFonts w:ascii="Palatino Linotype" w:hAnsi="Palatino Linotype" w:cs="Arial"/>
          <w:i/>
          <w:sz w:val="22"/>
        </w:rPr>
        <w:t xml:space="preserve">VII. Proponer, ejecutar y supervisar las políticas, programas, proyectos y estudios municipales en materia de movilidad, que induzcan el mejor desplazamiento de personas y bienes, que además promuevan condiciones de accesibilidad, calidad y seguridad para las mismas; </w:t>
      </w:r>
    </w:p>
    <w:p w:rsidR="00652572" w:rsidRDefault="00652572" w:rsidP="00AB4749">
      <w:pPr>
        <w:ind w:left="567" w:right="616"/>
        <w:jc w:val="both"/>
        <w:rPr>
          <w:rFonts w:ascii="Palatino Linotype" w:hAnsi="Palatino Linotype" w:cs="Arial"/>
          <w:i/>
          <w:sz w:val="22"/>
        </w:rPr>
      </w:pPr>
      <w:r w:rsidRPr="00652572">
        <w:rPr>
          <w:rFonts w:ascii="Palatino Linotype" w:hAnsi="Palatino Linotype" w:cs="Arial"/>
          <w:i/>
          <w:sz w:val="22"/>
        </w:rPr>
        <w:t xml:space="preserve">VIII. Promover y respetar los principios en materia de movilidad, establecidos en la Ley de Movilidad del Estado de México; </w:t>
      </w:r>
    </w:p>
    <w:p w:rsidR="00652572" w:rsidRDefault="00652572" w:rsidP="00AB4749">
      <w:pPr>
        <w:ind w:left="567" w:right="616"/>
        <w:jc w:val="both"/>
        <w:rPr>
          <w:rFonts w:ascii="Palatino Linotype" w:hAnsi="Palatino Linotype" w:cs="Arial"/>
          <w:i/>
          <w:sz w:val="22"/>
        </w:rPr>
      </w:pPr>
      <w:r w:rsidRPr="00652572">
        <w:rPr>
          <w:rFonts w:ascii="Palatino Linotype" w:hAnsi="Palatino Linotype" w:cs="Arial"/>
          <w:i/>
          <w:sz w:val="22"/>
        </w:rPr>
        <w:t xml:space="preserve">IX. Proponer, articular, elaborar y actualizar Lineamientos, Planes, Programas y Acciones de acuerdo a la Ley de Movilidad del Estado de México y la planeación del desarrollo urbano del Municipio; </w:t>
      </w:r>
    </w:p>
    <w:p w:rsidR="002B3B27" w:rsidRDefault="00652572" w:rsidP="00AB4749">
      <w:pPr>
        <w:ind w:left="567" w:right="616"/>
        <w:jc w:val="both"/>
        <w:rPr>
          <w:rFonts w:ascii="Palatino Linotype" w:hAnsi="Palatino Linotype" w:cs="Arial"/>
          <w:i/>
          <w:sz w:val="22"/>
        </w:rPr>
      </w:pPr>
      <w:r w:rsidRPr="00652572">
        <w:rPr>
          <w:rFonts w:ascii="Palatino Linotype" w:hAnsi="Palatino Linotype" w:cs="Arial"/>
          <w:i/>
          <w:sz w:val="22"/>
        </w:rPr>
        <w:t>X. Según lo dispuesto por el Libro Quinto del Código Administrativo del Estado de México, para el otorgamiento de la Licencia de Construcción, se deberá contar con firma</w:t>
      </w:r>
      <w:r>
        <w:rPr>
          <w:rFonts w:ascii="Palatino Linotype" w:hAnsi="Palatino Linotype" w:cs="Arial"/>
          <w:i/>
          <w:sz w:val="22"/>
        </w:rPr>
        <w:t xml:space="preserve"> </w:t>
      </w:r>
      <w:r w:rsidRPr="00652572">
        <w:rPr>
          <w:rFonts w:ascii="Palatino Linotype" w:hAnsi="Palatino Linotype" w:cs="Arial"/>
          <w:i/>
          <w:sz w:val="22"/>
        </w:rPr>
        <w:t xml:space="preserve">de perito inscrito en un Colegio de Arquitectos y/o Ingenieros, con reconocimiento oficial, para garantizar la supervisión de obra y, en su caso, responsabilidades derivadas de la obra y/o la incongruencia del proyecto; </w:t>
      </w:r>
    </w:p>
    <w:p w:rsidR="002B3B27" w:rsidRDefault="00652572" w:rsidP="00AB4749">
      <w:pPr>
        <w:ind w:left="567" w:right="616"/>
        <w:jc w:val="both"/>
        <w:rPr>
          <w:rFonts w:ascii="Palatino Linotype" w:hAnsi="Palatino Linotype" w:cs="Arial"/>
          <w:i/>
          <w:sz w:val="22"/>
        </w:rPr>
      </w:pPr>
      <w:r w:rsidRPr="00652572">
        <w:rPr>
          <w:rFonts w:ascii="Palatino Linotype" w:hAnsi="Palatino Linotype" w:cs="Arial"/>
          <w:i/>
          <w:sz w:val="22"/>
        </w:rPr>
        <w:t xml:space="preserve">XI. Para que los particulares lleven a cabo la construcción de fosas sépticas, baños públicos, establecimientos de hospedajes, establecimientos de cría y producción de animales domésticos; y de descarga de aguas negras y/o residuales, además de los requisitos previstos por el Libro Quinto del Código Administrativo del Estado de México, se deberán contar con el visto bueno y autorización escrita del Instituto de Salud del Estado de México; </w:t>
      </w:r>
    </w:p>
    <w:p w:rsidR="002B3B27" w:rsidRDefault="00652572" w:rsidP="00AB4749">
      <w:pPr>
        <w:ind w:left="567" w:right="616"/>
        <w:jc w:val="both"/>
        <w:rPr>
          <w:rFonts w:ascii="Palatino Linotype" w:hAnsi="Palatino Linotype" w:cs="Arial"/>
          <w:i/>
          <w:sz w:val="22"/>
        </w:rPr>
      </w:pPr>
      <w:r w:rsidRPr="00652572">
        <w:rPr>
          <w:rFonts w:ascii="Palatino Linotype" w:hAnsi="Palatino Linotype" w:cs="Arial"/>
          <w:i/>
          <w:sz w:val="22"/>
        </w:rPr>
        <w:t xml:space="preserve">XII. Aplicar sanciones a la persona que tenga materiales para construcción, obstáculos, estorbos u otros objetos que obstruyan la vía pública, y </w:t>
      </w:r>
    </w:p>
    <w:p w:rsidR="00652572" w:rsidRDefault="00652572" w:rsidP="00AB4749">
      <w:pPr>
        <w:ind w:left="567" w:right="616"/>
        <w:jc w:val="both"/>
        <w:rPr>
          <w:rFonts w:ascii="Palatino Linotype" w:hAnsi="Palatino Linotype" w:cs="Arial"/>
          <w:i/>
          <w:sz w:val="22"/>
        </w:rPr>
      </w:pPr>
      <w:r w:rsidRPr="00652572">
        <w:rPr>
          <w:rFonts w:ascii="Palatino Linotype" w:hAnsi="Palatino Linotype" w:cs="Arial"/>
          <w:i/>
          <w:sz w:val="22"/>
        </w:rPr>
        <w:t>XIII. Las demás que señalen las Leyes, Reglamentos y disposiciones aplicables.</w:t>
      </w:r>
    </w:p>
    <w:p w:rsidR="00652572" w:rsidRPr="00A21BEA" w:rsidRDefault="00652572" w:rsidP="00AB4749">
      <w:pPr>
        <w:ind w:left="567" w:right="616"/>
        <w:jc w:val="both"/>
        <w:rPr>
          <w:rFonts w:ascii="Palatino Linotype" w:hAnsi="Palatino Linotype" w:cs="Arial"/>
          <w:sz w:val="22"/>
        </w:rPr>
      </w:pPr>
    </w:p>
    <w:p w:rsidR="00652572" w:rsidRPr="00A21BEA" w:rsidRDefault="00A21BEA" w:rsidP="00A21BEA">
      <w:pPr>
        <w:ind w:left="567" w:right="616"/>
        <w:jc w:val="right"/>
        <w:rPr>
          <w:rFonts w:ascii="Palatino Linotype" w:hAnsi="Palatino Linotype" w:cs="Arial"/>
          <w:sz w:val="22"/>
        </w:rPr>
      </w:pPr>
      <w:r>
        <w:rPr>
          <w:rFonts w:ascii="Palatino Linotype" w:hAnsi="Palatino Linotype" w:cs="Arial"/>
          <w:sz w:val="22"/>
        </w:rPr>
        <w:t>(Énfasis añadido)</w:t>
      </w:r>
    </w:p>
    <w:p w:rsidR="00AB4749" w:rsidRPr="005E71AB" w:rsidRDefault="00AB4749" w:rsidP="00AB4749">
      <w:pPr>
        <w:spacing w:line="360" w:lineRule="auto"/>
        <w:jc w:val="both"/>
        <w:rPr>
          <w:rFonts w:ascii="Palatino Linotype" w:hAnsi="Palatino Linotype" w:cs="Arial"/>
        </w:rPr>
      </w:pPr>
    </w:p>
    <w:p w:rsidR="00AB4749" w:rsidRPr="006950EC" w:rsidRDefault="00A21BEA" w:rsidP="00A21BEA">
      <w:pPr>
        <w:spacing w:line="360" w:lineRule="auto"/>
        <w:jc w:val="both"/>
        <w:rPr>
          <w:rFonts w:ascii="Palatino Linotype" w:hAnsi="Palatino Linotype" w:cs="Arial"/>
        </w:rPr>
      </w:pPr>
      <w:r>
        <w:rPr>
          <w:rFonts w:ascii="Palatino Linotype" w:hAnsi="Palatino Linotype" w:cs="Arial"/>
        </w:rPr>
        <w:t xml:space="preserve">Preceptos legales con los cuales podemos acreditar que </w:t>
      </w:r>
      <w:r w:rsidR="00AB4749" w:rsidRPr="005E71AB">
        <w:rPr>
          <w:rFonts w:ascii="Palatino Linotype" w:hAnsi="Palatino Linotype" w:cs="Arial"/>
        </w:rPr>
        <w:t xml:space="preserve">la Dirección de </w:t>
      </w:r>
      <w:r>
        <w:rPr>
          <w:rFonts w:ascii="Palatino Linotype" w:hAnsi="Palatino Linotype" w:cs="Arial"/>
        </w:rPr>
        <w:t xml:space="preserve">Desarrollo Urbano, Movilidad y Catastro, es el área que cuenta con atribuciones, en materia de reordenamiento urbano, de </w:t>
      </w:r>
      <w:r w:rsidRPr="00A21BEA">
        <w:rPr>
          <w:rFonts w:ascii="Palatino Linotype" w:hAnsi="Palatino Linotype" w:cs="Arial"/>
        </w:rPr>
        <w:t>Formular y conducir las políticas municipales de asentamientos humanos, urbanismo y vivienda</w:t>
      </w:r>
      <w:r w:rsidR="00AB4749" w:rsidRPr="006950EC">
        <w:rPr>
          <w:rFonts w:ascii="Palatino Linotype" w:hAnsi="Palatino Linotype" w:cs="Arial"/>
        </w:rPr>
        <w:t xml:space="preserve"> </w:t>
      </w:r>
    </w:p>
    <w:p w:rsidR="00AB4749" w:rsidRDefault="00AB4749" w:rsidP="00AB4749">
      <w:pPr>
        <w:spacing w:line="360" w:lineRule="auto"/>
        <w:jc w:val="both"/>
        <w:rPr>
          <w:rFonts w:ascii="Palatino Linotype" w:hAnsi="Palatino Linotype" w:cs="Arial"/>
        </w:rPr>
      </w:pPr>
    </w:p>
    <w:p w:rsidR="00320792" w:rsidRDefault="00320792" w:rsidP="00320792">
      <w:pPr>
        <w:spacing w:line="360" w:lineRule="auto"/>
        <w:rPr>
          <w:rFonts w:ascii="Palatino Linotype" w:hAnsi="Palatino Linotype" w:cs="Arial"/>
        </w:rPr>
      </w:pPr>
      <w:r>
        <w:rPr>
          <w:rFonts w:ascii="Palatino Linotype" w:hAnsi="Palatino Linotype" w:cs="Arial"/>
        </w:rPr>
        <w:t xml:space="preserve">Unidad Administrativa que, mediante informe justificado, informó haber realizado una búsqueda exhaustiva en sus archivos, sin contar con </w:t>
      </w:r>
      <w:r>
        <w:rPr>
          <w:rFonts w:ascii="Palatino Linotype" w:hAnsi="Palatino Linotype" w:cs="Arial"/>
          <w:i/>
        </w:rPr>
        <w:t>“…</w:t>
      </w:r>
      <w:r w:rsidRPr="00320792">
        <w:rPr>
          <w:rFonts w:ascii="Palatino Linotype" w:hAnsi="Palatino Linotype" w:cs="Arial"/>
          <w:i/>
        </w:rPr>
        <w:t xml:space="preserve">ninguna actualización e información </w:t>
      </w:r>
      <w:r w:rsidRPr="00320792">
        <w:rPr>
          <w:rFonts w:ascii="Palatino Linotype" w:hAnsi="Palatino Linotype" w:cs="Arial"/>
          <w:b/>
          <w:i/>
        </w:rPr>
        <w:t>de conjuntos urbanos habitacionales autorizados</w:t>
      </w:r>
      <w:r>
        <w:rPr>
          <w:rFonts w:ascii="Palatino Linotype" w:hAnsi="Palatino Linotype" w:cs="Arial"/>
          <w:i/>
        </w:rPr>
        <w:t>.”</w:t>
      </w:r>
      <w:r>
        <w:rPr>
          <w:rFonts w:ascii="Palatino Linotype" w:hAnsi="Palatino Linotype" w:cs="Arial"/>
        </w:rPr>
        <w:t>.</w:t>
      </w:r>
    </w:p>
    <w:p w:rsidR="00A21BEA" w:rsidRPr="00A21BEA" w:rsidRDefault="00320792" w:rsidP="00320792">
      <w:pPr>
        <w:spacing w:line="360" w:lineRule="auto"/>
        <w:jc w:val="both"/>
        <w:rPr>
          <w:rFonts w:ascii="Palatino Linotype" w:hAnsi="Palatino Linotype" w:cs="Arial"/>
        </w:rPr>
      </w:pPr>
      <w:r w:rsidRPr="00A21BEA">
        <w:rPr>
          <w:rFonts w:ascii="Palatino Linotype" w:hAnsi="Palatino Linotype" w:cs="Arial"/>
        </w:rPr>
        <w:lastRenderedPageBreak/>
        <w:t>Concluyendo</w:t>
      </w:r>
      <w:r w:rsidR="00A21BEA" w:rsidRPr="00A21BEA">
        <w:rPr>
          <w:rFonts w:ascii="Palatino Linotype" w:hAnsi="Palatino Linotype" w:cs="Arial"/>
        </w:rPr>
        <w:t xml:space="preserve"> de lo anterior, que nos encontramos en</w:t>
      </w:r>
      <w:r>
        <w:rPr>
          <w:rFonts w:ascii="Palatino Linotype" w:hAnsi="Palatino Linotype" w:cs="Arial"/>
        </w:rPr>
        <w:t xml:space="preserve"> presencia de un hecho negativo, el cual se considera en el sentido, que si bien se cuentan con atribuciones para poseer la información,</w:t>
      </w:r>
      <w:r w:rsidR="00A21BEA" w:rsidRPr="00A21BEA">
        <w:rPr>
          <w:rFonts w:ascii="Palatino Linotype" w:hAnsi="Palatino Linotype" w:cs="Arial"/>
        </w:rPr>
        <w:t xml:space="preserve"> </w:t>
      </w:r>
      <w:r>
        <w:rPr>
          <w:rFonts w:ascii="Palatino Linotype" w:hAnsi="Palatino Linotype" w:cs="Arial"/>
        </w:rPr>
        <w:t>el</w:t>
      </w:r>
      <w:r w:rsidR="00A21BEA" w:rsidRPr="00A21BEA">
        <w:rPr>
          <w:rFonts w:ascii="Palatino Linotype" w:hAnsi="Palatino Linotype" w:cs="Arial"/>
        </w:rPr>
        <w:t xml:space="preserve"> hecho no fue realizado y por lo tanto no obrará en los archivos del </w:t>
      </w:r>
      <w:r w:rsidRPr="00320792">
        <w:rPr>
          <w:rFonts w:ascii="Palatino Linotype" w:hAnsi="Palatino Linotype" w:cs="Arial"/>
          <w:b/>
        </w:rPr>
        <w:t>Sujeto Obligado</w:t>
      </w:r>
      <w:r w:rsidR="00A21BEA" w:rsidRPr="00A21BEA">
        <w:rPr>
          <w:rFonts w:ascii="Palatino Linotype" w:hAnsi="Palatino Linotype" w:cs="Arial"/>
        </w:rPr>
        <w:t>, ya que no puede probarse por ser lógica y materialmente imposible.</w:t>
      </w:r>
      <w:r>
        <w:rPr>
          <w:rFonts w:ascii="Palatino Linotype" w:hAnsi="Palatino Linotype" w:cs="Arial"/>
        </w:rPr>
        <w:t xml:space="preserve"> </w:t>
      </w:r>
      <w:r w:rsidR="00A21BEA" w:rsidRPr="00A21BEA">
        <w:rPr>
          <w:rFonts w:ascii="Palatino Linotype" w:hAnsi="Palatino Linotype" w:cs="Arial"/>
        </w:rPr>
        <w:t>Asimismo, no se trata de un caso por el cual la negación del hecho implique la afirmación del mismo, simplemente se está ante una notoria y evidente inexistencia de un acto, respecto de la información solicitada.</w:t>
      </w:r>
    </w:p>
    <w:p w:rsidR="00A21BEA" w:rsidRPr="00A21BEA" w:rsidRDefault="00A21BEA" w:rsidP="00A21BEA">
      <w:pPr>
        <w:spacing w:line="360" w:lineRule="auto"/>
        <w:ind w:right="51"/>
        <w:jc w:val="both"/>
        <w:rPr>
          <w:rFonts w:ascii="Palatino Linotype" w:hAnsi="Palatino Linotype" w:cs="Arial"/>
        </w:rPr>
      </w:pPr>
    </w:p>
    <w:p w:rsidR="00A21BEA" w:rsidRPr="00A21BEA" w:rsidRDefault="00A21BEA" w:rsidP="00A21BEA">
      <w:pPr>
        <w:spacing w:line="360" w:lineRule="auto"/>
        <w:ind w:right="51"/>
        <w:jc w:val="both"/>
        <w:rPr>
          <w:rFonts w:ascii="Palatino Linotype" w:hAnsi="Palatino Linotype" w:cs="Arial"/>
        </w:rPr>
      </w:pPr>
      <w:r w:rsidRPr="00A21BEA">
        <w:rPr>
          <w:rFonts w:ascii="Palatino Linotype" w:hAnsi="Palatino Linotype" w:cs="Arial"/>
        </w:rPr>
        <w:t>Entonces, de conformidad con lo establecido en el artículo 12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rsidR="00A21BEA" w:rsidRPr="00A21BEA" w:rsidRDefault="00A21BEA" w:rsidP="00A21BEA">
      <w:pPr>
        <w:spacing w:line="360" w:lineRule="auto"/>
        <w:ind w:right="51"/>
        <w:jc w:val="both"/>
        <w:rPr>
          <w:rFonts w:ascii="Palatino Linotype" w:hAnsi="Palatino Linotype" w:cs="Arial"/>
        </w:rPr>
      </w:pPr>
    </w:p>
    <w:p w:rsidR="00A21BEA" w:rsidRPr="00A21BEA" w:rsidRDefault="00A21BEA" w:rsidP="00A21BEA">
      <w:pPr>
        <w:spacing w:line="360" w:lineRule="auto"/>
        <w:ind w:right="51"/>
        <w:jc w:val="both"/>
        <w:rPr>
          <w:rFonts w:ascii="Palatino Linotype" w:hAnsi="Palatino Linotype" w:cs="Arial"/>
        </w:rPr>
      </w:pPr>
      <w:r w:rsidRPr="00A21BEA">
        <w:rPr>
          <w:rFonts w:ascii="Palatino Linotype" w:hAnsi="Palatino Linotype" w:cs="Arial"/>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rsidR="00A21BEA" w:rsidRPr="00A21BEA" w:rsidRDefault="00A21BEA" w:rsidP="00A21BEA">
      <w:pPr>
        <w:spacing w:line="360" w:lineRule="auto"/>
        <w:ind w:right="51"/>
        <w:jc w:val="both"/>
        <w:rPr>
          <w:rFonts w:ascii="Palatino Linotype" w:hAnsi="Palatino Linotype" w:cs="Arial"/>
        </w:rPr>
      </w:pPr>
    </w:p>
    <w:p w:rsidR="00A21BEA" w:rsidRPr="00A21BEA" w:rsidRDefault="00A21BEA" w:rsidP="00A21BEA">
      <w:pPr>
        <w:ind w:left="567" w:right="616"/>
        <w:jc w:val="both"/>
        <w:rPr>
          <w:rFonts w:ascii="Palatino Linotype" w:hAnsi="Palatino Linotype" w:cs="Arial"/>
          <w:i/>
          <w:sz w:val="22"/>
        </w:rPr>
      </w:pPr>
      <w:r w:rsidRPr="00A21BEA">
        <w:rPr>
          <w:rFonts w:ascii="Palatino Linotype" w:hAnsi="Palatino Linotype" w:cs="Arial"/>
          <w:i/>
          <w:sz w:val="22"/>
        </w:rPr>
        <w:t>“</w:t>
      </w:r>
      <w:r w:rsidRPr="00A21BEA">
        <w:rPr>
          <w:rFonts w:ascii="Palatino Linotype" w:hAnsi="Palatino Linotype" w:cs="Arial"/>
          <w:b/>
          <w:i/>
          <w:sz w:val="22"/>
        </w:rPr>
        <w:t>HECHOS NEGATIVOS, NO SON SUSCEPTIBLES DE DEMOSTRACIÓN</w:t>
      </w:r>
      <w:r w:rsidRPr="00A21BEA">
        <w:rPr>
          <w:rFonts w:ascii="Palatino Linotype" w:hAnsi="Palatino Linotype" w:cs="Arial"/>
          <w:i/>
          <w:sz w:val="22"/>
        </w:rPr>
        <w:t xml:space="preserve">. Tratándose de un hecho negativo, el Juez no tiene </w:t>
      </w:r>
      <w:proofErr w:type="spellStart"/>
      <w:r w:rsidRPr="00A21BEA">
        <w:rPr>
          <w:rFonts w:ascii="Palatino Linotype" w:hAnsi="Palatino Linotype" w:cs="Arial"/>
          <w:i/>
          <w:sz w:val="22"/>
        </w:rPr>
        <w:t>por que</w:t>
      </w:r>
      <w:proofErr w:type="spellEnd"/>
      <w:r w:rsidRPr="00A21BEA">
        <w:rPr>
          <w:rFonts w:ascii="Palatino Linotype" w:hAnsi="Palatino Linotype" w:cs="Arial"/>
          <w:i/>
          <w:sz w:val="22"/>
        </w:rPr>
        <w:t xml:space="preserve"> invocar prueba alguna de la que se desprenda, ya que es bien sabido que esta clase de hechos no son susceptibles de demostración.</w:t>
      </w:r>
    </w:p>
    <w:p w:rsidR="00A21BEA" w:rsidRPr="00A21BEA" w:rsidRDefault="00A21BEA" w:rsidP="00A21BEA">
      <w:pPr>
        <w:ind w:left="567" w:right="616"/>
        <w:jc w:val="both"/>
        <w:rPr>
          <w:rFonts w:ascii="Palatino Linotype" w:hAnsi="Palatino Linotype" w:cs="Arial"/>
          <w:i/>
          <w:sz w:val="22"/>
        </w:rPr>
      </w:pPr>
      <w:r w:rsidRPr="00A21BEA">
        <w:rPr>
          <w:rFonts w:ascii="Palatino Linotype" w:hAnsi="Palatino Linotype" w:cs="Arial"/>
          <w:i/>
          <w:sz w:val="22"/>
        </w:rPr>
        <w:t>Amparo en revisión 2022/61. José García Florín (Menor). 9 de octubre de 1961. Cinco votos. Ponente: José Rivera Pérez Campos.”</w:t>
      </w:r>
    </w:p>
    <w:p w:rsidR="00A21BEA" w:rsidRPr="00A21BEA" w:rsidRDefault="00A21BEA" w:rsidP="00A21BEA">
      <w:pPr>
        <w:spacing w:line="360" w:lineRule="auto"/>
        <w:ind w:right="51"/>
        <w:jc w:val="both"/>
        <w:rPr>
          <w:rFonts w:ascii="Palatino Linotype" w:hAnsi="Palatino Linotype" w:cs="Arial"/>
        </w:rPr>
      </w:pPr>
    </w:p>
    <w:p w:rsidR="00A21BEA" w:rsidRPr="00A21BEA" w:rsidRDefault="00A21BEA" w:rsidP="00A21BEA">
      <w:pPr>
        <w:spacing w:line="360" w:lineRule="auto"/>
        <w:ind w:right="51"/>
        <w:jc w:val="both"/>
        <w:rPr>
          <w:rFonts w:ascii="Palatino Linotype" w:hAnsi="Palatino Linotype" w:cs="Arial"/>
        </w:rPr>
      </w:pPr>
      <w:r w:rsidRPr="00A21BEA">
        <w:rPr>
          <w:rFonts w:ascii="Palatino Linotype" w:hAnsi="Palatino Linotype" w:cs="Arial"/>
        </w:rPr>
        <w:lastRenderedPageBreak/>
        <w:t xml:space="preserve">Aquí, debe dejarse en claro que al haber existido un pronunciamiento por parte del </w:t>
      </w:r>
      <w:r w:rsidRPr="00D21618">
        <w:rPr>
          <w:rFonts w:ascii="Palatino Linotype" w:hAnsi="Palatino Linotype" w:cs="Arial"/>
          <w:b/>
        </w:rPr>
        <w:t>Sujeto Obligado</w:t>
      </w:r>
      <w:r w:rsidRPr="00A21BEA">
        <w:rPr>
          <w:rFonts w:ascii="Palatino Linotype" w:hAnsi="Palatino Linotype" w:cs="Arial"/>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rsidR="00A21BEA" w:rsidRPr="00A21BEA" w:rsidRDefault="00A21BEA" w:rsidP="00A21BEA">
      <w:pPr>
        <w:spacing w:line="360" w:lineRule="auto"/>
        <w:ind w:right="51"/>
        <w:jc w:val="both"/>
        <w:rPr>
          <w:rFonts w:ascii="Palatino Linotype" w:hAnsi="Palatino Linotype" w:cs="Arial"/>
        </w:rPr>
      </w:pPr>
    </w:p>
    <w:p w:rsidR="00AB4749" w:rsidRPr="00A21BEA" w:rsidRDefault="00A21BEA" w:rsidP="00A21BEA">
      <w:pPr>
        <w:ind w:left="567" w:right="616"/>
        <w:jc w:val="both"/>
        <w:rPr>
          <w:rFonts w:ascii="Palatino Linotype" w:eastAsiaTheme="minorHAnsi" w:hAnsi="Palatino Linotype" w:cs="Arial"/>
          <w:i/>
          <w:sz w:val="22"/>
          <w:lang w:eastAsia="en-US"/>
        </w:rPr>
      </w:pPr>
      <w:r w:rsidRPr="00A21BEA">
        <w:rPr>
          <w:rFonts w:ascii="Palatino Linotype" w:hAnsi="Palatino Linotype" w:cs="Arial"/>
          <w:i/>
          <w:sz w:val="22"/>
        </w:rPr>
        <w:t>“</w:t>
      </w:r>
      <w:r w:rsidRPr="00A21BEA">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A21BEA">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20792" w:rsidRDefault="00320792" w:rsidP="00AB4749">
      <w:pPr>
        <w:spacing w:line="360" w:lineRule="auto"/>
        <w:ind w:right="51"/>
        <w:jc w:val="both"/>
        <w:rPr>
          <w:rFonts w:ascii="Palatino Linotype" w:eastAsiaTheme="minorHAnsi" w:hAnsi="Palatino Linotype" w:cs="Arial"/>
          <w:lang w:val="es-MX" w:eastAsia="en-US"/>
        </w:rPr>
      </w:pPr>
    </w:p>
    <w:p w:rsidR="00320792" w:rsidRPr="00320792" w:rsidRDefault="00D21618" w:rsidP="00320792">
      <w:pPr>
        <w:spacing w:line="360" w:lineRule="auto"/>
        <w:jc w:val="both"/>
        <w:rPr>
          <w:rFonts w:ascii="Palatino Linotype" w:eastAsiaTheme="minorEastAsia" w:hAnsi="Palatino Linotype" w:cs="Arial"/>
          <w:lang w:val="es-ES_tradnl"/>
        </w:rPr>
      </w:pPr>
      <w:r w:rsidRPr="00320792">
        <w:rPr>
          <w:rFonts w:ascii="Palatino Linotype" w:eastAsia="Calibri" w:hAnsi="Palatino Linotype"/>
          <w:lang w:val="es-ES_tradnl"/>
        </w:rPr>
        <w:t>En</w:t>
      </w:r>
      <w:r w:rsidR="00320792" w:rsidRPr="00320792">
        <w:rPr>
          <w:rFonts w:ascii="Palatino Linotype" w:eastAsia="Calibri" w:hAnsi="Palatino Linotype"/>
          <w:lang w:val="es-ES_tradnl"/>
        </w:rPr>
        <w:t xml:space="preserve"> ese orden de ideas, </w:t>
      </w:r>
      <w:r w:rsidR="00320792" w:rsidRPr="00320792">
        <w:rPr>
          <w:rFonts w:ascii="Palatino Linotype" w:eastAsiaTheme="minorHAnsi" w:hAnsi="Palatino Linotype" w:cs="Arial"/>
          <w:lang w:val="es-MX" w:eastAsia="en-US"/>
        </w:rPr>
        <w:t xml:space="preserve">podemos concluir que resulta de </w:t>
      </w:r>
      <w:r w:rsidR="00320792" w:rsidRPr="00320792">
        <w:rPr>
          <w:rFonts w:ascii="Palatino Linotype" w:eastAsiaTheme="minorEastAsia" w:hAnsi="Palatino Linotype" w:cs="Arial"/>
          <w:lang w:val="es-ES_tradnl"/>
        </w:rPr>
        <w:t>observancia lo consagrado en la fracción III del artículo 192, de la Ley de Transparencia y Acceso a la Información Pública del Estado de México y Municipios</w:t>
      </w:r>
      <w:r w:rsidR="00320792" w:rsidRPr="00320792">
        <w:rPr>
          <w:rFonts w:ascii="Palatino Linotype" w:eastAsiaTheme="minorEastAsia" w:hAnsi="Palatino Linotype" w:cs="Arial"/>
          <w:b/>
          <w:lang w:val="es-ES_tradnl"/>
        </w:rPr>
        <w:t xml:space="preserve"> </w:t>
      </w:r>
      <w:r w:rsidR="00320792" w:rsidRPr="00320792">
        <w:rPr>
          <w:rFonts w:ascii="Palatino Linotype" w:eastAsiaTheme="minorEastAsia" w:hAnsi="Palatino Linotype" w:cs="Arial"/>
          <w:lang w:val="es-ES_tradnl"/>
        </w:rPr>
        <w:t>vigente, que a la letra señala:</w:t>
      </w:r>
    </w:p>
    <w:p w:rsidR="00320792" w:rsidRPr="00320792" w:rsidRDefault="00320792" w:rsidP="00320792">
      <w:pPr>
        <w:spacing w:line="360" w:lineRule="auto"/>
        <w:jc w:val="both"/>
        <w:rPr>
          <w:rFonts w:ascii="Palatino Linotype" w:eastAsia="Calibri" w:hAnsi="Palatino Linotype"/>
          <w:lang w:val="es-ES_tradnl"/>
        </w:rPr>
      </w:pPr>
    </w:p>
    <w:p w:rsidR="00320792" w:rsidRPr="00320792" w:rsidRDefault="00320792" w:rsidP="00D21618">
      <w:pPr>
        <w:autoSpaceDE w:val="0"/>
        <w:autoSpaceDN w:val="0"/>
        <w:adjustRightInd w:val="0"/>
        <w:ind w:left="567" w:right="567"/>
        <w:contextualSpacing/>
        <w:jc w:val="both"/>
        <w:rPr>
          <w:rFonts w:ascii="Palatino Linotype" w:eastAsiaTheme="minorEastAsia" w:hAnsi="Palatino Linotype" w:cs="Arial"/>
          <w:i/>
          <w:sz w:val="22"/>
          <w:lang w:val="es-ES_tradnl"/>
        </w:rPr>
      </w:pPr>
      <w:r w:rsidRPr="00320792">
        <w:rPr>
          <w:rFonts w:ascii="Palatino Linotype" w:eastAsiaTheme="minorEastAsia" w:hAnsi="Palatino Linotype" w:cs="Arial"/>
          <w:b/>
          <w:bCs/>
          <w:i/>
          <w:sz w:val="22"/>
          <w:lang w:val="es-ES_tradnl"/>
        </w:rPr>
        <w:t xml:space="preserve">“Artículo 192. </w:t>
      </w:r>
      <w:r w:rsidRPr="00320792">
        <w:rPr>
          <w:rFonts w:ascii="Palatino Linotype" w:eastAsiaTheme="minorEastAsia" w:hAnsi="Palatino Linotype" w:cs="Arial"/>
          <w:i/>
          <w:sz w:val="22"/>
          <w:lang w:val="es-ES_tradnl"/>
        </w:rPr>
        <w:t>El recurso será sobreseído, en todo o en parte, cuando una vez admitido, se actualicen alguno de los siguientes supuestos:</w:t>
      </w:r>
    </w:p>
    <w:p w:rsidR="00320792" w:rsidRPr="00320792" w:rsidRDefault="00320792" w:rsidP="00D21618">
      <w:pPr>
        <w:autoSpaceDE w:val="0"/>
        <w:autoSpaceDN w:val="0"/>
        <w:adjustRightInd w:val="0"/>
        <w:ind w:left="567" w:right="567"/>
        <w:rPr>
          <w:rFonts w:ascii="Palatino Linotype" w:eastAsiaTheme="minorEastAsia" w:hAnsi="Palatino Linotype" w:cs="Arial"/>
          <w:i/>
          <w:sz w:val="22"/>
        </w:rPr>
      </w:pPr>
      <w:r w:rsidRPr="00320792">
        <w:rPr>
          <w:rFonts w:ascii="Palatino Linotype" w:eastAsiaTheme="minorEastAsia" w:hAnsi="Palatino Linotype" w:cs="Arial"/>
          <w:bCs/>
          <w:i/>
          <w:sz w:val="22"/>
        </w:rPr>
        <w:t>(…)</w:t>
      </w:r>
    </w:p>
    <w:p w:rsidR="00320792" w:rsidRPr="00320792" w:rsidRDefault="00320792" w:rsidP="00D21618">
      <w:pPr>
        <w:autoSpaceDE w:val="0"/>
        <w:autoSpaceDN w:val="0"/>
        <w:adjustRightInd w:val="0"/>
        <w:ind w:left="567" w:right="567"/>
        <w:jc w:val="both"/>
        <w:rPr>
          <w:rFonts w:ascii="Palatino Linotype" w:eastAsiaTheme="minorEastAsia" w:hAnsi="Palatino Linotype" w:cs="Arial"/>
          <w:i/>
          <w:sz w:val="22"/>
        </w:rPr>
      </w:pPr>
      <w:r w:rsidRPr="00320792">
        <w:rPr>
          <w:rFonts w:ascii="Palatino Linotype" w:eastAsiaTheme="minorEastAsia" w:hAnsi="Palatino Linotype" w:cs="Arial"/>
          <w:b/>
          <w:i/>
          <w:sz w:val="22"/>
        </w:rPr>
        <w:t xml:space="preserve">III. </w:t>
      </w:r>
      <w:r w:rsidRPr="00320792">
        <w:rPr>
          <w:rFonts w:ascii="Palatino Linotype" w:eastAsiaTheme="minorEastAsia" w:hAnsi="Palatino Linotype" w:cs="Arial"/>
          <w:i/>
          <w:sz w:val="22"/>
        </w:rPr>
        <w:t xml:space="preserve">El sujeto obligado responsable del acto lo </w:t>
      </w:r>
      <w:r w:rsidRPr="00320792">
        <w:rPr>
          <w:rFonts w:ascii="Palatino Linotype" w:eastAsiaTheme="minorEastAsia" w:hAnsi="Palatino Linotype" w:cs="Arial"/>
          <w:b/>
          <w:i/>
          <w:sz w:val="22"/>
        </w:rPr>
        <w:t>modifique</w:t>
      </w:r>
      <w:r w:rsidRPr="00320792">
        <w:rPr>
          <w:rFonts w:ascii="Palatino Linotype" w:eastAsiaTheme="minorEastAsia" w:hAnsi="Palatino Linotype" w:cs="Arial"/>
          <w:i/>
          <w:sz w:val="22"/>
        </w:rPr>
        <w:t xml:space="preserve"> o revoque de tal manera que el recurso de revisión quede sin materia;</w:t>
      </w:r>
    </w:p>
    <w:p w:rsidR="00320792" w:rsidRPr="00320792" w:rsidRDefault="00320792" w:rsidP="00D21618">
      <w:pPr>
        <w:autoSpaceDE w:val="0"/>
        <w:autoSpaceDN w:val="0"/>
        <w:adjustRightInd w:val="0"/>
        <w:ind w:left="567" w:right="567"/>
        <w:rPr>
          <w:rFonts w:ascii="Palatino Linotype" w:eastAsiaTheme="minorEastAsia" w:hAnsi="Palatino Linotype" w:cs="Arial"/>
          <w:i/>
          <w:sz w:val="22"/>
        </w:rPr>
      </w:pPr>
      <w:r w:rsidRPr="00320792">
        <w:rPr>
          <w:rFonts w:ascii="Palatino Linotype" w:eastAsiaTheme="minorEastAsia" w:hAnsi="Palatino Linotype" w:cs="Arial"/>
          <w:i/>
          <w:sz w:val="22"/>
        </w:rPr>
        <w:t>(…)</w:t>
      </w:r>
    </w:p>
    <w:p w:rsidR="00320792" w:rsidRPr="00320792" w:rsidRDefault="00320792" w:rsidP="00D21618">
      <w:pPr>
        <w:autoSpaceDE w:val="0"/>
        <w:autoSpaceDN w:val="0"/>
        <w:adjustRightInd w:val="0"/>
        <w:ind w:left="567" w:right="567"/>
        <w:contextualSpacing/>
        <w:jc w:val="right"/>
        <w:rPr>
          <w:rFonts w:ascii="Palatino Linotype" w:eastAsiaTheme="minorEastAsia" w:hAnsi="Palatino Linotype" w:cs="Arial"/>
          <w:sz w:val="22"/>
        </w:rPr>
      </w:pPr>
      <w:r w:rsidRPr="00320792">
        <w:rPr>
          <w:rFonts w:ascii="Palatino Linotype" w:eastAsiaTheme="minorEastAsia" w:hAnsi="Palatino Linotype" w:cs="Arial"/>
          <w:sz w:val="22"/>
        </w:rPr>
        <w:t>(Énfasis añadido)</w:t>
      </w:r>
    </w:p>
    <w:p w:rsidR="00320792" w:rsidRPr="00320792" w:rsidRDefault="00320792" w:rsidP="00320792">
      <w:pPr>
        <w:spacing w:line="360" w:lineRule="auto"/>
        <w:jc w:val="both"/>
        <w:rPr>
          <w:rFonts w:ascii="Palatino Linotype" w:eastAsia="Batang" w:hAnsi="Palatino Linotype" w:cs="Arial"/>
          <w:lang w:val="es-ES_tradnl"/>
        </w:rPr>
      </w:pPr>
      <w:r w:rsidRPr="00320792">
        <w:rPr>
          <w:rFonts w:ascii="Palatino Linotype" w:eastAsiaTheme="minorEastAsia" w:hAnsi="Palatino Linotype"/>
        </w:rPr>
        <w:lastRenderedPageBreak/>
        <w:t xml:space="preserve">El citado precepto legal </w:t>
      </w:r>
      <w:r w:rsidRPr="00320792">
        <w:rPr>
          <w:rFonts w:ascii="Palatino Linotype" w:eastAsia="Batang" w:hAnsi="Palatino Linotype" w:cs="Arial"/>
          <w:lang w:val="es-ES_tradnl"/>
        </w:rPr>
        <w:t xml:space="preserve">consagra la procedencia para sobreseer el recurso de revisión cuando una vez admitido, el </w:t>
      </w:r>
      <w:r w:rsidRPr="00320792">
        <w:rPr>
          <w:rFonts w:ascii="Palatino Linotype" w:eastAsia="Batang" w:hAnsi="Palatino Linotype" w:cs="Arial"/>
          <w:b/>
          <w:lang w:val="es-ES_tradnl"/>
        </w:rPr>
        <w:t>Sujeto Obligado</w:t>
      </w:r>
      <w:r w:rsidRPr="00320792">
        <w:rPr>
          <w:rFonts w:ascii="Palatino Linotype" w:eastAsia="Batang" w:hAnsi="Palatino Linotype" w:cs="Arial"/>
          <w:lang w:val="es-ES_tradnl"/>
        </w:rPr>
        <w:t xml:space="preserve"> modifique o revoque su acto, de tal manera que el recurso de revisión quede sin materia, circunstancias que se acreditan por lo siguiente:</w:t>
      </w:r>
    </w:p>
    <w:p w:rsidR="00320792" w:rsidRPr="00320792" w:rsidRDefault="00320792" w:rsidP="00320792">
      <w:pPr>
        <w:spacing w:line="360" w:lineRule="auto"/>
        <w:jc w:val="both"/>
        <w:rPr>
          <w:rFonts w:ascii="Palatino Linotype" w:eastAsia="Batang" w:hAnsi="Palatino Linotype" w:cs="Arial"/>
          <w:lang w:val="es-ES_tradnl"/>
        </w:rPr>
      </w:pPr>
    </w:p>
    <w:p w:rsidR="00320792" w:rsidRPr="00320792" w:rsidRDefault="00320792" w:rsidP="00320792">
      <w:pPr>
        <w:spacing w:line="360" w:lineRule="auto"/>
        <w:jc w:val="both"/>
        <w:rPr>
          <w:rFonts w:ascii="Palatino Linotype" w:eastAsia="Batang" w:hAnsi="Palatino Linotype" w:cs="Arial"/>
          <w:lang w:val="es-ES_tradnl"/>
        </w:rPr>
      </w:pPr>
      <w:r w:rsidRPr="00320792">
        <w:rPr>
          <w:rFonts w:ascii="Palatino Linotype" w:eastAsia="Batang" w:hAnsi="Palatino Linotype" w:cs="Arial"/>
          <w:lang w:val="es-ES_tradnl"/>
        </w:rPr>
        <w:t xml:space="preserve">Como se observa en el apartado de antecedentes de la presente resolución, en un primer momento el </w:t>
      </w:r>
      <w:r w:rsidRPr="00320792">
        <w:rPr>
          <w:rFonts w:ascii="Palatino Linotype" w:eastAsia="Batang" w:hAnsi="Palatino Linotype" w:cs="Arial"/>
          <w:b/>
          <w:lang w:val="es-ES_tradnl"/>
        </w:rPr>
        <w:t>Sujeto Obligado</w:t>
      </w:r>
      <w:r w:rsidRPr="00320792">
        <w:rPr>
          <w:rFonts w:ascii="Palatino Linotype" w:eastAsia="Batang" w:hAnsi="Palatino Linotype" w:cs="Arial"/>
          <w:lang w:val="es-ES_tradnl"/>
        </w:rPr>
        <w:t xml:space="preserve"> </w:t>
      </w:r>
      <w:r w:rsidR="00670A11">
        <w:rPr>
          <w:rFonts w:ascii="Palatino Linotype" w:eastAsia="Batang" w:hAnsi="Palatino Linotype" w:cs="Arial"/>
          <w:lang w:val="es-ES_tradnl"/>
        </w:rPr>
        <w:t xml:space="preserve">no </w:t>
      </w:r>
      <w:r w:rsidRPr="00320792">
        <w:rPr>
          <w:rFonts w:ascii="Palatino Linotype" w:eastAsia="Batang" w:hAnsi="Palatino Linotype" w:cs="Arial"/>
          <w:lang w:val="es-ES_tradnl"/>
        </w:rPr>
        <w:t xml:space="preserve">emitió </w:t>
      </w:r>
      <w:r w:rsidR="00670A11">
        <w:rPr>
          <w:rFonts w:ascii="Palatino Linotype" w:eastAsia="Batang" w:hAnsi="Palatino Linotype" w:cs="Arial"/>
          <w:lang w:val="es-ES_tradnl"/>
        </w:rPr>
        <w:t xml:space="preserve">debida </w:t>
      </w:r>
      <w:r w:rsidRPr="00320792">
        <w:rPr>
          <w:rFonts w:ascii="Palatino Linotype" w:eastAsia="Batang" w:hAnsi="Palatino Linotype" w:cs="Arial"/>
          <w:lang w:val="es-ES_tradnl"/>
        </w:rPr>
        <w:t xml:space="preserve">respuesta a la solicitud de información, posteriormente, </w:t>
      </w:r>
      <w:r w:rsidRPr="00320792">
        <w:rPr>
          <w:rFonts w:ascii="Palatino Linotype" w:eastAsia="Batang" w:hAnsi="Palatino Linotype" w:cs="Arial"/>
          <w:b/>
          <w:lang w:val="es-ES_tradnl"/>
        </w:rPr>
        <w:t>a través de su informe justificado, modifica su respuesta</w:t>
      </w:r>
      <w:r w:rsidRPr="00320792">
        <w:rPr>
          <w:rFonts w:ascii="Palatino Linotype" w:eastAsia="Batang" w:hAnsi="Palatino Linotype" w:cs="Arial"/>
          <w:lang w:val="es-ES_tradnl"/>
        </w:rPr>
        <w:t xml:space="preserve"> en el sentido de </w:t>
      </w:r>
      <w:r w:rsidR="00670A11">
        <w:rPr>
          <w:rFonts w:ascii="Palatino Linotype" w:eastAsia="Batang" w:hAnsi="Palatino Linotype" w:cs="Arial"/>
          <w:lang w:val="es-ES_tradnl"/>
        </w:rPr>
        <w:t>subsanar su omisión de adjuntar la respuesta del área competente que, en ejercicio de sus atribuciones pudiera poseer la información.</w:t>
      </w:r>
    </w:p>
    <w:p w:rsidR="00320792" w:rsidRPr="00320792" w:rsidRDefault="00320792" w:rsidP="00320792">
      <w:pPr>
        <w:spacing w:line="360" w:lineRule="auto"/>
        <w:jc w:val="both"/>
        <w:rPr>
          <w:rFonts w:ascii="Palatino Linotype" w:eastAsia="Batang" w:hAnsi="Palatino Linotype" w:cs="Arial"/>
          <w:lang w:val="es-ES_tradnl"/>
        </w:rPr>
      </w:pPr>
    </w:p>
    <w:p w:rsidR="00320792" w:rsidRPr="00320792" w:rsidRDefault="00320792" w:rsidP="00320792">
      <w:pPr>
        <w:spacing w:line="360" w:lineRule="auto"/>
        <w:jc w:val="both"/>
        <w:rPr>
          <w:rFonts w:ascii="Palatino Linotype" w:eastAsia="Batang" w:hAnsi="Palatino Linotype" w:cs="Arial"/>
          <w:lang w:val="es-ES_tradnl"/>
        </w:rPr>
      </w:pPr>
      <w:r w:rsidRPr="00320792">
        <w:rPr>
          <w:rFonts w:ascii="Palatino Linotype" w:eastAsia="Batang" w:hAnsi="Palatino Linotype" w:cs="Arial"/>
        </w:rPr>
        <w:t>En consecuencia, resulta procedente determinar el sobreseimiento del presente recurso de revisión, el cual 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320792" w:rsidRPr="00320792" w:rsidRDefault="00320792" w:rsidP="00320792">
      <w:pPr>
        <w:spacing w:line="360" w:lineRule="auto"/>
        <w:ind w:left="720"/>
        <w:contextualSpacing/>
        <w:rPr>
          <w:rFonts w:ascii="Palatino Linotype" w:eastAsia="Batang" w:hAnsi="Palatino Linotype" w:cs="Arial"/>
          <w:lang w:val="es-ES_tradnl"/>
        </w:rPr>
      </w:pPr>
    </w:p>
    <w:p w:rsidR="00320792" w:rsidRPr="00320792" w:rsidRDefault="00320792" w:rsidP="00320792">
      <w:pPr>
        <w:autoSpaceDE w:val="0"/>
        <w:autoSpaceDN w:val="0"/>
        <w:adjustRightInd w:val="0"/>
        <w:ind w:left="567" w:right="567"/>
        <w:contextualSpacing/>
        <w:jc w:val="both"/>
        <w:rPr>
          <w:rFonts w:ascii="Palatino Linotype" w:eastAsia="Batang" w:hAnsi="Palatino Linotype" w:cs="Arial"/>
          <w:b/>
          <w:i/>
          <w:sz w:val="22"/>
          <w:szCs w:val="22"/>
          <w:lang w:val="es-AR"/>
        </w:rPr>
      </w:pPr>
      <w:r w:rsidRPr="00320792">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rsidR="00320792" w:rsidRPr="00320792" w:rsidRDefault="00320792" w:rsidP="00320792">
      <w:pPr>
        <w:autoSpaceDE w:val="0"/>
        <w:autoSpaceDN w:val="0"/>
        <w:adjustRightInd w:val="0"/>
        <w:ind w:left="567" w:right="567"/>
        <w:contextualSpacing/>
        <w:jc w:val="both"/>
        <w:rPr>
          <w:rFonts w:ascii="Palatino Linotype" w:eastAsia="Batang" w:hAnsi="Palatino Linotype" w:cs="Arial"/>
          <w:i/>
          <w:sz w:val="22"/>
          <w:szCs w:val="22"/>
          <w:lang w:val="es-AR"/>
        </w:rPr>
      </w:pPr>
      <w:r w:rsidRPr="00320792">
        <w:rPr>
          <w:rFonts w:ascii="Palatino Linotype" w:eastAsia="Batang" w:hAnsi="Palatino Linotype" w:cs="Arial"/>
          <w:i/>
          <w:sz w:val="22"/>
          <w:szCs w:val="22"/>
          <w:lang w:val="es-AR"/>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w:t>
      </w:r>
      <w:r w:rsidRPr="00320792">
        <w:rPr>
          <w:rFonts w:ascii="Palatino Linotype" w:eastAsia="Batang" w:hAnsi="Palatino Linotype" w:cs="Arial"/>
          <w:b/>
          <w:i/>
          <w:sz w:val="22"/>
          <w:szCs w:val="22"/>
          <w:lang w:val="es-AR"/>
        </w:rPr>
        <w:t>al sobreseerse en el juicio de amparo no se pueden estudiar los planteamientos que se hacen valer en contra del fallo reclamado</w:t>
      </w:r>
      <w:r w:rsidRPr="00320792">
        <w:rPr>
          <w:rFonts w:ascii="Palatino Linotype" w:eastAsia="Batang" w:hAnsi="Palatino Linotype" w:cs="Arial"/>
          <w:i/>
          <w:sz w:val="22"/>
          <w:szCs w:val="22"/>
          <w:lang w:val="es-AR"/>
        </w:rPr>
        <w:t>, tampoco se deben analizar las violaciones procesales propuestas en los conceptos de violación, dado que, la principal consecuencia del sobreseimiento es poner fin al juicio de amparo sin resolver la controversia en sus méritos.</w:t>
      </w:r>
    </w:p>
    <w:p w:rsidR="00320792" w:rsidRPr="00320792" w:rsidRDefault="00320792" w:rsidP="00320792">
      <w:pPr>
        <w:autoSpaceDE w:val="0"/>
        <w:autoSpaceDN w:val="0"/>
        <w:adjustRightInd w:val="0"/>
        <w:ind w:left="567" w:right="567"/>
        <w:contextualSpacing/>
        <w:jc w:val="both"/>
        <w:rPr>
          <w:rFonts w:ascii="Palatino Linotype" w:eastAsia="Batang" w:hAnsi="Palatino Linotype" w:cs="Arial"/>
          <w:i/>
          <w:sz w:val="22"/>
          <w:szCs w:val="22"/>
          <w:lang w:val="es-AR"/>
        </w:rPr>
      </w:pPr>
      <w:r w:rsidRPr="00320792">
        <w:rPr>
          <w:rFonts w:ascii="Palatino Linotype" w:eastAsia="Batang" w:hAnsi="Palatino Linotype" w:cs="Arial"/>
          <w:i/>
          <w:sz w:val="22"/>
          <w:szCs w:val="22"/>
          <w:lang w:val="es-AR"/>
        </w:rPr>
        <w:t>SÉPTIMO TRIBUNAL COLEGIADO EN MATERIA CIVIL DEL PRIMER CIRCUITO.</w:t>
      </w:r>
    </w:p>
    <w:p w:rsidR="00320792" w:rsidRPr="00320792" w:rsidRDefault="00320792" w:rsidP="00320792">
      <w:pPr>
        <w:autoSpaceDE w:val="0"/>
        <w:autoSpaceDN w:val="0"/>
        <w:adjustRightInd w:val="0"/>
        <w:ind w:left="567" w:right="567"/>
        <w:contextualSpacing/>
        <w:jc w:val="both"/>
        <w:rPr>
          <w:rFonts w:ascii="Palatino Linotype" w:eastAsia="Batang" w:hAnsi="Palatino Linotype" w:cs="Arial"/>
          <w:i/>
          <w:sz w:val="22"/>
          <w:szCs w:val="22"/>
          <w:lang w:val="es-AR"/>
        </w:rPr>
      </w:pPr>
      <w:r w:rsidRPr="00320792">
        <w:rPr>
          <w:rFonts w:ascii="Palatino Linotype" w:eastAsia="Batang" w:hAnsi="Palatino Linotype" w:cs="Arial"/>
          <w:i/>
          <w:sz w:val="22"/>
          <w:szCs w:val="22"/>
          <w:lang w:val="es-AR"/>
        </w:rPr>
        <w:lastRenderedPageBreak/>
        <w:t xml:space="preserve">Amparo directo 699/2008. Mariana Leticia González </w:t>
      </w:r>
      <w:proofErr w:type="spellStart"/>
      <w:r w:rsidRPr="00320792">
        <w:rPr>
          <w:rFonts w:ascii="Palatino Linotype" w:eastAsia="Batang" w:hAnsi="Palatino Linotype" w:cs="Arial"/>
          <w:i/>
          <w:sz w:val="22"/>
          <w:szCs w:val="22"/>
          <w:lang w:val="es-AR"/>
        </w:rPr>
        <w:t>Steele</w:t>
      </w:r>
      <w:proofErr w:type="spellEnd"/>
      <w:r w:rsidRPr="00320792">
        <w:rPr>
          <w:rFonts w:ascii="Palatino Linotype" w:eastAsia="Batang" w:hAnsi="Palatino Linotype" w:cs="Arial"/>
          <w:i/>
          <w:sz w:val="22"/>
          <w:szCs w:val="22"/>
          <w:lang w:val="es-AR"/>
        </w:rPr>
        <w:t>. 13 de noviembre de 2008. Unanimidad de votos. Ponente: Sara Judith Montalvo Trejo. Secretario: Arnulfo Mateos García.</w:t>
      </w:r>
    </w:p>
    <w:p w:rsidR="00320792" w:rsidRPr="00320792" w:rsidRDefault="00320792" w:rsidP="00320792">
      <w:pPr>
        <w:autoSpaceDE w:val="0"/>
        <w:autoSpaceDN w:val="0"/>
        <w:adjustRightInd w:val="0"/>
        <w:ind w:left="567" w:right="567"/>
        <w:contextualSpacing/>
        <w:jc w:val="right"/>
        <w:rPr>
          <w:rFonts w:ascii="Palatino Linotype" w:eastAsia="Batang" w:hAnsi="Palatino Linotype" w:cs="Arial"/>
          <w:sz w:val="22"/>
          <w:szCs w:val="22"/>
          <w:lang w:val="es-AR"/>
        </w:rPr>
      </w:pPr>
      <w:r w:rsidRPr="00320792">
        <w:rPr>
          <w:rFonts w:ascii="Palatino Linotype" w:eastAsia="Batang" w:hAnsi="Palatino Linotype" w:cs="Arial"/>
          <w:sz w:val="22"/>
          <w:szCs w:val="22"/>
          <w:lang w:val="es-AR"/>
        </w:rPr>
        <w:t>(Énfasis añadido)</w:t>
      </w:r>
    </w:p>
    <w:p w:rsidR="00320792" w:rsidRPr="00320792" w:rsidRDefault="00320792" w:rsidP="00320792">
      <w:pPr>
        <w:spacing w:line="360" w:lineRule="auto"/>
        <w:jc w:val="both"/>
        <w:rPr>
          <w:rFonts w:ascii="Palatino Linotype" w:eastAsia="Batang" w:hAnsi="Palatino Linotype" w:cs="Arial"/>
        </w:rPr>
      </w:pPr>
    </w:p>
    <w:p w:rsidR="00320792" w:rsidRPr="00320792" w:rsidRDefault="00320792" w:rsidP="00320792">
      <w:pPr>
        <w:spacing w:line="360" w:lineRule="auto"/>
        <w:jc w:val="both"/>
        <w:rPr>
          <w:rFonts w:ascii="Palatino Linotype" w:eastAsia="Batang" w:hAnsi="Palatino Linotype" w:cs="Arial"/>
        </w:rPr>
      </w:pPr>
      <w:r w:rsidRPr="00320792">
        <w:rPr>
          <w:rFonts w:ascii="Palatino Linotype" w:eastAsia="Batang"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320792">
        <w:rPr>
          <w:rFonts w:ascii="Palatino Linotype" w:eastAsia="Batang" w:hAnsi="Palatino Linotype" w:cs="Arial"/>
          <w:b/>
        </w:rPr>
        <w:t xml:space="preserve">192 </w:t>
      </w:r>
      <w:r w:rsidRPr="00320792">
        <w:rPr>
          <w:rFonts w:ascii="Palatino Linotype" w:eastAsia="Batang" w:hAnsi="Palatino Linotype" w:cs="Arial"/>
        </w:rPr>
        <w:t xml:space="preserve">de la </w:t>
      </w:r>
      <w:r w:rsidRPr="00320792">
        <w:rPr>
          <w:rFonts w:ascii="Palatino Linotype" w:eastAsia="Batang" w:hAnsi="Palatino Linotype" w:cs="Arial"/>
          <w:b/>
        </w:rPr>
        <w:t>Ley de Transparencia y Acceso a la Información Pública del Estado de México y Municipios</w:t>
      </w:r>
      <w:r w:rsidRPr="00320792">
        <w:rPr>
          <w:rFonts w:ascii="Palatino Linotype" w:eastAsia="Batang" w:hAnsi="Palatino Linotype" w:cs="Arial"/>
        </w:rPr>
        <w:t>, nos encontramos ante un sobreseimiento definitivo toda vez que pone fin al procedimiento sin entrar al estudio de fondo del mismo.</w:t>
      </w:r>
    </w:p>
    <w:p w:rsidR="00320792" w:rsidRPr="00320792" w:rsidRDefault="00320792" w:rsidP="00320792">
      <w:pPr>
        <w:spacing w:line="360" w:lineRule="auto"/>
        <w:jc w:val="both"/>
        <w:rPr>
          <w:rFonts w:ascii="Palatino Linotype" w:eastAsiaTheme="minorHAnsi" w:hAnsi="Palatino Linotype" w:cs="Arial"/>
          <w:lang w:eastAsia="en-US"/>
        </w:rPr>
      </w:pPr>
    </w:p>
    <w:p w:rsidR="00320792" w:rsidRPr="00320792" w:rsidRDefault="00320792" w:rsidP="00320792">
      <w:pPr>
        <w:tabs>
          <w:tab w:val="left" w:pos="709"/>
        </w:tabs>
        <w:spacing w:line="360" w:lineRule="auto"/>
        <w:ind w:right="51"/>
        <w:jc w:val="both"/>
        <w:rPr>
          <w:rFonts w:ascii="Palatino Linotype" w:eastAsiaTheme="minorEastAsia" w:hAnsi="Palatino Linotype"/>
          <w:lang w:val="es-ES_tradnl"/>
        </w:rPr>
      </w:pPr>
      <w:r w:rsidRPr="00320792">
        <w:rPr>
          <w:rFonts w:ascii="Palatino Linotype" w:eastAsiaTheme="minorEastAsia" w:hAnsi="Palatino Linotype"/>
          <w:lang w:val="es-ES_tradnl"/>
        </w:rPr>
        <w:t xml:space="preserve">Por lo tanto, en mérito de lo expuesto en líneas anteriores, si bien resultaban fundados los motivos de inconformidad que arguye </w:t>
      </w:r>
      <w:r w:rsidRPr="00320792">
        <w:rPr>
          <w:rFonts w:ascii="Palatino Linotype" w:eastAsiaTheme="minorEastAsia" w:hAnsi="Palatino Linotype"/>
          <w:b/>
          <w:lang w:val="es-ES_tradnl"/>
        </w:rPr>
        <w:t>el Recurrente</w:t>
      </w:r>
      <w:r w:rsidRPr="00320792">
        <w:rPr>
          <w:rFonts w:ascii="Palatino Linotype" w:eastAsiaTheme="minorEastAsia" w:hAnsi="Palatino Linotype"/>
          <w:lang w:val="es-ES_tradnl"/>
        </w:rPr>
        <w:t xml:space="preserve"> al momento de interponer su medio de impugnación, también lo es que los mismos quedaron sin materia de conformidad con las consideraciones de hecho y de derecho hechas valer en líneas precedentes que fueron materia de estudio, por ello </w:t>
      </w:r>
      <w:r w:rsidRPr="00320792">
        <w:rPr>
          <w:rFonts w:ascii="Palatino Linotype" w:eastAsiaTheme="minorEastAsia" w:hAnsi="Palatino Linotype" w:cs="Arial"/>
          <w:b/>
          <w:lang w:val="es-ES_tradnl"/>
        </w:rPr>
        <w:t xml:space="preserve">con fundamento en la segunda hipótesis de la fracción I del artículo 186, </w:t>
      </w:r>
      <w:r w:rsidRPr="00320792">
        <w:rPr>
          <w:rFonts w:ascii="Palatino Linotype" w:eastAsiaTheme="minorEastAsia" w:hAnsi="Palatino Linotype" w:cs="Arial"/>
          <w:lang w:val="es-ES_tradnl"/>
        </w:rPr>
        <w:t xml:space="preserve">de la Ley de Transparencia y Acceso a la Información Pública del Estado de México y Municipios, se </w:t>
      </w:r>
      <w:r w:rsidRPr="00320792">
        <w:rPr>
          <w:rFonts w:ascii="Palatino Linotype" w:eastAsiaTheme="minorEastAsia" w:hAnsi="Palatino Linotype" w:cs="Arial"/>
          <w:b/>
          <w:lang w:val="es-ES_tradnl"/>
        </w:rPr>
        <w:t xml:space="preserve">SOBRESEE </w:t>
      </w:r>
      <w:r w:rsidRPr="00320792">
        <w:rPr>
          <w:rFonts w:ascii="Palatino Linotype" w:eastAsiaTheme="minorEastAsia" w:hAnsi="Palatino Linotype" w:cs="Arial"/>
          <w:lang w:val="es-ES_tradnl"/>
        </w:rPr>
        <w:t xml:space="preserve">el recurso de revisión </w:t>
      </w:r>
      <w:r w:rsidRPr="00320792">
        <w:rPr>
          <w:rFonts w:ascii="Palatino Linotype" w:eastAsiaTheme="minorEastAsia" w:hAnsi="Palatino Linotype" w:cs="Arial"/>
          <w:b/>
          <w:lang w:val="es-ES_tradnl"/>
        </w:rPr>
        <w:t>01</w:t>
      </w:r>
      <w:r w:rsidR="00670A11">
        <w:rPr>
          <w:rFonts w:ascii="Palatino Linotype" w:eastAsiaTheme="minorEastAsia" w:hAnsi="Palatino Linotype" w:cs="Arial"/>
          <w:b/>
          <w:lang w:val="es-ES_tradnl"/>
        </w:rPr>
        <w:t>7145</w:t>
      </w:r>
      <w:r w:rsidRPr="00320792">
        <w:rPr>
          <w:rFonts w:ascii="Palatino Linotype" w:eastAsiaTheme="minorEastAsia" w:hAnsi="Palatino Linotype" w:cs="Arial"/>
          <w:b/>
          <w:lang w:val="es-ES_tradnl"/>
        </w:rPr>
        <w:t>/INFOEM/IP/RR/2022</w:t>
      </w:r>
      <w:r w:rsidRPr="00320792">
        <w:rPr>
          <w:rFonts w:ascii="Palatino Linotype" w:eastAsiaTheme="minorEastAsia" w:hAnsi="Palatino Linotype" w:cs="Arial"/>
          <w:lang w:val="es-ES_tradnl"/>
        </w:rPr>
        <w:t>,</w:t>
      </w:r>
      <w:r w:rsidRPr="00320792">
        <w:rPr>
          <w:rFonts w:ascii="Palatino Linotype" w:eastAsiaTheme="minorEastAsia" w:hAnsi="Palatino Linotype"/>
          <w:lang w:val="es-ES_tradnl"/>
        </w:rPr>
        <w:t xml:space="preserve"> que ha sido materia del presente fallo.</w:t>
      </w:r>
    </w:p>
    <w:p w:rsidR="00320792" w:rsidRPr="00320792" w:rsidRDefault="00320792" w:rsidP="00320792">
      <w:pPr>
        <w:spacing w:line="360" w:lineRule="auto"/>
        <w:jc w:val="both"/>
        <w:rPr>
          <w:rFonts w:ascii="Palatino Linotype" w:hAnsi="Palatino Linotype"/>
          <w:lang w:val="es-ES_tradnl"/>
        </w:rPr>
      </w:pPr>
    </w:p>
    <w:p w:rsidR="00320792" w:rsidRPr="00320792" w:rsidRDefault="00320792" w:rsidP="00320792">
      <w:pPr>
        <w:spacing w:line="360" w:lineRule="auto"/>
        <w:jc w:val="both"/>
        <w:rPr>
          <w:rFonts w:ascii="Palatino Linotype" w:hAnsi="Palatino Linotype"/>
        </w:rPr>
      </w:pPr>
      <w:r w:rsidRPr="00320792">
        <w:rPr>
          <w:rFonts w:ascii="Palatino Linotype" w:hAnsi="Palatino Linotype"/>
        </w:rPr>
        <w:t>Por lo antes expuesto y fundado es de resolverse y,</w:t>
      </w:r>
    </w:p>
    <w:p w:rsidR="00320792" w:rsidRPr="00320792" w:rsidRDefault="00320792" w:rsidP="00320792">
      <w:pPr>
        <w:spacing w:line="360" w:lineRule="auto"/>
        <w:jc w:val="both"/>
        <w:rPr>
          <w:rFonts w:ascii="Palatino Linotype" w:hAnsi="Palatino Linotype"/>
        </w:rPr>
      </w:pPr>
    </w:p>
    <w:p w:rsidR="00320792" w:rsidRPr="00320792" w:rsidRDefault="00320792" w:rsidP="00320792">
      <w:pPr>
        <w:spacing w:line="360" w:lineRule="auto"/>
        <w:jc w:val="center"/>
        <w:rPr>
          <w:rFonts w:ascii="Palatino Linotype" w:hAnsi="Palatino Linotype"/>
          <w:b/>
          <w:bCs/>
          <w:spacing w:val="60"/>
          <w:sz w:val="28"/>
          <w:lang w:val="es-ES_tradnl"/>
        </w:rPr>
      </w:pPr>
      <w:r w:rsidRPr="00320792">
        <w:rPr>
          <w:rFonts w:ascii="Palatino Linotype" w:hAnsi="Palatino Linotype"/>
          <w:b/>
          <w:bCs/>
          <w:spacing w:val="60"/>
          <w:sz w:val="28"/>
          <w:lang w:val="es-ES_tradnl"/>
        </w:rPr>
        <w:t>SE    RESUELVE</w:t>
      </w:r>
    </w:p>
    <w:p w:rsidR="00320792" w:rsidRPr="00320792" w:rsidRDefault="00320792" w:rsidP="00320792">
      <w:pPr>
        <w:spacing w:line="360" w:lineRule="auto"/>
        <w:jc w:val="center"/>
        <w:rPr>
          <w:rFonts w:ascii="Palatino Linotype" w:hAnsi="Palatino Linotype"/>
          <w:bCs/>
          <w:spacing w:val="60"/>
          <w:lang w:val="es-ES_tradnl"/>
        </w:rPr>
      </w:pPr>
    </w:p>
    <w:p w:rsidR="00320792" w:rsidRPr="00320792" w:rsidRDefault="00320792" w:rsidP="00320792">
      <w:pPr>
        <w:tabs>
          <w:tab w:val="left" w:pos="8647"/>
        </w:tabs>
        <w:spacing w:line="360" w:lineRule="auto"/>
        <w:ind w:right="51"/>
        <w:jc w:val="both"/>
        <w:rPr>
          <w:rFonts w:ascii="Palatino Linotype" w:eastAsiaTheme="minorEastAsia" w:hAnsi="Palatino Linotype" w:cs="Arial"/>
          <w:lang w:val="es-ES_tradnl"/>
        </w:rPr>
      </w:pPr>
      <w:r w:rsidRPr="00320792">
        <w:rPr>
          <w:rFonts w:ascii="Palatino Linotype" w:eastAsiaTheme="minorEastAsia" w:hAnsi="Palatino Linotype" w:cs="Arial"/>
          <w:b/>
          <w:sz w:val="28"/>
          <w:lang w:val="es-ES_tradnl"/>
        </w:rPr>
        <w:t>PRIMERO.</w:t>
      </w:r>
      <w:r w:rsidRPr="00320792">
        <w:rPr>
          <w:rFonts w:ascii="Palatino Linotype" w:eastAsiaTheme="minorEastAsia" w:hAnsi="Palatino Linotype" w:cs="Arial"/>
          <w:lang w:val="es-ES_tradnl"/>
        </w:rPr>
        <w:t xml:space="preserve"> Se </w:t>
      </w:r>
      <w:r w:rsidRPr="00320792">
        <w:rPr>
          <w:rFonts w:ascii="Palatino Linotype" w:eastAsiaTheme="minorEastAsia" w:hAnsi="Palatino Linotype" w:cs="Arial"/>
          <w:b/>
          <w:lang w:val="es-ES_tradnl"/>
        </w:rPr>
        <w:t>SOBRESEE</w:t>
      </w:r>
      <w:r w:rsidRPr="00320792">
        <w:rPr>
          <w:rFonts w:ascii="Palatino Linotype" w:eastAsiaTheme="minorEastAsia" w:hAnsi="Palatino Linotype" w:cs="Arial"/>
          <w:lang w:val="es-ES_tradnl"/>
        </w:rPr>
        <w:t xml:space="preserve"> el recurso de revisión número </w:t>
      </w:r>
      <w:r w:rsidRPr="00320792">
        <w:rPr>
          <w:rFonts w:ascii="Palatino Linotype" w:eastAsiaTheme="minorEastAsia" w:hAnsi="Palatino Linotype" w:cs="Arial"/>
          <w:b/>
          <w:lang w:val="es-ES_tradnl"/>
        </w:rPr>
        <w:t>01</w:t>
      </w:r>
      <w:r w:rsidR="00670A11">
        <w:rPr>
          <w:rFonts w:ascii="Palatino Linotype" w:eastAsiaTheme="minorEastAsia" w:hAnsi="Palatino Linotype" w:cs="Arial"/>
          <w:b/>
          <w:lang w:val="es-ES_tradnl"/>
        </w:rPr>
        <w:t>7145</w:t>
      </w:r>
      <w:r w:rsidRPr="00320792">
        <w:rPr>
          <w:rFonts w:ascii="Palatino Linotype" w:eastAsiaTheme="minorEastAsia" w:hAnsi="Palatino Linotype" w:cs="Arial"/>
          <w:b/>
          <w:lang w:val="es-ES_tradnl"/>
        </w:rPr>
        <w:t>/INFOEM/IP/RR/2022</w:t>
      </w:r>
      <w:r w:rsidRPr="00320792">
        <w:rPr>
          <w:rFonts w:ascii="Palatino Linotype" w:eastAsiaTheme="minorEastAsia" w:hAnsi="Palatino Linotype" w:cs="Arial"/>
          <w:lang w:val="es-ES_tradnl"/>
        </w:rPr>
        <w:t xml:space="preserve">, porque el </w:t>
      </w:r>
      <w:r w:rsidRPr="00320792">
        <w:rPr>
          <w:rFonts w:ascii="Palatino Linotype" w:eastAsiaTheme="minorEastAsia" w:hAnsi="Palatino Linotype" w:cs="Arial"/>
          <w:b/>
          <w:lang w:val="es-ES_tradnl"/>
        </w:rPr>
        <w:t>Sujeto Obligado</w:t>
      </w:r>
      <w:r w:rsidRPr="00320792">
        <w:rPr>
          <w:rFonts w:ascii="Palatino Linotype" w:eastAsiaTheme="minorEastAsia" w:hAnsi="Palatino Linotype" w:cs="Arial"/>
          <w:lang w:val="es-ES_tradnl"/>
        </w:rPr>
        <w:t xml:space="preserve"> al modificar su respuesta, el </w:t>
      </w:r>
      <w:r w:rsidRPr="00320792">
        <w:rPr>
          <w:rFonts w:ascii="Palatino Linotype" w:eastAsiaTheme="minorEastAsia" w:hAnsi="Palatino Linotype" w:cs="Arial"/>
          <w:lang w:val="es-ES_tradnl"/>
        </w:rPr>
        <w:lastRenderedPageBreak/>
        <w:t xml:space="preserve">recurso de revisión quedó sin materia, en términos del artículo 192 fracción III de la Ley de Transparencia y Acceso a la Información Pública del Estado de México y Municipios, en términos del Considerando </w:t>
      </w:r>
      <w:r w:rsidRPr="00320792">
        <w:rPr>
          <w:rFonts w:ascii="Palatino Linotype" w:eastAsiaTheme="minorEastAsia" w:hAnsi="Palatino Linotype" w:cs="Arial"/>
          <w:b/>
          <w:lang w:val="es-ES_tradnl"/>
        </w:rPr>
        <w:t>TERCERO</w:t>
      </w:r>
      <w:r w:rsidRPr="00320792">
        <w:rPr>
          <w:rFonts w:ascii="Palatino Linotype" w:eastAsiaTheme="minorEastAsia" w:hAnsi="Palatino Linotype" w:cs="Arial"/>
          <w:lang w:val="es-ES_tradnl"/>
        </w:rPr>
        <w:t xml:space="preserve"> de la presente resolución.</w:t>
      </w:r>
    </w:p>
    <w:p w:rsidR="00320792" w:rsidRPr="00320792" w:rsidRDefault="00320792" w:rsidP="00320792">
      <w:pPr>
        <w:tabs>
          <w:tab w:val="left" w:pos="8647"/>
        </w:tabs>
        <w:spacing w:line="360" w:lineRule="auto"/>
        <w:ind w:right="51"/>
        <w:jc w:val="both"/>
        <w:rPr>
          <w:rFonts w:ascii="Palatino Linotype" w:eastAsiaTheme="minorEastAsia" w:hAnsi="Palatino Linotype" w:cs="Arial"/>
          <w:lang w:val="es-ES_tradnl"/>
        </w:rPr>
      </w:pPr>
    </w:p>
    <w:p w:rsidR="00320792" w:rsidRPr="00320792" w:rsidRDefault="00320792" w:rsidP="00320792">
      <w:pPr>
        <w:tabs>
          <w:tab w:val="left" w:pos="8647"/>
        </w:tabs>
        <w:spacing w:line="360" w:lineRule="auto"/>
        <w:ind w:right="51"/>
        <w:jc w:val="both"/>
        <w:rPr>
          <w:rFonts w:ascii="Palatino Linotype" w:eastAsiaTheme="minorEastAsia" w:hAnsi="Palatino Linotype" w:cs="Arial"/>
          <w:lang w:val="es-ES_tradnl"/>
        </w:rPr>
      </w:pPr>
      <w:r w:rsidRPr="00320792">
        <w:rPr>
          <w:rFonts w:ascii="Palatino Linotype" w:eastAsiaTheme="minorEastAsia" w:hAnsi="Palatino Linotype" w:cs="Arial"/>
          <w:b/>
          <w:sz w:val="28"/>
          <w:lang w:val="es-ES_tradnl"/>
        </w:rPr>
        <w:t>SEGUNDO</w:t>
      </w:r>
      <w:r w:rsidRPr="00320792">
        <w:rPr>
          <w:rFonts w:ascii="Palatino Linotype" w:eastAsiaTheme="minorEastAsia" w:hAnsi="Palatino Linotype" w:cs="Arial"/>
          <w:b/>
          <w:lang w:val="es-ES_tradnl"/>
        </w:rPr>
        <w:t>.</w:t>
      </w:r>
      <w:r w:rsidRPr="00320792">
        <w:rPr>
          <w:rFonts w:ascii="Palatino Linotype" w:eastAsiaTheme="minorEastAsia" w:hAnsi="Palatino Linotype" w:cs="Arial"/>
          <w:lang w:val="es-ES_tradnl"/>
        </w:rPr>
        <w:t xml:space="preserve"> </w:t>
      </w:r>
      <w:r w:rsidRPr="00320792">
        <w:rPr>
          <w:rFonts w:ascii="Palatino Linotype" w:eastAsiaTheme="minorEastAsia" w:hAnsi="Palatino Linotype" w:cs="Arial"/>
          <w:b/>
          <w:lang w:val="es-ES_tradnl"/>
        </w:rPr>
        <w:t>NOTIFÍQUESE</w:t>
      </w:r>
      <w:r w:rsidRPr="00320792">
        <w:rPr>
          <w:rFonts w:ascii="Palatino Linotype" w:eastAsiaTheme="minorEastAsia" w:hAnsi="Palatino Linotype" w:cs="Arial"/>
          <w:lang w:val="es-ES_tradnl"/>
        </w:rPr>
        <w:t xml:space="preserve"> vía SAIMEX la presente resolución al Titular de la Unidad de Transparencia del </w:t>
      </w:r>
      <w:r w:rsidRPr="00320792">
        <w:rPr>
          <w:rFonts w:ascii="Palatino Linotype" w:eastAsiaTheme="minorEastAsia" w:hAnsi="Palatino Linotype" w:cs="Arial"/>
          <w:b/>
          <w:lang w:val="es-ES_tradnl"/>
        </w:rPr>
        <w:t>Sujeto Obligado</w:t>
      </w:r>
      <w:r w:rsidRPr="00320792">
        <w:rPr>
          <w:rFonts w:ascii="Palatino Linotype" w:eastAsiaTheme="minorEastAsia" w:hAnsi="Palatino Linotype" w:cs="Arial"/>
          <w:lang w:val="es-ES_tradnl"/>
        </w:rPr>
        <w:t>.</w:t>
      </w:r>
    </w:p>
    <w:p w:rsidR="00320792" w:rsidRPr="00320792" w:rsidRDefault="00320792" w:rsidP="00320792">
      <w:pPr>
        <w:tabs>
          <w:tab w:val="left" w:pos="8647"/>
        </w:tabs>
        <w:spacing w:line="360" w:lineRule="auto"/>
        <w:ind w:right="51"/>
        <w:jc w:val="both"/>
        <w:rPr>
          <w:rFonts w:ascii="Palatino Linotype" w:eastAsiaTheme="minorEastAsia" w:hAnsi="Palatino Linotype" w:cs="Arial"/>
          <w:lang w:val="es-ES_tradnl"/>
        </w:rPr>
      </w:pPr>
    </w:p>
    <w:p w:rsidR="00320792" w:rsidRPr="00320792" w:rsidRDefault="00320792" w:rsidP="00320792">
      <w:pPr>
        <w:spacing w:line="360" w:lineRule="auto"/>
        <w:jc w:val="both"/>
        <w:rPr>
          <w:rFonts w:ascii="Palatino Linotype" w:hAnsi="Palatino Linotype" w:cs="Arial"/>
        </w:rPr>
      </w:pPr>
      <w:r w:rsidRPr="00320792">
        <w:rPr>
          <w:rFonts w:ascii="Palatino Linotype" w:hAnsi="Palatino Linotype" w:cs="Arial"/>
          <w:b/>
          <w:sz w:val="28"/>
        </w:rPr>
        <w:t>TERCERO</w:t>
      </w:r>
      <w:r w:rsidRPr="00320792">
        <w:rPr>
          <w:rFonts w:ascii="Palatino Linotype" w:hAnsi="Palatino Linotype" w:cs="Arial"/>
          <w:b/>
        </w:rPr>
        <w:t>.</w:t>
      </w:r>
      <w:r w:rsidRPr="00320792">
        <w:rPr>
          <w:rFonts w:ascii="Palatino Linotype" w:hAnsi="Palatino Linotype" w:cs="Arial"/>
        </w:rPr>
        <w:t xml:space="preserve"> </w:t>
      </w:r>
      <w:r w:rsidRPr="00320792">
        <w:rPr>
          <w:rFonts w:ascii="Palatino Linotype" w:hAnsi="Palatino Linotype" w:cs="Arial"/>
          <w:b/>
        </w:rPr>
        <w:t>NOTIFÍQUESE</w:t>
      </w:r>
      <w:r w:rsidRPr="00320792">
        <w:rPr>
          <w:rFonts w:ascii="Palatino Linotype" w:hAnsi="Palatino Linotype" w:cs="Arial"/>
        </w:rPr>
        <w:t xml:space="preserve"> a través del</w:t>
      </w:r>
      <w:r w:rsidRPr="00320792">
        <w:rPr>
          <w:rFonts w:ascii="Palatino Linotype" w:hAnsi="Palatino Linotype"/>
        </w:rPr>
        <w:t xml:space="preserve"> Sistema de Acceso a la Información Mexiquense (SAIMEX)</w:t>
      </w:r>
      <w:r w:rsidRPr="00320792">
        <w:rPr>
          <w:rFonts w:ascii="Palatino Linotype" w:hAnsi="Palatino Linotype" w:cs="Arial"/>
        </w:rPr>
        <w:t xml:space="preserve">, al </w:t>
      </w:r>
      <w:r w:rsidRPr="00320792">
        <w:rPr>
          <w:rFonts w:ascii="Palatino Linotype" w:hAnsi="Palatino Linotype" w:cs="Arial"/>
          <w:b/>
        </w:rPr>
        <w:t xml:space="preserve">Recurrente </w:t>
      </w:r>
      <w:r w:rsidRPr="00320792">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AB4749" w:rsidRDefault="00AB4749" w:rsidP="00AB4749">
      <w:pPr>
        <w:spacing w:line="360" w:lineRule="auto"/>
        <w:jc w:val="both"/>
        <w:rPr>
          <w:rFonts w:ascii="Palatino Linotype" w:hAnsi="Palatino Linotype"/>
        </w:rPr>
      </w:pPr>
    </w:p>
    <w:p w:rsidR="00AB4749" w:rsidRDefault="00AB4749" w:rsidP="00AB4749">
      <w:pPr>
        <w:spacing w:line="360" w:lineRule="auto"/>
        <w:jc w:val="both"/>
        <w:rPr>
          <w:rFonts w:ascii="Palatino Linotype" w:hAnsi="Palatino Linotype" w:cs="Arial"/>
        </w:rPr>
      </w:pPr>
      <w:r w:rsidRPr="00CB45F6">
        <w:rPr>
          <w:rFonts w:ascii="Palatino Linotype" w:hAnsi="Palatino Linotype" w:cs="Arial"/>
        </w:rPr>
        <w:t xml:space="preserve">ASÍ LO RESUELVE, POR </w:t>
      </w:r>
      <w:r>
        <w:rPr>
          <w:rFonts w:ascii="Palatino Linotype" w:hAnsi="Palatino Linotype" w:cs="Arial"/>
        </w:rPr>
        <w:t>UNANIMIDAD</w:t>
      </w:r>
      <w:r w:rsidRPr="00CB45F6">
        <w:rPr>
          <w:rFonts w:ascii="Palatino Linotype" w:hAnsi="Palatino Linotype" w:cs="Arial"/>
        </w:rPr>
        <w:t xml:space="preserve"> DE VOTOS EL PLENO DEL</w:t>
      </w:r>
      <w:r w:rsidRPr="00CB45F6">
        <w:rPr>
          <w:rFonts w:ascii="Palatino Linotype" w:eastAsia="Arial Unicode MS" w:hAnsi="Palatino Linotype" w:cs="Arial"/>
        </w:rPr>
        <w:t xml:space="preserve"> INSTITUTO DE TRANSPARENCIA, ACCESO A LA INFORMACIÓN PÚBLICA Y PROTECCIÓN DE DATOS PERSONALES DEL ESTADO DE MÉXICO Y MUNICIPIOS</w:t>
      </w:r>
      <w:r w:rsidRPr="00CB45F6">
        <w:rPr>
          <w:rFonts w:ascii="Palatino Linotype" w:hAnsi="Palatino Linotype" w:cs="Arial"/>
        </w:rPr>
        <w:t>, CONFORMADO POR LOS COMISIONADOS JOSÉ MARTÍ</w:t>
      </w:r>
      <w:r>
        <w:rPr>
          <w:rFonts w:ascii="Palatino Linotype" w:hAnsi="Palatino Linotype" w:cs="Arial"/>
        </w:rPr>
        <w:t xml:space="preserve">NEZ VILCHIS, </w:t>
      </w:r>
      <w:r w:rsidRPr="00CB45F6">
        <w:rPr>
          <w:rFonts w:ascii="Palatino Linotype" w:hAnsi="Palatino Linotype" w:cs="Arial"/>
        </w:rPr>
        <w:t>MARÍA DEL ROSARIO MEJÍA AYALA, S</w:t>
      </w:r>
      <w:r>
        <w:rPr>
          <w:rFonts w:ascii="Palatino Linotype" w:hAnsi="Palatino Linotype" w:cs="Arial"/>
        </w:rPr>
        <w:t>HARON CRISTINA MORALES MARTÍNEZ, LUIS GUSTAVO PARRA NORIEGA</w:t>
      </w:r>
      <w:r w:rsidRPr="00CB45F6">
        <w:rPr>
          <w:rFonts w:ascii="Palatino Linotype" w:hAnsi="Palatino Linotype" w:cs="Arial"/>
        </w:rPr>
        <w:t xml:space="preserve"> Y GUADALUPE RAMÍREZ PEÑA, EN LA </w:t>
      </w:r>
      <w:r w:rsidR="00C81382">
        <w:rPr>
          <w:rFonts w:ascii="Palatino Linotype" w:hAnsi="Palatino Linotype" w:cs="Arial"/>
        </w:rPr>
        <w:t>DÉCIMA</w:t>
      </w:r>
      <w:r w:rsidR="00F34141">
        <w:rPr>
          <w:rFonts w:ascii="Palatino Linotype" w:hAnsi="Palatino Linotype" w:cs="Arial"/>
        </w:rPr>
        <w:t xml:space="preserve"> </w:t>
      </w:r>
      <w:r w:rsidR="00266AC2">
        <w:rPr>
          <w:rFonts w:ascii="Palatino Linotype" w:hAnsi="Palatino Linotype" w:cs="Arial"/>
        </w:rPr>
        <w:t>SEGUNDA</w:t>
      </w:r>
      <w:r>
        <w:rPr>
          <w:rFonts w:ascii="Palatino Linotype" w:hAnsi="Palatino Linotype" w:cs="Arial"/>
        </w:rPr>
        <w:t xml:space="preserve"> </w:t>
      </w:r>
      <w:r w:rsidRPr="00CB45F6">
        <w:rPr>
          <w:rFonts w:ascii="Palatino Linotype" w:hAnsi="Palatino Linotype" w:cs="Arial"/>
        </w:rPr>
        <w:t xml:space="preserve">SESIÓN ORDINARIA CELEBRADA EL </w:t>
      </w:r>
      <w:r w:rsidR="00F34141">
        <w:rPr>
          <w:rFonts w:ascii="Palatino Linotype" w:hAnsi="Palatino Linotype" w:cs="Arial"/>
        </w:rPr>
        <w:t>VEINTINUEVE</w:t>
      </w:r>
      <w:r>
        <w:rPr>
          <w:rFonts w:ascii="Palatino Linotype" w:hAnsi="Palatino Linotype" w:cs="Arial"/>
        </w:rPr>
        <w:t xml:space="preserve"> DE MARZO</w:t>
      </w:r>
      <w:r w:rsidRPr="00CB45F6">
        <w:rPr>
          <w:rFonts w:ascii="Palatino Linotype" w:hAnsi="Palatino Linotype" w:cs="Arial"/>
        </w:rPr>
        <w:t xml:space="preserve"> DE DOS MIL VEINTI</w:t>
      </w:r>
      <w:r>
        <w:rPr>
          <w:rFonts w:ascii="Palatino Linotype" w:hAnsi="Palatino Linotype" w:cs="Arial"/>
        </w:rPr>
        <w:t>TRÉS</w:t>
      </w:r>
      <w:r w:rsidRPr="00CB45F6">
        <w:rPr>
          <w:rFonts w:ascii="Palatino Linotype" w:hAnsi="Palatino Linotype" w:cs="Arial"/>
        </w:rPr>
        <w:t>, ANTE EL ANTE EL SECRETARIO TÉCNICO DEL PLENO, ALEXIS TAPIA RAMÍREZ. ---------------------</w:t>
      </w:r>
      <w:r>
        <w:rPr>
          <w:rFonts w:ascii="Palatino Linotype" w:hAnsi="Palatino Linotype" w:cs="Arial"/>
        </w:rPr>
        <w:t>------</w:t>
      </w:r>
      <w:r w:rsidR="00C81382">
        <w:rPr>
          <w:rFonts w:ascii="Palatino Linotype" w:hAnsi="Palatino Linotype" w:cs="Arial"/>
        </w:rPr>
        <w:t>--------------------</w:t>
      </w:r>
      <w:r>
        <w:rPr>
          <w:rFonts w:ascii="Palatino Linotype" w:hAnsi="Palatino Linotype" w:cs="Arial"/>
        </w:rPr>
        <w:t>------------------------------</w:t>
      </w:r>
    </w:p>
    <w:p w:rsidR="00AB4749" w:rsidRDefault="00AB4749" w:rsidP="00AB4749">
      <w:pPr>
        <w:spacing w:line="360" w:lineRule="auto"/>
        <w:jc w:val="both"/>
        <w:rPr>
          <w:rFonts w:ascii="Palatino Linotype" w:hAnsi="Palatino Linotype" w:cs="Arial"/>
        </w:rPr>
      </w:pPr>
      <w:r>
        <w:rPr>
          <w:rFonts w:ascii="Palatino Linotype" w:hAnsi="Palatino Linotype" w:cs="Arial"/>
        </w:rPr>
        <w:t>------------------------------------------------------------------------------------------------------------------</w:t>
      </w:r>
    </w:p>
    <w:p w:rsidR="00AB4749" w:rsidRPr="00434661" w:rsidRDefault="00AB4749" w:rsidP="00AB4749">
      <w:pPr>
        <w:spacing w:line="360" w:lineRule="auto"/>
        <w:jc w:val="both"/>
        <w:rPr>
          <w:rFonts w:ascii="Palatino Linotype" w:hAnsi="Palatino Linotype" w:cs="Arial"/>
          <w:sz w:val="20"/>
        </w:rPr>
      </w:pPr>
      <w:r>
        <w:rPr>
          <w:rFonts w:ascii="Palatino Linotype" w:hAnsi="Palatino Linotype" w:cs="Arial"/>
          <w:sz w:val="20"/>
        </w:rPr>
        <w:t>CCR/*</w:t>
      </w:r>
    </w:p>
    <w:p w:rsidR="00AB4749" w:rsidRDefault="00AB4749" w:rsidP="00AB4749"/>
    <w:p w:rsidR="00AB4749" w:rsidRDefault="00AB4749" w:rsidP="00AB4749"/>
    <w:p w:rsidR="00AB4749" w:rsidRDefault="00AB4749" w:rsidP="00AB4749"/>
    <w:p w:rsidR="00AB4749" w:rsidRDefault="00AB4749" w:rsidP="00AB4749"/>
    <w:p w:rsidR="001D73B8" w:rsidRDefault="001D73B8"/>
    <w:sectPr w:rsidR="001D73B8" w:rsidSect="001D73B8">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D76" w:rsidRDefault="00896D76" w:rsidP="00AB4749">
      <w:r>
        <w:separator/>
      </w:r>
    </w:p>
  </w:endnote>
  <w:endnote w:type="continuationSeparator" w:id="0">
    <w:p w:rsidR="00896D76" w:rsidRDefault="00896D76" w:rsidP="00AB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3B8" w:rsidRPr="00A2780F" w:rsidRDefault="001D73B8" w:rsidP="001D73B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945F1">
      <w:rPr>
        <w:rFonts w:ascii="Arial" w:hAnsi="Arial" w:cs="Arial"/>
        <w:b/>
        <w:bCs/>
        <w:noProof/>
        <w:sz w:val="20"/>
        <w:szCs w:val="20"/>
      </w:rPr>
      <w:t>30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945F1">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3B8" w:rsidRPr="00070856" w:rsidRDefault="001D73B8" w:rsidP="001D73B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945F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945F1">
      <w:rPr>
        <w:rFonts w:ascii="Arial" w:hAnsi="Arial" w:cs="Arial"/>
        <w:b/>
        <w:bCs/>
        <w:noProof/>
        <w:sz w:val="20"/>
        <w:szCs w:val="20"/>
      </w:rPr>
      <w:t>30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D76" w:rsidRDefault="00896D76" w:rsidP="00AB4749">
      <w:r>
        <w:separator/>
      </w:r>
    </w:p>
  </w:footnote>
  <w:footnote w:type="continuationSeparator" w:id="0">
    <w:p w:rsidR="00896D76" w:rsidRDefault="00896D76" w:rsidP="00AB4749">
      <w:r>
        <w:continuationSeparator/>
      </w:r>
    </w:p>
  </w:footnote>
  <w:footnote w:id="1">
    <w:p w:rsidR="00320792" w:rsidRPr="009535FD" w:rsidRDefault="00320792" w:rsidP="00320792">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320792" w:rsidRPr="009535FD" w:rsidRDefault="00320792" w:rsidP="00320792">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535FD">
        <w:rPr>
          <w:rFonts w:ascii="Palatino Linotype" w:hAnsi="Palatino Linotype"/>
          <w:i/>
          <w:sz w:val="18"/>
          <w:szCs w:val="18"/>
        </w:rPr>
        <w:t>concesoria</w:t>
      </w:r>
      <w:proofErr w:type="spellEnd"/>
      <w:r w:rsidRPr="009535FD">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D73B8" w:rsidRPr="00171FDB" w:rsidRDefault="001D73B8" w:rsidP="00AB4749">
      <w:pPr>
        <w:pStyle w:val="Textonotapie"/>
        <w:jc w:val="both"/>
        <w:rPr>
          <w:rFonts w:ascii="Palatino Linotype" w:hAnsi="Palatino Linotype"/>
          <w:sz w:val="18"/>
        </w:rPr>
      </w:pPr>
      <w:r>
        <w:rPr>
          <w:rStyle w:val="Refdenotaalpie"/>
        </w:rPr>
        <w:footnoteRef/>
      </w:r>
      <w:r>
        <w:t xml:space="preserve"> </w:t>
      </w:r>
      <w:r w:rsidRPr="00171FDB">
        <w:rPr>
          <w:rFonts w:ascii="Palatino Linotype" w:hAnsi="Palatino Linotype"/>
          <w:b/>
          <w:sz w:val="18"/>
        </w:rPr>
        <w:t xml:space="preserve">Artículo 179. </w:t>
      </w:r>
      <w:r w:rsidRPr="00171FDB">
        <w:rPr>
          <w:rFonts w:ascii="Palatino Linotype" w:hAnsi="Palatino Linotype"/>
          <w:sz w:val="18"/>
        </w:rPr>
        <w:t>El recurso de revisión es un medio de protección que la Ley otorga a los particulares, para hacer valer su derecho de acceso a la información pública, y procederá en contra de las siguientes causas:</w:t>
      </w:r>
    </w:p>
    <w:p w:rsidR="001D73B8" w:rsidRPr="00171FDB" w:rsidRDefault="001D73B8" w:rsidP="00AB4749">
      <w:pPr>
        <w:pStyle w:val="Textonotapie"/>
        <w:jc w:val="both"/>
        <w:rPr>
          <w:rFonts w:ascii="Palatino Linotype" w:hAnsi="Palatino Linotype"/>
          <w:sz w:val="18"/>
        </w:rPr>
      </w:pPr>
      <w:r w:rsidRPr="00171FDB">
        <w:rPr>
          <w:rFonts w:ascii="Palatino Linotype" w:hAnsi="Palatino Linotype"/>
          <w:sz w:val="18"/>
        </w:rPr>
        <w:t>…</w:t>
      </w:r>
    </w:p>
    <w:p w:rsidR="001D73B8" w:rsidRPr="00171FDB" w:rsidRDefault="001D73B8" w:rsidP="00AB4749">
      <w:pPr>
        <w:pStyle w:val="Textonotapie"/>
        <w:jc w:val="both"/>
        <w:rPr>
          <w:lang w:val="es-419"/>
        </w:rPr>
      </w:pPr>
      <w:r w:rsidRPr="00171FDB">
        <w:rPr>
          <w:rFonts w:ascii="Palatino Linotype" w:hAnsi="Palatino Linotype"/>
          <w:b/>
          <w:sz w:val="18"/>
        </w:rPr>
        <w:t>VI.</w:t>
      </w:r>
      <w:r w:rsidRPr="00171FDB">
        <w:rPr>
          <w:rFonts w:ascii="Palatino Linotype" w:hAnsi="Palatino Linotype"/>
          <w:sz w:val="18"/>
        </w:rPr>
        <w:t xml:space="preserve"> La entrega de información que no corresponda con lo solicitado;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1D73B8" w:rsidRPr="008F2CCC" w:rsidTr="001D73B8">
      <w:tc>
        <w:tcPr>
          <w:tcW w:w="3620" w:type="dxa"/>
          <w:shd w:val="clear" w:color="auto" w:fill="auto"/>
        </w:tcPr>
        <w:p w:rsidR="001D73B8" w:rsidRPr="007E5FC4" w:rsidRDefault="001D73B8" w:rsidP="001D73B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1D73B8" w:rsidRPr="00664658" w:rsidRDefault="001D73B8" w:rsidP="00AB474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017145</w:t>
          </w:r>
          <w:r w:rsidRPr="007F0C84">
            <w:rPr>
              <w:rFonts w:ascii="Palatino Linotype" w:hAnsi="Palatino Linotype"/>
              <w:b/>
              <w:sz w:val="22"/>
              <w:szCs w:val="22"/>
              <w:lang w:val="es-ES_tradnl"/>
            </w:rPr>
            <w:t>/INFOEM/IP/RR/2022</w:t>
          </w:r>
        </w:p>
      </w:tc>
    </w:tr>
    <w:tr w:rsidR="001D73B8" w:rsidRPr="008F2CCC" w:rsidTr="001D73B8">
      <w:tc>
        <w:tcPr>
          <w:tcW w:w="3620" w:type="dxa"/>
          <w:shd w:val="clear" w:color="auto" w:fill="auto"/>
        </w:tcPr>
        <w:p w:rsidR="001D73B8" w:rsidRPr="007E5FC4" w:rsidRDefault="001D73B8" w:rsidP="001D73B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1D73B8" w:rsidRPr="00664658" w:rsidRDefault="001D73B8" w:rsidP="001D73B8">
          <w:pPr>
            <w:spacing w:line="276" w:lineRule="auto"/>
            <w:jc w:val="right"/>
            <w:rPr>
              <w:rFonts w:ascii="Palatino Linotype" w:hAnsi="Palatino Linotype"/>
              <w:b/>
              <w:sz w:val="22"/>
              <w:szCs w:val="22"/>
              <w:lang w:val="es-ES_tradnl"/>
            </w:rPr>
          </w:pPr>
          <w:r w:rsidRPr="00AB4749">
            <w:rPr>
              <w:rFonts w:ascii="Palatino Linotype" w:hAnsi="Palatino Linotype"/>
              <w:b/>
              <w:sz w:val="22"/>
              <w:szCs w:val="22"/>
            </w:rPr>
            <w:t>Ayuntamiento de Rayón</w:t>
          </w:r>
        </w:p>
      </w:tc>
    </w:tr>
    <w:tr w:rsidR="001D73B8" w:rsidRPr="008F2CCC" w:rsidTr="001D73B8">
      <w:trPr>
        <w:trHeight w:val="228"/>
      </w:trPr>
      <w:tc>
        <w:tcPr>
          <w:tcW w:w="3620" w:type="dxa"/>
          <w:shd w:val="clear" w:color="auto" w:fill="auto"/>
        </w:tcPr>
        <w:p w:rsidR="001D73B8" w:rsidRPr="007E5FC4" w:rsidRDefault="001D73B8" w:rsidP="001D73B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1D73B8" w:rsidRPr="00664658" w:rsidRDefault="001D73B8" w:rsidP="001D73B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D73B8" w:rsidRPr="001779E0" w:rsidRDefault="001D73B8" w:rsidP="001D73B8">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3FB4F37" wp14:editId="6B1ADDC6">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D73B8" w:rsidRPr="008F2CCC" w:rsidTr="001D73B8">
      <w:tc>
        <w:tcPr>
          <w:tcW w:w="2977" w:type="dxa"/>
          <w:shd w:val="clear" w:color="auto" w:fill="auto"/>
        </w:tcPr>
        <w:p w:rsidR="001D73B8" w:rsidRPr="007E5FC4" w:rsidRDefault="001D73B8" w:rsidP="001D73B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1D73B8" w:rsidRPr="008F2CCC" w:rsidRDefault="001D73B8" w:rsidP="00AB474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017145</w:t>
          </w:r>
          <w:r w:rsidRPr="007F0C84">
            <w:rPr>
              <w:rFonts w:ascii="Palatino Linotype" w:hAnsi="Palatino Linotype"/>
              <w:b/>
              <w:sz w:val="22"/>
              <w:szCs w:val="22"/>
              <w:lang w:val="es-ES_tradnl"/>
            </w:rPr>
            <w:t>/INFOEM/IP/RR/2022</w:t>
          </w:r>
        </w:p>
      </w:tc>
    </w:tr>
    <w:tr w:rsidR="001D73B8" w:rsidRPr="008F2CCC" w:rsidTr="001D73B8">
      <w:tc>
        <w:tcPr>
          <w:tcW w:w="2977" w:type="dxa"/>
          <w:shd w:val="clear" w:color="auto" w:fill="auto"/>
          <w:vAlign w:val="center"/>
        </w:tcPr>
        <w:p w:rsidR="001D73B8" w:rsidRPr="007E5FC4" w:rsidRDefault="001D73B8" w:rsidP="001D73B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1D73B8" w:rsidRPr="008F2CCC" w:rsidRDefault="003945F1" w:rsidP="001D73B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1D73B8" w:rsidRPr="008F2CCC" w:rsidTr="001D73B8">
      <w:trPr>
        <w:trHeight w:val="228"/>
      </w:trPr>
      <w:tc>
        <w:tcPr>
          <w:tcW w:w="2977" w:type="dxa"/>
          <w:shd w:val="clear" w:color="auto" w:fill="auto"/>
        </w:tcPr>
        <w:p w:rsidR="001D73B8" w:rsidRPr="007E5FC4" w:rsidRDefault="001D73B8" w:rsidP="001D73B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1D73B8" w:rsidRPr="00DC41C8" w:rsidRDefault="001D73B8" w:rsidP="001D73B8">
          <w:pPr>
            <w:spacing w:line="360" w:lineRule="auto"/>
            <w:jc w:val="right"/>
            <w:rPr>
              <w:rFonts w:ascii="Palatino Linotype" w:hAnsi="Palatino Linotype"/>
              <w:b/>
              <w:sz w:val="22"/>
              <w:szCs w:val="22"/>
            </w:rPr>
          </w:pPr>
          <w:r w:rsidRPr="00AB4749">
            <w:rPr>
              <w:rFonts w:ascii="Palatino Linotype" w:hAnsi="Palatino Linotype"/>
              <w:b/>
              <w:sz w:val="22"/>
              <w:szCs w:val="22"/>
            </w:rPr>
            <w:t>Ayuntamiento de Rayón</w:t>
          </w:r>
        </w:p>
      </w:tc>
    </w:tr>
    <w:tr w:rsidR="001D73B8" w:rsidRPr="008F2CCC" w:rsidTr="001D73B8">
      <w:tc>
        <w:tcPr>
          <w:tcW w:w="2977" w:type="dxa"/>
          <w:shd w:val="clear" w:color="auto" w:fill="auto"/>
        </w:tcPr>
        <w:p w:rsidR="001D73B8" w:rsidRPr="007E5FC4" w:rsidRDefault="001D73B8" w:rsidP="001D73B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1D73B8" w:rsidRPr="008F2CCC" w:rsidRDefault="001D73B8" w:rsidP="001D73B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D73B8" w:rsidRPr="009F1AB6" w:rsidRDefault="001D73B8">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0BAEB3F" wp14:editId="1DDF7C2C">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8BF"/>
    <w:multiLevelType w:val="hybridMultilevel"/>
    <w:tmpl w:val="49162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C68D4"/>
    <w:multiLevelType w:val="hybridMultilevel"/>
    <w:tmpl w:val="55B2E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3C2BE1"/>
    <w:multiLevelType w:val="hybridMultilevel"/>
    <w:tmpl w:val="BD6691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B406D58"/>
    <w:multiLevelType w:val="hybridMultilevel"/>
    <w:tmpl w:val="49162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C3700"/>
    <w:multiLevelType w:val="hybridMultilevel"/>
    <w:tmpl w:val="880828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506733DE"/>
    <w:multiLevelType w:val="hybridMultilevel"/>
    <w:tmpl w:val="35F66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0776D3"/>
    <w:multiLevelType w:val="hybridMultilevel"/>
    <w:tmpl w:val="CBB2E9DE"/>
    <w:lvl w:ilvl="0" w:tplc="BAD64942">
      <w:numFmt w:val="bullet"/>
      <w:lvlText w:val="•"/>
      <w:lvlJc w:val="left"/>
      <w:pPr>
        <w:ind w:left="1065" w:hanging="705"/>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49"/>
    <w:rsid w:val="00055D33"/>
    <w:rsid w:val="001D73B8"/>
    <w:rsid w:val="00266AC2"/>
    <w:rsid w:val="002B3B27"/>
    <w:rsid w:val="00320792"/>
    <w:rsid w:val="00334773"/>
    <w:rsid w:val="003945F1"/>
    <w:rsid w:val="00405E00"/>
    <w:rsid w:val="004B4527"/>
    <w:rsid w:val="00600ABF"/>
    <w:rsid w:val="00652572"/>
    <w:rsid w:val="00670A11"/>
    <w:rsid w:val="00736B1C"/>
    <w:rsid w:val="007C033C"/>
    <w:rsid w:val="007C7B8A"/>
    <w:rsid w:val="007E2BAA"/>
    <w:rsid w:val="00830B55"/>
    <w:rsid w:val="008451C3"/>
    <w:rsid w:val="00896D76"/>
    <w:rsid w:val="009D3512"/>
    <w:rsid w:val="00A21BEA"/>
    <w:rsid w:val="00A65C97"/>
    <w:rsid w:val="00AB4749"/>
    <w:rsid w:val="00AF5F57"/>
    <w:rsid w:val="00BB5BC0"/>
    <w:rsid w:val="00C1600B"/>
    <w:rsid w:val="00C467F2"/>
    <w:rsid w:val="00C81382"/>
    <w:rsid w:val="00CC3A7B"/>
    <w:rsid w:val="00D21618"/>
    <w:rsid w:val="00D711C6"/>
    <w:rsid w:val="00D84B8A"/>
    <w:rsid w:val="00E87C3A"/>
    <w:rsid w:val="00F34141"/>
    <w:rsid w:val="00FC11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276CFFC-AF5B-4702-B4C7-921DB8F3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4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474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B4749"/>
    <w:rPr>
      <w:rFonts w:eastAsiaTheme="minorEastAsia"/>
      <w:sz w:val="24"/>
      <w:szCs w:val="24"/>
      <w:lang w:val="es-ES_tradnl" w:eastAsia="es-ES"/>
    </w:rPr>
  </w:style>
  <w:style w:type="paragraph" w:styleId="Piedepgina">
    <w:name w:val="footer"/>
    <w:basedOn w:val="Normal"/>
    <w:link w:val="PiedepginaCar"/>
    <w:uiPriority w:val="99"/>
    <w:unhideWhenUsed/>
    <w:rsid w:val="00AB474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B474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B474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B4749"/>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4749"/>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4749"/>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B4749"/>
    <w:rPr>
      <w:vertAlign w:val="superscript"/>
    </w:rPr>
  </w:style>
  <w:style w:type="character" w:styleId="Hipervnculo">
    <w:name w:val="Hyperlink"/>
    <w:basedOn w:val="Fuentedeprrafopredeter"/>
    <w:uiPriority w:val="99"/>
    <w:unhideWhenUsed/>
    <w:rsid w:val="00AB4749"/>
    <w:rPr>
      <w:color w:val="0563C1" w:themeColor="hyperlink"/>
      <w:u w:val="single"/>
    </w:rPr>
  </w:style>
  <w:style w:type="paragraph" w:styleId="Sinespaciado">
    <w:name w:val="No Spacing"/>
    <w:aliases w:val="Francesa,INAI"/>
    <w:link w:val="SinespaciadoCar"/>
    <w:uiPriority w:val="1"/>
    <w:qFormat/>
    <w:rsid w:val="00AB474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4749"/>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320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26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30</Pages>
  <Words>8104</Words>
  <Characters>44577</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22</cp:revision>
  <dcterms:created xsi:type="dcterms:W3CDTF">2023-03-13T21:24:00Z</dcterms:created>
  <dcterms:modified xsi:type="dcterms:W3CDTF">2023-04-19T22:10:00Z</dcterms:modified>
</cp:coreProperties>
</file>