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7A" w:rsidRPr="00096EB4" w:rsidRDefault="00F95947">
      <w:pPr>
        <w:spacing w:before="240" w:after="240" w:line="360" w:lineRule="auto"/>
        <w:jc w:val="both"/>
        <w:rPr>
          <w:rFonts w:ascii="Palatino Linotype" w:eastAsia="Palatino Linotype" w:hAnsi="Palatino Linotype" w:cs="Palatino Linotype"/>
        </w:rPr>
      </w:pPr>
      <w:bookmarkStart w:id="0" w:name="_heading=h.3znysh7" w:colFirst="0" w:colLast="0"/>
      <w:bookmarkEnd w:id="0"/>
      <w:r w:rsidRPr="00096E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096EB4">
        <w:rPr>
          <w:rFonts w:ascii="Palatino Linotype" w:eastAsia="Palatino Linotype" w:hAnsi="Palatino Linotype" w:cs="Palatino Linotype"/>
          <w:b/>
        </w:rPr>
        <w:t>veintinueve de noviembre de dos mil veintitrés</w:t>
      </w:r>
      <w:r w:rsidRPr="00096EB4">
        <w:rPr>
          <w:rFonts w:ascii="Palatino Linotype" w:eastAsia="Palatino Linotype" w:hAnsi="Palatino Linotype" w:cs="Palatino Linotype"/>
        </w:rPr>
        <w:t xml:space="preserve">. </w:t>
      </w:r>
    </w:p>
    <w:p w:rsidR="003C637A" w:rsidRPr="00096EB4" w:rsidRDefault="00F95947">
      <w:pPr>
        <w:spacing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b/>
        </w:rPr>
        <w:t xml:space="preserve">VISTO </w:t>
      </w:r>
      <w:r w:rsidRPr="00096EB4">
        <w:rPr>
          <w:rFonts w:ascii="Palatino Linotype" w:eastAsia="Palatino Linotype" w:hAnsi="Palatino Linotype" w:cs="Palatino Linotype"/>
        </w:rPr>
        <w:t xml:space="preserve">el expediente relativo al recurso de revisión </w:t>
      </w:r>
      <w:r w:rsidRPr="00096EB4">
        <w:rPr>
          <w:rFonts w:ascii="Palatino Linotype" w:eastAsia="Palatino Linotype" w:hAnsi="Palatino Linotype" w:cs="Palatino Linotype"/>
          <w:b/>
        </w:rPr>
        <w:t xml:space="preserve">02969/INFOEM/IP/RR/2023, </w:t>
      </w:r>
      <w:r w:rsidRPr="00096EB4">
        <w:rPr>
          <w:rFonts w:ascii="Palatino Linotype" w:eastAsia="Palatino Linotype" w:hAnsi="Palatino Linotype" w:cs="Palatino Linotype"/>
        </w:rPr>
        <w:t xml:space="preserve">interpuesto por </w:t>
      </w:r>
      <w:r w:rsidR="003B5033">
        <w:rPr>
          <w:rFonts w:ascii="Palatino Linotype" w:eastAsia="Palatino Linotype" w:hAnsi="Palatino Linotype" w:cs="Palatino Linotype"/>
          <w:b/>
          <w:sz w:val="22"/>
          <w:szCs w:val="22"/>
        </w:rPr>
        <w:t>XXXX XXXXX XXXXX</w:t>
      </w:r>
      <w:bookmarkStart w:id="1" w:name="_GoBack"/>
      <w:bookmarkEnd w:id="1"/>
      <w:r w:rsidRPr="00096EB4">
        <w:rPr>
          <w:rFonts w:ascii="Palatino Linotype" w:eastAsia="Palatino Linotype" w:hAnsi="Palatino Linotype" w:cs="Palatino Linotype"/>
        </w:rPr>
        <w:t xml:space="preserve">, a quien en lo sucesivo le denominaremos como </w:t>
      </w:r>
      <w:r w:rsidRPr="00096EB4">
        <w:rPr>
          <w:rFonts w:ascii="Palatino Linotype" w:eastAsia="Palatino Linotype" w:hAnsi="Palatino Linotype" w:cs="Palatino Linotype"/>
          <w:b/>
        </w:rPr>
        <w:t>LA PARTE RECURRENTE,</w:t>
      </w:r>
      <w:r w:rsidRPr="00096EB4">
        <w:rPr>
          <w:rFonts w:ascii="Palatino Linotype" w:eastAsia="Palatino Linotype" w:hAnsi="Palatino Linotype" w:cs="Palatino Linotype"/>
        </w:rPr>
        <w:t xml:space="preserve"> en contra de la respuesta a la solicitud de información con número de folio</w:t>
      </w:r>
      <w:r w:rsidRPr="00096EB4">
        <w:rPr>
          <w:rFonts w:ascii="Palatino Linotype" w:eastAsia="Palatino Linotype" w:hAnsi="Palatino Linotype" w:cs="Palatino Linotype"/>
          <w:b/>
        </w:rPr>
        <w:t xml:space="preserve"> 00035/UTNEZA/IP/2023, </w:t>
      </w:r>
      <w:r w:rsidRPr="00096EB4">
        <w:rPr>
          <w:rFonts w:ascii="Palatino Linotype" w:eastAsia="Palatino Linotype" w:hAnsi="Palatino Linotype" w:cs="Palatino Linotype"/>
        </w:rPr>
        <w:t xml:space="preserve">por parte del </w:t>
      </w:r>
      <w:r w:rsidRPr="00096EB4">
        <w:rPr>
          <w:rFonts w:ascii="Palatino Linotype" w:eastAsia="Palatino Linotype" w:hAnsi="Palatino Linotype" w:cs="Palatino Linotype"/>
          <w:b/>
        </w:rPr>
        <w:t xml:space="preserve">Universidad Tecnológica de Nezahualcóyotl, </w:t>
      </w:r>
      <w:r w:rsidRPr="00096EB4">
        <w:rPr>
          <w:rFonts w:ascii="Palatino Linotype" w:eastAsia="Palatino Linotype" w:hAnsi="Palatino Linotype" w:cs="Palatino Linotype"/>
        </w:rPr>
        <w:t xml:space="preserve">que en lo sucesivo será identificado como </w:t>
      </w:r>
      <w:r w:rsidRPr="00096EB4">
        <w:rPr>
          <w:rFonts w:ascii="Palatino Linotype" w:eastAsia="Palatino Linotype" w:hAnsi="Palatino Linotype" w:cs="Palatino Linotype"/>
          <w:b/>
        </w:rPr>
        <w:t>EL SUJETO OBLIGADO;</w:t>
      </w:r>
      <w:r w:rsidRPr="00096EB4">
        <w:rPr>
          <w:rFonts w:ascii="Palatino Linotype" w:eastAsia="Palatino Linotype" w:hAnsi="Palatino Linotype" w:cs="Palatino Linotype"/>
        </w:rPr>
        <w:t xml:space="preserve"> se procede a dictar la presente resolución, con base en los siguientes</w:t>
      </w:r>
    </w:p>
    <w:p w:rsidR="003C637A" w:rsidRPr="00096EB4" w:rsidRDefault="00F95947">
      <w:pPr>
        <w:spacing w:before="240" w:after="240" w:line="360" w:lineRule="auto"/>
        <w:jc w:val="center"/>
        <w:rPr>
          <w:rFonts w:ascii="Palatino Linotype" w:eastAsia="Palatino Linotype" w:hAnsi="Palatino Linotype" w:cs="Palatino Linotype"/>
          <w:b/>
        </w:rPr>
      </w:pPr>
      <w:r w:rsidRPr="00096EB4">
        <w:rPr>
          <w:rFonts w:ascii="Palatino Linotype" w:eastAsia="Palatino Linotype" w:hAnsi="Palatino Linotype" w:cs="Palatino Linotype"/>
          <w:b/>
        </w:rPr>
        <w:t>I. A N T E C E D E N T E S</w:t>
      </w:r>
    </w:p>
    <w:p w:rsidR="003C637A" w:rsidRPr="00096EB4" w:rsidRDefault="00F95947">
      <w:pPr>
        <w:pBdr>
          <w:top w:val="nil"/>
          <w:left w:val="nil"/>
          <w:bottom w:val="nil"/>
          <w:right w:val="nil"/>
          <w:between w:val="nil"/>
        </w:pBd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 xml:space="preserve">1. Solicitud de acceso a la información. </w:t>
      </w:r>
      <w:r w:rsidRPr="00096EB4">
        <w:rPr>
          <w:rFonts w:ascii="Palatino Linotype" w:eastAsia="Palatino Linotype" w:hAnsi="Palatino Linotype" w:cs="Palatino Linotype"/>
        </w:rPr>
        <w:t xml:space="preserve">El </w:t>
      </w:r>
      <w:r w:rsidRPr="00096EB4">
        <w:rPr>
          <w:rFonts w:ascii="Palatino Linotype" w:eastAsia="Palatino Linotype" w:hAnsi="Palatino Linotype" w:cs="Palatino Linotype"/>
          <w:b/>
        </w:rPr>
        <w:t>dos de mayo de dos mil veintitrés</w:t>
      </w:r>
      <w:r w:rsidRPr="00096EB4">
        <w:rPr>
          <w:rFonts w:ascii="Palatino Linotype" w:eastAsia="Palatino Linotype" w:hAnsi="Palatino Linotype" w:cs="Palatino Linotype"/>
        </w:rPr>
        <w:t xml:space="preserve">, </w:t>
      </w:r>
      <w:r w:rsidRPr="00096EB4">
        <w:rPr>
          <w:rFonts w:ascii="Palatino Linotype" w:eastAsia="Palatino Linotype" w:hAnsi="Palatino Linotype" w:cs="Palatino Linotype"/>
          <w:b/>
        </w:rPr>
        <w:t>LA PARTE RECURRENTE</w:t>
      </w:r>
      <w:r w:rsidRPr="00096EB4">
        <w:rPr>
          <w:rFonts w:ascii="Palatino Linotype" w:eastAsia="Palatino Linotype" w:hAnsi="Palatino Linotype" w:cs="Palatino Linotype"/>
        </w:rPr>
        <w:t xml:space="preserve">, formuló la solicitud </w:t>
      </w:r>
      <w:r w:rsidRPr="00096EB4">
        <w:rPr>
          <w:rFonts w:ascii="Palatino Linotype" w:eastAsia="Palatino Linotype" w:hAnsi="Palatino Linotype" w:cs="Palatino Linotype"/>
          <w:b/>
        </w:rPr>
        <w:t xml:space="preserve">00035/UTNEZA/IP/2023, </w:t>
      </w:r>
      <w:r w:rsidRPr="00096EB4">
        <w:rPr>
          <w:rFonts w:ascii="Palatino Linotype" w:eastAsia="Palatino Linotype" w:hAnsi="Palatino Linotype" w:cs="Palatino Linotype"/>
        </w:rPr>
        <w:t xml:space="preserve">al </w:t>
      </w:r>
      <w:r w:rsidRPr="00096EB4">
        <w:rPr>
          <w:rFonts w:ascii="Palatino Linotype" w:eastAsia="Palatino Linotype" w:hAnsi="Palatino Linotype" w:cs="Palatino Linotype"/>
          <w:b/>
        </w:rPr>
        <w:t>SUJETO OBLIGADO</w:t>
      </w:r>
      <w:r w:rsidRPr="00096EB4">
        <w:rPr>
          <w:rFonts w:ascii="Palatino Linotype" w:eastAsia="Palatino Linotype" w:hAnsi="Palatino Linotype" w:cs="Palatino Linotype"/>
        </w:rPr>
        <w:t xml:space="preserve"> a través de la Plataforma Nacional de Transparencia vinculada al Sistema de Acceso a la Información Mexiquense, en adelante SAIMEX, requiriendo lo siguiente:</w:t>
      </w:r>
    </w:p>
    <w:p w:rsidR="003C637A" w:rsidRPr="00096EB4" w:rsidRDefault="003C637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C637A" w:rsidRPr="00096EB4" w:rsidRDefault="00F95947">
      <w:pPr>
        <w:pBdr>
          <w:top w:val="nil"/>
          <w:left w:val="nil"/>
          <w:bottom w:val="nil"/>
          <w:right w:val="nil"/>
          <w:between w:val="nil"/>
        </w:pBdr>
        <w:spacing w:before="200" w:after="160"/>
        <w:ind w:left="864" w:right="864"/>
        <w:jc w:val="both"/>
        <w:rPr>
          <w:rFonts w:ascii="Palatino Linotype" w:eastAsia="Palatino Linotype" w:hAnsi="Palatino Linotype" w:cs="Palatino Linotype"/>
          <w:b/>
          <w:i/>
          <w:sz w:val="22"/>
          <w:szCs w:val="22"/>
          <w:u w:val="single"/>
        </w:rPr>
      </w:pPr>
      <w:r w:rsidRPr="00096EB4">
        <w:rPr>
          <w:rFonts w:ascii="Palatino Linotype" w:eastAsia="Palatino Linotype" w:hAnsi="Palatino Linotype" w:cs="Palatino Linotype"/>
          <w:i/>
          <w:sz w:val="22"/>
          <w:szCs w:val="22"/>
        </w:rPr>
        <w:t xml:space="preserve">“La universidad cuenta con el Registro Nacional de Instituciones y Empresas Científicas y Tecnológicas (RENIECYT), de ser así </w:t>
      </w:r>
      <w:proofErr w:type="spellStart"/>
      <w:r w:rsidRPr="00096EB4">
        <w:rPr>
          <w:rFonts w:ascii="Palatino Linotype" w:eastAsia="Palatino Linotype" w:hAnsi="Palatino Linotype" w:cs="Palatino Linotype"/>
          <w:i/>
          <w:sz w:val="22"/>
          <w:szCs w:val="22"/>
        </w:rPr>
        <w:t>cual</w:t>
      </w:r>
      <w:proofErr w:type="spellEnd"/>
      <w:r w:rsidRPr="00096EB4">
        <w:rPr>
          <w:rFonts w:ascii="Palatino Linotype" w:eastAsia="Palatino Linotype" w:hAnsi="Palatino Linotype" w:cs="Palatino Linotype"/>
          <w:i/>
          <w:sz w:val="22"/>
          <w:szCs w:val="22"/>
        </w:rPr>
        <w:t xml:space="preserve"> es su número de registro.” (Sic)</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Modalidad de Entrega:</w:t>
      </w:r>
      <w:r w:rsidRPr="00096EB4">
        <w:rPr>
          <w:rFonts w:ascii="Palatino Linotype" w:eastAsia="Palatino Linotype" w:hAnsi="Palatino Linotype" w:cs="Palatino Linotype"/>
        </w:rPr>
        <w:t xml:space="preserve"> Electrónico, a través del sistema de solicitudes de acceso, que, para efectos del presente asunto, se entenderá a través del Sistema de Acceso a la Información Mexiquense (SAIMEX), como se advierte a continuación:</w:t>
      </w:r>
    </w:p>
    <w:p w:rsidR="003C637A" w:rsidRPr="00096EB4" w:rsidRDefault="00F95947">
      <w:pPr>
        <w:spacing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noProof/>
          <w:lang w:val="es-MX"/>
        </w:rPr>
        <w:drawing>
          <wp:inline distT="114300" distB="114300" distL="114300" distR="114300">
            <wp:extent cx="5311140" cy="520700"/>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311140" cy="520700"/>
                    </a:xfrm>
                    <a:prstGeom prst="rect">
                      <a:avLst/>
                    </a:prstGeom>
                    <a:ln/>
                  </pic:spPr>
                </pic:pic>
              </a:graphicData>
            </a:graphic>
          </wp:inline>
        </w:drawing>
      </w:r>
    </w:p>
    <w:p w:rsidR="003C637A" w:rsidRPr="00096EB4" w:rsidRDefault="00F95947">
      <w:pPr>
        <w:spacing w:after="240" w:line="360" w:lineRule="auto"/>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rPr>
        <w:t xml:space="preserve">2. Respuesta. </w:t>
      </w:r>
      <w:r w:rsidRPr="00096EB4">
        <w:rPr>
          <w:rFonts w:ascii="Palatino Linotype" w:eastAsia="Palatino Linotype" w:hAnsi="Palatino Linotype" w:cs="Palatino Linotype"/>
        </w:rPr>
        <w:t xml:space="preserve">El </w:t>
      </w:r>
      <w:r w:rsidRPr="00096EB4">
        <w:rPr>
          <w:rFonts w:ascii="Palatino Linotype" w:eastAsia="Palatino Linotype" w:hAnsi="Palatino Linotype" w:cs="Palatino Linotype"/>
          <w:b/>
        </w:rPr>
        <w:t>diecinueve de mayo de dos mil veintitrés</w:t>
      </w:r>
      <w:r w:rsidRPr="00096EB4">
        <w:rPr>
          <w:rFonts w:ascii="Palatino Linotype" w:eastAsia="Palatino Linotype" w:hAnsi="Palatino Linotype" w:cs="Palatino Linotype"/>
        </w:rPr>
        <w:t xml:space="preserve">, el </w:t>
      </w:r>
      <w:r w:rsidRPr="00096EB4">
        <w:rPr>
          <w:rFonts w:ascii="Palatino Linotype" w:eastAsia="Palatino Linotype" w:hAnsi="Palatino Linotype" w:cs="Palatino Linotype"/>
          <w:b/>
        </w:rPr>
        <w:t xml:space="preserve">Sujeto Obligado </w:t>
      </w:r>
      <w:r w:rsidRPr="00096EB4">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3C637A" w:rsidRPr="00096EB4" w:rsidRDefault="00F95947">
      <w:pPr>
        <w:spacing w:before="240" w:after="240"/>
        <w:ind w:left="851" w:right="902"/>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“Se envía respuesta mediante Oficio 210C0301100000L/0269/2023 de fecha 18 de mayo de 2023, suscrito por el M. en A.P. Antonio Lara Bautista, Secretario Académico de la Universidad Tecnológica de Nezahualcóyotl.</w:t>
      </w:r>
    </w:p>
    <w:p w:rsidR="003C637A" w:rsidRPr="00096EB4" w:rsidRDefault="00F95947">
      <w:pPr>
        <w:spacing w:before="240" w:after="240"/>
        <w:ind w:left="851" w:right="902"/>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ATENTAMENTE</w:t>
      </w:r>
    </w:p>
    <w:p w:rsidR="003C637A" w:rsidRPr="00096EB4" w:rsidRDefault="00F95947">
      <w:pPr>
        <w:spacing w:before="240" w:after="240"/>
        <w:ind w:left="851" w:right="902"/>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LIC. JOSE LUIS MARTÍNEZ TÉLLEZ”</w:t>
      </w:r>
    </w:p>
    <w:p w:rsidR="003C637A" w:rsidRPr="00096EB4" w:rsidRDefault="00F95947">
      <w:pPr>
        <w:spacing w:before="240" w:after="240"/>
        <w:ind w:right="7"/>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El </w:t>
      </w:r>
      <w:r w:rsidRPr="00096EB4">
        <w:rPr>
          <w:rFonts w:ascii="Palatino Linotype" w:eastAsia="Palatino Linotype" w:hAnsi="Palatino Linotype" w:cs="Palatino Linotype"/>
          <w:b/>
        </w:rPr>
        <w:t>SUJETO OBLIGADO</w:t>
      </w:r>
      <w:r w:rsidRPr="00096EB4">
        <w:rPr>
          <w:rFonts w:ascii="Palatino Linotype" w:eastAsia="Palatino Linotype" w:hAnsi="Palatino Linotype" w:cs="Palatino Linotype"/>
        </w:rPr>
        <w:t xml:space="preserve"> adjuntó a su repuesta los siguientes documentos:</w:t>
      </w:r>
    </w:p>
    <w:p w:rsidR="003C637A" w:rsidRPr="00096EB4" w:rsidRDefault="00F95947">
      <w:pPr>
        <w:spacing w:before="240" w:after="240" w:line="360" w:lineRule="auto"/>
        <w:ind w:right="7"/>
        <w:jc w:val="both"/>
        <w:rPr>
          <w:rFonts w:ascii="Palatino Linotype" w:eastAsia="Palatino Linotype" w:hAnsi="Palatino Linotype" w:cs="Palatino Linotype"/>
        </w:rPr>
      </w:pPr>
      <w:r w:rsidRPr="00096EB4">
        <w:rPr>
          <w:rFonts w:ascii="Palatino Linotype" w:eastAsia="Palatino Linotype" w:hAnsi="Palatino Linotype" w:cs="Palatino Linotype"/>
          <w:b/>
          <w:i/>
        </w:rPr>
        <w:t>- Respuesta 035 SAIMEX 2023.pdf;</w:t>
      </w:r>
      <w:r w:rsidRPr="00096EB4">
        <w:rPr>
          <w:rFonts w:ascii="Palatino Linotype" w:eastAsia="Palatino Linotype" w:hAnsi="Palatino Linotype" w:cs="Palatino Linotype"/>
          <w:i/>
        </w:rPr>
        <w:t xml:space="preserve"> </w:t>
      </w:r>
      <w:r w:rsidRPr="00096EB4">
        <w:rPr>
          <w:rFonts w:ascii="Palatino Linotype" w:eastAsia="Palatino Linotype" w:hAnsi="Palatino Linotype" w:cs="Palatino Linotype"/>
        </w:rPr>
        <w:t xml:space="preserve">Oficio 210C0301100000L/0269/2023 el cual consta de dos fojas, suscrito por el Secretario Académico, en donde refiere que la información fue requerida al Ing. Jorge Rodríguez Jacobo, Secretario de Vinculación, quien remitió copia simple del formato del registro, como se advierte a continuación: </w:t>
      </w:r>
    </w:p>
    <w:p w:rsidR="003C637A" w:rsidRPr="00096EB4" w:rsidRDefault="00F95947">
      <w:pPr>
        <w:spacing w:before="240" w:after="240"/>
        <w:ind w:right="902"/>
        <w:jc w:val="center"/>
        <w:rPr>
          <w:rFonts w:ascii="Palatino Linotype" w:eastAsia="Palatino Linotype" w:hAnsi="Palatino Linotype" w:cs="Palatino Linotype"/>
          <w:sz w:val="22"/>
          <w:szCs w:val="22"/>
        </w:rPr>
      </w:pPr>
      <w:r w:rsidRPr="00096EB4">
        <w:rPr>
          <w:rFonts w:ascii="Palatino Linotype" w:eastAsia="Palatino Linotype" w:hAnsi="Palatino Linotype" w:cs="Palatino Linotype"/>
          <w:noProof/>
          <w:sz w:val="22"/>
          <w:szCs w:val="22"/>
          <w:lang w:val="es-MX"/>
        </w:rPr>
        <w:lastRenderedPageBreak/>
        <w:drawing>
          <wp:inline distT="0" distB="0" distL="0" distR="0">
            <wp:extent cx="4443674" cy="5608738"/>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443674" cy="5608738"/>
                    </a:xfrm>
                    <a:prstGeom prst="rect">
                      <a:avLst/>
                    </a:prstGeom>
                    <a:ln/>
                  </pic:spPr>
                </pic:pic>
              </a:graphicData>
            </a:graphic>
          </wp:inline>
        </w:drawing>
      </w:r>
    </w:p>
    <w:p w:rsidR="003C637A" w:rsidRPr="00096EB4" w:rsidRDefault="00F95947">
      <w:pPr>
        <w:spacing w:before="240" w:after="240"/>
        <w:ind w:right="902"/>
        <w:rPr>
          <w:rFonts w:ascii="Palatino Linotype" w:eastAsia="Palatino Linotype" w:hAnsi="Palatino Linotype" w:cs="Palatino Linotype"/>
          <w:sz w:val="22"/>
          <w:szCs w:val="22"/>
        </w:rPr>
      </w:pPr>
      <w:r w:rsidRPr="00096EB4">
        <w:rPr>
          <w:rFonts w:ascii="Palatino Linotype" w:eastAsia="Palatino Linotype" w:hAnsi="Palatino Linotype" w:cs="Palatino Linotype"/>
          <w:noProof/>
          <w:sz w:val="22"/>
          <w:szCs w:val="22"/>
          <w:lang w:val="es-MX"/>
        </w:rPr>
        <w:lastRenderedPageBreak/>
        <w:drawing>
          <wp:inline distT="0" distB="0" distL="0" distR="0">
            <wp:extent cx="4601491" cy="5556661"/>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01491" cy="5556661"/>
                    </a:xfrm>
                    <a:prstGeom prst="rect">
                      <a:avLst/>
                    </a:prstGeom>
                    <a:ln/>
                  </pic:spPr>
                </pic:pic>
              </a:graphicData>
            </a:graphic>
          </wp:inline>
        </w:drawing>
      </w:r>
    </w:p>
    <w:p w:rsidR="003C637A" w:rsidRPr="00096EB4" w:rsidRDefault="00F95947">
      <w:pPr>
        <w:spacing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b/>
        </w:rPr>
        <w:t xml:space="preserve">              </w:t>
      </w:r>
    </w:p>
    <w:p w:rsidR="003C637A" w:rsidRPr="00096EB4" w:rsidRDefault="003C637A">
      <w:pPr>
        <w:spacing w:line="360" w:lineRule="auto"/>
        <w:jc w:val="both"/>
        <w:rPr>
          <w:rFonts w:ascii="Palatino Linotype" w:eastAsia="Palatino Linotype" w:hAnsi="Palatino Linotype" w:cs="Palatino Linotype"/>
          <w:b/>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3. Interposición del recurso de revisión</w:t>
      </w:r>
      <w:r w:rsidRPr="00096EB4">
        <w:rPr>
          <w:rFonts w:ascii="Palatino Linotype" w:eastAsia="Palatino Linotype" w:hAnsi="Palatino Linotype" w:cs="Palatino Linotype"/>
        </w:rPr>
        <w:t xml:space="preserve">. Inconforme la persona solicitante con la respuesta del </w:t>
      </w:r>
      <w:r w:rsidRPr="00096EB4">
        <w:rPr>
          <w:rFonts w:ascii="Palatino Linotype" w:eastAsia="Palatino Linotype" w:hAnsi="Palatino Linotype" w:cs="Palatino Linotype"/>
          <w:b/>
        </w:rPr>
        <w:t>SUJETO OBLIGADO</w:t>
      </w:r>
      <w:r w:rsidRPr="00096EB4">
        <w:rPr>
          <w:rFonts w:ascii="Palatino Linotype" w:eastAsia="Palatino Linotype" w:hAnsi="Palatino Linotype" w:cs="Palatino Linotype"/>
        </w:rPr>
        <w:t xml:space="preserve">, con fecha </w:t>
      </w:r>
      <w:r w:rsidRPr="00096EB4">
        <w:rPr>
          <w:rFonts w:ascii="Palatino Linotype" w:eastAsia="Palatino Linotype" w:hAnsi="Palatino Linotype" w:cs="Palatino Linotype"/>
          <w:b/>
        </w:rPr>
        <w:t>veintinueve de mayo de dos mil veintitrés,</w:t>
      </w:r>
      <w:r w:rsidRPr="00096EB4">
        <w:rPr>
          <w:rFonts w:ascii="Palatino Linotype" w:eastAsia="Palatino Linotype" w:hAnsi="Palatino Linotype" w:cs="Palatino Linotype"/>
        </w:rPr>
        <w:t xml:space="preserve"> accionó este recurso de revisión a través de SAIMEX, en donde se manifestó de la siguiente manera:</w:t>
      </w:r>
    </w:p>
    <w:p w:rsidR="003C637A" w:rsidRPr="00096EB4" w:rsidRDefault="00F95947">
      <w:pPr>
        <w:spacing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b/>
        </w:rPr>
        <w:t xml:space="preserve">Acto impugnado: </w:t>
      </w:r>
    </w:p>
    <w:p w:rsidR="003C637A" w:rsidRPr="00096EB4" w:rsidRDefault="003C637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C637A" w:rsidRPr="00096EB4" w:rsidRDefault="00F9594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“No se dio una respuesta.” (Sic)</w:t>
      </w:r>
    </w:p>
    <w:p w:rsidR="003C637A" w:rsidRPr="00096EB4" w:rsidRDefault="003C637A"/>
    <w:p w:rsidR="003C637A" w:rsidRPr="00096EB4" w:rsidRDefault="003C637A"/>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Razones o motivos de inconformidad</w:t>
      </w:r>
      <w:r w:rsidRPr="00096EB4">
        <w:rPr>
          <w:rFonts w:ascii="Palatino Linotype" w:eastAsia="Palatino Linotype" w:hAnsi="Palatino Linotype" w:cs="Palatino Linotype"/>
        </w:rPr>
        <w:t xml:space="preserve">: (no señaló motivos de inconformidad) </w:t>
      </w:r>
    </w:p>
    <w:p w:rsidR="003C637A" w:rsidRPr="00096EB4" w:rsidRDefault="003C637A"/>
    <w:p w:rsidR="003C637A" w:rsidRPr="00096EB4" w:rsidRDefault="00F95947">
      <w:pPr>
        <w:rPr>
          <w:rFonts w:ascii="Palatino Linotype" w:eastAsia="Palatino Linotype" w:hAnsi="Palatino Linotype" w:cs="Palatino Linotype"/>
        </w:rPr>
      </w:pPr>
      <w:r w:rsidRPr="00096EB4">
        <w:rPr>
          <w:rFonts w:ascii="Palatino Linotype" w:eastAsia="Palatino Linotype" w:hAnsi="Palatino Linotype" w:cs="Palatino Linotype"/>
          <w:b/>
        </w:rPr>
        <w:t>El Recurrente,</w:t>
      </w:r>
      <w:r w:rsidRPr="00096EB4">
        <w:rPr>
          <w:rFonts w:ascii="Palatino Linotype" w:eastAsia="Palatino Linotype" w:hAnsi="Palatino Linotype" w:cs="Palatino Linotype"/>
        </w:rPr>
        <w:t xml:space="preserve"> anexó el archivo electrónico </w:t>
      </w:r>
      <w:r w:rsidRPr="00096EB4">
        <w:rPr>
          <w:rFonts w:ascii="Palatino Linotype" w:eastAsia="Palatino Linotype" w:hAnsi="Palatino Linotype" w:cs="Palatino Linotype"/>
          <w:b/>
        </w:rPr>
        <w:t xml:space="preserve">Archivo1685406637284null </w:t>
      </w:r>
      <w:r w:rsidRPr="00096EB4">
        <w:rPr>
          <w:rFonts w:ascii="Palatino Linotype" w:eastAsia="Palatino Linotype" w:hAnsi="Palatino Linotype" w:cs="Palatino Linotype"/>
        </w:rPr>
        <w:t>el cual no es posible su visualización.</w:t>
      </w:r>
    </w:p>
    <w:p w:rsidR="003C637A" w:rsidRPr="00096EB4" w:rsidRDefault="003C637A">
      <w:pPr>
        <w:ind w:right="902"/>
        <w:jc w:val="both"/>
        <w:rPr>
          <w:rFonts w:ascii="Palatino Linotype" w:eastAsia="Palatino Linotype" w:hAnsi="Palatino Linotype" w:cs="Palatino Linotype"/>
          <w:sz w:val="22"/>
          <w:szCs w:val="22"/>
        </w:rPr>
      </w:pPr>
    </w:p>
    <w:p w:rsidR="003C637A" w:rsidRPr="00096EB4" w:rsidRDefault="00F95947">
      <w:pPr>
        <w:spacing w:line="360" w:lineRule="auto"/>
        <w:ind w:right="51"/>
        <w:jc w:val="both"/>
        <w:rPr>
          <w:rFonts w:ascii="Palatino Linotype" w:eastAsia="Palatino Linotype" w:hAnsi="Palatino Linotype" w:cs="Palatino Linotype"/>
        </w:rPr>
      </w:pPr>
      <w:r w:rsidRPr="00096EB4">
        <w:rPr>
          <w:rFonts w:ascii="Palatino Linotype" w:eastAsia="Palatino Linotype" w:hAnsi="Palatino Linotype" w:cs="Palatino Linotype"/>
          <w:b/>
        </w:rPr>
        <w:t xml:space="preserve">4. Turno. </w:t>
      </w:r>
      <w:r w:rsidRPr="00096EB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96EB4">
        <w:rPr>
          <w:rFonts w:ascii="Palatino Linotype" w:eastAsia="Palatino Linotype" w:hAnsi="Palatino Linotype" w:cs="Palatino Linotype"/>
          <w:b/>
        </w:rPr>
        <w:t>Comisionada</w:t>
      </w:r>
      <w:r w:rsidRPr="00096EB4">
        <w:rPr>
          <w:rFonts w:ascii="Palatino Linotype" w:eastAsia="Palatino Linotype" w:hAnsi="Palatino Linotype" w:cs="Palatino Linotype"/>
        </w:rPr>
        <w:t xml:space="preserve"> </w:t>
      </w:r>
      <w:r w:rsidRPr="00096EB4">
        <w:rPr>
          <w:rFonts w:ascii="Palatino Linotype" w:eastAsia="Palatino Linotype" w:hAnsi="Palatino Linotype" w:cs="Palatino Linotype"/>
          <w:b/>
        </w:rPr>
        <w:t xml:space="preserve">Guadalupe Ramírez Peña, </w:t>
      </w:r>
      <w:r w:rsidRPr="00096EB4">
        <w:rPr>
          <w:rFonts w:ascii="Palatino Linotype" w:eastAsia="Palatino Linotype" w:hAnsi="Palatino Linotype" w:cs="Palatino Linotype"/>
        </w:rPr>
        <w:t xml:space="preserve">a efecto de que analizara sobre su admisión o su </w:t>
      </w:r>
      <w:proofErr w:type="spellStart"/>
      <w:r w:rsidRPr="00096EB4">
        <w:rPr>
          <w:rFonts w:ascii="Palatino Linotype" w:eastAsia="Palatino Linotype" w:hAnsi="Palatino Linotype" w:cs="Palatino Linotype"/>
        </w:rPr>
        <w:t>desechamiento</w:t>
      </w:r>
      <w:proofErr w:type="spellEnd"/>
      <w:r w:rsidRPr="00096EB4">
        <w:rPr>
          <w:rFonts w:ascii="Palatino Linotype" w:eastAsia="Palatino Linotype" w:hAnsi="Palatino Linotype" w:cs="Palatino Linotype"/>
        </w:rPr>
        <w:t>.</w:t>
      </w:r>
    </w:p>
    <w:p w:rsidR="003C637A" w:rsidRPr="00096EB4" w:rsidRDefault="003C637A">
      <w:pPr>
        <w:spacing w:line="360" w:lineRule="auto"/>
        <w:ind w:right="51"/>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bookmarkStart w:id="2" w:name="_heading=h.2s8eyo1" w:colFirst="0" w:colLast="0"/>
      <w:bookmarkEnd w:id="2"/>
      <w:r w:rsidRPr="00096EB4">
        <w:rPr>
          <w:rFonts w:ascii="Palatino Linotype" w:eastAsia="Palatino Linotype" w:hAnsi="Palatino Linotype" w:cs="Palatino Linotype"/>
          <w:b/>
        </w:rPr>
        <w:t>5. Admisión del Recurso de revisión.</w:t>
      </w:r>
      <w:r w:rsidRPr="00096EB4">
        <w:rPr>
          <w:rFonts w:ascii="Palatino Linotype" w:eastAsia="Palatino Linotype" w:hAnsi="Palatino Linotype" w:cs="Palatino Linotype"/>
        </w:rPr>
        <w:t xml:space="preserve"> Con fecha</w:t>
      </w:r>
      <w:r w:rsidRPr="00096EB4">
        <w:rPr>
          <w:rFonts w:ascii="Palatino Linotype" w:eastAsia="Palatino Linotype" w:hAnsi="Palatino Linotype" w:cs="Palatino Linotype"/>
          <w:b/>
        </w:rPr>
        <w:t xml:space="preserve"> primero de junio de dos mil veintitrés, </w:t>
      </w:r>
      <w:r w:rsidRPr="00096EB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096EB4">
        <w:rPr>
          <w:rFonts w:ascii="Palatino Linotype" w:eastAsia="Palatino Linotype" w:hAnsi="Palatino Linotype" w:cs="Palatino Linotype"/>
          <w:b/>
        </w:rPr>
        <w:t xml:space="preserve">EL SUJETO OBLIGADO </w:t>
      </w:r>
      <w:r w:rsidRPr="00096EB4">
        <w:rPr>
          <w:rFonts w:ascii="Palatino Linotype" w:eastAsia="Palatino Linotype" w:hAnsi="Palatino Linotype" w:cs="Palatino Linotype"/>
        </w:rPr>
        <w:t>presentara su Informe Justificado.</w:t>
      </w:r>
    </w:p>
    <w:p w:rsidR="003C637A" w:rsidRPr="00096EB4" w:rsidRDefault="003C637A">
      <w:pPr>
        <w:jc w:val="both"/>
        <w:rPr>
          <w:rFonts w:ascii="Palatino Linotype" w:eastAsia="Palatino Linotype" w:hAnsi="Palatino Linotype" w:cs="Palatino Linotype"/>
        </w:rPr>
      </w:pPr>
    </w:p>
    <w:p w:rsidR="003C637A" w:rsidRPr="00096EB4" w:rsidRDefault="00F95947">
      <w:pPr>
        <w:spacing w:line="360" w:lineRule="auto"/>
        <w:ind w:right="49"/>
        <w:jc w:val="both"/>
        <w:rPr>
          <w:rFonts w:ascii="Palatino Linotype" w:eastAsia="Palatino Linotype" w:hAnsi="Palatino Linotype" w:cs="Palatino Linotype"/>
        </w:rPr>
      </w:pPr>
      <w:r w:rsidRPr="00096EB4">
        <w:rPr>
          <w:rFonts w:ascii="Palatino Linotype" w:eastAsia="Palatino Linotype" w:hAnsi="Palatino Linotype" w:cs="Palatino Linotype"/>
          <w:b/>
        </w:rPr>
        <w:t>6. Manifestaciones</w:t>
      </w:r>
      <w:r w:rsidRPr="00096EB4">
        <w:rPr>
          <w:rFonts w:ascii="Palatino Linotype" w:eastAsia="Palatino Linotype" w:hAnsi="Palatino Linotype" w:cs="Palatino Linotype"/>
        </w:rPr>
        <w:t xml:space="preserve">. De las constancias que integran el expediente electrónico en que se actúa se advierte que </w:t>
      </w:r>
      <w:r w:rsidRPr="00096EB4">
        <w:rPr>
          <w:rFonts w:ascii="Palatino Linotype" w:eastAsia="Palatino Linotype" w:hAnsi="Palatino Linotype" w:cs="Palatino Linotype"/>
          <w:b/>
        </w:rPr>
        <w:t>LA PARTE RECURRENTE, así como EL SUJETO OBLIGADO,</w:t>
      </w:r>
      <w:r w:rsidRPr="00096EB4">
        <w:rPr>
          <w:rFonts w:ascii="Palatino Linotype" w:eastAsia="Palatino Linotype" w:hAnsi="Palatino Linotype" w:cs="Palatino Linotype"/>
        </w:rPr>
        <w:t xml:space="preserve"> omitieron realizar cualquier manifestación alguna. </w:t>
      </w:r>
    </w:p>
    <w:p w:rsidR="003C637A" w:rsidRPr="00096EB4" w:rsidRDefault="00F95947">
      <w:pPr>
        <w:spacing w:line="360" w:lineRule="auto"/>
        <w:ind w:right="49"/>
        <w:jc w:val="both"/>
        <w:rPr>
          <w:rFonts w:ascii="Palatino Linotype" w:eastAsia="Palatino Linotype" w:hAnsi="Palatino Linotype" w:cs="Palatino Linotype"/>
        </w:rPr>
      </w:pPr>
      <w:r w:rsidRPr="00096EB4">
        <w:rPr>
          <w:noProof/>
          <w:lang w:val="es-MX"/>
        </w:rPr>
        <w:drawing>
          <wp:inline distT="0" distB="0" distL="0" distR="0">
            <wp:extent cx="5209060" cy="1317768"/>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7530" t="35411" r="32210" b="37473"/>
                    <a:stretch>
                      <a:fillRect/>
                    </a:stretch>
                  </pic:blipFill>
                  <pic:spPr>
                    <a:xfrm>
                      <a:off x="0" y="0"/>
                      <a:ext cx="5209060" cy="1317768"/>
                    </a:xfrm>
                    <a:prstGeom prst="rect">
                      <a:avLst/>
                    </a:prstGeom>
                    <a:ln/>
                  </pic:spPr>
                </pic:pic>
              </a:graphicData>
            </a:graphic>
          </wp:inline>
        </w:drawing>
      </w:r>
    </w:p>
    <w:p w:rsidR="003C637A" w:rsidRPr="00096EB4" w:rsidRDefault="00F95947">
      <w:pPr>
        <w:widowControl w:val="0"/>
        <w:spacing w:after="240"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b/>
        </w:rPr>
        <w:t>7.- Ampliación del plazo para emitir resolución.</w:t>
      </w:r>
      <w:r w:rsidRPr="00096EB4">
        <w:rPr>
          <w:rFonts w:ascii="Palatino Linotype" w:eastAsia="Palatino Linotype" w:hAnsi="Palatino Linotype" w:cs="Palatino Linotype"/>
        </w:rPr>
        <w:t xml:space="preserve"> El </w:t>
      </w:r>
      <w:r w:rsidRPr="00096EB4">
        <w:rPr>
          <w:rFonts w:ascii="Palatino Linotype" w:eastAsia="Palatino Linotype" w:hAnsi="Palatino Linotype" w:cs="Palatino Linotype"/>
          <w:b/>
        </w:rPr>
        <w:t>seis de noviembre del año dos mil veintitrés</w:t>
      </w:r>
      <w:r w:rsidRPr="00096EB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strike/>
        </w:rPr>
      </w:pPr>
      <w:r w:rsidRPr="00096EB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numPr>
          <w:ilvl w:val="0"/>
          <w:numId w:val="3"/>
        </w:numPr>
        <w:spacing w:line="360" w:lineRule="auto"/>
        <w:ind w:left="567" w:right="900" w:hanging="141"/>
        <w:jc w:val="both"/>
        <w:rPr>
          <w:rFonts w:ascii="Palatino Linotype" w:eastAsia="Palatino Linotype" w:hAnsi="Palatino Linotype" w:cs="Palatino Linotype"/>
        </w:rPr>
      </w:pPr>
      <w:r w:rsidRPr="00096EB4">
        <w:rPr>
          <w:rFonts w:ascii="Palatino Linotype" w:eastAsia="Palatino Linotype" w:hAnsi="Palatino Linotype" w:cs="Palatino Linotype"/>
          <w:b/>
        </w:rPr>
        <w:t>Complejidad del Asunto:</w:t>
      </w:r>
      <w:r w:rsidRPr="00096EB4">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3C637A" w:rsidRPr="00096EB4" w:rsidRDefault="003C637A">
      <w:pPr>
        <w:spacing w:line="360" w:lineRule="auto"/>
        <w:ind w:left="567" w:right="900" w:hanging="141"/>
        <w:jc w:val="both"/>
        <w:rPr>
          <w:rFonts w:ascii="Palatino Linotype" w:eastAsia="Palatino Linotype" w:hAnsi="Palatino Linotype" w:cs="Palatino Linotype"/>
          <w:b/>
        </w:rPr>
      </w:pPr>
    </w:p>
    <w:p w:rsidR="003C637A" w:rsidRPr="00096EB4" w:rsidRDefault="00F95947">
      <w:pPr>
        <w:numPr>
          <w:ilvl w:val="0"/>
          <w:numId w:val="3"/>
        </w:numPr>
        <w:spacing w:line="360" w:lineRule="auto"/>
        <w:ind w:left="567" w:right="900" w:hanging="141"/>
        <w:jc w:val="both"/>
        <w:rPr>
          <w:rFonts w:ascii="Palatino Linotype" w:eastAsia="Palatino Linotype" w:hAnsi="Palatino Linotype" w:cs="Palatino Linotype"/>
        </w:rPr>
      </w:pPr>
      <w:r w:rsidRPr="00096EB4">
        <w:rPr>
          <w:rFonts w:ascii="Palatino Linotype" w:eastAsia="Palatino Linotype" w:hAnsi="Palatino Linotype" w:cs="Palatino Linotype"/>
          <w:b/>
        </w:rPr>
        <w:t>Actividad Procesal del interesado.</w:t>
      </w:r>
      <w:r w:rsidRPr="00096EB4">
        <w:rPr>
          <w:rFonts w:ascii="Palatino Linotype" w:eastAsia="Palatino Linotype" w:hAnsi="Palatino Linotype" w:cs="Palatino Linotype"/>
        </w:rPr>
        <w:t xml:space="preserve"> Acciones u omisiones del interesado.</w:t>
      </w:r>
    </w:p>
    <w:p w:rsidR="003C637A" w:rsidRPr="00096EB4" w:rsidRDefault="003C637A">
      <w:pPr>
        <w:spacing w:line="360" w:lineRule="auto"/>
        <w:ind w:left="567" w:right="900" w:hanging="141"/>
        <w:jc w:val="both"/>
        <w:rPr>
          <w:rFonts w:ascii="Palatino Linotype" w:eastAsia="Palatino Linotype" w:hAnsi="Palatino Linotype" w:cs="Palatino Linotype"/>
        </w:rPr>
      </w:pPr>
    </w:p>
    <w:p w:rsidR="003C637A" w:rsidRPr="00096EB4" w:rsidRDefault="00F95947">
      <w:pPr>
        <w:numPr>
          <w:ilvl w:val="0"/>
          <w:numId w:val="3"/>
        </w:numPr>
        <w:spacing w:line="360" w:lineRule="auto"/>
        <w:ind w:left="567" w:right="900" w:hanging="141"/>
        <w:jc w:val="both"/>
        <w:rPr>
          <w:rFonts w:ascii="Palatino Linotype" w:eastAsia="Palatino Linotype" w:hAnsi="Palatino Linotype" w:cs="Palatino Linotype"/>
        </w:rPr>
      </w:pPr>
      <w:r w:rsidRPr="00096EB4">
        <w:rPr>
          <w:rFonts w:ascii="Palatino Linotype" w:eastAsia="Palatino Linotype" w:hAnsi="Palatino Linotype" w:cs="Palatino Linotype"/>
          <w:b/>
        </w:rPr>
        <w:t>Conducta de la Autoridad:</w:t>
      </w:r>
      <w:r w:rsidRPr="00096EB4">
        <w:rPr>
          <w:rFonts w:ascii="Palatino Linotype" w:eastAsia="Palatino Linotype" w:hAnsi="Palatino Linotype" w:cs="Palatino Linotype"/>
        </w:rPr>
        <w:t xml:space="preserve"> Las Acciones u omisiones realizadas en el procedimiento. Así como si la autoridad actuó con la debida diligencia.</w:t>
      </w:r>
    </w:p>
    <w:p w:rsidR="003C637A" w:rsidRPr="00096EB4" w:rsidRDefault="003C637A">
      <w:pPr>
        <w:spacing w:line="360" w:lineRule="auto"/>
        <w:ind w:left="567" w:right="900" w:hanging="141"/>
        <w:rPr>
          <w:rFonts w:ascii="Palatino Linotype" w:eastAsia="Palatino Linotype" w:hAnsi="Palatino Linotype" w:cs="Palatino Linotype"/>
        </w:rPr>
      </w:pPr>
    </w:p>
    <w:p w:rsidR="003C637A" w:rsidRPr="00096EB4" w:rsidRDefault="00F95947">
      <w:pPr>
        <w:spacing w:line="360" w:lineRule="auto"/>
        <w:ind w:left="567" w:right="900" w:hanging="141"/>
        <w:jc w:val="both"/>
        <w:rPr>
          <w:rFonts w:ascii="Palatino Linotype" w:eastAsia="Palatino Linotype" w:hAnsi="Palatino Linotype" w:cs="Palatino Linotype"/>
        </w:rPr>
      </w:pPr>
      <w:r w:rsidRPr="00096EB4">
        <w:rPr>
          <w:rFonts w:ascii="Palatino Linotype" w:eastAsia="Palatino Linotype" w:hAnsi="Palatino Linotype" w:cs="Palatino Linotype"/>
          <w:b/>
        </w:rPr>
        <w:t>d) La afectación generada en la situación jurídica de la persona involucrada en el proceso</w:t>
      </w:r>
      <w:r w:rsidRPr="00096EB4">
        <w:rPr>
          <w:rFonts w:ascii="Palatino Linotype" w:eastAsia="Palatino Linotype" w:hAnsi="Palatino Linotype" w:cs="Palatino Linotype"/>
        </w:rPr>
        <w:t>: Violación a sus derechos humanos.</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rPr>
        <w:t>Argumento que encuentra sustento en la jurisprudencia P</w:t>
      </w:r>
      <w:proofErr w:type="gramStart"/>
      <w:r w:rsidRPr="00096EB4">
        <w:rPr>
          <w:rFonts w:ascii="Palatino Linotype" w:eastAsia="Palatino Linotype" w:hAnsi="Palatino Linotype" w:cs="Palatino Linotype"/>
        </w:rPr>
        <w:t>./</w:t>
      </w:r>
      <w:proofErr w:type="gramEnd"/>
      <w:r w:rsidRPr="00096EB4">
        <w:rPr>
          <w:rFonts w:ascii="Palatino Linotype" w:eastAsia="Palatino Linotype" w:hAnsi="Palatino Linotype" w:cs="Palatino Linotype"/>
        </w:rPr>
        <w:t xml:space="preserve">J. 32/92 emitida por el Pleno de la Suprema Corte de Justicia de la Nación de rubro </w:t>
      </w:r>
      <w:r w:rsidRPr="00096EB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96EB4">
        <w:rPr>
          <w:rFonts w:ascii="Palatino Linotype" w:eastAsia="Palatino Linotype" w:hAnsi="Palatino Linotype" w:cs="Palatino Linotype"/>
        </w:rPr>
        <w:t>, visible en la Gaceta del Seminario Judicial de la Federación con el registro digital 205635.</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 </w:t>
      </w:r>
      <w:r w:rsidRPr="00096EB4">
        <w:rPr>
          <w:rFonts w:ascii="Palatino Linotype" w:eastAsia="Palatino Linotype" w:hAnsi="Palatino Linotype" w:cs="Palatino Linotype"/>
          <w:i/>
        </w:rPr>
        <w:t>“PLAZO RAZONABLE PARA RESOLVER. DIMENSIÓN Y EFECTOS DE ESTE CONCEPTO CUANDO SE ADUCE EXCESIVA CARGA DE TRABAJO.”</w:t>
      </w:r>
      <w:r w:rsidRPr="00096EB4">
        <w:rPr>
          <w:rFonts w:ascii="Palatino Linotype" w:eastAsia="Palatino Linotype" w:hAnsi="Palatino Linotype" w:cs="Palatino Linotype"/>
        </w:rPr>
        <w:t xml:space="preserve"> consultable en el Seminario Judicial de la Federación y su gaceta, con el registro digital 2002351.</w:t>
      </w:r>
    </w:p>
    <w:p w:rsidR="003C637A" w:rsidRPr="00096EB4" w:rsidRDefault="003C637A">
      <w:pPr>
        <w:spacing w:line="360" w:lineRule="auto"/>
        <w:jc w:val="both"/>
        <w:rPr>
          <w:rFonts w:ascii="Palatino Linotype" w:eastAsia="Palatino Linotype" w:hAnsi="Palatino Linotype" w:cs="Palatino Linotype"/>
          <w:b/>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i/>
        </w:rPr>
        <w:t>“PLAZO RAZONABLE PARA RESOLVER. CONCEPTO Y ELEMENTOS QUE LO INTEGRAN A LA LUZ DEL DERECHO INTERNACIONAL DE LOS DERECHOS HUMANOS.”</w:t>
      </w:r>
      <w:r w:rsidRPr="00096EB4">
        <w:rPr>
          <w:rFonts w:ascii="Palatino Linotype" w:eastAsia="Palatino Linotype" w:hAnsi="Palatino Linotype" w:cs="Palatino Linotype"/>
        </w:rPr>
        <w:t>, visible en el Seminario Judicial de la Federación y su gaceta, con el registro digital 2002350.</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widowControl w:val="0"/>
        <w:spacing w:line="360" w:lineRule="auto"/>
        <w:ind w:right="49"/>
        <w:jc w:val="both"/>
        <w:rPr>
          <w:rFonts w:ascii="Palatino Linotype" w:eastAsia="Palatino Linotype" w:hAnsi="Palatino Linotype" w:cs="Palatino Linotype"/>
        </w:rPr>
      </w:pPr>
      <w:r w:rsidRPr="00096EB4">
        <w:rPr>
          <w:rFonts w:ascii="Palatino Linotype" w:eastAsia="Palatino Linotype" w:hAnsi="Palatino Linotype" w:cs="Palatino Linotype"/>
          <w:b/>
        </w:rPr>
        <w:t xml:space="preserve">8. Cierre de instrucción. </w:t>
      </w:r>
      <w:r w:rsidRPr="00096EB4">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096EB4">
        <w:rPr>
          <w:rFonts w:ascii="Palatino Linotype" w:eastAsia="Palatino Linotype" w:hAnsi="Palatino Linotype" w:cs="Palatino Linotype"/>
          <w:b/>
        </w:rPr>
        <w:t>seis de noviembre de dos mil veintitrés</w:t>
      </w:r>
      <w:r w:rsidRPr="00096EB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3C637A" w:rsidRPr="00096EB4" w:rsidRDefault="00F95947">
      <w:pPr>
        <w:widowControl w:val="0"/>
        <w:spacing w:line="360" w:lineRule="auto"/>
        <w:jc w:val="center"/>
        <w:rPr>
          <w:rFonts w:ascii="Palatino Linotype" w:eastAsia="Palatino Linotype" w:hAnsi="Palatino Linotype" w:cs="Palatino Linotype"/>
          <w:b/>
        </w:rPr>
      </w:pPr>
      <w:r w:rsidRPr="00096EB4">
        <w:rPr>
          <w:rFonts w:ascii="Palatino Linotype" w:eastAsia="Palatino Linotype" w:hAnsi="Palatino Linotype" w:cs="Palatino Linotype"/>
          <w:b/>
        </w:rPr>
        <w:t>II. C O N S I D E R A N D O S</w:t>
      </w: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Primero. Competencia.</w:t>
      </w:r>
      <w:r w:rsidRPr="00096EB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C637A" w:rsidRPr="00096EB4" w:rsidRDefault="00F95947">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096EB4">
        <w:rPr>
          <w:rFonts w:ascii="Palatino Linotype" w:eastAsia="Palatino Linotype" w:hAnsi="Palatino Linotype" w:cs="Palatino Linotype"/>
          <w:b/>
        </w:rPr>
        <w:t xml:space="preserve">Segundo. Oportunidad y </w:t>
      </w:r>
      <w:proofErr w:type="spellStart"/>
      <w:r w:rsidRPr="00096EB4">
        <w:rPr>
          <w:rFonts w:ascii="Palatino Linotype" w:eastAsia="Palatino Linotype" w:hAnsi="Palatino Linotype" w:cs="Palatino Linotype"/>
          <w:b/>
        </w:rPr>
        <w:t>Procedibilidad</w:t>
      </w:r>
      <w:proofErr w:type="spellEnd"/>
      <w:r w:rsidRPr="00096EB4">
        <w:rPr>
          <w:rFonts w:ascii="Palatino Linotype" w:eastAsia="Palatino Linotype" w:hAnsi="Palatino Linotype" w:cs="Palatino Linotype"/>
          <w:b/>
        </w:rPr>
        <w:t xml:space="preserve"> del Recurso de Revisión. </w:t>
      </w:r>
      <w:r w:rsidRPr="00096EB4">
        <w:rPr>
          <w:rFonts w:ascii="Palatino Linotype" w:eastAsia="Palatino Linotype" w:hAnsi="Palatino Linotype" w:cs="Palatino Linotype"/>
        </w:rPr>
        <w:t xml:space="preserve">Previo al estudio del fondo del asunto, se procede a analizar los requisitos de oportunidad y </w:t>
      </w:r>
      <w:proofErr w:type="spellStart"/>
      <w:r w:rsidRPr="00096EB4">
        <w:rPr>
          <w:rFonts w:ascii="Palatino Linotype" w:eastAsia="Palatino Linotype" w:hAnsi="Palatino Linotype" w:cs="Palatino Linotype"/>
        </w:rPr>
        <w:t>procedibilidad</w:t>
      </w:r>
      <w:proofErr w:type="spellEnd"/>
      <w:r w:rsidRPr="00096EB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w:t>
      </w:r>
      <w:r w:rsidRPr="00096EB4">
        <w:rPr>
          <w:rFonts w:ascii="Palatino Linotype" w:eastAsia="Palatino Linotype" w:hAnsi="Palatino Linotype" w:cs="Palatino Linotype"/>
          <w:b/>
        </w:rPr>
        <w:t xml:space="preserve">SUJETO OBLIGADO </w:t>
      </w:r>
      <w:r w:rsidRPr="00096EB4">
        <w:rPr>
          <w:rFonts w:ascii="Palatino Linotype" w:eastAsia="Palatino Linotype" w:hAnsi="Palatino Linotype" w:cs="Palatino Linotype"/>
        </w:rPr>
        <w:t xml:space="preserve">emitió la respuesta, toda vez que esta fue pronunciada el día </w:t>
      </w:r>
      <w:r w:rsidRPr="00096EB4">
        <w:rPr>
          <w:rFonts w:ascii="Palatino Linotype" w:eastAsia="Palatino Linotype" w:hAnsi="Palatino Linotype" w:cs="Palatino Linotype"/>
          <w:b/>
        </w:rPr>
        <w:t>diecinueve de mayo de dos mil veintitrés</w:t>
      </w:r>
      <w:r w:rsidRPr="00096EB4">
        <w:rPr>
          <w:rFonts w:ascii="Palatino Linotype" w:eastAsia="Palatino Linotype" w:hAnsi="Palatino Linotype" w:cs="Palatino Linotype"/>
        </w:rPr>
        <w:t xml:space="preserve">, mientras que </w:t>
      </w:r>
      <w:r w:rsidRPr="00096EB4">
        <w:rPr>
          <w:rFonts w:ascii="Palatino Linotype" w:eastAsia="Palatino Linotype" w:hAnsi="Palatino Linotype" w:cs="Palatino Linotype"/>
          <w:b/>
        </w:rPr>
        <w:t>LA PARTE RECURRENTE</w:t>
      </w:r>
      <w:r w:rsidRPr="00096EB4">
        <w:rPr>
          <w:rFonts w:ascii="Palatino Linotype" w:eastAsia="Palatino Linotype" w:hAnsi="Palatino Linotype" w:cs="Palatino Linotype"/>
        </w:rPr>
        <w:t xml:space="preserve"> interpuso el recurso de revisión en fecha </w:t>
      </w:r>
      <w:r w:rsidRPr="00096EB4">
        <w:rPr>
          <w:rFonts w:ascii="Palatino Linotype" w:eastAsia="Palatino Linotype" w:hAnsi="Palatino Linotype" w:cs="Palatino Linotype"/>
          <w:b/>
        </w:rPr>
        <w:t>veintinueve de mayo de dos mil veintitrés,</w:t>
      </w:r>
      <w:r w:rsidRPr="00096EB4">
        <w:rPr>
          <w:rFonts w:ascii="Palatino Linotype" w:eastAsia="Palatino Linotype" w:hAnsi="Palatino Linotype" w:cs="Palatino Linotype"/>
        </w:rPr>
        <w:t xml:space="preserve"> esto es al sexto día hábil siguiente de haber recibido la respuesta.</w:t>
      </w: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3C637A">
      <w:pPr>
        <w:spacing w:line="276" w:lineRule="auto"/>
        <w:ind w:left="567" w:right="843"/>
        <w:jc w:val="both"/>
        <w:rPr>
          <w:rFonts w:ascii="Palatino Linotype" w:eastAsia="Palatino Linotype" w:hAnsi="Palatino Linotype" w:cs="Palatino Linotype"/>
          <w:i/>
          <w:sz w:val="22"/>
          <w:szCs w:val="22"/>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276" w:lineRule="auto"/>
        <w:ind w:left="567" w:right="616"/>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r w:rsidRPr="00096EB4">
        <w:rPr>
          <w:rFonts w:ascii="Palatino Linotype" w:eastAsia="Palatino Linotype" w:hAnsi="Palatino Linotype" w:cs="Palatino Linotype"/>
          <w:b/>
          <w:i/>
          <w:sz w:val="22"/>
          <w:szCs w:val="22"/>
        </w:rPr>
        <w:t xml:space="preserve">Artículo 179. </w:t>
      </w:r>
      <w:r w:rsidRPr="00096EB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096EB4">
        <w:rPr>
          <w:rFonts w:ascii="Palatino Linotype" w:eastAsia="Palatino Linotype" w:hAnsi="Palatino Linotype" w:cs="Palatino Linotype"/>
          <w:i/>
        </w:rPr>
        <w:t>causas</w:t>
      </w:r>
      <w:r w:rsidRPr="00096EB4">
        <w:rPr>
          <w:rFonts w:ascii="Palatino Linotype" w:eastAsia="Palatino Linotype" w:hAnsi="Palatino Linotype" w:cs="Palatino Linotype"/>
          <w:i/>
          <w:sz w:val="22"/>
          <w:szCs w:val="22"/>
        </w:rPr>
        <w:t>:</w:t>
      </w:r>
    </w:p>
    <w:p w:rsidR="003C637A" w:rsidRPr="00096EB4" w:rsidRDefault="00F95947">
      <w:pPr>
        <w:spacing w:line="276" w:lineRule="auto"/>
        <w:ind w:left="567" w:right="616"/>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p>
    <w:p w:rsidR="003C637A" w:rsidRPr="00096EB4" w:rsidRDefault="00F95947">
      <w:pPr>
        <w:spacing w:line="360" w:lineRule="auto"/>
        <w:ind w:left="567" w:right="616"/>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l. La negativa a la información solicitada;</w:t>
      </w:r>
    </w:p>
    <w:p w:rsidR="003C637A" w:rsidRPr="00096EB4" w:rsidRDefault="00F95947">
      <w:pPr>
        <w:spacing w:line="360" w:lineRule="auto"/>
        <w:ind w:left="567" w:right="616"/>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i/>
          <w:sz w:val="22"/>
          <w:szCs w:val="22"/>
        </w:rPr>
        <w:t xml:space="preserve">…” </w:t>
      </w:r>
    </w:p>
    <w:p w:rsidR="003C637A" w:rsidRPr="00096EB4" w:rsidRDefault="003C637A">
      <w:pPr>
        <w:ind w:firstLine="1134"/>
        <w:rPr>
          <w:rFonts w:ascii="Palatino Linotype" w:eastAsia="Palatino Linotype" w:hAnsi="Palatino Linotype" w:cs="Palatino Linotype"/>
          <w:i/>
          <w:sz w:val="22"/>
          <w:szCs w:val="22"/>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 xml:space="preserve">TERCERO. MATERIA DE LA REVISIÓN. </w:t>
      </w:r>
      <w:r w:rsidRPr="00096EB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096EB4">
        <w:rPr>
          <w:rFonts w:ascii="Palatino Linotype" w:eastAsia="Palatino Linotype" w:hAnsi="Palatino Linotype" w:cs="Palatino Linotype"/>
          <w:b/>
        </w:rPr>
        <w:t xml:space="preserve">SUJETO OBLIGADO </w:t>
      </w:r>
      <w:r w:rsidRPr="00096EB4">
        <w:rPr>
          <w:rFonts w:ascii="Palatino Linotype" w:eastAsia="Palatino Linotype" w:hAnsi="Palatino Linotype" w:cs="Palatino Linotype"/>
        </w:rPr>
        <w:t xml:space="preserve">es adecuada y suficiente para satisfacer el derecho de acceso a la información pública de la parte </w:t>
      </w:r>
      <w:r w:rsidRPr="00096EB4">
        <w:rPr>
          <w:rFonts w:ascii="Palatino Linotype" w:eastAsia="Palatino Linotype" w:hAnsi="Palatino Linotype" w:cs="Palatino Linotype"/>
          <w:b/>
        </w:rPr>
        <w:t>RECURRENTE</w:t>
      </w:r>
      <w:r w:rsidRPr="00096EB4">
        <w:rPr>
          <w:rFonts w:ascii="Palatino Linotype" w:eastAsia="Palatino Linotype" w:hAnsi="Palatino Linotype" w:cs="Palatino Linotype"/>
        </w:rPr>
        <w:t>, o en su defecto, en caso de ser procedente, ordenar la entrega de información oportuna.</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 xml:space="preserve">CUARTO. ESTUDIO Y RESOLUCIÓN DEL ASUNTO. </w:t>
      </w:r>
      <w:r w:rsidRPr="00096EB4">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tabs>
          <w:tab w:val="left" w:pos="709"/>
        </w:tabs>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96EB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C637A" w:rsidRPr="00096EB4" w:rsidRDefault="00F95947">
      <w:pPr>
        <w:tabs>
          <w:tab w:val="left" w:pos="709"/>
        </w:tabs>
        <w:spacing w:line="276" w:lineRule="auto"/>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C637A" w:rsidRPr="00096EB4" w:rsidRDefault="00F95947">
      <w:pPr>
        <w:tabs>
          <w:tab w:val="left" w:pos="709"/>
        </w:tabs>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6EB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3C637A" w:rsidRPr="00096EB4" w:rsidRDefault="00F95947">
      <w:pPr>
        <w:tabs>
          <w:tab w:val="left" w:pos="709"/>
          <w:tab w:val="left" w:pos="4905"/>
        </w:tabs>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r w:rsidRPr="00096EB4">
        <w:rPr>
          <w:rFonts w:ascii="Palatino Linotype" w:eastAsia="Palatino Linotype" w:hAnsi="Palatino Linotype" w:cs="Palatino Linotype"/>
          <w:i/>
          <w:sz w:val="22"/>
          <w:szCs w:val="22"/>
        </w:rPr>
        <w:tab/>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“Artículo 6o.</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A. Para el ejercicio del derecho de acceso a la información, la Federación y </w:t>
      </w:r>
      <w:r w:rsidRPr="00096EB4">
        <w:rPr>
          <w:rFonts w:ascii="Palatino Linotype" w:eastAsia="Palatino Linotype" w:hAnsi="Palatino Linotype" w:cs="Palatino Linotype"/>
          <w:b/>
          <w:i/>
          <w:sz w:val="22"/>
          <w:szCs w:val="22"/>
          <w:u w:val="single"/>
        </w:rPr>
        <w:t>las entidades federativas</w:t>
      </w:r>
      <w:r w:rsidRPr="00096EB4">
        <w:rPr>
          <w:rFonts w:ascii="Palatino Linotype" w:eastAsia="Palatino Linotype" w:hAnsi="Palatino Linotype" w:cs="Palatino Linotype"/>
          <w:b/>
          <w:i/>
          <w:sz w:val="22"/>
          <w:szCs w:val="22"/>
        </w:rPr>
        <w:t>,</w:t>
      </w:r>
      <w:r w:rsidRPr="00096EB4">
        <w:rPr>
          <w:rFonts w:ascii="Palatino Linotype" w:eastAsia="Palatino Linotype" w:hAnsi="Palatino Linotype" w:cs="Palatino Linotype"/>
          <w:i/>
          <w:sz w:val="22"/>
          <w:szCs w:val="22"/>
        </w:rPr>
        <w:t xml:space="preserve"> en el ámbito de sus respectivas competencias, se regirán por los siguientes principios y bases:</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I. </w:t>
      </w:r>
      <w:r w:rsidRPr="00096EB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96EB4">
        <w:rPr>
          <w:rFonts w:ascii="Palatino Linotype" w:eastAsia="Palatino Linotype" w:hAnsi="Palatino Linotype" w:cs="Palatino Linotype"/>
          <w:i/>
          <w:sz w:val="22"/>
          <w:szCs w:val="22"/>
        </w:rPr>
        <w:t xml:space="preserve"> Ejecutivo, Legislativo </w:t>
      </w:r>
      <w:r w:rsidRPr="00096EB4">
        <w:rPr>
          <w:rFonts w:ascii="Palatino Linotype" w:eastAsia="Palatino Linotype" w:hAnsi="Palatino Linotype" w:cs="Palatino Linotype"/>
          <w:b/>
          <w:i/>
          <w:sz w:val="22"/>
          <w:szCs w:val="22"/>
          <w:u w:val="single"/>
        </w:rPr>
        <w:t>y Judicial</w:t>
      </w:r>
      <w:r w:rsidRPr="00096EB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96EB4">
        <w:rPr>
          <w:rFonts w:ascii="Palatino Linotype" w:eastAsia="Palatino Linotype" w:hAnsi="Palatino Linotype" w:cs="Palatino Linotype"/>
          <w:b/>
          <w:i/>
          <w:sz w:val="22"/>
          <w:szCs w:val="22"/>
        </w:rPr>
        <w:t>es pública y sólo podrá ser reservada temporalmente por razones de interés público y seguridad nacional,</w:t>
      </w:r>
      <w:r w:rsidRPr="00096EB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w:t>
      </w:r>
    </w:p>
    <w:p w:rsidR="003C637A" w:rsidRPr="00096EB4" w:rsidRDefault="00F95947">
      <w:pPr>
        <w:spacing w:line="276" w:lineRule="auto"/>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III. </w:t>
      </w:r>
      <w:r w:rsidRPr="00096EB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96EB4">
        <w:rPr>
          <w:rFonts w:ascii="Palatino Linotype" w:eastAsia="Palatino Linotype" w:hAnsi="Palatino Linotype" w:cs="Palatino Linotype"/>
          <w:i/>
          <w:sz w:val="22"/>
          <w:szCs w:val="22"/>
        </w:rPr>
        <w:t xml:space="preserve"> a sus datos personales o a la rectificación de éstos.</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IV. </w:t>
      </w:r>
      <w:r w:rsidRPr="00096EB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3C637A" w:rsidRPr="00096EB4" w:rsidRDefault="003C637A">
      <w:pPr>
        <w:spacing w:line="276" w:lineRule="auto"/>
        <w:ind w:left="567" w:right="709"/>
        <w:jc w:val="both"/>
        <w:rPr>
          <w:rFonts w:ascii="Palatino Linotype" w:eastAsia="Palatino Linotype" w:hAnsi="Palatino Linotype" w:cs="Palatino Linotype"/>
          <w:i/>
          <w:sz w:val="22"/>
          <w:szCs w:val="22"/>
        </w:rPr>
      </w:pP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V. </w:t>
      </w:r>
      <w:r w:rsidRPr="00096EB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VI. </w:t>
      </w:r>
      <w:r w:rsidRPr="00096EB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VII. </w:t>
      </w:r>
      <w:r w:rsidRPr="00096EB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3C637A" w:rsidRPr="00096EB4" w:rsidRDefault="003C637A">
      <w:pPr>
        <w:spacing w:line="360" w:lineRule="auto"/>
        <w:ind w:right="851"/>
        <w:jc w:val="both"/>
        <w:rPr>
          <w:rFonts w:ascii="Palatino Linotype" w:eastAsia="Palatino Linotype" w:hAnsi="Palatino Linotype" w:cs="Palatino Linotype"/>
          <w:i/>
          <w:sz w:val="22"/>
          <w:szCs w:val="22"/>
        </w:rPr>
      </w:pPr>
    </w:p>
    <w:p w:rsidR="003C637A" w:rsidRPr="00096EB4" w:rsidRDefault="00F95947">
      <w:pPr>
        <w:tabs>
          <w:tab w:val="left" w:pos="709"/>
        </w:tabs>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Así,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3C637A" w:rsidRPr="00096EB4" w:rsidRDefault="003C637A">
      <w:pPr>
        <w:spacing w:line="360" w:lineRule="auto"/>
        <w:ind w:left="709" w:right="760"/>
        <w:jc w:val="both"/>
        <w:rPr>
          <w:rFonts w:ascii="Palatino Linotype" w:eastAsia="Palatino Linotype" w:hAnsi="Palatino Linotype" w:cs="Palatino Linotype"/>
          <w:i/>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276" w:lineRule="auto"/>
        <w:ind w:left="567" w:right="758"/>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i/>
          <w:sz w:val="22"/>
          <w:szCs w:val="22"/>
        </w:rPr>
        <w:t>“</w:t>
      </w:r>
      <w:r w:rsidRPr="00096EB4">
        <w:rPr>
          <w:rFonts w:ascii="Palatino Linotype" w:eastAsia="Palatino Linotype" w:hAnsi="Palatino Linotype" w:cs="Palatino Linotype"/>
          <w:b/>
          <w:i/>
          <w:sz w:val="22"/>
          <w:szCs w:val="22"/>
        </w:rPr>
        <w:t>Artículo 12.-</w:t>
      </w:r>
      <w:r w:rsidRPr="00096E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C637A" w:rsidRPr="00096EB4" w:rsidRDefault="00F95947">
      <w:pPr>
        <w:spacing w:line="276" w:lineRule="auto"/>
        <w:ind w:left="567" w:right="758"/>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96EB4">
        <w:rPr>
          <w:rFonts w:ascii="Palatino Linotype" w:eastAsia="Palatino Linotype" w:hAnsi="Palatino Linotype" w:cs="Palatino Linotype"/>
          <w:i/>
          <w:sz w:val="22"/>
          <w:szCs w:val="22"/>
        </w:rPr>
        <w:t xml:space="preserve">. </w:t>
      </w:r>
      <w:r w:rsidRPr="00096EB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3C637A" w:rsidRPr="00096EB4" w:rsidRDefault="003C637A">
      <w:pPr>
        <w:spacing w:line="360" w:lineRule="auto"/>
        <w:ind w:right="-93"/>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3C637A" w:rsidRPr="00096EB4" w:rsidRDefault="003C637A">
      <w:pPr>
        <w:spacing w:line="360" w:lineRule="auto"/>
        <w:ind w:right="49"/>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Por otra parte, conviene mencionar que la Ley de Transparencia vigente en el Estado de México refiere: </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Artículo 18.</w:t>
      </w:r>
      <w:r w:rsidRPr="00096EB4">
        <w:rPr>
          <w:rFonts w:ascii="Palatino Linotype" w:eastAsia="Palatino Linotype" w:hAnsi="Palatino Linotype" w:cs="Palatino Linotype"/>
          <w:i/>
          <w:sz w:val="22"/>
          <w:szCs w:val="22"/>
        </w:rPr>
        <w:t xml:space="preserve"> </w:t>
      </w:r>
      <w:r w:rsidRPr="00096EB4">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096EB4">
        <w:rPr>
          <w:rFonts w:ascii="Palatino Linotype" w:eastAsia="Palatino Linotype" w:hAnsi="Palatino Linotype" w:cs="Palatino Linotype"/>
          <w:i/>
          <w:sz w:val="22"/>
          <w:szCs w:val="22"/>
        </w:rPr>
        <w:t xml:space="preserve"> y reutilización de la información que generen.</w:t>
      </w:r>
    </w:p>
    <w:p w:rsidR="003C637A" w:rsidRPr="00096EB4" w:rsidRDefault="003C637A">
      <w:pPr>
        <w:spacing w:line="276" w:lineRule="auto"/>
        <w:ind w:left="567" w:right="709"/>
        <w:jc w:val="both"/>
        <w:rPr>
          <w:rFonts w:ascii="Palatino Linotype" w:eastAsia="Palatino Linotype" w:hAnsi="Palatino Linotype" w:cs="Palatino Linotype"/>
          <w:b/>
          <w:i/>
          <w:sz w:val="22"/>
          <w:szCs w:val="22"/>
        </w:rPr>
      </w:pP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 xml:space="preserve">Artículo 19. </w:t>
      </w:r>
      <w:r w:rsidRPr="00096EB4">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096EB4">
        <w:rPr>
          <w:rFonts w:ascii="Palatino Linotype" w:eastAsia="Palatino Linotype" w:hAnsi="Palatino Linotype" w:cs="Palatino Linotype"/>
          <w:i/>
          <w:sz w:val="22"/>
          <w:szCs w:val="22"/>
        </w:rPr>
        <w:t>.</w:t>
      </w:r>
    </w:p>
    <w:p w:rsidR="003C637A" w:rsidRPr="00096EB4" w:rsidRDefault="003C637A">
      <w:pPr>
        <w:spacing w:line="276" w:lineRule="auto"/>
        <w:ind w:left="567" w:right="709"/>
        <w:jc w:val="both"/>
        <w:rPr>
          <w:rFonts w:ascii="Palatino Linotype" w:eastAsia="Palatino Linotype" w:hAnsi="Palatino Linotype" w:cs="Palatino Linotype"/>
          <w:i/>
          <w:sz w:val="22"/>
          <w:szCs w:val="22"/>
        </w:rPr>
      </w:pP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3C637A" w:rsidRPr="00096EB4" w:rsidRDefault="003C637A">
      <w:pPr>
        <w:spacing w:line="276" w:lineRule="auto"/>
        <w:ind w:left="567" w:right="709"/>
        <w:jc w:val="both"/>
        <w:rPr>
          <w:rFonts w:ascii="Palatino Linotype" w:eastAsia="Palatino Linotype" w:hAnsi="Palatino Linotype" w:cs="Palatino Linotype"/>
          <w:i/>
          <w:sz w:val="22"/>
          <w:szCs w:val="22"/>
        </w:rPr>
      </w:pP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términos del artículo 3 de la Ley de Transparencia y Acceso a la Información Pública del Estado de México y Municipios.  </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r w:rsidRPr="00096EB4">
        <w:rPr>
          <w:rFonts w:ascii="Palatino Linotype" w:eastAsia="Palatino Linotype" w:hAnsi="Palatino Linotype" w:cs="Palatino Linotype"/>
          <w:b/>
          <w:i/>
          <w:sz w:val="22"/>
          <w:szCs w:val="22"/>
        </w:rPr>
        <w:t xml:space="preserve">Artículo 3. </w:t>
      </w:r>
      <w:r w:rsidRPr="00096EB4">
        <w:rPr>
          <w:rFonts w:ascii="Palatino Linotype" w:eastAsia="Palatino Linotype" w:hAnsi="Palatino Linotype" w:cs="Palatino Linotype"/>
          <w:i/>
          <w:sz w:val="22"/>
          <w:szCs w:val="22"/>
        </w:rPr>
        <w:t>Para los efectos de la presente Ley se entenderá por:</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p>
    <w:p w:rsidR="003C637A" w:rsidRPr="00096EB4" w:rsidRDefault="00F95947">
      <w:pPr>
        <w:spacing w:line="276"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XI. Documento:</w:t>
      </w:r>
      <w:r w:rsidRPr="00096EB4">
        <w:rPr>
          <w:rFonts w:ascii="Palatino Linotype" w:eastAsia="Palatino Linotype" w:hAnsi="Palatino Linotype" w:cs="Palatino Linotype"/>
          <w:i/>
          <w:sz w:val="22"/>
          <w:szCs w:val="22"/>
        </w:rPr>
        <w:t xml:space="preserve"> Los expedientes, reportes, estudios, actas</w:t>
      </w:r>
      <w:r w:rsidRPr="00096EB4">
        <w:rPr>
          <w:rFonts w:ascii="Palatino Linotype" w:eastAsia="Palatino Linotype" w:hAnsi="Palatino Linotype" w:cs="Palatino Linotype"/>
          <w:b/>
          <w:i/>
          <w:sz w:val="22"/>
          <w:szCs w:val="22"/>
        </w:rPr>
        <w:t>,</w:t>
      </w:r>
      <w:r w:rsidRPr="00096EB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3C637A" w:rsidRPr="00096EB4" w:rsidRDefault="003C637A">
      <w:pPr>
        <w:spacing w:line="360" w:lineRule="auto"/>
        <w:ind w:left="851" w:right="899"/>
        <w:jc w:val="both"/>
        <w:rPr>
          <w:rFonts w:ascii="Palatino Linotype" w:eastAsia="Palatino Linotype" w:hAnsi="Palatino Linotype" w:cs="Palatino Linotype"/>
          <w:i/>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De ahí que el </w:t>
      </w:r>
      <w:r w:rsidRPr="00096EB4">
        <w:rPr>
          <w:rFonts w:ascii="Palatino Linotype" w:eastAsia="Palatino Linotype" w:hAnsi="Palatino Linotype" w:cs="Palatino Linotype"/>
          <w:b/>
        </w:rPr>
        <w:t>SUJETO OBLIGADO</w:t>
      </w:r>
      <w:r w:rsidRPr="00096EB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transparencia señaladas en los artículos 92 y 98 de la Ley de la Materia.</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la información solicitada por el sujeto obligado.</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En ese sentido, se tiene que la pretensión de la ahora Recurrente es obtener la siguiente información:</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Si la universidad cuenta con el Registro Nacional de Instituciones y Empresas Científicas y Tecnológicas (RENIECYT), de ser así cuál es su número de registro.</w:t>
      </w: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El Sujeto Obligado, a través de la Secretaría Académica, dio respuesta  a la solicitud quien refirió que la información fue requerida al Ing. Jorge Rodríguez Jacobo, Secretario de Vinculación, quien remitió copia simple del formato del registro, como se advierte a continuación: </w:t>
      </w:r>
    </w:p>
    <w:p w:rsidR="003C637A" w:rsidRPr="00096EB4" w:rsidRDefault="00F95947">
      <w:pPr>
        <w:spacing w:before="240" w:after="240"/>
        <w:ind w:right="902"/>
        <w:jc w:val="center"/>
        <w:rPr>
          <w:rFonts w:ascii="Palatino Linotype" w:eastAsia="Palatino Linotype" w:hAnsi="Palatino Linotype" w:cs="Palatino Linotype"/>
          <w:sz w:val="22"/>
          <w:szCs w:val="22"/>
        </w:rPr>
      </w:pPr>
      <w:r w:rsidRPr="00096EB4">
        <w:rPr>
          <w:rFonts w:ascii="Palatino Linotype" w:eastAsia="Palatino Linotype" w:hAnsi="Palatino Linotype" w:cs="Palatino Linotype"/>
          <w:noProof/>
          <w:sz w:val="22"/>
          <w:szCs w:val="22"/>
          <w:lang w:val="es-MX"/>
        </w:rPr>
        <w:drawing>
          <wp:inline distT="0" distB="0" distL="0" distR="0">
            <wp:extent cx="4443674" cy="5608738"/>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443674" cy="5608738"/>
                    </a:xfrm>
                    <a:prstGeom prst="rect">
                      <a:avLst/>
                    </a:prstGeom>
                    <a:ln/>
                  </pic:spPr>
                </pic:pic>
              </a:graphicData>
            </a:graphic>
          </wp:inline>
        </w:drawing>
      </w:r>
    </w:p>
    <w:p w:rsidR="003C637A" w:rsidRPr="00096EB4" w:rsidRDefault="00F95947">
      <w:pPr>
        <w:spacing w:before="240" w:after="240"/>
        <w:ind w:right="902"/>
        <w:rPr>
          <w:rFonts w:ascii="Palatino Linotype" w:eastAsia="Palatino Linotype" w:hAnsi="Palatino Linotype" w:cs="Palatino Linotype"/>
          <w:sz w:val="22"/>
          <w:szCs w:val="22"/>
        </w:rPr>
      </w:pPr>
      <w:r w:rsidRPr="00096EB4">
        <w:rPr>
          <w:rFonts w:ascii="Palatino Linotype" w:eastAsia="Palatino Linotype" w:hAnsi="Palatino Linotype" w:cs="Palatino Linotype"/>
          <w:noProof/>
          <w:sz w:val="22"/>
          <w:szCs w:val="22"/>
          <w:lang w:val="es-MX"/>
        </w:rPr>
        <w:drawing>
          <wp:inline distT="0" distB="0" distL="0" distR="0">
            <wp:extent cx="4601491" cy="5556661"/>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01491" cy="5556661"/>
                    </a:xfrm>
                    <a:prstGeom prst="rect">
                      <a:avLst/>
                    </a:prstGeom>
                    <a:ln/>
                  </pic:spPr>
                </pic:pic>
              </a:graphicData>
            </a:graphic>
          </wp:inline>
        </w:drawing>
      </w:r>
    </w:p>
    <w:p w:rsidR="003C637A" w:rsidRPr="00096EB4" w:rsidRDefault="00F95947">
      <w:pPr>
        <w:spacing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b/>
        </w:rPr>
        <w:t xml:space="preserve">              </w:t>
      </w:r>
    </w:p>
    <w:p w:rsidR="003C637A" w:rsidRPr="00096EB4" w:rsidRDefault="003C637A">
      <w:pPr>
        <w:spacing w:line="360" w:lineRule="auto"/>
        <w:jc w:val="both"/>
        <w:rPr>
          <w:rFonts w:ascii="Palatino Linotype" w:eastAsia="Palatino Linotype" w:hAnsi="Palatino Linotype" w:cs="Palatino Linotype"/>
          <w:b/>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Derivado de ello, el Particular se inconformó argumentando que “no se dio una respuesta”, por parte del Sujeto Obligado.</w:t>
      </w:r>
    </w:p>
    <w:p w:rsidR="003C637A" w:rsidRPr="00096EB4" w:rsidRDefault="00F95947">
      <w:pPr>
        <w:spacing w:before="240" w:after="240" w:line="360" w:lineRule="auto"/>
        <w:jc w:val="both"/>
      </w:pPr>
      <w:r w:rsidRPr="00096EB4">
        <w:rPr>
          <w:rFonts w:ascii="Palatino Linotype" w:eastAsia="Palatino Linotype" w:hAnsi="Palatino Linotype" w:cs="Palatino Linotype"/>
        </w:rPr>
        <w:t>Las partes fueron omisas en rendir manifestaciones. </w:t>
      </w: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Dicho lo anterior, se procede a contextualizar la información solicitada, por lo que, es indispensable definir que el Registro Nacional de Instituciones y Empresas Científicas y Tecnológicas (RENIECYT) es </w:t>
      </w:r>
      <w:proofErr w:type="spellStart"/>
      <w:r w:rsidRPr="00096EB4">
        <w:rPr>
          <w:rFonts w:ascii="Palatino Linotype" w:eastAsia="Palatino Linotype" w:hAnsi="Palatino Linotype" w:cs="Palatino Linotype"/>
        </w:rPr>
        <w:t>es</w:t>
      </w:r>
      <w:proofErr w:type="spellEnd"/>
      <w:r w:rsidRPr="00096EB4">
        <w:rPr>
          <w:rFonts w:ascii="Palatino Linotype" w:eastAsia="Palatino Linotype" w:hAnsi="Palatino Linotype" w:cs="Palatino Linotype"/>
        </w:rPr>
        <w:t xml:space="preserve"> un instrumento de registro de los sujetos de los sectores público, social y privado que llevan a cabo actividades relacionadas con la investigación, el desarrollo de la ciencia, la tecnología y la innovación en México.</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u w:val="single"/>
        </w:rPr>
        <w:t>De acuerdo a las Bases De Organización Y Funcionamiento Del Registro Nacional De Instituciones Y Empresas Científicas Y Tecnológicas,</w:t>
      </w:r>
      <w:r w:rsidRPr="00096EB4">
        <w:rPr>
          <w:rFonts w:ascii="Palatino Linotype" w:eastAsia="Palatino Linotype" w:hAnsi="Palatino Linotype" w:cs="Palatino Linotype"/>
        </w:rPr>
        <w:t xml:space="preserve"> se observa que: </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Bases De Organización Y Funcionamiento Del Registro Nacional De Instituciones Y Empresas Científicas Y Tecnológica:</w:t>
      </w:r>
    </w:p>
    <w:p w:rsidR="003C637A" w:rsidRPr="00096EB4" w:rsidRDefault="003C637A">
      <w:pPr>
        <w:tabs>
          <w:tab w:val="left" w:pos="7655"/>
        </w:tabs>
        <w:ind w:left="567" w:right="709"/>
        <w:jc w:val="both"/>
        <w:rPr>
          <w:rFonts w:ascii="Palatino Linotype" w:eastAsia="Palatino Linotype" w:hAnsi="Palatino Linotype" w:cs="Palatino Linotype"/>
          <w:i/>
          <w:sz w:val="22"/>
          <w:szCs w:val="22"/>
        </w:rPr>
      </w:pP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CAPÍTULO I</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Disposiciones Generales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PRIMERA. Las presentes Bases son de observancia obligatoria para las instancias encargadas de operar el Registro, así como para los sujetos inscritos o que soliciten inscribirse en el Registro, y tienen por objeto:</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        Regular la organización y funcionamiento del Registro Nacional de Instituciones y Empresas Científicas y Tecnológicas;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II.       Prever lo necesario para que el Registro sea un instrumento efectivo que favorezca la vinculación entre las humanidades, las ciencias, las tecnologías y la innovación, así como que promueva la modernización y la competitividad de los sectores productivos y de servicios;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III.      Establecer las instancias de decisión y operación del Registro Nacional de Instituciones y Empresas Científicas y Tecnológicas;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IV.      Señalar los sujetos que podrán incorporarse al Registro Nacional de Instituciones y Empresas Científicas y Tecnológicas;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V.       Establecer los principios para la incorporación al Registro Nacional de Instituciones y Empresas Científicas y Tecnológicas, y</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VI.      Establecer los supuestos de cancelación de los sujetos en el Registro Nacional de Instituciones y Empresas Científicas y Tecnológicas</w:t>
      </w:r>
    </w:p>
    <w:p w:rsidR="003C637A" w:rsidRPr="00096EB4" w:rsidRDefault="003C637A">
      <w:pPr>
        <w:tabs>
          <w:tab w:val="left" w:pos="7655"/>
        </w:tabs>
        <w:spacing w:line="360" w:lineRule="auto"/>
        <w:ind w:left="567" w:right="709"/>
        <w:jc w:val="both"/>
        <w:rPr>
          <w:rFonts w:ascii="Palatino Linotype" w:eastAsia="Palatino Linotype" w:hAnsi="Palatino Linotype" w:cs="Palatino Linotype"/>
          <w:i/>
          <w:sz w:val="22"/>
          <w:szCs w:val="22"/>
        </w:rPr>
      </w:pPr>
    </w:p>
    <w:p w:rsidR="003C637A" w:rsidRPr="00096EB4" w:rsidRDefault="00F95947">
      <w:pPr>
        <w:tabs>
          <w:tab w:val="left" w:pos="7655"/>
        </w:tabs>
        <w:spacing w:line="360" w:lineRule="auto"/>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SEGUNDA.</w:t>
      </w:r>
      <w:r w:rsidRPr="00096EB4">
        <w:rPr>
          <w:rFonts w:ascii="Palatino Linotype" w:eastAsia="Palatino Linotype" w:hAnsi="Palatino Linotype" w:cs="Palatino Linotype"/>
          <w:i/>
          <w:sz w:val="22"/>
          <w:szCs w:val="22"/>
        </w:rPr>
        <w:t> Para efectos de las presentes Bases, se entiende por:</w:t>
      </w:r>
    </w:p>
    <w:p w:rsidR="003C637A" w:rsidRPr="00096EB4" w:rsidRDefault="003C637A">
      <w:pPr>
        <w:tabs>
          <w:tab w:val="left" w:pos="7655"/>
        </w:tabs>
        <w:ind w:left="567" w:right="709"/>
        <w:jc w:val="both"/>
        <w:rPr>
          <w:rFonts w:ascii="Palatino Linotype" w:eastAsia="Palatino Linotype" w:hAnsi="Palatino Linotype" w:cs="Palatino Linotype"/>
          <w:b/>
          <w:i/>
          <w:sz w:val="22"/>
          <w:szCs w:val="22"/>
        </w:rPr>
      </w:pP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VII.</w:t>
      </w:r>
      <w:r w:rsidRPr="00096EB4">
        <w:rPr>
          <w:rFonts w:ascii="Palatino Linotype" w:eastAsia="Palatino Linotype" w:hAnsi="Palatino Linotype" w:cs="Palatino Linotype"/>
          <w:i/>
          <w:sz w:val="22"/>
          <w:szCs w:val="22"/>
        </w:rPr>
        <w:t>     </w:t>
      </w:r>
      <w:r w:rsidRPr="00096EB4">
        <w:rPr>
          <w:rFonts w:ascii="Palatino Linotype" w:eastAsia="Palatino Linotype" w:hAnsi="Palatino Linotype" w:cs="Palatino Linotype"/>
          <w:b/>
          <w:i/>
          <w:sz w:val="22"/>
          <w:szCs w:val="22"/>
        </w:rPr>
        <w:t>Constancia de Inscripción:</w:t>
      </w:r>
      <w:r w:rsidRPr="00096EB4">
        <w:rPr>
          <w:rFonts w:ascii="Palatino Linotype" w:eastAsia="Palatino Linotype" w:hAnsi="Palatino Linotype" w:cs="Palatino Linotype"/>
          <w:i/>
          <w:sz w:val="22"/>
          <w:szCs w:val="22"/>
        </w:rPr>
        <w:t> el documento emitido por la Coordinación del Registro que da cuenta de la información contenida en la Hoja de Inscripción;</w:t>
      </w: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XVIII.</w:t>
      </w:r>
      <w:r w:rsidRPr="00096EB4">
        <w:rPr>
          <w:rFonts w:ascii="Palatino Linotype" w:eastAsia="Palatino Linotype" w:hAnsi="Palatino Linotype" w:cs="Palatino Linotype"/>
          <w:i/>
          <w:sz w:val="22"/>
          <w:szCs w:val="22"/>
        </w:rPr>
        <w:t>  </w:t>
      </w:r>
      <w:r w:rsidRPr="00096EB4">
        <w:rPr>
          <w:rFonts w:ascii="Palatino Linotype" w:eastAsia="Palatino Linotype" w:hAnsi="Palatino Linotype" w:cs="Palatino Linotype"/>
          <w:b/>
          <w:i/>
          <w:sz w:val="22"/>
          <w:szCs w:val="22"/>
        </w:rPr>
        <w:t>Registro:</w:t>
      </w:r>
      <w:r w:rsidRPr="00096EB4">
        <w:rPr>
          <w:rFonts w:ascii="Palatino Linotype" w:eastAsia="Palatino Linotype" w:hAnsi="Palatino Linotype" w:cs="Palatino Linotype"/>
          <w:i/>
          <w:sz w:val="22"/>
          <w:szCs w:val="22"/>
        </w:rPr>
        <w:t> el Registro Nacional de Instituciones y Empresas Científicas y Tecnológicas;</w:t>
      </w:r>
    </w:p>
    <w:p w:rsidR="003C637A" w:rsidRPr="00096EB4" w:rsidRDefault="003C637A">
      <w:pPr>
        <w:tabs>
          <w:tab w:val="left" w:pos="7655"/>
        </w:tabs>
        <w:ind w:left="567" w:right="709"/>
        <w:jc w:val="both"/>
        <w:rPr>
          <w:rFonts w:ascii="Palatino Linotype" w:eastAsia="Palatino Linotype" w:hAnsi="Palatino Linotype" w:cs="Palatino Linotype"/>
          <w:b/>
          <w:i/>
          <w:sz w:val="22"/>
          <w:szCs w:val="22"/>
        </w:rPr>
      </w:pP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CAPÍTULO III</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DÉCIMA QUINTA. Serán sujetos de inscripción al Registro, los siguientes:</w:t>
      </w: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I.        Las instituciones, centros, organismos y empresas públicas que sistemáticamente realicen actividades de investigación humanística o científica, desarrollo tecnológico, innovación y producción de ingeniería básica;</w:t>
      </w: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II.       Las instituciones, centros, organismos, empresas o personas físicas de los sectores social y privado que estén interesados en recibir los beneficios o estímulos de cualquier tipo que se deriven de los ordenamientos federales aplicables para actividades de investigación científica y tecnológica, y</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xml:space="preserve">III.      Los pueblos y comunidades indígenas, </w:t>
      </w:r>
      <w:proofErr w:type="spellStart"/>
      <w:r w:rsidRPr="00096EB4">
        <w:rPr>
          <w:rFonts w:ascii="Palatino Linotype" w:eastAsia="Palatino Linotype" w:hAnsi="Palatino Linotype" w:cs="Palatino Linotype"/>
          <w:i/>
          <w:sz w:val="22"/>
          <w:szCs w:val="22"/>
        </w:rPr>
        <w:t>afromexicanas</w:t>
      </w:r>
      <w:proofErr w:type="spellEnd"/>
      <w:r w:rsidRPr="00096EB4">
        <w:rPr>
          <w:rFonts w:ascii="Palatino Linotype" w:eastAsia="Palatino Linotype" w:hAnsi="Palatino Linotype" w:cs="Palatino Linotype"/>
          <w:i/>
          <w:sz w:val="22"/>
          <w:szCs w:val="22"/>
        </w:rPr>
        <w:t xml:space="preserve"> y equiparables.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Tratándose de sujetos del sector privado deberán acreditar que realizan sistemáticamente actividades de investigación humanística o científica, desarrollo tecnológico, innovación o producción de ingeniería básica.</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xml:space="preserve">Los pueblos y comunidades indígenas, </w:t>
      </w:r>
      <w:proofErr w:type="spellStart"/>
      <w:r w:rsidRPr="00096EB4">
        <w:rPr>
          <w:rFonts w:ascii="Palatino Linotype" w:eastAsia="Palatino Linotype" w:hAnsi="Palatino Linotype" w:cs="Palatino Linotype"/>
          <w:i/>
          <w:sz w:val="22"/>
          <w:szCs w:val="22"/>
        </w:rPr>
        <w:t>afromexicanas</w:t>
      </w:r>
      <w:proofErr w:type="spellEnd"/>
      <w:r w:rsidRPr="00096EB4">
        <w:rPr>
          <w:rFonts w:ascii="Palatino Linotype" w:eastAsia="Palatino Linotype" w:hAnsi="Palatino Linotype" w:cs="Palatino Linotype"/>
          <w:i/>
          <w:sz w:val="22"/>
          <w:szCs w:val="22"/>
        </w:rPr>
        <w:t xml:space="preserve"> y equiparables deberán presentar el aval de alguna de las entidades a la que se refiere la fracción primera de este artículo. </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 xml:space="preserve">Las entidades que otorguen dicho aval deberán estar vigentes en el Registro y ubicarse o desarrollar sus actividades, preferentemente, en el territorio del pueblo o comunidad indígena, </w:t>
      </w:r>
      <w:proofErr w:type="spellStart"/>
      <w:r w:rsidRPr="00096EB4">
        <w:rPr>
          <w:rFonts w:ascii="Palatino Linotype" w:eastAsia="Palatino Linotype" w:hAnsi="Palatino Linotype" w:cs="Palatino Linotype"/>
          <w:i/>
          <w:sz w:val="22"/>
          <w:szCs w:val="22"/>
        </w:rPr>
        <w:t>afromexicana</w:t>
      </w:r>
      <w:proofErr w:type="spellEnd"/>
      <w:r w:rsidRPr="00096EB4">
        <w:rPr>
          <w:rFonts w:ascii="Palatino Linotype" w:eastAsia="Palatino Linotype" w:hAnsi="Palatino Linotype" w:cs="Palatino Linotype"/>
          <w:i/>
          <w:sz w:val="22"/>
          <w:szCs w:val="22"/>
        </w:rPr>
        <w:t xml:space="preserve"> o equiparable solicitante.</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El Manual de Procedimientos establecerá, con base en principios de equidad, igualdad y no discriminación, los requisitos que deberán presentar para su Inscripción los solicitantes arriba enunciados y, en su caso, sus representantes.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En la Inscripción de las personas morales del sector privado y de las instituciones privadas sin fines de lucro se identificará a sus socios, asociados o accionistas.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La Inscripción de las personas físicas que realizan actividades en materia de humanidades, ciencias, tecnologías e innovación se llevará a cabo a través de un Currículum Vítae Único.</w:t>
      </w:r>
    </w:p>
    <w:p w:rsidR="003C637A" w:rsidRPr="00096EB4" w:rsidRDefault="003C637A">
      <w:pPr>
        <w:tabs>
          <w:tab w:val="left" w:pos="7655"/>
        </w:tabs>
        <w:ind w:left="567" w:right="709"/>
        <w:jc w:val="both"/>
        <w:rPr>
          <w:rFonts w:ascii="Palatino Linotype" w:eastAsia="Palatino Linotype" w:hAnsi="Palatino Linotype" w:cs="Palatino Linotype"/>
          <w:i/>
          <w:sz w:val="22"/>
          <w:szCs w:val="22"/>
        </w:rPr>
      </w:pP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CAPÍTULO IV</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Principios para la Inscripción en el Registro</w:t>
      </w:r>
    </w:p>
    <w:p w:rsidR="003C637A" w:rsidRPr="00096EB4" w:rsidRDefault="003C637A">
      <w:pPr>
        <w:tabs>
          <w:tab w:val="left" w:pos="7655"/>
        </w:tabs>
        <w:ind w:left="567" w:right="709"/>
        <w:jc w:val="both"/>
        <w:rPr>
          <w:rFonts w:ascii="Palatino Linotype" w:eastAsia="Palatino Linotype" w:hAnsi="Palatino Linotype" w:cs="Palatino Linotype"/>
          <w:i/>
          <w:sz w:val="22"/>
          <w:szCs w:val="22"/>
        </w:rPr>
      </w:pP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b/>
          <w:i/>
          <w:sz w:val="22"/>
          <w:szCs w:val="22"/>
        </w:rPr>
        <w:t>DÉCIMA SEXTA. Los principios que deberán de ser tomados en cuenta para la inscripción en el Registro son los siguientes</w:t>
      </w:r>
      <w:r w:rsidRPr="00096EB4">
        <w:rPr>
          <w:rFonts w:ascii="Palatino Linotype" w:eastAsia="Palatino Linotype" w:hAnsi="Palatino Linotype" w:cs="Palatino Linotype"/>
          <w:i/>
          <w:sz w:val="22"/>
          <w:szCs w:val="22"/>
        </w:rPr>
        <w:t>:</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        Equidad y no discriminación;</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II.       Transparencia, y</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III.      Confidencialidad y resguardo de la información.</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DÉCIMA SÉPTIMA. Las personas morales que debido a su naturaleza y constitución legal cuenten con subsedes, deberán proporcionar en el sistema informático del Registro los datos y documentación que señale el Manual para el proceso del Registro. Lo anterior, a fin de disponer de una visión integral de la conformación de la institución y evitar que se cuente con registros independientes.</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El Registro en estos casos otorgará un índice identificador, relacionado con el correspondiente a la sede, por cada una de estas instancias administrativas inscritas.</w:t>
      </w: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DÉCIMA OCTAVA. Los sujetos que soliciten su inscripción serán responsables de que los datos recabados en el Registro correspondan a la información y documentación presentadas, y una vez inscritos, deberán actualizarla en lo que corresponda.</w:t>
      </w:r>
    </w:p>
    <w:p w:rsidR="003C637A" w:rsidRPr="00096EB4" w:rsidRDefault="00F95947">
      <w:pPr>
        <w:tabs>
          <w:tab w:val="left" w:pos="7655"/>
        </w:tabs>
        <w:ind w:left="567" w:right="709"/>
        <w:jc w:val="both"/>
        <w:rPr>
          <w:rFonts w:ascii="Palatino Linotype" w:eastAsia="Palatino Linotype" w:hAnsi="Palatino Linotype" w:cs="Palatino Linotype"/>
          <w:b/>
          <w:i/>
          <w:sz w:val="22"/>
          <w:szCs w:val="22"/>
        </w:rPr>
      </w:pPr>
      <w:r w:rsidRPr="00096EB4">
        <w:rPr>
          <w:rFonts w:ascii="Palatino Linotype" w:eastAsia="Palatino Linotype" w:hAnsi="Palatino Linotype" w:cs="Palatino Linotype"/>
          <w:b/>
          <w:i/>
          <w:sz w:val="22"/>
          <w:szCs w:val="22"/>
        </w:rPr>
        <w:t>El Consejo, a través de la Coordinación del Registro o de las unidades administrativas que se habiliten para ello, podrá cotejar que los datos declarados concuerden con la información y documentación presentadas como anexos, por lo que los sujetos inscritos podrán ser requeridos para corregir cualquier inconsistencia que se detecte.</w:t>
      </w:r>
    </w:p>
    <w:p w:rsidR="003C637A" w:rsidRPr="00096EB4" w:rsidRDefault="00F95947">
      <w:pPr>
        <w:tabs>
          <w:tab w:val="left" w:pos="7655"/>
        </w:tabs>
        <w:ind w:left="567" w:right="709"/>
        <w:jc w:val="both"/>
        <w:rPr>
          <w:rFonts w:ascii="Palatino Linotype" w:eastAsia="Palatino Linotype" w:hAnsi="Palatino Linotype" w:cs="Palatino Linotype"/>
          <w:i/>
          <w:sz w:val="22"/>
          <w:szCs w:val="22"/>
        </w:rPr>
      </w:pPr>
      <w:r w:rsidRPr="00096EB4">
        <w:rPr>
          <w:rFonts w:ascii="Palatino Linotype" w:eastAsia="Palatino Linotype" w:hAnsi="Palatino Linotype" w:cs="Palatino Linotype"/>
          <w:i/>
          <w:sz w:val="22"/>
          <w:szCs w:val="22"/>
        </w:rPr>
        <w:t>En caso de que se detecte falsedad en la información proporcionada se podrá cancelar la inscripción.</w:t>
      </w:r>
    </w:p>
    <w:p w:rsidR="003C637A" w:rsidRPr="00096EB4" w:rsidRDefault="003C637A">
      <w:pPr>
        <w:tabs>
          <w:tab w:val="left" w:pos="7655"/>
        </w:tabs>
        <w:spacing w:line="360" w:lineRule="auto"/>
        <w:ind w:left="567" w:right="709"/>
        <w:jc w:val="both"/>
        <w:rPr>
          <w:rFonts w:ascii="Palatino Linotype" w:eastAsia="Palatino Linotype" w:hAnsi="Palatino Linotype" w:cs="Palatino Linotype"/>
          <w:i/>
          <w:sz w:val="22"/>
          <w:szCs w:val="22"/>
        </w:rPr>
      </w:pPr>
    </w:p>
    <w:p w:rsidR="003C637A" w:rsidRPr="00096EB4" w:rsidRDefault="00F95947">
      <w:pPr>
        <w:spacing w:line="360" w:lineRule="auto"/>
        <w:jc w:val="both"/>
        <w:rPr>
          <w:rFonts w:ascii="Palatino Linotype" w:eastAsia="Palatino Linotype" w:hAnsi="Palatino Linotype" w:cs="Palatino Linotype"/>
          <w:i/>
        </w:rPr>
      </w:pPr>
      <w:r w:rsidRPr="00096EB4">
        <w:rPr>
          <w:rFonts w:ascii="Palatino Linotype" w:eastAsia="Palatino Linotype" w:hAnsi="Palatino Linotype" w:cs="Palatino Linotype"/>
        </w:rPr>
        <w:t>De lo anterior se advierte que de acuerdo a las Bases De Organización Y Funcionamiento Del Registro Nacional De Instituciones Y Empresas Científicas Y Tecnológicas se desprende los requisitos y objetivos obligatorios para que las instancias encargadas puedan operar en el Registro o todas aquellas que lo requieran solicitar  por primera vez.</w:t>
      </w:r>
    </w:p>
    <w:p w:rsidR="003C637A" w:rsidRPr="00096EB4" w:rsidRDefault="003C637A">
      <w:pPr>
        <w:spacing w:line="360" w:lineRule="auto"/>
        <w:jc w:val="both"/>
        <w:rPr>
          <w:rFonts w:ascii="Palatino Linotype" w:eastAsia="Palatino Linotype" w:hAnsi="Palatino Linotype" w:cs="Palatino Linotype"/>
          <w:b/>
          <w:i/>
          <w:sz w:val="18"/>
          <w:szCs w:val="18"/>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i/>
        </w:rPr>
        <w:t xml:space="preserve">Asimismo, de acuerdo a la Guía </w:t>
      </w:r>
      <w:r w:rsidRPr="00096EB4">
        <w:rPr>
          <w:rFonts w:ascii="Palatino Linotype" w:eastAsia="Palatino Linotype" w:hAnsi="Palatino Linotype" w:cs="Palatino Linotype"/>
        </w:rPr>
        <w:t>DE OPERACIÓN Registro Nacional de Instituciones y Empresas Científicas y Tecnológicas (RENIECYT), El Registro de Usuario se realiza como para generar el alta en la plataforma del RENIECYT, para lo cual se deben seguir una serie de pasos, y una vez firmada  el sistema en automático genera un número de 7 dígitos, el cual es el número en la plataforma del RENIECYT, como se advierte  a continuación:</w:t>
      </w:r>
    </w:p>
    <w:p w:rsidR="003C637A" w:rsidRPr="00096EB4" w:rsidRDefault="00F95947">
      <w:pPr>
        <w:spacing w:line="360" w:lineRule="auto"/>
        <w:jc w:val="both"/>
      </w:pPr>
      <w:r w:rsidRPr="00096EB4">
        <w:rPr>
          <w:noProof/>
          <w:lang w:val="es-MX"/>
        </w:rPr>
        <w:drawing>
          <wp:inline distT="0" distB="0" distL="0" distR="0">
            <wp:extent cx="5311140" cy="3382645"/>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311140" cy="3382645"/>
                    </a:xfrm>
                    <a:prstGeom prst="rect">
                      <a:avLst/>
                    </a:prstGeom>
                    <a:ln/>
                  </pic:spPr>
                </pic:pic>
              </a:graphicData>
            </a:graphic>
          </wp:inline>
        </w:drawing>
      </w:r>
    </w:p>
    <w:p w:rsidR="003C637A" w:rsidRPr="00096EB4" w:rsidRDefault="003C637A">
      <w:pPr>
        <w:spacing w:line="360" w:lineRule="auto"/>
        <w:jc w:val="both"/>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Dicha guía señala que una vez que se obtenga el número del RENIECYT, el alta del registro ha concluido exitosamente. A partir de este momento se puede participar en cualquier convocatoria o programa que lanza el CONACYT.</w:t>
      </w:r>
    </w:p>
    <w:p w:rsidR="003C637A" w:rsidRPr="00096EB4" w:rsidRDefault="003C637A">
      <w:pPr>
        <w:spacing w:line="360" w:lineRule="auto"/>
        <w:jc w:val="both"/>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Es así que, se colige que, el Sujeto Obligado es competente para generar, administrar y poseer la información solicitada. </w:t>
      </w:r>
    </w:p>
    <w:p w:rsidR="003C637A" w:rsidRPr="00096EB4" w:rsidRDefault="003C637A">
      <w:pPr>
        <w:spacing w:line="360" w:lineRule="auto"/>
        <w:jc w:val="both"/>
      </w:pPr>
    </w:p>
    <w:p w:rsidR="003C637A" w:rsidRPr="00096EB4" w:rsidRDefault="00F95947">
      <w:pPr>
        <w:spacing w:line="360" w:lineRule="auto"/>
        <w:jc w:val="both"/>
        <w:rPr>
          <w:rFonts w:ascii="Palatino Linotype" w:eastAsia="Palatino Linotype" w:hAnsi="Palatino Linotype" w:cs="Palatino Linotype"/>
          <w:b/>
          <w:u w:val="single"/>
        </w:rPr>
      </w:pPr>
      <w:r w:rsidRPr="00096EB4">
        <w:rPr>
          <w:rFonts w:ascii="Palatino Linotype" w:eastAsia="Palatino Linotype" w:hAnsi="Palatino Linotype" w:cs="Palatino Linotype"/>
        </w:rPr>
        <w:t xml:space="preserve">Una vez precisado lo anterior se advierte que el SUJETO OBLIGADO dio respuesta anexando copia simple del registro en donde se puede observar el </w:t>
      </w:r>
      <w:r w:rsidRPr="00096EB4">
        <w:rPr>
          <w:rFonts w:ascii="Palatino Linotype" w:eastAsia="Palatino Linotype" w:hAnsi="Palatino Linotype" w:cs="Palatino Linotype"/>
          <w:b/>
          <w:u w:val="single"/>
        </w:rPr>
        <w:t xml:space="preserve">Número de Registro solicitado, el cual está integrado por 7 dígitos, del cual se desprende además que tiene el carácter de definitiva. </w:t>
      </w:r>
    </w:p>
    <w:p w:rsidR="003C637A" w:rsidRPr="00096EB4" w:rsidRDefault="003C637A">
      <w:pPr>
        <w:spacing w:line="360" w:lineRule="auto"/>
        <w:ind w:right="49"/>
        <w:jc w:val="both"/>
        <w:rPr>
          <w:rFonts w:ascii="Palatino Linotype" w:eastAsia="Palatino Linotype" w:hAnsi="Palatino Linotype" w:cs="Palatino Linotype"/>
          <w:b/>
          <w:i/>
          <w:sz w:val="22"/>
          <w:szCs w:val="22"/>
        </w:rPr>
      </w:pPr>
    </w:p>
    <w:p w:rsidR="003C637A" w:rsidRPr="00096EB4" w:rsidRDefault="00F95947">
      <w:pPr>
        <w:pBdr>
          <w:top w:val="nil"/>
          <w:left w:val="nil"/>
          <w:bottom w:val="nil"/>
          <w:right w:val="nil"/>
          <w:between w:val="nil"/>
        </w:pBdr>
        <w:spacing w:after="160" w:line="360" w:lineRule="auto"/>
        <w:ind w:right="49"/>
        <w:jc w:val="both"/>
      </w:pPr>
      <w:r w:rsidRPr="00096EB4">
        <w:rPr>
          <w:rFonts w:ascii="Palatino Linotype" w:eastAsia="Palatino Linotype" w:hAnsi="Palatino Linotype" w:cs="Palatino Linotype"/>
        </w:rPr>
        <w:t xml:space="preserve">Por lo que se advierte que el Sujeto Obligado proporcionó la información </w:t>
      </w:r>
      <w:r w:rsidRPr="00096EB4">
        <w:rPr>
          <w:rFonts w:ascii="Palatino Linotype" w:eastAsia="Palatino Linotype" w:hAnsi="Palatino Linotype" w:cs="Palatino Linotype"/>
          <w:sz w:val="22"/>
          <w:szCs w:val="22"/>
        </w:rPr>
        <w:t>en términos del artículo 12 de la Ley de Transparencia y Acceso a la Información Pública del Estado de México y Municipios, el cual precisa lo siguiente:  </w:t>
      </w:r>
    </w:p>
    <w:p w:rsidR="003C637A" w:rsidRPr="00096EB4" w:rsidRDefault="003C637A"/>
    <w:p w:rsidR="003C637A" w:rsidRPr="00096EB4" w:rsidRDefault="00F95947">
      <w:pPr>
        <w:pBdr>
          <w:top w:val="nil"/>
          <w:left w:val="nil"/>
          <w:bottom w:val="nil"/>
          <w:right w:val="nil"/>
          <w:between w:val="nil"/>
        </w:pBdr>
        <w:spacing w:after="160"/>
        <w:ind w:left="567" w:right="900"/>
        <w:jc w:val="both"/>
      </w:pPr>
      <w:r w:rsidRPr="00096EB4">
        <w:rPr>
          <w:rFonts w:ascii="Palatino Linotype" w:eastAsia="Palatino Linotype" w:hAnsi="Palatino Linotype" w:cs="Palatino Linotype"/>
          <w:b/>
          <w:i/>
          <w:sz w:val="22"/>
          <w:szCs w:val="22"/>
        </w:rPr>
        <w:t>Artículo 12.</w:t>
      </w:r>
      <w:r w:rsidRPr="00096E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C637A" w:rsidRPr="00096EB4" w:rsidRDefault="003C637A"/>
    <w:p w:rsidR="003C637A" w:rsidRPr="00096EB4" w:rsidRDefault="00F95947">
      <w:pPr>
        <w:pBdr>
          <w:top w:val="nil"/>
          <w:left w:val="nil"/>
          <w:bottom w:val="nil"/>
          <w:right w:val="nil"/>
          <w:between w:val="nil"/>
        </w:pBdr>
        <w:spacing w:after="160"/>
        <w:ind w:left="567" w:right="900"/>
        <w:jc w:val="both"/>
      </w:pPr>
      <w:r w:rsidRPr="00096EB4">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096EB4">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3C637A" w:rsidRPr="00096EB4" w:rsidRDefault="003C637A"/>
    <w:p w:rsidR="003C637A" w:rsidRPr="00096EB4" w:rsidRDefault="00F95947">
      <w:pPr>
        <w:pBdr>
          <w:top w:val="nil"/>
          <w:left w:val="nil"/>
          <w:bottom w:val="nil"/>
          <w:right w:val="nil"/>
          <w:between w:val="nil"/>
        </w:pBdr>
        <w:spacing w:line="360" w:lineRule="auto"/>
        <w:ind w:right="49"/>
        <w:jc w:val="both"/>
      </w:pPr>
      <w:r w:rsidRPr="00096EB4">
        <w:rPr>
          <w:rFonts w:ascii="Palatino Linotype" w:eastAsia="Palatino Linotype" w:hAnsi="Palatino Linotype" w:cs="Palatino Linotype"/>
          <w:sz w:val="22"/>
          <w:szCs w:val="22"/>
        </w:rPr>
        <w:t xml:space="preserve">Así, el Sujeto Obligado sólo puede proporcionar la información que obra en sus archivos, lo que a </w:t>
      </w:r>
      <w:r w:rsidRPr="00096EB4">
        <w:rPr>
          <w:rFonts w:ascii="Palatino Linotype" w:eastAsia="Palatino Linotype" w:hAnsi="Palatino Linotype" w:cs="Palatino Linotype"/>
          <w:i/>
          <w:sz w:val="22"/>
          <w:szCs w:val="22"/>
        </w:rPr>
        <w:t xml:space="preserve">contrario sensu </w:t>
      </w:r>
      <w:r w:rsidRPr="00096EB4">
        <w:rPr>
          <w:rFonts w:ascii="Palatino Linotype" w:eastAsia="Palatino Linotype" w:hAnsi="Palatino Linotype" w:cs="Palatino Linotype"/>
          <w:sz w:val="22"/>
          <w:szCs w:val="22"/>
        </w:rPr>
        <w:t>significa que no se está obligado a proporcionar lo que no obre en los mismos. </w:t>
      </w:r>
    </w:p>
    <w:p w:rsidR="003C637A" w:rsidRPr="00096EB4" w:rsidRDefault="003C637A">
      <w:pPr>
        <w:spacing w:line="360" w:lineRule="auto"/>
      </w:pPr>
    </w:p>
    <w:p w:rsidR="003C637A" w:rsidRPr="00096EB4" w:rsidRDefault="00F95947">
      <w:pPr>
        <w:pBdr>
          <w:top w:val="nil"/>
          <w:left w:val="nil"/>
          <w:bottom w:val="nil"/>
          <w:right w:val="nil"/>
          <w:between w:val="nil"/>
        </w:pBdr>
        <w:spacing w:line="360" w:lineRule="auto"/>
        <w:ind w:right="49"/>
        <w:jc w:val="both"/>
      </w:pPr>
      <w:r w:rsidRPr="00096EB4">
        <w:rPr>
          <w:rFonts w:ascii="Palatino Linotype" w:eastAsia="Palatino Linotype" w:hAnsi="Palatino Linotype" w:cs="Palatino Linotype"/>
          <w:sz w:val="22"/>
          <w:szCs w:val="22"/>
        </w:rPr>
        <w:t>Aunado a lo anterior, de acuerdo con el Criterio 31/10 de aplicación análoga para este Organismo Garante, emitido por el Instituto Nacional de Transparencia, Acceso a la Información y Protección de Datos Personales, que establece lo siguiente: </w:t>
      </w:r>
    </w:p>
    <w:p w:rsidR="003C637A" w:rsidRPr="00096EB4" w:rsidRDefault="003C637A"/>
    <w:p w:rsidR="003C637A" w:rsidRPr="00096EB4" w:rsidRDefault="00F95947">
      <w:pPr>
        <w:pBdr>
          <w:top w:val="nil"/>
          <w:left w:val="nil"/>
          <w:bottom w:val="nil"/>
          <w:right w:val="nil"/>
          <w:between w:val="nil"/>
        </w:pBdr>
        <w:spacing w:after="160"/>
        <w:ind w:left="567" w:right="843"/>
        <w:jc w:val="both"/>
      </w:pPr>
      <w:r w:rsidRPr="00096EB4">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096EB4">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C637A" w:rsidRPr="00096EB4" w:rsidRDefault="003C637A"/>
    <w:p w:rsidR="003C637A" w:rsidRPr="00096EB4" w:rsidRDefault="00F95947">
      <w:pPr>
        <w:pBdr>
          <w:top w:val="nil"/>
          <w:left w:val="nil"/>
          <w:bottom w:val="nil"/>
          <w:right w:val="nil"/>
          <w:between w:val="nil"/>
        </w:pBdr>
        <w:spacing w:line="360" w:lineRule="auto"/>
        <w:ind w:right="49"/>
        <w:jc w:val="both"/>
      </w:pPr>
      <w:r w:rsidRPr="00096EB4">
        <w:rPr>
          <w:rFonts w:ascii="Palatino Linotype" w:eastAsia="Palatino Linotype" w:hAnsi="Palatino Linotype" w:cs="Palatino Linotype"/>
        </w:rPr>
        <w:t>Es entonces que, se colige que este Instituto, no está facultado para dudar de la veracidad de la información que los sujetos obligados ponen a disposición de los solicitantes. </w:t>
      </w:r>
    </w:p>
    <w:p w:rsidR="003C637A" w:rsidRPr="00096EB4" w:rsidRDefault="003C637A">
      <w:pPr>
        <w:ind w:left="1134" w:right="851"/>
        <w:jc w:val="both"/>
        <w:rPr>
          <w:rFonts w:ascii="Palatino Linotype" w:eastAsia="Palatino Linotype" w:hAnsi="Palatino Linotype" w:cs="Palatino Linotype"/>
          <w:i/>
          <w:sz w:val="22"/>
          <w:szCs w:val="22"/>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 xml:space="preserve">En ese entendido, se determina que toda vez que el Sujeto Obligado proporciono la información solicitada, los agravios hechos valer por este devienen </w:t>
      </w:r>
      <w:r w:rsidRPr="00096EB4">
        <w:rPr>
          <w:rFonts w:ascii="Palatino Linotype" w:eastAsia="Palatino Linotype" w:hAnsi="Palatino Linotype" w:cs="Palatino Linotype"/>
          <w:b/>
        </w:rPr>
        <w:t>INFUNDADOS</w:t>
      </w:r>
      <w:r w:rsidRPr="00096EB4">
        <w:rPr>
          <w:rFonts w:ascii="Palatino Linotype" w:eastAsia="Palatino Linotype" w:hAnsi="Palatino Linotype" w:cs="Palatino Linotype"/>
        </w:rPr>
        <w:t xml:space="preserve"> y, por lo tanto, resulta procedente </w:t>
      </w:r>
      <w:r w:rsidRPr="00096EB4">
        <w:rPr>
          <w:rFonts w:ascii="Palatino Linotype" w:eastAsia="Palatino Linotype" w:hAnsi="Palatino Linotype" w:cs="Palatino Linotype"/>
          <w:b/>
        </w:rPr>
        <w:t>CONFIRMAR</w:t>
      </w:r>
      <w:r w:rsidRPr="00096EB4">
        <w:rPr>
          <w:rFonts w:ascii="Palatino Linotype" w:eastAsia="Palatino Linotype" w:hAnsi="Palatino Linotype" w:cs="Palatino Linotype"/>
        </w:rPr>
        <w:t xml:space="preserve"> la respuesta emitida por el Sujeto Obligado, en términos de la fracción II del artículo 186 de la Ley de Transparencia y Acceso a la Información Pública del Estado de México y Municipios.</w:t>
      </w:r>
    </w:p>
    <w:p w:rsidR="003C637A" w:rsidRPr="00096EB4" w:rsidRDefault="003C637A">
      <w:pPr>
        <w:spacing w:line="360" w:lineRule="auto"/>
        <w:jc w:val="both"/>
        <w:rPr>
          <w:rFonts w:ascii="Palatino Linotype" w:eastAsia="Palatino Linotype" w:hAnsi="Palatino Linotype" w:cs="Palatino Linotype"/>
          <w:b/>
        </w:rPr>
      </w:pPr>
    </w:p>
    <w:p w:rsidR="003C637A" w:rsidRPr="00096EB4" w:rsidRDefault="00F95947">
      <w:pPr>
        <w:spacing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rsidR="003C637A" w:rsidRPr="00096EB4" w:rsidRDefault="003C637A">
      <w:pPr>
        <w:spacing w:line="360" w:lineRule="auto"/>
        <w:jc w:val="both"/>
        <w:rPr>
          <w:rFonts w:ascii="Palatino Linotype" w:eastAsia="Palatino Linotype" w:hAnsi="Palatino Linotype" w:cs="Palatino Linotype"/>
        </w:rPr>
      </w:pPr>
    </w:p>
    <w:p w:rsidR="003C637A" w:rsidRPr="00096EB4" w:rsidRDefault="00F95947">
      <w:pPr>
        <w:numPr>
          <w:ilvl w:val="0"/>
          <w:numId w:val="1"/>
        </w:numPr>
        <w:spacing w:after="240" w:line="360" w:lineRule="auto"/>
        <w:ind w:left="2552" w:hanging="140"/>
        <w:jc w:val="both"/>
        <w:rPr>
          <w:rFonts w:ascii="Palatino Linotype" w:eastAsia="Palatino Linotype" w:hAnsi="Palatino Linotype" w:cs="Palatino Linotype"/>
          <w:b/>
        </w:rPr>
      </w:pPr>
      <w:r w:rsidRPr="00096EB4">
        <w:rPr>
          <w:rFonts w:ascii="Palatino Linotype" w:eastAsia="Palatino Linotype" w:hAnsi="Palatino Linotype" w:cs="Palatino Linotype"/>
          <w:b/>
        </w:rPr>
        <w:t>R E S U E L V E:</w:t>
      </w:r>
    </w:p>
    <w:p w:rsidR="003C637A" w:rsidRPr="00096EB4" w:rsidRDefault="00F95947">
      <w:pPr>
        <w:spacing w:before="240" w:after="240" w:line="360" w:lineRule="auto"/>
        <w:jc w:val="both"/>
        <w:rPr>
          <w:rFonts w:ascii="Palatino Linotype" w:eastAsia="Palatino Linotype" w:hAnsi="Palatino Linotype" w:cs="Palatino Linotype"/>
          <w:b/>
        </w:rPr>
      </w:pPr>
      <w:r w:rsidRPr="00096EB4">
        <w:rPr>
          <w:rFonts w:ascii="Palatino Linotype" w:eastAsia="Palatino Linotype" w:hAnsi="Palatino Linotype" w:cs="Palatino Linotype"/>
          <w:b/>
        </w:rPr>
        <w:t xml:space="preserve">Primero. </w:t>
      </w:r>
      <w:r w:rsidRPr="00096EB4">
        <w:rPr>
          <w:rFonts w:ascii="Palatino Linotype" w:eastAsia="Palatino Linotype" w:hAnsi="Palatino Linotype" w:cs="Palatino Linotype"/>
        </w:rPr>
        <w:t>Resultan</w:t>
      </w:r>
      <w:r w:rsidRPr="00096EB4">
        <w:rPr>
          <w:rFonts w:ascii="Palatino Linotype" w:eastAsia="Palatino Linotype" w:hAnsi="Palatino Linotype" w:cs="Palatino Linotype"/>
          <w:b/>
        </w:rPr>
        <w:t xml:space="preserve"> INFUNDADOS</w:t>
      </w:r>
      <w:r w:rsidRPr="00096EB4">
        <w:rPr>
          <w:rFonts w:ascii="Palatino Linotype" w:eastAsia="Palatino Linotype" w:hAnsi="Palatino Linotype" w:cs="Palatino Linotype"/>
        </w:rPr>
        <w:t xml:space="preserve"> los motivos de inconformidad aducidos por </w:t>
      </w:r>
      <w:r w:rsidRPr="00096EB4">
        <w:rPr>
          <w:rFonts w:ascii="Palatino Linotype" w:eastAsia="Palatino Linotype" w:hAnsi="Palatino Linotype" w:cs="Palatino Linotype"/>
          <w:b/>
        </w:rPr>
        <w:t>LA PARTE RECURRENTE</w:t>
      </w:r>
      <w:r w:rsidRPr="00096EB4">
        <w:rPr>
          <w:rFonts w:ascii="Palatino Linotype" w:eastAsia="Palatino Linotype" w:hAnsi="Palatino Linotype" w:cs="Palatino Linotype"/>
        </w:rPr>
        <w:t xml:space="preserve"> en el recurso de revisión </w:t>
      </w:r>
      <w:r w:rsidRPr="00096EB4">
        <w:rPr>
          <w:rFonts w:ascii="Palatino Linotype" w:eastAsia="Palatino Linotype" w:hAnsi="Palatino Linotype" w:cs="Palatino Linotype"/>
          <w:b/>
        </w:rPr>
        <w:t>02969/INFOEM/IP/RR/2023,</w:t>
      </w:r>
      <w:r w:rsidRPr="00096EB4">
        <w:rPr>
          <w:rFonts w:ascii="Palatino Linotype" w:eastAsia="Palatino Linotype" w:hAnsi="Palatino Linotype" w:cs="Palatino Linotype"/>
        </w:rPr>
        <w:t xml:space="preserve"> por lo que, en términos del Considerando Cuarto de esta resolución, se </w:t>
      </w:r>
      <w:r w:rsidRPr="00096EB4">
        <w:rPr>
          <w:rFonts w:ascii="Palatino Linotype" w:eastAsia="Palatino Linotype" w:hAnsi="Palatino Linotype" w:cs="Palatino Linotype"/>
          <w:b/>
        </w:rPr>
        <w:t>CONFIRMA</w:t>
      </w:r>
      <w:r w:rsidRPr="00096EB4">
        <w:rPr>
          <w:rFonts w:ascii="Palatino Linotype" w:eastAsia="Palatino Linotype" w:hAnsi="Palatino Linotype" w:cs="Palatino Linotype"/>
        </w:rPr>
        <w:t xml:space="preserve"> la respuesta del </w:t>
      </w:r>
      <w:r w:rsidRPr="00096EB4">
        <w:rPr>
          <w:rFonts w:ascii="Palatino Linotype" w:eastAsia="Palatino Linotype" w:hAnsi="Palatino Linotype" w:cs="Palatino Linotype"/>
          <w:b/>
        </w:rPr>
        <w:t>SUJETO OBLIGADO.</w:t>
      </w:r>
    </w:p>
    <w:p w:rsidR="003C637A" w:rsidRPr="00096EB4" w:rsidRDefault="00F95947">
      <w:pPr>
        <w:spacing w:before="240" w:after="240" w:line="360" w:lineRule="auto"/>
        <w:ind w:right="49"/>
        <w:jc w:val="both"/>
        <w:rPr>
          <w:rFonts w:ascii="Palatino Linotype" w:eastAsia="Palatino Linotype" w:hAnsi="Palatino Linotype" w:cs="Palatino Linotype"/>
        </w:rPr>
      </w:pPr>
      <w:bookmarkStart w:id="4" w:name="_heading=h.1fob9te" w:colFirst="0" w:colLast="0"/>
      <w:bookmarkEnd w:id="4"/>
      <w:r w:rsidRPr="00096EB4">
        <w:rPr>
          <w:rFonts w:ascii="Palatino Linotype" w:eastAsia="Palatino Linotype" w:hAnsi="Palatino Linotype" w:cs="Palatino Linotype"/>
          <w:b/>
        </w:rPr>
        <w:t>Segundo. NOTIFÍQUESE</w:t>
      </w:r>
      <w:r w:rsidRPr="00096EB4">
        <w:rPr>
          <w:rFonts w:ascii="Palatino Linotype" w:eastAsia="Palatino Linotype" w:hAnsi="Palatino Linotype" w:cs="Palatino Linotype"/>
        </w:rPr>
        <w:t xml:space="preserve"> vía </w:t>
      </w:r>
      <w:r w:rsidRPr="00096EB4">
        <w:rPr>
          <w:rFonts w:ascii="Palatino Linotype" w:eastAsia="Palatino Linotype" w:hAnsi="Palatino Linotype" w:cs="Palatino Linotype"/>
          <w:b/>
        </w:rPr>
        <w:t>Sistema de Acceso a la Información Mexiquense (SAIMEX),</w:t>
      </w:r>
      <w:r w:rsidRPr="00096EB4">
        <w:rPr>
          <w:rFonts w:ascii="Palatino Linotype" w:eastAsia="Palatino Linotype" w:hAnsi="Palatino Linotype" w:cs="Palatino Linotype"/>
        </w:rPr>
        <w:t xml:space="preserve"> la presente resolución al Titular de la Unidad de Transparencia del </w:t>
      </w:r>
      <w:r w:rsidRPr="00096EB4">
        <w:rPr>
          <w:rFonts w:ascii="Palatino Linotype" w:eastAsia="Palatino Linotype" w:hAnsi="Palatino Linotype" w:cs="Palatino Linotype"/>
          <w:b/>
        </w:rPr>
        <w:t>SUJETO OBLIGADO</w:t>
      </w:r>
      <w:r w:rsidRPr="00096EB4">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b/>
        </w:rPr>
        <w:t>Tercero</w:t>
      </w:r>
      <w:r w:rsidRPr="00096EB4">
        <w:rPr>
          <w:rFonts w:ascii="Palatino Linotype" w:eastAsia="Palatino Linotype" w:hAnsi="Palatino Linotype" w:cs="Palatino Linotype"/>
          <w:b/>
          <w:sz w:val="28"/>
          <w:szCs w:val="28"/>
        </w:rPr>
        <w:t xml:space="preserve">.  </w:t>
      </w:r>
      <w:r w:rsidRPr="00096EB4">
        <w:rPr>
          <w:rFonts w:ascii="Palatino Linotype" w:eastAsia="Palatino Linotype" w:hAnsi="Palatino Linotype" w:cs="Palatino Linotype"/>
          <w:b/>
        </w:rPr>
        <w:t>Notifíquese vía SAIMEX,</w:t>
      </w:r>
      <w:r w:rsidRPr="00096EB4">
        <w:rPr>
          <w:rFonts w:ascii="Palatino Linotype" w:eastAsia="Palatino Linotype" w:hAnsi="Palatino Linotype" w:cs="Palatino Linotype"/>
          <w:b/>
          <w:sz w:val="28"/>
          <w:szCs w:val="28"/>
        </w:rPr>
        <w:t xml:space="preserve"> </w:t>
      </w:r>
      <w:r w:rsidRPr="00096EB4">
        <w:rPr>
          <w:rFonts w:ascii="Palatino Linotype" w:eastAsia="Palatino Linotype" w:hAnsi="Palatino Linotype" w:cs="Palatino Linotype"/>
        </w:rPr>
        <w:t xml:space="preserve">a la parte </w:t>
      </w:r>
      <w:r w:rsidRPr="00096EB4">
        <w:rPr>
          <w:rFonts w:ascii="Palatino Linotype" w:eastAsia="Palatino Linotype" w:hAnsi="Palatino Linotype" w:cs="Palatino Linotype"/>
          <w:b/>
        </w:rPr>
        <w:t>RECURRENTE,</w:t>
      </w:r>
      <w:r w:rsidRPr="00096EB4">
        <w:rPr>
          <w:rFonts w:ascii="Palatino Linotype" w:eastAsia="Palatino Linotype" w:hAnsi="Palatino Linotype" w:cs="Palatino Linotype"/>
        </w:rPr>
        <w:t xml:space="preserv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3C637A" w:rsidRPr="00096EB4" w:rsidRDefault="00F95947">
      <w:pPr>
        <w:spacing w:before="240" w:after="240" w:line="360" w:lineRule="auto"/>
        <w:jc w:val="both"/>
        <w:rPr>
          <w:rFonts w:ascii="Palatino Linotype" w:eastAsia="Palatino Linotype" w:hAnsi="Palatino Linotype" w:cs="Palatino Linotype"/>
        </w:rPr>
      </w:pPr>
      <w:r w:rsidRPr="00096EB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p>
    <w:p w:rsidR="003C637A" w:rsidRPr="00096EB4" w:rsidRDefault="00F95947">
      <w:pPr>
        <w:spacing w:before="240" w:after="240" w:line="360" w:lineRule="auto"/>
        <w:jc w:val="both"/>
        <w:rPr>
          <w:rFonts w:ascii="Palatino Linotype" w:eastAsia="Palatino Linotype" w:hAnsi="Palatino Linotype" w:cs="Palatino Linotype"/>
        </w:rPr>
      </w:pPr>
      <w:r w:rsidRPr="00096EB4">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203200</wp:posOffset>
                </wp:positionH>
                <wp:positionV relativeFrom="paragraph">
                  <wp:posOffset>228600</wp:posOffset>
                </wp:positionV>
                <wp:extent cx="5315172" cy="3890409"/>
                <wp:effectExtent l="0" t="0" r="0" b="0"/>
                <wp:wrapNone/>
                <wp:docPr id="31" name="Conector recto de flecha 31"/>
                <wp:cNvGraphicFramePr/>
                <a:graphic xmlns:a="http://schemas.openxmlformats.org/drawingml/2006/main">
                  <a:graphicData uri="http://schemas.microsoft.com/office/word/2010/wordprocessingShape">
                    <wps:wsp>
                      <wps:cNvCnPr/>
                      <wps:spPr>
                        <a:xfrm>
                          <a:off x="2693177" y="1839558"/>
                          <a:ext cx="5305647" cy="3880884"/>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228600</wp:posOffset>
                </wp:positionV>
                <wp:extent cx="5315172" cy="3890409"/>
                <wp:effectExtent b="0" l="0" r="0" t="0"/>
                <wp:wrapNone/>
                <wp:docPr id="3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315172" cy="3890409"/>
                        </a:xfrm>
                        <a:prstGeom prst="rect"/>
                        <a:ln/>
                      </pic:spPr>
                    </pic:pic>
                  </a:graphicData>
                </a:graphic>
              </wp:anchor>
            </w:drawing>
          </mc:Fallback>
        </mc:AlternateContent>
      </w: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p w:rsidR="003C637A" w:rsidRPr="00096EB4" w:rsidRDefault="003C637A">
      <w:pPr>
        <w:spacing w:before="240" w:after="240" w:line="360" w:lineRule="auto"/>
        <w:jc w:val="both"/>
        <w:rPr>
          <w:rFonts w:ascii="Palatino Linotype" w:eastAsia="Palatino Linotype" w:hAnsi="Palatino Linotype" w:cs="Palatino Linotype"/>
        </w:rPr>
      </w:pPr>
    </w:p>
    <w:sectPr w:rsidR="003C637A" w:rsidRPr="00096EB4">
      <w:headerReference w:type="default" r:id="rId14"/>
      <w:footerReference w:type="default" r:id="rId15"/>
      <w:headerReference w:type="first" r:id="rId16"/>
      <w:footerReference w:type="first" r:id="rId17"/>
      <w:pgSz w:w="12240" w:h="15840"/>
      <w:pgMar w:top="1985" w:right="2175"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A1D" w:rsidRDefault="00040A1D">
      <w:r>
        <w:separator/>
      </w:r>
    </w:p>
  </w:endnote>
  <w:endnote w:type="continuationSeparator" w:id="0">
    <w:p w:rsidR="00040A1D" w:rsidRDefault="0004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7A" w:rsidRDefault="003C637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7A" w:rsidRDefault="00F959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B503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B5033">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3C637A" w:rsidRDefault="003C637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A1D" w:rsidRDefault="00040A1D">
      <w:r>
        <w:separator/>
      </w:r>
    </w:p>
  </w:footnote>
  <w:footnote w:type="continuationSeparator" w:id="0">
    <w:p w:rsidR="00040A1D" w:rsidRDefault="00040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7A" w:rsidRDefault="00F95947">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-1127123</wp:posOffset>
          </wp:positionH>
          <wp:positionV relativeFrom="paragraph">
            <wp:posOffset>-344803</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3C637A">
      <w:tc>
        <w:tcPr>
          <w:tcW w:w="2489" w:type="dxa"/>
          <w:shd w:val="clear" w:color="auto" w:fill="auto"/>
        </w:tcPr>
        <w:p w:rsidR="003C637A" w:rsidRDefault="00F9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3C637A" w:rsidRDefault="00F9594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02969/INFOEM/IP/RR/2023</w:t>
          </w:r>
        </w:p>
      </w:tc>
    </w:tr>
    <w:tr w:rsidR="003C637A">
      <w:trPr>
        <w:trHeight w:val="228"/>
      </w:trPr>
      <w:tc>
        <w:tcPr>
          <w:tcW w:w="2489" w:type="dxa"/>
          <w:shd w:val="clear" w:color="auto" w:fill="auto"/>
          <w:vAlign w:val="center"/>
        </w:tcPr>
        <w:p w:rsidR="003C637A" w:rsidRDefault="00F9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3C637A" w:rsidRDefault="00F9594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Universidad Tecnológica </w:t>
          </w:r>
        </w:p>
        <w:p w:rsidR="003C637A" w:rsidRDefault="00F9594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de Nezahualcóyotl</w:t>
          </w:r>
        </w:p>
      </w:tc>
    </w:tr>
    <w:tr w:rsidR="003C637A">
      <w:tc>
        <w:tcPr>
          <w:tcW w:w="2489" w:type="dxa"/>
          <w:shd w:val="clear" w:color="auto" w:fill="auto"/>
          <w:vAlign w:val="center"/>
        </w:tcPr>
        <w:p w:rsidR="003C637A" w:rsidRDefault="00F959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3C637A" w:rsidRDefault="00F9594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C637A" w:rsidRDefault="00F9594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7A" w:rsidRDefault="00F9594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-955673</wp:posOffset>
          </wp:positionH>
          <wp:positionV relativeFrom="paragraph">
            <wp:posOffset>-288923</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662" w:type="dxa"/>
      <w:tblInd w:w="3261" w:type="dxa"/>
      <w:tblLayout w:type="fixed"/>
      <w:tblLook w:val="0400" w:firstRow="0" w:lastRow="0" w:firstColumn="0" w:lastColumn="0" w:noHBand="0" w:noVBand="1"/>
    </w:tblPr>
    <w:tblGrid>
      <w:gridCol w:w="2551"/>
      <w:gridCol w:w="4111"/>
    </w:tblGrid>
    <w:tr w:rsidR="003C637A">
      <w:tc>
        <w:tcPr>
          <w:tcW w:w="2551" w:type="dxa"/>
          <w:shd w:val="clear" w:color="auto" w:fill="auto"/>
          <w:vAlign w:val="center"/>
        </w:tcPr>
        <w:p w:rsidR="003C637A" w:rsidRDefault="00F9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3C637A" w:rsidRDefault="00F95947">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02969/INFOEM/IP/RR/2023</w:t>
          </w:r>
        </w:p>
      </w:tc>
    </w:tr>
    <w:tr w:rsidR="003C637A">
      <w:trPr>
        <w:trHeight w:val="130"/>
      </w:trPr>
      <w:tc>
        <w:tcPr>
          <w:tcW w:w="2551" w:type="dxa"/>
          <w:shd w:val="clear" w:color="auto" w:fill="auto"/>
          <w:vAlign w:val="center"/>
        </w:tcPr>
        <w:p w:rsidR="003C637A" w:rsidRDefault="00F9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rsidR="003C637A" w:rsidRDefault="003B5033" w:rsidP="003B5033">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w:t>
          </w:r>
        </w:p>
      </w:tc>
    </w:tr>
    <w:tr w:rsidR="003C637A">
      <w:trPr>
        <w:trHeight w:val="228"/>
      </w:trPr>
      <w:tc>
        <w:tcPr>
          <w:tcW w:w="2551" w:type="dxa"/>
          <w:shd w:val="clear" w:color="auto" w:fill="auto"/>
          <w:vAlign w:val="center"/>
        </w:tcPr>
        <w:p w:rsidR="003C637A" w:rsidRDefault="00F9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3C637A" w:rsidRDefault="00F95947">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Universidad Tecnológica </w:t>
          </w:r>
        </w:p>
        <w:p w:rsidR="003C637A" w:rsidRDefault="00F95947">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de Nezahualcóyotl</w:t>
          </w:r>
        </w:p>
      </w:tc>
    </w:tr>
    <w:tr w:rsidR="003C637A">
      <w:tc>
        <w:tcPr>
          <w:tcW w:w="2551" w:type="dxa"/>
          <w:shd w:val="clear" w:color="auto" w:fill="auto"/>
          <w:vAlign w:val="center"/>
        </w:tcPr>
        <w:p w:rsidR="003C637A" w:rsidRDefault="00F9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3C637A" w:rsidRDefault="00F95947">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C637A" w:rsidRDefault="003C637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87B1D"/>
    <w:multiLevelType w:val="multilevel"/>
    <w:tmpl w:val="C944CEE0"/>
    <w:lvl w:ilvl="0">
      <w:start w:val="12"/>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810D7F"/>
    <w:multiLevelType w:val="multilevel"/>
    <w:tmpl w:val="F5EE41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E615F5"/>
    <w:multiLevelType w:val="multilevel"/>
    <w:tmpl w:val="F404C57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7A"/>
    <w:rsid w:val="00040A1D"/>
    <w:rsid w:val="00096EB4"/>
    <w:rsid w:val="003B5033"/>
    <w:rsid w:val="003C637A"/>
    <w:rsid w:val="006525D6"/>
    <w:rsid w:val="00783E53"/>
    <w:rsid w:val="00F95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50515-5C4B-43B2-9D7A-4D9393A1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A33D4"/>
    <w:rPr>
      <w:color w:val="605E5C"/>
      <w:shd w:val="clear" w:color="auto" w:fill="E1DFDD"/>
    </w:rPr>
  </w:style>
  <w:style w:type="character" w:customStyle="1" w:styleId="Mencinsinresolver4">
    <w:name w:val="Mención sin resolver4"/>
    <w:basedOn w:val="Fuentedeprrafopredeter"/>
    <w:uiPriority w:val="99"/>
    <w:semiHidden/>
    <w:unhideWhenUsed/>
    <w:rsid w:val="00FC2619"/>
    <w:rPr>
      <w:color w:val="605E5C"/>
      <w:shd w:val="clear" w:color="auto" w:fill="E1DFDD"/>
    </w:rPr>
  </w:style>
  <w:style w:type="paragraph" w:styleId="Cita">
    <w:name w:val="Quote"/>
    <w:basedOn w:val="Normal"/>
    <w:next w:val="Normal"/>
    <w:link w:val="CitaCar"/>
    <w:uiPriority w:val="29"/>
    <w:qFormat/>
    <w:rsid w:val="000B2F2D"/>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0B2F2D"/>
    <w:rPr>
      <w:i/>
      <w:iCs/>
      <w:color w:val="404040" w:themeColor="text1" w:themeTint="BF"/>
      <w:lang w:val="es-MX" w:eastAsia="es-ES"/>
    </w:rPr>
  </w:style>
  <w:style w:type="character" w:customStyle="1" w:styleId="Mencinsinresolver5">
    <w:name w:val="Mención sin resolver5"/>
    <w:basedOn w:val="Fuentedeprrafopredeter"/>
    <w:uiPriority w:val="99"/>
    <w:semiHidden/>
    <w:unhideWhenUsed/>
    <w:rsid w:val="003970D4"/>
    <w:rPr>
      <w:color w:val="605E5C"/>
      <w:shd w:val="clear" w:color="auto" w:fill="E1DFDD"/>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34gDlbV1yde8V+MzL6jcKP7bA==">CgMxLjAyCWguM3pueXNoNzIJaC4yczhleW8xMghoLnR5amN3dDIJaC4xZm9iOXRlOAByITFZRFJOeWFKVU9mNmJEQ0N5RzU3dXlwaXJwNk1yXzNGZw==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5306</Words>
  <Characters>29187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2023-12-01T16:08:00Z</cp:lastPrinted>
  <dcterms:created xsi:type="dcterms:W3CDTF">2023-12-06T18:15:00Z</dcterms:created>
  <dcterms:modified xsi:type="dcterms:W3CDTF">2023-12-06T18:15:00Z</dcterms:modified>
</cp:coreProperties>
</file>