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31612CF4"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CB24CB" w:rsidRPr="009A0936">
        <w:rPr>
          <w:rFonts w:ascii="Palatino Linotype" w:eastAsia="Palatino Linotype" w:hAnsi="Palatino Linotype" w:cs="Palatino Linotype"/>
          <w:sz w:val="24"/>
          <w:szCs w:val="24"/>
        </w:rPr>
        <w:t>veintinueve de noviembre</w:t>
      </w:r>
      <w:r w:rsidR="00B30C44" w:rsidRPr="009A0936">
        <w:rPr>
          <w:rFonts w:ascii="Palatino Linotype" w:eastAsia="Palatino Linotype" w:hAnsi="Palatino Linotype" w:cs="Palatino Linotype"/>
          <w:sz w:val="24"/>
          <w:szCs w:val="24"/>
        </w:rPr>
        <w:t xml:space="preserve"> de dos mil veintitrés</w:t>
      </w:r>
      <w:r w:rsidRPr="009A0936">
        <w:rPr>
          <w:rFonts w:ascii="Palatino Linotype" w:eastAsia="Palatino Linotype" w:hAnsi="Palatino Linotype" w:cs="Palatino Linotype"/>
          <w:sz w:val="24"/>
          <w:szCs w:val="24"/>
        </w:rPr>
        <w:t xml:space="preserve">. </w:t>
      </w:r>
    </w:p>
    <w:p w14:paraId="74ED697E" w14:textId="77777777" w:rsidR="00F8557D" w:rsidRPr="009A0936" w:rsidRDefault="00F8557D">
      <w:pPr>
        <w:spacing w:after="0" w:line="360" w:lineRule="auto"/>
        <w:ind w:right="49"/>
        <w:jc w:val="center"/>
        <w:rPr>
          <w:rFonts w:ascii="Palatino Linotype" w:eastAsia="Palatino Linotype" w:hAnsi="Palatino Linotype" w:cs="Palatino Linotype"/>
          <w:sz w:val="24"/>
          <w:szCs w:val="24"/>
        </w:rPr>
      </w:pPr>
    </w:p>
    <w:p w14:paraId="52F4F0DF" w14:textId="6CF855A6"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Visto el expediente relativo al recurso de revisión </w:t>
      </w:r>
      <w:r w:rsidR="00CB24CB" w:rsidRPr="009A0936">
        <w:rPr>
          <w:rFonts w:ascii="Palatino Linotype" w:eastAsia="Palatino Linotype" w:hAnsi="Palatino Linotype" w:cs="Palatino Linotype"/>
          <w:b/>
          <w:sz w:val="24"/>
          <w:szCs w:val="24"/>
        </w:rPr>
        <w:t>03764</w:t>
      </w:r>
      <w:r w:rsidR="00D7458B" w:rsidRPr="009A0936">
        <w:rPr>
          <w:rFonts w:ascii="Palatino Linotype" w:eastAsia="Palatino Linotype" w:hAnsi="Palatino Linotype" w:cs="Palatino Linotype"/>
          <w:b/>
          <w:sz w:val="24"/>
          <w:szCs w:val="24"/>
        </w:rPr>
        <w:t>/INFOEM/IP/RR/2023</w:t>
      </w:r>
      <w:r w:rsidRPr="009A0936">
        <w:rPr>
          <w:rFonts w:ascii="Palatino Linotype" w:eastAsia="Palatino Linotype" w:hAnsi="Palatino Linotype" w:cs="Palatino Linotype"/>
          <w:sz w:val="24"/>
          <w:szCs w:val="24"/>
        </w:rPr>
        <w:t xml:space="preserve">, interpuesto por </w:t>
      </w:r>
      <w:r w:rsidR="00B624E5">
        <w:rPr>
          <w:rFonts w:ascii="Palatino Linotype" w:eastAsia="Palatino Linotype" w:hAnsi="Palatino Linotype" w:cs="Palatino Linotype"/>
          <w:b/>
          <w:sz w:val="24"/>
          <w:szCs w:val="24"/>
        </w:rPr>
        <w:t>XXXXXX XXXXX XXXXXX</w:t>
      </w:r>
      <w:bookmarkStart w:id="0" w:name="_GoBack"/>
      <w:bookmarkEnd w:id="0"/>
      <w:r w:rsidR="00870729" w:rsidRPr="009A0936">
        <w:rPr>
          <w:rFonts w:ascii="Palatino Linotype" w:eastAsia="Palatino Linotype" w:hAnsi="Palatino Linotype" w:cs="Palatino Linotype"/>
          <w:sz w:val="24"/>
          <w:szCs w:val="24"/>
        </w:rPr>
        <w:t xml:space="preserve">, a quien </w:t>
      </w:r>
      <w:r w:rsidR="00B22310" w:rsidRPr="009A0936">
        <w:rPr>
          <w:rFonts w:ascii="Palatino Linotype" w:eastAsia="Palatino Linotype" w:hAnsi="Palatino Linotype" w:cs="Palatino Linotype"/>
          <w:sz w:val="24"/>
          <w:szCs w:val="24"/>
        </w:rPr>
        <w:t xml:space="preserve">en lo sucesivo se le denominará la parte </w:t>
      </w:r>
      <w:r w:rsidRPr="009A0936">
        <w:rPr>
          <w:rFonts w:ascii="Palatino Linotype" w:eastAsia="Palatino Linotype" w:hAnsi="Palatino Linotype" w:cs="Palatino Linotype"/>
          <w:b/>
          <w:sz w:val="24"/>
          <w:szCs w:val="24"/>
        </w:rPr>
        <w:t>RECURRENTE</w:t>
      </w:r>
      <w:r w:rsidRPr="009A0936">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9A0936">
        <w:rPr>
          <w:rFonts w:ascii="Palatino Linotype" w:eastAsia="Palatino Linotype" w:hAnsi="Palatino Linotype" w:cs="Palatino Linotype"/>
          <w:b/>
          <w:sz w:val="24"/>
          <w:szCs w:val="24"/>
        </w:rPr>
        <w:t>0</w:t>
      </w:r>
      <w:r w:rsidR="002D6A54" w:rsidRPr="009A0936">
        <w:rPr>
          <w:rFonts w:ascii="Palatino Linotype" w:eastAsia="Palatino Linotype" w:hAnsi="Palatino Linotype" w:cs="Palatino Linotype"/>
          <w:b/>
          <w:sz w:val="24"/>
          <w:szCs w:val="24"/>
        </w:rPr>
        <w:t>0</w:t>
      </w:r>
      <w:r w:rsidR="00CB24CB" w:rsidRPr="009A0936">
        <w:rPr>
          <w:rFonts w:ascii="Palatino Linotype" w:eastAsia="Palatino Linotype" w:hAnsi="Palatino Linotype" w:cs="Palatino Linotype"/>
          <w:b/>
          <w:sz w:val="24"/>
          <w:szCs w:val="24"/>
        </w:rPr>
        <w:t>062</w:t>
      </w:r>
      <w:r w:rsidRPr="009A0936">
        <w:rPr>
          <w:rFonts w:ascii="Palatino Linotype" w:eastAsia="Palatino Linotype" w:hAnsi="Palatino Linotype" w:cs="Palatino Linotype"/>
          <w:b/>
          <w:sz w:val="24"/>
          <w:szCs w:val="24"/>
        </w:rPr>
        <w:t>/</w:t>
      </w:r>
      <w:r w:rsidR="00CB24CB" w:rsidRPr="009A0936">
        <w:rPr>
          <w:rFonts w:ascii="Palatino Linotype" w:eastAsia="Palatino Linotype" w:hAnsi="Palatino Linotype" w:cs="Palatino Linotype"/>
          <w:b/>
          <w:sz w:val="24"/>
          <w:szCs w:val="24"/>
        </w:rPr>
        <w:t>IHAEM</w:t>
      </w:r>
      <w:r w:rsidRPr="009A0936">
        <w:rPr>
          <w:rFonts w:ascii="Palatino Linotype" w:eastAsia="Palatino Linotype" w:hAnsi="Palatino Linotype" w:cs="Palatino Linotype"/>
          <w:b/>
          <w:sz w:val="24"/>
          <w:szCs w:val="24"/>
        </w:rPr>
        <w:t>/IP/202</w:t>
      </w:r>
      <w:r w:rsidR="006B4A8B" w:rsidRPr="009A0936">
        <w:rPr>
          <w:rFonts w:ascii="Palatino Linotype" w:eastAsia="Palatino Linotype" w:hAnsi="Palatino Linotype" w:cs="Palatino Linotype"/>
          <w:b/>
          <w:sz w:val="24"/>
          <w:szCs w:val="24"/>
        </w:rPr>
        <w:t>3</w:t>
      </w:r>
      <w:r w:rsidRPr="009A0936">
        <w:rPr>
          <w:rFonts w:ascii="Palatino Linotype" w:eastAsia="Palatino Linotype" w:hAnsi="Palatino Linotype" w:cs="Palatino Linotype"/>
          <w:sz w:val="24"/>
          <w:szCs w:val="24"/>
        </w:rPr>
        <w:t xml:space="preserve"> proporcionada por parte del </w:t>
      </w:r>
      <w:r w:rsidR="00CB24CB" w:rsidRPr="009A0936">
        <w:rPr>
          <w:rFonts w:ascii="Palatino Linotype" w:eastAsia="Palatino Linotype" w:hAnsi="Palatino Linotype" w:cs="Palatino Linotype"/>
          <w:sz w:val="24"/>
          <w:szCs w:val="24"/>
        </w:rPr>
        <w:t>Instituto Hacendario del Estado de México</w:t>
      </w:r>
      <w:r w:rsidR="002D6A54" w:rsidRPr="009A0936">
        <w:rPr>
          <w:rFonts w:ascii="Palatino Linotype" w:eastAsia="Palatino Linotype" w:hAnsi="Palatino Linotype" w:cs="Palatino Linotype"/>
          <w:sz w:val="24"/>
          <w:szCs w:val="24"/>
        </w:rPr>
        <w:t xml:space="preserve">, </w:t>
      </w:r>
      <w:r w:rsidRPr="009A0936">
        <w:rPr>
          <w:rFonts w:ascii="Palatino Linotype" w:eastAsia="Palatino Linotype" w:hAnsi="Palatino Linotype" w:cs="Palatino Linotype"/>
          <w:sz w:val="24"/>
          <w:szCs w:val="24"/>
        </w:rPr>
        <w:t xml:space="preserve">en lo sucesivo el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9A0936" w:rsidRDefault="00646B44">
      <w:pPr>
        <w:spacing w:after="0" w:line="360" w:lineRule="auto"/>
        <w:ind w:right="49"/>
        <w:jc w:val="center"/>
        <w:rPr>
          <w:rFonts w:ascii="Palatino Linotype" w:eastAsia="Palatino Linotype" w:hAnsi="Palatino Linotype" w:cs="Palatino Linotype"/>
          <w:b/>
          <w:sz w:val="24"/>
          <w:szCs w:val="24"/>
        </w:rPr>
      </w:pPr>
      <w:r w:rsidRPr="009A0936">
        <w:rPr>
          <w:rFonts w:ascii="Palatino Linotype" w:eastAsia="Palatino Linotype" w:hAnsi="Palatino Linotype" w:cs="Palatino Linotype"/>
          <w:b/>
          <w:sz w:val="24"/>
          <w:szCs w:val="24"/>
        </w:rPr>
        <w:t>I.</w:t>
      </w:r>
      <w:r w:rsidRPr="009A0936">
        <w:rPr>
          <w:rFonts w:ascii="Palatino Linotype" w:eastAsia="Palatino Linotype" w:hAnsi="Palatino Linotype" w:cs="Palatino Linotype"/>
          <w:b/>
          <w:sz w:val="24"/>
          <w:szCs w:val="24"/>
        </w:rPr>
        <w:tab/>
        <w:t>A N T E C E D E N T E S</w:t>
      </w:r>
    </w:p>
    <w:p w14:paraId="0D8742AC"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191568F3" w14:textId="465C93DA" w:rsidR="00F8557D" w:rsidRPr="009A093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Solicitud de acceso a la información.</w:t>
      </w:r>
      <w:r w:rsidRPr="009A0936">
        <w:rPr>
          <w:rFonts w:ascii="Palatino Linotype" w:eastAsia="Palatino Linotype" w:hAnsi="Palatino Linotype" w:cs="Palatino Linotype"/>
          <w:sz w:val="24"/>
          <w:szCs w:val="24"/>
        </w:rPr>
        <w:t xml:space="preserve"> Con fecha </w:t>
      </w:r>
      <w:r w:rsidR="00CB24CB" w:rsidRPr="009A0936">
        <w:rPr>
          <w:rFonts w:ascii="Palatino Linotype" w:eastAsia="Palatino Linotype" w:hAnsi="Palatino Linotype" w:cs="Palatino Linotype"/>
          <w:b/>
          <w:sz w:val="24"/>
          <w:szCs w:val="24"/>
        </w:rPr>
        <w:t>veintidós de junio</w:t>
      </w:r>
      <w:r w:rsidR="004E4ADA" w:rsidRPr="009A0936">
        <w:rPr>
          <w:rFonts w:ascii="Palatino Linotype" w:eastAsia="Palatino Linotype" w:hAnsi="Palatino Linotype" w:cs="Palatino Linotype"/>
          <w:b/>
          <w:sz w:val="24"/>
          <w:szCs w:val="24"/>
        </w:rPr>
        <w:t xml:space="preserve"> </w:t>
      </w:r>
      <w:r w:rsidR="006B4A8B" w:rsidRPr="009A0936">
        <w:rPr>
          <w:rFonts w:ascii="Palatino Linotype" w:eastAsia="Palatino Linotype" w:hAnsi="Palatino Linotype" w:cs="Palatino Linotype"/>
          <w:b/>
          <w:sz w:val="24"/>
          <w:szCs w:val="24"/>
        </w:rPr>
        <w:t>de dos mil veintitrés</w:t>
      </w:r>
      <w:r w:rsidRPr="009A0936">
        <w:rPr>
          <w:rFonts w:ascii="Palatino Linotype" w:eastAsia="Palatino Linotype" w:hAnsi="Palatino Linotype" w:cs="Palatino Linotype"/>
          <w:sz w:val="24"/>
          <w:szCs w:val="24"/>
        </w:rPr>
        <w:t xml:space="preserve">, la parte </w:t>
      </w:r>
      <w:r w:rsidRPr="009A0936">
        <w:rPr>
          <w:rFonts w:ascii="Palatino Linotype" w:eastAsia="Palatino Linotype" w:hAnsi="Palatino Linotype" w:cs="Palatino Linotype"/>
          <w:b/>
          <w:sz w:val="24"/>
          <w:szCs w:val="24"/>
        </w:rPr>
        <w:t>RECURRENTE</w:t>
      </w:r>
      <w:r w:rsidRPr="009A0936">
        <w:rPr>
          <w:rFonts w:ascii="Palatino Linotype" w:eastAsia="Palatino Linotype" w:hAnsi="Palatino Linotype" w:cs="Palatino Linotype"/>
          <w:sz w:val="24"/>
          <w:szCs w:val="24"/>
        </w:rPr>
        <w:t xml:space="preserve"> formuló solicitud de acceso a información pública al</w:t>
      </w:r>
      <w:r w:rsidRPr="009A0936">
        <w:rPr>
          <w:rFonts w:ascii="Palatino Linotype" w:eastAsia="Palatino Linotype" w:hAnsi="Palatino Linotype" w:cs="Palatino Linotype"/>
          <w:b/>
          <w:sz w:val="24"/>
          <w:szCs w:val="24"/>
        </w:rPr>
        <w:t xml:space="preserve"> SUJETO OBLIGADO</w:t>
      </w:r>
      <w:r w:rsidRPr="009A0936">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2F12DF4C" w:rsidR="00F8557D" w:rsidRPr="009A0936" w:rsidRDefault="00B661FB" w:rsidP="00B661FB">
      <w:pPr>
        <w:tabs>
          <w:tab w:val="left" w:pos="1530"/>
        </w:tabs>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ab/>
      </w:r>
    </w:p>
    <w:p w14:paraId="5E646918" w14:textId="0C562D19" w:rsidR="00F8557D" w:rsidRPr="009A0936"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9A0936">
        <w:rPr>
          <w:rFonts w:ascii="Palatino Linotype" w:eastAsia="Palatino Linotype" w:hAnsi="Palatino Linotype" w:cs="Palatino Linotype"/>
          <w:i/>
        </w:rPr>
        <w:t>“</w:t>
      </w:r>
      <w:r w:rsidR="00CB24CB" w:rsidRPr="009A0936">
        <w:rPr>
          <w:rFonts w:ascii="Palatino Linotype" w:eastAsia="Palatino Linotype" w:hAnsi="Palatino Linotype" w:cs="Palatino Linotype"/>
          <w:i/>
        </w:rPr>
        <w:t>Se solicitan copias simples de todas las actas del Comité de Control y Desempeño Institucional (COCODI) del IHAEM de los ejercicios fiscales 2020, 2021, 2022 y lo que va del 2023</w:t>
      </w:r>
      <w:r w:rsidR="00B30C44" w:rsidRPr="009A0936">
        <w:rPr>
          <w:rFonts w:ascii="Palatino Linotype" w:eastAsia="Palatino Linotype" w:hAnsi="Palatino Linotype" w:cs="Palatino Linotype"/>
          <w:i/>
        </w:rPr>
        <w:t xml:space="preserve">”. </w:t>
      </w:r>
    </w:p>
    <w:p w14:paraId="4D20A199" w14:textId="77777777" w:rsidR="00F8557D" w:rsidRPr="009A0936" w:rsidRDefault="00F8557D">
      <w:pPr>
        <w:spacing w:after="0" w:line="360" w:lineRule="auto"/>
        <w:ind w:left="567" w:right="560"/>
        <w:jc w:val="both"/>
        <w:rPr>
          <w:rFonts w:ascii="Palatino Linotype" w:eastAsia="Palatino Linotype" w:hAnsi="Palatino Linotype" w:cs="Palatino Linotype"/>
          <w:i/>
        </w:rPr>
      </w:pPr>
    </w:p>
    <w:p w14:paraId="39E3254B" w14:textId="10999AA9" w:rsidR="00D7458B" w:rsidRPr="009A0936" w:rsidRDefault="00646B44" w:rsidP="006B4A8B">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lastRenderedPageBreak/>
        <w:t>Modalidad elegida para la entrega de la información:</w:t>
      </w:r>
      <w:r w:rsidRPr="009A0936">
        <w:rPr>
          <w:rFonts w:ascii="Palatino Linotype" w:eastAsia="Palatino Linotype" w:hAnsi="Palatino Linotype" w:cs="Palatino Linotype"/>
          <w:sz w:val="24"/>
          <w:szCs w:val="24"/>
        </w:rPr>
        <w:t xml:space="preserve"> a través del Sistema de Acceso a la Información Mexiquense (SAIMEX). </w:t>
      </w:r>
    </w:p>
    <w:p w14:paraId="73EF560A" w14:textId="77777777" w:rsidR="00D7458B" w:rsidRPr="009A0936" w:rsidRDefault="00D7458B" w:rsidP="00D7458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3DD4FED3" w:rsidR="00F8557D" w:rsidRPr="009A0936" w:rsidRDefault="00CB24C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Información que Puede estar en Poder de Otro Sujeto Obligado</w:t>
      </w:r>
      <w:r w:rsidR="00646B44" w:rsidRPr="009A0936">
        <w:rPr>
          <w:rFonts w:ascii="Palatino Linotype" w:eastAsia="Palatino Linotype" w:hAnsi="Palatino Linotype" w:cs="Palatino Linotype"/>
          <w:b/>
          <w:sz w:val="24"/>
          <w:szCs w:val="24"/>
        </w:rPr>
        <w:t>.</w:t>
      </w:r>
      <w:r w:rsidR="00646B44" w:rsidRPr="009A0936">
        <w:rPr>
          <w:rFonts w:ascii="Palatino Linotype" w:eastAsia="Palatino Linotype" w:hAnsi="Palatino Linotype" w:cs="Palatino Linotype"/>
          <w:sz w:val="24"/>
          <w:szCs w:val="24"/>
        </w:rPr>
        <w:t xml:space="preserve"> Con fecha </w:t>
      </w:r>
      <w:r w:rsidRPr="009A0936">
        <w:rPr>
          <w:rFonts w:ascii="Palatino Linotype" w:eastAsia="Palatino Linotype" w:hAnsi="Palatino Linotype" w:cs="Palatino Linotype"/>
          <w:b/>
          <w:sz w:val="24"/>
          <w:szCs w:val="24"/>
        </w:rPr>
        <w:t>veintisiete de junio</w:t>
      </w:r>
      <w:r w:rsidR="00D7458B" w:rsidRPr="009A0936">
        <w:rPr>
          <w:rFonts w:ascii="Palatino Linotype" w:eastAsia="Palatino Linotype" w:hAnsi="Palatino Linotype" w:cs="Palatino Linotype"/>
          <w:b/>
          <w:sz w:val="24"/>
          <w:szCs w:val="24"/>
        </w:rPr>
        <w:t xml:space="preserve"> de dos mil veintitrés</w:t>
      </w:r>
      <w:r w:rsidR="00646B44" w:rsidRPr="009A0936">
        <w:rPr>
          <w:rFonts w:ascii="Palatino Linotype" w:eastAsia="Palatino Linotype" w:hAnsi="Palatino Linotype" w:cs="Palatino Linotype"/>
          <w:sz w:val="24"/>
          <w:szCs w:val="24"/>
        </w:rPr>
        <w:t xml:space="preserve">, el </w:t>
      </w:r>
      <w:r w:rsidR="00646B44" w:rsidRPr="009A0936">
        <w:rPr>
          <w:rFonts w:ascii="Palatino Linotype" w:eastAsia="Palatino Linotype" w:hAnsi="Palatino Linotype" w:cs="Palatino Linotype"/>
          <w:b/>
          <w:sz w:val="24"/>
          <w:szCs w:val="24"/>
        </w:rPr>
        <w:t>SUJETO OBLIGADO</w:t>
      </w:r>
      <w:r w:rsidR="00646B44" w:rsidRPr="009A0936">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5C9C0EFB" w14:textId="77777777" w:rsidR="00CE6234" w:rsidRPr="009A0936" w:rsidRDefault="00CE6234" w:rsidP="00CB24CB">
      <w:pPr>
        <w:spacing w:after="0" w:line="360" w:lineRule="auto"/>
        <w:ind w:right="560"/>
        <w:jc w:val="both"/>
        <w:rPr>
          <w:rFonts w:ascii="Verdana" w:hAnsi="Verdana"/>
          <w:sz w:val="24"/>
          <w:szCs w:val="18"/>
        </w:rPr>
      </w:pPr>
    </w:p>
    <w:p w14:paraId="2F40B31B" w14:textId="73D76B38" w:rsidR="00CB24CB" w:rsidRPr="009A0936" w:rsidRDefault="00CB24CB" w:rsidP="00CB24CB">
      <w:pPr>
        <w:spacing w:after="0" w:line="276" w:lineRule="auto"/>
        <w:ind w:left="567" w:right="560"/>
        <w:jc w:val="both"/>
        <w:rPr>
          <w:rFonts w:ascii="Palatino Linotype" w:hAnsi="Palatino Linotype"/>
          <w:i/>
          <w:szCs w:val="18"/>
        </w:rPr>
      </w:pPr>
      <w:r w:rsidRPr="009A0936">
        <w:rPr>
          <w:rFonts w:ascii="Palatino Linotype" w:hAnsi="Palatino Linotype"/>
          <w:i/>
          <w:szCs w:val="18"/>
        </w:rPr>
        <w:t>En atención a su solicitud de información, me permito adjuntar cuatro archivos en formato .</w:t>
      </w:r>
      <w:proofErr w:type="spellStart"/>
      <w:r w:rsidRPr="009A0936">
        <w:rPr>
          <w:rFonts w:ascii="Palatino Linotype" w:hAnsi="Palatino Linotype"/>
          <w:i/>
          <w:szCs w:val="18"/>
        </w:rPr>
        <w:t>pdf</w:t>
      </w:r>
      <w:proofErr w:type="spellEnd"/>
      <w:r w:rsidRPr="009A0936">
        <w:rPr>
          <w:rFonts w:ascii="Palatino Linotype" w:hAnsi="Palatino Linotype"/>
          <w:i/>
          <w:szCs w:val="18"/>
        </w:rPr>
        <w:t>, con la Respuesta, Acuerdo de Incompetencia y el Acta de la Décima Tercera Sesión Extraordinaria del Comité de Transparencia, mediante la cual se fundamenta que el Instituto Hacendario del Estado de México, no es el Sujeto Obligado para atender su requerimiento; sin embargo, se hace la orientación correspondiente. Quedo a sus órdenes.</w:t>
      </w:r>
    </w:p>
    <w:p w14:paraId="0CFF0350" w14:textId="77777777" w:rsidR="002D6A54" w:rsidRPr="009A0936" w:rsidRDefault="002D6A54" w:rsidP="002D6A54">
      <w:pPr>
        <w:spacing w:after="0" w:line="360" w:lineRule="auto"/>
        <w:ind w:left="567" w:right="560"/>
        <w:jc w:val="both"/>
        <w:rPr>
          <w:rFonts w:ascii="Palatino Linotype" w:eastAsia="Palatino Linotype" w:hAnsi="Palatino Linotype" w:cs="Palatino Linotype"/>
          <w:sz w:val="24"/>
          <w:szCs w:val="24"/>
        </w:rPr>
      </w:pPr>
    </w:p>
    <w:p w14:paraId="3C408582" w14:textId="6BF692AF" w:rsidR="00F8557D" w:rsidRPr="009A0936" w:rsidRDefault="00646B44" w:rsidP="00B30C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El Sujeto Obligado a su respuesta adjuntó </w:t>
      </w:r>
      <w:r w:rsidR="006B4A8B" w:rsidRPr="009A0936">
        <w:rPr>
          <w:rFonts w:ascii="Palatino Linotype" w:eastAsia="Palatino Linotype" w:hAnsi="Palatino Linotype" w:cs="Palatino Linotype"/>
          <w:sz w:val="24"/>
          <w:szCs w:val="24"/>
        </w:rPr>
        <w:t xml:space="preserve">los </w:t>
      </w:r>
      <w:r w:rsidR="00B30C44" w:rsidRPr="009A0936">
        <w:rPr>
          <w:rFonts w:ascii="Palatino Linotype" w:eastAsia="Palatino Linotype" w:hAnsi="Palatino Linotype" w:cs="Palatino Linotype"/>
          <w:sz w:val="24"/>
          <w:szCs w:val="24"/>
        </w:rPr>
        <w:t>documento</w:t>
      </w:r>
      <w:r w:rsidR="006B4A8B" w:rsidRPr="009A0936">
        <w:rPr>
          <w:rFonts w:ascii="Palatino Linotype" w:eastAsia="Palatino Linotype" w:hAnsi="Palatino Linotype" w:cs="Palatino Linotype"/>
          <w:sz w:val="24"/>
          <w:szCs w:val="24"/>
        </w:rPr>
        <w:t>s</w:t>
      </w:r>
      <w:r w:rsidR="00B30C44" w:rsidRPr="009A0936">
        <w:rPr>
          <w:rFonts w:ascii="Palatino Linotype" w:eastAsia="Palatino Linotype" w:hAnsi="Palatino Linotype" w:cs="Palatino Linotype"/>
          <w:sz w:val="24"/>
          <w:szCs w:val="24"/>
        </w:rPr>
        <w:t xml:space="preserve"> que se describe</w:t>
      </w:r>
      <w:r w:rsidR="006B4A8B" w:rsidRPr="009A0936">
        <w:rPr>
          <w:rFonts w:ascii="Palatino Linotype" w:eastAsia="Palatino Linotype" w:hAnsi="Palatino Linotype" w:cs="Palatino Linotype"/>
          <w:sz w:val="24"/>
          <w:szCs w:val="24"/>
        </w:rPr>
        <w:t>n</w:t>
      </w:r>
      <w:r w:rsidR="00B30C44" w:rsidRPr="009A0936">
        <w:rPr>
          <w:rFonts w:ascii="Palatino Linotype" w:eastAsia="Palatino Linotype" w:hAnsi="Palatino Linotype" w:cs="Palatino Linotype"/>
          <w:sz w:val="24"/>
          <w:szCs w:val="24"/>
        </w:rPr>
        <w:t xml:space="preserve"> a continuación: </w:t>
      </w:r>
      <w:r w:rsidRPr="009A0936">
        <w:rPr>
          <w:rFonts w:ascii="Palatino Linotype" w:eastAsia="Palatino Linotype" w:hAnsi="Palatino Linotype" w:cs="Palatino Linotype"/>
          <w:sz w:val="24"/>
          <w:szCs w:val="24"/>
        </w:rPr>
        <w:t xml:space="preserve"> </w:t>
      </w:r>
    </w:p>
    <w:p w14:paraId="79497947" w14:textId="77777777" w:rsidR="006B4A8B" w:rsidRPr="009A0936" w:rsidRDefault="006B4A8B" w:rsidP="00B30C44">
      <w:pPr>
        <w:spacing w:after="0" w:line="360" w:lineRule="auto"/>
        <w:ind w:right="49"/>
        <w:jc w:val="both"/>
        <w:rPr>
          <w:rFonts w:ascii="Palatino Linotype" w:eastAsia="Palatino Linotype" w:hAnsi="Palatino Linotype" w:cs="Palatino Linotype"/>
          <w:sz w:val="24"/>
          <w:szCs w:val="24"/>
        </w:rPr>
      </w:pPr>
    </w:p>
    <w:p w14:paraId="030E4264" w14:textId="3002D6C7" w:rsidR="00FF17F3" w:rsidRPr="009A0936" w:rsidRDefault="00CB24CB" w:rsidP="00FF17F3">
      <w:pPr>
        <w:pStyle w:val="Prrafodelista"/>
        <w:numPr>
          <w:ilvl w:val="0"/>
          <w:numId w:val="16"/>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Oficio de fecha veintisiete de junio de dos mil veintitrés, signado por la Titular de la Unidad de Transparencia, mediante el cual informa que el Sujeto Obligado no es competente para conocer la petición formulada, debido a que no es generada, administrada y no se encuentra en su posesión, siendo la competente la Secretaría de la Contraloría del Estado de México. </w:t>
      </w:r>
    </w:p>
    <w:p w14:paraId="77F65CB7" w14:textId="724D8D53" w:rsidR="00CB24CB" w:rsidRPr="009A0936" w:rsidRDefault="00CB24CB" w:rsidP="00FF17F3">
      <w:pPr>
        <w:pStyle w:val="Prrafodelista"/>
        <w:numPr>
          <w:ilvl w:val="0"/>
          <w:numId w:val="16"/>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Oficio de fecha diez de octubre de dos mil diecinueve, signado por el Secretario de la Contraloría mediante el cual designa al titular del Órgano Interno de Control del Instituto Hacendario del Estado de México. </w:t>
      </w:r>
    </w:p>
    <w:p w14:paraId="2433AA68" w14:textId="2429B90C" w:rsidR="00CB24CB" w:rsidRPr="009A0936" w:rsidRDefault="00CB24CB" w:rsidP="00FF17F3">
      <w:pPr>
        <w:pStyle w:val="Prrafodelista"/>
        <w:numPr>
          <w:ilvl w:val="0"/>
          <w:numId w:val="16"/>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9A0936">
        <w:rPr>
          <w:rFonts w:ascii="Palatino Linotype" w:eastAsia="Palatino Linotype" w:hAnsi="Palatino Linotype" w:cs="Palatino Linotype"/>
        </w:rPr>
        <w:lastRenderedPageBreak/>
        <w:t xml:space="preserve">Acuerdo de Incompetencia, mediante el cual se establece la incompetencia del Sujeto Obligado para administrar, generar y poseer la información solicitada. </w:t>
      </w:r>
    </w:p>
    <w:p w14:paraId="6FACD667" w14:textId="002C01B1" w:rsidR="00CB24CB" w:rsidRPr="009A0936" w:rsidRDefault="00CB24CB" w:rsidP="00FF17F3">
      <w:pPr>
        <w:pStyle w:val="Prrafodelista"/>
        <w:numPr>
          <w:ilvl w:val="0"/>
          <w:numId w:val="16"/>
        </w:num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Acta de la Décima Tercera Sesión Extraordinaria del Comité de Transparencia del Instituto Hacendario del Estado de México mediante el cual se declina la competencia para generar, administrar y/o poseer la información solicitada. </w:t>
      </w:r>
    </w:p>
    <w:p w14:paraId="5156D9D5" w14:textId="77777777" w:rsidR="006B4A8B" w:rsidRPr="009A0936" w:rsidRDefault="006B4A8B" w:rsidP="006B4A8B">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14:paraId="759EDBF5" w14:textId="272D58DC" w:rsidR="00F8557D" w:rsidRPr="009A0936" w:rsidRDefault="00D7458B"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 xml:space="preserve">Recurso de Revisión. </w:t>
      </w:r>
      <w:r w:rsidRPr="009A0936">
        <w:rPr>
          <w:rFonts w:ascii="Palatino Linotype" w:eastAsia="Palatino Linotype" w:hAnsi="Palatino Linotype" w:cs="Palatino Linotype"/>
          <w:sz w:val="24"/>
          <w:szCs w:val="24"/>
        </w:rPr>
        <w:t xml:space="preserve">En fecha </w:t>
      </w:r>
      <w:r w:rsidR="00CB24CB" w:rsidRPr="009A0936">
        <w:rPr>
          <w:rFonts w:ascii="Palatino Linotype" w:eastAsia="Palatino Linotype" w:hAnsi="Palatino Linotype" w:cs="Palatino Linotype"/>
          <w:b/>
          <w:sz w:val="24"/>
          <w:szCs w:val="24"/>
        </w:rPr>
        <w:t>veintiocho de  junio</w:t>
      </w:r>
      <w:r w:rsidRPr="009A0936">
        <w:rPr>
          <w:rFonts w:ascii="Palatino Linotype" w:eastAsia="Palatino Linotype" w:hAnsi="Palatino Linotype" w:cs="Palatino Linotype"/>
          <w:b/>
          <w:sz w:val="24"/>
          <w:szCs w:val="24"/>
        </w:rPr>
        <w:t xml:space="preserve"> de dos mil veintitrés</w:t>
      </w:r>
      <w:r w:rsidRPr="009A0936">
        <w:rPr>
          <w:rFonts w:ascii="Palatino Linotype" w:eastAsia="Palatino Linotype" w:hAnsi="Palatino Linotype" w:cs="Palatino Linotype"/>
          <w:sz w:val="24"/>
          <w:szCs w:val="24"/>
        </w:rPr>
        <w:t xml:space="preserve"> la persona Solicitante</w:t>
      </w:r>
      <w:r w:rsidR="00646B44" w:rsidRPr="009A0936">
        <w:rPr>
          <w:rFonts w:ascii="Palatino Linotype" w:eastAsia="Palatino Linotype" w:hAnsi="Palatino Linotype" w:cs="Palatino Linotype"/>
          <w:sz w:val="24"/>
          <w:szCs w:val="24"/>
        </w:rPr>
        <w:t xml:space="preserve"> interpuso Recurso de Revisión a través del </w:t>
      </w:r>
      <w:r w:rsidR="00646B44" w:rsidRPr="009A0936">
        <w:rPr>
          <w:rFonts w:ascii="Palatino Linotype" w:eastAsia="Palatino Linotype" w:hAnsi="Palatino Linotype" w:cs="Palatino Linotype"/>
          <w:b/>
          <w:sz w:val="24"/>
          <w:szCs w:val="24"/>
        </w:rPr>
        <w:t>SAIMEX</w:t>
      </w:r>
      <w:r w:rsidR="00646B44" w:rsidRPr="009A0936">
        <w:rPr>
          <w:rFonts w:ascii="Palatino Linotype" w:eastAsia="Palatino Linotype" w:hAnsi="Palatino Linotype" w:cs="Palatino Linotype"/>
          <w:sz w:val="24"/>
          <w:szCs w:val="24"/>
        </w:rPr>
        <w:t>, a través del cual expresó lo siguiente:</w:t>
      </w:r>
    </w:p>
    <w:p w14:paraId="6A6948AD" w14:textId="77777777" w:rsidR="00F8557D" w:rsidRPr="009A0936"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5B771B89" w:rsidR="00F8557D" w:rsidRPr="009A0936"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9A0936">
        <w:rPr>
          <w:rFonts w:ascii="Palatino Linotype" w:eastAsia="Palatino Linotype" w:hAnsi="Palatino Linotype" w:cs="Palatino Linotype"/>
          <w:b/>
          <w:sz w:val="24"/>
          <w:szCs w:val="24"/>
        </w:rPr>
        <w:t>Acto impugnado</w:t>
      </w:r>
      <w:r w:rsidRPr="009A0936">
        <w:rPr>
          <w:rFonts w:ascii="Palatino Linotype" w:eastAsia="Palatino Linotype" w:hAnsi="Palatino Linotype" w:cs="Palatino Linotype"/>
          <w:b/>
          <w:i/>
          <w:sz w:val="24"/>
          <w:szCs w:val="24"/>
        </w:rPr>
        <w:t xml:space="preserve">. </w:t>
      </w:r>
      <w:r w:rsidRPr="009A0936">
        <w:rPr>
          <w:rFonts w:ascii="Palatino Linotype" w:eastAsia="Palatino Linotype" w:hAnsi="Palatino Linotype" w:cs="Palatino Linotype"/>
          <w:i/>
        </w:rPr>
        <w:t>“</w:t>
      </w:r>
      <w:r w:rsidR="00B628D1" w:rsidRPr="009A0936">
        <w:rPr>
          <w:rFonts w:ascii="Palatino Linotype" w:eastAsia="Palatino Linotype" w:hAnsi="Palatino Linotype" w:cs="Palatino Linotype"/>
          <w:i/>
        </w:rPr>
        <w:t>Declaración de incompetencia</w:t>
      </w:r>
      <w:r w:rsidRPr="009A0936">
        <w:rPr>
          <w:rFonts w:ascii="Palatino Linotype" w:eastAsia="Palatino Linotype" w:hAnsi="Palatino Linotype" w:cs="Palatino Linotype"/>
          <w:i/>
        </w:rPr>
        <w:t>”.</w:t>
      </w:r>
    </w:p>
    <w:p w14:paraId="3CF073E1" w14:textId="77777777" w:rsidR="00F8557D" w:rsidRPr="009A0936"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0F61B626" w14:textId="77CC9D27" w:rsidR="00F8557D" w:rsidRPr="009A0936" w:rsidRDefault="00646B44" w:rsidP="00FF17F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rPr>
      </w:pPr>
      <w:r w:rsidRPr="009A0936">
        <w:rPr>
          <w:rFonts w:ascii="Palatino Linotype" w:eastAsia="Palatino Linotype" w:hAnsi="Palatino Linotype" w:cs="Palatino Linotype"/>
          <w:b/>
          <w:sz w:val="24"/>
          <w:szCs w:val="24"/>
        </w:rPr>
        <w:t xml:space="preserve">Razones o motivos de la inconformidad: </w:t>
      </w:r>
      <w:r w:rsidRPr="009A0936">
        <w:rPr>
          <w:rFonts w:ascii="Palatino Linotype" w:eastAsia="Palatino Linotype" w:hAnsi="Palatino Linotype" w:cs="Palatino Linotype"/>
        </w:rPr>
        <w:t>“</w:t>
      </w:r>
      <w:r w:rsidR="00B628D1" w:rsidRPr="009A0936">
        <w:rPr>
          <w:rFonts w:ascii="Palatino Linotype" w:eastAsia="Palatino Linotype" w:hAnsi="Palatino Linotype" w:cs="Palatino Linotype"/>
          <w:bCs/>
          <w:i/>
        </w:rPr>
        <w:t>Conforme lo señalado en el Acuerdo por el que el Secretario de la Contraloría emite las Disposiciones y el Manual Administrativo en Materia de Control Interno para las Dependencias y Organismo Auxiliares del Gobierno del Estado de México publicado en el Periódico Oficial "Gaceta de Gobierno" el 04 de septiembre de 2017, el IHAEM es competente para integrar y dar seguimiento al COCODI, al ser un organismo auxiliar del GEM, en dado caso, ha sido omiso en instalar y operar su sistema de control interno</w:t>
      </w:r>
      <w:r w:rsidR="00F22AE1" w:rsidRPr="009A0936">
        <w:rPr>
          <w:rFonts w:ascii="Palatino Linotype" w:eastAsia="Palatino Linotype" w:hAnsi="Palatino Linotype" w:cs="Palatino Linotype"/>
          <w:i/>
        </w:rPr>
        <w:t>”.</w:t>
      </w:r>
    </w:p>
    <w:p w14:paraId="41301D30" w14:textId="77777777" w:rsidR="00B628D1" w:rsidRPr="009A0936" w:rsidRDefault="00B628D1" w:rsidP="00B628D1">
      <w:pPr>
        <w:pBdr>
          <w:top w:val="nil"/>
          <w:left w:val="nil"/>
          <w:bottom w:val="nil"/>
          <w:right w:val="nil"/>
          <w:between w:val="nil"/>
        </w:pBdr>
        <w:tabs>
          <w:tab w:val="left" w:pos="1276"/>
        </w:tabs>
        <w:spacing w:after="0" w:line="360" w:lineRule="auto"/>
        <w:ind w:left="567" w:right="701"/>
        <w:jc w:val="both"/>
        <w:rPr>
          <w:rFonts w:ascii="Palatino Linotype" w:eastAsia="Palatino Linotype" w:hAnsi="Palatino Linotype" w:cs="Palatino Linotype"/>
          <w:i/>
          <w:sz w:val="24"/>
          <w:szCs w:val="24"/>
        </w:rPr>
      </w:pPr>
    </w:p>
    <w:p w14:paraId="2C5BB885" w14:textId="213D7618" w:rsidR="00F8557D" w:rsidRPr="009A0936" w:rsidRDefault="00646B44" w:rsidP="00B628D1">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Turno.</w:t>
      </w:r>
      <w:r w:rsidRPr="009A0936">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00B628D1" w:rsidRPr="009A0936">
        <w:rPr>
          <w:rFonts w:ascii="Palatino Linotype" w:eastAsia="Palatino Linotype" w:hAnsi="Palatino Linotype" w:cs="Palatino Linotype"/>
          <w:b/>
          <w:sz w:val="24"/>
          <w:szCs w:val="24"/>
        </w:rPr>
        <w:t>03764</w:t>
      </w:r>
      <w:r w:rsidR="00D7458B" w:rsidRPr="009A0936">
        <w:rPr>
          <w:rFonts w:ascii="Palatino Linotype" w:eastAsia="Palatino Linotype" w:hAnsi="Palatino Linotype" w:cs="Palatino Linotype"/>
          <w:b/>
          <w:sz w:val="24"/>
          <w:szCs w:val="24"/>
        </w:rPr>
        <w:t>/INFOEM/IP/RR/2023</w:t>
      </w:r>
      <w:r w:rsidRPr="009A0936">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5C29537" w14:textId="5E823384" w:rsidR="00F8557D" w:rsidRPr="009A093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lastRenderedPageBreak/>
        <w:t>Admisión del recurso de revisión</w:t>
      </w:r>
      <w:r w:rsidRPr="009A0936">
        <w:rPr>
          <w:rFonts w:ascii="Palatino Linotype" w:eastAsia="Palatino Linotype" w:hAnsi="Palatino Linotype" w:cs="Palatino Linotype"/>
          <w:sz w:val="24"/>
          <w:szCs w:val="24"/>
        </w:rPr>
        <w:t xml:space="preserve">: En fecha </w:t>
      </w:r>
      <w:r w:rsidR="00B628D1" w:rsidRPr="009A0936">
        <w:rPr>
          <w:rFonts w:ascii="Palatino Linotype" w:eastAsia="Palatino Linotype" w:hAnsi="Palatino Linotype" w:cs="Palatino Linotype"/>
          <w:b/>
          <w:sz w:val="24"/>
          <w:szCs w:val="24"/>
        </w:rPr>
        <w:t xml:space="preserve">tres de julio </w:t>
      </w:r>
      <w:r w:rsidR="00D7458B" w:rsidRPr="009A0936">
        <w:rPr>
          <w:rFonts w:ascii="Palatino Linotype" w:eastAsia="Palatino Linotype" w:hAnsi="Palatino Linotype" w:cs="Palatino Linotype"/>
          <w:b/>
          <w:sz w:val="24"/>
          <w:szCs w:val="24"/>
        </w:rPr>
        <w:t>de dos mil veintitrés</w:t>
      </w:r>
      <w:r w:rsidRPr="009A0936">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9A0936"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13B711E" w14:textId="31030BF1" w:rsidR="00B65B2E" w:rsidRPr="009A0936"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 xml:space="preserve">Informe Justificado. </w:t>
      </w:r>
      <w:r w:rsidR="00B65B2E" w:rsidRPr="009A0936">
        <w:rPr>
          <w:rFonts w:ascii="Palatino Linotype" w:eastAsia="Palatino Linotype" w:hAnsi="Palatino Linotype" w:cs="Palatino Linotype"/>
          <w:bCs/>
          <w:sz w:val="24"/>
          <w:szCs w:val="24"/>
        </w:rPr>
        <w:t xml:space="preserve">En fecha </w:t>
      </w:r>
      <w:r w:rsidR="00B628D1" w:rsidRPr="009A0936">
        <w:rPr>
          <w:rFonts w:ascii="Palatino Linotype" w:eastAsia="Palatino Linotype" w:hAnsi="Palatino Linotype" w:cs="Palatino Linotype"/>
          <w:b/>
          <w:bCs/>
          <w:sz w:val="24"/>
          <w:szCs w:val="24"/>
        </w:rPr>
        <w:t xml:space="preserve">trece de julio </w:t>
      </w:r>
      <w:r w:rsidR="00B65B2E" w:rsidRPr="009A0936">
        <w:rPr>
          <w:rFonts w:ascii="Palatino Linotype" w:eastAsia="Palatino Linotype" w:hAnsi="Palatino Linotype" w:cs="Palatino Linotype"/>
          <w:b/>
          <w:bCs/>
          <w:sz w:val="24"/>
          <w:szCs w:val="24"/>
        </w:rPr>
        <w:t xml:space="preserve">de dos mil veintitrés </w:t>
      </w:r>
      <w:r w:rsidR="00B65B2E" w:rsidRPr="009A0936">
        <w:rPr>
          <w:rFonts w:ascii="Palatino Linotype" w:eastAsia="Palatino Linotype" w:hAnsi="Palatino Linotype" w:cs="Palatino Linotype"/>
          <w:bCs/>
          <w:sz w:val="24"/>
          <w:szCs w:val="24"/>
        </w:rPr>
        <w:t xml:space="preserve">el </w:t>
      </w:r>
      <w:r w:rsidR="00B65B2E" w:rsidRPr="009A0936">
        <w:rPr>
          <w:rFonts w:ascii="Palatino Linotype" w:eastAsia="Palatino Linotype" w:hAnsi="Palatino Linotype" w:cs="Palatino Linotype"/>
          <w:b/>
          <w:bCs/>
          <w:sz w:val="24"/>
          <w:szCs w:val="24"/>
        </w:rPr>
        <w:t xml:space="preserve">SUJETO OBLIGADO </w:t>
      </w:r>
      <w:r w:rsidR="00B65B2E" w:rsidRPr="009A0936">
        <w:rPr>
          <w:rFonts w:ascii="Palatino Linotype" w:eastAsia="Palatino Linotype" w:hAnsi="Palatino Linotype" w:cs="Palatino Linotype"/>
          <w:bCs/>
          <w:sz w:val="24"/>
          <w:szCs w:val="24"/>
        </w:rPr>
        <w:t>rindió su informe justificado, al tenor de lo siguiente:</w:t>
      </w:r>
    </w:p>
    <w:p w14:paraId="58ADE2B9" w14:textId="77777777" w:rsidR="00B65B2E" w:rsidRPr="009A0936" w:rsidRDefault="00B65B2E" w:rsidP="00B65B2E">
      <w:pPr>
        <w:pBdr>
          <w:top w:val="nil"/>
          <w:left w:val="nil"/>
          <w:bottom w:val="nil"/>
          <w:right w:val="nil"/>
          <w:between w:val="nil"/>
        </w:pBdr>
        <w:spacing w:after="0" w:line="360" w:lineRule="auto"/>
        <w:ind w:right="49"/>
        <w:jc w:val="both"/>
        <w:rPr>
          <w:rFonts w:ascii="Palatino Linotype" w:eastAsia="Palatino Linotype" w:hAnsi="Palatino Linotype" w:cs="Palatino Linotype"/>
          <w:bCs/>
          <w:sz w:val="24"/>
          <w:szCs w:val="24"/>
        </w:rPr>
      </w:pPr>
    </w:p>
    <w:p w14:paraId="3156CA13" w14:textId="41CD6795" w:rsidR="002D6A54" w:rsidRPr="009A0936" w:rsidRDefault="00B628D1" w:rsidP="0052303E">
      <w:pPr>
        <w:pStyle w:val="Prrafodelista"/>
        <w:numPr>
          <w:ilvl w:val="0"/>
          <w:numId w:val="16"/>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9A0936">
        <w:rPr>
          <w:rFonts w:ascii="Palatino Linotype" w:eastAsia="Palatino Linotype" w:hAnsi="Palatino Linotype" w:cs="Palatino Linotype"/>
          <w:szCs w:val="24"/>
        </w:rPr>
        <w:t xml:space="preserve">Oficio de fecha trece de julio de dos mil veintitrés, signado por la Titular de la Unidad de Transparencia, mediante el cual confirma la respuesta inicial. </w:t>
      </w:r>
    </w:p>
    <w:p w14:paraId="111AFB1D" w14:textId="59710B3C" w:rsidR="0052303E" w:rsidRPr="009A0936" w:rsidRDefault="0052303E" w:rsidP="0052303E">
      <w:pPr>
        <w:pStyle w:val="Prrafodelista"/>
        <w:numPr>
          <w:ilvl w:val="0"/>
          <w:numId w:val="16"/>
        </w:num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9A0936">
        <w:rPr>
          <w:rFonts w:ascii="Palatino Linotype" w:eastAsia="Palatino Linotype" w:hAnsi="Palatino Linotype" w:cs="Palatino Linotype"/>
          <w:szCs w:val="24"/>
        </w:rPr>
        <w:t xml:space="preserve">Oficio </w:t>
      </w:r>
      <w:r w:rsidR="00B628D1" w:rsidRPr="009A0936">
        <w:rPr>
          <w:rFonts w:ascii="Palatino Linotype" w:eastAsia="Palatino Linotype" w:hAnsi="Palatino Linotype" w:cs="Palatino Linotype"/>
          <w:szCs w:val="24"/>
        </w:rPr>
        <w:t xml:space="preserve">de fecha diez de octubre de dos mil diecinueve, mediante el cual el Secretario de Contraloría designó al titular del Órgano Interno de Control del Instituto Hacendario del Estado de México. </w:t>
      </w:r>
      <w:r w:rsidR="005A3826" w:rsidRPr="009A0936">
        <w:rPr>
          <w:rFonts w:ascii="Palatino Linotype" w:eastAsia="Palatino Linotype" w:hAnsi="Palatino Linotype" w:cs="Palatino Linotype"/>
          <w:szCs w:val="24"/>
        </w:rPr>
        <w:t xml:space="preserve"> </w:t>
      </w:r>
    </w:p>
    <w:p w14:paraId="13B1EBBD" w14:textId="77777777" w:rsidR="00AC79ED" w:rsidRPr="009A0936" w:rsidRDefault="00AC79ED"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E96C408" w14:textId="77777777" w:rsidR="00B628D1" w:rsidRPr="009A0936" w:rsidRDefault="005A3826"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b/>
          <w:szCs w:val="24"/>
        </w:rPr>
      </w:pPr>
      <w:r w:rsidRPr="009A0936">
        <w:rPr>
          <w:rFonts w:ascii="Palatino Linotype" w:eastAsia="Palatino Linotype" w:hAnsi="Palatino Linotype" w:cs="Palatino Linotype"/>
          <w:szCs w:val="24"/>
        </w:rPr>
        <w:t xml:space="preserve">Documentos </w:t>
      </w:r>
      <w:r w:rsidR="00933869" w:rsidRPr="009A0936">
        <w:rPr>
          <w:rFonts w:ascii="Palatino Linotype" w:eastAsia="Palatino Linotype" w:hAnsi="Palatino Linotype" w:cs="Palatino Linotype"/>
          <w:szCs w:val="24"/>
        </w:rPr>
        <w:t xml:space="preserve">que se hicieron del conocimiento de la parte Recurrente </w:t>
      </w:r>
      <w:r w:rsidR="00B628D1" w:rsidRPr="009A0936">
        <w:rPr>
          <w:rFonts w:ascii="Palatino Linotype" w:eastAsia="Palatino Linotype" w:hAnsi="Palatino Linotype" w:cs="Palatino Linotype"/>
          <w:b/>
          <w:szCs w:val="24"/>
        </w:rPr>
        <w:t xml:space="preserve">el veintiuno de noviembre de dos mil veintitrés. </w:t>
      </w:r>
    </w:p>
    <w:p w14:paraId="4DF83406" w14:textId="68EB23BF" w:rsidR="005A3826" w:rsidRPr="009A0936"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9A0936">
        <w:rPr>
          <w:rFonts w:ascii="Palatino Linotype" w:eastAsia="Palatino Linotype" w:hAnsi="Palatino Linotype" w:cs="Palatino Linotype"/>
          <w:szCs w:val="24"/>
        </w:rPr>
        <w:t xml:space="preserve"> </w:t>
      </w:r>
    </w:p>
    <w:p w14:paraId="08F14BE3" w14:textId="18B50613" w:rsidR="00933869" w:rsidRPr="009A0936"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Cs w:val="24"/>
        </w:rPr>
      </w:pPr>
      <w:r w:rsidRPr="009A0936">
        <w:rPr>
          <w:rFonts w:ascii="Palatino Linotype" w:eastAsia="Palatino Linotype" w:hAnsi="Palatino Linotype" w:cs="Palatino Linotype"/>
          <w:szCs w:val="24"/>
        </w:rPr>
        <w:t xml:space="preserve">La parte Recurrente no realizó manifestaciones. </w:t>
      </w:r>
    </w:p>
    <w:p w14:paraId="6C47C748" w14:textId="77777777" w:rsidR="00933869" w:rsidRPr="009A0936" w:rsidRDefault="00933869" w:rsidP="00AC79E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348BE4" w14:textId="64C10B59" w:rsidR="00933869" w:rsidRPr="009A0936" w:rsidRDefault="00646B44" w:rsidP="00B2231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Ampliación de plazo:</w:t>
      </w:r>
      <w:r w:rsidRPr="009A0936">
        <w:rPr>
          <w:rFonts w:ascii="Palatino Linotype" w:eastAsia="Palatino Linotype" w:hAnsi="Palatino Linotype" w:cs="Palatino Linotype"/>
          <w:sz w:val="24"/>
          <w:szCs w:val="24"/>
        </w:rPr>
        <w:t xml:space="preserve"> </w:t>
      </w:r>
      <w:r w:rsidR="00933869" w:rsidRPr="009A0936">
        <w:rPr>
          <w:rFonts w:ascii="Palatino Linotype" w:eastAsia="Palatino Linotype" w:hAnsi="Palatino Linotype" w:cs="Palatino Linotype"/>
          <w:sz w:val="24"/>
          <w:szCs w:val="24"/>
        </w:rPr>
        <w:t xml:space="preserve">En fecha </w:t>
      </w:r>
      <w:r w:rsidR="00B628D1" w:rsidRPr="009A0936">
        <w:rPr>
          <w:rFonts w:ascii="Palatino Linotype" w:eastAsia="Palatino Linotype" w:hAnsi="Palatino Linotype" w:cs="Palatino Linotype"/>
          <w:b/>
          <w:sz w:val="24"/>
          <w:szCs w:val="24"/>
        </w:rPr>
        <w:t>diecisiete de octubre</w:t>
      </w:r>
      <w:r w:rsidR="00933869" w:rsidRPr="009A0936">
        <w:rPr>
          <w:rFonts w:ascii="Palatino Linotype" w:eastAsia="Palatino Linotype" w:hAnsi="Palatino Linotype" w:cs="Palatino Linotype"/>
          <w:b/>
          <w:sz w:val="24"/>
          <w:szCs w:val="24"/>
        </w:rPr>
        <w:t xml:space="preserve"> de dos mil veintitrés</w:t>
      </w:r>
      <w:r w:rsidR="00933869" w:rsidRPr="009A0936">
        <w:rPr>
          <w:rFonts w:ascii="Palatino Linotype" w:eastAsia="Palatino Linotype" w:hAnsi="Palatino Linotype" w:cs="Palatino Linotype"/>
          <w:sz w:val="24"/>
          <w:szCs w:val="24"/>
        </w:rPr>
        <w:t>, con fundamento en el artículo 181, párrafo tercero de la Ley de Transparencia y Acceso a la Información Pública del Estado de México y Municipios, se acordó la ampliación del plazo para su resolución.</w:t>
      </w:r>
    </w:p>
    <w:p w14:paraId="21E796B3" w14:textId="77777777"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C8D27F2"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5E423D5D" w14:textId="77777777"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E38F972"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5AC64A07" w14:textId="77777777"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12D08E"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459D51E7" w14:textId="6024B3AC"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5BDB9E" w14:textId="77777777" w:rsidR="00933869" w:rsidRPr="009A0936" w:rsidRDefault="00933869" w:rsidP="00933869">
      <w:pPr>
        <w:spacing w:after="0" w:line="360" w:lineRule="auto"/>
        <w:jc w:val="both"/>
        <w:rPr>
          <w:rFonts w:ascii="Palatino Linotype" w:eastAsia="Palatino Linotype" w:hAnsi="Palatino Linotype" w:cs="Palatino Linotype"/>
          <w:strike/>
          <w:sz w:val="24"/>
        </w:rPr>
      </w:pPr>
      <w:r w:rsidRPr="009A0936">
        <w:rPr>
          <w:rFonts w:ascii="Palatino Linotype" w:eastAsia="Palatino Linotype" w:hAnsi="Palatino Linotype" w:cs="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420507ED"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560DEC88" w14:textId="77777777" w:rsidR="00933869" w:rsidRPr="009A0936" w:rsidRDefault="00933869" w:rsidP="00933869">
      <w:pPr>
        <w:numPr>
          <w:ilvl w:val="0"/>
          <w:numId w:val="18"/>
        </w:numPr>
        <w:spacing w:after="0" w:line="360" w:lineRule="auto"/>
        <w:jc w:val="both"/>
        <w:rPr>
          <w:rFonts w:ascii="Palatino Linotype" w:eastAsia="Palatino Linotype" w:hAnsi="Palatino Linotype" w:cs="Palatino Linotype"/>
        </w:rPr>
      </w:pPr>
      <w:r w:rsidRPr="009A0936">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6F380AA6" w14:textId="77777777" w:rsidR="00933869" w:rsidRPr="009A0936" w:rsidRDefault="00933869" w:rsidP="00933869">
      <w:pPr>
        <w:numPr>
          <w:ilvl w:val="0"/>
          <w:numId w:val="18"/>
        </w:numPr>
        <w:spacing w:after="0" w:line="360" w:lineRule="auto"/>
        <w:jc w:val="both"/>
        <w:rPr>
          <w:rFonts w:ascii="Palatino Linotype" w:eastAsia="Palatino Linotype" w:hAnsi="Palatino Linotype" w:cs="Palatino Linotype"/>
        </w:rPr>
      </w:pPr>
      <w:r w:rsidRPr="009A0936">
        <w:rPr>
          <w:rFonts w:ascii="Palatino Linotype" w:eastAsia="Palatino Linotype" w:hAnsi="Palatino Linotype" w:cs="Palatino Linotype"/>
        </w:rPr>
        <w:t>Actividad Procesal del interesado. Acciones u omisiones del interesado.</w:t>
      </w:r>
    </w:p>
    <w:p w14:paraId="53FD7C10" w14:textId="77777777" w:rsidR="00933869" w:rsidRPr="009A0936" w:rsidRDefault="00933869" w:rsidP="00933869">
      <w:pPr>
        <w:numPr>
          <w:ilvl w:val="0"/>
          <w:numId w:val="18"/>
        </w:numPr>
        <w:spacing w:after="0" w:line="360" w:lineRule="auto"/>
        <w:jc w:val="both"/>
        <w:rPr>
          <w:rFonts w:ascii="Palatino Linotype" w:eastAsia="Palatino Linotype" w:hAnsi="Palatino Linotype" w:cs="Palatino Linotype"/>
        </w:rPr>
      </w:pPr>
      <w:r w:rsidRPr="009A0936">
        <w:rPr>
          <w:rFonts w:ascii="Palatino Linotype" w:eastAsia="Palatino Linotype" w:hAnsi="Palatino Linotype" w:cs="Palatino Linotype"/>
        </w:rPr>
        <w:t>Conducta de la Autoridad: Las Acciones u omisiones realizadas en el procedimiento. Así como si la autoridad actuó con la debida diligencia.</w:t>
      </w:r>
    </w:p>
    <w:p w14:paraId="3E8D5219" w14:textId="77777777" w:rsidR="00933869" w:rsidRPr="009A0936" w:rsidRDefault="00933869" w:rsidP="00933869">
      <w:pPr>
        <w:numPr>
          <w:ilvl w:val="0"/>
          <w:numId w:val="18"/>
        </w:numPr>
        <w:spacing w:after="0" w:line="360" w:lineRule="auto"/>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E934C38"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03DFD099" w14:textId="77777777"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521F4D"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2E961C91" w14:textId="7B0DA513" w:rsidR="00933869" w:rsidRPr="009A0936" w:rsidRDefault="00933869" w:rsidP="00933869">
      <w:pPr>
        <w:spacing w:after="0" w:line="360" w:lineRule="auto"/>
        <w:jc w:val="both"/>
        <w:rPr>
          <w:rFonts w:ascii="Palatino Linotype" w:eastAsia="Palatino Linotype" w:hAnsi="Palatino Linotype" w:cs="Palatino Linotype"/>
          <w:b/>
          <w:sz w:val="24"/>
        </w:rPr>
      </w:pPr>
      <w:r w:rsidRPr="009A0936">
        <w:rPr>
          <w:rFonts w:ascii="Palatino Linotype" w:eastAsia="Palatino Linotype" w:hAnsi="Palatino Linotype" w:cs="Palatino Linotype"/>
          <w:sz w:val="24"/>
        </w:rPr>
        <w:t>Argumento que encuentra sustento en la jurisprudencia P</w:t>
      </w:r>
      <w:proofErr w:type="gramStart"/>
      <w:r w:rsidRPr="009A0936">
        <w:rPr>
          <w:rFonts w:ascii="Palatino Linotype" w:eastAsia="Palatino Linotype" w:hAnsi="Palatino Linotype" w:cs="Palatino Linotype"/>
          <w:sz w:val="24"/>
        </w:rPr>
        <w:t>./</w:t>
      </w:r>
      <w:proofErr w:type="gramEnd"/>
      <w:r w:rsidRPr="009A0936">
        <w:rPr>
          <w:rFonts w:ascii="Palatino Linotype" w:eastAsia="Palatino Linotype" w:hAnsi="Palatino Linotype" w:cs="Palatino Linotype"/>
          <w:sz w:val="24"/>
        </w:rPr>
        <w:t xml:space="preserve">J. 32/92 emitida por el Pleno de la Suprema Corte de Justicia de la Nación de rubro </w:t>
      </w:r>
      <w:r w:rsidRPr="009A0936">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9A0936">
        <w:rPr>
          <w:rFonts w:ascii="Palatino Linotype" w:eastAsia="Palatino Linotype" w:hAnsi="Palatino Linotype" w:cs="Palatino Linotype"/>
          <w:sz w:val="24"/>
        </w:rPr>
        <w:t>, visible en la Gaceta del Seminario Judicial de la Federación con el registro digital 205635.</w:t>
      </w:r>
    </w:p>
    <w:p w14:paraId="4FD2A8D6" w14:textId="77777777"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FA4027E" w14:textId="77777777" w:rsidR="00933869" w:rsidRPr="009A0936" w:rsidRDefault="00933869" w:rsidP="00933869">
      <w:pPr>
        <w:spacing w:after="0" w:line="360" w:lineRule="auto"/>
        <w:jc w:val="both"/>
        <w:rPr>
          <w:rFonts w:ascii="Palatino Linotype" w:eastAsia="Palatino Linotype" w:hAnsi="Palatino Linotype" w:cs="Palatino Linotype"/>
          <w:sz w:val="24"/>
        </w:rPr>
      </w:pPr>
    </w:p>
    <w:p w14:paraId="564B1E1A" w14:textId="4BC2A56A"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5582B0B4" w14:textId="77777777" w:rsidR="003A0D42" w:rsidRPr="009A0936" w:rsidRDefault="003A0D42" w:rsidP="00933869">
      <w:pPr>
        <w:spacing w:after="0" w:line="360" w:lineRule="auto"/>
        <w:jc w:val="both"/>
        <w:rPr>
          <w:rFonts w:ascii="Palatino Linotype" w:eastAsia="Palatino Linotype" w:hAnsi="Palatino Linotype" w:cs="Palatino Linotype"/>
          <w:sz w:val="24"/>
        </w:rPr>
      </w:pPr>
    </w:p>
    <w:p w14:paraId="1ACEBDDD" w14:textId="77777777" w:rsidR="00933869" w:rsidRPr="009A0936" w:rsidRDefault="00933869" w:rsidP="00933869">
      <w:pPr>
        <w:spacing w:after="0" w:line="360" w:lineRule="auto"/>
        <w:ind w:left="567" w:right="616"/>
        <w:jc w:val="both"/>
        <w:rPr>
          <w:rFonts w:ascii="Palatino Linotype" w:eastAsia="Palatino Linotype" w:hAnsi="Palatino Linotype" w:cs="Palatino Linotype"/>
        </w:rPr>
      </w:pPr>
      <w:r w:rsidRPr="009A0936">
        <w:rPr>
          <w:rFonts w:ascii="Palatino Linotype" w:eastAsia="Palatino Linotype" w:hAnsi="Palatino Linotype" w:cs="Palatino Linotype"/>
          <w:b/>
        </w:rPr>
        <w:t xml:space="preserve"> </w:t>
      </w:r>
      <w:r w:rsidRPr="009A0936">
        <w:rPr>
          <w:rFonts w:ascii="Palatino Linotype" w:eastAsia="Palatino Linotype" w:hAnsi="Palatino Linotype" w:cs="Palatino Linotype"/>
          <w:b/>
          <w:i/>
        </w:rPr>
        <w:t>“PLAZO RAZONABLE PARA RESOLVER. DIMENSIÓN Y EFECTOS DE ESTE CONCEPTO CUANDO SE ADUCE EXCESIVA CARGA DE TRABAJO.”</w:t>
      </w:r>
      <w:r w:rsidRPr="009A0936">
        <w:rPr>
          <w:rFonts w:ascii="Palatino Linotype" w:eastAsia="Palatino Linotype" w:hAnsi="Palatino Linotype" w:cs="Palatino Linotype"/>
        </w:rPr>
        <w:t xml:space="preserve"> consultable en el Seminario Judicial de la Federación y su gaceta, con el registro digital 2002351.</w:t>
      </w:r>
    </w:p>
    <w:p w14:paraId="085688C7" w14:textId="77777777" w:rsidR="00933869" w:rsidRPr="009A0936" w:rsidRDefault="00933869" w:rsidP="00933869">
      <w:pPr>
        <w:spacing w:after="0" w:line="360" w:lineRule="auto"/>
        <w:ind w:left="567" w:right="616"/>
        <w:jc w:val="both"/>
        <w:rPr>
          <w:rFonts w:ascii="Palatino Linotype" w:eastAsia="Palatino Linotype" w:hAnsi="Palatino Linotype" w:cs="Palatino Linotype"/>
          <w:b/>
        </w:rPr>
      </w:pPr>
    </w:p>
    <w:p w14:paraId="2E494089" w14:textId="11C1CB53" w:rsidR="00933869" w:rsidRPr="009A0936" w:rsidRDefault="00933869" w:rsidP="003A0D42">
      <w:pPr>
        <w:spacing w:after="0" w:line="360" w:lineRule="auto"/>
        <w:ind w:left="567" w:right="616"/>
        <w:jc w:val="both"/>
        <w:rPr>
          <w:rFonts w:ascii="Palatino Linotype" w:eastAsia="Palatino Linotype" w:hAnsi="Palatino Linotype" w:cs="Palatino Linotype"/>
        </w:rPr>
      </w:pPr>
      <w:r w:rsidRPr="009A0936">
        <w:rPr>
          <w:rFonts w:ascii="Palatino Linotype" w:eastAsia="Palatino Linotype" w:hAnsi="Palatino Linotype" w:cs="Palatino Linotype"/>
          <w:b/>
          <w:i/>
        </w:rPr>
        <w:t>“PLAZO RAZONABLE PARA RESOLVER. CONCEPTO Y ELEMENTOS QUE LO INTEGRAN A LA LUZ DEL DERECHO INTERNACIONAL DE LOS DERECHOS HUMANOS</w:t>
      </w:r>
      <w:r w:rsidRPr="009A0936">
        <w:rPr>
          <w:rFonts w:ascii="Palatino Linotype" w:eastAsia="Palatino Linotype" w:hAnsi="Palatino Linotype" w:cs="Palatino Linotype"/>
          <w:i/>
        </w:rPr>
        <w:t>.”</w:t>
      </w:r>
      <w:r w:rsidRPr="009A0936">
        <w:rPr>
          <w:rFonts w:ascii="Palatino Linotype" w:eastAsia="Palatino Linotype" w:hAnsi="Palatino Linotype" w:cs="Palatino Linotype"/>
        </w:rPr>
        <w:t>, visible en el Seminario Judicial de la Federación y su gaceta, con el registro digital 2002350.</w:t>
      </w:r>
    </w:p>
    <w:p w14:paraId="7F5EBC64" w14:textId="0550C2A1" w:rsidR="00933869" w:rsidRPr="009A0936" w:rsidRDefault="00933869" w:rsidP="00933869">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5B61B20B" w14:textId="77777777" w:rsidR="005A3826" w:rsidRPr="009A0936" w:rsidRDefault="005A3826" w:rsidP="005A3826">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55385642" w14:textId="37BF8D33" w:rsidR="0003629B" w:rsidRPr="009A0936"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Cierre de instrucción</w:t>
      </w:r>
      <w:r w:rsidRPr="009A0936">
        <w:rPr>
          <w:rFonts w:ascii="Palatino Linotype" w:eastAsia="Palatino Linotype" w:hAnsi="Palatino Linotype" w:cs="Palatino Linotype"/>
          <w:sz w:val="24"/>
          <w:szCs w:val="24"/>
        </w:rPr>
        <w:t xml:space="preserve">. En fecha </w:t>
      </w:r>
      <w:r w:rsidR="00FC7D76" w:rsidRPr="009A0936">
        <w:rPr>
          <w:rFonts w:ascii="Palatino Linotype" w:eastAsia="Palatino Linotype" w:hAnsi="Palatino Linotype" w:cs="Palatino Linotype"/>
          <w:b/>
          <w:bCs/>
          <w:sz w:val="24"/>
          <w:szCs w:val="24"/>
        </w:rPr>
        <w:t>veintiocho</w:t>
      </w:r>
      <w:r w:rsidR="00933869" w:rsidRPr="009A0936">
        <w:rPr>
          <w:rFonts w:ascii="Palatino Linotype" w:eastAsia="Palatino Linotype" w:hAnsi="Palatino Linotype" w:cs="Palatino Linotype"/>
          <w:b/>
          <w:sz w:val="24"/>
          <w:szCs w:val="24"/>
        </w:rPr>
        <w:t xml:space="preserve"> de noviembre</w:t>
      </w:r>
      <w:r w:rsidRPr="009A0936">
        <w:rPr>
          <w:rFonts w:ascii="Palatino Linotype" w:eastAsia="Palatino Linotype" w:hAnsi="Palatino Linotype" w:cs="Palatino Linotype"/>
          <w:b/>
          <w:sz w:val="24"/>
          <w:szCs w:val="24"/>
        </w:rPr>
        <w:t xml:space="preserve"> de dos mil veintitrés</w:t>
      </w:r>
      <w:r w:rsidRPr="009A0936">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0707E712" w14:textId="77777777" w:rsidR="0003629B" w:rsidRPr="009A0936"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F263D8" w14:textId="78D02D37" w:rsidR="00F22AE1"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454A05D4" w14:textId="77777777" w:rsidR="00933869" w:rsidRPr="009A0936" w:rsidRDefault="00933869">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9A0936" w:rsidRDefault="00646B44">
      <w:pPr>
        <w:spacing w:after="0" w:line="360" w:lineRule="auto"/>
        <w:ind w:right="49"/>
        <w:jc w:val="center"/>
        <w:rPr>
          <w:rFonts w:ascii="Palatino Linotype" w:eastAsia="Palatino Linotype" w:hAnsi="Palatino Linotype" w:cs="Palatino Linotype"/>
          <w:b/>
          <w:sz w:val="24"/>
          <w:szCs w:val="24"/>
        </w:rPr>
      </w:pPr>
      <w:r w:rsidRPr="009A0936">
        <w:rPr>
          <w:rFonts w:ascii="Palatino Linotype" w:eastAsia="Palatino Linotype" w:hAnsi="Palatino Linotype" w:cs="Palatino Linotype"/>
          <w:b/>
          <w:sz w:val="24"/>
          <w:szCs w:val="24"/>
        </w:rPr>
        <w:t>II.</w:t>
      </w:r>
      <w:r w:rsidRPr="009A0936">
        <w:rPr>
          <w:rFonts w:ascii="Palatino Linotype" w:eastAsia="Palatino Linotype" w:hAnsi="Palatino Linotype" w:cs="Palatino Linotype"/>
          <w:b/>
          <w:sz w:val="24"/>
          <w:szCs w:val="24"/>
        </w:rPr>
        <w:tab/>
        <w:t>C O N S I D E R A N D O:</w:t>
      </w:r>
    </w:p>
    <w:p w14:paraId="3619A913"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7101887F" w14:textId="06F6747B" w:rsidR="00933869" w:rsidRPr="009A0936" w:rsidRDefault="00D7458B" w:rsidP="00D7458B">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b/>
          <w:sz w:val="24"/>
        </w:rPr>
        <w:t xml:space="preserve">Primero. Competencia. </w:t>
      </w:r>
      <w:r w:rsidR="00933869" w:rsidRPr="009A0936">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CF613E"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 xml:space="preserve">Segundo. Oportunidad y </w:t>
      </w:r>
      <w:proofErr w:type="spellStart"/>
      <w:r w:rsidRPr="009A0936">
        <w:rPr>
          <w:rFonts w:ascii="Palatino Linotype" w:eastAsia="Palatino Linotype" w:hAnsi="Palatino Linotype" w:cs="Palatino Linotype"/>
          <w:b/>
          <w:sz w:val="24"/>
          <w:szCs w:val="24"/>
        </w:rPr>
        <w:t>Procedibilidad</w:t>
      </w:r>
      <w:proofErr w:type="spellEnd"/>
      <w:r w:rsidRPr="009A0936">
        <w:rPr>
          <w:rFonts w:ascii="Palatino Linotype" w:eastAsia="Palatino Linotype" w:hAnsi="Palatino Linotype" w:cs="Palatino Linotype"/>
          <w:b/>
          <w:sz w:val="24"/>
          <w:szCs w:val="24"/>
        </w:rPr>
        <w:t xml:space="preserve"> del Recurso de Revisión.</w:t>
      </w:r>
      <w:r w:rsidRPr="009A0936">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9A0936">
        <w:rPr>
          <w:rFonts w:ascii="Palatino Linotype" w:eastAsia="Palatino Linotype" w:hAnsi="Palatino Linotype" w:cs="Palatino Linotype"/>
          <w:sz w:val="24"/>
          <w:szCs w:val="24"/>
        </w:rPr>
        <w:t>procedibilidad</w:t>
      </w:r>
      <w:proofErr w:type="spellEnd"/>
      <w:r w:rsidRPr="009A0936">
        <w:rPr>
          <w:rFonts w:ascii="Palatino Linotype" w:eastAsia="Palatino Linotype" w:hAnsi="Palatino Linotype" w:cs="Palatino Linotype"/>
          <w:sz w:val="24"/>
          <w:szCs w:val="24"/>
        </w:rPr>
        <w:t xml:space="preserve"> que deben reunir el recurso de revisión interpuesto, previstos en los artículos 178 y 180 de la Ley de Transparencia y Acceso a la Información Pública del Estado de México y Municipios. </w:t>
      </w:r>
    </w:p>
    <w:p w14:paraId="3B2D671F"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0C0D0E0E" w14:textId="31D9E89E" w:rsidR="00933869"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 xml:space="preserve"> remitió la respuesta a</w:t>
      </w:r>
      <w:r w:rsidR="00864D69" w:rsidRPr="009A0936">
        <w:rPr>
          <w:rFonts w:ascii="Palatino Linotype" w:eastAsia="Palatino Linotype" w:hAnsi="Palatino Linotype" w:cs="Palatino Linotype"/>
          <w:sz w:val="24"/>
          <w:szCs w:val="24"/>
        </w:rPr>
        <w:t xml:space="preserve"> la solicitud de información el </w:t>
      </w:r>
      <w:r w:rsidR="00864D69" w:rsidRPr="009A0936">
        <w:rPr>
          <w:rFonts w:ascii="Palatino Linotype" w:eastAsia="Palatino Linotype" w:hAnsi="Palatino Linotype" w:cs="Palatino Linotype"/>
          <w:b/>
          <w:sz w:val="24"/>
          <w:szCs w:val="24"/>
        </w:rPr>
        <w:t>veintisiete de junio</w:t>
      </w:r>
      <w:r w:rsidR="00D7458B" w:rsidRPr="009A0936">
        <w:rPr>
          <w:rFonts w:ascii="Palatino Linotype" w:eastAsia="Palatino Linotype" w:hAnsi="Palatino Linotype" w:cs="Palatino Linotype"/>
          <w:b/>
          <w:sz w:val="24"/>
          <w:szCs w:val="24"/>
        </w:rPr>
        <w:t xml:space="preserve"> de dos mil veintitrés</w:t>
      </w:r>
      <w:r w:rsidRPr="009A0936">
        <w:rPr>
          <w:rFonts w:ascii="Palatino Linotype" w:eastAsia="Palatino Linotype" w:hAnsi="Palatino Linotype" w:cs="Palatino Linotype"/>
          <w:sz w:val="24"/>
          <w:szCs w:val="24"/>
        </w:rPr>
        <w:t xml:space="preserve">, mientras que el recurso de revisión interpuesto por la parte </w:t>
      </w:r>
      <w:r w:rsidRPr="009A0936">
        <w:rPr>
          <w:rFonts w:ascii="Palatino Linotype" w:eastAsia="Palatino Linotype" w:hAnsi="Palatino Linotype" w:cs="Palatino Linotype"/>
          <w:b/>
          <w:sz w:val="24"/>
          <w:szCs w:val="24"/>
        </w:rPr>
        <w:t xml:space="preserve">RECURRENTE </w:t>
      </w:r>
      <w:r w:rsidRPr="009A0936">
        <w:rPr>
          <w:rFonts w:ascii="Palatino Linotype" w:eastAsia="Palatino Linotype" w:hAnsi="Palatino Linotype" w:cs="Palatino Linotype"/>
          <w:sz w:val="24"/>
          <w:szCs w:val="24"/>
        </w:rPr>
        <w:t xml:space="preserve">se tuvo por presentado </w:t>
      </w:r>
      <w:r w:rsidR="002E22B0" w:rsidRPr="009A0936">
        <w:rPr>
          <w:rFonts w:ascii="Palatino Linotype" w:eastAsia="Palatino Linotype" w:hAnsi="Palatino Linotype" w:cs="Palatino Linotype"/>
          <w:sz w:val="24"/>
          <w:szCs w:val="24"/>
        </w:rPr>
        <w:t xml:space="preserve">al día hábil siguiente en que se tuvo conocimiento de la respuesta. </w:t>
      </w:r>
    </w:p>
    <w:p w14:paraId="57F0A066" w14:textId="77777777" w:rsidR="00933869" w:rsidRPr="009A0936" w:rsidRDefault="00933869">
      <w:pPr>
        <w:spacing w:after="0" w:line="360" w:lineRule="auto"/>
        <w:ind w:right="49"/>
        <w:jc w:val="both"/>
        <w:rPr>
          <w:rFonts w:ascii="Palatino Linotype" w:eastAsia="Palatino Linotype" w:hAnsi="Palatino Linotype" w:cs="Palatino Linotype"/>
          <w:sz w:val="24"/>
          <w:szCs w:val="24"/>
        </w:rPr>
      </w:pPr>
    </w:p>
    <w:p w14:paraId="5FDF933B" w14:textId="0FBDC9D9" w:rsidR="00DB71F7"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52A1F223" w14:textId="77777777" w:rsidR="003A0D42" w:rsidRPr="009A0936" w:rsidRDefault="003A0D42">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9A0936">
        <w:rPr>
          <w:rFonts w:ascii="Palatino Linotype" w:eastAsia="Palatino Linotype" w:hAnsi="Palatino Linotype" w:cs="Palatino Linotype"/>
          <w:b/>
          <w:sz w:val="24"/>
          <w:szCs w:val="24"/>
        </w:rPr>
        <w:t>SAIMEX</w:t>
      </w:r>
      <w:r w:rsidRPr="009A0936">
        <w:rPr>
          <w:rFonts w:ascii="Palatino Linotype" w:eastAsia="Palatino Linotype" w:hAnsi="Palatino Linotype" w:cs="Palatino Linotype"/>
          <w:sz w:val="24"/>
          <w:szCs w:val="24"/>
        </w:rPr>
        <w:t xml:space="preserve">.  </w:t>
      </w:r>
    </w:p>
    <w:p w14:paraId="16274CBC" w14:textId="77777777" w:rsidR="00895D56" w:rsidRPr="009A0936" w:rsidRDefault="00895D56">
      <w:pPr>
        <w:spacing w:after="0" w:line="360" w:lineRule="auto"/>
        <w:ind w:right="49"/>
        <w:jc w:val="both"/>
        <w:rPr>
          <w:rFonts w:ascii="Palatino Linotype" w:eastAsia="Palatino Linotype" w:hAnsi="Palatino Linotype" w:cs="Palatino Linotype"/>
          <w:sz w:val="24"/>
          <w:szCs w:val="24"/>
        </w:rPr>
      </w:pPr>
    </w:p>
    <w:p w14:paraId="5FB90515" w14:textId="214EF9A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Finalmente, resulta procedente la interposición del recurso de revisión al rubro ano</w:t>
      </w:r>
      <w:r w:rsidR="00DB71F7" w:rsidRPr="009A0936">
        <w:rPr>
          <w:rFonts w:ascii="Palatino Linotype" w:eastAsia="Palatino Linotype" w:hAnsi="Palatino Linotype" w:cs="Palatino Linotype"/>
          <w:sz w:val="24"/>
          <w:szCs w:val="24"/>
        </w:rPr>
        <w:t>tado, toda vez que se actualiza</w:t>
      </w:r>
      <w:r w:rsidRPr="009A0936">
        <w:rPr>
          <w:rFonts w:ascii="Palatino Linotype" w:eastAsia="Palatino Linotype" w:hAnsi="Palatino Linotype" w:cs="Palatino Linotype"/>
          <w:sz w:val="24"/>
          <w:szCs w:val="24"/>
        </w:rPr>
        <w:t xml:space="preserve"> la h</w:t>
      </w:r>
      <w:r w:rsidR="00DB71F7" w:rsidRPr="009A0936">
        <w:rPr>
          <w:rFonts w:ascii="Palatino Linotype" w:eastAsia="Palatino Linotype" w:hAnsi="Palatino Linotype" w:cs="Palatino Linotype"/>
          <w:sz w:val="24"/>
          <w:szCs w:val="24"/>
        </w:rPr>
        <w:t>ipótesis de procedencia prevista</w:t>
      </w:r>
      <w:r w:rsidRPr="009A0936">
        <w:rPr>
          <w:rFonts w:ascii="Palatino Linotype" w:eastAsia="Palatino Linotype" w:hAnsi="Palatino Linotype" w:cs="Palatino Linotype"/>
          <w:sz w:val="24"/>
          <w:szCs w:val="24"/>
        </w:rPr>
        <w:t xml:space="preserve"> en e</w:t>
      </w:r>
      <w:r w:rsidR="00DB71F7" w:rsidRPr="009A0936">
        <w:rPr>
          <w:rFonts w:ascii="Palatino Linotype" w:eastAsia="Palatino Linotype" w:hAnsi="Palatino Linotype" w:cs="Palatino Linotype"/>
          <w:sz w:val="24"/>
          <w:szCs w:val="24"/>
        </w:rPr>
        <w:t xml:space="preserve">l artículo 179, fracción </w:t>
      </w:r>
      <w:r w:rsidR="002E22B0" w:rsidRPr="009A0936">
        <w:rPr>
          <w:rFonts w:ascii="Palatino Linotype" w:eastAsia="Palatino Linotype" w:hAnsi="Palatino Linotype" w:cs="Palatino Linotype"/>
          <w:sz w:val="24"/>
          <w:szCs w:val="24"/>
        </w:rPr>
        <w:t>I</w:t>
      </w:r>
      <w:r w:rsidR="003A0D42" w:rsidRPr="009A0936">
        <w:rPr>
          <w:rFonts w:ascii="Palatino Linotype" w:eastAsia="Palatino Linotype" w:hAnsi="Palatino Linotype" w:cs="Palatino Linotype"/>
          <w:sz w:val="24"/>
          <w:szCs w:val="24"/>
        </w:rPr>
        <w:t>V</w:t>
      </w:r>
      <w:r w:rsidR="007D19E9" w:rsidRPr="009A0936">
        <w:rPr>
          <w:rFonts w:ascii="Palatino Linotype" w:eastAsia="Palatino Linotype" w:hAnsi="Palatino Linotype" w:cs="Palatino Linotype"/>
          <w:sz w:val="24"/>
          <w:szCs w:val="24"/>
        </w:rPr>
        <w:t xml:space="preserve"> </w:t>
      </w:r>
      <w:r w:rsidRPr="009A0936">
        <w:rPr>
          <w:rFonts w:ascii="Palatino Linotype" w:eastAsia="Palatino Linotype" w:hAnsi="Palatino Linotype" w:cs="Palatino Linotype"/>
          <w:sz w:val="24"/>
          <w:szCs w:val="24"/>
        </w:rPr>
        <w:t>de la Ley de la materia, que a la letra dice:</w:t>
      </w:r>
    </w:p>
    <w:p w14:paraId="5804E43F"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Artículo 179.</w:t>
      </w:r>
      <w:r w:rsidRPr="009A093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4D00E215" w14:textId="2B4C7A10" w:rsidR="00F8557D" w:rsidRPr="009A0936" w:rsidRDefault="003A0D42" w:rsidP="007D19E9">
      <w:pPr>
        <w:spacing w:after="0" w:line="276" w:lineRule="auto"/>
        <w:ind w:left="567" w:right="560"/>
        <w:jc w:val="both"/>
        <w:rPr>
          <w:rFonts w:ascii="Palatino Linotype" w:eastAsia="Palatino Linotype" w:hAnsi="Palatino Linotype" w:cs="Palatino Linotype"/>
          <w:i/>
        </w:rPr>
      </w:pPr>
      <w:r w:rsidRPr="009A0936">
        <w:rPr>
          <w:rFonts w:ascii="Palatino Linotype" w:hAnsi="Palatino Linotype"/>
          <w:i/>
          <w:iCs/>
        </w:rPr>
        <w:t>IV. La declaración de incompetencia por el sujeto obligado</w:t>
      </w:r>
      <w:r w:rsidR="007D19E9" w:rsidRPr="009A0936">
        <w:rPr>
          <w:rFonts w:ascii="Palatino Linotype" w:hAnsi="Palatino Linotype"/>
          <w:i/>
          <w:iCs/>
        </w:rPr>
        <w:t>;</w:t>
      </w:r>
      <w:r w:rsidR="00D7458B" w:rsidRPr="009A0936">
        <w:rPr>
          <w:rFonts w:ascii="Palatino Linotype" w:eastAsia="Palatino Linotype" w:hAnsi="Palatino Linotype" w:cs="Palatino Linotype"/>
          <w:i/>
        </w:rPr>
        <w:t xml:space="preserve"> </w:t>
      </w:r>
    </w:p>
    <w:p w14:paraId="7EF53224" w14:textId="77777777" w:rsidR="002E22B0" w:rsidRPr="009A0936" w:rsidRDefault="002E22B0" w:rsidP="007D19E9">
      <w:pPr>
        <w:spacing w:after="0" w:line="276" w:lineRule="auto"/>
        <w:ind w:left="567" w:right="560"/>
        <w:jc w:val="both"/>
        <w:rPr>
          <w:rFonts w:ascii="Palatino Linotype" w:hAnsi="Palatino Linotype"/>
          <w:i/>
          <w:iCs/>
        </w:rPr>
      </w:pPr>
    </w:p>
    <w:p w14:paraId="35EE1366" w14:textId="2EA31FC8"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Tercero. Materia de la revisión</w:t>
      </w:r>
      <w:r w:rsidRPr="009A0936">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9A0936">
        <w:rPr>
          <w:rFonts w:ascii="Palatino Linotype" w:eastAsia="Palatino Linotype" w:hAnsi="Palatino Linotype" w:cs="Palatino Linotype"/>
          <w:sz w:val="24"/>
          <w:szCs w:val="24"/>
        </w:rPr>
        <w:t xml:space="preserve"> en determinar, si se actualiza la hipótesis prevista en la fracción</w:t>
      </w:r>
      <w:r w:rsidRPr="009A0936">
        <w:rPr>
          <w:rFonts w:ascii="Palatino Linotype" w:eastAsia="Palatino Linotype" w:hAnsi="Palatino Linotype" w:cs="Palatino Linotype"/>
          <w:sz w:val="24"/>
          <w:szCs w:val="24"/>
        </w:rPr>
        <w:t xml:space="preserve"> </w:t>
      </w:r>
      <w:r w:rsidR="003A0D42" w:rsidRPr="009A0936">
        <w:rPr>
          <w:rFonts w:ascii="Palatino Linotype" w:eastAsia="Palatino Linotype" w:hAnsi="Palatino Linotype" w:cs="Palatino Linotype"/>
          <w:sz w:val="24"/>
          <w:szCs w:val="24"/>
        </w:rPr>
        <w:t>IV</w:t>
      </w:r>
      <w:r w:rsidR="00933869" w:rsidRPr="009A0936">
        <w:rPr>
          <w:rFonts w:ascii="Palatino Linotype" w:eastAsia="Palatino Linotype" w:hAnsi="Palatino Linotype" w:cs="Palatino Linotype"/>
          <w:sz w:val="24"/>
          <w:szCs w:val="24"/>
        </w:rPr>
        <w:t xml:space="preserve"> </w:t>
      </w:r>
      <w:r w:rsidRPr="009A0936">
        <w:rPr>
          <w:rFonts w:ascii="Palatino Linotype" w:eastAsia="Palatino Linotype" w:hAnsi="Palatino Linotype" w:cs="Palatino Linotype"/>
          <w:sz w:val="24"/>
          <w:szCs w:val="24"/>
        </w:rPr>
        <w:t xml:space="preserve">del artículo 179 de la Ley en la materia. </w:t>
      </w:r>
    </w:p>
    <w:p w14:paraId="096B0CBF"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Cuarto.</w:t>
      </w:r>
      <w:r w:rsidRPr="009A0936">
        <w:rPr>
          <w:rFonts w:ascii="Palatino Linotype" w:eastAsia="Palatino Linotype" w:hAnsi="Palatino Linotype" w:cs="Palatino Linotype"/>
          <w:sz w:val="24"/>
          <w:szCs w:val="24"/>
        </w:rPr>
        <w:t xml:space="preserve"> </w:t>
      </w:r>
      <w:r w:rsidRPr="009A0936">
        <w:rPr>
          <w:rFonts w:ascii="Palatino Linotype" w:eastAsia="Palatino Linotype" w:hAnsi="Palatino Linotype" w:cs="Palatino Linotype"/>
          <w:b/>
          <w:sz w:val="24"/>
          <w:szCs w:val="24"/>
        </w:rPr>
        <w:t>Estudio de fondo del asunto.</w:t>
      </w:r>
      <w:r w:rsidRPr="009A0936">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A7C1A84" w14:textId="77777777" w:rsidR="00F8557D" w:rsidRPr="009A0936"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b/>
          <w:i/>
        </w:rPr>
        <w:t>Artículo 1o.</w:t>
      </w:r>
      <w:r w:rsidRPr="009A0936">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75867AD6" w14:textId="77777777" w:rsidR="00F8557D" w:rsidRPr="009A0936" w:rsidRDefault="00646B44">
      <w:pPr>
        <w:spacing w:after="0" w:line="276" w:lineRule="auto"/>
        <w:ind w:left="567" w:right="560"/>
        <w:jc w:val="both"/>
        <w:rPr>
          <w:rFonts w:ascii="Palatino Linotype" w:eastAsia="Palatino Linotype" w:hAnsi="Palatino Linotype" w:cs="Palatino Linotype"/>
          <w:b/>
          <w:i/>
        </w:rPr>
      </w:pPr>
      <w:r w:rsidRPr="009A0936">
        <w:rPr>
          <w:rFonts w:ascii="Palatino Linotype" w:eastAsia="Palatino Linotype" w:hAnsi="Palatino Linotype" w:cs="Palatino Linotype"/>
          <w:b/>
          <w:i/>
        </w:rPr>
        <w:t>“Artículo 6o.</w:t>
      </w:r>
    </w:p>
    <w:p w14:paraId="43236C09"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40F47EB2"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23D67166"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C67A7C8" w14:textId="57C1517C" w:rsidR="00F8557D" w:rsidRPr="009A0936" w:rsidRDefault="00646B44" w:rsidP="00933869">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4F485102" w14:textId="77777777" w:rsidR="00B661FB" w:rsidRPr="009A0936" w:rsidRDefault="00B661FB" w:rsidP="00933869">
      <w:pPr>
        <w:spacing w:after="0" w:line="276" w:lineRule="auto"/>
        <w:ind w:left="567" w:right="560"/>
        <w:jc w:val="both"/>
        <w:rPr>
          <w:rFonts w:ascii="Palatino Linotype" w:eastAsia="Palatino Linotype" w:hAnsi="Palatino Linotype" w:cs="Palatino Linotype"/>
          <w:i/>
        </w:rPr>
      </w:pPr>
    </w:p>
    <w:p w14:paraId="2E6546E4" w14:textId="132C95E8"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07FADBD" w14:textId="77777777" w:rsidR="003A0D42" w:rsidRPr="009A0936" w:rsidRDefault="003A0D42">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Artículo 4.</w:t>
      </w:r>
      <w:r w:rsidRPr="009A093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9A0936"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Artículo 12.</w:t>
      </w:r>
      <w:r w:rsidRPr="009A093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9A0936" w:rsidRDefault="00646B44">
      <w:pPr>
        <w:spacing w:after="0" w:line="276" w:lineRule="auto"/>
        <w:ind w:left="567" w:right="560"/>
        <w:jc w:val="both"/>
        <w:rPr>
          <w:rFonts w:ascii="Palatino Linotype" w:eastAsia="Palatino Linotype" w:hAnsi="Palatino Linotype" w:cs="Palatino Linotype"/>
          <w:b/>
          <w:i/>
        </w:rPr>
      </w:pPr>
      <w:r w:rsidRPr="009A0936">
        <w:rPr>
          <w:rFonts w:ascii="Palatino Linotype" w:eastAsia="Palatino Linotype" w:hAnsi="Palatino Linotype" w:cs="Palatino Linotype"/>
          <w:b/>
          <w:i/>
        </w:rPr>
        <w:t>Criterio 03/17</w:t>
      </w:r>
    </w:p>
    <w:p w14:paraId="0406D8B0"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b/>
          <w:i/>
        </w:rPr>
        <w:t xml:space="preserve">“NO EXISTE OBLIGACIÓN DE ELABORAR DOCUMENTOS AD HOC PARA ATENDER LAS SOLICITUDES DE ACCESO A LA INFORMACIÓN. </w:t>
      </w:r>
      <w:r w:rsidRPr="009A0936">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9A0936"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ABB273"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9A0936" w:rsidRDefault="00646B44" w:rsidP="00A74EBA">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9A0936"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Artículo 3.</w:t>
      </w:r>
      <w:r w:rsidRPr="009A0936">
        <w:rPr>
          <w:rFonts w:ascii="Palatino Linotype" w:eastAsia="Palatino Linotype" w:hAnsi="Palatino Linotype" w:cs="Palatino Linotype"/>
          <w:i/>
        </w:rPr>
        <w:t xml:space="preserve"> Para los efectos de la presente Ley se entenderá por:</w:t>
      </w:r>
    </w:p>
    <w:p w14:paraId="20112B26"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4DB11EE2"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b/>
          <w:i/>
        </w:rPr>
        <w:t>XI. Documento:</w:t>
      </w:r>
      <w:r w:rsidRPr="009A0936">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9A0936" w:rsidRDefault="00646B44">
      <w:pPr>
        <w:spacing w:after="0" w:line="276" w:lineRule="auto"/>
        <w:ind w:left="567" w:right="560"/>
        <w:jc w:val="both"/>
        <w:rPr>
          <w:rFonts w:ascii="Palatino Linotype" w:eastAsia="Palatino Linotype" w:hAnsi="Palatino Linotype" w:cs="Palatino Linotype"/>
          <w:b/>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CRITERIO 0002-11</w:t>
      </w:r>
    </w:p>
    <w:p w14:paraId="5302D9BA"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A093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1)</w:t>
      </w:r>
      <w:r w:rsidRPr="009A0936">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2)</w:t>
      </w:r>
      <w:r w:rsidRPr="009A0936">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9A0936" w:rsidRDefault="00646B44">
      <w:pPr>
        <w:spacing w:after="0" w:line="276" w:lineRule="auto"/>
        <w:ind w:left="567" w:right="560"/>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0B796A6A" w14:textId="712C76EC"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De las actuaciones que integran el expediente electrónico, se procede al análisis de los agravios </w:t>
      </w:r>
      <w:r w:rsidR="00B22310" w:rsidRPr="009A0936">
        <w:rPr>
          <w:rFonts w:ascii="Palatino Linotype" w:eastAsia="Palatino Linotype" w:hAnsi="Palatino Linotype" w:cs="Palatino Linotype"/>
          <w:sz w:val="24"/>
          <w:szCs w:val="24"/>
        </w:rPr>
        <w:t xml:space="preserve">hechos valer por la parte </w:t>
      </w:r>
      <w:r w:rsidRPr="009A0936">
        <w:rPr>
          <w:rFonts w:ascii="Palatino Linotype" w:eastAsia="Palatino Linotype" w:hAnsi="Palatino Linotype" w:cs="Palatino Linotype"/>
          <w:sz w:val="24"/>
          <w:szCs w:val="24"/>
        </w:rPr>
        <w:t>R</w:t>
      </w:r>
      <w:r w:rsidR="00DB71F7" w:rsidRPr="009A0936">
        <w:rPr>
          <w:rFonts w:ascii="Palatino Linotype" w:eastAsia="Palatino Linotype" w:hAnsi="Palatino Linotype" w:cs="Palatino Linotype"/>
          <w:sz w:val="24"/>
          <w:szCs w:val="24"/>
        </w:rPr>
        <w:t xml:space="preserve">ecurrente, relativos a </w:t>
      </w:r>
      <w:r w:rsidR="00B661FB" w:rsidRPr="009A0936">
        <w:rPr>
          <w:rFonts w:ascii="Palatino Linotype" w:eastAsia="Palatino Linotype" w:hAnsi="Palatino Linotype" w:cs="Palatino Linotype"/>
          <w:sz w:val="24"/>
          <w:szCs w:val="24"/>
        </w:rPr>
        <w:t xml:space="preserve">la </w:t>
      </w:r>
      <w:r w:rsidR="003A0D42" w:rsidRPr="009A0936">
        <w:rPr>
          <w:rFonts w:ascii="Palatino Linotype" w:eastAsia="Palatino Linotype" w:hAnsi="Palatino Linotype" w:cs="Palatino Linotype"/>
          <w:sz w:val="24"/>
          <w:szCs w:val="24"/>
        </w:rPr>
        <w:t>declaración de incompetencia del sujeto obligado</w:t>
      </w:r>
      <w:r w:rsidR="00DB71F7" w:rsidRPr="009A0936">
        <w:rPr>
          <w:rFonts w:ascii="Palatino Linotype" w:eastAsia="Palatino Linotype" w:hAnsi="Palatino Linotype" w:cs="Palatino Linotype"/>
          <w:sz w:val="24"/>
          <w:szCs w:val="24"/>
        </w:rPr>
        <w:t xml:space="preserve">, lo que actualiza la causal de procedencia prevista en la fracción </w:t>
      </w:r>
      <w:r w:rsidR="003A0D42" w:rsidRPr="009A0936">
        <w:rPr>
          <w:rFonts w:ascii="Palatino Linotype" w:eastAsia="Palatino Linotype" w:hAnsi="Palatino Linotype" w:cs="Palatino Linotype"/>
          <w:sz w:val="24"/>
          <w:szCs w:val="24"/>
        </w:rPr>
        <w:t>IV</w:t>
      </w:r>
      <w:r w:rsidRPr="009A0936">
        <w:rPr>
          <w:rFonts w:ascii="Palatino Linotype" w:eastAsia="Palatino Linotype" w:hAnsi="Palatino Linotype" w:cs="Palatino Linotype"/>
          <w:sz w:val="24"/>
          <w:szCs w:val="24"/>
        </w:rPr>
        <w:t xml:space="preserve"> del artículo 179 de la Ley de Transparencia y Acceso a la Información Pública del</w:t>
      </w:r>
      <w:r w:rsidR="00933869" w:rsidRPr="009A0936">
        <w:rPr>
          <w:rFonts w:ascii="Palatino Linotype" w:eastAsia="Palatino Linotype" w:hAnsi="Palatino Linotype" w:cs="Palatino Linotype"/>
          <w:sz w:val="24"/>
          <w:szCs w:val="24"/>
        </w:rPr>
        <w:t xml:space="preserve"> Estado de México y Municipios.</w:t>
      </w:r>
    </w:p>
    <w:p w14:paraId="4BF42BC4"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CF9FD84" w14:textId="733F7F76" w:rsidR="00B661FB" w:rsidRPr="009A0936" w:rsidRDefault="00646B44" w:rsidP="00B661FB">
      <w:pPr>
        <w:spacing w:after="0" w:line="360" w:lineRule="auto"/>
        <w:ind w:right="49"/>
        <w:jc w:val="both"/>
        <w:rPr>
          <w:rFonts w:ascii="Palatino Linotype" w:eastAsia="Palatino Linotype" w:hAnsi="Palatino Linotype" w:cs="Palatino Linotype"/>
          <w:sz w:val="28"/>
          <w:szCs w:val="24"/>
        </w:rPr>
      </w:pPr>
      <w:r w:rsidRPr="009A0936">
        <w:rPr>
          <w:rFonts w:ascii="Palatino Linotype" w:eastAsia="Palatino Linotype" w:hAnsi="Palatino Linotype" w:cs="Palatino Linotype"/>
          <w:sz w:val="24"/>
          <w:szCs w:val="24"/>
        </w:rPr>
        <w:t>Para ello, en principio resulta</w:t>
      </w:r>
      <w:r w:rsidR="00EE774D" w:rsidRPr="009A0936">
        <w:rPr>
          <w:rFonts w:ascii="Palatino Linotype" w:eastAsia="Palatino Linotype" w:hAnsi="Palatino Linotype" w:cs="Palatino Linotype"/>
          <w:sz w:val="24"/>
          <w:szCs w:val="24"/>
        </w:rPr>
        <w:t xml:space="preserve"> recordar que la pretensión de la parte </w:t>
      </w:r>
      <w:r w:rsidRPr="009A0936">
        <w:rPr>
          <w:rFonts w:ascii="Palatino Linotype" w:eastAsia="Palatino Linotype" w:hAnsi="Palatino Linotype" w:cs="Palatino Linotype"/>
          <w:sz w:val="24"/>
          <w:szCs w:val="24"/>
        </w:rPr>
        <w:t xml:space="preserve">ahora Recurrente </w:t>
      </w:r>
      <w:r w:rsidR="00B661FB" w:rsidRPr="009A0936">
        <w:rPr>
          <w:rFonts w:ascii="Palatino Linotype" w:eastAsia="Palatino Linotype" w:hAnsi="Palatino Linotype" w:cs="Palatino Linotype"/>
          <w:sz w:val="24"/>
          <w:szCs w:val="24"/>
        </w:rPr>
        <w:t xml:space="preserve">es obtener las actas del Comité de Control y Desempeño Institucional (COCODI) del Instituto Hacendario del Estado de México, de los ejercicios fiscales 2020, 2021, 2022 al veintidós de junio de dos mil veintitrés. </w:t>
      </w:r>
    </w:p>
    <w:p w14:paraId="1839BC65" w14:textId="77777777" w:rsidR="0003629B" w:rsidRPr="009A0936" w:rsidRDefault="0003629B" w:rsidP="00FC00A5">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29874996" w14:textId="02C8B2E3" w:rsidR="00B661FB" w:rsidRPr="009A0936" w:rsidRDefault="00E2699F" w:rsidP="00B661FB">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E</w:t>
      </w:r>
      <w:r w:rsidR="00433FA3" w:rsidRPr="009A0936">
        <w:rPr>
          <w:rFonts w:ascii="Palatino Linotype" w:eastAsia="Palatino Linotype" w:hAnsi="Palatino Linotype" w:cs="Palatino Linotype"/>
          <w:sz w:val="24"/>
          <w:szCs w:val="24"/>
        </w:rPr>
        <w:t>n respues</w:t>
      </w:r>
      <w:r w:rsidR="00B661FB" w:rsidRPr="009A0936">
        <w:rPr>
          <w:rFonts w:ascii="Palatino Linotype" w:eastAsia="Palatino Linotype" w:hAnsi="Palatino Linotype" w:cs="Palatino Linotype"/>
          <w:sz w:val="24"/>
          <w:szCs w:val="24"/>
        </w:rPr>
        <w:t xml:space="preserve">ta, el Sujeto Obligado, a través de su Titular de la Unidad de Transparencia, se declaró incompetente para generar, administrar y/o poseer la información solicitada y refirió que el Sujeto Obligado competente era la Secretaría de la Contraloría, asimismo, remitió un oficio de fecha diez de octubre de dos mil diecinueve, signado por el Secretario de la Contraloría mediante el cual designa al titular del Órgano Interno de Control del Instituto Hacendario del Estado de México. </w:t>
      </w:r>
    </w:p>
    <w:p w14:paraId="0C922C4A" w14:textId="5A143450" w:rsidR="00FC00A5" w:rsidRPr="009A0936" w:rsidRDefault="00433FA3" w:rsidP="00E2699F">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Derivado de ello, la parte Solicitante </w:t>
      </w:r>
      <w:r w:rsidR="00FC00A5" w:rsidRPr="009A0936">
        <w:rPr>
          <w:rFonts w:ascii="Palatino Linotype" w:eastAsia="Palatino Linotype" w:hAnsi="Palatino Linotype" w:cs="Palatino Linotype"/>
          <w:sz w:val="24"/>
          <w:szCs w:val="24"/>
        </w:rPr>
        <w:t xml:space="preserve">se agravió </w:t>
      </w:r>
      <w:r w:rsidR="0022693C" w:rsidRPr="009A0936">
        <w:rPr>
          <w:rFonts w:ascii="Palatino Linotype" w:eastAsia="Palatino Linotype" w:hAnsi="Palatino Linotype" w:cs="Palatino Linotype"/>
          <w:sz w:val="24"/>
          <w:szCs w:val="24"/>
        </w:rPr>
        <w:t xml:space="preserve">por la declaración de incompetencia del Sujeto Obligado. </w:t>
      </w:r>
      <w:r w:rsidR="007D19E9" w:rsidRPr="009A0936">
        <w:rPr>
          <w:rFonts w:ascii="Palatino Linotype" w:eastAsia="Palatino Linotype" w:hAnsi="Palatino Linotype" w:cs="Palatino Linotype"/>
          <w:sz w:val="24"/>
          <w:szCs w:val="24"/>
        </w:rPr>
        <w:t xml:space="preserve"> </w:t>
      </w:r>
    </w:p>
    <w:p w14:paraId="75A00D32" w14:textId="77777777" w:rsidR="008A4385" w:rsidRPr="009A0936" w:rsidRDefault="008A4385" w:rsidP="00E2699F">
      <w:pPr>
        <w:spacing w:after="0" w:line="360" w:lineRule="auto"/>
        <w:ind w:right="49"/>
        <w:jc w:val="both"/>
        <w:rPr>
          <w:rFonts w:ascii="Palatino Linotype" w:eastAsia="Palatino Linotype" w:hAnsi="Palatino Linotype" w:cs="Palatino Linotype"/>
          <w:sz w:val="24"/>
          <w:szCs w:val="24"/>
        </w:rPr>
      </w:pPr>
    </w:p>
    <w:p w14:paraId="59EC4667" w14:textId="368F2B18" w:rsidR="007D19E9" w:rsidRPr="009A0936" w:rsidRDefault="007D19E9" w:rsidP="00E2699F">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El Sujeto Obligado, mediante informe justificado, ratificó su respuesta inicial, por su parte, la parte Recurrente fue omisa en rendir manifestaciones. </w:t>
      </w:r>
    </w:p>
    <w:p w14:paraId="2FC9FE2E" w14:textId="77777777" w:rsidR="00F758F6" w:rsidRPr="009A0936" w:rsidRDefault="00F758F6" w:rsidP="00D02932">
      <w:pPr>
        <w:spacing w:after="0" w:line="360" w:lineRule="auto"/>
        <w:ind w:right="49"/>
        <w:jc w:val="both"/>
      </w:pPr>
    </w:p>
    <w:p w14:paraId="3841F9B2" w14:textId="77777777" w:rsidR="0022693C" w:rsidRPr="009A0936" w:rsidRDefault="0022693C" w:rsidP="00D02932">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Dicho lo anterior, se procede al análisis de los agravios hechos valer por la parte Recurrente, al tenor de lo siguiente: </w:t>
      </w:r>
    </w:p>
    <w:p w14:paraId="12F7EC91" w14:textId="77777777" w:rsidR="0022693C" w:rsidRPr="009A0936" w:rsidRDefault="0022693C" w:rsidP="00D02932">
      <w:pPr>
        <w:spacing w:after="0" w:line="360" w:lineRule="auto"/>
        <w:ind w:right="49"/>
        <w:jc w:val="both"/>
        <w:rPr>
          <w:rFonts w:ascii="Palatino Linotype" w:eastAsia="Palatino Linotype" w:hAnsi="Palatino Linotype" w:cs="Palatino Linotype"/>
          <w:sz w:val="24"/>
          <w:szCs w:val="24"/>
        </w:rPr>
      </w:pPr>
    </w:p>
    <w:p w14:paraId="4C3B25CE" w14:textId="58709E6D" w:rsidR="0022693C" w:rsidRPr="009A0936" w:rsidRDefault="0022693C" w:rsidP="00D02932">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En principio es importante señalar que el Comité de Control y Desempeño Institucional (COCODI) es un órgano colegiado que contribuye al cumplimiento de los objetivos y metas institucionales; a impulsar el establecimiento y actualización del Sistema de Control Interno, y al análisis y seguimiento para la detección y administración de riesgos conforme a lo dispuesto en el Título Cuarto de las Disposiciones en Materia de Control Interno. </w:t>
      </w:r>
    </w:p>
    <w:p w14:paraId="4746B728" w14:textId="607A713B" w:rsidR="0022693C" w:rsidRPr="009A0936" w:rsidRDefault="0022693C" w:rsidP="00D02932">
      <w:pPr>
        <w:spacing w:after="0" w:line="360" w:lineRule="auto"/>
        <w:ind w:right="49"/>
        <w:jc w:val="both"/>
        <w:rPr>
          <w:rFonts w:ascii="Palatino Linotype" w:eastAsia="Palatino Linotype" w:hAnsi="Palatino Linotype" w:cs="Palatino Linotype"/>
          <w:sz w:val="24"/>
          <w:szCs w:val="24"/>
        </w:rPr>
      </w:pPr>
    </w:p>
    <w:p w14:paraId="5456C098" w14:textId="3CB95242" w:rsidR="0022693C" w:rsidRPr="009A0936" w:rsidRDefault="0022693C" w:rsidP="00D02932">
      <w:pPr>
        <w:spacing w:after="0" w:line="360" w:lineRule="auto"/>
        <w:ind w:right="49"/>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Por lo anterior, de conformidad con el Marco Integrado de Control Interno </w:t>
      </w:r>
      <w:r w:rsidRPr="009A0936">
        <w:rPr>
          <w:rFonts w:ascii="Palatino Linotype" w:eastAsia="Palatino Linotype" w:hAnsi="Palatino Linotype" w:cs="Palatino Linotype"/>
        </w:rPr>
        <w:t xml:space="preserve">(consultado en </w:t>
      </w:r>
      <w:hyperlink r:id="rId9" w:history="1">
        <w:r w:rsidRPr="009A0936">
          <w:rPr>
            <w:rStyle w:val="Hipervnculo"/>
            <w:rFonts w:ascii="Palatino Linotype" w:eastAsia="Palatino Linotype" w:hAnsi="Palatino Linotype" w:cs="Palatino Linotype"/>
            <w:color w:val="auto"/>
          </w:rPr>
          <w:t>https://www.asf.gob.mx/uploads/176_Marco_Integrado_de_Control/Marco_Integrado_de_Cont_Int_leyen.pdf</w:t>
        </w:r>
      </w:hyperlink>
      <w:r w:rsidRPr="009A0936">
        <w:rPr>
          <w:rFonts w:ascii="Palatino Linotype" w:eastAsia="Palatino Linotype" w:hAnsi="Palatino Linotype" w:cs="Palatino Linotype"/>
        </w:rPr>
        <w:t xml:space="preserve">), </w:t>
      </w:r>
      <w:r w:rsidRPr="009A0936">
        <w:rPr>
          <w:rFonts w:ascii="Palatino Linotype" w:eastAsia="Palatino Linotype" w:hAnsi="Palatino Linotype" w:cs="Palatino Linotype"/>
          <w:sz w:val="24"/>
        </w:rPr>
        <w:t>el control interno es un proceso efectuado por el Órgano de Gobierno, el titular, la Administración y los demás servidores públicos de una institución, con objeto de proporcionar una seguridad razonable sobre la consecución de los objetivos institucionales y la salvaguarda de los recursos públicos, así como para prevenir la corrupción.</w:t>
      </w:r>
    </w:p>
    <w:p w14:paraId="1DA0EB77" w14:textId="1C08D511" w:rsidR="0022693C" w:rsidRPr="009A0936" w:rsidRDefault="0022693C" w:rsidP="003A0D4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rPr>
      </w:pPr>
      <w:r w:rsidRPr="009A0936">
        <w:rPr>
          <w:rFonts w:ascii="Palatino Linotype" w:eastAsia="Palatino Linotype" w:hAnsi="Palatino Linotype" w:cs="Palatino Linotype"/>
          <w:sz w:val="24"/>
        </w:rPr>
        <w:t xml:space="preserve">Una de las características del control interno es que este conforma un sistema integral y continuo aplicable al entorno operativo de una institución, en ese sentido, el control interno </w:t>
      </w:r>
      <w:r w:rsidRPr="009A0936">
        <w:rPr>
          <w:rFonts w:ascii="Palatino Linotype" w:eastAsia="Palatino Linotype" w:hAnsi="Palatino Linotype" w:cs="Palatino Linotype"/>
          <w:b/>
          <w:sz w:val="24"/>
        </w:rPr>
        <w:t xml:space="preserve">se establece al interior de dicha institución como parte de la estructura organizacional para ayudar al titular y al resto de los servidores públicos a alcanzar los objetivos institucionales de manera permanente. </w:t>
      </w:r>
    </w:p>
    <w:p w14:paraId="19E2BF4D" w14:textId="77777777" w:rsidR="0022693C" w:rsidRPr="009A0936" w:rsidRDefault="0022693C" w:rsidP="0022693C">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rPr>
      </w:pPr>
    </w:p>
    <w:p w14:paraId="25DB924D" w14:textId="77777777" w:rsidR="0022693C" w:rsidRPr="009A0936" w:rsidRDefault="0022693C" w:rsidP="0022693C">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Asimismo, el Marco Integrado de Control Interno establece que el control interno incluye planes, métodos, programas, políticas y procedimientos utilizados para lograr los resultados programados a través de la administración eficaz de todos sus recursos, como son los tecnológicos, materiales, humanos y financieros. </w:t>
      </w:r>
    </w:p>
    <w:p w14:paraId="73886BF0" w14:textId="77777777" w:rsidR="0022693C" w:rsidRPr="009A0936" w:rsidRDefault="0022693C" w:rsidP="0022693C">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06083859" w14:textId="6C98D8C3" w:rsidR="0022693C" w:rsidRPr="009A0936" w:rsidRDefault="0022693C" w:rsidP="0022693C">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En ese sentido, el titular de la institución, es responsable de asegurar, con el apoyo de las unidades especializadas y el establecimiento de líneas de responsabilidad a establecer los objetivos institucionales de control interno, asignar de manera clara a determinadas áreas la responsabilidad de implementar controles adecuados y suficientes en toda la institución, supervisar y evaluar periódicamente el control interno, mejorar de manera continua el control interno. </w:t>
      </w:r>
    </w:p>
    <w:p w14:paraId="3EC09CA9" w14:textId="77777777" w:rsidR="0022693C" w:rsidRPr="009A0936" w:rsidRDefault="0022693C" w:rsidP="0022693C">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1A70B657" w14:textId="73DCD8C0" w:rsidR="007E3BE2" w:rsidRPr="009A0936" w:rsidRDefault="0022693C" w:rsidP="007E3BE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Ahora bien, de conformidad con lo establecido en el Acuerdo p</w:t>
      </w:r>
      <w:r w:rsidR="007E3BE2" w:rsidRPr="009A0936">
        <w:rPr>
          <w:rFonts w:ascii="Palatino Linotype" w:eastAsia="Palatino Linotype" w:hAnsi="Palatino Linotype" w:cs="Palatino Linotype"/>
          <w:sz w:val="24"/>
        </w:rPr>
        <w:t xml:space="preserve">or el que el Secretario de la Contraloría emite las disposiciones y el Manual Administrativo de Control Interno para las Dependencias y Organismos Auxiliares del Gobierno del Estado de México, se tiene que como ámbito de aplicación este será observado por </w:t>
      </w:r>
      <w:r w:rsidR="007E3BE2" w:rsidRPr="009A0936">
        <w:rPr>
          <w:rFonts w:ascii="Palatino Linotype" w:eastAsia="Palatino Linotype" w:hAnsi="Palatino Linotype" w:cs="Palatino Linotype"/>
          <w:b/>
          <w:sz w:val="24"/>
        </w:rPr>
        <w:t>los titulares, órganos de gobierno y servidores públicos de las dependencias y organismos auxiliares</w:t>
      </w:r>
      <w:r w:rsidR="007E3BE2" w:rsidRPr="009A0936">
        <w:rPr>
          <w:rFonts w:ascii="Palatino Linotype" w:eastAsia="Palatino Linotype" w:hAnsi="Palatino Linotype" w:cs="Palatino Linotype"/>
          <w:sz w:val="24"/>
        </w:rPr>
        <w:t xml:space="preserve">, como se observa a continuación: </w:t>
      </w:r>
    </w:p>
    <w:p w14:paraId="142FF683" w14:textId="77777777" w:rsidR="007E3BE2" w:rsidRPr="009A0936" w:rsidRDefault="007E3BE2" w:rsidP="007E3BE2">
      <w:pPr>
        <w:pBdr>
          <w:top w:val="nil"/>
          <w:left w:val="nil"/>
          <w:bottom w:val="nil"/>
          <w:right w:val="nil"/>
          <w:between w:val="nil"/>
        </w:pBdr>
        <w:tabs>
          <w:tab w:val="left" w:pos="709"/>
        </w:tabs>
        <w:spacing w:after="0" w:line="276" w:lineRule="auto"/>
        <w:ind w:left="567" w:right="560"/>
        <w:jc w:val="both"/>
        <w:rPr>
          <w:rFonts w:ascii="Palatino Linotype" w:hAnsi="Palatino Linotype"/>
          <w:b/>
          <w:i/>
        </w:rPr>
      </w:pPr>
      <w:r w:rsidRPr="009A0936">
        <w:rPr>
          <w:rFonts w:ascii="Palatino Linotype" w:hAnsi="Palatino Linotype"/>
          <w:b/>
          <w:i/>
        </w:rPr>
        <w:t xml:space="preserve">1. BASE DE REFERENCIA, OBJETO Y ÁMBITO DE APLICACIÓN. </w:t>
      </w:r>
    </w:p>
    <w:p w14:paraId="710FEA70" w14:textId="0F10C5E0" w:rsidR="007E3BE2" w:rsidRPr="009A0936" w:rsidRDefault="007E3BE2" w:rsidP="007E3BE2">
      <w:pPr>
        <w:pBdr>
          <w:top w:val="nil"/>
          <w:left w:val="nil"/>
          <w:bottom w:val="nil"/>
          <w:right w:val="nil"/>
          <w:between w:val="nil"/>
        </w:pBdr>
        <w:tabs>
          <w:tab w:val="left" w:pos="709"/>
        </w:tabs>
        <w:spacing w:after="0" w:line="276" w:lineRule="auto"/>
        <w:ind w:left="567" w:right="560"/>
        <w:jc w:val="both"/>
        <w:rPr>
          <w:rFonts w:ascii="Palatino Linotype" w:eastAsia="Palatino Linotype" w:hAnsi="Palatino Linotype" w:cs="Palatino Linotype"/>
          <w:i/>
          <w:sz w:val="24"/>
          <w:szCs w:val="24"/>
        </w:rPr>
      </w:pPr>
      <w:r w:rsidRPr="009A0936">
        <w:rPr>
          <w:rFonts w:ascii="Palatino Linotype" w:hAnsi="Palatino Linotype"/>
          <w:i/>
        </w:rPr>
        <w:t>Los Titulares, Órganos de Gobierno y servidores públicos de las dependencias y organismos auxiliares, en sus respectivos niveles de control interno, establecerán, actualizarán y mantendrán en operación su sistema de control interno, tomando como referencia el Acuerdo para Implementar un Modelo Integral de Control Interno (MICI) y el Modelo del Marco Integrado de Control Interno para las Dependencias y Organismos Auxiliares de la Administración Pública del Estado de México (MIMECI), así como las presentes Disposiciones, para el cumplimiento del objetivo del control interno.</w:t>
      </w:r>
    </w:p>
    <w:p w14:paraId="37E07787" w14:textId="77777777" w:rsidR="00812D6E" w:rsidRPr="009A0936" w:rsidRDefault="00812D6E" w:rsidP="00812D6E">
      <w:pPr>
        <w:spacing w:after="0" w:line="360" w:lineRule="auto"/>
        <w:ind w:left="567" w:right="560"/>
        <w:jc w:val="both"/>
        <w:rPr>
          <w:rFonts w:ascii="Palatino Linotype" w:eastAsia="Palatino Linotype" w:hAnsi="Palatino Linotype" w:cs="Palatino Linotype"/>
          <w:i/>
          <w:sz w:val="24"/>
          <w:szCs w:val="24"/>
        </w:rPr>
      </w:pPr>
    </w:p>
    <w:p w14:paraId="39564BE9" w14:textId="7CDDE9C2" w:rsidR="00812D6E" w:rsidRPr="009A0936" w:rsidRDefault="00812D6E" w:rsidP="00812D6E">
      <w:pPr>
        <w:spacing w:after="0" w:line="360" w:lineRule="auto"/>
        <w:ind w:left="567" w:right="560"/>
        <w:jc w:val="both"/>
        <w:rPr>
          <w:rFonts w:ascii="Palatino Linotype" w:hAnsi="Palatino Linotype"/>
          <w:i/>
        </w:rPr>
      </w:pPr>
      <w:r w:rsidRPr="009A0936">
        <w:rPr>
          <w:rFonts w:ascii="Palatino Linotype" w:hAnsi="Palatino Linotype"/>
          <w:i/>
        </w:rPr>
        <w:t>2. DEFINICIONES. Para efectos de las presentes disposiciones se entenderá por:</w:t>
      </w:r>
    </w:p>
    <w:p w14:paraId="6F311663" w14:textId="1448D744" w:rsidR="00812D6E" w:rsidRPr="009A0936" w:rsidRDefault="00812D6E" w:rsidP="00812D6E">
      <w:pPr>
        <w:spacing w:after="0" w:line="360" w:lineRule="auto"/>
        <w:ind w:left="567" w:right="560"/>
        <w:jc w:val="both"/>
        <w:rPr>
          <w:rFonts w:ascii="Palatino Linotype" w:eastAsia="Palatino Linotype" w:hAnsi="Palatino Linotype" w:cs="Palatino Linotype"/>
          <w:i/>
          <w:sz w:val="24"/>
          <w:szCs w:val="24"/>
        </w:rPr>
      </w:pPr>
      <w:r w:rsidRPr="009A0936">
        <w:rPr>
          <w:rFonts w:ascii="Palatino Linotype" w:hAnsi="Palatino Linotype"/>
          <w:i/>
        </w:rPr>
        <w:t>…</w:t>
      </w:r>
    </w:p>
    <w:p w14:paraId="3EAB09A1" w14:textId="496CAC05" w:rsidR="00812D6E" w:rsidRPr="009A0936" w:rsidRDefault="00812D6E" w:rsidP="00812D6E">
      <w:pPr>
        <w:spacing w:after="0" w:line="360" w:lineRule="auto"/>
        <w:ind w:left="567" w:right="560"/>
        <w:jc w:val="both"/>
        <w:rPr>
          <w:rFonts w:ascii="Palatino Linotype" w:hAnsi="Palatino Linotype"/>
          <w:b/>
          <w:i/>
          <w:u w:val="single"/>
        </w:rPr>
      </w:pPr>
      <w:r w:rsidRPr="009A0936">
        <w:rPr>
          <w:rFonts w:ascii="Palatino Linotype" w:hAnsi="Palatino Linotype"/>
          <w:b/>
          <w:i/>
          <w:u w:val="single"/>
        </w:rPr>
        <w:t>XXII. Entidades: los Organismos Auxiliares a que se refiere el artículo 45 de la Ley Orgánica de la Administración Pública del Estado de México</w:t>
      </w:r>
    </w:p>
    <w:p w14:paraId="107BFE96" w14:textId="77777777" w:rsidR="00812D6E" w:rsidRPr="009A0936" w:rsidRDefault="00812D6E" w:rsidP="00D02932">
      <w:pPr>
        <w:spacing w:after="0" w:line="360" w:lineRule="auto"/>
        <w:ind w:right="49"/>
        <w:jc w:val="both"/>
        <w:rPr>
          <w:rFonts w:ascii="Palatino Linotype" w:eastAsia="Palatino Linotype" w:hAnsi="Palatino Linotype" w:cs="Palatino Linotype"/>
          <w:sz w:val="24"/>
          <w:szCs w:val="24"/>
        </w:rPr>
      </w:pPr>
    </w:p>
    <w:p w14:paraId="2ED50F23" w14:textId="11A091AC" w:rsidR="0022693C" w:rsidRPr="009A0936" w:rsidRDefault="007E3BE2" w:rsidP="00D02932">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Asimismo, de conformidad con lo señalado en el Acuerdo, el Comité de Control y Desempeño Institucional, tendrá dentro del Sistema de Control Interno Institucional, las siguientes atribuciones:  </w:t>
      </w:r>
    </w:p>
    <w:p w14:paraId="58012D1A" w14:textId="77777777" w:rsidR="007E3BE2" w:rsidRPr="009A0936" w:rsidRDefault="007E3BE2" w:rsidP="00812D6E">
      <w:pPr>
        <w:spacing w:after="0" w:line="276" w:lineRule="auto"/>
        <w:ind w:left="567" w:right="560"/>
        <w:jc w:val="both"/>
        <w:rPr>
          <w:rFonts w:ascii="Palatino Linotype" w:eastAsia="Palatino Linotype" w:hAnsi="Palatino Linotype" w:cs="Palatino Linotype"/>
          <w:b/>
          <w:i/>
          <w:sz w:val="24"/>
          <w:szCs w:val="24"/>
        </w:rPr>
      </w:pPr>
    </w:p>
    <w:p w14:paraId="03D79889" w14:textId="00C75590" w:rsidR="007E3BE2" w:rsidRPr="009A0936" w:rsidRDefault="007E3BE2" w:rsidP="00812D6E">
      <w:pPr>
        <w:spacing w:after="0" w:line="276" w:lineRule="auto"/>
        <w:ind w:left="567" w:right="560"/>
        <w:jc w:val="both"/>
        <w:rPr>
          <w:rFonts w:ascii="Palatino Linotype" w:hAnsi="Palatino Linotype"/>
          <w:i/>
        </w:rPr>
      </w:pPr>
      <w:r w:rsidRPr="009A0936">
        <w:rPr>
          <w:rFonts w:ascii="Palatino Linotype" w:hAnsi="Palatino Linotype"/>
          <w:b/>
          <w:i/>
        </w:rPr>
        <w:t>10. RESPONSABILIDADES Y FUNCIONES.</w:t>
      </w:r>
      <w:r w:rsidRPr="009A0936">
        <w:rPr>
          <w:rFonts w:ascii="Palatino Linotype" w:hAnsi="Palatino Linotype"/>
          <w:i/>
        </w:rPr>
        <w:t xml:space="preserve"> El control interno es responsabilidad del Titular de la institución quien lo implementa con apoyo de la Administración (mandos superiores y medios) y del resto de los servidores públicos, quienes deberán cumplir con las siguientes funciones</w:t>
      </w:r>
    </w:p>
    <w:p w14:paraId="7A2A1FCB" w14:textId="3550EB4C" w:rsidR="007E3BE2" w:rsidRPr="009A0936" w:rsidRDefault="007E3BE2" w:rsidP="00812D6E">
      <w:pPr>
        <w:spacing w:after="0" w:line="276" w:lineRule="auto"/>
        <w:ind w:left="567" w:right="560"/>
        <w:jc w:val="both"/>
        <w:rPr>
          <w:rFonts w:ascii="Palatino Linotype" w:eastAsia="Palatino Linotype" w:hAnsi="Palatino Linotype" w:cs="Palatino Linotype"/>
          <w:i/>
          <w:sz w:val="24"/>
          <w:szCs w:val="24"/>
        </w:rPr>
      </w:pPr>
      <w:r w:rsidRPr="009A0936">
        <w:rPr>
          <w:rFonts w:ascii="Palatino Linotype" w:hAnsi="Palatino Linotype"/>
          <w:i/>
        </w:rPr>
        <w:t>…</w:t>
      </w:r>
    </w:p>
    <w:p w14:paraId="3C0AC295" w14:textId="7C5FA07E" w:rsidR="007E3BE2" w:rsidRPr="009A0936" w:rsidRDefault="007E3BE2" w:rsidP="00812D6E">
      <w:pPr>
        <w:spacing w:after="0" w:line="276" w:lineRule="auto"/>
        <w:ind w:left="567" w:right="560"/>
        <w:jc w:val="both"/>
        <w:rPr>
          <w:rFonts w:ascii="Palatino Linotype" w:hAnsi="Palatino Linotype"/>
          <w:b/>
          <w:i/>
        </w:rPr>
      </w:pPr>
      <w:r w:rsidRPr="009A0936">
        <w:rPr>
          <w:rFonts w:ascii="Palatino Linotype" w:hAnsi="Palatino Linotype"/>
          <w:b/>
          <w:i/>
        </w:rPr>
        <w:t xml:space="preserve">En el Comité de Control y Desempeño Institucional: </w:t>
      </w:r>
    </w:p>
    <w:p w14:paraId="7B9CF276" w14:textId="77777777" w:rsidR="007E3BE2" w:rsidRPr="009A0936" w:rsidRDefault="007E3BE2" w:rsidP="00812D6E">
      <w:pPr>
        <w:spacing w:after="0" w:line="276" w:lineRule="auto"/>
        <w:ind w:left="567" w:right="560"/>
        <w:jc w:val="both"/>
        <w:rPr>
          <w:rFonts w:ascii="Palatino Linotype" w:hAnsi="Palatino Linotype"/>
          <w:i/>
        </w:rPr>
      </w:pPr>
      <w:r w:rsidRPr="009A0936">
        <w:rPr>
          <w:rFonts w:ascii="Palatino Linotype" w:hAnsi="Palatino Linotype"/>
          <w:i/>
        </w:rPr>
        <w:t xml:space="preserve">o) Determinar, conjuntamente con el Presidente y el Vocal Ejecutivo, los asuntos a tratar en las sesiones del Comité y reflejarlos en la Orden del Día; así como, la participación de los responsables de las áreas competentes de la Institución; </w:t>
      </w:r>
    </w:p>
    <w:p w14:paraId="7F270CDE" w14:textId="77777777" w:rsidR="007E3BE2" w:rsidRPr="009A0936" w:rsidRDefault="007E3BE2" w:rsidP="00812D6E">
      <w:pPr>
        <w:spacing w:after="0" w:line="276" w:lineRule="auto"/>
        <w:ind w:left="567" w:right="560"/>
        <w:jc w:val="both"/>
        <w:rPr>
          <w:rFonts w:ascii="Palatino Linotype" w:hAnsi="Palatino Linotype"/>
          <w:i/>
        </w:rPr>
      </w:pPr>
      <w:r w:rsidRPr="009A0936">
        <w:rPr>
          <w:rFonts w:ascii="Palatino Linotype" w:hAnsi="Palatino Linotype"/>
          <w:i/>
        </w:rPr>
        <w:t xml:space="preserve">p) Revisar y validar que la información institucional sea suficiente, relevante y competente, e instruir al Enlace del Comité sobre la conformación de la carpeta electrónica, en los 10 días hábiles previos a la celebración de la sesión. </w:t>
      </w:r>
    </w:p>
    <w:p w14:paraId="34059F69" w14:textId="77777777" w:rsidR="00812D6E" w:rsidRPr="009A0936" w:rsidRDefault="007E3BE2" w:rsidP="00812D6E">
      <w:pPr>
        <w:spacing w:after="0" w:line="276" w:lineRule="auto"/>
        <w:ind w:left="567" w:right="560"/>
        <w:jc w:val="both"/>
        <w:rPr>
          <w:rFonts w:ascii="Palatino Linotype" w:eastAsia="Palatino Linotype" w:hAnsi="Palatino Linotype" w:cs="Palatino Linotype"/>
          <w:i/>
          <w:sz w:val="24"/>
          <w:szCs w:val="24"/>
        </w:rPr>
      </w:pPr>
      <w:r w:rsidRPr="009A0936">
        <w:rPr>
          <w:rFonts w:ascii="Palatino Linotype" w:hAnsi="Palatino Linotype"/>
          <w:i/>
        </w:rPr>
        <w:t>q) Solicitar al Enlace del Comité que incorpore al sistema informático la información que compete a las unidades administrativas de la Institución, para la conformación de la carpeta electrónica, a más tardar 5 días hábiles previos a la celebración de la sesión.</w:t>
      </w:r>
    </w:p>
    <w:p w14:paraId="5220B17C" w14:textId="77777777" w:rsidR="00812D6E" w:rsidRPr="009A0936" w:rsidRDefault="00812D6E" w:rsidP="00812D6E">
      <w:pPr>
        <w:spacing w:after="0" w:line="276" w:lineRule="auto"/>
        <w:ind w:left="567" w:right="560"/>
        <w:jc w:val="both"/>
        <w:rPr>
          <w:rFonts w:ascii="Palatino Linotype" w:eastAsia="Palatino Linotype" w:hAnsi="Palatino Linotype" w:cs="Palatino Linotype"/>
          <w:i/>
          <w:sz w:val="24"/>
          <w:szCs w:val="24"/>
        </w:rPr>
      </w:pPr>
    </w:p>
    <w:p w14:paraId="4B45D057" w14:textId="77777777" w:rsidR="00812D6E" w:rsidRPr="009A0936" w:rsidRDefault="00812D6E" w:rsidP="00812D6E">
      <w:pPr>
        <w:spacing w:after="0" w:line="276" w:lineRule="auto"/>
        <w:ind w:left="567" w:right="560"/>
        <w:jc w:val="both"/>
        <w:rPr>
          <w:rFonts w:ascii="Palatino Linotype" w:hAnsi="Palatino Linotype"/>
          <w:b/>
          <w:i/>
        </w:rPr>
      </w:pPr>
      <w:r w:rsidRPr="009A0936">
        <w:rPr>
          <w:rFonts w:ascii="Palatino Linotype" w:hAnsi="Palatino Linotype"/>
          <w:b/>
          <w:i/>
        </w:rPr>
        <w:t xml:space="preserve">VI. DEL ENLACE DEL COMITÉ DE CONTROL Y DESEMPEÑO INSTITUCIONAL: </w:t>
      </w:r>
    </w:p>
    <w:p w14:paraId="4DCDC663" w14:textId="77777777" w:rsidR="00812D6E" w:rsidRPr="009A0936" w:rsidRDefault="00812D6E" w:rsidP="00812D6E">
      <w:pPr>
        <w:spacing w:after="0" w:line="276" w:lineRule="auto"/>
        <w:ind w:left="567" w:right="560"/>
        <w:jc w:val="both"/>
        <w:rPr>
          <w:rFonts w:ascii="Palatino Linotype" w:hAnsi="Palatino Linotype"/>
          <w:i/>
        </w:rPr>
      </w:pPr>
      <w:r w:rsidRPr="009A0936">
        <w:rPr>
          <w:rFonts w:ascii="Palatino Linotype" w:hAnsi="Palatino Linotype"/>
          <w:i/>
        </w:rPr>
        <w:t>a) Ser el canal de comunicación e interacción entre el Coordinador de Control Interno y las unidades administrativas de la Institución;</w:t>
      </w:r>
    </w:p>
    <w:p w14:paraId="4F3CF39D" w14:textId="77777777" w:rsidR="00812D6E" w:rsidRPr="009A0936" w:rsidRDefault="00812D6E" w:rsidP="00812D6E">
      <w:pPr>
        <w:spacing w:after="0" w:line="276" w:lineRule="auto"/>
        <w:ind w:left="567" w:right="560"/>
        <w:jc w:val="both"/>
        <w:rPr>
          <w:rFonts w:ascii="Palatino Linotype" w:hAnsi="Palatino Linotype"/>
          <w:i/>
        </w:rPr>
      </w:pPr>
      <w:r w:rsidRPr="009A0936">
        <w:rPr>
          <w:rFonts w:ascii="Palatino Linotype" w:hAnsi="Palatino Linotype"/>
          <w:i/>
        </w:rPr>
        <w:t xml:space="preserve"> b) Solicitar a las unidades administrativas de la Institución la información suficiente, relevante y competente para la integración de la carpeta electrónica con 10 días hábiles de anticipación a la celebración del Comité; </w:t>
      </w:r>
    </w:p>
    <w:p w14:paraId="63DB0C08" w14:textId="77777777" w:rsidR="00812D6E" w:rsidRPr="009A0936" w:rsidRDefault="00812D6E" w:rsidP="00812D6E">
      <w:pPr>
        <w:spacing w:after="0" w:line="276" w:lineRule="auto"/>
        <w:ind w:left="567" w:right="560"/>
        <w:jc w:val="both"/>
        <w:rPr>
          <w:rFonts w:ascii="Palatino Linotype" w:hAnsi="Palatino Linotype"/>
          <w:i/>
        </w:rPr>
      </w:pPr>
      <w:r w:rsidRPr="009A0936">
        <w:rPr>
          <w:rFonts w:ascii="Palatino Linotype" w:hAnsi="Palatino Linotype"/>
          <w:i/>
        </w:rPr>
        <w:t xml:space="preserve">c) Remitir al Coordinador de Control Interno la información institucional consolidada para su revisión y validación; </w:t>
      </w:r>
    </w:p>
    <w:p w14:paraId="1C22C82D" w14:textId="77777777" w:rsidR="00812D6E" w:rsidRPr="009A0936" w:rsidRDefault="00812D6E" w:rsidP="00812D6E">
      <w:pPr>
        <w:spacing w:after="0" w:line="276" w:lineRule="auto"/>
        <w:ind w:left="567" w:right="560"/>
        <w:jc w:val="both"/>
        <w:rPr>
          <w:rFonts w:ascii="Palatino Linotype" w:hAnsi="Palatino Linotype"/>
          <w:i/>
        </w:rPr>
      </w:pPr>
      <w:r w:rsidRPr="009A0936">
        <w:rPr>
          <w:rFonts w:ascii="Palatino Linotype" w:hAnsi="Palatino Linotype"/>
          <w:i/>
        </w:rPr>
        <w:t xml:space="preserve">d) Integrar y capturar la carpeta electrónica para su consulta por los convocados, con cinco días hábiles de anticipación a la celebración de la sesión. </w:t>
      </w:r>
    </w:p>
    <w:p w14:paraId="1949047E" w14:textId="7D662882" w:rsidR="00812D6E" w:rsidRPr="009A0936" w:rsidRDefault="00812D6E" w:rsidP="00812D6E">
      <w:pPr>
        <w:spacing w:after="0" w:line="276" w:lineRule="auto"/>
        <w:ind w:left="567" w:right="560"/>
        <w:jc w:val="both"/>
        <w:rPr>
          <w:rFonts w:ascii="Palatino Linotype" w:eastAsia="Palatino Linotype" w:hAnsi="Palatino Linotype" w:cs="Palatino Linotype"/>
          <w:i/>
          <w:sz w:val="24"/>
          <w:szCs w:val="24"/>
        </w:rPr>
      </w:pPr>
      <w:r w:rsidRPr="009A0936">
        <w:rPr>
          <w:rFonts w:ascii="Palatino Linotype" w:hAnsi="Palatino Linotype"/>
          <w:i/>
        </w:rPr>
        <w:t>e) Registrar en el Sistema Informático el seguimiento y atención de los acuerdos del Comité.</w:t>
      </w:r>
    </w:p>
    <w:p w14:paraId="4A866C23" w14:textId="77777777" w:rsidR="0022693C" w:rsidRPr="009A0936" w:rsidRDefault="0022693C" w:rsidP="00004C64">
      <w:pPr>
        <w:spacing w:after="0" w:line="360" w:lineRule="auto"/>
        <w:ind w:right="49"/>
        <w:jc w:val="both"/>
        <w:rPr>
          <w:rFonts w:ascii="Palatino Linotype" w:eastAsia="Palatino Linotype" w:hAnsi="Palatino Linotype" w:cs="Palatino Linotype"/>
          <w:sz w:val="24"/>
          <w:szCs w:val="24"/>
        </w:rPr>
      </w:pPr>
    </w:p>
    <w:p w14:paraId="7706F962" w14:textId="3B408825" w:rsidR="00812D6E" w:rsidRPr="009A0936" w:rsidRDefault="00812D6E" w:rsidP="00FE007A">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Por otro lado, de acuerdo con el Marco Integrado de Control Interno para las dependencias y organismos auxiliares de la Administración Pública del Estado de México establece que en su artículo 2 que para los efectos del presente Modelo Estatal de Marco Integrado de Control Interno para el sector público se entenderán como: </w:t>
      </w:r>
    </w:p>
    <w:p w14:paraId="35B3C471" w14:textId="77777777" w:rsidR="00FE007A" w:rsidRPr="009A0936" w:rsidRDefault="00FE007A" w:rsidP="00FE007A">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06E44108"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hAnsi="Palatino Linotype"/>
          <w:i/>
        </w:rPr>
      </w:pPr>
      <w:r w:rsidRPr="009A0936">
        <w:rPr>
          <w:rFonts w:ascii="Palatino Linotype" w:hAnsi="Palatino Linotype"/>
          <w:b/>
          <w:i/>
        </w:rPr>
        <w:t>2.- DEFINICIONES</w:t>
      </w:r>
      <w:r w:rsidRPr="009A0936">
        <w:rPr>
          <w:rFonts w:ascii="Palatino Linotype" w:hAnsi="Palatino Linotype"/>
          <w:i/>
        </w:rPr>
        <w:t xml:space="preserve"> </w:t>
      </w:r>
    </w:p>
    <w:p w14:paraId="7D9F92D0"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hAnsi="Palatino Linotype"/>
          <w:i/>
        </w:rPr>
      </w:pPr>
      <w:r w:rsidRPr="009A0936">
        <w:rPr>
          <w:rFonts w:ascii="Palatino Linotype" w:hAnsi="Palatino Linotype"/>
          <w:i/>
        </w:rPr>
        <w:t>Para los efectos del presente Modelo Estatal de Marco Integrado de Control Interno para el sector público se entenderá por:</w:t>
      </w:r>
    </w:p>
    <w:p w14:paraId="6DD03DA1"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hAnsi="Palatino Linotype"/>
          <w:i/>
        </w:rPr>
      </w:pPr>
      <w:r w:rsidRPr="009A0936">
        <w:rPr>
          <w:rFonts w:ascii="Palatino Linotype" w:hAnsi="Palatino Linotype"/>
          <w:i/>
        </w:rPr>
        <w:t>…</w:t>
      </w:r>
    </w:p>
    <w:p w14:paraId="68D9444B"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hAnsi="Palatino Linotype"/>
          <w:i/>
        </w:rPr>
      </w:pPr>
      <w:r w:rsidRPr="009A0936">
        <w:rPr>
          <w:rFonts w:ascii="Palatino Linotype" w:hAnsi="Palatino Linotype"/>
          <w:b/>
          <w:i/>
        </w:rPr>
        <w:t>2.8. Dependencias.</w:t>
      </w:r>
      <w:r w:rsidRPr="009A0936">
        <w:rPr>
          <w:rFonts w:ascii="Palatino Linotype" w:hAnsi="Palatino Linotype"/>
          <w:i/>
        </w:rPr>
        <w:t xml:space="preserve"> Las dependencias del Ejecutivo y la Procuraduría General de Justicia del Estado de México, establecidas en el artículo 19 de la Ley Orgánica de la Administración Pública del Estado de México.</w:t>
      </w:r>
    </w:p>
    <w:p w14:paraId="721DE65B"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hAnsi="Palatino Linotype"/>
          <w:i/>
        </w:rPr>
      </w:pPr>
      <w:r w:rsidRPr="009A0936">
        <w:rPr>
          <w:rFonts w:ascii="Palatino Linotype" w:hAnsi="Palatino Linotype"/>
          <w:i/>
        </w:rPr>
        <w:t>…</w:t>
      </w:r>
    </w:p>
    <w:p w14:paraId="001B2D98" w14:textId="77777777" w:rsidR="00812D6E" w:rsidRPr="009A0936" w:rsidRDefault="00812D6E" w:rsidP="00812D6E">
      <w:pPr>
        <w:pBdr>
          <w:top w:val="nil"/>
          <w:left w:val="nil"/>
          <w:bottom w:val="nil"/>
          <w:right w:val="nil"/>
          <w:between w:val="nil"/>
        </w:pBdr>
        <w:tabs>
          <w:tab w:val="left" w:pos="709"/>
        </w:tabs>
        <w:spacing w:after="0"/>
        <w:ind w:left="567" w:right="616"/>
        <w:jc w:val="both"/>
        <w:rPr>
          <w:rFonts w:ascii="Palatino Linotype" w:hAnsi="Palatino Linotype"/>
          <w:i/>
        </w:rPr>
      </w:pPr>
      <w:r w:rsidRPr="009A0936">
        <w:rPr>
          <w:rFonts w:ascii="Palatino Linotype" w:hAnsi="Palatino Linotype"/>
          <w:b/>
          <w:i/>
        </w:rPr>
        <w:t>2.10. Entidades.</w:t>
      </w:r>
      <w:r w:rsidRPr="009A0936">
        <w:rPr>
          <w:rFonts w:ascii="Palatino Linotype" w:hAnsi="Palatino Linotype"/>
          <w:i/>
        </w:rPr>
        <w:t xml:space="preserve"> Los organismos auxiliares a que se refiere el artículo 45 de la Ley Orgánica de la Administración Pública del Estado de México.</w:t>
      </w:r>
    </w:p>
    <w:p w14:paraId="2DB0CF80" w14:textId="77777777" w:rsidR="00812D6E" w:rsidRPr="009A0936" w:rsidRDefault="00812D6E" w:rsidP="00812D6E">
      <w:pPr>
        <w:pBdr>
          <w:top w:val="nil"/>
          <w:left w:val="nil"/>
          <w:bottom w:val="nil"/>
          <w:right w:val="nil"/>
          <w:between w:val="nil"/>
        </w:pBdr>
        <w:tabs>
          <w:tab w:val="left" w:pos="709"/>
        </w:tabs>
        <w:ind w:left="567" w:right="616"/>
        <w:jc w:val="both"/>
        <w:rPr>
          <w:rFonts w:ascii="Palatino Linotype" w:eastAsia="Palatino Linotype" w:hAnsi="Palatino Linotype" w:cs="Palatino Linotype"/>
          <w:i/>
        </w:rPr>
      </w:pPr>
      <w:r w:rsidRPr="009A0936">
        <w:rPr>
          <w:rFonts w:ascii="Palatino Linotype" w:hAnsi="Palatino Linotype"/>
          <w:i/>
        </w:rPr>
        <w:t>…</w:t>
      </w:r>
    </w:p>
    <w:p w14:paraId="2149C393" w14:textId="77777777" w:rsidR="00004C64" w:rsidRPr="009A0936" w:rsidRDefault="00004C64" w:rsidP="00812D6E">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p>
    <w:p w14:paraId="7D30C9F6" w14:textId="7F18AAB3" w:rsidR="00812D6E" w:rsidRPr="009A0936" w:rsidRDefault="00AD7D72" w:rsidP="00812D6E">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En ese sentido, de conformidad</w:t>
      </w:r>
      <w:r w:rsidR="00812D6E" w:rsidRPr="009A0936">
        <w:rPr>
          <w:rFonts w:ascii="Palatino Linotype" w:eastAsia="Palatino Linotype" w:hAnsi="Palatino Linotype" w:cs="Palatino Linotype"/>
          <w:sz w:val="24"/>
        </w:rPr>
        <w:t xml:space="preserve"> con la definición contenida en este Manual, respecto al control interno, se tiene que este es un proceso efectuado por el Órgano de gobierno, el titular, la Administración y los demás servidores públicos de una institución para la consecución de los objetivos de las dependencias y </w:t>
      </w:r>
      <w:r w:rsidR="00812D6E" w:rsidRPr="009A0936">
        <w:rPr>
          <w:rFonts w:ascii="Palatino Linotype" w:eastAsia="Palatino Linotype" w:hAnsi="Palatino Linotype" w:cs="Palatino Linotype"/>
          <w:b/>
          <w:sz w:val="24"/>
        </w:rPr>
        <w:t xml:space="preserve">organismos auxiliares </w:t>
      </w:r>
      <w:r w:rsidR="00812D6E" w:rsidRPr="009A0936">
        <w:rPr>
          <w:rFonts w:ascii="Palatino Linotype" w:eastAsia="Palatino Linotype" w:hAnsi="Palatino Linotype" w:cs="Palatino Linotype"/>
          <w:sz w:val="24"/>
        </w:rPr>
        <w:t xml:space="preserve">respecto a la salvaguarda de recursos públicos y la prevención de la corrupción. </w:t>
      </w:r>
    </w:p>
    <w:p w14:paraId="038389A0" w14:textId="77777777" w:rsidR="00812D6E" w:rsidRPr="009A0936" w:rsidRDefault="00812D6E" w:rsidP="00812D6E">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2BA696DB" w14:textId="68438482" w:rsidR="00812D6E" w:rsidRPr="009A0936" w:rsidRDefault="00812D6E" w:rsidP="00812D6E">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Es así que, de conformidad con el artículo 45 de la Ley Orgánica de la Administración Pública del Estado de México, se entenderá como </w:t>
      </w:r>
      <w:r w:rsidRPr="009A0936">
        <w:rPr>
          <w:rFonts w:ascii="Palatino Linotype" w:eastAsia="Palatino Linotype" w:hAnsi="Palatino Linotype" w:cs="Palatino Linotype"/>
          <w:b/>
          <w:sz w:val="24"/>
        </w:rPr>
        <w:t xml:space="preserve">organismos auxiliares </w:t>
      </w:r>
      <w:r w:rsidRPr="009A0936">
        <w:rPr>
          <w:rFonts w:ascii="Palatino Linotype" w:eastAsia="Palatino Linotype" w:hAnsi="Palatino Linotype" w:cs="Palatino Linotype"/>
          <w:sz w:val="24"/>
        </w:rPr>
        <w:t>a los siguientes:</w:t>
      </w:r>
    </w:p>
    <w:p w14:paraId="013F50B6" w14:textId="77777777" w:rsidR="00812D6E" w:rsidRPr="009A0936" w:rsidRDefault="00812D6E" w:rsidP="00812D6E">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30F62308" w14:textId="77777777" w:rsidR="00812D6E" w:rsidRPr="009A0936" w:rsidRDefault="00812D6E" w:rsidP="00004C64">
      <w:pPr>
        <w:pBdr>
          <w:top w:val="nil"/>
          <w:left w:val="nil"/>
          <w:bottom w:val="nil"/>
          <w:right w:val="nil"/>
          <w:between w:val="nil"/>
        </w:pBdr>
        <w:tabs>
          <w:tab w:val="left" w:pos="709"/>
        </w:tabs>
        <w:spacing w:after="0" w:line="276" w:lineRule="auto"/>
        <w:ind w:left="567" w:right="616"/>
        <w:jc w:val="both"/>
        <w:rPr>
          <w:rFonts w:ascii="Palatino Linotype" w:hAnsi="Palatino Linotype"/>
          <w:i/>
        </w:rPr>
      </w:pPr>
      <w:r w:rsidRPr="009A0936">
        <w:rPr>
          <w:rFonts w:ascii="Palatino Linotype" w:hAnsi="Palatino Linotype"/>
          <w:b/>
          <w:i/>
        </w:rPr>
        <w:t>Artículo 45.-</w:t>
      </w:r>
      <w:r w:rsidRPr="009A0936">
        <w:rPr>
          <w:rFonts w:ascii="Palatino Linotype" w:hAnsi="Palatino Linotype"/>
          <w:i/>
        </w:rPr>
        <w:t xml:space="preserve"> </w:t>
      </w:r>
      <w:r w:rsidRPr="009A0936">
        <w:rPr>
          <w:rFonts w:ascii="Palatino Linotype" w:hAnsi="Palatino Linotype"/>
          <w:b/>
          <w:i/>
          <w:u w:val="single"/>
        </w:rPr>
        <w:t>Los organismos descentralizados</w:t>
      </w:r>
      <w:r w:rsidRPr="009A0936">
        <w:rPr>
          <w:rFonts w:ascii="Palatino Linotype" w:hAnsi="Palatino Linotype"/>
          <w:i/>
        </w:rPr>
        <w:t>, las empresas de participación estatal y los fideicomisos públicos serán considerados como organismos auxiliares del Poder Ejecutivo y forman parte de la Administración Pública del Estado.</w:t>
      </w:r>
    </w:p>
    <w:p w14:paraId="7FE268BA" w14:textId="77777777" w:rsidR="00812D6E" w:rsidRPr="009A0936" w:rsidRDefault="00812D6E" w:rsidP="00D02932">
      <w:pPr>
        <w:spacing w:after="0" w:line="360" w:lineRule="auto"/>
        <w:ind w:right="49"/>
        <w:jc w:val="both"/>
        <w:rPr>
          <w:rFonts w:ascii="Palatino Linotype" w:eastAsia="Palatino Linotype" w:hAnsi="Palatino Linotype" w:cs="Palatino Linotype"/>
          <w:sz w:val="24"/>
          <w:szCs w:val="24"/>
        </w:rPr>
      </w:pPr>
    </w:p>
    <w:p w14:paraId="41567C0D" w14:textId="130C7720" w:rsidR="00004C64" w:rsidRPr="009A0936" w:rsidRDefault="00812D6E" w:rsidP="00D02932">
      <w:pPr>
        <w:spacing w:after="0" w:line="360" w:lineRule="auto"/>
        <w:ind w:right="49"/>
        <w:jc w:val="both"/>
        <w:rPr>
          <w:rFonts w:ascii="Palatino Linotype" w:eastAsia="Palatino Linotype" w:hAnsi="Palatino Linotype" w:cs="Palatino Linotype"/>
          <w:b/>
          <w:sz w:val="24"/>
          <w:szCs w:val="24"/>
        </w:rPr>
      </w:pPr>
      <w:r w:rsidRPr="009A0936">
        <w:rPr>
          <w:rFonts w:ascii="Palatino Linotype" w:eastAsia="Palatino Linotype" w:hAnsi="Palatino Linotype" w:cs="Palatino Linotype"/>
          <w:sz w:val="24"/>
          <w:szCs w:val="24"/>
        </w:rPr>
        <w:t>Ah</w:t>
      </w:r>
      <w:r w:rsidR="00004C64" w:rsidRPr="009A0936">
        <w:rPr>
          <w:rFonts w:ascii="Palatino Linotype" w:eastAsia="Palatino Linotype" w:hAnsi="Palatino Linotype" w:cs="Palatino Linotype"/>
          <w:sz w:val="24"/>
          <w:szCs w:val="24"/>
        </w:rPr>
        <w:t xml:space="preserve">ora bien, de acuerdo con Manual General de Organización del Instituto Hacendario del </w:t>
      </w:r>
      <w:r w:rsidR="00991082" w:rsidRPr="009A0936">
        <w:rPr>
          <w:rFonts w:ascii="Palatino Linotype" w:eastAsia="Palatino Linotype" w:hAnsi="Palatino Linotype" w:cs="Palatino Linotype"/>
          <w:sz w:val="24"/>
          <w:szCs w:val="24"/>
        </w:rPr>
        <w:t xml:space="preserve">Estado de México establece que este Ente Público </w:t>
      </w:r>
      <w:r w:rsidR="00991082" w:rsidRPr="009A0936">
        <w:rPr>
          <w:rFonts w:ascii="Palatino Linotype" w:eastAsia="Palatino Linotype" w:hAnsi="Palatino Linotype" w:cs="Palatino Linotype"/>
          <w:b/>
          <w:sz w:val="24"/>
          <w:szCs w:val="24"/>
        </w:rPr>
        <w:t xml:space="preserve">es un organismo público descentralizado por servicio con personalidad jurídica y patrimonios propios, que tienen por objeto operar, desarrollar y actualizar el Sistema de Coordinación Hacendaria del Gobierno del Estado con sus Municipios. </w:t>
      </w:r>
    </w:p>
    <w:p w14:paraId="257D0FA0" w14:textId="77777777" w:rsidR="00991082" w:rsidRPr="009A0936" w:rsidRDefault="00991082" w:rsidP="00D02932">
      <w:pPr>
        <w:spacing w:after="0" w:line="360" w:lineRule="auto"/>
        <w:ind w:right="49"/>
        <w:jc w:val="both"/>
        <w:rPr>
          <w:rFonts w:ascii="Palatino Linotype" w:eastAsia="Palatino Linotype" w:hAnsi="Palatino Linotype" w:cs="Palatino Linotype"/>
          <w:sz w:val="24"/>
          <w:szCs w:val="24"/>
        </w:rPr>
      </w:pPr>
    </w:p>
    <w:p w14:paraId="6194F83E" w14:textId="6042B4C7" w:rsidR="00991082" w:rsidRPr="009A0936" w:rsidRDefault="00991082" w:rsidP="0099108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De tal forma que, se arriba a las siguientes consideraciones: </w:t>
      </w:r>
    </w:p>
    <w:p w14:paraId="5BAC7C5E" w14:textId="77777777" w:rsidR="00991082" w:rsidRPr="009A0936" w:rsidRDefault="00991082" w:rsidP="0099108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rPr>
      </w:pPr>
    </w:p>
    <w:p w14:paraId="2B04559D" w14:textId="77777777"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control interno es un proceso efectuado con el objetivo de cumplir con los propósitos institucionales, salvaguardar los recursos públicos y prevenir la corrupción. </w:t>
      </w:r>
    </w:p>
    <w:p w14:paraId="605541DF" w14:textId="77777777"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control interno se establece al interior de una institución como parte de una estructura organizacional. </w:t>
      </w:r>
    </w:p>
    <w:p w14:paraId="41CD000C" w14:textId="77777777"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Marco Integrado de Control Interno, establece que las funciones y responsabilidades del control interno serán por parte del Órgano de Gobierno y/o Titular, Administración, Servidores Públicos y una Instancia de Supervisión. </w:t>
      </w:r>
    </w:p>
    <w:p w14:paraId="582493A3" w14:textId="693836E0"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Acuerdo por el que el Secretario de la Contraloría emite las disposiciones y el Manual Administrativo en materia de control interno para las dependencias y organismos auxiliares del Estado de México, precisa la existencia de un Sistema de Control Interno Institucional. </w:t>
      </w:r>
    </w:p>
    <w:p w14:paraId="37AC54A6" w14:textId="52E99F9E"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Sistema de control Interno Institucional se compondrá del </w:t>
      </w:r>
      <w:r w:rsidRPr="009A0936">
        <w:rPr>
          <w:rFonts w:ascii="Palatino Linotype" w:eastAsia="Palatino Linotype" w:hAnsi="Palatino Linotype" w:cs="Palatino Linotype"/>
          <w:b/>
          <w:u w:val="single"/>
        </w:rPr>
        <w:t>Comité de Control y Desempeño Institucional y del Enlace del Comité de Control y Desempeño Institucional.</w:t>
      </w:r>
      <w:r w:rsidRPr="009A0936">
        <w:rPr>
          <w:rFonts w:ascii="Palatino Linotype" w:eastAsia="Palatino Linotype" w:hAnsi="Palatino Linotype" w:cs="Palatino Linotype"/>
        </w:rPr>
        <w:t xml:space="preserve"> </w:t>
      </w:r>
    </w:p>
    <w:p w14:paraId="7087A5BF" w14:textId="40B65C8B"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Acuerdo en mención, refiere en cuanto a su objeto y ámbito de aplicación que los titulares, órganos de gobierno y servidores públicos de las dependencias y </w:t>
      </w:r>
      <w:r w:rsidRPr="009A0936">
        <w:rPr>
          <w:rFonts w:ascii="Palatino Linotype" w:eastAsia="Palatino Linotype" w:hAnsi="Palatino Linotype" w:cs="Palatino Linotype"/>
          <w:b/>
          <w:u w:val="single"/>
        </w:rPr>
        <w:t>organismos auxiliares</w:t>
      </w:r>
      <w:r w:rsidRPr="009A0936">
        <w:rPr>
          <w:rFonts w:ascii="Palatino Linotype" w:eastAsia="Palatino Linotype" w:hAnsi="Palatino Linotype" w:cs="Palatino Linotype"/>
        </w:rPr>
        <w:t xml:space="preserve"> </w:t>
      </w:r>
      <w:r w:rsidRPr="009A0936">
        <w:rPr>
          <w:rFonts w:ascii="Palatino Linotype" w:eastAsia="Palatino Linotype" w:hAnsi="Palatino Linotype" w:cs="Palatino Linotype"/>
          <w:b/>
        </w:rPr>
        <w:t>establecerán, actualizarán y mantendrán en operación su sistema de control interno.</w:t>
      </w:r>
    </w:p>
    <w:p w14:paraId="1EEE84FA" w14:textId="77777777"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La Ley Orgánica de la Administración Pública establece como organismos auxiliares de la administración pública a los organismos descentralizados. </w:t>
      </w:r>
    </w:p>
    <w:p w14:paraId="3F703693" w14:textId="46B48C10" w:rsidR="00991082" w:rsidRPr="009A0936" w:rsidRDefault="00991082" w:rsidP="0099108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rPr>
      </w:pPr>
      <w:r w:rsidRPr="009A0936">
        <w:rPr>
          <w:rFonts w:ascii="Palatino Linotype" w:eastAsia="Palatino Linotype" w:hAnsi="Palatino Linotype" w:cs="Palatino Linotype"/>
        </w:rPr>
        <w:t xml:space="preserve">El Instituto Hacendario del Estado de México es un organismo descentralizado. </w:t>
      </w:r>
    </w:p>
    <w:p w14:paraId="40B4BC35" w14:textId="08D3C1A1" w:rsidR="00812D6E" w:rsidRPr="009A0936" w:rsidRDefault="00991082" w:rsidP="003A0D42">
      <w:pPr>
        <w:pStyle w:val="Prrafodelista"/>
        <w:numPr>
          <w:ilvl w:val="0"/>
          <w:numId w:val="27"/>
        </w:numPr>
        <w:pBdr>
          <w:top w:val="nil"/>
          <w:left w:val="nil"/>
          <w:bottom w:val="nil"/>
          <w:right w:val="nil"/>
          <w:between w:val="nil"/>
        </w:pBdr>
        <w:tabs>
          <w:tab w:val="left" w:pos="709"/>
        </w:tabs>
        <w:spacing w:after="0" w:line="360" w:lineRule="auto"/>
        <w:contextualSpacing w:val="0"/>
        <w:jc w:val="both"/>
        <w:rPr>
          <w:rFonts w:ascii="Palatino Linotype" w:eastAsia="Palatino Linotype" w:hAnsi="Palatino Linotype" w:cs="Palatino Linotype"/>
          <w:b/>
          <w:u w:val="single"/>
        </w:rPr>
      </w:pPr>
      <w:r w:rsidRPr="009A0936">
        <w:rPr>
          <w:rFonts w:ascii="Palatino Linotype" w:eastAsia="Palatino Linotype" w:hAnsi="Palatino Linotype" w:cs="Palatino Linotype"/>
          <w:b/>
          <w:u w:val="single"/>
        </w:rPr>
        <w:t>El Instituto Hacendario del Estado de México debe constituir un Sistema de Control Interno Institucional el cual estará integrado por el Comité de Control y Desempeño Institucional y donde habrá una persona de enlace.</w:t>
      </w:r>
    </w:p>
    <w:p w14:paraId="1A704445" w14:textId="6FC1174E" w:rsidR="00991082" w:rsidRPr="009A0936" w:rsidRDefault="00991082" w:rsidP="0099108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Ahora bien, en relación con el caso que ahora nos ocupa, se tiene que el Sujeto Obligado, a través de la Titular de la Unidad de Transparencia, se declaró incompetente refiriendo que de conformidad con los artículos 245 y 246 del Código Financiero del Estado de México y Municipios, el Instituto Hacendario del Estado de México, es un organismo público descentralizado por servicio que tiene por objeto operar, desarrollar y actualizar el Sistema de Coordinación Hacendaria del Estado de México, por lo que, se consideraba que el Sujeto O</w:t>
      </w:r>
      <w:r w:rsidR="00261385" w:rsidRPr="009A0936">
        <w:rPr>
          <w:rFonts w:ascii="Palatino Linotype" w:eastAsia="Palatino Linotype" w:hAnsi="Palatino Linotype" w:cs="Palatino Linotype"/>
          <w:sz w:val="24"/>
        </w:rPr>
        <w:t xml:space="preserve">bligado para atender la solicitud de información era la Secretaría de la Contraloría del Estado de México. </w:t>
      </w:r>
    </w:p>
    <w:p w14:paraId="11BE6B18" w14:textId="77777777" w:rsidR="00261385" w:rsidRPr="009A0936" w:rsidRDefault="00261385" w:rsidP="0099108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511F329D" w14:textId="5A22F8EF" w:rsidR="00261385" w:rsidRPr="009A0936" w:rsidRDefault="00261385" w:rsidP="0099108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Por lo anterior, es importante, referir que, tal como se señaló anteriormente, el Instituto Hacendario del Estado de México, </w:t>
      </w:r>
      <w:r w:rsidRPr="009A0936">
        <w:rPr>
          <w:rFonts w:ascii="Palatino Linotype" w:eastAsia="Palatino Linotype" w:hAnsi="Palatino Linotype" w:cs="Palatino Linotype"/>
          <w:b/>
          <w:sz w:val="24"/>
          <w:u w:val="single"/>
        </w:rPr>
        <w:t>es un organismo descentralizado</w:t>
      </w:r>
      <w:r w:rsidRPr="009A0936">
        <w:rPr>
          <w:rFonts w:ascii="Palatino Linotype" w:eastAsia="Palatino Linotype" w:hAnsi="Palatino Linotype" w:cs="Palatino Linotype"/>
          <w:sz w:val="24"/>
        </w:rPr>
        <w:t xml:space="preserve">, el cual de conformidad con la Ley Orgánica de la Administración Pública es considerado como un organismo auxiliar y, por tanto, debe acatar lo establecido en el Marco Integrado de Control Interno, el Acuerdo por el que el Secretario de la Contraloría emite las disposiciones y el Manual Administrativo en materia de control interno para las dependencias y organismos auxiliares del Estado de México, toda vez que, </w:t>
      </w:r>
      <w:r w:rsidRPr="009A0936">
        <w:rPr>
          <w:rFonts w:ascii="Palatino Linotype" w:eastAsia="Palatino Linotype" w:hAnsi="Palatino Linotype" w:cs="Palatino Linotype"/>
          <w:b/>
          <w:sz w:val="24"/>
          <w:u w:val="single"/>
        </w:rPr>
        <w:t>estas disposiciones son de observancia para los organismos auxiliares de la administración pública.</w:t>
      </w:r>
    </w:p>
    <w:p w14:paraId="541E9A95" w14:textId="77777777" w:rsidR="00991082" w:rsidRPr="009A0936" w:rsidRDefault="00991082" w:rsidP="009910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789F2C0" w14:textId="3EB7E846" w:rsidR="00261385" w:rsidRPr="009A0936" w:rsidRDefault="00261385" w:rsidP="0099108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De tal manera que, se advierte que el Instituto Hacendario del Estado de México es competente para, generar y administrar la información relacionada con las actas que emita el Comité de Control y Desempeño Institucional, pues a su interior, se debió haber conformado el mismo, en atención a las disposiciones normativas citadas en el párrafo que antecede. </w:t>
      </w:r>
    </w:p>
    <w:p w14:paraId="5A72F965" w14:textId="77777777" w:rsidR="00261385" w:rsidRPr="009A0936" w:rsidRDefault="00261385" w:rsidP="0026138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Por otra parte, de conformidad con los artículos transitorios del Acuerdo por el que el Secretario de la Contraloría emite las disposiciones y el Manual Administrativo en Materia de Control Interno para las Dependencias y Organismos Auxiliares del Gobierno del Estado de México, establece en su artículo segundo que, este acuerdo entrará en vigor al día siguiente de su publicación en el Periódico Oficial Gaceta de Gobierno, como se aprecia a continuación: </w:t>
      </w:r>
    </w:p>
    <w:p w14:paraId="07D66FF6" w14:textId="77777777" w:rsidR="00261385" w:rsidRPr="009A0936" w:rsidRDefault="00261385" w:rsidP="00261385">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891E2CB" w14:textId="77777777" w:rsidR="00261385" w:rsidRPr="009A0936" w:rsidRDefault="00261385" w:rsidP="00261385">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9A0936">
        <w:rPr>
          <w:rFonts w:ascii="Palatino Linotype" w:eastAsia="Palatino Linotype" w:hAnsi="Palatino Linotype" w:cs="Palatino Linotype"/>
          <w:noProof/>
        </w:rPr>
        <w:drawing>
          <wp:inline distT="0" distB="0" distL="0" distR="0" wp14:anchorId="0F4A260D" wp14:editId="2AA27B18">
            <wp:extent cx="4411980" cy="1595461"/>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9213" cy="1598077"/>
                    </a:xfrm>
                    <a:prstGeom prst="rect">
                      <a:avLst/>
                    </a:prstGeom>
                  </pic:spPr>
                </pic:pic>
              </a:graphicData>
            </a:graphic>
          </wp:inline>
        </w:drawing>
      </w:r>
    </w:p>
    <w:p w14:paraId="33E51F00" w14:textId="30569468" w:rsidR="00261385" w:rsidRPr="009A0936" w:rsidRDefault="003A0D42" w:rsidP="003A0D42">
      <w:pPr>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r w:rsidRPr="009A0936">
        <w:rPr>
          <w:rFonts w:ascii="Palatino Linotype" w:eastAsia="Palatino Linotype" w:hAnsi="Palatino Linotype" w:cs="Palatino Linotype"/>
        </w:rPr>
        <w:t>…</w:t>
      </w:r>
    </w:p>
    <w:p w14:paraId="5C4F72E0" w14:textId="45D02467" w:rsidR="00261385" w:rsidRPr="009A0936" w:rsidRDefault="00261385" w:rsidP="00261385">
      <w:pPr>
        <w:pBdr>
          <w:top w:val="nil"/>
          <w:left w:val="nil"/>
          <w:bottom w:val="nil"/>
          <w:right w:val="nil"/>
          <w:between w:val="nil"/>
        </w:pBdr>
        <w:tabs>
          <w:tab w:val="left" w:pos="709"/>
        </w:tabs>
        <w:spacing w:after="0" w:line="360" w:lineRule="auto"/>
        <w:jc w:val="center"/>
        <w:rPr>
          <w:rFonts w:ascii="Palatino Linotype" w:eastAsia="Palatino Linotype" w:hAnsi="Palatino Linotype" w:cs="Palatino Linotype"/>
        </w:rPr>
      </w:pPr>
      <w:r w:rsidRPr="009A0936">
        <w:rPr>
          <w:rFonts w:ascii="Palatino Linotype" w:eastAsia="Palatino Linotype" w:hAnsi="Palatino Linotype" w:cs="Palatino Linotype"/>
          <w:noProof/>
        </w:rPr>
        <w:drawing>
          <wp:inline distT="0" distB="0" distL="0" distR="0" wp14:anchorId="36590E4D" wp14:editId="11867DDC">
            <wp:extent cx="4954905" cy="1236764"/>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3753" cy="1241469"/>
                    </a:xfrm>
                    <a:prstGeom prst="rect">
                      <a:avLst/>
                    </a:prstGeom>
                  </pic:spPr>
                </pic:pic>
              </a:graphicData>
            </a:graphic>
          </wp:inline>
        </w:drawing>
      </w:r>
    </w:p>
    <w:p w14:paraId="5D116B58" w14:textId="77777777" w:rsidR="00261385" w:rsidRPr="009A0936" w:rsidRDefault="00261385" w:rsidP="00261385">
      <w:pPr>
        <w:pBdr>
          <w:top w:val="nil"/>
          <w:left w:val="nil"/>
          <w:bottom w:val="nil"/>
          <w:right w:val="nil"/>
          <w:between w:val="nil"/>
        </w:pBdr>
        <w:tabs>
          <w:tab w:val="left" w:pos="709"/>
        </w:tabs>
        <w:spacing w:after="0" w:line="360" w:lineRule="auto"/>
        <w:jc w:val="center"/>
        <w:rPr>
          <w:rFonts w:ascii="Palatino Linotype" w:eastAsia="Palatino Linotype" w:hAnsi="Palatino Linotype" w:cs="Palatino Linotype"/>
        </w:rPr>
      </w:pPr>
    </w:p>
    <w:p w14:paraId="38EB7701" w14:textId="04881E7F"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u w:val="single"/>
        </w:rPr>
      </w:pPr>
      <w:r w:rsidRPr="009A0936">
        <w:rPr>
          <w:rFonts w:ascii="Palatino Linotype" w:eastAsia="Palatino Linotype" w:hAnsi="Palatino Linotype" w:cs="Palatino Linotype"/>
          <w:sz w:val="24"/>
        </w:rPr>
        <w:t xml:space="preserve">De tal forma que, su publicación fue </w:t>
      </w:r>
      <w:r w:rsidRPr="009A0936">
        <w:rPr>
          <w:rFonts w:ascii="Palatino Linotype" w:eastAsia="Palatino Linotype" w:hAnsi="Palatino Linotype" w:cs="Palatino Linotype"/>
          <w:b/>
          <w:sz w:val="24"/>
        </w:rPr>
        <w:t>cuatro de septiembre de dos mil diecisiete</w:t>
      </w:r>
      <w:r w:rsidRPr="009A0936">
        <w:rPr>
          <w:rFonts w:ascii="Palatino Linotype" w:eastAsia="Palatino Linotype" w:hAnsi="Palatino Linotype" w:cs="Palatino Linotype"/>
          <w:sz w:val="24"/>
        </w:rPr>
        <w:t xml:space="preserve">, por lo que, entró en vigor el </w:t>
      </w:r>
      <w:r w:rsidRPr="009A0936">
        <w:rPr>
          <w:rFonts w:ascii="Palatino Linotype" w:eastAsia="Palatino Linotype" w:hAnsi="Palatino Linotype" w:cs="Palatino Linotype"/>
          <w:b/>
          <w:sz w:val="24"/>
        </w:rPr>
        <w:t>cinco de septiembre de dos mil diecisiete</w:t>
      </w:r>
      <w:r w:rsidRPr="009A0936">
        <w:rPr>
          <w:rFonts w:ascii="Palatino Linotype" w:eastAsia="Palatino Linotype" w:hAnsi="Palatino Linotype" w:cs="Palatino Linotype"/>
          <w:sz w:val="24"/>
        </w:rPr>
        <w:t xml:space="preserve">, es así que, a partir de esa fecha, </w:t>
      </w:r>
      <w:r w:rsidRPr="009A0936">
        <w:rPr>
          <w:rFonts w:ascii="Palatino Linotype" w:eastAsia="Palatino Linotype" w:hAnsi="Palatino Linotype" w:cs="Palatino Linotype"/>
          <w:b/>
          <w:sz w:val="24"/>
          <w:u w:val="single"/>
        </w:rPr>
        <w:t>el Sujeto Obligado debió acatar lo dispuesto en la citada disposición normativa.</w:t>
      </w:r>
      <w:r w:rsidRPr="009A0936">
        <w:rPr>
          <w:rFonts w:ascii="Palatino Linotype" w:eastAsia="Palatino Linotype" w:hAnsi="Palatino Linotype" w:cs="Palatino Linotype"/>
          <w:sz w:val="24"/>
          <w:u w:val="single"/>
        </w:rPr>
        <w:t xml:space="preserve"> </w:t>
      </w:r>
    </w:p>
    <w:p w14:paraId="7A8978EE" w14:textId="074AB863"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Demostrada la competencia del Sujeto Obligado, resulta indispensable señalar que la unidad administrativa que dio atención a la solicitud de información fue la Unidad de Planeación y Transparencia del Instituto Hacendario del Estado de México y que, si bien, en el Acta de la Décima Tercera Sesión Extraordinaria del su Comité de Transparencia firmó el Titular del Órgano Interno de Control validando la incompetencia de la información, también lo es que, no se advierte que se haya realizado la búsqueda exhaustiva de la información requerida. </w:t>
      </w:r>
    </w:p>
    <w:p w14:paraId="6DA62763" w14:textId="77777777"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3F00302E" w14:textId="55FCB677"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Por ello, se destaca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AF0E678" w14:textId="77777777"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p>
    <w:p w14:paraId="05451DC5" w14:textId="77777777" w:rsidR="00261385" w:rsidRPr="009A0936" w:rsidRDefault="00261385" w:rsidP="0026138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En ese orden de ideas, para la atención de las solicitudes de acceso a la información, debe privilegiarse el </w:t>
      </w:r>
      <w:r w:rsidRPr="009A0936">
        <w:rPr>
          <w:rFonts w:ascii="Palatino Linotype" w:eastAsia="Palatino Linotype" w:hAnsi="Palatino Linotype" w:cs="Palatino Linotype"/>
          <w:b/>
          <w:sz w:val="24"/>
        </w:rPr>
        <w:t>principio de máxima publicidad</w:t>
      </w:r>
      <w:r w:rsidRPr="009A0936">
        <w:rPr>
          <w:rFonts w:ascii="Palatino Linotype" w:eastAsia="Palatino Linotype" w:hAnsi="Palatino Linotype" w:cs="Palatino Linotype"/>
          <w:sz w:val="24"/>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793C5DD" w14:textId="77777777" w:rsidR="00261385" w:rsidRPr="009A0936" w:rsidRDefault="00261385" w:rsidP="00261385">
      <w:pPr>
        <w:spacing w:after="0" w:line="360" w:lineRule="auto"/>
        <w:rPr>
          <w:rFonts w:ascii="Palatino Linotype" w:eastAsia="Palatino Linotype" w:hAnsi="Palatino Linotype" w:cs="Palatino Linotype"/>
          <w:sz w:val="24"/>
        </w:rPr>
      </w:pPr>
    </w:p>
    <w:p w14:paraId="0B1A8B13" w14:textId="77777777" w:rsidR="00261385" w:rsidRPr="009A0936" w:rsidRDefault="00261385" w:rsidP="0026138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561EF0" w14:textId="77777777" w:rsidR="00261385" w:rsidRPr="009A0936" w:rsidRDefault="00261385" w:rsidP="00261385">
      <w:pPr>
        <w:spacing w:after="0" w:line="360" w:lineRule="auto"/>
        <w:rPr>
          <w:rFonts w:ascii="Palatino Linotype" w:eastAsia="Palatino Linotype" w:hAnsi="Palatino Linotype" w:cs="Palatino Linotype"/>
          <w:sz w:val="24"/>
        </w:rPr>
      </w:pPr>
    </w:p>
    <w:p w14:paraId="46ED9828"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3F30E80"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E80016B"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Las respuestas a los requerimientos informativos deberán notificarse al interesado en el menor tiempo posible, que no podrá exceder </w:t>
      </w:r>
      <w:r w:rsidRPr="009A0936">
        <w:rPr>
          <w:rFonts w:ascii="Palatino Linotype" w:eastAsia="Palatino Linotype" w:hAnsi="Palatino Linotype" w:cs="Palatino Linotype"/>
          <w:b/>
          <w:sz w:val="24"/>
        </w:rPr>
        <w:t>quince días, contados a partir del día siguiente a la presentación de ésta.</w:t>
      </w:r>
      <w:r w:rsidRPr="009A0936">
        <w:rPr>
          <w:rFonts w:ascii="Palatino Linotype" w:eastAsia="Palatino Linotype" w:hAnsi="Palatino Linotype" w:cs="Palatino Linotype"/>
          <w:sz w:val="24"/>
        </w:rPr>
        <w:t xml:space="preserve"> Excepcionalmente, el plazo referido podrá ampliarse por siete días hábiles más, cuando existan razones fundadas y motivadas, a través del Comité de Transparencia;</w:t>
      </w:r>
    </w:p>
    <w:p w14:paraId="4FC33332"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b/>
          <w:sz w:val="24"/>
          <w:u w:val="single"/>
        </w:rPr>
      </w:pPr>
      <w:r w:rsidRPr="009A0936">
        <w:rPr>
          <w:rFonts w:ascii="Palatino Linotype" w:eastAsia="Palatino Linotype" w:hAnsi="Palatino Linotype" w:cs="Palatino Linotype"/>
          <w:b/>
          <w:sz w:val="24"/>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E8FF064"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b/>
          <w:sz w:val="24"/>
        </w:rPr>
      </w:pPr>
      <w:r w:rsidRPr="009A0936">
        <w:rPr>
          <w:rFonts w:ascii="Palatino Linotype" w:eastAsia="Palatino Linotype" w:hAnsi="Palatino Linotype" w:cs="Palatino Linotype"/>
          <w:sz w:val="24"/>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305DD08" w14:textId="77777777" w:rsidR="00261385" w:rsidRPr="009A0936" w:rsidRDefault="00261385" w:rsidP="00261385">
      <w:pPr>
        <w:numPr>
          <w:ilvl w:val="0"/>
          <w:numId w:val="28"/>
        </w:numPr>
        <w:spacing w:after="0" w:line="360" w:lineRule="auto"/>
        <w:jc w:val="both"/>
        <w:rPr>
          <w:rFonts w:ascii="Palatino Linotype" w:eastAsia="Palatino Linotype" w:hAnsi="Palatino Linotype" w:cs="Palatino Linotype"/>
          <w:b/>
          <w:sz w:val="24"/>
        </w:rPr>
      </w:pPr>
      <w:r w:rsidRPr="009A0936">
        <w:rPr>
          <w:rFonts w:ascii="Palatino Linotype" w:eastAsia="Palatino Linotype" w:hAnsi="Palatino Linotype" w:cs="Palatino Linotype"/>
          <w:sz w:val="24"/>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2FD584B" w14:textId="77777777" w:rsidR="00261385" w:rsidRPr="009A0936" w:rsidRDefault="00261385" w:rsidP="00261385">
      <w:pPr>
        <w:spacing w:after="0" w:line="360" w:lineRule="auto"/>
        <w:rPr>
          <w:sz w:val="24"/>
        </w:rPr>
      </w:pPr>
    </w:p>
    <w:p w14:paraId="5C310DA9" w14:textId="790E9105" w:rsidR="00261385" w:rsidRPr="009A0936" w:rsidRDefault="00261385" w:rsidP="0026138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De tal manera que, para acreditar la búsqueda exhaustiva de la información la Unidad de Transparencia debe seguir un determinado procedimiento para atender una solicitud, es decir; se debe turnar la solicitud de información a todas las áreas competentes que cuenten con la información o deban tenerla de acuerdo con sus facultades, funciones y atribuciones, para que realicen una búsqueda exhaustiva y razonable de la documentación solicitada, </w:t>
      </w:r>
      <w:r w:rsidRPr="009A0936">
        <w:rPr>
          <w:rFonts w:ascii="Palatino Linotype" w:eastAsia="Palatino Linotype" w:hAnsi="Palatino Linotype" w:cs="Palatino Linotype"/>
          <w:b/>
          <w:sz w:val="24"/>
          <w:u w:val="single"/>
        </w:rPr>
        <w:t xml:space="preserve">situación que en el presente no aconteció, toda vez que, la unidad administrativa que dio atención fue la Unidad de Transparencia del Sujeto Obligado, además de que, no se advierte que se haya realizado la búsqueda de la información solicitada. </w:t>
      </w:r>
    </w:p>
    <w:p w14:paraId="66C6715E" w14:textId="77777777" w:rsidR="00261385" w:rsidRPr="009A0936" w:rsidRDefault="00261385" w:rsidP="0026138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rPr>
      </w:pPr>
    </w:p>
    <w:p w14:paraId="60E5F31F" w14:textId="313D4A7F" w:rsidR="00261385" w:rsidRPr="009A0936" w:rsidRDefault="00261385" w:rsidP="00261385">
      <w:pPr>
        <w:spacing w:after="0" w:line="360" w:lineRule="auto"/>
        <w:ind w:right="49"/>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Es así que, del análisis realizado a la normatividad que rige al Sujeto Obligado, se desprendió que, en el Manual General de Organización del Instituto, se establece que esta estará integrada por una Contraloría Interna, la cual tendrá como atribuciones las siguientes: </w:t>
      </w:r>
    </w:p>
    <w:p w14:paraId="70ACC739" w14:textId="77777777" w:rsidR="00261385" w:rsidRPr="009A0936" w:rsidRDefault="00261385" w:rsidP="00261385">
      <w:pPr>
        <w:spacing w:after="0" w:line="360" w:lineRule="auto"/>
        <w:ind w:right="49"/>
        <w:jc w:val="both"/>
        <w:rPr>
          <w:rFonts w:ascii="Palatino Linotype" w:eastAsia="Palatino Linotype" w:hAnsi="Palatino Linotype" w:cs="Palatino Linotype"/>
          <w:i/>
          <w:sz w:val="24"/>
        </w:rPr>
      </w:pPr>
    </w:p>
    <w:p w14:paraId="2F63C32E" w14:textId="77777777" w:rsidR="00261385" w:rsidRPr="009A0936" w:rsidRDefault="00261385" w:rsidP="00261385">
      <w:pPr>
        <w:spacing w:after="0" w:line="360" w:lineRule="auto"/>
        <w:ind w:left="567" w:right="616"/>
        <w:jc w:val="both"/>
        <w:rPr>
          <w:rFonts w:ascii="Palatino Linotype" w:hAnsi="Palatino Linotype"/>
          <w:b/>
          <w:i/>
          <w:sz w:val="24"/>
        </w:rPr>
      </w:pPr>
      <w:r w:rsidRPr="009A0936">
        <w:rPr>
          <w:rFonts w:ascii="Palatino Linotype" w:hAnsi="Palatino Linotype"/>
          <w:b/>
          <w:i/>
          <w:sz w:val="24"/>
        </w:rPr>
        <w:t xml:space="preserve">FUNCIONES: </w:t>
      </w:r>
    </w:p>
    <w:p w14:paraId="4FE57FE1" w14:textId="15BA5DB2" w:rsidR="00261385" w:rsidRPr="009A0936" w:rsidRDefault="00261385" w:rsidP="00261385">
      <w:pPr>
        <w:spacing w:after="0" w:line="276" w:lineRule="auto"/>
        <w:ind w:left="567" w:right="616"/>
        <w:jc w:val="both"/>
        <w:rPr>
          <w:rFonts w:ascii="Palatino Linotype" w:hAnsi="Palatino Linotype"/>
          <w:b/>
          <w:i/>
        </w:rPr>
      </w:pPr>
      <w:r w:rsidRPr="009A0936">
        <w:rPr>
          <w:rFonts w:ascii="Palatino Linotype" w:hAnsi="Palatino Linotype"/>
          <w:b/>
          <w:i/>
        </w:rPr>
        <w:t>…</w:t>
      </w:r>
    </w:p>
    <w:p w14:paraId="29A932BB" w14:textId="341DCA0F" w:rsidR="00261385" w:rsidRPr="009A0936" w:rsidRDefault="00261385" w:rsidP="00261385">
      <w:pPr>
        <w:spacing w:after="0" w:line="276" w:lineRule="auto"/>
        <w:ind w:left="567" w:right="616"/>
        <w:jc w:val="both"/>
        <w:rPr>
          <w:rFonts w:ascii="Palatino Linotype" w:hAnsi="Palatino Linotype"/>
          <w:i/>
        </w:rPr>
      </w:pPr>
      <w:r w:rsidRPr="009A0936">
        <w:rPr>
          <w:rFonts w:ascii="Palatino Linotype" w:hAnsi="Palatino Linotype"/>
          <w:i/>
        </w:rPr>
        <w:t>- Elaborar el programa anual de Control y Evaluación y someterlo para su aprobación a la Secretaría de la Contraloría. - Ejecutar acciones de control y evaluación que permitan verificar la observancia de las normas y disposiciones emitidas en materia de sistemas de registro, y contabilidad, contratación, control y pagos de personal, contratación de servicios, obra pública, adquisiciones, arrendamientos, conservación, uso, destino, afectación, enajenación de bienes y demás activos de recursos materiales por parte de las unidades administrativas del Instituto.</w:t>
      </w:r>
    </w:p>
    <w:p w14:paraId="56591F97" w14:textId="68DAB1AE" w:rsidR="00261385" w:rsidRPr="009A0936" w:rsidRDefault="00261385" w:rsidP="00261385">
      <w:pPr>
        <w:spacing w:after="0" w:line="276" w:lineRule="auto"/>
        <w:ind w:left="567" w:right="616"/>
        <w:jc w:val="both"/>
        <w:rPr>
          <w:rFonts w:ascii="Palatino Linotype" w:hAnsi="Palatino Linotype"/>
          <w:i/>
        </w:rPr>
      </w:pPr>
      <w:r w:rsidRPr="009A0936">
        <w:rPr>
          <w:rFonts w:ascii="Palatino Linotype" w:hAnsi="Palatino Linotype"/>
          <w:i/>
        </w:rPr>
        <w:t>…</w:t>
      </w:r>
    </w:p>
    <w:p w14:paraId="28DF5AA5" w14:textId="3E4CC906" w:rsidR="00261385" w:rsidRPr="009A0936" w:rsidRDefault="00261385" w:rsidP="00261385">
      <w:pPr>
        <w:spacing w:after="0" w:line="276" w:lineRule="auto"/>
        <w:ind w:left="567" w:right="616"/>
        <w:jc w:val="both"/>
        <w:rPr>
          <w:rFonts w:ascii="Palatino Linotype" w:hAnsi="Palatino Linotype"/>
          <w:i/>
        </w:rPr>
      </w:pPr>
      <w:r w:rsidRPr="009A0936">
        <w:rPr>
          <w:rFonts w:ascii="Palatino Linotype" w:hAnsi="Palatino Linotype"/>
          <w:i/>
        </w:rPr>
        <w:t>- Comunicar los resultados de las acciones de control y evaluación a la Vocalía Ejecutiva del Instituto, a la Secretaría de la Contraloría y a los titulares de las unidades administrativas revisadas.</w:t>
      </w:r>
    </w:p>
    <w:p w14:paraId="22C8B8A8" w14:textId="5CF44B3D" w:rsidR="00261385" w:rsidRPr="009A0936" w:rsidRDefault="00261385" w:rsidP="00261385">
      <w:pPr>
        <w:spacing w:after="0" w:line="276" w:lineRule="auto"/>
        <w:ind w:left="567" w:right="616"/>
        <w:jc w:val="both"/>
        <w:rPr>
          <w:rFonts w:ascii="Palatino Linotype" w:hAnsi="Palatino Linotype"/>
          <w:i/>
        </w:rPr>
      </w:pPr>
      <w:r w:rsidRPr="009A0936">
        <w:rPr>
          <w:rFonts w:ascii="Palatino Linotype" w:hAnsi="Palatino Linotype"/>
          <w:i/>
        </w:rPr>
        <w:t>…</w:t>
      </w:r>
    </w:p>
    <w:p w14:paraId="22F75AE6" w14:textId="0179B2BA" w:rsidR="00261385" w:rsidRPr="009A0936" w:rsidRDefault="00261385" w:rsidP="00261385">
      <w:pPr>
        <w:spacing w:after="0" w:line="276" w:lineRule="auto"/>
        <w:ind w:left="567" w:right="616"/>
        <w:jc w:val="both"/>
        <w:rPr>
          <w:rFonts w:ascii="Palatino Linotype" w:hAnsi="Palatino Linotype"/>
          <w:b/>
          <w:i/>
        </w:rPr>
      </w:pPr>
      <w:r w:rsidRPr="009A0936">
        <w:rPr>
          <w:rFonts w:ascii="Palatino Linotype" w:hAnsi="Palatino Linotype"/>
          <w:b/>
          <w:i/>
        </w:rPr>
        <w:t>- Participar como representante del órgano de control interno, en los distintos comités del Instituto, conforme a las formalidades y disposiciones de los ordenamientos vigentes.</w:t>
      </w:r>
    </w:p>
    <w:p w14:paraId="34CA4AD5" w14:textId="1F48AE55" w:rsidR="00261385" w:rsidRPr="009A0936" w:rsidRDefault="00261385" w:rsidP="00261385">
      <w:pPr>
        <w:spacing w:after="0" w:line="276" w:lineRule="auto"/>
        <w:ind w:left="567" w:right="616"/>
        <w:jc w:val="both"/>
        <w:rPr>
          <w:rFonts w:ascii="Palatino Linotype" w:hAnsi="Palatino Linotype"/>
          <w:b/>
          <w:i/>
        </w:rPr>
      </w:pPr>
      <w:r w:rsidRPr="009A0936">
        <w:rPr>
          <w:rFonts w:ascii="Palatino Linotype" w:hAnsi="Palatino Linotype"/>
          <w:i/>
        </w:rPr>
        <w:t>…</w:t>
      </w:r>
    </w:p>
    <w:p w14:paraId="175FC3C1" w14:textId="77777777" w:rsidR="00261385" w:rsidRPr="009A0936" w:rsidRDefault="00261385" w:rsidP="00261385">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rPr>
      </w:pPr>
    </w:p>
    <w:p w14:paraId="5738004C" w14:textId="750690E7" w:rsidR="00991082" w:rsidRPr="009A0936" w:rsidRDefault="00261385" w:rsidP="003A0D42">
      <w:p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Por lo anterior, de manera enunciativa, más no limitativa, la unidad administrativa competente para generar, administrar y poseer la información solicitada la Contraloría Interna del Instituto Hacendario del Estado de México, ya que dentro de sus funciones, se encuentra la de representar al Órgano Interno de Control en los distintos comités que conforme el Instituto. </w:t>
      </w:r>
    </w:p>
    <w:p w14:paraId="41FE07D4" w14:textId="59E8BB70" w:rsidR="002F3C2D" w:rsidRPr="009A0936" w:rsidRDefault="00261385"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 xml:space="preserve">Derivado de todo lo anterior, toda vez que se demostró la competencia del Instituto Hacendario del Estado de México para generar, administrar y poseer información relacionada con </w:t>
      </w:r>
      <w:r w:rsidRPr="009A0936">
        <w:rPr>
          <w:rFonts w:ascii="Palatino Linotype" w:eastAsia="Palatino Linotype" w:hAnsi="Palatino Linotype" w:cs="Palatino Linotype"/>
          <w:b/>
          <w:sz w:val="24"/>
          <w:szCs w:val="24"/>
        </w:rPr>
        <w:t>las actas generadas por el Comité Interno de Control y Desempeño Institucional del uno de enero de dos mil veinte al veintidós de junio de dos mil veintitrés</w:t>
      </w:r>
      <w:r w:rsidRPr="009A0936">
        <w:rPr>
          <w:rFonts w:ascii="Palatino Linotype" w:eastAsia="Palatino Linotype" w:hAnsi="Palatino Linotype" w:cs="Palatino Linotype"/>
          <w:sz w:val="24"/>
          <w:szCs w:val="24"/>
        </w:rPr>
        <w:t xml:space="preserve">, se concluye que los agravios hechos valer por el Particular son </w:t>
      </w:r>
      <w:r w:rsidRPr="009A0936">
        <w:rPr>
          <w:rFonts w:ascii="Palatino Linotype" w:eastAsia="Palatino Linotype" w:hAnsi="Palatino Linotype" w:cs="Palatino Linotype"/>
          <w:b/>
          <w:sz w:val="24"/>
          <w:szCs w:val="24"/>
        </w:rPr>
        <w:t>FUNDADOS</w:t>
      </w:r>
      <w:r w:rsidRPr="009A0936">
        <w:rPr>
          <w:rFonts w:ascii="Palatino Linotype" w:eastAsia="Palatino Linotype" w:hAnsi="Palatino Linotype" w:cs="Palatino Linotype"/>
          <w:sz w:val="24"/>
          <w:szCs w:val="24"/>
        </w:rPr>
        <w:t xml:space="preserve"> y, por ende, este Organismo Garante determina </w:t>
      </w:r>
      <w:r w:rsidRPr="009A0936">
        <w:rPr>
          <w:rFonts w:ascii="Palatino Linotype" w:eastAsia="Palatino Linotype" w:hAnsi="Palatino Linotype" w:cs="Palatino Linotype"/>
          <w:b/>
          <w:sz w:val="24"/>
          <w:szCs w:val="24"/>
        </w:rPr>
        <w:t>REVOCAR</w:t>
      </w:r>
      <w:r w:rsidRPr="009A0936">
        <w:rPr>
          <w:rFonts w:ascii="Palatino Linotype" w:eastAsia="Palatino Linotype" w:hAnsi="Palatino Linotype" w:cs="Palatino Linotype"/>
          <w:sz w:val="24"/>
          <w:szCs w:val="24"/>
        </w:rPr>
        <w:t xml:space="preserve"> la respuesta del Sujeto Obligado y;</w:t>
      </w:r>
      <w:r w:rsidRPr="009A0936">
        <w:rPr>
          <w:rFonts w:ascii="Palatino Linotype" w:eastAsia="Palatino Linotype" w:hAnsi="Palatino Linotype" w:cs="Palatino Linotype"/>
          <w:b/>
          <w:sz w:val="24"/>
          <w:szCs w:val="24"/>
        </w:rPr>
        <w:t xml:space="preserve"> ORDENAR</w:t>
      </w:r>
      <w:r w:rsidRPr="009A0936">
        <w:rPr>
          <w:rFonts w:ascii="Palatino Linotype" w:eastAsia="Palatino Linotype" w:hAnsi="Palatino Linotype" w:cs="Palatino Linotype"/>
          <w:sz w:val="24"/>
          <w:szCs w:val="24"/>
        </w:rPr>
        <w:t>, de ser el caso en versión pública, lo siguiente:</w:t>
      </w:r>
    </w:p>
    <w:p w14:paraId="506B97E6" w14:textId="77777777" w:rsidR="00261385" w:rsidRPr="009A0936" w:rsidRDefault="00261385" w:rsidP="00261385">
      <w:pPr>
        <w:pBdr>
          <w:top w:val="nil"/>
          <w:left w:val="nil"/>
          <w:bottom w:val="nil"/>
          <w:right w:val="nil"/>
          <w:between w:val="nil"/>
        </w:pBdr>
        <w:spacing w:after="0" w:line="360" w:lineRule="auto"/>
        <w:ind w:right="-7"/>
        <w:jc w:val="both"/>
        <w:rPr>
          <w:rFonts w:ascii="Palatino Linotype" w:eastAsia="Palatino Linotype" w:hAnsi="Palatino Linotype" w:cs="Palatino Linotype"/>
          <w:b/>
          <w:sz w:val="24"/>
          <w:szCs w:val="24"/>
        </w:rPr>
      </w:pPr>
    </w:p>
    <w:p w14:paraId="5FB1448A" w14:textId="435551B4" w:rsidR="003A0D42" w:rsidRPr="009A0936" w:rsidRDefault="003A0D42" w:rsidP="003A0D42">
      <w:pPr>
        <w:pStyle w:val="Prrafodelista"/>
        <w:numPr>
          <w:ilvl w:val="0"/>
          <w:numId w:val="29"/>
        </w:numPr>
        <w:pBdr>
          <w:top w:val="nil"/>
          <w:left w:val="nil"/>
          <w:bottom w:val="nil"/>
          <w:right w:val="nil"/>
          <w:between w:val="nil"/>
        </w:pBdr>
        <w:tabs>
          <w:tab w:val="left" w:pos="993"/>
        </w:tabs>
        <w:spacing w:after="0" w:line="360" w:lineRule="auto"/>
        <w:ind w:left="567" w:right="616"/>
        <w:contextualSpacing w:val="0"/>
        <w:jc w:val="both"/>
        <w:rPr>
          <w:rFonts w:ascii="Palatino Linotype" w:eastAsia="Palatino Linotype" w:hAnsi="Palatino Linotype" w:cs="Palatino Linotype"/>
          <w:b/>
        </w:rPr>
      </w:pPr>
      <w:r w:rsidRPr="009A0936">
        <w:rPr>
          <w:rFonts w:ascii="Palatino Linotype" w:eastAsia="Palatino Linotype" w:hAnsi="Palatino Linotype" w:cs="Palatino Linotype"/>
          <w:b/>
        </w:rPr>
        <w:t xml:space="preserve">Actas generadas por el Comité de Control y Desempeño Institucional del uno de enero de dos mil veinte al veintidós de junio de dos mil veintitrés. </w:t>
      </w:r>
    </w:p>
    <w:p w14:paraId="2E9F4185" w14:textId="77777777" w:rsidR="003A0D42" w:rsidRPr="009A0936" w:rsidRDefault="003A0D42" w:rsidP="003A0D42">
      <w:pPr>
        <w:spacing w:line="360" w:lineRule="auto"/>
        <w:ind w:right="49"/>
        <w:jc w:val="both"/>
        <w:rPr>
          <w:rFonts w:ascii="Palatino Linotype" w:eastAsia="Palatino Linotype" w:hAnsi="Palatino Linotype" w:cs="Palatino Linotype"/>
        </w:rPr>
      </w:pPr>
    </w:p>
    <w:p w14:paraId="2EA1478F" w14:textId="77777777" w:rsidR="003A0D42" w:rsidRPr="009A0936" w:rsidRDefault="003A0D42" w:rsidP="003A0D42">
      <w:pPr>
        <w:spacing w:line="276" w:lineRule="auto"/>
        <w:ind w:left="567" w:right="615"/>
        <w:jc w:val="both"/>
        <w:rPr>
          <w:rFonts w:ascii="Palatino Linotype" w:eastAsia="Palatino Linotype" w:hAnsi="Palatino Linotype" w:cs="Palatino Linotype"/>
          <w:i/>
        </w:rPr>
      </w:pPr>
      <w:r w:rsidRPr="009A0936">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325C5DA" w14:textId="77777777" w:rsidR="00C2535A" w:rsidRPr="009A0936" w:rsidRDefault="00C2535A" w:rsidP="003B72BC">
      <w:pPr>
        <w:spacing w:after="0" w:line="360" w:lineRule="auto"/>
        <w:ind w:right="49"/>
        <w:jc w:val="both"/>
        <w:rPr>
          <w:rFonts w:ascii="Palatino Linotype" w:eastAsia="Palatino Linotype" w:hAnsi="Palatino Linotype" w:cs="Palatino Linotype"/>
          <w:sz w:val="24"/>
          <w:szCs w:val="24"/>
        </w:rPr>
      </w:pPr>
    </w:p>
    <w:p w14:paraId="01D095DF" w14:textId="77777777" w:rsidR="009E75B5" w:rsidRPr="009A0936" w:rsidRDefault="009E75B5" w:rsidP="009E75B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b/>
          <w:sz w:val="24"/>
        </w:rPr>
        <w:t>Quinto. Versión Pública</w:t>
      </w:r>
      <w:r w:rsidRPr="009A0936">
        <w:rPr>
          <w:rFonts w:ascii="Palatino Linotype" w:eastAsia="Palatino Linotype" w:hAnsi="Palatino Linotype" w:cs="Palatino Linotype"/>
          <w:sz w:val="24"/>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A12499A" w14:textId="77777777" w:rsidR="009E75B5" w:rsidRPr="009A0936" w:rsidRDefault="009E75B5" w:rsidP="009E75B5">
      <w:pPr>
        <w:spacing w:after="0" w:line="360" w:lineRule="auto"/>
        <w:jc w:val="both"/>
        <w:rPr>
          <w:rFonts w:ascii="Palatino Linotype" w:eastAsia="Palatino Linotype" w:hAnsi="Palatino Linotype" w:cs="Palatino Linotype"/>
        </w:rPr>
      </w:pPr>
    </w:p>
    <w:p w14:paraId="6A9E7EA0" w14:textId="77777777" w:rsidR="009E75B5" w:rsidRPr="009A0936" w:rsidRDefault="009E75B5" w:rsidP="009E75B5">
      <w:pPr>
        <w:spacing w:after="0" w:line="360" w:lineRule="auto"/>
        <w:ind w:right="50"/>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Lo anterior, de conformidad con lo que señalan los artículos 3 fracciones IX, XX, XXI y XLV, 91, 132 fracciones II y III, y 143 de la Ley de Transparencia y Acceso a la Información Pública del Estado de México y Municipios que establecen:</w:t>
      </w:r>
    </w:p>
    <w:p w14:paraId="5D6C9D42" w14:textId="77777777" w:rsidR="009E75B5" w:rsidRPr="009A0936" w:rsidRDefault="009E75B5" w:rsidP="009E75B5">
      <w:pPr>
        <w:spacing w:after="0" w:line="360" w:lineRule="auto"/>
        <w:ind w:right="50"/>
        <w:jc w:val="both"/>
        <w:rPr>
          <w:rFonts w:ascii="Palatino Linotype" w:eastAsia="Palatino Linotype" w:hAnsi="Palatino Linotype" w:cs="Palatino Linotype"/>
        </w:rPr>
      </w:pPr>
    </w:p>
    <w:p w14:paraId="2AD9E4B7"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Artículo 3.</w:t>
      </w:r>
      <w:r w:rsidRPr="009A0936">
        <w:rPr>
          <w:rFonts w:ascii="Palatino Linotype" w:eastAsia="Palatino Linotype" w:hAnsi="Palatino Linotype" w:cs="Palatino Linotype"/>
          <w:i/>
        </w:rPr>
        <w:t xml:space="preserve"> Para los efectos de la presente Ley se entenderá por:</w:t>
      </w:r>
    </w:p>
    <w:p w14:paraId="0427FE00"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0D47FE59"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DF56697"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XX. Información clasificada: Aquella considerada por la presente Ley como reservada o confidencial;</w:t>
      </w:r>
    </w:p>
    <w:p w14:paraId="6A6D628E"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6AC82B"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788DC048"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71167FDE"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Artículo 91.</w:t>
      </w:r>
      <w:r w:rsidRPr="009A093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7345AD1"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Artículo 132.</w:t>
      </w:r>
      <w:r w:rsidRPr="009A0936">
        <w:rPr>
          <w:rFonts w:ascii="Palatino Linotype" w:eastAsia="Palatino Linotype" w:hAnsi="Palatino Linotype" w:cs="Palatino Linotype"/>
          <w:i/>
        </w:rPr>
        <w:t xml:space="preserve"> La clasificación de la información se llevará a cabo en el momento en que:</w:t>
      </w:r>
    </w:p>
    <w:p w14:paraId="7E8CBE71" w14:textId="77777777" w:rsidR="009E75B5" w:rsidRPr="009A0936"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 Se reciba una solicitud de acceso a la información;</w:t>
      </w:r>
    </w:p>
    <w:p w14:paraId="7872EFEE" w14:textId="77777777" w:rsidR="009E75B5" w:rsidRPr="009A0936"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 Se determine mediante resolución de autoridad competente; o</w:t>
      </w:r>
    </w:p>
    <w:p w14:paraId="6C6B7977" w14:textId="77777777" w:rsidR="009E75B5" w:rsidRPr="009A0936" w:rsidRDefault="009E75B5" w:rsidP="009E75B5">
      <w:pPr>
        <w:tabs>
          <w:tab w:val="left" w:pos="1134"/>
        </w:tabs>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III. Se generen versiones públicas para dar cumplimiento a las obligaciones de transparencia previstas en esta Ley.</w:t>
      </w:r>
    </w:p>
    <w:p w14:paraId="721FBBBE"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46726F6B"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Artículo 143</w:t>
      </w:r>
      <w:r w:rsidRPr="009A093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293E67"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 Se refiera a la información privada y los datos personales concernientes a una persona física o </w:t>
      </w:r>
      <w:proofErr w:type="gramStart"/>
      <w:r w:rsidRPr="009A0936">
        <w:rPr>
          <w:rFonts w:ascii="Palatino Linotype" w:eastAsia="Palatino Linotype" w:hAnsi="Palatino Linotype" w:cs="Palatino Linotype"/>
          <w:i/>
        </w:rPr>
        <w:t>jurídico</w:t>
      </w:r>
      <w:proofErr w:type="gramEnd"/>
      <w:r w:rsidRPr="009A0936">
        <w:rPr>
          <w:rFonts w:ascii="Palatino Linotype" w:eastAsia="Palatino Linotype" w:hAnsi="Palatino Linotype" w:cs="Palatino Linotype"/>
          <w:i/>
        </w:rPr>
        <w:t xml:space="preserve"> colectiva identificada o identificable;</w:t>
      </w:r>
    </w:p>
    <w:p w14:paraId="5C4BC9C9"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2891216"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F87CFAD"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36F916"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4FFEA7A5"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p>
    <w:p w14:paraId="777238EF" w14:textId="77777777" w:rsidR="009E75B5" w:rsidRPr="009A0936" w:rsidRDefault="009E75B5" w:rsidP="009E75B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FF1A6A" w14:textId="77777777" w:rsidR="009E75B5" w:rsidRPr="009A0936" w:rsidRDefault="009E75B5" w:rsidP="009E75B5">
      <w:pPr>
        <w:spacing w:after="0" w:line="276" w:lineRule="auto"/>
        <w:jc w:val="both"/>
        <w:rPr>
          <w:rFonts w:ascii="Palatino Linotype" w:eastAsia="Palatino Linotype" w:hAnsi="Palatino Linotype" w:cs="Palatino Linotype"/>
        </w:rPr>
      </w:pPr>
    </w:p>
    <w:p w14:paraId="1CA53C70" w14:textId="77777777" w:rsidR="009E75B5" w:rsidRPr="009A0936" w:rsidRDefault="009E75B5" w:rsidP="009E75B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A0C45C5" w14:textId="77777777" w:rsidR="009E75B5" w:rsidRPr="009A0936" w:rsidRDefault="009E75B5" w:rsidP="009E75B5">
      <w:pPr>
        <w:spacing w:after="0" w:line="360" w:lineRule="auto"/>
        <w:jc w:val="both"/>
        <w:rPr>
          <w:rFonts w:ascii="Palatino Linotype" w:eastAsia="Palatino Linotype" w:hAnsi="Palatino Linotype" w:cs="Palatino Linotype"/>
        </w:rPr>
      </w:pPr>
    </w:p>
    <w:p w14:paraId="13DD4912"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 “</w:t>
      </w:r>
      <w:r w:rsidRPr="009A0936">
        <w:rPr>
          <w:rFonts w:ascii="Palatino Linotype" w:eastAsia="Palatino Linotype" w:hAnsi="Palatino Linotype" w:cs="Palatino Linotype"/>
          <w:b/>
          <w:i/>
        </w:rPr>
        <w:t>Quincuagésimo</w:t>
      </w:r>
      <w:r w:rsidRPr="009A0936">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B48FB5A"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Quincuagésimo primero.</w:t>
      </w:r>
      <w:r w:rsidRPr="009A0936">
        <w:rPr>
          <w:rFonts w:ascii="Palatino Linotype" w:eastAsia="Palatino Linotype" w:hAnsi="Palatino Linotype" w:cs="Palatino Linotype"/>
          <w:i/>
        </w:rPr>
        <w:t xml:space="preserve"> Toda acta del Comité de Transparencia deberá contener: </w:t>
      </w:r>
    </w:p>
    <w:p w14:paraId="29DF6DEF"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 El número de sesión y fecha; </w:t>
      </w:r>
    </w:p>
    <w:p w14:paraId="7B89332D"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II. El nombre del área que solicitó la clasificación de información; </w:t>
      </w:r>
    </w:p>
    <w:p w14:paraId="597D3EE1"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III. La fundamentación legal y motivación correspondiente; </w:t>
      </w:r>
    </w:p>
    <w:p w14:paraId="34E22F8E"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IV. La resolución o resoluciones aprobadas; y </w:t>
      </w:r>
    </w:p>
    <w:p w14:paraId="6447310D"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V. La rúbrica o firma digital de cada integrante del Comité de Transparencia. </w:t>
      </w:r>
    </w:p>
    <w:p w14:paraId="1A31B117"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7F63925F"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 Los motivos y razonamientos que sustenten la confirmación o modificación de la prueba de daño;</w:t>
      </w:r>
    </w:p>
    <w:p w14:paraId="29F3509B"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II. Descripción de las partes o secciones reservadas, en caso de clasificación parcial; </w:t>
      </w:r>
    </w:p>
    <w:p w14:paraId="76681B27"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III. El periodo por el que mantendrá su clasificación y fecha de expiración; y </w:t>
      </w:r>
    </w:p>
    <w:p w14:paraId="12E6A700"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IV. El nombre del titular y área encargada de realizar la versión pública del documento, en su caso. </w:t>
      </w:r>
    </w:p>
    <w:p w14:paraId="35A159FB"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0A05C7C1"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1ACCFB3A"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Quincuagésimo segundo.</w:t>
      </w:r>
      <w:r w:rsidRPr="009A0936">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9A0936">
        <w:rPr>
          <w:rFonts w:ascii="Palatino Linotype" w:eastAsia="Palatino Linotype" w:hAnsi="Palatino Linotype" w:cs="Palatino Linotype"/>
          <w:i/>
        </w:rPr>
        <w:t>sobreposición</w:t>
      </w:r>
      <w:proofErr w:type="spellEnd"/>
      <w:r w:rsidRPr="009A0936">
        <w:rPr>
          <w:rFonts w:ascii="Palatino Linotype" w:eastAsia="Palatino Linotype" w:hAnsi="Palatino Linotype" w:cs="Palatino Linotype"/>
          <w:i/>
        </w:rPr>
        <w:t xml:space="preserve"> de contenido distinto al autorizado por el Comité.</w:t>
      </w:r>
    </w:p>
    <w:p w14:paraId="44CE97D1"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4A30C29"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 Fijar la fecha en que se elaboró la versión pública y la fecha en la cual el Comité de Transparencia confirmó dicha versión;</w:t>
      </w:r>
    </w:p>
    <w:p w14:paraId="3E165590"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9DD58E4"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III. Señalar las personas o instancias autorizadas a acceder a la información clasificada.</w:t>
      </w:r>
    </w:p>
    <w:p w14:paraId="3BA80C07"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8E24348"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p>
    <w:p w14:paraId="5B3BF9B8" w14:textId="77777777" w:rsidR="009E75B5" w:rsidRPr="009A0936" w:rsidRDefault="009E75B5" w:rsidP="009E75B5">
      <w:pPr>
        <w:spacing w:after="0" w:line="360" w:lineRule="auto"/>
        <w:ind w:right="50"/>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 xml:space="preserve">Asimismo, se deberá observar el Lineamiento Quincuagésimo tercero de los Lineamientos Generales en Materia de Clasificación y Desclasificación de la Información </w:t>
      </w:r>
      <w:proofErr w:type="spellStart"/>
      <w:r w:rsidRPr="009A0936">
        <w:rPr>
          <w:rFonts w:ascii="Palatino Linotype" w:eastAsia="Palatino Linotype" w:hAnsi="Palatino Linotype" w:cs="Palatino Linotype"/>
          <w:sz w:val="24"/>
        </w:rPr>
        <w:t>supraindicados</w:t>
      </w:r>
      <w:proofErr w:type="spellEnd"/>
      <w:r w:rsidRPr="009A0936">
        <w:rPr>
          <w:rFonts w:ascii="Palatino Linotype" w:eastAsia="Palatino Linotype" w:hAnsi="Palatino Linotype" w:cs="Palatino Linotype"/>
          <w:sz w:val="24"/>
        </w:rPr>
        <w:t xml:space="preserve"> el cual establece los formatos para la clasificación de los documentos, conforme a lo siguiente: </w:t>
      </w:r>
    </w:p>
    <w:p w14:paraId="26E7FC82" w14:textId="77777777" w:rsidR="009E75B5" w:rsidRPr="009A0936" w:rsidRDefault="009E75B5" w:rsidP="009E75B5">
      <w:pPr>
        <w:spacing w:after="0"/>
        <w:ind w:left="851" w:right="900"/>
        <w:jc w:val="center"/>
        <w:rPr>
          <w:rFonts w:ascii="Palatino Linotype" w:eastAsia="Palatino Linotype" w:hAnsi="Palatino Linotype" w:cs="Palatino Linotype"/>
          <w:b/>
          <w:i/>
        </w:rPr>
      </w:pPr>
      <w:r w:rsidRPr="009A0936">
        <w:rPr>
          <w:rFonts w:ascii="Palatino Linotype" w:eastAsia="Palatino Linotype" w:hAnsi="Palatino Linotype" w:cs="Palatino Linotype"/>
          <w:b/>
          <w:i/>
        </w:rPr>
        <w:t>CAPÍTULO VIII</w:t>
      </w:r>
    </w:p>
    <w:p w14:paraId="2CCED9F3" w14:textId="77777777" w:rsidR="009E75B5" w:rsidRPr="009A0936" w:rsidRDefault="009E75B5" w:rsidP="009E75B5">
      <w:pPr>
        <w:spacing w:after="0"/>
        <w:ind w:left="851" w:right="900"/>
        <w:jc w:val="center"/>
        <w:rPr>
          <w:rFonts w:ascii="Palatino Linotype" w:eastAsia="Palatino Linotype" w:hAnsi="Palatino Linotype" w:cs="Palatino Linotype"/>
          <w:b/>
          <w:i/>
        </w:rPr>
      </w:pPr>
      <w:r w:rsidRPr="009A0936">
        <w:rPr>
          <w:rFonts w:ascii="Palatino Linotype" w:eastAsia="Palatino Linotype" w:hAnsi="Palatino Linotype" w:cs="Palatino Linotype"/>
          <w:b/>
          <w:i/>
        </w:rPr>
        <w:t xml:space="preserve">DE LOS ELEMENTOS PARA LA CLASIFICACIÓN </w:t>
      </w:r>
    </w:p>
    <w:p w14:paraId="168C0723" w14:textId="77777777" w:rsidR="009E75B5" w:rsidRPr="009A0936" w:rsidRDefault="009E75B5" w:rsidP="009E75B5">
      <w:pPr>
        <w:spacing w:after="0"/>
        <w:ind w:left="851" w:right="902"/>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Quincuagésimo tercero. </w:t>
      </w:r>
      <w:r w:rsidRPr="009A0936">
        <w:rPr>
          <w:rFonts w:ascii="Palatino Linotype" w:eastAsia="Palatino Linotype" w:hAnsi="Palatino Linotype" w:cs="Palatino Linotype"/>
          <w:i/>
          <w:u w:val="single"/>
        </w:rPr>
        <w:t>El formato para señalar la clasificación de un documento o expediente que contenga información reservada</w:t>
      </w:r>
      <w:r w:rsidRPr="009A0936">
        <w:rPr>
          <w:rFonts w:ascii="Palatino Linotype" w:eastAsia="Palatino Linotype" w:hAnsi="Palatino Linotype" w:cs="Palatino Linotype"/>
          <w:i/>
        </w:rPr>
        <w:t xml:space="preserve">, es el siguiente: </w:t>
      </w:r>
    </w:p>
    <w:p w14:paraId="14FA849D" w14:textId="77777777" w:rsidR="009E75B5" w:rsidRPr="009A0936" w:rsidRDefault="009E75B5" w:rsidP="009E75B5">
      <w:pPr>
        <w:spacing w:after="0"/>
        <w:ind w:left="851" w:right="902"/>
        <w:jc w:val="both"/>
        <w:rPr>
          <w:rFonts w:ascii="Palatino Linotype" w:eastAsia="Palatino Linotype" w:hAnsi="Palatino Linotype" w:cs="Palatino Linotype"/>
          <w:i/>
        </w:rPr>
      </w:pPr>
    </w:p>
    <w:tbl>
      <w:tblPr>
        <w:tblStyle w:val="Tablaconcuadrcula"/>
        <w:tblW w:w="0" w:type="auto"/>
        <w:jc w:val="center"/>
        <w:tblLook w:val="04A0" w:firstRow="1" w:lastRow="0" w:firstColumn="1" w:lastColumn="0" w:noHBand="0" w:noVBand="1"/>
      </w:tblPr>
      <w:tblGrid>
        <w:gridCol w:w="1271"/>
        <w:gridCol w:w="2693"/>
        <w:gridCol w:w="3691"/>
      </w:tblGrid>
      <w:tr w:rsidR="009A0936" w:rsidRPr="009A0936" w14:paraId="7006843B" w14:textId="77777777" w:rsidTr="00241DE1">
        <w:trPr>
          <w:trHeight w:val="262"/>
          <w:jc w:val="center"/>
        </w:trPr>
        <w:tc>
          <w:tcPr>
            <w:tcW w:w="1271" w:type="dxa"/>
            <w:tcBorders>
              <w:top w:val="nil"/>
              <w:left w:val="nil"/>
            </w:tcBorders>
          </w:tcPr>
          <w:p w14:paraId="69BE25AB" w14:textId="77777777" w:rsidR="009E75B5" w:rsidRPr="009A0936" w:rsidRDefault="009E75B5" w:rsidP="009E75B5">
            <w:pPr>
              <w:rPr>
                <w:rFonts w:ascii="Palatino Linotype" w:hAnsi="Palatino Linotype"/>
                <w:sz w:val="20"/>
              </w:rPr>
            </w:pPr>
          </w:p>
        </w:tc>
        <w:tc>
          <w:tcPr>
            <w:tcW w:w="2693" w:type="dxa"/>
            <w:shd w:val="clear" w:color="auto" w:fill="D9D9D9" w:themeFill="background1" w:themeFillShade="D9"/>
          </w:tcPr>
          <w:p w14:paraId="3EB7F886" w14:textId="77777777" w:rsidR="009E75B5" w:rsidRPr="009A0936" w:rsidRDefault="009E75B5" w:rsidP="009E75B5">
            <w:pPr>
              <w:tabs>
                <w:tab w:val="center" w:pos="1238"/>
                <w:tab w:val="right" w:pos="2477"/>
              </w:tabs>
              <w:rPr>
                <w:rFonts w:ascii="Palatino Linotype" w:hAnsi="Palatino Linotype"/>
                <w:b/>
                <w:sz w:val="20"/>
              </w:rPr>
            </w:pPr>
            <w:r w:rsidRPr="009A0936">
              <w:rPr>
                <w:rFonts w:ascii="Palatino Linotype" w:hAnsi="Palatino Linotype"/>
                <w:b/>
                <w:sz w:val="20"/>
              </w:rPr>
              <w:tab/>
              <w:t>Concepto</w:t>
            </w:r>
            <w:r w:rsidRPr="009A0936">
              <w:rPr>
                <w:rFonts w:ascii="Palatino Linotype" w:hAnsi="Palatino Linotype"/>
                <w:b/>
                <w:sz w:val="20"/>
              </w:rPr>
              <w:tab/>
            </w:r>
          </w:p>
        </w:tc>
        <w:tc>
          <w:tcPr>
            <w:tcW w:w="3691" w:type="dxa"/>
            <w:shd w:val="clear" w:color="auto" w:fill="D9D9D9" w:themeFill="background1" w:themeFillShade="D9"/>
          </w:tcPr>
          <w:p w14:paraId="32C5F9A2" w14:textId="77777777" w:rsidR="009E75B5" w:rsidRPr="009A0936" w:rsidRDefault="009E75B5" w:rsidP="009E75B5">
            <w:pPr>
              <w:jc w:val="center"/>
              <w:rPr>
                <w:rFonts w:ascii="Palatino Linotype" w:hAnsi="Palatino Linotype"/>
                <w:b/>
                <w:sz w:val="20"/>
              </w:rPr>
            </w:pPr>
            <w:r w:rsidRPr="009A0936">
              <w:rPr>
                <w:rFonts w:ascii="Palatino Linotype" w:hAnsi="Palatino Linotype"/>
                <w:b/>
                <w:sz w:val="20"/>
              </w:rPr>
              <w:t>Dónde</w:t>
            </w:r>
          </w:p>
        </w:tc>
      </w:tr>
      <w:tr w:rsidR="009A0936" w:rsidRPr="009A0936" w14:paraId="622696CD" w14:textId="77777777" w:rsidTr="00241DE1">
        <w:trPr>
          <w:jc w:val="center"/>
        </w:trPr>
        <w:tc>
          <w:tcPr>
            <w:tcW w:w="1271" w:type="dxa"/>
            <w:vMerge w:val="restart"/>
            <w:shd w:val="clear" w:color="auto" w:fill="D9D9D9" w:themeFill="background1" w:themeFillShade="D9"/>
          </w:tcPr>
          <w:p w14:paraId="450BB71B" w14:textId="77777777" w:rsidR="009E75B5" w:rsidRPr="009A0936" w:rsidRDefault="009E75B5" w:rsidP="009E75B5">
            <w:pPr>
              <w:jc w:val="both"/>
              <w:rPr>
                <w:rFonts w:ascii="Palatino Linotype" w:hAnsi="Palatino Linotype"/>
                <w:b/>
                <w:sz w:val="20"/>
              </w:rPr>
            </w:pPr>
          </w:p>
          <w:p w14:paraId="6D7C6165" w14:textId="77777777" w:rsidR="009E75B5" w:rsidRPr="009A0936" w:rsidRDefault="009E75B5" w:rsidP="009E75B5">
            <w:pPr>
              <w:jc w:val="both"/>
              <w:rPr>
                <w:rFonts w:ascii="Palatino Linotype" w:hAnsi="Palatino Linotype"/>
                <w:b/>
                <w:sz w:val="20"/>
              </w:rPr>
            </w:pPr>
          </w:p>
          <w:p w14:paraId="57B150AF" w14:textId="77777777" w:rsidR="009E75B5" w:rsidRPr="009A0936" w:rsidRDefault="009E75B5" w:rsidP="009E75B5">
            <w:pPr>
              <w:jc w:val="both"/>
              <w:rPr>
                <w:rFonts w:ascii="Palatino Linotype" w:hAnsi="Palatino Linotype"/>
                <w:b/>
                <w:sz w:val="20"/>
              </w:rPr>
            </w:pPr>
          </w:p>
          <w:p w14:paraId="4871201E" w14:textId="77777777" w:rsidR="009E75B5" w:rsidRPr="009A0936" w:rsidRDefault="009E75B5" w:rsidP="009E75B5">
            <w:pPr>
              <w:jc w:val="both"/>
              <w:rPr>
                <w:rFonts w:ascii="Palatino Linotype" w:hAnsi="Palatino Linotype"/>
                <w:b/>
                <w:sz w:val="20"/>
              </w:rPr>
            </w:pPr>
          </w:p>
          <w:p w14:paraId="36E9F0DF" w14:textId="77777777" w:rsidR="009E75B5" w:rsidRPr="009A0936" w:rsidRDefault="009E75B5" w:rsidP="009E75B5">
            <w:pPr>
              <w:jc w:val="both"/>
              <w:rPr>
                <w:rFonts w:ascii="Palatino Linotype" w:hAnsi="Palatino Linotype"/>
                <w:b/>
                <w:sz w:val="20"/>
              </w:rPr>
            </w:pPr>
          </w:p>
          <w:p w14:paraId="47CA69E9" w14:textId="77777777" w:rsidR="009E75B5" w:rsidRPr="009A0936" w:rsidRDefault="009E75B5" w:rsidP="009E75B5">
            <w:pPr>
              <w:jc w:val="both"/>
              <w:rPr>
                <w:rFonts w:ascii="Palatino Linotype" w:hAnsi="Palatino Linotype"/>
                <w:b/>
                <w:sz w:val="20"/>
              </w:rPr>
            </w:pPr>
          </w:p>
          <w:p w14:paraId="3B4DF3C0" w14:textId="77777777" w:rsidR="009E75B5" w:rsidRPr="009A0936" w:rsidRDefault="009E75B5" w:rsidP="009E75B5">
            <w:pPr>
              <w:jc w:val="both"/>
              <w:rPr>
                <w:rFonts w:ascii="Palatino Linotype" w:hAnsi="Palatino Linotype"/>
                <w:b/>
                <w:sz w:val="20"/>
              </w:rPr>
            </w:pPr>
            <w:r w:rsidRPr="009A0936">
              <w:rPr>
                <w:rFonts w:ascii="Palatino Linotype" w:hAnsi="Palatino Linotype"/>
                <w:b/>
                <w:sz w:val="20"/>
              </w:rPr>
              <w:t xml:space="preserve">Sello oficial o logotipo del sujeto obligado </w:t>
            </w:r>
          </w:p>
        </w:tc>
        <w:tc>
          <w:tcPr>
            <w:tcW w:w="2693" w:type="dxa"/>
          </w:tcPr>
          <w:p w14:paraId="388CDA00" w14:textId="77777777" w:rsidR="009E75B5" w:rsidRPr="009A0936" w:rsidRDefault="009E75B5" w:rsidP="009E75B5">
            <w:pPr>
              <w:rPr>
                <w:rFonts w:ascii="Palatino Linotype" w:hAnsi="Palatino Linotype"/>
                <w:sz w:val="20"/>
              </w:rPr>
            </w:pPr>
            <w:r w:rsidRPr="009A0936">
              <w:rPr>
                <w:rFonts w:ascii="Palatino Linotype" w:hAnsi="Palatino Linotype"/>
                <w:sz w:val="20"/>
              </w:rPr>
              <w:t>Fecha de clasificación</w:t>
            </w:r>
          </w:p>
        </w:tc>
        <w:tc>
          <w:tcPr>
            <w:tcW w:w="3691" w:type="dxa"/>
          </w:tcPr>
          <w:p w14:paraId="0E941642"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Se anotará la fecha en la que el Comité de Transparencia confirmó la clasificación del documento o expediente, en su caso. </w:t>
            </w:r>
          </w:p>
        </w:tc>
      </w:tr>
      <w:tr w:rsidR="009A0936" w:rsidRPr="009A0936" w14:paraId="07C802EB" w14:textId="77777777" w:rsidTr="00241DE1">
        <w:trPr>
          <w:jc w:val="center"/>
        </w:trPr>
        <w:tc>
          <w:tcPr>
            <w:tcW w:w="1271" w:type="dxa"/>
            <w:vMerge/>
            <w:shd w:val="clear" w:color="auto" w:fill="D9D9D9" w:themeFill="background1" w:themeFillShade="D9"/>
          </w:tcPr>
          <w:p w14:paraId="7D74127B" w14:textId="77777777" w:rsidR="009E75B5" w:rsidRPr="009A0936" w:rsidRDefault="009E75B5" w:rsidP="009E75B5">
            <w:pPr>
              <w:rPr>
                <w:rFonts w:ascii="Palatino Linotype" w:hAnsi="Palatino Linotype"/>
                <w:sz w:val="20"/>
              </w:rPr>
            </w:pPr>
          </w:p>
        </w:tc>
        <w:tc>
          <w:tcPr>
            <w:tcW w:w="2693" w:type="dxa"/>
          </w:tcPr>
          <w:p w14:paraId="68F5FAFB" w14:textId="77777777" w:rsidR="009E75B5" w:rsidRPr="009A0936" w:rsidRDefault="009E75B5" w:rsidP="009E75B5">
            <w:pPr>
              <w:rPr>
                <w:rFonts w:ascii="Palatino Linotype" w:hAnsi="Palatino Linotype"/>
                <w:sz w:val="20"/>
              </w:rPr>
            </w:pPr>
            <w:r w:rsidRPr="009A0936">
              <w:rPr>
                <w:rFonts w:ascii="Palatino Linotype" w:hAnsi="Palatino Linotype"/>
                <w:sz w:val="20"/>
              </w:rPr>
              <w:t xml:space="preserve">Área </w:t>
            </w:r>
          </w:p>
        </w:tc>
        <w:tc>
          <w:tcPr>
            <w:tcW w:w="3691" w:type="dxa"/>
          </w:tcPr>
          <w:p w14:paraId="3FAA6A97"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Se señalará el nombre del área del cual es titular quien clasifica. </w:t>
            </w:r>
          </w:p>
        </w:tc>
      </w:tr>
      <w:tr w:rsidR="009A0936" w:rsidRPr="009A0936" w14:paraId="36AB0DA5" w14:textId="77777777" w:rsidTr="00241DE1">
        <w:trPr>
          <w:jc w:val="center"/>
        </w:trPr>
        <w:tc>
          <w:tcPr>
            <w:tcW w:w="1271" w:type="dxa"/>
            <w:vMerge/>
            <w:shd w:val="clear" w:color="auto" w:fill="D9D9D9" w:themeFill="background1" w:themeFillShade="D9"/>
          </w:tcPr>
          <w:p w14:paraId="1F249F9B" w14:textId="77777777" w:rsidR="009E75B5" w:rsidRPr="009A0936" w:rsidRDefault="009E75B5" w:rsidP="009E75B5">
            <w:pPr>
              <w:rPr>
                <w:rFonts w:ascii="Palatino Linotype" w:hAnsi="Palatino Linotype"/>
                <w:sz w:val="20"/>
              </w:rPr>
            </w:pPr>
          </w:p>
        </w:tc>
        <w:tc>
          <w:tcPr>
            <w:tcW w:w="2693" w:type="dxa"/>
          </w:tcPr>
          <w:p w14:paraId="5B0BB38E" w14:textId="77777777" w:rsidR="009E75B5" w:rsidRPr="009A0936" w:rsidRDefault="009E75B5" w:rsidP="009E75B5">
            <w:pPr>
              <w:rPr>
                <w:rFonts w:ascii="Palatino Linotype" w:hAnsi="Palatino Linotype"/>
                <w:sz w:val="20"/>
              </w:rPr>
            </w:pPr>
            <w:r w:rsidRPr="009A0936">
              <w:rPr>
                <w:rFonts w:ascii="Palatino Linotype" w:hAnsi="Palatino Linotype"/>
                <w:sz w:val="20"/>
              </w:rPr>
              <w:t>Información Reservada</w:t>
            </w:r>
          </w:p>
        </w:tc>
        <w:tc>
          <w:tcPr>
            <w:tcW w:w="3691" w:type="dxa"/>
          </w:tcPr>
          <w:p w14:paraId="6AF43BE7"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Se indicarán las partes o páginas del documento que se clasifican como reservadas, o, en su caso, se precisará que se ha reservado el documento o expediente en su totalidad.</w:t>
            </w:r>
          </w:p>
        </w:tc>
      </w:tr>
      <w:tr w:rsidR="009A0936" w:rsidRPr="009A0936" w14:paraId="64A00211" w14:textId="77777777" w:rsidTr="00241DE1">
        <w:trPr>
          <w:jc w:val="center"/>
        </w:trPr>
        <w:tc>
          <w:tcPr>
            <w:tcW w:w="1271" w:type="dxa"/>
            <w:vMerge/>
            <w:shd w:val="clear" w:color="auto" w:fill="D9D9D9" w:themeFill="background1" w:themeFillShade="D9"/>
          </w:tcPr>
          <w:p w14:paraId="5B374F2D" w14:textId="77777777" w:rsidR="009E75B5" w:rsidRPr="009A0936" w:rsidRDefault="009E75B5" w:rsidP="009E75B5">
            <w:pPr>
              <w:rPr>
                <w:rFonts w:ascii="Palatino Linotype" w:hAnsi="Palatino Linotype"/>
                <w:sz w:val="20"/>
              </w:rPr>
            </w:pPr>
          </w:p>
        </w:tc>
        <w:tc>
          <w:tcPr>
            <w:tcW w:w="2693" w:type="dxa"/>
          </w:tcPr>
          <w:p w14:paraId="73E56230" w14:textId="77777777" w:rsidR="009E75B5" w:rsidRPr="009A0936" w:rsidRDefault="009E75B5" w:rsidP="009E75B5">
            <w:pPr>
              <w:rPr>
                <w:rFonts w:ascii="Palatino Linotype" w:hAnsi="Palatino Linotype"/>
                <w:sz w:val="20"/>
              </w:rPr>
            </w:pPr>
            <w:r w:rsidRPr="009A0936">
              <w:rPr>
                <w:rFonts w:ascii="Palatino Linotype" w:hAnsi="Palatino Linotype"/>
                <w:sz w:val="20"/>
              </w:rPr>
              <w:t xml:space="preserve">Periodo de Reserva </w:t>
            </w:r>
          </w:p>
        </w:tc>
        <w:tc>
          <w:tcPr>
            <w:tcW w:w="3691" w:type="dxa"/>
          </w:tcPr>
          <w:p w14:paraId="41F4BA68"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Se anotará el número de años o meses por los que se mantendrá reservado el documento, el expediente o, en su caso, las partes o secciones reservadas. </w:t>
            </w:r>
          </w:p>
        </w:tc>
      </w:tr>
      <w:tr w:rsidR="009A0936" w:rsidRPr="009A0936" w14:paraId="3AC1A6B9" w14:textId="77777777" w:rsidTr="00241DE1">
        <w:trPr>
          <w:jc w:val="center"/>
        </w:trPr>
        <w:tc>
          <w:tcPr>
            <w:tcW w:w="1271" w:type="dxa"/>
            <w:vMerge/>
            <w:shd w:val="clear" w:color="auto" w:fill="D9D9D9" w:themeFill="background1" w:themeFillShade="D9"/>
          </w:tcPr>
          <w:p w14:paraId="697C41A8" w14:textId="77777777" w:rsidR="009E75B5" w:rsidRPr="009A0936" w:rsidRDefault="009E75B5" w:rsidP="009E75B5">
            <w:pPr>
              <w:rPr>
                <w:rFonts w:ascii="Palatino Linotype" w:hAnsi="Palatino Linotype"/>
                <w:sz w:val="20"/>
              </w:rPr>
            </w:pPr>
          </w:p>
        </w:tc>
        <w:tc>
          <w:tcPr>
            <w:tcW w:w="2693" w:type="dxa"/>
          </w:tcPr>
          <w:p w14:paraId="5EEFB10E" w14:textId="77777777" w:rsidR="009E75B5" w:rsidRPr="009A0936" w:rsidRDefault="009E75B5" w:rsidP="009E75B5">
            <w:pPr>
              <w:rPr>
                <w:rFonts w:ascii="Palatino Linotype" w:hAnsi="Palatino Linotype"/>
                <w:sz w:val="20"/>
              </w:rPr>
            </w:pPr>
            <w:r w:rsidRPr="009A0936">
              <w:rPr>
                <w:rFonts w:ascii="Palatino Linotype" w:hAnsi="Palatino Linotype"/>
                <w:sz w:val="20"/>
              </w:rPr>
              <w:t>Fundamento legal</w:t>
            </w:r>
          </w:p>
        </w:tc>
        <w:tc>
          <w:tcPr>
            <w:tcW w:w="3691" w:type="dxa"/>
          </w:tcPr>
          <w:p w14:paraId="2C685CEC"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Se señalará el nombre del ordenamiento el o los artículos, fracciones, párrafos con base en los cuales se sustente la reserva. </w:t>
            </w:r>
          </w:p>
        </w:tc>
      </w:tr>
      <w:tr w:rsidR="009A0936" w:rsidRPr="009A0936" w14:paraId="1B7E545C" w14:textId="77777777" w:rsidTr="00241DE1">
        <w:trPr>
          <w:jc w:val="center"/>
        </w:trPr>
        <w:tc>
          <w:tcPr>
            <w:tcW w:w="1271" w:type="dxa"/>
            <w:vMerge/>
            <w:shd w:val="clear" w:color="auto" w:fill="D9D9D9" w:themeFill="background1" w:themeFillShade="D9"/>
          </w:tcPr>
          <w:p w14:paraId="3225CAA5" w14:textId="77777777" w:rsidR="009E75B5" w:rsidRPr="009A0936" w:rsidRDefault="009E75B5" w:rsidP="009E75B5">
            <w:pPr>
              <w:rPr>
                <w:rFonts w:ascii="Palatino Linotype" w:hAnsi="Palatino Linotype"/>
                <w:sz w:val="20"/>
              </w:rPr>
            </w:pPr>
          </w:p>
        </w:tc>
        <w:tc>
          <w:tcPr>
            <w:tcW w:w="2693" w:type="dxa"/>
          </w:tcPr>
          <w:p w14:paraId="6EDBE1B2" w14:textId="77777777" w:rsidR="009E75B5" w:rsidRPr="009A0936" w:rsidRDefault="009E75B5" w:rsidP="009E75B5">
            <w:pPr>
              <w:rPr>
                <w:rFonts w:ascii="Palatino Linotype" w:hAnsi="Palatino Linotype"/>
                <w:sz w:val="20"/>
              </w:rPr>
            </w:pPr>
            <w:r w:rsidRPr="009A0936">
              <w:rPr>
                <w:rFonts w:ascii="Palatino Linotype" w:hAnsi="Palatino Linotype"/>
                <w:sz w:val="20"/>
              </w:rPr>
              <w:t>Ampliación del periodo de reserva</w:t>
            </w:r>
          </w:p>
        </w:tc>
        <w:tc>
          <w:tcPr>
            <w:tcW w:w="3691" w:type="dxa"/>
          </w:tcPr>
          <w:p w14:paraId="046E6DFE"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En caso de haber solicitado la ampliación del periodo de reserva originalmente establecido, se deberá anotar el número de años o meses por los que se amplía la reserva. </w:t>
            </w:r>
          </w:p>
        </w:tc>
      </w:tr>
      <w:tr w:rsidR="009A0936" w:rsidRPr="009A0936" w14:paraId="18F7F4A5" w14:textId="77777777" w:rsidTr="00241DE1">
        <w:trPr>
          <w:jc w:val="center"/>
        </w:trPr>
        <w:tc>
          <w:tcPr>
            <w:tcW w:w="3964" w:type="dxa"/>
            <w:gridSpan w:val="2"/>
            <w:shd w:val="clear" w:color="auto" w:fill="D9D9D9" w:themeFill="background1" w:themeFillShade="D9"/>
          </w:tcPr>
          <w:p w14:paraId="587711E8" w14:textId="77777777" w:rsidR="009E75B5" w:rsidRPr="009A0936" w:rsidRDefault="009E75B5" w:rsidP="009E75B5">
            <w:pPr>
              <w:rPr>
                <w:rFonts w:ascii="Palatino Linotype" w:hAnsi="Palatino Linotype"/>
                <w:sz w:val="20"/>
              </w:rPr>
            </w:pPr>
            <w:r w:rsidRPr="009A0936">
              <w:rPr>
                <w:rFonts w:ascii="Palatino Linotype" w:hAnsi="Palatino Linotype"/>
                <w:sz w:val="20"/>
              </w:rPr>
              <w:t>Rúbrica del titular del área</w:t>
            </w:r>
          </w:p>
        </w:tc>
        <w:tc>
          <w:tcPr>
            <w:tcW w:w="3691" w:type="dxa"/>
            <w:shd w:val="clear" w:color="auto" w:fill="D9D9D9" w:themeFill="background1" w:themeFillShade="D9"/>
          </w:tcPr>
          <w:p w14:paraId="6AF6CBDE"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Rúbrica autógrafa o firma digital de quien clasifica. </w:t>
            </w:r>
          </w:p>
        </w:tc>
      </w:tr>
      <w:tr w:rsidR="009A0936" w:rsidRPr="009A0936" w14:paraId="5D3205D8" w14:textId="77777777" w:rsidTr="00241DE1">
        <w:trPr>
          <w:jc w:val="center"/>
        </w:trPr>
        <w:tc>
          <w:tcPr>
            <w:tcW w:w="3964" w:type="dxa"/>
            <w:gridSpan w:val="2"/>
            <w:shd w:val="clear" w:color="auto" w:fill="D9D9D9" w:themeFill="background1" w:themeFillShade="D9"/>
          </w:tcPr>
          <w:p w14:paraId="7B710E1E" w14:textId="77777777" w:rsidR="009E75B5" w:rsidRPr="009A0936" w:rsidRDefault="009E75B5" w:rsidP="009E75B5">
            <w:pPr>
              <w:rPr>
                <w:rFonts w:ascii="Palatino Linotype" w:hAnsi="Palatino Linotype"/>
                <w:sz w:val="20"/>
              </w:rPr>
            </w:pPr>
            <w:r w:rsidRPr="009A0936">
              <w:rPr>
                <w:rFonts w:ascii="Palatino Linotype" w:hAnsi="Palatino Linotype"/>
                <w:sz w:val="20"/>
              </w:rPr>
              <w:t xml:space="preserve">Fecha de desclasificación </w:t>
            </w:r>
          </w:p>
        </w:tc>
        <w:tc>
          <w:tcPr>
            <w:tcW w:w="3691" w:type="dxa"/>
            <w:shd w:val="clear" w:color="auto" w:fill="D9D9D9" w:themeFill="background1" w:themeFillShade="D9"/>
          </w:tcPr>
          <w:p w14:paraId="3B378D3C"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Se anotará la fecha en que se desclasifica el documento. </w:t>
            </w:r>
          </w:p>
        </w:tc>
      </w:tr>
      <w:tr w:rsidR="009A0936" w:rsidRPr="009A0936" w14:paraId="4492C996" w14:textId="77777777" w:rsidTr="00241DE1">
        <w:trPr>
          <w:jc w:val="center"/>
        </w:trPr>
        <w:tc>
          <w:tcPr>
            <w:tcW w:w="3964" w:type="dxa"/>
            <w:gridSpan w:val="2"/>
            <w:shd w:val="clear" w:color="auto" w:fill="D9D9D9" w:themeFill="background1" w:themeFillShade="D9"/>
          </w:tcPr>
          <w:p w14:paraId="63172182" w14:textId="77777777" w:rsidR="009E75B5" w:rsidRPr="009A0936" w:rsidRDefault="009E75B5" w:rsidP="009E75B5">
            <w:pPr>
              <w:rPr>
                <w:rFonts w:ascii="Palatino Linotype" w:hAnsi="Palatino Linotype"/>
                <w:sz w:val="20"/>
              </w:rPr>
            </w:pPr>
            <w:r w:rsidRPr="009A0936">
              <w:rPr>
                <w:rFonts w:ascii="Palatino Linotype" w:hAnsi="Palatino Linotype"/>
                <w:sz w:val="20"/>
              </w:rPr>
              <w:t xml:space="preserve">Rúbrica y cargo del servidor público </w:t>
            </w:r>
          </w:p>
        </w:tc>
        <w:tc>
          <w:tcPr>
            <w:tcW w:w="3691" w:type="dxa"/>
            <w:shd w:val="clear" w:color="auto" w:fill="D9D9D9" w:themeFill="background1" w:themeFillShade="D9"/>
          </w:tcPr>
          <w:p w14:paraId="096D639A" w14:textId="77777777" w:rsidR="009E75B5" w:rsidRPr="009A0936" w:rsidRDefault="009E75B5" w:rsidP="009E75B5">
            <w:pPr>
              <w:jc w:val="both"/>
              <w:rPr>
                <w:rFonts w:ascii="Palatino Linotype" w:hAnsi="Palatino Linotype"/>
                <w:sz w:val="20"/>
              </w:rPr>
            </w:pPr>
            <w:r w:rsidRPr="009A0936">
              <w:rPr>
                <w:rFonts w:ascii="Palatino Linotype" w:hAnsi="Palatino Linotype"/>
                <w:sz w:val="20"/>
              </w:rPr>
              <w:t xml:space="preserve">Rúbrica autógrafa o firma digital de quien desclasifica. </w:t>
            </w:r>
          </w:p>
        </w:tc>
      </w:tr>
    </w:tbl>
    <w:p w14:paraId="4E4C53A3" w14:textId="77777777" w:rsidR="009E75B5" w:rsidRPr="009A0936" w:rsidRDefault="009E75B5" w:rsidP="009E75B5">
      <w:pPr>
        <w:spacing w:after="0" w:line="360" w:lineRule="auto"/>
        <w:ind w:right="902"/>
        <w:rPr>
          <w:rFonts w:ascii="Palatino Linotype" w:eastAsia="Palatino Linotype" w:hAnsi="Palatino Linotype" w:cs="Palatino Linotype"/>
          <w:i/>
        </w:rPr>
      </w:pPr>
    </w:p>
    <w:p w14:paraId="61316D61" w14:textId="77777777" w:rsidR="009E75B5" w:rsidRPr="009A0936" w:rsidRDefault="009E75B5" w:rsidP="009E75B5">
      <w:pPr>
        <w:spacing w:after="0" w:line="276" w:lineRule="auto"/>
        <w:ind w:left="567" w:right="902"/>
        <w:jc w:val="both"/>
        <w:rPr>
          <w:rFonts w:ascii="Palatino Linotype" w:eastAsia="Palatino Linotype" w:hAnsi="Palatino Linotype" w:cs="Palatino Linotype"/>
          <w:i/>
        </w:rPr>
      </w:pPr>
      <w:r w:rsidRPr="009A0936">
        <w:rPr>
          <w:rFonts w:ascii="Palatino Linotype" w:eastAsia="Palatino Linotype" w:hAnsi="Palatino Linotype" w:cs="Palatino Linotype"/>
          <w:i/>
        </w:rPr>
        <w:t>Los documentos que integren un expediente reservado en su totalidad no deberán marcarse en lo individual.</w:t>
      </w:r>
    </w:p>
    <w:p w14:paraId="403E01EC" w14:textId="77777777" w:rsidR="009E75B5" w:rsidRPr="009A0936" w:rsidRDefault="009E75B5" w:rsidP="009E75B5">
      <w:pPr>
        <w:spacing w:after="0" w:line="276" w:lineRule="auto"/>
        <w:ind w:left="567" w:right="902"/>
        <w:jc w:val="both"/>
        <w:rPr>
          <w:rFonts w:ascii="Palatino Linotype" w:eastAsia="Palatino Linotype" w:hAnsi="Palatino Linotype" w:cs="Palatino Linotype"/>
          <w:i/>
        </w:rPr>
      </w:pPr>
      <w:r w:rsidRPr="009A0936">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25DC92DA" w14:textId="77777777" w:rsidR="009E75B5" w:rsidRPr="009A0936" w:rsidRDefault="009E75B5" w:rsidP="009E75B5">
      <w:pPr>
        <w:spacing w:after="0" w:line="360" w:lineRule="auto"/>
        <w:jc w:val="both"/>
        <w:rPr>
          <w:rFonts w:ascii="Palatino Linotype" w:eastAsia="Palatino Linotype" w:hAnsi="Palatino Linotype" w:cs="Palatino Linotype"/>
        </w:rPr>
      </w:pPr>
    </w:p>
    <w:p w14:paraId="19FA800D" w14:textId="77777777" w:rsidR="009E75B5" w:rsidRPr="009A0936" w:rsidRDefault="009E75B5" w:rsidP="009E75B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De igual forma, deberá observar los Lineamientos Quincuagésimo cuarto, Quincuagésimo quinto, Quincuagésimo séptimo y Quincuagésimo octavo, establecen lo siguiente:</w:t>
      </w:r>
    </w:p>
    <w:p w14:paraId="3A0F37CF" w14:textId="77777777" w:rsidR="009E75B5" w:rsidRPr="009A0936" w:rsidRDefault="009E75B5" w:rsidP="009E75B5">
      <w:pPr>
        <w:spacing w:after="0" w:line="360" w:lineRule="auto"/>
        <w:jc w:val="both"/>
        <w:rPr>
          <w:rFonts w:ascii="Palatino Linotype" w:eastAsia="Palatino Linotype" w:hAnsi="Palatino Linotype" w:cs="Palatino Linotype"/>
        </w:rPr>
      </w:pPr>
    </w:p>
    <w:p w14:paraId="74DCC5CE" w14:textId="77777777" w:rsidR="009E75B5" w:rsidRPr="009A0936" w:rsidRDefault="009E75B5" w:rsidP="009E75B5">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r w:rsidRPr="009A0936">
        <w:rPr>
          <w:rFonts w:ascii="Palatino Linotype" w:eastAsia="Palatino Linotype" w:hAnsi="Palatino Linotype" w:cs="Palatino Linotype"/>
          <w:b/>
          <w:i/>
        </w:rPr>
        <w:t>Quincuagésimo cuarto.</w:t>
      </w:r>
      <w:r w:rsidRPr="009A0936">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49D6639"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Quincuagésimo quinto.</w:t>
      </w:r>
      <w:r w:rsidRPr="009A0936">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9A0936">
        <w:rPr>
          <w:rFonts w:ascii="Palatino Linotype" w:eastAsia="Palatino Linotype" w:hAnsi="Palatino Linotype" w:cs="Palatino Linotype"/>
          <w:i/>
        </w:rPr>
        <w:t>testado</w:t>
      </w:r>
      <w:proofErr w:type="spellEnd"/>
      <w:r w:rsidRPr="009A0936">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567723F"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w:t>
      </w:r>
    </w:p>
    <w:p w14:paraId="5C96B70C"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b/>
          <w:i/>
        </w:rPr>
        <w:t>Quincuagésimo séptimo.</w:t>
      </w:r>
      <w:r w:rsidRPr="009A0936">
        <w:rPr>
          <w:rFonts w:ascii="Palatino Linotype" w:eastAsia="Palatino Linotype" w:hAnsi="Palatino Linotype" w:cs="Palatino Linotype"/>
          <w:i/>
        </w:rPr>
        <w:t xml:space="preserve"> Se considera, en principio, como información pública y no podrá omitirse de las versiones públicas la siguiente: </w:t>
      </w:r>
    </w:p>
    <w:p w14:paraId="1CF9313C"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1EE29787"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5DBC984"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CEC4FE"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1667F774"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r w:rsidRPr="009A0936">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2D8CD2F1" w14:textId="77777777" w:rsidR="009E75B5" w:rsidRPr="009A0936" w:rsidRDefault="009E75B5" w:rsidP="009E75B5">
      <w:pPr>
        <w:spacing w:after="0" w:line="276" w:lineRule="auto"/>
        <w:ind w:left="567" w:right="616"/>
        <w:jc w:val="both"/>
        <w:rPr>
          <w:rFonts w:ascii="Palatino Linotype" w:eastAsia="Palatino Linotype" w:hAnsi="Palatino Linotype" w:cs="Palatino Linotype"/>
          <w:i/>
        </w:rPr>
      </w:pPr>
    </w:p>
    <w:p w14:paraId="25D1D18A" w14:textId="79F54BA3" w:rsidR="009E75B5" w:rsidRPr="009A0936" w:rsidRDefault="009E75B5" w:rsidP="009E75B5">
      <w:pPr>
        <w:spacing w:after="0" w:line="360" w:lineRule="auto"/>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BA0497F" w14:textId="77777777" w:rsidR="003A0D42" w:rsidRPr="009A0936" w:rsidRDefault="003A0D42" w:rsidP="009E75B5">
      <w:pPr>
        <w:spacing w:after="0" w:line="360" w:lineRule="auto"/>
        <w:jc w:val="both"/>
        <w:rPr>
          <w:rFonts w:ascii="Palatino Linotype" w:eastAsia="Palatino Linotype" w:hAnsi="Palatino Linotype" w:cs="Palatino Linotype"/>
          <w:sz w:val="24"/>
        </w:rPr>
      </w:pPr>
    </w:p>
    <w:p w14:paraId="78744620" w14:textId="0BB4A0A1" w:rsidR="009E75B5" w:rsidRPr="009A0936" w:rsidRDefault="009E75B5" w:rsidP="009E75B5">
      <w:pPr>
        <w:spacing w:after="0" w:line="360" w:lineRule="auto"/>
        <w:ind w:right="49"/>
        <w:jc w:val="both"/>
        <w:rPr>
          <w:rFonts w:ascii="Palatino Linotype" w:eastAsia="Palatino Linotype" w:hAnsi="Palatino Linotype" w:cs="Palatino Linotype"/>
          <w:b/>
          <w:sz w:val="24"/>
        </w:rPr>
      </w:pPr>
      <w:r w:rsidRPr="009A0936">
        <w:rPr>
          <w:rFonts w:ascii="Palatino Linotype" w:eastAsia="Palatino Linotype" w:hAnsi="Palatino Linotype" w:cs="Palatino Linotype"/>
          <w:sz w:val="24"/>
        </w:rPr>
        <w:t xml:space="preserve">Es así como, en mérito de lo expuesto en líneas anteriores, resultan fundadas las razones o motivos de inconformidad hechos valer por el </w:t>
      </w:r>
      <w:r w:rsidRPr="009A0936">
        <w:rPr>
          <w:rFonts w:ascii="Palatino Linotype" w:eastAsia="Palatino Linotype" w:hAnsi="Palatino Linotype" w:cs="Palatino Linotype"/>
          <w:b/>
          <w:sz w:val="24"/>
        </w:rPr>
        <w:t>RECURRENTE</w:t>
      </w:r>
      <w:r w:rsidRPr="009A0936">
        <w:rPr>
          <w:rFonts w:ascii="Palatino Linotype" w:eastAsia="Palatino Linotype" w:hAnsi="Palatino Linotype" w:cs="Palatino Linotype"/>
          <w:sz w:val="24"/>
        </w:rPr>
        <w:t xml:space="preserve"> dentro del recurso de revisión </w:t>
      </w:r>
      <w:r w:rsidR="003A0D42" w:rsidRPr="009A0936">
        <w:rPr>
          <w:rFonts w:ascii="Palatino Linotype" w:eastAsia="Palatino Linotype" w:hAnsi="Palatino Linotype" w:cs="Palatino Linotype"/>
          <w:b/>
          <w:sz w:val="24"/>
        </w:rPr>
        <w:t>03764</w:t>
      </w:r>
      <w:r w:rsidRPr="009A0936">
        <w:rPr>
          <w:rFonts w:ascii="Palatino Linotype" w:eastAsia="Palatino Linotype" w:hAnsi="Palatino Linotype" w:cs="Palatino Linotype"/>
          <w:b/>
          <w:sz w:val="24"/>
        </w:rPr>
        <w:t>/INFOEM/IP/RR/2023</w:t>
      </w:r>
      <w:r w:rsidRPr="009A0936">
        <w:rPr>
          <w:rFonts w:ascii="Palatino Linotype" w:eastAsia="Palatino Linotype" w:hAnsi="Palatino Linotype" w:cs="Palatino Linotype"/>
          <w:sz w:val="24"/>
        </w:rPr>
        <w:t xml:space="preserve">; por ello, y con fundamento en la fracción III del numeral 186 de la Ley de Transparencia y Acceso a la Información Pública del Estado de México y Municipios, por lo que se </w:t>
      </w:r>
      <w:r w:rsidRPr="009A0936">
        <w:rPr>
          <w:rFonts w:ascii="Palatino Linotype" w:eastAsia="Palatino Linotype" w:hAnsi="Palatino Linotype" w:cs="Palatino Linotype"/>
          <w:b/>
          <w:sz w:val="24"/>
        </w:rPr>
        <w:t xml:space="preserve">REVOCA </w:t>
      </w:r>
      <w:r w:rsidRPr="009A0936">
        <w:rPr>
          <w:rFonts w:ascii="Palatino Linotype" w:eastAsia="Palatino Linotype" w:hAnsi="Palatino Linotype" w:cs="Palatino Linotype"/>
          <w:sz w:val="24"/>
        </w:rPr>
        <w:t xml:space="preserve">la respuesta del </w:t>
      </w:r>
      <w:r w:rsidRPr="009A0936">
        <w:rPr>
          <w:rFonts w:ascii="Palatino Linotype" w:eastAsia="Palatino Linotype" w:hAnsi="Palatino Linotype" w:cs="Palatino Linotype"/>
          <w:b/>
          <w:sz w:val="24"/>
        </w:rPr>
        <w:t xml:space="preserve">SUJETO OBLIGADO </w:t>
      </w:r>
      <w:r w:rsidRPr="009A0936">
        <w:rPr>
          <w:rFonts w:ascii="Palatino Linotype" w:eastAsia="Palatino Linotype" w:hAnsi="Palatino Linotype" w:cs="Palatino Linotype"/>
          <w:sz w:val="24"/>
        </w:rPr>
        <w:t xml:space="preserve">a la solicitud de información </w:t>
      </w:r>
      <w:r w:rsidRPr="009A0936">
        <w:rPr>
          <w:rFonts w:ascii="Palatino Linotype" w:eastAsia="Palatino Linotype" w:hAnsi="Palatino Linotype" w:cs="Palatino Linotype"/>
          <w:b/>
          <w:sz w:val="24"/>
        </w:rPr>
        <w:t>00</w:t>
      </w:r>
      <w:r w:rsidR="003A0D42" w:rsidRPr="009A0936">
        <w:rPr>
          <w:rFonts w:ascii="Palatino Linotype" w:eastAsia="Palatino Linotype" w:hAnsi="Palatino Linotype" w:cs="Palatino Linotype"/>
          <w:b/>
          <w:sz w:val="24"/>
        </w:rPr>
        <w:t>062</w:t>
      </w:r>
      <w:r w:rsidRPr="009A0936">
        <w:rPr>
          <w:rFonts w:ascii="Palatino Linotype" w:eastAsia="Palatino Linotype" w:hAnsi="Palatino Linotype" w:cs="Palatino Linotype"/>
          <w:b/>
          <w:sz w:val="24"/>
        </w:rPr>
        <w:t>/</w:t>
      </w:r>
      <w:r w:rsidR="003A0D42" w:rsidRPr="009A0936">
        <w:rPr>
          <w:rFonts w:ascii="Palatino Linotype" w:eastAsia="Palatino Linotype" w:hAnsi="Palatino Linotype" w:cs="Palatino Linotype"/>
          <w:b/>
          <w:sz w:val="24"/>
        </w:rPr>
        <w:t>IHAEM</w:t>
      </w:r>
      <w:r w:rsidRPr="009A0936">
        <w:rPr>
          <w:rFonts w:ascii="Palatino Linotype" w:eastAsia="Palatino Linotype" w:hAnsi="Palatino Linotype" w:cs="Palatino Linotype"/>
          <w:b/>
          <w:sz w:val="24"/>
        </w:rPr>
        <w:t>/IP/2023</w:t>
      </w:r>
      <w:r w:rsidRPr="009A0936">
        <w:rPr>
          <w:rFonts w:ascii="Palatino Linotype" w:eastAsia="Palatino Linotype" w:hAnsi="Palatino Linotype" w:cs="Palatino Linotype"/>
          <w:sz w:val="24"/>
        </w:rPr>
        <w:t xml:space="preserve">.  </w:t>
      </w:r>
      <w:r w:rsidRPr="009A0936">
        <w:rPr>
          <w:rFonts w:ascii="Palatino Linotype" w:eastAsia="Palatino Linotype" w:hAnsi="Palatino Linotype" w:cs="Palatino Linotype"/>
          <w:b/>
          <w:sz w:val="24"/>
        </w:rPr>
        <w:t xml:space="preserve"> </w:t>
      </w:r>
    </w:p>
    <w:p w14:paraId="686EB3D1" w14:textId="77777777" w:rsidR="008B7BCF" w:rsidRPr="009A0936" w:rsidRDefault="008B7BCF" w:rsidP="009E75B5">
      <w:pPr>
        <w:spacing w:after="0" w:line="360" w:lineRule="auto"/>
        <w:ind w:right="49"/>
        <w:jc w:val="both"/>
        <w:rPr>
          <w:rFonts w:ascii="Palatino Linotype" w:eastAsia="Palatino Linotype" w:hAnsi="Palatino Linotype" w:cs="Palatino Linotype"/>
          <w:b/>
          <w:sz w:val="24"/>
        </w:rPr>
      </w:pPr>
    </w:p>
    <w:p w14:paraId="1FB33988" w14:textId="77777777" w:rsidR="009E75B5" w:rsidRPr="009A0936" w:rsidRDefault="009E75B5" w:rsidP="009E75B5">
      <w:pPr>
        <w:spacing w:after="0" w:line="360" w:lineRule="auto"/>
        <w:ind w:right="49"/>
        <w:jc w:val="both"/>
        <w:rPr>
          <w:rFonts w:ascii="Palatino Linotype" w:eastAsia="Palatino Linotype" w:hAnsi="Palatino Linotype" w:cs="Palatino Linotype"/>
          <w:sz w:val="24"/>
        </w:rPr>
      </w:pPr>
      <w:r w:rsidRPr="009A0936">
        <w:rPr>
          <w:rFonts w:ascii="Palatino Linotype" w:eastAsia="Palatino Linotype" w:hAnsi="Palatino Linotype" w:cs="Palatino Linotype"/>
          <w:sz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C4D68F" w14:textId="77777777" w:rsidR="00634588" w:rsidRPr="009A0936"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9A0936" w:rsidRDefault="00646B44">
      <w:pPr>
        <w:spacing w:after="0" w:line="360" w:lineRule="auto"/>
        <w:ind w:right="49"/>
        <w:jc w:val="center"/>
        <w:rPr>
          <w:rFonts w:ascii="Palatino Linotype" w:eastAsia="Palatino Linotype" w:hAnsi="Palatino Linotype" w:cs="Palatino Linotype"/>
          <w:b/>
          <w:sz w:val="24"/>
          <w:szCs w:val="24"/>
        </w:rPr>
      </w:pPr>
      <w:r w:rsidRPr="009A0936">
        <w:rPr>
          <w:rFonts w:ascii="Palatino Linotype" w:eastAsia="Palatino Linotype" w:hAnsi="Palatino Linotype" w:cs="Palatino Linotype"/>
          <w:b/>
          <w:sz w:val="24"/>
          <w:szCs w:val="24"/>
        </w:rPr>
        <w:t>III.</w:t>
      </w:r>
      <w:r w:rsidRPr="009A0936">
        <w:rPr>
          <w:rFonts w:ascii="Palatino Linotype" w:eastAsia="Palatino Linotype" w:hAnsi="Palatino Linotype" w:cs="Palatino Linotype"/>
          <w:b/>
          <w:sz w:val="24"/>
          <w:szCs w:val="24"/>
        </w:rPr>
        <w:tab/>
        <w:t>R E S U E L V E:</w:t>
      </w:r>
    </w:p>
    <w:p w14:paraId="741D8D48" w14:textId="77777777" w:rsidR="00F8557D" w:rsidRPr="009A0936" w:rsidRDefault="00F8557D" w:rsidP="003A0D42">
      <w:pPr>
        <w:spacing w:after="0" w:line="360" w:lineRule="auto"/>
        <w:ind w:right="49"/>
        <w:jc w:val="both"/>
        <w:rPr>
          <w:rFonts w:ascii="Palatino Linotype" w:eastAsia="Palatino Linotype" w:hAnsi="Palatino Linotype" w:cs="Palatino Linotype"/>
          <w:sz w:val="24"/>
          <w:szCs w:val="24"/>
        </w:rPr>
      </w:pPr>
    </w:p>
    <w:p w14:paraId="2CC1FD37" w14:textId="5B9F27D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Primero.</w:t>
      </w:r>
      <w:r w:rsidRPr="009A0936">
        <w:rPr>
          <w:rFonts w:ascii="Palatino Linotype" w:eastAsia="Palatino Linotype" w:hAnsi="Palatino Linotype" w:cs="Palatino Linotype"/>
          <w:sz w:val="24"/>
          <w:szCs w:val="24"/>
        </w:rPr>
        <w:t xml:space="preserve"> Resultan</w:t>
      </w:r>
      <w:r w:rsidRPr="009A0936">
        <w:rPr>
          <w:rFonts w:ascii="Palatino Linotype" w:eastAsia="Palatino Linotype" w:hAnsi="Palatino Linotype" w:cs="Palatino Linotype"/>
          <w:b/>
          <w:sz w:val="24"/>
          <w:szCs w:val="24"/>
        </w:rPr>
        <w:t xml:space="preserve"> FUNDADOS</w:t>
      </w:r>
      <w:r w:rsidRPr="009A0936">
        <w:rPr>
          <w:rFonts w:ascii="Palatino Linotype" w:eastAsia="Palatino Linotype" w:hAnsi="Palatino Linotype" w:cs="Palatino Linotype"/>
          <w:sz w:val="24"/>
          <w:szCs w:val="24"/>
        </w:rPr>
        <w:t xml:space="preserve"> los motivos de inconformidad hechos valer por el </w:t>
      </w:r>
      <w:r w:rsidRPr="009A0936">
        <w:rPr>
          <w:rFonts w:ascii="Palatino Linotype" w:eastAsia="Palatino Linotype" w:hAnsi="Palatino Linotype" w:cs="Palatino Linotype"/>
          <w:b/>
          <w:sz w:val="24"/>
          <w:szCs w:val="24"/>
        </w:rPr>
        <w:t>RECURRENTE</w:t>
      </w:r>
      <w:r w:rsidRPr="009A0936">
        <w:rPr>
          <w:rFonts w:ascii="Palatino Linotype" w:eastAsia="Palatino Linotype" w:hAnsi="Palatino Linotype" w:cs="Palatino Linotype"/>
          <w:sz w:val="24"/>
          <w:szCs w:val="24"/>
        </w:rPr>
        <w:t xml:space="preserve"> en el Recurso de Revisión </w:t>
      </w:r>
      <w:r w:rsidR="003A0D42" w:rsidRPr="009A0936">
        <w:rPr>
          <w:rFonts w:ascii="Palatino Linotype" w:eastAsia="Palatino Linotype" w:hAnsi="Palatino Linotype" w:cs="Palatino Linotype"/>
          <w:b/>
          <w:sz w:val="24"/>
          <w:szCs w:val="24"/>
        </w:rPr>
        <w:t>03764</w:t>
      </w:r>
      <w:r w:rsidRPr="009A0936">
        <w:rPr>
          <w:rFonts w:ascii="Palatino Linotype" w:eastAsia="Palatino Linotype" w:hAnsi="Palatino Linotype" w:cs="Palatino Linotype"/>
          <w:b/>
          <w:sz w:val="24"/>
          <w:szCs w:val="24"/>
        </w:rPr>
        <w:t>/INFOEM/IP/RR/202</w:t>
      </w:r>
      <w:r w:rsidR="00A45BB6" w:rsidRPr="009A0936">
        <w:rPr>
          <w:rFonts w:ascii="Palatino Linotype" w:eastAsia="Palatino Linotype" w:hAnsi="Palatino Linotype" w:cs="Palatino Linotype"/>
          <w:b/>
          <w:sz w:val="24"/>
          <w:szCs w:val="24"/>
        </w:rPr>
        <w:t>3</w:t>
      </w:r>
      <w:r w:rsidRPr="009A0936">
        <w:rPr>
          <w:rFonts w:ascii="Palatino Linotype" w:eastAsia="Palatino Linotype" w:hAnsi="Palatino Linotype" w:cs="Palatino Linotype"/>
          <w:sz w:val="24"/>
          <w:szCs w:val="24"/>
        </w:rPr>
        <w:t xml:space="preserve">, por lo que, en términos del </w:t>
      </w:r>
      <w:r w:rsidRPr="009A0936">
        <w:rPr>
          <w:rFonts w:ascii="Palatino Linotype" w:eastAsia="Palatino Linotype" w:hAnsi="Palatino Linotype" w:cs="Palatino Linotype"/>
          <w:b/>
          <w:sz w:val="24"/>
          <w:szCs w:val="24"/>
        </w:rPr>
        <w:t>Considerando Cuarto</w:t>
      </w:r>
      <w:r w:rsidRPr="009A0936">
        <w:rPr>
          <w:rFonts w:ascii="Palatino Linotype" w:eastAsia="Palatino Linotype" w:hAnsi="Palatino Linotype" w:cs="Palatino Linotype"/>
          <w:sz w:val="24"/>
          <w:szCs w:val="24"/>
        </w:rPr>
        <w:t xml:space="preserve"> de esta resolución, se </w:t>
      </w:r>
      <w:r w:rsidR="0002412A" w:rsidRPr="009A0936">
        <w:rPr>
          <w:rFonts w:ascii="Palatino Linotype" w:eastAsia="Palatino Linotype" w:hAnsi="Palatino Linotype" w:cs="Palatino Linotype"/>
          <w:b/>
          <w:sz w:val="24"/>
          <w:szCs w:val="24"/>
        </w:rPr>
        <w:t>REVOCA</w:t>
      </w:r>
      <w:r w:rsidRPr="009A0936">
        <w:rPr>
          <w:rFonts w:ascii="Palatino Linotype" w:eastAsia="Palatino Linotype" w:hAnsi="Palatino Linotype" w:cs="Palatino Linotype"/>
          <w:sz w:val="24"/>
          <w:szCs w:val="24"/>
        </w:rPr>
        <w:t xml:space="preserve"> la respuesta emitida por el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w:t>
      </w:r>
    </w:p>
    <w:p w14:paraId="291BFCC6"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74E8D6F7" w14:textId="5263AFF0" w:rsidR="00A45BB6" w:rsidRPr="009A0936" w:rsidRDefault="00646B44" w:rsidP="00A45BB6">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Segundo</w:t>
      </w:r>
      <w:r w:rsidRPr="009A0936">
        <w:rPr>
          <w:rFonts w:ascii="Palatino Linotype" w:eastAsia="Palatino Linotype" w:hAnsi="Palatino Linotype" w:cs="Palatino Linotype"/>
          <w:sz w:val="24"/>
          <w:szCs w:val="24"/>
        </w:rPr>
        <w:t xml:space="preserve">. Se </w:t>
      </w:r>
      <w:r w:rsidRPr="009A0936">
        <w:rPr>
          <w:rFonts w:ascii="Palatino Linotype" w:eastAsia="Palatino Linotype" w:hAnsi="Palatino Linotype" w:cs="Palatino Linotype"/>
          <w:b/>
          <w:sz w:val="24"/>
          <w:szCs w:val="24"/>
        </w:rPr>
        <w:t>ORDENA</w:t>
      </w:r>
      <w:r w:rsidRPr="009A0936">
        <w:rPr>
          <w:rFonts w:ascii="Palatino Linotype" w:eastAsia="Palatino Linotype" w:hAnsi="Palatino Linotype" w:cs="Palatino Linotype"/>
          <w:sz w:val="24"/>
          <w:szCs w:val="24"/>
        </w:rPr>
        <w:t xml:space="preserve"> al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 xml:space="preserve"> a que, en términos del Considerando Cuarto y Quinto, haga entrega</w:t>
      </w:r>
      <w:r w:rsidR="00B16261" w:rsidRPr="009A0936">
        <w:rPr>
          <w:rFonts w:ascii="Palatino Linotype" w:eastAsia="Palatino Linotype" w:hAnsi="Palatino Linotype" w:cs="Palatino Linotype"/>
          <w:sz w:val="24"/>
          <w:szCs w:val="24"/>
        </w:rPr>
        <w:t xml:space="preserve"> previa búsqueda exhaustiva y razonable,</w:t>
      </w:r>
      <w:r w:rsidRPr="009A0936">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bookmarkStart w:id="2" w:name="_heading=h.1fob9te" w:colFirst="0" w:colLast="0"/>
      <w:bookmarkEnd w:id="2"/>
    </w:p>
    <w:p w14:paraId="545A28AE" w14:textId="77777777" w:rsidR="00A45BB6" w:rsidRPr="009A0936" w:rsidRDefault="00A45BB6" w:rsidP="00A45BB6">
      <w:pPr>
        <w:spacing w:after="0" w:line="360" w:lineRule="auto"/>
        <w:ind w:right="49"/>
        <w:jc w:val="both"/>
        <w:rPr>
          <w:rFonts w:ascii="Palatino Linotype" w:eastAsia="Palatino Linotype" w:hAnsi="Palatino Linotype" w:cs="Palatino Linotype"/>
          <w:sz w:val="24"/>
          <w:szCs w:val="24"/>
        </w:rPr>
      </w:pPr>
    </w:p>
    <w:p w14:paraId="674B1C05" w14:textId="77777777" w:rsidR="003A0D42" w:rsidRPr="009A0936" w:rsidRDefault="003A0D42" w:rsidP="003A0D42">
      <w:pPr>
        <w:pStyle w:val="Prrafodelista"/>
        <w:numPr>
          <w:ilvl w:val="0"/>
          <w:numId w:val="29"/>
        </w:numPr>
        <w:pBdr>
          <w:top w:val="nil"/>
          <w:left w:val="nil"/>
          <w:bottom w:val="nil"/>
          <w:right w:val="nil"/>
          <w:between w:val="nil"/>
        </w:pBdr>
        <w:tabs>
          <w:tab w:val="left" w:pos="993"/>
        </w:tabs>
        <w:spacing w:after="0" w:line="360" w:lineRule="auto"/>
        <w:ind w:left="567" w:right="616"/>
        <w:contextualSpacing w:val="0"/>
        <w:jc w:val="both"/>
        <w:rPr>
          <w:rFonts w:ascii="Palatino Linotype" w:eastAsia="Palatino Linotype" w:hAnsi="Palatino Linotype" w:cs="Palatino Linotype"/>
          <w:b/>
        </w:rPr>
      </w:pPr>
      <w:r w:rsidRPr="009A0936">
        <w:rPr>
          <w:rFonts w:ascii="Palatino Linotype" w:eastAsia="Palatino Linotype" w:hAnsi="Palatino Linotype" w:cs="Palatino Linotype"/>
          <w:b/>
        </w:rPr>
        <w:t xml:space="preserve">Actas generadas por el Comité de Control y Desempeño Institucional del uno de enero de dos mil veinte al veintidós de junio de dos mil veintitrés. </w:t>
      </w:r>
    </w:p>
    <w:p w14:paraId="24D0549F" w14:textId="77777777" w:rsidR="003A0D42" w:rsidRPr="009A0936" w:rsidRDefault="003A0D42" w:rsidP="00A45BB6">
      <w:pPr>
        <w:spacing w:after="0" w:line="360" w:lineRule="auto"/>
        <w:ind w:right="49"/>
        <w:jc w:val="both"/>
        <w:rPr>
          <w:rFonts w:ascii="Palatino Linotype" w:eastAsia="Palatino Linotype" w:hAnsi="Palatino Linotype" w:cs="Palatino Linotype"/>
          <w:sz w:val="24"/>
          <w:szCs w:val="24"/>
        </w:rPr>
      </w:pPr>
    </w:p>
    <w:p w14:paraId="21D77ECB" w14:textId="77777777" w:rsidR="00A45BB6" w:rsidRPr="009A0936" w:rsidRDefault="00A45BB6" w:rsidP="00A45BB6">
      <w:pPr>
        <w:spacing w:after="0" w:line="276" w:lineRule="auto"/>
        <w:ind w:left="567" w:right="560"/>
        <w:jc w:val="both"/>
        <w:rPr>
          <w:rFonts w:ascii="Palatino Linotype" w:eastAsia="Palatino Linotype" w:hAnsi="Palatino Linotype" w:cs="Palatino Linotype"/>
          <w:i/>
          <w:iCs/>
          <w:szCs w:val="24"/>
        </w:rPr>
      </w:pPr>
      <w:r w:rsidRPr="009A0936">
        <w:rPr>
          <w:rFonts w:ascii="Palatino Linotype" w:eastAsia="Palatino Linotype" w:hAnsi="Palatino Linotype" w:cs="Palatino Linotype"/>
          <w:i/>
          <w:iCs/>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F3346A" w14:textId="77777777" w:rsidR="00F8557D" w:rsidRPr="009A0936"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3D00D746" w14:textId="77777777" w:rsidR="009E75B5" w:rsidRPr="009A0936" w:rsidRDefault="009E75B5" w:rsidP="009E75B5">
      <w:pPr>
        <w:spacing w:line="360" w:lineRule="auto"/>
        <w:ind w:right="49"/>
        <w:jc w:val="both"/>
        <w:rPr>
          <w:rFonts w:ascii="Palatino Linotype" w:eastAsia="Palatino Linotype" w:hAnsi="Palatino Linotype" w:cs="Palatino Linotype"/>
          <w:sz w:val="24"/>
        </w:rPr>
      </w:pPr>
      <w:r w:rsidRPr="009A0936">
        <w:rPr>
          <w:rFonts w:ascii="Palatino Linotype" w:eastAsia="Palatino Linotype" w:hAnsi="Palatino Linotype" w:cs="Palatino Linotype"/>
          <w:b/>
          <w:sz w:val="24"/>
        </w:rPr>
        <w:t>Tercero.</w:t>
      </w:r>
      <w:r w:rsidRPr="009A0936">
        <w:rPr>
          <w:rFonts w:ascii="Palatino Linotype" w:eastAsia="Palatino Linotype" w:hAnsi="Palatino Linotype" w:cs="Palatino Linotype"/>
          <w:sz w:val="24"/>
        </w:rPr>
        <w:t xml:space="preserve"> </w:t>
      </w:r>
      <w:r w:rsidRPr="009A0936">
        <w:rPr>
          <w:rFonts w:ascii="Palatino Linotype" w:eastAsia="Palatino Linotype" w:hAnsi="Palatino Linotype" w:cs="Palatino Linotype"/>
          <w:b/>
          <w:sz w:val="24"/>
        </w:rPr>
        <w:t xml:space="preserve">Notifíquese </w:t>
      </w:r>
      <w:r w:rsidRPr="009A0936">
        <w:rPr>
          <w:rFonts w:ascii="Palatino Linotype" w:eastAsia="Palatino Linotype" w:hAnsi="Palatino Linotype" w:cs="Palatino Linotype"/>
          <w:sz w:val="24"/>
        </w:rPr>
        <w:t>la presente resolución al T</w:t>
      </w:r>
      <w:r w:rsidRPr="009A0936">
        <w:rPr>
          <w:rFonts w:ascii="Palatino Linotype" w:eastAsia="Palatino Linotype" w:hAnsi="Palatino Linotype" w:cs="Palatino Linotype"/>
          <w:b/>
          <w:sz w:val="24"/>
        </w:rPr>
        <w:t xml:space="preserve">itular de la Unidad de Transparencia </w:t>
      </w:r>
      <w:r w:rsidRPr="009A0936">
        <w:rPr>
          <w:rFonts w:ascii="Palatino Linotype" w:eastAsia="Palatino Linotype" w:hAnsi="Palatino Linotype" w:cs="Palatino Linotype"/>
          <w:sz w:val="24"/>
        </w:rPr>
        <w:t xml:space="preserve">del </w:t>
      </w:r>
      <w:r w:rsidRPr="009A0936">
        <w:rPr>
          <w:rFonts w:ascii="Palatino Linotype" w:eastAsia="Palatino Linotype" w:hAnsi="Palatino Linotype" w:cs="Palatino Linotype"/>
          <w:b/>
          <w:sz w:val="24"/>
        </w:rPr>
        <w:t>SUJETO OBLIGADO</w:t>
      </w:r>
      <w:r w:rsidRPr="009A0936">
        <w:rPr>
          <w:rFonts w:ascii="Palatino Linotype" w:eastAsia="Palatino Linotype" w:hAnsi="Palatino Linotype" w:cs="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CC1FF69"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Cuarto.</w:t>
      </w:r>
      <w:r w:rsidRPr="009A0936">
        <w:rPr>
          <w:rFonts w:ascii="Palatino Linotype" w:eastAsia="Palatino Linotype" w:hAnsi="Palatino Linotype" w:cs="Palatino Linotype"/>
          <w:sz w:val="24"/>
          <w:szCs w:val="24"/>
        </w:rPr>
        <w:t xml:space="preserve"> </w:t>
      </w:r>
      <w:r w:rsidRPr="009A0936">
        <w:rPr>
          <w:rFonts w:ascii="Palatino Linotype" w:eastAsia="Palatino Linotype" w:hAnsi="Palatino Linotype" w:cs="Palatino Linotype"/>
          <w:b/>
          <w:sz w:val="24"/>
          <w:szCs w:val="24"/>
        </w:rPr>
        <w:t>Notifíquese vía SAIMEX</w:t>
      </w:r>
      <w:r w:rsidRPr="009A0936">
        <w:rPr>
          <w:rFonts w:ascii="Palatino Linotype" w:eastAsia="Palatino Linotype" w:hAnsi="Palatino Linotype" w:cs="Palatino Linotype"/>
          <w:sz w:val="24"/>
          <w:szCs w:val="24"/>
        </w:rPr>
        <w:t xml:space="preserve"> a la parte </w:t>
      </w:r>
      <w:r w:rsidRPr="009A0936">
        <w:rPr>
          <w:rFonts w:ascii="Palatino Linotype" w:eastAsia="Palatino Linotype" w:hAnsi="Palatino Linotype" w:cs="Palatino Linotype"/>
          <w:b/>
          <w:sz w:val="24"/>
          <w:szCs w:val="24"/>
        </w:rPr>
        <w:t xml:space="preserve">RECURRENTE </w:t>
      </w:r>
      <w:r w:rsidRPr="009A0936">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9A0936">
        <w:rPr>
          <w:rFonts w:ascii="Palatino Linotype" w:eastAsia="Palatino Linotype" w:hAnsi="Palatino Linotype" w:cs="Palatino Linotype"/>
          <w:sz w:val="24"/>
          <w:szCs w:val="24"/>
        </w:rPr>
        <w:t xml:space="preserve">. </w:t>
      </w:r>
    </w:p>
    <w:p w14:paraId="23C230A4"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b/>
          <w:sz w:val="24"/>
          <w:szCs w:val="24"/>
        </w:rPr>
        <w:t>Quinto.</w:t>
      </w:r>
      <w:r w:rsidRPr="009A0936">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9A0936">
        <w:rPr>
          <w:rFonts w:ascii="Palatino Linotype" w:eastAsia="Palatino Linotype" w:hAnsi="Palatino Linotype" w:cs="Palatino Linotype"/>
          <w:b/>
          <w:sz w:val="24"/>
          <w:szCs w:val="24"/>
        </w:rPr>
        <w:t>SUJETO OBLIGADO</w:t>
      </w:r>
      <w:r w:rsidRPr="009A0936">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223A250F" w14:textId="3455035C" w:rsidR="00F8557D" w:rsidRPr="009A0936" w:rsidRDefault="00646B44">
      <w:pPr>
        <w:spacing w:after="0" w:line="360" w:lineRule="auto"/>
        <w:ind w:right="49"/>
        <w:jc w:val="both"/>
        <w:rPr>
          <w:rFonts w:ascii="Palatino Linotype" w:eastAsia="Palatino Linotype" w:hAnsi="Palatino Linotype" w:cs="Palatino Linotype"/>
          <w:sz w:val="24"/>
          <w:szCs w:val="24"/>
        </w:rPr>
      </w:pPr>
      <w:r w:rsidRPr="009A093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17A6A" w:rsidRPr="009A0936">
        <w:rPr>
          <w:rFonts w:ascii="Palatino Linotype" w:eastAsia="Palatino Linotype" w:hAnsi="Palatino Linotype" w:cs="Palatino Linotype"/>
          <w:sz w:val="24"/>
          <w:szCs w:val="24"/>
        </w:rPr>
        <w:t xml:space="preserve"> </w:t>
      </w:r>
      <w:r w:rsidR="009E75B5" w:rsidRPr="009A0936">
        <w:rPr>
          <w:rFonts w:ascii="Palatino Linotype" w:eastAsia="Palatino Linotype" w:hAnsi="Palatino Linotype" w:cs="Palatino Linotype"/>
          <w:sz w:val="24"/>
          <w:szCs w:val="24"/>
        </w:rPr>
        <w:t xml:space="preserve">CUADRAGÉSIMA </w:t>
      </w:r>
      <w:r w:rsidR="003A0D42" w:rsidRPr="009A0936">
        <w:rPr>
          <w:rFonts w:ascii="Palatino Linotype" w:eastAsia="Palatino Linotype" w:hAnsi="Palatino Linotype" w:cs="Palatino Linotype"/>
          <w:sz w:val="24"/>
          <w:szCs w:val="24"/>
        </w:rPr>
        <w:t>TERCERA</w:t>
      </w:r>
      <w:r w:rsidR="00A45BB6" w:rsidRPr="009A0936">
        <w:rPr>
          <w:rFonts w:ascii="Palatino Linotype" w:eastAsia="Palatino Linotype" w:hAnsi="Palatino Linotype" w:cs="Palatino Linotype"/>
          <w:sz w:val="24"/>
          <w:szCs w:val="24"/>
        </w:rPr>
        <w:t xml:space="preserve"> </w:t>
      </w:r>
      <w:r w:rsidR="00B16261" w:rsidRPr="009A0936">
        <w:rPr>
          <w:rFonts w:ascii="Palatino Linotype" w:eastAsia="Palatino Linotype" w:hAnsi="Palatino Linotype" w:cs="Palatino Linotype"/>
          <w:sz w:val="24"/>
          <w:szCs w:val="24"/>
        </w:rPr>
        <w:t xml:space="preserve">SESIÓN ORDINARIA </w:t>
      </w:r>
      <w:r w:rsidRPr="009A0936">
        <w:rPr>
          <w:rFonts w:ascii="Palatino Linotype" w:eastAsia="Palatino Linotype" w:hAnsi="Palatino Linotype" w:cs="Palatino Linotype"/>
          <w:sz w:val="24"/>
          <w:szCs w:val="24"/>
        </w:rPr>
        <w:t xml:space="preserve">CELEBRADA EL </w:t>
      </w:r>
      <w:r w:rsidR="003A0D42" w:rsidRPr="009A0936">
        <w:rPr>
          <w:rFonts w:ascii="Palatino Linotype" w:eastAsia="Palatino Linotype" w:hAnsi="Palatino Linotype" w:cs="Palatino Linotype"/>
          <w:sz w:val="24"/>
          <w:szCs w:val="24"/>
        </w:rPr>
        <w:t>VEINTINUEV</w:t>
      </w:r>
      <w:r w:rsidR="009A0936" w:rsidRPr="009A0936">
        <w:rPr>
          <w:rFonts w:ascii="Palatino Linotype" w:eastAsia="Palatino Linotype" w:hAnsi="Palatino Linotype" w:cs="Palatino Linotype"/>
          <w:sz w:val="24"/>
          <w:szCs w:val="24"/>
        </w:rPr>
        <w:t>E</w:t>
      </w:r>
      <w:r w:rsidR="003A0D42" w:rsidRPr="009A0936">
        <w:rPr>
          <w:rFonts w:ascii="Palatino Linotype" w:eastAsia="Palatino Linotype" w:hAnsi="Palatino Linotype" w:cs="Palatino Linotype"/>
          <w:sz w:val="24"/>
          <w:szCs w:val="24"/>
        </w:rPr>
        <w:t xml:space="preserve"> </w:t>
      </w:r>
      <w:r w:rsidR="009E75B5" w:rsidRPr="009A0936">
        <w:rPr>
          <w:rFonts w:ascii="Palatino Linotype" w:eastAsia="Palatino Linotype" w:hAnsi="Palatino Linotype" w:cs="Palatino Linotype"/>
          <w:sz w:val="24"/>
          <w:szCs w:val="24"/>
        </w:rPr>
        <w:t xml:space="preserve">DE NOVIEMBRE </w:t>
      </w:r>
      <w:r w:rsidRPr="009A0936">
        <w:rPr>
          <w:rFonts w:ascii="Palatino Linotype" w:eastAsia="Palatino Linotype" w:hAnsi="Palatino Linotype" w:cs="Palatino Linotype"/>
          <w:sz w:val="24"/>
          <w:szCs w:val="24"/>
        </w:rPr>
        <w:t>DE DOS MIL VEINTI</w:t>
      </w:r>
      <w:r w:rsidR="00B16261" w:rsidRPr="009A0936">
        <w:rPr>
          <w:rFonts w:ascii="Palatino Linotype" w:eastAsia="Palatino Linotype" w:hAnsi="Palatino Linotype" w:cs="Palatino Linotype"/>
          <w:sz w:val="24"/>
          <w:szCs w:val="24"/>
        </w:rPr>
        <w:t>TRÉS</w:t>
      </w:r>
      <w:r w:rsidRPr="009A0936">
        <w:rPr>
          <w:rFonts w:ascii="Palatino Linotype" w:eastAsia="Palatino Linotype" w:hAnsi="Palatino Linotype" w:cs="Palatino Linotype"/>
          <w:sz w:val="24"/>
          <w:szCs w:val="24"/>
        </w:rPr>
        <w:t xml:space="preserve">, ANTE EL SECRETARIO TÉCNICO DEL PLENO ALEXIS TAPIA RAMÍREZ. </w:t>
      </w:r>
    </w:p>
    <w:p w14:paraId="2BAC687F"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1031A4E2"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5B8F3649"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2022739A"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4B98FB1"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3DCA74B5"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1AEC23D1"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7026B727"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184D5625"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69EE9065"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p w14:paraId="0026736C" w14:textId="77777777" w:rsidR="00F8557D" w:rsidRPr="009A0936" w:rsidRDefault="00F8557D">
      <w:pPr>
        <w:spacing w:after="0" w:line="360" w:lineRule="auto"/>
        <w:ind w:right="49"/>
        <w:jc w:val="both"/>
        <w:rPr>
          <w:rFonts w:ascii="Palatino Linotype" w:eastAsia="Palatino Linotype" w:hAnsi="Palatino Linotype" w:cs="Palatino Linotype"/>
          <w:sz w:val="24"/>
          <w:szCs w:val="24"/>
        </w:rPr>
      </w:pPr>
    </w:p>
    <w:sectPr w:rsidR="00F8557D" w:rsidRPr="009A0936">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5219" w14:textId="77777777" w:rsidR="00965473" w:rsidRDefault="00965473">
      <w:pPr>
        <w:spacing w:after="0" w:line="240" w:lineRule="auto"/>
      </w:pPr>
      <w:r>
        <w:separator/>
      </w:r>
    </w:p>
  </w:endnote>
  <w:endnote w:type="continuationSeparator" w:id="0">
    <w:p w14:paraId="33DC395F" w14:textId="77777777" w:rsidR="00965473" w:rsidRDefault="0096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77777777" w:rsidR="00261385" w:rsidRDefault="00261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624E5">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624E5">
      <w:rPr>
        <w:b/>
        <w:noProof/>
        <w:color w:val="000000"/>
        <w:sz w:val="24"/>
        <w:szCs w:val="24"/>
      </w:rPr>
      <w:t>40</w:t>
    </w:r>
    <w:r>
      <w:rPr>
        <w:b/>
        <w:color w:val="000000"/>
        <w:sz w:val="24"/>
        <w:szCs w:val="24"/>
      </w:rPr>
      <w:fldChar w:fldCharType="end"/>
    </w:r>
  </w:p>
  <w:p w14:paraId="693219AA" w14:textId="77777777" w:rsidR="00261385" w:rsidRDefault="0026138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77777777" w:rsidR="00261385" w:rsidRDefault="00261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624E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624E5">
      <w:rPr>
        <w:b/>
        <w:noProof/>
        <w:color w:val="000000"/>
        <w:sz w:val="24"/>
        <w:szCs w:val="24"/>
      </w:rPr>
      <w:t>40</w:t>
    </w:r>
    <w:r>
      <w:rPr>
        <w:b/>
        <w:color w:val="000000"/>
        <w:sz w:val="24"/>
        <w:szCs w:val="24"/>
      </w:rPr>
      <w:fldChar w:fldCharType="end"/>
    </w:r>
  </w:p>
  <w:p w14:paraId="54B4B9F6" w14:textId="77777777" w:rsidR="00261385" w:rsidRDefault="002613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3EB5E" w14:textId="77777777" w:rsidR="00965473" w:rsidRDefault="00965473">
      <w:pPr>
        <w:spacing w:after="0" w:line="240" w:lineRule="auto"/>
      </w:pPr>
      <w:r>
        <w:separator/>
      </w:r>
    </w:p>
  </w:footnote>
  <w:footnote w:type="continuationSeparator" w:id="0">
    <w:p w14:paraId="6D6C6256" w14:textId="77777777" w:rsidR="00965473" w:rsidRDefault="00965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261385" w:rsidRDefault="0026138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261385" w14:paraId="3D10BF48" w14:textId="77777777">
      <w:tc>
        <w:tcPr>
          <w:tcW w:w="2551" w:type="dxa"/>
          <w:vAlign w:val="center"/>
        </w:tcPr>
        <w:p w14:paraId="3489D479"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76EDCFCC" w:rsidR="00261385" w:rsidRDefault="00261385" w:rsidP="00D7458B">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03764/INFOEM/IP/RR/2023</w:t>
          </w:r>
        </w:p>
      </w:tc>
    </w:tr>
    <w:tr w:rsidR="00261385" w14:paraId="537DBD70" w14:textId="77777777" w:rsidTr="00F22AE1">
      <w:trPr>
        <w:trHeight w:val="217"/>
      </w:trPr>
      <w:tc>
        <w:tcPr>
          <w:tcW w:w="2551" w:type="dxa"/>
          <w:vAlign w:val="center"/>
        </w:tcPr>
        <w:p w14:paraId="2E383D5B"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BFC658" w14:textId="23963845"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F2903A6" w14:textId="27EA717C" w:rsidR="00261385" w:rsidRDefault="00261385" w:rsidP="006B4A8B">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Hacendario del Estado de México</w:t>
          </w:r>
        </w:p>
      </w:tc>
    </w:tr>
    <w:tr w:rsidR="00261385" w14:paraId="7D1FD3FE" w14:textId="77777777">
      <w:tc>
        <w:tcPr>
          <w:tcW w:w="2551" w:type="dxa"/>
          <w:vAlign w:val="center"/>
        </w:tcPr>
        <w:p w14:paraId="19D94C21"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261385" w:rsidRDefault="0026138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261385" w:rsidRDefault="0026138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27C36F48">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261385" w14:paraId="7C8FDD66" w14:textId="77777777" w:rsidTr="00F22AE1">
      <w:tc>
        <w:tcPr>
          <w:tcW w:w="2551" w:type="dxa"/>
          <w:vAlign w:val="center"/>
        </w:tcPr>
        <w:p w14:paraId="63FBC165"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321BC1DB"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03764/INFOEM/IP/RR/2023</w:t>
          </w:r>
        </w:p>
      </w:tc>
    </w:tr>
    <w:tr w:rsidR="00261385" w14:paraId="44EE5E5E" w14:textId="77777777" w:rsidTr="00F22AE1">
      <w:tc>
        <w:tcPr>
          <w:tcW w:w="2551" w:type="dxa"/>
          <w:vAlign w:val="center"/>
        </w:tcPr>
        <w:p w14:paraId="362D8093"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B22310">
            <w:rPr>
              <w:rFonts w:ascii="Palatino Linotype" w:eastAsia="Palatino Linotype" w:hAnsi="Palatino Linotype" w:cs="Palatino Linotype"/>
              <w:b/>
            </w:rPr>
            <w:t>Recurrente:</w:t>
          </w:r>
        </w:p>
      </w:tc>
      <w:tc>
        <w:tcPr>
          <w:tcW w:w="3052" w:type="dxa"/>
          <w:vAlign w:val="center"/>
        </w:tcPr>
        <w:p w14:paraId="0AAA5E3F" w14:textId="5D142F2B" w:rsidR="00261385" w:rsidRDefault="00B624E5" w:rsidP="00B624E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XXXXX XXXXXX</w:t>
          </w:r>
        </w:p>
      </w:tc>
    </w:tr>
    <w:tr w:rsidR="00261385" w14:paraId="62AB0F25" w14:textId="77777777" w:rsidTr="00F22AE1">
      <w:trPr>
        <w:trHeight w:val="152"/>
      </w:trPr>
      <w:tc>
        <w:tcPr>
          <w:tcW w:w="2551" w:type="dxa"/>
          <w:vAlign w:val="center"/>
        </w:tcPr>
        <w:p w14:paraId="5CE23BF0" w14:textId="77777777" w:rsidR="00261385" w:rsidRDefault="00261385"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261385" w:rsidRDefault="00261385"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13FC4D7A" w:rsidR="00261385" w:rsidRDefault="00261385" w:rsidP="006B4A8B">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Instituto Hacendario del Estado de México</w:t>
          </w:r>
        </w:p>
      </w:tc>
    </w:tr>
    <w:tr w:rsidR="00261385" w14:paraId="43D52849" w14:textId="77777777" w:rsidTr="00F22AE1">
      <w:tc>
        <w:tcPr>
          <w:tcW w:w="2551" w:type="dxa"/>
          <w:vAlign w:val="center"/>
        </w:tcPr>
        <w:p w14:paraId="5770E145"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261385" w:rsidRDefault="00261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261385" w:rsidRDefault="0026138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AE8"/>
    <w:multiLevelType w:val="hybridMultilevel"/>
    <w:tmpl w:val="4C026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5021BD"/>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7D7C"/>
    <w:multiLevelType w:val="hybridMultilevel"/>
    <w:tmpl w:val="9AE6D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74BDA"/>
    <w:multiLevelType w:val="hybridMultilevel"/>
    <w:tmpl w:val="DDD6F79E"/>
    <w:lvl w:ilvl="0" w:tplc="E8D860B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A73C60"/>
    <w:multiLevelType w:val="hybridMultilevel"/>
    <w:tmpl w:val="445A8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F936BB"/>
    <w:multiLevelType w:val="hybridMultilevel"/>
    <w:tmpl w:val="C9820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AD3049"/>
    <w:multiLevelType w:val="hybridMultilevel"/>
    <w:tmpl w:val="5A141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533A68"/>
    <w:multiLevelType w:val="multilevel"/>
    <w:tmpl w:val="EDEE70B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B31E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007002"/>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635CB3"/>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3E557F"/>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270EDE"/>
    <w:multiLevelType w:val="multilevel"/>
    <w:tmpl w:val="328EDDDC"/>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650712"/>
    <w:multiLevelType w:val="hybridMultilevel"/>
    <w:tmpl w:val="9EAA5E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2"/>
  </w:num>
  <w:num w:numId="4">
    <w:abstractNumId w:val="25"/>
  </w:num>
  <w:num w:numId="5">
    <w:abstractNumId w:val="11"/>
  </w:num>
  <w:num w:numId="6">
    <w:abstractNumId w:val="21"/>
  </w:num>
  <w:num w:numId="7">
    <w:abstractNumId w:val="15"/>
  </w:num>
  <w:num w:numId="8">
    <w:abstractNumId w:val="17"/>
  </w:num>
  <w:num w:numId="9">
    <w:abstractNumId w:val="20"/>
  </w:num>
  <w:num w:numId="10">
    <w:abstractNumId w:val="9"/>
  </w:num>
  <w:num w:numId="11">
    <w:abstractNumId w:val="28"/>
  </w:num>
  <w:num w:numId="12">
    <w:abstractNumId w:val="18"/>
  </w:num>
  <w:num w:numId="13">
    <w:abstractNumId w:val="5"/>
  </w:num>
  <w:num w:numId="14">
    <w:abstractNumId w:val="12"/>
  </w:num>
  <w:num w:numId="15">
    <w:abstractNumId w:val="7"/>
  </w:num>
  <w:num w:numId="16">
    <w:abstractNumId w:val="26"/>
  </w:num>
  <w:num w:numId="17">
    <w:abstractNumId w:val="19"/>
  </w:num>
  <w:num w:numId="18">
    <w:abstractNumId w:val="10"/>
  </w:num>
  <w:num w:numId="19">
    <w:abstractNumId w:val="14"/>
  </w:num>
  <w:num w:numId="20">
    <w:abstractNumId w:val="22"/>
  </w:num>
  <w:num w:numId="21">
    <w:abstractNumId w:val="13"/>
  </w:num>
  <w:num w:numId="22">
    <w:abstractNumId w:val="16"/>
  </w:num>
  <w:num w:numId="23">
    <w:abstractNumId w:val="24"/>
  </w:num>
  <w:num w:numId="24">
    <w:abstractNumId w:val="1"/>
  </w:num>
  <w:num w:numId="25">
    <w:abstractNumId w:val="0"/>
  </w:num>
  <w:num w:numId="26">
    <w:abstractNumId w:val="8"/>
  </w:num>
  <w:num w:numId="27">
    <w:abstractNumId w:val="6"/>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04C64"/>
    <w:rsid w:val="00010B9B"/>
    <w:rsid w:val="0002412A"/>
    <w:rsid w:val="00030649"/>
    <w:rsid w:val="0003629B"/>
    <w:rsid w:val="000F2B24"/>
    <w:rsid w:val="001217EF"/>
    <w:rsid w:val="00141C9C"/>
    <w:rsid w:val="00144A39"/>
    <w:rsid w:val="001B0960"/>
    <w:rsid w:val="001C4643"/>
    <w:rsid w:val="001D6AE2"/>
    <w:rsid w:val="00200D2C"/>
    <w:rsid w:val="00203460"/>
    <w:rsid w:val="0022693C"/>
    <w:rsid w:val="00241DE1"/>
    <w:rsid w:val="00261385"/>
    <w:rsid w:val="00276C2F"/>
    <w:rsid w:val="002C103C"/>
    <w:rsid w:val="002D13AE"/>
    <w:rsid w:val="002D6A54"/>
    <w:rsid w:val="002E22B0"/>
    <w:rsid w:val="002F3C2D"/>
    <w:rsid w:val="0032615A"/>
    <w:rsid w:val="003355E2"/>
    <w:rsid w:val="003A0D42"/>
    <w:rsid w:val="003B3C75"/>
    <w:rsid w:val="003B72BC"/>
    <w:rsid w:val="00433FA3"/>
    <w:rsid w:val="00461EAC"/>
    <w:rsid w:val="00465E0B"/>
    <w:rsid w:val="004A69FA"/>
    <w:rsid w:val="004B220B"/>
    <w:rsid w:val="004C732F"/>
    <w:rsid w:val="004E4ADA"/>
    <w:rsid w:val="0052303E"/>
    <w:rsid w:val="005958FC"/>
    <w:rsid w:val="005A3826"/>
    <w:rsid w:val="00614356"/>
    <w:rsid w:val="00634588"/>
    <w:rsid w:val="00646B44"/>
    <w:rsid w:val="00680857"/>
    <w:rsid w:val="00681338"/>
    <w:rsid w:val="006943D1"/>
    <w:rsid w:val="006B4A8B"/>
    <w:rsid w:val="006E7E4D"/>
    <w:rsid w:val="00720498"/>
    <w:rsid w:val="00755515"/>
    <w:rsid w:val="0075678E"/>
    <w:rsid w:val="0078543E"/>
    <w:rsid w:val="007C2B04"/>
    <w:rsid w:val="007D19E9"/>
    <w:rsid w:val="007E3BE2"/>
    <w:rsid w:val="00812D6E"/>
    <w:rsid w:val="008645E3"/>
    <w:rsid w:val="00864D69"/>
    <w:rsid w:val="00870729"/>
    <w:rsid w:val="008755B0"/>
    <w:rsid w:val="00886D95"/>
    <w:rsid w:val="00895D56"/>
    <w:rsid w:val="008A4385"/>
    <w:rsid w:val="008B7BCF"/>
    <w:rsid w:val="008C7B3C"/>
    <w:rsid w:val="008E6C40"/>
    <w:rsid w:val="00916D80"/>
    <w:rsid w:val="00917A6A"/>
    <w:rsid w:val="00933869"/>
    <w:rsid w:val="0093591F"/>
    <w:rsid w:val="00965473"/>
    <w:rsid w:val="00981970"/>
    <w:rsid w:val="0098482D"/>
    <w:rsid w:val="00991082"/>
    <w:rsid w:val="009950C9"/>
    <w:rsid w:val="00995DE0"/>
    <w:rsid w:val="009A0936"/>
    <w:rsid w:val="009A2072"/>
    <w:rsid w:val="009E23C4"/>
    <w:rsid w:val="009E285E"/>
    <w:rsid w:val="009E75B5"/>
    <w:rsid w:val="00A23CC3"/>
    <w:rsid w:val="00A26E71"/>
    <w:rsid w:val="00A27592"/>
    <w:rsid w:val="00A45BB6"/>
    <w:rsid w:val="00A74EBA"/>
    <w:rsid w:val="00A76332"/>
    <w:rsid w:val="00AB3C45"/>
    <w:rsid w:val="00AC79ED"/>
    <w:rsid w:val="00AD3815"/>
    <w:rsid w:val="00AD7D72"/>
    <w:rsid w:val="00AE4E2E"/>
    <w:rsid w:val="00AE5E7B"/>
    <w:rsid w:val="00B16261"/>
    <w:rsid w:val="00B22310"/>
    <w:rsid w:val="00B30C44"/>
    <w:rsid w:val="00B624E5"/>
    <w:rsid w:val="00B628D1"/>
    <w:rsid w:val="00B63FC6"/>
    <w:rsid w:val="00B65B2E"/>
    <w:rsid w:val="00B661FB"/>
    <w:rsid w:val="00B7278F"/>
    <w:rsid w:val="00C166B9"/>
    <w:rsid w:val="00C2535A"/>
    <w:rsid w:val="00C52691"/>
    <w:rsid w:val="00C75C7E"/>
    <w:rsid w:val="00C810F5"/>
    <w:rsid w:val="00C84DC7"/>
    <w:rsid w:val="00CB24CB"/>
    <w:rsid w:val="00CD662A"/>
    <w:rsid w:val="00CE6234"/>
    <w:rsid w:val="00D02932"/>
    <w:rsid w:val="00D65F00"/>
    <w:rsid w:val="00D7458B"/>
    <w:rsid w:val="00D750D3"/>
    <w:rsid w:val="00D80548"/>
    <w:rsid w:val="00DA0202"/>
    <w:rsid w:val="00DB71F7"/>
    <w:rsid w:val="00DF45E4"/>
    <w:rsid w:val="00E21162"/>
    <w:rsid w:val="00E2699F"/>
    <w:rsid w:val="00E32625"/>
    <w:rsid w:val="00E56A3A"/>
    <w:rsid w:val="00EE774D"/>
    <w:rsid w:val="00EF3241"/>
    <w:rsid w:val="00F200DA"/>
    <w:rsid w:val="00F22AE1"/>
    <w:rsid w:val="00F758F6"/>
    <w:rsid w:val="00F8557D"/>
    <w:rsid w:val="00FC00A5"/>
    <w:rsid w:val="00FC6671"/>
    <w:rsid w:val="00FC7D76"/>
    <w:rsid w:val="00FE007A"/>
    <w:rsid w:val="00FF17F3"/>
    <w:rsid w:val="00FF6E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19371451">
      <w:bodyDiv w:val="1"/>
      <w:marLeft w:val="0"/>
      <w:marRight w:val="0"/>
      <w:marTop w:val="0"/>
      <w:marBottom w:val="0"/>
      <w:divBdr>
        <w:top w:val="none" w:sz="0" w:space="0" w:color="auto"/>
        <w:left w:val="none" w:sz="0" w:space="0" w:color="auto"/>
        <w:bottom w:val="none" w:sz="0" w:space="0" w:color="auto"/>
        <w:right w:val="none" w:sz="0" w:space="0" w:color="auto"/>
      </w:divBdr>
    </w:div>
    <w:div w:id="442308533">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550844144">
      <w:bodyDiv w:val="1"/>
      <w:marLeft w:val="0"/>
      <w:marRight w:val="0"/>
      <w:marTop w:val="0"/>
      <w:marBottom w:val="0"/>
      <w:divBdr>
        <w:top w:val="none" w:sz="0" w:space="0" w:color="auto"/>
        <w:left w:val="none" w:sz="0" w:space="0" w:color="auto"/>
        <w:bottom w:val="none" w:sz="0" w:space="0" w:color="auto"/>
        <w:right w:val="none" w:sz="0" w:space="0" w:color="auto"/>
      </w:divBdr>
    </w:div>
    <w:div w:id="589049616">
      <w:bodyDiv w:val="1"/>
      <w:marLeft w:val="0"/>
      <w:marRight w:val="0"/>
      <w:marTop w:val="0"/>
      <w:marBottom w:val="0"/>
      <w:divBdr>
        <w:top w:val="none" w:sz="0" w:space="0" w:color="auto"/>
        <w:left w:val="none" w:sz="0" w:space="0" w:color="auto"/>
        <w:bottom w:val="none" w:sz="0" w:space="0" w:color="auto"/>
        <w:right w:val="none" w:sz="0" w:space="0" w:color="auto"/>
      </w:divBdr>
    </w:div>
    <w:div w:id="639381497">
      <w:bodyDiv w:val="1"/>
      <w:marLeft w:val="0"/>
      <w:marRight w:val="0"/>
      <w:marTop w:val="0"/>
      <w:marBottom w:val="0"/>
      <w:divBdr>
        <w:top w:val="none" w:sz="0" w:space="0" w:color="auto"/>
        <w:left w:val="none" w:sz="0" w:space="0" w:color="auto"/>
        <w:bottom w:val="none" w:sz="0" w:space="0" w:color="auto"/>
        <w:right w:val="none" w:sz="0" w:space="0" w:color="auto"/>
      </w:divBdr>
    </w:div>
    <w:div w:id="1005211473">
      <w:bodyDiv w:val="1"/>
      <w:marLeft w:val="0"/>
      <w:marRight w:val="0"/>
      <w:marTop w:val="0"/>
      <w:marBottom w:val="0"/>
      <w:divBdr>
        <w:top w:val="none" w:sz="0" w:space="0" w:color="auto"/>
        <w:left w:val="none" w:sz="0" w:space="0" w:color="auto"/>
        <w:bottom w:val="none" w:sz="0" w:space="0" w:color="auto"/>
        <w:right w:val="none" w:sz="0" w:space="0" w:color="auto"/>
      </w:divBdr>
    </w:div>
    <w:div w:id="1107457978">
      <w:bodyDiv w:val="1"/>
      <w:marLeft w:val="0"/>
      <w:marRight w:val="0"/>
      <w:marTop w:val="0"/>
      <w:marBottom w:val="0"/>
      <w:divBdr>
        <w:top w:val="none" w:sz="0" w:space="0" w:color="auto"/>
        <w:left w:val="none" w:sz="0" w:space="0" w:color="auto"/>
        <w:bottom w:val="none" w:sz="0" w:space="0" w:color="auto"/>
        <w:right w:val="none" w:sz="0" w:space="0" w:color="auto"/>
      </w:divBdr>
    </w:div>
    <w:div w:id="1304116711">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1329745232">
      <w:bodyDiv w:val="1"/>
      <w:marLeft w:val="0"/>
      <w:marRight w:val="0"/>
      <w:marTop w:val="0"/>
      <w:marBottom w:val="0"/>
      <w:divBdr>
        <w:top w:val="none" w:sz="0" w:space="0" w:color="auto"/>
        <w:left w:val="none" w:sz="0" w:space="0" w:color="auto"/>
        <w:bottom w:val="none" w:sz="0" w:space="0" w:color="auto"/>
        <w:right w:val="none" w:sz="0" w:space="0" w:color="auto"/>
      </w:divBdr>
    </w:div>
    <w:div w:id="1481851166">
      <w:bodyDiv w:val="1"/>
      <w:marLeft w:val="0"/>
      <w:marRight w:val="0"/>
      <w:marTop w:val="0"/>
      <w:marBottom w:val="0"/>
      <w:divBdr>
        <w:top w:val="none" w:sz="0" w:space="0" w:color="auto"/>
        <w:left w:val="none" w:sz="0" w:space="0" w:color="auto"/>
        <w:bottom w:val="none" w:sz="0" w:space="0" w:color="auto"/>
        <w:right w:val="none" w:sz="0" w:space="0" w:color="auto"/>
      </w:divBdr>
    </w:div>
    <w:div w:id="1511602960">
      <w:bodyDiv w:val="1"/>
      <w:marLeft w:val="0"/>
      <w:marRight w:val="0"/>
      <w:marTop w:val="0"/>
      <w:marBottom w:val="0"/>
      <w:divBdr>
        <w:top w:val="none" w:sz="0" w:space="0" w:color="auto"/>
        <w:left w:val="none" w:sz="0" w:space="0" w:color="auto"/>
        <w:bottom w:val="none" w:sz="0" w:space="0" w:color="auto"/>
        <w:right w:val="none" w:sz="0" w:space="0" w:color="auto"/>
      </w:divBdr>
    </w:div>
    <w:div w:id="1514297544">
      <w:bodyDiv w:val="1"/>
      <w:marLeft w:val="0"/>
      <w:marRight w:val="0"/>
      <w:marTop w:val="0"/>
      <w:marBottom w:val="0"/>
      <w:divBdr>
        <w:top w:val="none" w:sz="0" w:space="0" w:color="auto"/>
        <w:left w:val="none" w:sz="0" w:space="0" w:color="auto"/>
        <w:bottom w:val="none" w:sz="0" w:space="0" w:color="auto"/>
        <w:right w:val="none" w:sz="0" w:space="0" w:color="auto"/>
      </w:divBdr>
    </w:div>
    <w:div w:id="1667636904">
      <w:bodyDiv w:val="1"/>
      <w:marLeft w:val="0"/>
      <w:marRight w:val="0"/>
      <w:marTop w:val="0"/>
      <w:marBottom w:val="0"/>
      <w:divBdr>
        <w:top w:val="none" w:sz="0" w:space="0" w:color="auto"/>
        <w:left w:val="none" w:sz="0" w:space="0" w:color="auto"/>
        <w:bottom w:val="none" w:sz="0" w:space="0" w:color="auto"/>
        <w:right w:val="none" w:sz="0" w:space="0" w:color="auto"/>
      </w:divBdr>
    </w:div>
    <w:div w:id="1765229354">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asf.gob.mx/uploads/176_Marco_Integrado_de_Control/Marco_Integrado_de_Cont_Int_leyen.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5434D-227F-4325-B025-8BEFBA3DC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9830</Words>
  <Characters>54067</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cp:lastPrinted>2023-12-01T16:07:00Z</cp:lastPrinted>
  <dcterms:created xsi:type="dcterms:W3CDTF">2023-12-06T19:31:00Z</dcterms:created>
  <dcterms:modified xsi:type="dcterms:W3CDTF">2023-12-06T19:31:00Z</dcterms:modified>
</cp:coreProperties>
</file>