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Resolución del Pleno del Instituto de Transparencia, Acceso a la Información Pública y Protección de Datos Personales del Estado de México y Municipios, con domicilio en Metepec, Estado de México, de fecha catorce de junio de dos mil veintitrés.</w:t>
      </w:r>
    </w:p>
    <w:p w:rsidR="007B4405" w:rsidRPr="008D6F03" w:rsidRDefault="00CE4C85">
      <w:pPr>
        <w:spacing w:before="240" w:after="240" w:line="360" w:lineRule="auto"/>
        <w:jc w:val="both"/>
        <w:rPr>
          <w:rFonts w:ascii="Palatino Linotype" w:eastAsia="Palatino Linotype" w:hAnsi="Palatino Linotype" w:cs="Palatino Linotype"/>
        </w:rPr>
      </w:pPr>
      <w:bookmarkStart w:id="0" w:name="_heading=h.30j0zll" w:colFirst="0" w:colLast="0"/>
      <w:bookmarkEnd w:id="0"/>
      <w:r w:rsidRPr="008D6F03">
        <w:rPr>
          <w:rFonts w:ascii="Palatino Linotype" w:eastAsia="Palatino Linotype" w:hAnsi="Palatino Linotype" w:cs="Palatino Linotype"/>
          <w:b/>
        </w:rPr>
        <w:t xml:space="preserve">VISTOS </w:t>
      </w:r>
      <w:r w:rsidRPr="008D6F03">
        <w:rPr>
          <w:rFonts w:ascii="Palatino Linotype" w:eastAsia="Palatino Linotype" w:hAnsi="Palatino Linotype" w:cs="Palatino Linotype"/>
        </w:rPr>
        <w:t xml:space="preserve">los expedientes relativos a los recursos de revisión </w:t>
      </w:r>
      <w:r w:rsidRPr="008D6F03">
        <w:rPr>
          <w:rFonts w:ascii="Palatino Linotype" w:eastAsia="Palatino Linotype" w:hAnsi="Palatino Linotype" w:cs="Palatino Linotype"/>
          <w:b/>
        </w:rPr>
        <w:t>16799/INFOEM/IP/RR/2022, 16801/INFOEM/IP/RR/2022, 16816/INFOEM/IP/RR/2022, 16818/INFOEM/IP/RR/2022, 16963/INFOEM/IP/RR/2022  y 17005/INFOEM/IP/RR/2022, acumulados</w:t>
      </w:r>
      <w:r w:rsidRPr="008D6F03">
        <w:rPr>
          <w:rFonts w:ascii="Palatino Linotype" w:eastAsia="Palatino Linotype" w:hAnsi="Palatino Linotype" w:cs="Palatino Linotype"/>
        </w:rPr>
        <w:t xml:space="preserve">, interpuestos por </w:t>
      </w:r>
      <w:r w:rsidR="00924E20">
        <w:rPr>
          <w:rFonts w:ascii="Palatino Linotype" w:eastAsia="Palatino Linotype" w:hAnsi="Palatino Linotype" w:cs="Palatino Linotype"/>
          <w:b/>
        </w:rPr>
        <w:t>XXXXXX XXXXX XXXX</w:t>
      </w:r>
      <w:r w:rsidRPr="008D6F03">
        <w:rPr>
          <w:rFonts w:ascii="Palatino Linotype" w:eastAsia="Palatino Linotype" w:hAnsi="Palatino Linotype" w:cs="Palatino Linotype"/>
          <w:b/>
        </w:rPr>
        <w:t>,</w:t>
      </w:r>
      <w:r w:rsidRPr="008D6F03">
        <w:rPr>
          <w:rFonts w:ascii="Palatino Linotype" w:eastAsia="Palatino Linotype" w:hAnsi="Palatino Linotype" w:cs="Palatino Linotype"/>
        </w:rPr>
        <w:t xml:space="preserve"> en lo sucesivo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en contra de la respuestas a sus solicitudes de información por parte del </w:t>
      </w:r>
      <w:r w:rsidRPr="008D6F03">
        <w:rPr>
          <w:rFonts w:ascii="Palatino Linotype" w:eastAsia="Palatino Linotype" w:hAnsi="Palatino Linotype" w:cs="Palatino Linotype"/>
          <w:b/>
        </w:rPr>
        <w:t>Ayuntamiento de Toluca</w:t>
      </w:r>
      <w:r w:rsidRPr="008D6F03">
        <w:rPr>
          <w:rFonts w:ascii="Palatino Linotype" w:eastAsia="Palatino Linotype" w:hAnsi="Palatino Linotype" w:cs="Palatino Linotype"/>
        </w:rPr>
        <w:t xml:space="preserve">, en lo sucesivo el </w:t>
      </w:r>
      <w:r w:rsidRPr="008D6F03">
        <w:rPr>
          <w:rFonts w:ascii="Palatino Linotype" w:eastAsia="Palatino Linotype" w:hAnsi="Palatino Linotype" w:cs="Palatino Linotype"/>
          <w:b/>
        </w:rPr>
        <w:t xml:space="preserve">SUJETO OBLIGADO; </w:t>
      </w:r>
      <w:r w:rsidRPr="008D6F03">
        <w:rPr>
          <w:rFonts w:ascii="Palatino Linotype" w:eastAsia="Palatino Linotype" w:hAnsi="Palatino Linotype" w:cs="Palatino Linotype"/>
        </w:rPr>
        <w:t xml:space="preserve">se procede a dictar la presente resolución, con base en lo siguiente. </w:t>
      </w:r>
    </w:p>
    <w:p w:rsidR="007B4405" w:rsidRPr="008D6F03" w:rsidRDefault="00CE4C85">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sidRPr="008D6F03">
        <w:rPr>
          <w:rFonts w:ascii="Palatino Linotype" w:eastAsia="Palatino Linotype" w:hAnsi="Palatino Linotype" w:cs="Palatino Linotype"/>
          <w:b/>
        </w:rPr>
        <w:t>I. A N T E C E D E N T E S:</w:t>
      </w:r>
    </w:p>
    <w:p w:rsidR="007B4405" w:rsidRPr="008D6F03" w:rsidRDefault="00CE4C85">
      <w:pPr>
        <w:spacing w:before="240" w:after="240" w:line="360" w:lineRule="auto"/>
        <w:jc w:val="both"/>
        <w:rPr>
          <w:rFonts w:ascii="Palatino Linotype" w:eastAsia="Palatino Linotype" w:hAnsi="Palatino Linotype" w:cs="Palatino Linotype"/>
        </w:rPr>
      </w:pPr>
      <w:bookmarkStart w:id="1" w:name="_heading=h.gjdgxs" w:colFirst="0" w:colLast="0"/>
      <w:bookmarkEnd w:id="1"/>
      <w:r w:rsidRPr="008D6F03">
        <w:rPr>
          <w:rFonts w:ascii="Palatino Linotype" w:eastAsia="Palatino Linotype" w:hAnsi="Palatino Linotype" w:cs="Palatino Linotype"/>
          <w:b/>
        </w:rPr>
        <w:t>1. Solicitudes de acceso a la información.</w:t>
      </w:r>
      <w:r w:rsidRPr="008D6F03">
        <w:rPr>
          <w:rFonts w:ascii="Palatino Linotype" w:eastAsia="Palatino Linotype" w:hAnsi="Palatino Linotype" w:cs="Palatino Linotype"/>
        </w:rPr>
        <w:t xml:space="preserve"> Con fechas </w:t>
      </w:r>
      <w:r w:rsidRPr="008D6F03">
        <w:rPr>
          <w:rFonts w:ascii="Palatino Linotype" w:eastAsia="Palatino Linotype" w:hAnsi="Palatino Linotype" w:cs="Palatino Linotype"/>
          <w:b/>
        </w:rPr>
        <w:t xml:space="preserve">dieciocho de octubre, tres y siete de noviembre, todas las fechas de dos mil veintidós, </w:t>
      </w:r>
      <w:r w:rsidRPr="008D6F03">
        <w:rPr>
          <w:rFonts w:ascii="Palatino Linotype" w:eastAsia="Palatino Linotype" w:hAnsi="Palatino Linotype" w:cs="Palatino Linotype"/>
        </w:rPr>
        <w:t>la parte solicitante</w:t>
      </w:r>
      <w:r w:rsidRPr="008D6F03">
        <w:rPr>
          <w:rFonts w:ascii="Palatino Linotype" w:eastAsia="Palatino Linotype" w:hAnsi="Palatino Linotype" w:cs="Palatino Linotype"/>
          <w:b/>
        </w:rPr>
        <w:t xml:space="preserve"> </w:t>
      </w:r>
      <w:r w:rsidRPr="008D6F03">
        <w:rPr>
          <w:rFonts w:ascii="Palatino Linotype" w:eastAsia="Palatino Linotype" w:hAnsi="Palatino Linotype" w:cs="Palatino Linotype"/>
        </w:rPr>
        <w:t xml:space="preserve">presentó, través del Sistema de Acceso a la Información Mexiquense, en lo subsecuente el </w:t>
      </w:r>
      <w:r w:rsidRPr="008D6F03">
        <w:rPr>
          <w:rFonts w:ascii="Palatino Linotype" w:eastAsia="Palatino Linotype" w:hAnsi="Palatino Linotype" w:cs="Palatino Linotype"/>
          <w:b/>
        </w:rPr>
        <w:t xml:space="preserve">SAIMEX, </w:t>
      </w:r>
      <w:r w:rsidRPr="008D6F03">
        <w:rPr>
          <w:rFonts w:ascii="Palatino Linotype" w:eastAsia="Palatino Linotype" w:hAnsi="Palatino Linotype" w:cs="Palatino Linotype"/>
        </w:rPr>
        <w:t xml:space="preserve">ante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las solicitudes de acceso a la información pública, mediante las cuales requirió la información siguiente:</w:t>
      </w:r>
    </w:p>
    <w:tbl>
      <w:tblPr>
        <w:tblStyle w:val="af1"/>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7B4405" w:rsidRPr="008D6F03">
        <w:trPr>
          <w:jc w:val="center"/>
        </w:trPr>
        <w:tc>
          <w:tcPr>
            <w:tcW w:w="2972" w:type="dxa"/>
            <w:shd w:val="clear" w:color="auto" w:fill="A6A6A6"/>
          </w:tcPr>
          <w:p w:rsidR="007B4405" w:rsidRPr="008D6F03" w:rsidRDefault="00CE4C85">
            <w:pPr>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Número de solicitud</w:t>
            </w:r>
          </w:p>
        </w:tc>
        <w:tc>
          <w:tcPr>
            <w:tcW w:w="5856" w:type="dxa"/>
            <w:shd w:val="clear" w:color="auto" w:fill="A6A6A6"/>
          </w:tcPr>
          <w:p w:rsidR="007B4405" w:rsidRPr="008D6F03" w:rsidRDefault="00CE4C85">
            <w:pPr>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Información requerida</w:t>
            </w:r>
          </w:p>
        </w:tc>
      </w:tr>
      <w:tr w:rsidR="007B4405" w:rsidRPr="008D6F03">
        <w:trPr>
          <w:jc w:val="center"/>
        </w:trPr>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02193/TOLUCA/IP/2022</w:t>
            </w:r>
          </w:p>
          <w:p w:rsidR="007B4405" w:rsidRPr="008D6F03" w:rsidRDefault="00CE4C85">
            <w:pPr>
              <w:spacing w:before="120" w:after="120"/>
              <w:jc w:val="center"/>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16799/INFOEM/IP/RR/2022</w:t>
            </w:r>
          </w:p>
        </w:tc>
        <w:tc>
          <w:tcPr>
            <w:tcW w:w="5856" w:type="dxa"/>
          </w:tcPr>
          <w:p w:rsidR="007B4405" w:rsidRPr="008D6F03" w:rsidRDefault="00CE4C85">
            <w:pPr>
              <w:spacing w:before="120" w:after="120"/>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SOLICITO EL NUMERO DE CALLES BACHEADAS, CUALES HAN SIDO, CUANTOS METROS SE HAN BACHEADO, EMPRESA CONTRATADA PARA REALIZAR EL BACHEO. QUIERO EL PROGRAMA ANUAL DE BACHEO, TODO A PARTIR DE ENERO A OCTUBRE DEL 2022</w:t>
            </w:r>
          </w:p>
        </w:tc>
      </w:tr>
      <w:tr w:rsidR="007B4405" w:rsidRPr="008D6F03">
        <w:trPr>
          <w:jc w:val="center"/>
        </w:trPr>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lastRenderedPageBreak/>
              <w:t>02191/TOLUCA/IP/2022</w:t>
            </w:r>
          </w:p>
          <w:p w:rsidR="007B4405" w:rsidRPr="008D6F03" w:rsidRDefault="00CE4C85">
            <w:pPr>
              <w:spacing w:before="120" w:after="120"/>
              <w:jc w:val="center"/>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16801/INFOEM/IP/RR/2022</w:t>
            </w:r>
          </w:p>
        </w:tc>
        <w:tc>
          <w:tcPr>
            <w:tcW w:w="5856" w:type="dxa"/>
          </w:tcPr>
          <w:p w:rsidR="007B4405" w:rsidRPr="008D6F03" w:rsidRDefault="00CE4C85">
            <w:pPr>
              <w:spacing w:before="120" w:after="120"/>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SOLICITO EL NUMERO DE CALLES BACHEADAS, CUALES HAN SIDO, CUANTOS METROS SE HAN BACHEADO, EMPRESA CONTRATADA PARA REALIZAR EL BACHEO. QUIERO EL PROGRAMA ANUAL DE BACHEO, TODO A PARTIR DE ENERO A OCTUBRE DEL 2022.</w:t>
            </w:r>
          </w:p>
        </w:tc>
      </w:tr>
      <w:tr w:rsidR="007B4405" w:rsidRPr="008D6F03">
        <w:trPr>
          <w:jc w:val="center"/>
        </w:trPr>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02176/TOLUCA/IP/2022</w:t>
            </w:r>
          </w:p>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16816/INFOEM/IP/RR/2022</w:t>
            </w:r>
          </w:p>
        </w:tc>
        <w:tc>
          <w:tcPr>
            <w:tcW w:w="5856" w:type="dxa"/>
          </w:tcPr>
          <w:p w:rsidR="007B4405" w:rsidRPr="008D6F03" w:rsidRDefault="00CE4C85">
            <w:pPr>
              <w:spacing w:before="120" w:after="120"/>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SOLICITO EL NUMERO DE CALLES BACHEADAS, CUALES HAN SIDO, CUANTOS METROS SE HAN BACHEADO, EMPRESA CONTRATADA PARA REALIZAR EL BACHEO. QUIERO EL PROGRAMA ANUAL DE BACHEO, TODO A PARTIR DE ENERO A OCTUBRE DEL 2022.</w:t>
            </w:r>
          </w:p>
        </w:tc>
      </w:tr>
      <w:tr w:rsidR="007B4405" w:rsidRPr="008D6F03">
        <w:trPr>
          <w:jc w:val="center"/>
        </w:trPr>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02174/TOLUCA/IP/2022</w:t>
            </w:r>
          </w:p>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16818/INFOEM/IP/RR/2022</w:t>
            </w:r>
          </w:p>
        </w:tc>
        <w:tc>
          <w:tcPr>
            <w:tcW w:w="5856" w:type="dxa"/>
          </w:tcPr>
          <w:p w:rsidR="007B4405" w:rsidRPr="008D6F03" w:rsidRDefault="00CE4C85">
            <w:pPr>
              <w:spacing w:before="120" w:after="120"/>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 xml:space="preserve">Dónde se puede pedir que me </w:t>
            </w:r>
            <w:proofErr w:type="spellStart"/>
            <w:r w:rsidRPr="008D6F03">
              <w:rPr>
                <w:rFonts w:ascii="Palatino Linotype" w:eastAsia="Palatino Linotype" w:hAnsi="Palatino Linotype" w:cs="Palatino Linotype"/>
                <w:i/>
                <w:sz w:val="20"/>
                <w:szCs w:val="20"/>
              </w:rPr>
              <w:t>pagen</w:t>
            </w:r>
            <w:proofErr w:type="spellEnd"/>
            <w:r w:rsidRPr="008D6F03">
              <w:rPr>
                <w:rFonts w:ascii="Palatino Linotype" w:eastAsia="Palatino Linotype" w:hAnsi="Palatino Linotype" w:cs="Palatino Linotype"/>
                <w:i/>
                <w:sz w:val="20"/>
                <w:szCs w:val="20"/>
              </w:rPr>
              <w:t xml:space="preserve"> las llantas ponchadas y la suspensión de mi auto, por haber caído en un bache</w:t>
            </w:r>
          </w:p>
        </w:tc>
      </w:tr>
      <w:tr w:rsidR="007B4405" w:rsidRPr="008D6F03">
        <w:trPr>
          <w:jc w:val="center"/>
        </w:trPr>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02333/TOLUCA/IP/2022</w:t>
            </w:r>
          </w:p>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16963/INFOEM/IP/RR/2022</w:t>
            </w:r>
          </w:p>
        </w:tc>
        <w:tc>
          <w:tcPr>
            <w:tcW w:w="5856" w:type="dxa"/>
          </w:tcPr>
          <w:p w:rsidR="007B4405" w:rsidRPr="008D6F03" w:rsidRDefault="00CE4C85">
            <w:pPr>
              <w:spacing w:before="120" w:after="120"/>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Solicito todos los contratos de bacheo de enero a noviembre del 2022 y el plan de bacheo de la actual administración</w:t>
            </w:r>
          </w:p>
        </w:tc>
      </w:tr>
      <w:tr w:rsidR="007B4405" w:rsidRPr="008D6F03">
        <w:trPr>
          <w:jc w:val="center"/>
        </w:trPr>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02350/TOLUCA/IP/2022</w:t>
            </w:r>
          </w:p>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17005/INFOEM/IP/RR/2022</w:t>
            </w:r>
          </w:p>
        </w:tc>
        <w:tc>
          <w:tcPr>
            <w:tcW w:w="5856" w:type="dxa"/>
          </w:tcPr>
          <w:p w:rsidR="007B4405" w:rsidRPr="008D6F03" w:rsidRDefault="00CE4C85">
            <w:pPr>
              <w:spacing w:before="120" w:after="120"/>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Solicito los documentos que sustenten el llamado "programa emergente de bacheo" o "programa de bacheo" o cualquier denominación que tenga el programa o acciones que emprendió la administración del Presidente Municipal Raymundo Martínez, así como la documentación generada con motivo de la asignación de las obras de bacheo, es decir, el expediente de licitación pública, invitación restringida o adjudicación directa de la obra de bacheo de las calles y avenidas de la ciudad de Toluca. De igual forma, solicito el nombre de las empresas adjudicadas o asignadas y monto de los contratos.</w:t>
            </w:r>
          </w:p>
        </w:tc>
      </w:tr>
    </w:tbl>
    <w:p w:rsidR="007B4405" w:rsidRPr="008D6F03" w:rsidRDefault="00CE4C85">
      <w:pPr>
        <w:spacing w:before="240" w:after="240" w:line="360" w:lineRule="auto"/>
        <w:jc w:val="both"/>
        <w:rPr>
          <w:rFonts w:ascii="Palatino Linotype" w:eastAsia="Palatino Linotype" w:hAnsi="Palatino Linotype" w:cs="Palatino Linotype"/>
        </w:rPr>
      </w:pPr>
      <w:bookmarkStart w:id="2" w:name="_heading=h.2et92p0" w:colFirst="0" w:colLast="0"/>
      <w:bookmarkEnd w:id="2"/>
      <w:r w:rsidRPr="008D6F03">
        <w:rPr>
          <w:rFonts w:ascii="Palatino Linotype" w:eastAsia="Palatino Linotype" w:hAnsi="Palatino Linotype" w:cs="Palatino Linotype"/>
          <w:b/>
        </w:rPr>
        <w:t xml:space="preserve">Modalidad elegida para la entrega de la información: </w:t>
      </w:r>
      <w:r w:rsidRPr="008D6F03">
        <w:rPr>
          <w:rFonts w:ascii="Palatino Linotype" w:eastAsia="Palatino Linotype" w:hAnsi="Palatino Linotype" w:cs="Palatino Linotype"/>
        </w:rPr>
        <w:t>a través del SAIMEX en todos los casos.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2. Respuestas. </w:t>
      </w:r>
      <w:r w:rsidRPr="008D6F03">
        <w:rPr>
          <w:rFonts w:ascii="Palatino Linotype" w:eastAsia="Palatino Linotype" w:hAnsi="Palatino Linotype" w:cs="Palatino Linotype"/>
        </w:rPr>
        <w:t xml:space="preserve">Con fecha </w:t>
      </w:r>
      <w:r w:rsidRPr="008D6F03">
        <w:rPr>
          <w:rFonts w:ascii="Palatino Linotype" w:eastAsia="Palatino Linotype" w:hAnsi="Palatino Linotype" w:cs="Palatino Linotype"/>
          <w:b/>
        </w:rPr>
        <w:t>nueve, veinticinco y veintinueve de noviembre de dos mil veintidós</w:t>
      </w:r>
      <w:r w:rsidRPr="008D6F03">
        <w:rPr>
          <w:rFonts w:ascii="Palatino Linotype" w:eastAsia="Palatino Linotype" w:hAnsi="Palatino Linotype" w:cs="Palatino Linotype"/>
        </w:rPr>
        <w:t xml:space="preserve">, el </w:t>
      </w:r>
      <w:r w:rsidRPr="008D6F03">
        <w:rPr>
          <w:rFonts w:ascii="Palatino Linotype" w:eastAsia="Palatino Linotype" w:hAnsi="Palatino Linotype" w:cs="Palatino Linotype"/>
          <w:b/>
        </w:rPr>
        <w:t xml:space="preserve">SUJETO OBLIGADO </w:t>
      </w:r>
      <w:r w:rsidRPr="008D6F03">
        <w:rPr>
          <w:rFonts w:ascii="Palatino Linotype" w:eastAsia="Palatino Linotype" w:hAnsi="Palatino Linotype" w:cs="Palatino Linotype"/>
        </w:rPr>
        <w:t xml:space="preserve">envió su respuesta a las solicitudes de acceso a la información a través de SAIMEX, sustancialmente en los términos siguientes:   </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 xml:space="preserve">El </w:t>
      </w:r>
      <w:r w:rsidRPr="008D6F03">
        <w:rPr>
          <w:rFonts w:ascii="Palatino Linotype" w:eastAsia="Palatino Linotype" w:hAnsi="Palatino Linotype" w:cs="Palatino Linotype"/>
          <w:b/>
        </w:rPr>
        <w:t xml:space="preserve">SUJETO OBLIGADO, </w:t>
      </w:r>
      <w:r w:rsidRPr="008D6F03">
        <w:rPr>
          <w:rFonts w:ascii="Palatino Linotype" w:eastAsia="Palatino Linotype" w:hAnsi="Palatino Linotype" w:cs="Palatino Linotype"/>
        </w:rPr>
        <w:t xml:space="preserve">adjuntó a sus respuestas, los anexos por medio del cual pretendió satisfacer el derecho de acceso a la información del particular, modificando únicamente el número de solicitud en cada respuesta, siendo como sigue: </w:t>
      </w:r>
    </w:p>
    <w:tbl>
      <w:tblPr>
        <w:tblStyle w:val="a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7B4405" w:rsidRPr="008D6F03">
        <w:tc>
          <w:tcPr>
            <w:tcW w:w="2972" w:type="dxa"/>
            <w:shd w:val="clear" w:color="auto" w:fill="A6A6A6"/>
          </w:tcPr>
          <w:p w:rsidR="007B4405" w:rsidRPr="008D6F03" w:rsidRDefault="00CE4C85">
            <w:pPr>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Número de solicitud</w:t>
            </w:r>
          </w:p>
        </w:tc>
        <w:tc>
          <w:tcPr>
            <w:tcW w:w="5856" w:type="dxa"/>
            <w:shd w:val="clear" w:color="auto" w:fill="A6A6A6"/>
          </w:tcPr>
          <w:p w:rsidR="007B4405" w:rsidRPr="008D6F03" w:rsidRDefault="00CE4C85">
            <w:pPr>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Información entregada</w:t>
            </w: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02193/TOLUCA/IP/2022</w:t>
            </w:r>
          </w:p>
          <w:p w:rsidR="007B4405" w:rsidRPr="008D6F03" w:rsidRDefault="00CE4C85">
            <w:pPr>
              <w:jc w:val="center"/>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16799/INFOEM/IP/RR/2022</w:t>
            </w:r>
          </w:p>
        </w:tc>
        <w:tc>
          <w:tcPr>
            <w:tcW w:w="5856" w:type="dxa"/>
          </w:tcPr>
          <w:p w:rsidR="007B4405" w:rsidRPr="008D6F03" w:rsidRDefault="00CE4C85">
            <w:pPr>
              <w:spacing w:before="240"/>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8">
              <w:r w:rsidRPr="008D6F03">
                <w:rPr>
                  <w:rFonts w:ascii="Palatino Linotype" w:eastAsia="Palatino Linotype" w:hAnsi="Palatino Linotype" w:cs="Palatino Linotype"/>
                  <w:sz w:val="16"/>
                  <w:szCs w:val="16"/>
                </w:rPr>
                <w:t>Anexo SAIMEX 02193.pdf</w:t>
              </w:r>
            </w:hyperlink>
            <w:r w:rsidRPr="008D6F03">
              <w:rPr>
                <w:rFonts w:ascii="Palatino Linotype" w:eastAsia="Palatino Linotype" w:hAnsi="Palatino Linotype" w:cs="Palatino Linotype"/>
                <w:sz w:val="16"/>
                <w:szCs w:val="16"/>
              </w:rPr>
              <w:t xml:space="preserve">”, por medio del cual el Director de Obras Públicas, remite un listado constante de doce fojas en las cuales se describe el bacheo de las vialidades con meza asfáltica en Santa Ana Tepatitlán (número calles 31), San Sebastián (número de calles 05), Santa María de las Rosas (número de calles 07), Delegación centro histórico (número de calles 26), Delegación Morelos (número de calles 10), Delegación Universidad (número de calles 09), Delegación San Sebastián ( número de calles 10), Delegación Independencia (número de calles 6), Delegación Sánchez (número de calles 3), Ciudad Universitaria (número de calles 1), Colón (número de calles 2), </w:t>
            </w:r>
            <w:proofErr w:type="spellStart"/>
            <w:r w:rsidRPr="008D6F03">
              <w:rPr>
                <w:rFonts w:ascii="Palatino Linotype" w:eastAsia="Palatino Linotype" w:hAnsi="Palatino Linotype" w:cs="Palatino Linotype"/>
                <w:sz w:val="16"/>
                <w:szCs w:val="16"/>
              </w:rPr>
              <w:t>Cacalomacan</w:t>
            </w:r>
            <w:proofErr w:type="spellEnd"/>
            <w:r w:rsidRPr="008D6F03">
              <w:rPr>
                <w:rFonts w:ascii="Palatino Linotype" w:eastAsia="Palatino Linotype" w:hAnsi="Palatino Linotype" w:cs="Palatino Linotype"/>
                <w:sz w:val="16"/>
                <w:szCs w:val="16"/>
              </w:rPr>
              <w:t xml:space="preserve"> (número de calles 4), Del Parque (número de calles 11), </w:t>
            </w:r>
            <w:proofErr w:type="spellStart"/>
            <w:r w:rsidRPr="008D6F03">
              <w:rPr>
                <w:rFonts w:ascii="Palatino Linotype" w:eastAsia="Palatino Linotype" w:hAnsi="Palatino Linotype" w:cs="Palatino Linotype"/>
                <w:sz w:val="16"/>
                <w:szCs w:val="16"/>
              </w:rPr>
              <w:t>Capultitlan</w:t>
            </w:r>
            <w:proofErr w:type="spellEnd"/>
            <w:r w:rsidRPr="008D6F03">
              <w:rPr>
                <w:rFonts w:ascii="Palatino Linotype" w:eastAsia="Palatino Linotype" w:hAnsi="Palatino Linotype" w:cs="Palatino Linotype"/>
                <w:sz w:val="16"/>
                <w:szCs w:val="16"/>
              </w:rPr>
              <w:t xml:space="preserve"> (número de calles 15), moderna de la Cruz (número de calles 5), San Juan </w:t>
            </w:r>
            <w:proofErr w:type="spellStart"/>
            <w:r w:rsidRPr="008D6F03">
              <w:rPr>
                <w:rFonts w:ascii="Palatino Linotype" w:eastAsia="Palatino Linotype" w:hAnsi="Palatino Linotype" w:cs="Palatino Linotype"/>
                <w:sz w:val="16"/>
                <w:szCs w:val="16"/>
              </w:rPr>
              <w:t>Tilapa</w:t>
            </w:r>
            <w:proofErr w:type="spellEnd"/>
            <w:r w:rsidRPr="008D6F03">
              <w:rPr>
                <w:rFonts w:ascii="Palatino Linotype" w:eastAsia="Palatino Linotype" w:hAnsi="Palatino Linotype" w:cs="Palatino Linotype"/>
                <w:sz w:val="16"/>
                <w:szCs w:val="16"/>
              </w:rPr>
              <w:t xml:space="preserve"> (número de calles 1), </w:t>
            </w:r>
            <w:proofErr w:type="spellStart"/>
            <w:r w:rsidRPr="008D6F03">
              <w:rPr>
                <w:rFonts w:ascii="Palatino Linotype" w:eastAsia="Palatino Linotype" w:hAnsi="Palatino Linotype" w:cs="Palatino Linotype"/>
                <w:sz w:val="16"/>
                <w:szCs w:val="16"/>
              </w:rPr>
              <w:t>Villahogar</w:t>
            </w:r>
            <w:proofErr w:type="spellEnd"/>
            <w:r w:rsidRPr="008D6F03">
              <w:rPr>
                <w:rFonts w:ascii="Palatino Linotype" w:eastAsia="Palatino Linotype" w:hAnsi="Palatino Linotype" w:cs="Palatino Linotype"/>
                <w:sz w:val="16"/>
                <w:szCs w:val="16"/>
              </w:rPr>
              <w:t xml:space="preserve"> (número de calles 1), San Felipe </w:t>
            </w:r>
            <w:proofErr w:type="spellStart"/>
            <w:r w:rsidRPr="008D6F03">
              <w:rPr>
                <w:rFonts w:ascii="Palatino Linotype" w:eastAsia="Palatino Linotype" w:hAnsi="Palatino Linotype" w:cs="Palatino Linotype"/>
                <w:sz w:val="16"/>
                <w:szCs w:val="16"/>
              </w:rPr>
              <w:t>Tlalmimilolpan</w:t>
            </w:r>
            <w:proofErr w:type="spellEnd"/>
            <w:r w:rsidRPr="008D6F03">
              <w:rPr>
                <w:rFonts w:ascii="Palatino Linotype" w:eastAsia="Palatino Linotype" w:hAnsi="Palatino Linotype" w:cs="Palatino Linotype"/>
                <w:sz w:val="16"/>
                <w:szCs w:val="16"/>
              </w:rPr>
              <w:t xml:space="preserve"> (número de calles 4), Santiago Tlacotepec (número de calles 7), nueva </w:t>
            </w:r>
            <w:proofErr w:type="spellStart"/>
            <w:r w:rsidRPr="008D6F03">
              <w:rPr>
                <w:rFonts w:ascii="Palatino Linotype" w:eastAsia="Palatino Linotype" w:hAnsi="Palatino Linotype" w:cs="Palatino Linotype"/>
                <w:sz w:val="16"/>
                <w:szCs w:val="16"/>
              </w:rPr>
              <w:t>oxtotilan</w:t>
            </w:r>
            <w:proofErr w:type="spellEnd"/>
            <w:r w:rsidRPr="008D6F03">
              <w:rPr>
                <w:rFonts w:ascii="Palatino Linotype" w:eastAsia="Palatino Linotype" w:hAnsi="Palatino Linotype" w:cs="Palatino Linotype"/>
                <w:sz w:val="16"/>
                <w:szCs w:val="16"/>
              </w:rPr>
              <w:t xml:space="preserve"> (número de calles 3), San buenaventura (número de calles 11), Felipe Chávez Becerril (número de calles 1), San Mateo </w:t>
            </w:r>
            <w:proofErr w:type="spellStart"/>
            <w:r w:rsidRPr="008D6F03">
              <w:rPr>
                <w:rFonts w:ascii="Palatino Linotype" w:eastAsia="Palatino Linotype" w:hAnsi="Palatino Linotype" w:cs="Palatino Linotype"/>
                <w:sz w:val="16"/>
                <w:szCs w:val="16"/>
              </w:rPr>
              <w:t>Oxtotilan</w:t>
            </w:r>
            <w:proofErr w:type="spellEnd"/>
            <w:r w:rsidRPr="008D6F03">
              <w:rPr>
                <w:rFonts w:ascii="Palatino Linotype" w:eastAsia="Palatino Linotype" w:hAnsi="Palatino Linotype" w:cs="Palatino Linotype"/>
                <w:sz w:val="16"/>
                <w:szCs w:val="16"/>
              </w:rPr>
              <w:t xml:space="preserve"> (número de calles 11), Seminario conciliar (número de calles 3), San Antonia Buenavista (número de calles 1), Árbol de las Manitas (número de calles 5), Barrios Tradicionales (número de calles 10), Ciudad Universitaria (número de calles 4), Sánchez (número de calles 2), </w:t>
            </w:r>
            <w:proofErr w:type="spellStart"/>
            <w:r w:rsidRPr="008D6F03">
              <w:rPr>
                <w:rFonts w:ascii="Palatino Linotype" w:eastAsia="Palatino Linotype" w:hAnsi="Palatino Linotype" w:cs="Palatino Linotype"/>
                <w:sz w:val="16"/>
                <w:szCs w:val="16"/>
              </w:rPr>
              <w:t>Tecaxix</w:t>
            </w:r>
            <w:proofErr w:type="spellEnd"/>
            <w:r w:rsidRPr="008D6F03">
              <w:rPr>
                <w:rFonts w:ascii="Palatino Linotype" w:eastAsia="Palatino Linotype" w:hAnsi="Palatino Linotype" w:cs="Palatino Linotype"/>
                <w:sz w:val="16"/>
                <w:szCs w:val="16"/>
              </w:rPr>
              <w:t xml:space="preserve"> (número de calles 5), </w:t>
            </w:r>
            <w:proofErr w:type="spellStart"/>
            <w:r w:rsidRPr="008D6F03">
              <w:rPr>
                <w:rFonts w:ascii="Palatino Linotype" w:eastAsia="Palatino Linotype" w:hAnsi="Palatino Linotype" w:cs="Palatino Linotype"/>
                <w:sz w:val="16"/>
                <w:szCs w:val="16"/>
              </w:rPr>
              <w:t>Calixtlahuaca</w:t>
            </w:r>
            <w:proofErr w:type="spellEnd"/>
            <w:r w:rsidRPr="008D6F03">
              <w:rPr>
                <w:rFonts w:ascii="Palatino Linotype" w:eastAsia="Palatino Linotype" w:hAnsi="Palatino Linotype" w:cs="Palatino Linotype"/>
                <w:sz w:val="16"/>
                <w:szCs w:val="16"/>
              </w:rPr>
              <w:t xml:space="preserve"> (número de calles 1), Maquinita (número de calles 6), San Marcos </w:t>
            </w:r>
            <w:proofErr w:type="spellStart"/>
            <w:r w:rsidRPr="008D6F03">
              <w:rPr>
                <w:rFonts w:ascii="Palatino Linotype" w:eastAsia="Palatino Linotype" w:hAnsi="Palatino Linotype" w:cs="Palatino Linotype"/>
                <w:sz w:val="16"/>
                <w:szCs w:val="16"/>
              </w:rPr>
              <w:t>Yachihuacaltepec</w:t>
            </w:r>
            <w:proofErr w:type="spellEnd"/>
            <w:r w:rsidRPr="008D6F03">
              <w:rPr>
                <w:rFonts w:ascii="Palatino Linotype" w:eastAsia="Palatino Linotype" w:hAnsi="Palatino Linotype" w:cs="Palatino Linotype"/>
                <w:sz w:val="16"/>
                <w:szCs w:val="16"/>
              </w:rPr>
              <w:t xml:space="preserve"> (número de calles 5), San Martin </w:t>
            </w:r>
            <w:proofErr w:type="spellStart"/>
            <w:r w:rsidRPr="008D6F03">
              <w:rPr>
                <w:rFonts w:ascii="Palatino Linotype" w:eastAsia="Palatino Linotype" w:hAnsi="Palatino Linotype" w:cs="Palatino Linotype"/>
                <w:sz w:val="16"/>
                <w:szCs w:val="16"/>
              </w:rPr>
              <w:t>Toltepec</w:t>
            </w:r>
            <w:proofErr w:type="spellEnd"/>
            <w:r w:rsidRPr="008D6F03">
              <w:rPr>
                <w:rFonts w:ascii="Palatino Linotype" w:eastAsia="Palatino Linotype" w:hAnsi="Palatino Linotype" w:cs="Palatino Linotype"/>
                <w:sz w:val="16"/>
                <w:szCs w:val="16"/>
              </w:rPr>
              <w:t xml:space="preserve"> (número de calles 1), Santiago </w:t>
            </w:r>
            <w:proofErr w:type="spellStart"/>
            <w:r w:rsidRPr="008D6F03">
              <w:rPr>
                <w:rFonts w:ascii="Palatino Linotype" w:eastAsia="Palatino Linotype" w:hAnsi="Palatino Linotype" w:cs="Palatino Linotype"/>
                <w:sz w:val="16"/>
                <w:szCs w:val="16"/>
              </w:rPr>
              <w:t>Miltepec</w:t>
            </w:r>
            <w:proofErr w:type="spellEnd"/>
            <w:r w:rsidRPr="008D6F03">
              <w:rPr>
                <w:rFonts w:ascii="Palatino Linotype" w:eastAsia="Palatino Linotype" w:hAnsi="Palatino Linotype" w:cs="Palatino Linotype"/>
                <w:sz w:val="16"/>
                <w:szCs w:val="16"/>
              </w:rPr>
              <w:t xml:space="preserve"> (número de calles 2), Santiago </w:t>
            </w:r>
            <w:proofErr w:type="spellStart"/>
            <w:r w:rsidRPr="008D6F03">
              <w:rPr>
                <w:rFonts w:ascii="Palatino Linotype" w:eastAsia="Palatino Linotype" w:hAnsi="Palatino Linotype" w:cs="Palatino Linotype"/>
                <w:sz w:val="16"/>
                <w:szCs w:val="16"/>
              </w:rPr>
              <w:t>Tlaxomulco</w:t>
            </w:r>
            <w:proofErr w:type="spellEnd"/>
            <w:r w:rsidRPr="008D6F03">
              <w:rPr>
                <w:rFonts w:ascii="Palatino Linotype" w:eastAsia="Palatino Linotype" w:hAnsi="Palatino Linotype" w:cs="Palatino Linotype"/>
                <w:sz w:val="16"/>
                <w:szCs w:val="16"/>
              </w:rPr>
              <w:t xml:space="preserve"> (número de calles 4), Santa Cruz </w:t>
            </w:r>
            <w:proofErr w:type="spellStart"/>
            <w:r w:rsidRPr="008D6F03">
              <w:rPr>
                <w:rFonts w:ascii="Palatino Linotype" w:eastAsia="Palatino Linotype" w:hAnsi="Palatino Linotype" w:cs="Palatino Linotype"/>
                <w:sz w:val="16"/>
                <w:szCs w:val="16"/>
              </w:rPr>
              <w:t>Atzcapozaltongo</w:t>
            </w:r>
            <w:proofErr w:type="spellEnd"/>
            <w:r w:rsidRPr="008D6F03">
              <w:rPr>
                <w:rFonts w:ascii="Palatino Linotype" w:eastAsia="Palatino Linotype" w:hAnsi="Palatino Linotype" w:cs="Palatino Linotype"/>
                <w:sz w:val="16"/>
                <w:szCs w:val="16"/>
              </w:rPr>
              <w:t xml:space="preserve"> (número de calles 5), San Andrés </w:t>
            </w:r>
            <w:proofErr w:type="spellStart"/>
            <w:r w:rsidRPr="008D6F03">
              <w:rPr>
                <w:rFonts w:ascii="Palatino Linotype" w:eastAsia="Palatino Linotype" w:hAnsi="Palatino Linotype" w:cs="Palatino Linotype"/>
                <w:sz w:val="16"/>
                <w:szCs w:val="16"/>
              </w:rPr>
              <w:t>cuexcotitlan</w:t>
            </w:r>
            <w:proofErr w:type="spellEnd"/>
            <w:r w:rsidRPr="008D6F03">
              <w:rPr>
                <w:rFonts w:ascii="Palatino Linotype" w:eastAsia="Palatino Linotype" w:hAnsi="Palatino Linotype" w:cs="Palatino Linotype"/>
                <w:sz w:val="16"/>
                <w:szCs w:val="16"/>
              </w:rPr>
              <w:t xml:space="preserve"> (número de calles 9), San Cristóbal </w:t>
            </w:r>
            <w:proofErr w:type="spellStart"/>
            <w:r w:rsidRPr="008D6F03">
              <w:rPr>
                <w:rFonts w:ascii="Palatino Linotype" w:eastAsia="Palatino Linotype" w:hAnsi="Palatino Linotype" w:cs="Palatino Linotype"/>
                <w:sz w:val="16"/>
                <w:szCs w:val="16"/>
              </w:rPr>
              <w:t>Huichotiltan</w:t>
            </w:r>
            <w:proofErr w:type="spellEnd"/>
            <w:r w:rsidRPr="008D6F03">
              <w:rPr>
                <w:rFonts w:ascii="Palatino Linotype" w:eastAsia="Palatino Linotype" w:hAnsi="Palatino Linotype" w:cs="Palatino Linotype"/>
                <w:sz w:val="16"/>
                <w:szCs w:val="16"/>
              </w:rPr>
              <w:t xml:space="preserve"> (número de calles 10), San Digo de los Padres (número de calles 3), San Cayetano (número de calles 7), San Pablo </w:t>
            </w:r>
            <w:proofErr w:type="spellStart"/>
            <w:r w:rsidRPr="008D6F03">
              <w:rPr>
                <w:rFonts w:ascii="Palatino Linotype" w:eastAsia="Palatino Linotype" w:hAnsi="Palatino Linotype" w:cs="Palatino Linotype"/>
                <w:sz w:val="16"/>
                <w:szCs w:val="16"/>
              </w:rPr>
              <w:t>Autopan</w:t>
            </w:r>
            <w:proofErr w:type="spellEnd"/>
            <w:r w:rsidRPr="008D6F03">
              <w:rPr>
                <w:rFonts w:ascii="Palatino Linotype" w:eastAsia="Palatino Linotype" w:hAnsi="Palatino Linotype" w:cs="Palatino Linotype"/>
                <w:sz w:val="16"/>
                <w:szCs w:val="16"/>
              </w:rPr>
              <w:t xml:space="preserve"> (número de calles 9), </w:t>
            </w:r>
            <w:proofErr w:type="spellStart"/>
            <w:r w:rsidRPr="008D6F03">
              <w:rPr>
                <w:rFonts w:ascii="Palatino Linotype" w:eastAsia="Palatino Linotype" w:hAnsi="Palatino Linotype" w:cs="Palatino Linotype"/>
                <w:sz w:val="16"/>
                <w:szCs w:val="16"/>
              </w:rPr>
              <w:t>Tlachaloya</w:t>
            </w:r>
            <w:proofErr w:type="spellEnd"/>
            <w:r w:rsidRPr="008D6F03">
              <w:rPr>
                <w:rFonts w:ascii="Palatino Linotype" w:eastAsia="Palatino Linotype" w:hAnsi="Palatino Linotype" w:cs="Palatino Linotype"/>
                <w:sz w:val="16"/>
                <w:szCs w:val="16"/>
              </w:rPr>
              <w:t xml:space="preserve"> segunda sesión (número de calles 3), Santa María </w:t>
            </w:r>
            <w:proofErr w:type="spellStart"/>
            <w:r w:rsidRPr="008D6F03">
              <w:rPr>
                <w:rFonts w:ascii="Palatino Linotype" w:eastAsia="Palatino Linotype" w:hAnsi="Palatino Linotype" w:cs="Palatino Linotype"/>
                <w:sz w:val="16"/>
                <w:szCs w:val="16"/>
              </w:rPr>
              <w:t>totoltepec</w:t>
            </w:r>
            <w:proofErr w:type="spellEnd"/>
            <w:r w:rsidRPr="008D6F03">
              <w:rPr>
                <w:rFonts w:ascii="Palatino Linotype" w:eastAsia="Palatino Linotype" w:hAnsi="Palatino Linotype" w:cs="Palatino Linotype"/>
                <w:sz w:val="16"/>
                <w:szCs w:val="16"/>
              </w:rPr>
              <w:t xml:space="preserve"> (número de calles 7), San Pedro </w:t>
            </w:r>
            <w:proofErr w:type="spellStart"/>
            <w:r w:rsidRPr="008D6F03">
              <w:rPr>
                <w:rFonts w:ascii="Palatino Linotype" w:eastAsia="Palatino Linotype" w:hAnsi="Palatino Linotype" w:cs="Palatino Linotype"/>
                <w:sz w:val="16"/>
                <w:szCs w:val="16"/>
              </w:rPr>
              <w:t>Totoltepec</w:t>
            </w:r>
            <w:proofErr w:type="spellEnd"/>
            <w:r w:rsidRPr="008D6F03">
              <w:rPr>
                <w:rFonts w:ascii="Palatino Linotype" w:eastAsia="Palatino Linotype" w:hAnsi="Palatino Linotype" w:cs="Palatino Linotype"/>
                <w:sz w:val="16"/>
                <w:szCs w:val="16"/>
              </w:rPr>
              <w:t xml:space="preserve"> (número de calles 9), Guadalupe </w:t>
            </w:r>
            <w:proofErr w:type="spellStart"/>
            <w:r w:rsidRPr="008D6F03">
              <w:rPr>
                <w:rFonts w:ascii="Palatino Linotype" w:eastAsia="Palatino Linotype" w:hAnsi="Palatino Linotype" w:cs="Palatino Linotype"/>
                <w:sz w:val="16"/>
                <w:szCs w:val="16"/>
              </w:rPr>
              <w:t>Totoltepec</w:t>
            </w:r>
            <w:proofErr w:type="spellEnd"/>
            <w:r w:rsidRPr="008D6F03">
              <w:rPr>
                <w:rFonts w:ascii="Palatino Linotype" w:eastAsia="Palatino Linotype" w:hAnsi="Palatino Linotype" w:cs="Palatino Linotype"/>
                <w:sz w:val="16"/>
                <w:szCs w:val="16"/>
              </w:rPr>
              <w:t xml:space="preserve"> (número de calles 1), Cerrillo Vista Hermosa (número de calles 1), San Miguel </w:t>
            </w:r>
            <w:proofErr w:type="spellStart"/>
            <w:r w:rsidRPr="008D6F03">
              <w:rPr>
                <w:rFonts w:ascii="Palatino Linotype" w:eastAsia="Palatino Linotype" w:hAnsi="Palatino Linotype" w:cs="Palatino Linotype"/>
                <w:sz w:val="16"/>
                <w:szCs w:val="16"/>
              </w:rPr>
              <w:t>totoltepec</w:t>
            </w:r>
            <w:proofErr w:type="spellEnd"/>
            <w:r w:rsidRPr="008D6F03">
              <w:rPr>
                <w:rFonts w:ascii="Palatino Linotype" w:eastAsia="Palatino Linotype" w:hAnsi="Palatino Linotype" w:cs="Palatino Linotype"/>
                <w:sz w:val="16"/>
                <w:szCs w:val="16"/>
              </w:rPr>
              <w:t xml:space="preserve"> (número de calles 5), San </w:t>
            </w:r>
            <w:proofErr w:type="spellStart"/>
            <w:r w:rsidRPr="008D6F03">
              <w:rPr>
                <w:rFonts w:ascii="Palatino Linotype" w:eastAsia="Palatino Linotype" w:hAnsi="Palatino Linotype" w:cs="Palatino Linotype"/>
                <w:sz w:val="16"/>
                <w:szCs w:val="16"/>
              </w:rPr>
              <w:t>Jose</w:t>
            </w:r>
            <w:proofErr w:type="spellEnd"/>
            <w:r w:rsidRPr="008D6F03">
              <w:rPr>
                <w:rFonts w:ascii="Palatino Linotype" w:eastAsia="Palatino Linotype" w:hAnsi="Palatino Linotype" w:cs="Palatino Linotype"/>
                <w:sz w:val="16"/>
                <w:szCs w:val="16"/>
              </w:rPr>
              <w:t xml:space="preserve"> Guadalupe </w:t>
            </w:r>
            <w:proofErr w:type="spellStart"/>
            <w:r w:rsidRPr="008D6F03">
              <w:rPr>
                <w:rFonts w:ascii="Palatino Linotype" w:eastAsia="Palatino Linotype" w:hAnsi="Palatino Linotype" w:cs="Palatino Linotype"/>
                <w:sz w:val="16"/>
                <w:szCs w:val="16"/>
              </w:rPr>
              <w:t>Otzacatipan</w:t>
            </w:r>
            <w:proofErr w:type="spellEnd"/>
            <w:r w:rsidRPr="008D6F03">
              <w:rPr>
                <w:rFonts w:ascii="Palatino Linotype" w:eastAsia="Palatino Linotype" w:hAnsi="Palatino Linotype" w:cs="Palatino Linotype"/>
                <w:sz w:val="16"/>
                <w:szCs w:val="16"/>
              </w:rPr>
              <w:t xml:space="preserve"> (número de calles 2), San Mateo </w:t>
            </w:r>
            <w:proofErr w:type="spellStart"/>
            <w:r w:rsidRPr="008D6F03">
              <w:rPr>
                <w:rFonts w:ascii="Palatino Linotype" w:eastAsia="Palatino Linotype" w:hAnsi="Palatino Linotype" w:cs="Palatino Linotype"/>
                <w:sz w:val="16"/>
                <w:szCs w:val="16"/>
              </w:rPr>
              <w:t>Otzacatipan</w:t>
            </w:r>
            <w:proofErr w:type="spellEnd"/>
            <w:r w:rsidRPr="008D6F03">
              <w:rPr>
                <w:rFonts w:ascii="Palatino Linotype" w:eastAsia="Palatino Linotype" w:hAnsi="Palatino Linotype" w:cs="Palatino Linotype"/>
                <w:sz w:val="16"/>
                <w:szCs w:val="16"/>
              </w:rPr>
              <w:t xml:space="preserve"> (número de calles 6), Villas </w:t>
            </w:r>
            <w:proofErr w:type="spellStart"/>
            <w:r w:rsidRPr="008D6F03">
              <w:rPr>
                <w:rFonts w:ascii="Palatino Linotype" w:eastAsia="Palatino Linotype" w:hAnsi="Palatino Linotype" w:cs="Palatino Linotype"/>
                <w:sz w:val="16"/>
                <w:szCs w:val="16"/>
              </w:rPr>
              <w:t>Santín</w:t>
            </w:r>
            <w:proofErr w:type="spellEnd"/>
            <w:r w:rsidRPr="008D6F03">
              <w:rPr>
                <w:rFonts w:ascii="Palatino Linotype" w:eastAsia="Palatino Linotype" w:hAnsi="Palatino Linotype" w:cs="Palatino Linotype"/>
                <w:sz w:val="16"/>
                <w:szCs w:val="16"/>
              </w:rPr>
              <w:t xml:space="preserve"> (número de calles 12), Sauces (número de calles 6), San Lorenzo Tepatitlán (número de calles 11), colonia Carlos </w:t>
            </w:r>
            <w:proofErr w:type="spellStart"/>
            <w:r w:rsidRPr="008D6F03">
              <w:rPr>
                <w:rFonts w:ascii="Palatino Linotype" w:eastAsia="Palatino Linotype" w:hAnsi="Palatino Linotype" w:cs="Palatino Linotype"/>
                <w:sz w:val="16"/>
                <w:szCs w:val="16"/>
              </w:rPr>
              <w:t>Hanks</w:t>
            </w:r>
            <w:proofErr w:type="spellEnd"/>
            <w:r w:rsidRPr="008D6F03">
              <w:rPr>
                <w:rFonts w:ascii="Palatino Linotype" w:eastAsia="Palatino Linotype" w:hAnsi="Palatino Linotype" w:cs="Palatino Linotype"/>
                <w:sz w:val="16"/>
                <w:szCs w:val="16"/>
              </w:rPr>
              <w:t xml:space="preserve"> Gonzales (número de calles 11) y Fraccionamiento Galaxia (número de calles 7).</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 xml:space="preserve">Cabe señalar que en cada número de calles se especificó el nombre de la calle en donde se realizó el bacheo. </w:t>
            </w:r>
          </w:p>
          <w:p w:rsidR="007B4405" w:rsidRPr="008D6F03" w:rsidRDefault="007B4405">
            <w:pPr>
              <w:jc w:val="both"/>
              <w:rPr>
                <w:rFonts w:ascii="Palatino Linotype" w:eastAsia="Palatino Linotype" w:hAnsi="Palatino Linotype" w:cs="Palatino Linotype"/>
                <w:sz w:val="16"/>
                <w:szCs w:val="16"/>
              </w:rPr>
            </w:pP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9">
              <w:r w:rsidRPr="008D6F03">
                <w:rPr>
                  <w:rFonts w:ascii="Palatino Linotype" w:eastAsia="Palatino Linotype" w:hAnsi="Palatino Linotype" w:cs="Palatino Linotype"/>
                  <w:sz w:val="16"/>
                  <w:szCs w:val="16"/>
                </w:rPr>
                <w:t>Respuesta 2193_2022.pdf</w:t>
              </w:r>
            </w:hyperlink>
            <w:r w:rsidRPr="008D6F03">
              <w:rPr>
                <w:rFonts w:ascii="Palatino Linotype" w:eastAsia="Palatino Linotype" w:hAnsi="Palatino Linotype" w:cs="Palatino Linotype"/>
                <w:sz w:val="16"/>
                <w:szCs w:val="16"/>
              </w:rPr>
              <w:t>”, el cual contiene la respuesta de la Unidad de Transparencia del Ayuntamiento de Toluca, por medio del cual señaló que la Dirección General de Servicios Públicos le informó que en relación al programa anual de Bacheo al mes de octubre del año 2022, se encuentra publicado en el siguiente enlace:</w:t>
            </w:r>
          </w:p>
          <w:p w:rsidR="007B4405" w:rsidRPr="008D6F03" w:rsidRDefault="00CE4C85">
            <w:pPr>
              <w:jc w:val="both"/>
              <w:rPr>
                <w:rFonts w:ascii="Palatino Linotype" w:eastAsia="Palatino Linotype" w:hAnsi="Palatino Linotype" w:cs="Palatino Linotype"/>
                <w:sz w:val="16"/>
                <w:szCs w:val="16"/>
              </w:rPr>
            </w:pPr>
            <w:r w:rsidRPr="008D6F03">
              <w:rPr>
                <w:noProof/>
                <w:sz w:val="16"/>
                <w:szCs w:val="16"/>
                <w:lang w:eastAsia="es-MX"/>
              </w:rPr>
              <w:lastRenderedPageBreak/>
              <w:drawing>
                <wp:inline distT="0" distB="0" distL="0" distR="0">
                  <wp:extent cx="3406537" cy="1241352"/>
                  <wp:effectExtent l="0" t="0" r="0" b="0"/>
                  <wp:docPr id="9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l="40420" t="51916" r="25299" b="39239"/>
                          <a:stretch>
                            <a:fillRect/>
                          </a:stretch>
                        </pic:blipFill>
                        <pic:spPr>
                          <a:xfrm>
                            <a:off x="0" y="0"/>
                            <a:ext cx="3406537" cy="1241352"/>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Por otro lado, informó que por su parte la Dirección General de Desarrollo Urbano, Ordenamiento Territorial y Obras Públicas, informó que el número de calles bacheadas son 342 calles.</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proofErr w:type="spellStart"/>
            <w:r w:rsidRPr="008D6F03">
              <w:rPr>
                <w:rFonts w:ascii="Palatino Linotype" w:eastAsia="Palatino Linotype" w:hAnsi="Palatino Linotype" w:cs="Palatino Linotype"/>
                <w:sz w:val="16"/>
                <w:szCs w:val="16"/>
              </w:rPr>
              <w:t>Cuales</w:t>
            </w:r>
            <w:proofErr w:type="spellEnd"/>
            <w:r w:rsidRPr="008D6F03">
              <w:rPr>
                <w:rFonts w:ascii="Palatino Linotype" w:eastAsia="Palatino Linotype" w:hAnsi="Palatino Linotype" w:cs="Palatino Linotype"/>
                <w:sz w:val="16"/>
                <w:szCs w:val="16"/>
              </w:rPr>
              <w:t xml:space="preserve"> han sido?: Si es una pregunta faltan los signos de interrogación</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 xml:space="preserve">Señaló que hace entrega de un listado de las calles atendidas con trabajo de bacheo por el contrato, durante la temporalidad indicada en la solicitud, adjuntando el mismo.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En cuanto a los metros que se ha bacheado:</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123, 061.07 m2</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En cuanto a la empresa contratada para el bacheo, señaló:</w:t>
            </w:r>
          </w:p>
          <w:p w:rsidR="007B4405" w:rsidRPr="008D6F03" w:rsidRDefault="007B4405">
            <w:pPr>
              <w:jc w:val="both"/>
              <w:rPr>
                <w:sz w:val="16"/>
                <w:szCs w:val="16"/>
              </w:rPr>
            </w:pPr>
          </w:p>
          <w:p w:rsidR="007B4405" w:rsidRPr="008D6F03" w:rsidRDefault="00CE4C85">
            <w:pPr>
              <w:jc w:val="both"/>
              <w:rPr>
                <w:rFonts w:ascii="Palatino Linotype" w:eastAsia="Palatino Linotype" w:hAnsi="Palatino Linotype" w:cs="Palatino Linotype"/>
                <w:sz w:val="16"/>
                <w:szCs w:val="16"/>
              </w:rPr>
            </w:pPr>
            <w:r w:rsidRPr="008D6F03">
              <w:rPr>
                <w:noProof/>
                <w:sz w:val="16"/>
                <w:szCs w:val="16"/>
                <w:lang w:eastAsia="es-MX"/>
              </w:rPr>
              <w:drawing>
                <wp:inline distT="0" distB="0" distL="0" distR="0">
                  <wp:extent cx="3637558" cy="2450823"/>
                  <wp:effectExtent l="0" t="0" r="0" b="0"/>
                  <wp:docPr id="9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l="41912" t="25770" r="24649" b="46751"/>
                          <a:stretch>
                            <a:fillRect/>
                          </a:stretch>
                        </pic:blipFill>
                        <pic:spPr>
                          <a:xfrm>
                            <a:off x="0" y="0"/>
                            <a:ext cx="3637558" cy="2450823"/>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12">
              <w:r w:rsidRPr="008D6F03">
                <w:rPr>
                  <w:rFonts w:ascii="Palatino Linotype" w:eastAsia="Palatino Linotype" w:hAnsi="Palatino Linotype" w:cs="Palatino Linotype"/>
                  <w:sz w:val="16"/>
                  <w:szCs w:val="16"/>
                </w:rPr>
                <w:t>SAIMEX 02193.pdf</w:t>
              </w:r>
            </w:hyperlink>
            <w:r w:rsidRPr="008D6F03">
              <w:rPr>
                <w:rFonts w:ascii="Palatino Linotype" w:eastAsia="Palatino Linotype" w:hAnsi="Palatino Linotype" w:cs="Palatino Linotype"/>
                <w:sz w:val="16"/>
                <w:szCs w:val="16"/>
              </w:rPr>
              <w:t>”, el cual contiene el formato PbRM02a, el cual corresponde a:</w:t>
            </w:r>
          </w:p>
          <w:p w:rsidR="007B4405" w:rsidRPr="008D6F03" w:rsidRDefault="007B4405">
            <w:pPr>
              <w:jc w:val="both"/>
              <w:rPr>
                <w:sz w:val="16"/>
                <w:szCs w:val="16"/>
              </w:rPr>
            </w:pPr>
          </w:p>
          <w:p w:rsidR="007B4405" w:rsidRPr="008D6F03" w:rsidRDefault="00CE4C85">
            <w:pPr>
              <w:jc w:val="both"/>
              <w:rPr>
                <w:rFonts w:ascii="Palatino Linotype" w:eastAsia="Palatino Linotype" w:hAnsi="Palatino Linotype" w:cs="Palatino Linotype"/>
                <w:sz w:val="16"/>
                <w:szCs w:val="16"/>
              </w:rPr>
            </w:pPr>
            <w:r w:rsidRPr="008D6F03">
              <w:rPr>
                <w:noProof/>
                <w:sz w:val="16"/>
                <w:szCs w:val="16"/>
                <w:lang w:eastAsia="es-MX"/>
              </w:rPr>
              <w:lastRenderedPageBreak/>
              <w:drawing>
                <wp:inline distT="0" distB="0" distL="0" distR="0">
                  <wp:extent cx="3576220" cy="3331902"/>
                  <wp:effectExtent l="0" t="0" r="0" b="0"/>
                  <wp:docPr id="9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l="31641" t="17870" r="16298" b="10809"/>
                          <a:stretch>
                            <a:fillRect/>
                          </a:stretch>
                        </pic:blipFill>
                        <pic:spPr>
                          <a:xfrm>
                            <a:off x="0" y="0"/>
                            <a:ext cx="3576220" cy="3331902"/>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 xml:space="preserve">La calendarización de metas de actividad por proyecto, correspondiente a la rehabilitación de vialidades urbanas (bacheo). </w:t>
            </w:r>
          </w:p>
          <w:p w:rsidR="007B4405" w:rsidRPr="008D6F03" w:rsidRDefault="007B4405">
            <w:pPr>
              <w:spacing w:after="120"/>
              <w:jc w:val="both"/>
              <w:rPr>
                <w:rFonts w:ascii="Palatino Linotype" w:eastAsia="Palatino Linotype" w:hAnsi="Palatino Linotype" w:cs="Palatino Linotype"/>
                <w:sz w:val="16"/>
                <w:szCs w:val="16"/>
              </w:rPr>
            </w:pP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lastRenderedPageBreak/>
              <w:t>02191/TOLUCA/IP/2022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16801/INFOEM/IP/RR/2022</w:t>
            </w:r>
          </w:p>
        </w:tc>
        <w:tc>
          <w:tcPr>
            <w:tcW w:w="5856" w:type="dxa"/>
          </w:tcPr>
          <w:p w:rsidR="007B4405" w:rsidRPr="008D6F03" w:rsidRDefault="00CE4C85">
            <w:pPr>
              <w:spacing w:before="240" w:after="240"/>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14">
              <w:r w:rsidRPr="008D6F03">
                <w:rPr>
                  <w:rFonts w:ascii="Palatino Linotype" w:eastAsia="Palatino Linotype" w:hAnsi="Palatino Linotype" w:cs="Palatino Linotype"/>
                  <w:sz w:val="16"/>
                  <w:szCs w:val="16"/>
                </w:rPr>
                <w:t>Anexo SAIMEX 02191.pdf</w:t>
              </w:r>
            </w:hyperlink>
            <w:r w:rsidRPr="008D6F03">
              <w:rPr>
                <w:rFonts w:ascii="Palatino Linotype" w:eastAsia="Palatino Linotype" w:hAnsi="Palatino Linotype" w:cs="Palatino Linotype"/>
                <w:sz w:val="16"/>
                <w:szCs w:val="16"/>
              </w:rPr>
              <w:t>”, “</w:t>
            </w:r>
            <w:hyperlink r:id="rId15">
              <w:r w:rsidRPr="008D6F03">
                <w:rPr>
                  <w:rFonts w:ascii="Palatino Linotype" w:eastAsia="Palatino Linotype" w:hAnsi="Palatino Linotype" w:cs="Palatino Linotype"/>
                  <w:sz w:val="16"/>
                  <w:szCs w:val="16"/>
                </w:rPr>
                <w:t>Respuesta 2191.pdf</w:t>
              </w:r>
            </w:hyperlink>
            <w:r w:rsidRPr="008D6F03">
              <w:rPr>
                <w:rFonts w:ascii="Palatino Linotype" w:eastAsia="Palatino Linotype" w:hAnsi="Palatino Linotype" w:cs="Palatino Linotype"/>
                <w:sz w:val="16"/>
                <w:szCs w:val="16"/>
              </w:rPr>
              <w:t>” y “</w:t>
            </w:r>
            <w:hyperlink r:id="rId16">
              <w:r w:rsidRPr="008D6F03">
                <w:rPr>
                  <w:rFonts w:ascii="Palatino Linotype" w:eastAsia="Palatino Linotype" w:hAnsi="Palatino Linotype" w:cs="Palatino Linotype"/>
                  <w:sz w:val="16"/>
                  <w:szCs w:val="16"/>
                </w:rPr>
                <w:t>SAIMEX 02191.pdf</w:t>
              </w:r>
            </w:hyperlink>
            <w:r w:rsidRPr="008D6F03">
              <w:rPr>
                <w:rFonts w:ascii="Palatino Linotype" w:eastAsia="Palatino Linotype" w:hAnsi="Palatino Linotype" w:cs="Palatino Linotype"/>
                <w:sz w:val="16"/>
                <w:szCs w:val="16"/>
              </w:rPr>
              <w:t xml:space="preserve">”, los cuales contiene los mismos archivos descritos en la respuesta a la solicitud anterior. </w:t>
            </w: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02176/TOLUCA/IP/2022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16816/INFOEM/IP/RR/2022</w:t>
            </w:r>
          </w:p>
        </w:tc>
        <w:tc>
          <w:tcPr>
            <w:tcW w:w="5856" w:type="dxa"/>
          </w:tcPr>
          <w:p w:rsidR="007B4405" w:rsidRPr="008D6F03" w:rsidRDefault="00CE4C85">
            <w:pPr>
              <w:spacing w:before="240" w:after="240"/>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17">
              <w:r w:rsidRPr="008D6F03">
                <w:rPr>
                  <w:rFonts w:ascii="Palatino Linotype" w:eastAsia="Palatino Linotype" w:hAnsi="Palatino Linotype" w:cs="Palatino Linotype"/>
                  <w:sz w:val="16"/>
                  <w:szCs w:val="16"/>
                </w:rPr>
                <w:t>Anexo SAIMEX 02176.pdf</w:t>
              </w:r>
            </w:hyperlink>
            <w:r w:rsidRPr="008D6F03">
              <w:rPr>
                <w:rFonts w:ascii="Palatino Linotype" w:eastAsia="Palatino Linotype" w:hAnsi="Palatino Linotype" w:cs="Palatino Linotype"/>
                <w:sz w:val="16"/>
                <w:szCs w:val="16"/>
              </w:rPr>
              <w:t>”, “</w:t>
            </w:r>
            <w:hyperlink r:id="rId18">
              <w:r w:rsidRPr="008D6F03">
                <w:rPr>
                  <w:rFonts w:ascii="Palatino Linotype" w:eastAsia="Palatino Linotype" w:hAnsi="Palatino Linotype" w:cs="Palatino Linotype"/>
                  <w:sz w:val="16"/>
                  <w:szCs w:val="16"/>
                </w:rPr>
                <w:t>Respuesta 2176.pdf</w:t>
              </w:r>
            </w:hyperlink>
            <w:r w:rsidRPr="008D6F03">
              <w:rPr>
                <w:rFonts w:ascii="Palatino Linotype" w:eastAsia="Palatino Linotype" w:hAnsi="Palatino Linotype" w:cs="Palatino Linotype"/>
                <w:sz w:val="16"/>
                <w:szCs w:val="16"/>
              </w:rPr>
              <w:t>” y “</w:t>
            </w:r>
            <w:hyperlink r:id="rId19">
              <w:r w:rsidRPr="008D6F03">
                <w:rPr>
                  <w:rFonts w:ascii="Palatino Linotype" w:eastAsia="Palatino Linotype" w:hAnsi="Palatino Linotype" w:cs="Palatino Linotype"/>
                  <w:sz w:val="16"/>
                  <w:szCs w:val="16"/>
                </w:rPr>
                <w:t>SAIMEX 02176.pdf</w:t>
              </w:r>
            </w:hyperlink>
            <w:r w:rsidRPr="008D6F03">
              <w:rPr>
                <w:rFonts w:ascii="Palatino Linotype" w:eastAsia="Palatino Linotype" w:hAnsi="Palatino Linotype" w:cs="Palatino Linotype"/>
                <w:sz w:val="16"/>
                <w:szCs w:val="16"/>
              </w:rPr>
              <w:t>”, los cuales contienen los mismos archivos descritos en la respuesta a la solicitud número 02193/TOLUCA/IP/2022.</w:t>
            </w: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02174/TOLUCA/IP/2022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16818/INFOEM/IP/RR/2022</w:t>
            </w:r>
          </w:p>
        </w:tc>
        <w:tc>
          <w:tcPr>
            <w:tcW w:w="5856" w:type="dxa"/>
          </w:tcPr>
          <w:p w:rsidR="007B4405" w:rsidRPr="008D6F03" w:rsidRDefault="00CE4C85">
            <w:pPr>
              <w:spacing w:before="240"/>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20">
              <w:r w:rsidRPr="008D6F03">
                <w:rPr>
                  <w:rFonts w:ascii="Palatino Linotype" w:eastAsia="Palatino Linotype" w:hAnsi="Palatino Linotype" w:cs="Palatino Linotype"/>
                  <w:sz w:val="16"/>
                  <w:szCs w:val="16"/>
                </w:rPr>
                <w:t>Respuesta 2174.pdf</w:t>
              </w:r>
            </w:hyperlink>
            <w:r w:rsidRPr="008D6F03">
              <w:rPr>
                <w:rFonts w:ascii="Palatino Linotype" w:eastAsia="Palatino Linotype" w:hAnsi="Palatino Linotype" w:cs="Palatino Linotype"/>
                <w:sz w:val="16"/>
                <w:szCs w:val="16"/>
              </w:rPr>
              <w:t xml:space="preserve">”, el cual contiene la respuesta de la Unidad de Transparencia del Ayuntamiento de Toluca, por medio del cual señaló que la Consejería Jurídica  le informó que de acuerdo al artículo 23 de la Ley de Responsabilidad Patrimonial para el Estado de México y Municipios, la parte interesada deberá presentar una reclamación de indemnización por escrito ante la entidad pública presuntamente responsable en términos de lo previsto en la misma.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También señaló que no cuenta con un formato especial de presentación, siendo que este debe ser a consideración de la parte interesada; sin embargo, en términos de lo señalado por el artículo 26 de la Ley de Responsabilidad Patrimonial para el Estado de México y Municipios, establece que el escrito inicial de reclamación debe cumplir con los siguientes requisitos:</w:t>
            </w:r>
          </w:p>
          <w:p w:rsidR="007B4405" w:rsidRPr="008D6F03" w:rsidRDefault="007B4405">
            <w:pPr>
              <w:jc w:val="both"/>
              <w:rPr>
                <w:rFonts w:ascii="Palatino Linotype" w:eastAsia="Palatino Linotype" w:hAnsi="Palatino Linotype" w:cs="Palatino Linotype"/>
                <w:sz w:val="16"/>
                <w:szCs w:val="16"/>
              </w:rPr>
            </w:pPr>
          </w:p>
          <w:p w:rsidR="007B4405" w:rsidRPr="008D6F03" w:rsidRDefault="007B4405">
            <w:pPr>
              <w:jc w:val="both"/>
              <w:rPr>
                <w:rFonts w:ascii="Palatino Linotype" w:eastAsia="Palatino Linotype" w:hAnsi="Palatino Linotype" w:cs="Palatino Linotype"/>
                <w:sz w:val="16"/>
                <w:szCs w:val="16"/>
              </w:rPr>
            </w:pP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lastRenderedPageBreak/>
              <w:drawing>
                <wp:inline distT="0" distB="0" distL="0" distR="0">
                  <wp:extent cx="3494618" cy="582293"/>
                  <wp:effectExtent l="0" t="0" r="0" b="0"/>
                  <wp:docPr id="9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l="44657" t="22384" r="38526" b="73664"/>
                          <a:stretch>
                            <a:fillRect/>
                          </a:stretch>
                        </pic:blipFill>
                        <pic:spPr>
                          <a:xfrm>
                            <a:off x="0" y="0"/>
                            <a:ext cx="3494618" cy="582293"/>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drawing>
                <wp:inline distT="0" distB="0" distL="0" distR="0">
                  <wp:extent cx="3509440" cy="4241825"/>
                  <wp:effectExtent l="0" t="0" r="0" b="0"/>
                  <wp:docPr id="9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l="44556" t="40819" r="28138" b="5725"/>
                          <a:stretch>
                            <a:fillRect/>
                          </a:stretch>
                        </pic:blipFill>
                        <pic:spPr>
                          <a:xfrm>
                            <a:off x="0" y="0"/>
                            <a:ext cx="3509440" cy="4241825"/>
                          </a:xfrm>
                          <a:prstGeom prst="rect">
                            <a:avLst/>
                          </a:prstGeom>
                          <a:ln/>
                        </pic:spPr>
                      </pic:pic>
                    </a:graphicData>
                  </a:graphic>
                </wp:inline>
              </w:drawing>
            </w:r>
          </w:p>
          <w:p w:rsidR="007B4405" w:rsidRPr="008D6F03" w:rsidRDefault="007B4405">
            <w:pPr>
              <w:spacing w:after="120"/>
              <w:jc w:val="both"/>
              <w:rPr>
                <w:rFonts w:ascii="Palatino Linotype" w:eastAsia="Palatino Linotype" w:hAnsi="Palatino Linotype" w:cs="Palatino Linotype"/>
                <w:sz w:val="16"/>
                <w:szCs w:val="16"/>
              </w:rPr>
            </w:pP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lastRenderedPageBreak/>
              <w:t>02333/TOLUCA/IP/2022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16963/INFOEM/IP/RR/2022</w:t>
            </w:r>
          </w:p>
        </w:tc>
        <w:tc>
          <w:tcPr>
            <w:tcW w:w="5856" w:type="dxa"/>
          </w:tcPr>
          <w:p w:rsidR="007B4405" w:rsidRPr="008D6F03" w:rsidRDefault="00CE4C85">
            <w:pPr>
              <w:spacing w:before="240"/>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22">
              <w:r w:rsidRPr="008D6F03">
                <w:rPr>
                  <w:rFonts w:ascii="Palatino Linotype" w:eastAsia="Palatino Linotype" w:hAnsi="Palatino Linotype" w:cs="Palatino Linotype"/>
                  <w:sz w:val="16"/>
                  <w:szCs w:val="16"/>
                </w:rPr>
                <w:t>Contrato IPDM-22_IR-019_2022 versión pública.pdf</w:t>
              </w:r>
            </w:hyperlink>
            <w:r w:rsidRPr="008D6F03">
              <w:rPr>
                <w:rFonts w:ascii="Palatino Linotype" w:eastAsia="Palatino Linotype" w:hAnsi="Palatino Linotype" w:cs="Palatino Linotype"/>
                <w:sz w:val="16"/>
                <w:szCs w:val="16"/>
              </w:rPr>
              <w:t xml:space="preserve">”, el cual contiene un contrato para la "REHABILITACIÓN DE VIALIDADES URBANAS (BACHEO DE VIALIDADES CON MEZCLA ASFALTICA)" en la Delegación San Buenaventura, en versión pública y constate de 13 fojas.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23">
              <w:r w:rsidRPr="008D6F03">
                <w:rPr>
                  <w:rFonts w:ascii="Palatino Linotype" w:eastAsia="Palatino Linotype" w:hAnsi="Palatino Linotype" w:cs="Palatino Linotype"/>
                  <w:sz w:val="16"/>
                  <w:szCs w:val="16"/>
                </w:rPr>
                <w:t>Contrato IPDM-22_IR-020_2022 versión pública.pdf</w:t>
              </w:r>
            </w:hyperlink>
            <w:r w:rsidRPr="008D6F03">
              <w:rPr>
                <w:rFonts w:ascii="Palatino Linotype" w:eastAsia="Palatino Linotype" w:hAnsi="Palatino Linotype" w:cs="Palatino Linotype"/>
                <w:sz w:val="16"/>
                <w:szCs w:val="16"/>
              </w:rPr>
              <w:t xml:space="preserve">”, el cual contiene un contrato para la "REHABILITACIÓN DE VIALIDADES URBANAS (BACHEO DE VIALIDADES CON MEZCLA ASFÁLTICA)", en la Delegación </w:t>
            </w:r>
            <w:proofErr w:type="spellStart"/>
            <w:r w:rsidRPr="008D6F03">
              <w:rPr>
                <w:rFonts w:ascii="Palatino Linotype" w:eastAsia="Palatino Linotype" w:hAnsi="Palatino Linotype" w:cs="Palatino Linotype"/>
                <w:sz w:val="16"/>
                <w:szCs w:val="16"/>
              </w:rPr>
              <w:t>Tecaxic</w:t>
            </w:r>
            <w:proofErr w:type="spellEnd"/>
            <w:r w:rsidRPr="008D6F03">
              <w:rPr>
                <w:rFonts w:ascii="Palatino Linotype" w:eastAsia="Palatino Linotype" w:hAnsi="Palatino Linotype" w:cs="Palatino Linotype"/>
                <w:sz w:val="16"/>
                <w:szCs w:val="16"/>
              </w:rPr>
              <w:t xml:space="preserve"> 44, en versión pública y constate de 13 fojas.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 xml:space="preserve"> -“</w:t>
            </w:r>
            <w:hyperlink r:id="rId24">
              <w:r w:rsidRPr="008D6F03">
                <w:rPr>
                  <w:rFonts w:ascii="Palatino Linotype" w:eastAsia="Palatino Linotype" w:hAnsi="Palatino Linotype" w:cs="Palatino Linotype"/>
                  <w:sz w:val="16"/>
                  <w:szCs w:val="16"/>
                </w:rPr>
                <w:t>Contrato IPDM-22_IR-016_2022 versión pública.pdf</w:t>
              </w:r>
            </w:hyperlink>
            <w:r w:rsidRPr="008D6F03">
              <w:rPr>
                <w:rFonts w:ascii="Palatino Linotype" w:eastAsia="Palatino Linotype" w:hAnsi="Palatino Linotype" w:cs="Palatino Linotype"/>
                <w:sz w:val="16"/>
                <w:szCs w:val="16"/>
              </w:rPr>
              <w:t>”: el cual contiene un contrato para la REHABILITACIÓN DE VIALIDADES URBANAS (BACHEO DE VIALIDADES CON MEZCLA ASFÁLTICA)" en la Delegación de SANTA ANA TLAPAL TITLÁN, en versión pública y constante de 13 fojas.</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 xml:space="preserve"> -“</w:t>
            </w:r>
            <w:hyperlink r:id="rId25">
              <w:r w:rsidRPr="008D6F03">
                <w:rPr>
                  <w:rFonts w:ascii="Palatino Linotype" w:eastAsia="Palatino Linotype" w:hAnsi="Palatino Linotype" w:cs="Palatino Linotype"/>
                  <w:sz w:val="16"/>
                  <w:szCs w:val="16"/>
                </w:rPr>
                <w:t>Contrato IPDM-22_IR-018_2022 versión pública.pdf</w:t>
              </w:r>
            </w:hyperlink>
            <w:r w:rsidRPr="008D6F03">
              <w:rPr>
                <w:rFonts w:ascii="Palatino Linotype" w:eastAsia="Palatino Linotype" w:hAnsi="Palatino Linotype" w:cs="Palatino Linotype"/>
                <w:sz w:val="16"/>
                <w:szCs w:val="16"/>
              </w:rPr>
              <w:t xml:space="preserve">”, el cual contiene un contrato para la “REHABILITACIÓN DE VIALIDADES URBANAS (BACHEO </w:t>
            </w:r>
            <w:r w:rsidRPr="008D6F03">
              <w:rPr>
                <w:rFonts w:ascii="Palatino Linotype" w:eastAsia="Palatino Linotype" w:hAnsi="Palatino Linotype" w:cs="Palatino Linotype"/>
                <w:sz w:val="16"/>
                <w:szCs w:val="16"/>
              </w:rPr>
              <w:lastRenderedPageBreak/>
              <w:t xml:space="preserve">DE VIALIDADES CON MEZCLA ASFÁLTICA)" en la Delegación de Santiago Tlacotepec, en versión pública y constante de 13 fojas.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26">
              <w:r w:rsidRPr="008D6F03">
                <w:rPr>
                  <w:rFonts w:ascii="Palatino Linotype" w:eastAsia="Palatino Linotype" w:hAnsi="Palatino Linotype" w:cs="Palatino Linotype"/>
                  <w:sz w:val="16"/>
                  <w:szCs w:val="16"/>
                </w:rPr>
                <w:t>Contrato IPDM-22_IR-004_2022 versión pública.pdf</w:t>
              </w:r>
            </w:hyperlink>
            <w:r w:rsidRPr="008D6F03">
              <w:rPr>
                <w:rFonts w:ascii="Palatino Linotype" w:eastAsia="Palatino Linotype" w:hAnsi="Palatino Linotype" w:cs="Palatino Linotype"/>
                <w:sz w:val="16"/>
                <w:szCs w:val="16"/>
              </w:rPr>
              <w:t>”, el cual contiene un contrato para la "REHABILITACIÓN DE VIALIDADES URBANAS (BACHEO DE VIALIDADES CON MEZCLA ASFÁLTICA)" EN LA DELEGACIÓN DE SAN CA YET ANO MORELOS, en versión pública y contante de 13 fojas.</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27">
              <w:r w:rsidRPr="008D6F03">
                <w:rPr>
                  <w:rFonts w:ascii="Palatino Linotype" w:eastAsia="Palatino Linotype" w:hAnsi="Palatino Linotype" w:cs="Palatino Linotype"/>
                  <w:sz w:val="16"/>
                  <w:szCs w:val="16"/>
                </w:rPr>
                <w:t>Contrato IPDM-22_IR-024_2022 versión pública.pdf</w:t>
              </w:r>
            </w:hyperlink>
            <w:r w:rsidRPr="008D6F03">
              <w:rPr>
                <w:rFonts w:ascii="Palatino Linotype" w:eastAsia="Palatino Linotype" w:hAnsi="Palatino Linotype" w:cs="Palatino Linotype"/>
                <w:sz w:val="16"/>
                <w:szCs w:val="16"/>
              </w:rPr>
              <w:t xml:space="preserve">”, el cual contiene un contrato para la "REHABILITACIÓN DE VIALIDADES URBANAS (BACHEO DE VIALIDADES CON MEZCLA ASFÁLTICA)", Delegación San Lorenzo </w:t>
            </w:r>
            <w:proofErr w:type="spellStart"/>
            <w:r w:rsidRPr="008D6F03">
              <w:rPr>
                <w:rFonts w:ascii="Palatino Linotype" w:eastAsia="Palatino Linotype" w:hAnsi="Palatino Linotype" w:cs="Palatino Linotype"/>
                <w:sz w:val="16"/>
                <w:szCs w:val="16"/>
              </w:rPr>
              <w:t>Tepaltítlán</w:t>
            </w:r>
            <w:proofErr w:type="spellEnd"/>
            <w:r w:rsidRPr="008D6F03">
              <w:rPr>
                <w:rFonts w:ascii="Palatino Linotype" w:eastAsia="Palatino Linotype" w:hAnsi="Palatino Linotype" w:cs="Palatino Linotype"/>
                <w:sz w:val="16"/>
                <w:szCs w:val="16"/>
              </w:rPr>
              <w:t xml:space="preserve">, en versión pública y constante de trece fojas.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28">
              <w:r w:rsidRPr="008D6F03">
                <w:rPr>
                  <w:rFonts w:ascii="Palatino Linotype" w:eastAsia="Palatino Linotype" w:hAnsi="Palatino Linotype" w:cs="Palatino Linotype"/>
                  <w:sz w:val="16"/>
                  <w:szCs w:val="16"/>
                </w:rPr>
                <w:t>Contrato IPDM-22_IR-021_2022 versión pública.pdf</w:t>
              </w:r>
            </w:hyperlink>
            <w:r w:rsidRPr="008D6F03">
              <w:rPr>
                <w:rFonts w:ascii="Palatino Linotype" w:eastAsia="Palatino Linotype" w:hAnsi="Palatino Linotype" w:cs="Palatino Linotype"/>
                <w:sz w:val="16"/>
                <w:szCs w:val="16"/>
              </w:rPr>
              <w:t xml:space="preserve">”, el cual contiene un contrato para la "REHABILITACIÓN DE VIALIDADES URBANAS (BACHEO DE VIALIDADES CON MEZCLA </w:t>
            </w:r>
            <w:proofErr w:type="spellStart"/>
            <w:r w:rsidRPr="008D6F03">
              <w:rPr>
                <w:rFonts w:ascii="Palatino Linotype" w:eastAsia="Palatino Linotype" w:hAnsi="Palatino Linotype" w:cs="Palatino Linotype"/>
                <w:sz w:val="16"/>
                <w:szCs w:val="16"/>
              </w:rPr>
              <w:t>ASFÁtTICA</w:t>
            </w:r>
            <w:proofErr w:type="spellEnd"/>
            <w:r w:rsidRPr="008D6F03">
              <w:rPr>
                <w:rFonts w:ascii="Palatino Linotype" w:eastAsia="Palatino Linotype" w:hAnsi="Palatino Linotype" w:cs="Palatino Linotype"/>
                <w:sz w:val="16"/>
                <w:szCs w:val="16"/>
              </w:rPr>
              <w:t xml:space="preserve">)" en la Delegación Santiago </w:t>
            </w:r>
            <w:proofErr w:type="spellStart"/>
            <w:r w:rsidRPr="008D6F03">
              <w:rPr>
                <w:rFonts w:ascii="Palatino Linotype" w:eastAsia="Palatino Linotype" w:hAnsi="Palatino Linotype" w:cs="Palatino Linotype"/>
                <w:sz w:val="16"/>
                <w:szCs w:val="16"/>
              </w:rPr>
              <w:t>Tlaxomulco</w:t>
            </w:r>
            <w:proofErr w:type="spellEnd"/>
            <w:r w:rsidRPr="008D6F03">
              <w:rPr>
                <w:rFonts w:ascii="Palatino Linotype" w:eastAsia="Palatino Linotype" w:hAnsi="Palatino Linotype" w:cs="Palatino Linotype"/>
                <w:sz w:val="16"/>
                <w:szCs w:val="16"/>
              </w:rPr>
              <w:t xml:space="preserve"> 43, en versión pública y constante de trece fojas.</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29">
              <w:r w:rsidRPr="008D6F03">
                <w:rPr>
                  <w:rFonts w:ascii="Palatino Linotype" w:eastAsia="Palatino Linotype" w:hAnsi="Palatino Linotype" w:cs="Palatino Linotype"/>
                  <w:sz w:val="16"/>
                  <w:szCs w:val="16"/>
                </w:rPr>
                <w:t>Contrato IPDM-22_IR-022_2022 versión pública.pdf</w:t>
              </w:r>
            </w:hyperlink>
            <w:r w:rsidRPr="008D6F03">
              <w:rPr>
                <w:rFonts w:ascii="Palatino Linotype" w:eastAsia="Palatino Linotype" w:hAnsi="Palatino Linotype" w:cs="Palatino Linotype"/>
                <w:sz w:val="16"/>
                <w:szCs w:val="16"/>
              </w:rPr>
              <w:t>”, el cual contiene un contrato para la "REHABILITACIÓN DE VIALIDADES URBANAS (BACHEO DE VIALIDADES CON MEZCLA ASFALTICA)", Delegación El Cerrillo Vista Hermosa 47, en versión pública y constante de 13 fojas.</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0">
              <w:r w:rsidRPr="008D6F03">
                <w:rPr>
                  <w:rFonts w:ascii="Palatino Linotype" w:eastAsia="Palatino Linotype" w:hAnsi="Palatino Linotype" w:cs="Palatino Linotype"/>
                  <w:sz w:val="16"/>
                  <w:szCs w:val="16"/>
                </w:rPr>
                <w:t>Contrato IPDM-22_IR-003_2022 versión pública.pdf</w:t>
              </w:r>
            </w:hyperlink>
            <w:r w:rsidRPr="008D6F03">
              <w:rPr>
                <w:rFonts w:ascii="Palatino Linotype" w:eastAsia="Palatino Linotype" w:hAnsi="Palatino Linotype" w:cs="Palatino Linotype"/>
                <w:sz w:val="16"/>
                <w:szCs w:val="16"/>
              </w:rPr>
              <w:t xml:space="preserve">”, el cual contiene el contrato para la "REHABILITACIÓN DE VIALIDADES URBANAS (BACHEO DE VIALIDADES CON MEZCLA ASFÁLTICA)" EN LA DELEGACIÓN DE SAN CRISTÓBAL HUICHOCHITLAN, en versión pública y constante de 13 fojas.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1">
              <w:r w:rsidRPr="008D6F03">
                <w:rPr>
                  <w:rFonts w:ascii="Palatino Linotype" w:eastAsia="Palatino Linotype" w:hAnsi="Palatino Linotype" w:cs="Palatino Linotype"/>
                  <w:sz w:val="16"/>
                  <w:szCs w:val="16"/>
                </w:rPr>
                <w:t>Contrato IPDM-22_IR-017_2022 versión pública.pdf</w:t>
              </w:r>
            </w:hyperlink>
            <w:r w:rsidRPr="008D6F03">
              <w:rPr>
                <w:rFonts w:ascii="Palatino Linotype" w:eastAsia="Palatino Linotype" w:hAnsi="Palatino Linotype" w:cs="Palatino Linotype"/>
                <w:sz w:val="16"/>
                <w:szCs w:val="16"/>
              </w:rPr>
              <w:t xml:space="preserve">”, el cual contiene el contrato para "REHABILITACIÓN DE VIALIDADES URBANAS (BACHEO DE VIALIDADES CON MEZCLA ASFÁLTICA)" en la Delegación Morelos, en versión pública y constante de 13 fojas.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2">
              <w:r w:rsidRPr="008D6F03">
                <w:rPr>
                  <w:rFonts w:ascii="Palatino Linotype" w:eastAsia="Palatino Linotype" w:hAnsi="Palatino Linotype" w:cs="Palatino Linotype"/>
                  <w:sz w:val="16"/>
                  <w:szCs w:val="16"/>
                </w:rPr>
                <w:t>Contrato IPDM-22_IR-023_2022 versión pública.pdf</w:t>
              </w:r>
            </w:hyperlink>
            <w:r w:rsidRPr="008D6F03">
              <w:rPr>
                <w:rFonts w:ascii="Palatino Linotype" w:eastAsia="Palatino Linotype" w:hAnsi="Palatino Linotype" w:cs="Palatino Linotype"/>
                <w:sz w:val="16"/>
                <w:szCs w:val="16"/>
              </w:rPr>
              <w:t xml:space="preserve">”, el cual contiene el contrato para la "REHABILITACIÓN DE VIALIDADES URBANAS (BACHEO OE VIALIDADES CON MEZCLA ASFALTICA)", Delegación Sauces 48, en versión pública y constante de trece fojas.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3">
              <w:r w:rsidRPr="008D6F03">
                <w:rPr>
                  <w:rFonts w:ascii="Palatino Linotype" w:eastAsia="Palatino Linotype" w:hAnsi="Palatino Linotype" w:cs="Palatino Linotype"/>
                  <w:sz w:val="16"/>
                  <w:szCs w:val="16"/>
                </w:rPr>
                <w:t>Acta 690.pdf</w:t>
              </w:r>
            </w:hyperlink>
            <w:r w:rsidRPr="008D6F03">
              <w:rPr>
                <w:rFonts w:ascii="Palatino Linotype" w:eastAsia="Palatino Linotype" w:hAnsi="Palatino Linotype" w:cs="Palatino Linotype"/>
                <w:sz w:val="16"/>
                <w:szCs w:val="16"/>
              </w:rPr>
              <w:t>”, el cual contiene el acta de la sexcentésima nonagésima sesión extraordinaria del Comité de Transparencia del Ayuntamiento de Toluca, a través del cual se aprobó el acuerdo número AT/CT/01/2022 a través del cual se aprobó la versión pública de los documentos para dar respuesta a la solicitud 02333/TOLUCA/IP/2022.</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4">
              <w:r w:rsidRPr="008D6F03">
                <w:rPr>
                  <w:rFonts w:ascii="Palatino Linotype" w:eastAsia="Palatino Linotype" w:hAnsi="Palatino Linotype" w:cs="Palatino Linotype"/>
                  <w:sz w:val="16"/>
                  <w:szCs w:val="16"/>
                </w:rPr>
                <w:t>Respuesta 2333.pdf</w:t>
              </w:r>
            </w:hyperlink>
            <w:r w:rsidRPr="008D6F03">
              <w:rPr>
                <w:rFonts w:ascii="Palatino Linotype" w:eastAsia="Palatino Linotype" w:hAnsi="Palatino Linotype" w:cs="Palatino Linotype"/>
                <w:sz w:val="16"/>
                <w:szCs w:val="16"/>
              </w:rPr>
              <w:t>”, el cual contiene la respuesta de la Unidad de Transparencia del Ayuntamiento de Toluca, por medio del cual señaló que la Dirección General de Desarrollo Urbano, Ordenamiento Territorial y Obras Públicas, informó que hace entrega de los contratos "REHABILITACIÓN DE VIALIDADES URBANAS (BACHEO OE VIALIDADES CON MEZCLA ASFALTICA)", en versión pública autorizada por medio del acuerdo número AT/CT/01/2022 en la sexcentésima nonagésima sesión extraordinaria del Comité de Transparencia del Ayuntamiento de Toluca de fecha 14 de noviembre del año 2022.</w:t>
            </w:r>
          </w:p>
          <w:p w:rsidR="007B4405" w:rsidRPr="008D6F03" w:rsidRDefault="00CE4C85">
            <w:pPr>
              <w:spacing w:after="120"/>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-Por otro lado informó que respecto de plan de Bacheo solicitado, informó que después de hacer una búsqueda exhaustiva y razonable dentro de sus archivos, no es de su competencia generar, poseer y/o administrar el plan de bacheo solicitado, de conformidad con el fundamento legal que señaló.</w:t>
            </w: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lastRenderedPageBreak/>
              <w:t>02350/TOLUCA/IP/2022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17005/INFOEM/IP/RR/2022</w:t>
            </w:r>
          </w:p>
        </w:tc>
        <w:tc>
          <w:tcPr>
            <w:tcW w:w="5856" w:type="dxa"/>
          </w:tcPr>
          <w:p w:rsidR="007B4405" w:rsidRPr="008D6F03" w:rsidRDefault="00CE4C85">
            <w:pPr>
              <w:spacing w:before="240"/>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5">
              <w:r w:rsidRPr="008D6F03">
                <w:rPr>
                  <w:rFonts w:ascii="Palatino Linotype" w:eastAsia="Palatino Linotype" w:hAnsi="Palatino Linotype" w:cs="Palatino Linotype"/>
                  <w:sz w:val="16"/>
                  <w:szCs w:val="16"/>
                </w:rPr>
                <w:t>Respuesta 2350.pdf</w:t>
              </w:r>
            </w:hyperlink>
            <w:r w:rsidRPr="008D6F03">
              <w:rPr>
                <w:rFonts w:ascii="Palatino Linotype" w:eastAsia="Palatino Linotype" w:hAnsi="Palatino Linotype" w:cs="Palatino Linotype"/>
                <w:sz w:val="16"/>
                <w:szCs w:val="16"/>
              </w:rPr>
              <w:t xml:space="preserve">”, el cual contiene la respuesta de la Unidad de Transparencia del Ayuntamiento de Toluca, por medio del cual señaló que la </w:t>
            </w:r>
            <w:r w:rsidRPr="008D6F03">
              <w:rPr>
                <w:rFonts w:ascii="Palatino Linotype" w:eastAsia="Palatino Linotype" w:hAnsi="Palatino Linotype" w:cs="Palatino Linotype"/>
                <w:sz w:val="16"/>
                <w:szCs w:val="16"/>
              </w:rPr>
              <w:lastRenderedPageBreak/>
              <w:t>Dirección General de Desarrollo Urbano, Ordenamiento Territorial y Obras Públicas, informó que respecto de plan de Bacheo solicitado, después de hacer una búsqueda exhaustiva y razonable dentro de sus archivos, no es de su competencia generar, poseer y/o administrar el plan de bacheo solicitado, de conformidad con el Manual General de Organización del Sector Central de la Administración Pública Municipal de Toluca 2022-2024 en la codificación 209010000.</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6">
              <w:r w:rsidRPr="008D6F03">
                <w:rPr>
                  <w:rFonts w:ascii="Palatino Linotype" w:eastAsia="Palatino Linotype" w:hAnsi="Palatino Linotype" w:cs="Palatino Linotype"/>
                  <w:sz w:val="16"/>
                  <w:szCs w:val="16"/>
                </w:rPr>
                <w:t>Acta 691.pdf</w:t>
              </w:r>
            </w:hyperlink>
            <w:r w:rsidRPr="008D6F03">
              <w:rPr>
                <w:rFonts w:ascii="Palatino Linotype" w:eastAsia="Palatino Linotype" w:hAnsi="Palatino Linotype" w:cs="Palatino Linotype"/>
                <w:sz w:val="16"/>
                <w:szCs w:val="16"/>
              </w:rPr>
              <w:t>”, el cual contiene el acta de la sexcentésima nonagésima primera sesión extraordinaria del Comité de Transparencia del Ayuntamiento de Toluca, a través del cual se aprobó el acuerdo número AT/CT/01/2022 a través del cual se aprobó la clasificación de forma parcial los datos personales contenidos en las invitaciones a empresas contratistas y acta de fallo para dar respuesta a la solicitud 02350/TOLUCA/IP/2022.</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7">
              <w:r w:rsidRPr="008D6F03">
                <w:rPr>
                  <w:rFonts w:ascii="Palatino Linotype" w:eastAsia="Palatino Linotype" w:hAnsi="Palatino Linotype" w:cs="Palatino Linotype"/>
                  <w:sz w:val="16"/>
                  <w:szCs w:val="16"/>
                </w:rPr>
                <w:t xml:space="preserve">Anexo </w:t>
              </w:r>
              <w:proofErr w:type="spellStart"/>
              <w:r w:rsidRPr="008D6F03">
                <w:rPr>
                  <w:rFonts w:ascii="Palatino Linotype" w:eastAsia="Palatino Linotype" w:hAnsi="Palatino Linotype" w:cs="Palatino Linotype"/>
                  <w:sz w:val="16"/>
                  <w:szCs w:val="16"/>
                </w:rPr>
                <w:t>Saimex</w:t>
              </w:r>
              <w:proofErr w:type="spellEnd"/>
              <w:r w:rsidRPr="008D6F03">
                <w:rPr>
                  <w:rFonts w:ascii="Palatino Linotype" w:eastAsia="Palatino Linotype" w:hAnsi="Palatino Linotype" w:cs="Palatino Linotype"/>
                  <w:sz w:val="16"/>
                  <w:szCs w:val="16"/>
                </w:rPr>
                <w:t xml:space="preserve"> 2350 actas de fallo.pdf</w:t>
              </w:r>
            </w:hyperlink>
            <w:r w:rsidRPr="008D6F03">
              <w:rPr>
                <w:rFonts w:ascii="Palatino Linotype" w:eastAsia="Palatino Linotype" w:hAnsi="Palatino Linotype" w:cs="Palatino Linotype"/>
                <w:sz w:val="16"/>
                <w:szCs w:val="16"/>
              </w:rPr>
              <w:t xml:space="preserve">”, el cual contiene las actas de fallo de los concursos de invitación restringida para la "REHABILITACIÓN DE VIALIDADES URBANAS (BACHEO OE VIALIDADES CON MEZCLA ASFALTICA)", de diferentes comunidades del Ayuntamiento de Toluca, constante de </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8">
              <w:r w:rsidRPr="008D6F03">
                <w:rPr>
                  <w:rFonts w:ascii="Palatino Linotype" w:eastAsia="Palatino Linotype" w:hAnsi="Palatino Linotype" w:cs="Palatino Linotype"/>
                  <w:sz w:val="16"/>
                  <w:szCs w:val="16"/>
                </w:rPr>
                <w:t xml:space="preserve">Anexo </w:t>
              </w:r>
              <w:proofErr w:type="spellStart"/>
              <w:r w:rsidRPr="008D6F03">
                <w:rPr>
                  <w:rFonts w:ascii="Palatino Linotype" w:eastAsia="Palatino Linotype" w:hAnsi="Palatino Linotype" w:cs="Palatino Linotype"/>
                  <w:sz w:val="16"/>
                  <w:szCs w:val="16"/>
                </w:rPr>
                <w:t>Saimex</w:t>
              </w:r>
              <w:proofErr w:type="spellEnd"/>
              <w:r w:rsidRPr="008D6F03">
                <w:rPr>
                  <w:rFonts w:ascii="Palatino Linotype" w:eastAsia="Palatino Linotype" w:hAnsi="Palatino Linotype" w:cs="Palatino Linotype"/>
                  <w:sz w:val="16"/>
                  <w:szCs w:val="16"/>
                </w:rPr>
                <w:t xml:space="preserve"> 2350 invitaciones.pdf</w:t>
              </w:r>
            </w:hyperlink>
            <w:r w:rsidRPr="008D6F03">
              <w:rPr>
                <w:rFonts w:ascii="Palatino Linotype" w:eastAsia="Palatino Linotype" w:hAnsi="Palatino Linotype" w:cs="Palatino Linotype"/>
                <w:sz w:val="16"/>
                <w:szCs w:val="16"/>
              </w:rPr>
              <w:t xml:space="preserve">”, el cual contiene las invitaciones realizadas por la Directora de Obras Públicas del Ayuntamiento de Toluca, para participar en el concurso de invitación restringida para llevar los trabajos de obra pública denominados "REHABILITACIÓN DE VIALIDADES URBANAS (BACHEO OE VIALIDADES CON MEZCLA ASFALTICA)", de diferentes comunidades del Ayuntamiento de Toluca, constante de 71 fojas. </w:t>
            </w:r>
          </w:p>
          <w:p w:rsidR="007B4405" w:rsidRPr="008D6F03" w:rsidRDefault="007B4405">
            <w:pPr>
              <w:spacing w:after="120"/>
              <w:jc w:val="both"/>
              <w:rPr>
                <w:rFonts w:ascii="Palatino Linotype" w:eastAsia="Palatino Linotype" w:hAnsi="Palatino Linotype" w:cs="Palatino Linotype"/>
                <w:sz w:val="16"/>
                <w:szCs w:val="16"/>
              </w:rPr>
            </w:pPr>
          </w:p>
        </w:tc>
      </w:tr>
    </w:tbl>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lastRenderedPageBreak/>
        <w:t xml:space="preserve">4. Interposición de los recursos de revisión. </w:t>
      </w:r>
      <w:r w:rsidRPr="008D6F03">
        <w:rPr>
          <w:rFonts w:ascii="Palatino Linotype" w:eastAsia="Palatino Linotype" w:hAnsi="Palatino Linotype" w:cs="Palatino Linotype"/>
        </w:rPr>
        <w:t xml:space="preserve">Inconforme la persona solicitante con la respuesta emitida por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en fecha </w:t>
      </w:r>
      <w:r w:rsidRPr="008D6F03">
        <w:rPr>
          <w:rFonts w:ascii="Palatino Linotype" w:eastAsia="Palatino Linotype" w:hAnsi="Palatino Linotype" w:cs="Palatino Linotype"/>
          <w:b/>
        </w:rPr>
        <w:t>veintidós y veintiocho de noviembre de dos mil veintidós</w:t>
      </w:r>
      <w:r w:rsidRPr="008D6F03">
        <w:rPr>
          <w:rFonts w:ascii="Palatino Linotype" w:eastAsia="Palatino Linotype" w:hAnsi="Palatino Linotype" w:cs="Palatino Linotype"/>
        </w:rPr>
        <w:t>, interpuso recursos de revisión a través del SAIMEX expresando lo siguiente:</w:t>
      </w:r>
    </w:p>
    <w:tbl>
      <w:tblPr>
        <w:tblStyle w:val="af3"/>
        <w:tblW w:w="92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3119"/>
        <w:gridCol w:w="3021"/>
      </w:tblGrid>
      <w:tr w:rsidR="007B4405" w:rsidRPr="008D6F03">
        <w:tc>
          <w:tcPr>
            <w:tcW w:w="3119" w:type="dxa"/>
            <w:shd w:val="clear" w:color="auto" w:fill="D9D9D9"/>
          </w:tcPr>
          <w:p w:rsidR="007B4405" w:rsidRPr="008D6F03" w:rsidRDefault="00CE4C85">
            <w:pPr>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Número de solicitud</w:t>
            </w:r>
          </w:p>
        </w:tc>
        <w:tc>
          <w:tcPr>
            <w:tcW w:w="3119" w:type="dxa"/>
            <w:shd w:val="clear" w:color="auto" w:fill="D9D9D9"/>
            <w:vAlign w:val="center"/>
          </w:tcPr>
          <w:p w:rsidR="007B4405" w:rsidRPr="008D6F03" w:rsidRDefault="00CE4C85">
            <w:pPr>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Acto impugnado.</w:t>
            </w:r>
          </w:p>
        </w:tc>
        <w:tc>
          <w:tcPr>
            <w:tcW w:w="3021" w:type="dxa"/>
            <w:shd w:val="clear" w:color="auto" w:fill="D9D9D9"/>
            <w:vAlign w:val="center"/>
          </w:tcPr>
          <w:p w:rsidR="007B4405" w:rsidRPr="008D6F03" w:rsidRDefault="00CE4C85">
            <w:pPr>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Motivos de inconformidad.</w:t>
            </w:r>
          </w:p>
        </w:tc>
      </w:tr>
      <w:tr w:rsidR="007B4405" w:rsidRPr="008D6F03">
        <w:tc>
          <w:tcPr>
            <w:tcW w:w="3119"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02193/TOLUCA/IP/2022</w:t>
            </w:r>
          </w:p>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b/>
                <w:sz w:val="20"/>
                <w:szCs w:val="20"/>
              </w:rPr>
              <w:t>16799/INFOEM/IP/RR/2022</w:t>
            </w:r>
          </w:p>
        </w:tc>
        <w:tc>
          <w:tcPr>
            <w:tcW w:w="3119"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“LA RESPUESTA QUE FUE ENTREGADA DE MANERA INCOMPLETA POR LA UNIDAD DE TRANSPARENCIA.” (sic)</w:t>
            </w:r>
          </w:p>
        </w:tc>
        <w:tc>
          <w:tcPr>
            <w:tcW w:w="3021"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“LA RESPUESTA QUE FUE ENTREGADA DE MANERA INCOMPLETA POR LA UNIDAD DE TRANSPARENCIA.” (sic)</w:t>
            </w:r>
          </w:p>
        </w:tc>
      </w:tr>
      <w:tr w:rsidR="007B4405" w:rsidRPr="008D6F03">
        <w:tc>
          <w:tcPr>
            <w:tcW w:w="3119"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02191/TOLUCA/IP/2022</w:t>
            </w:r>
          </w:p>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b/>
                <w:sz w:val="20"/>
                <w:szCs w:val="20"/>
              </w:rPr>
              <w:t>16801/INFOEM/IP/RR/2022</w:t>
            </w:r>
          </w:p>
        </w:tc>
        <w:tc>
          <w:tcPr>
            <w:tcW w:w="3119"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“LA RESPUESTA QUE FUE ENTREGADA DE MANERA INCOMPLETA POR LA UNIDAD DE TRANSPARENCIA.” (sic)</w:t>
            </w:r>
          </w:p>
        </w:tc>
        <w:tc>
          <w:tcPr>
            <w:tcW w:w="3021"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“LA RESPUESTA QUE FUE ENTREGADA DE MANERA INCOMPLETA POR LA UNIDAD DE TRANSPARENCIA.” (sic)</w:t>
            </w:r>
          </w:p>
        </w:tc>
      </w:tr>
      <w:tr w:rsidR="007B4405" w:rsidRPr="008D6F03">
        <w:tc>
          <w:tcPr>
            <w:tcW w:w="3119"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02176/TOLUCA/IP/2022</w:t>
            </w:r>
          </w:p>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lastRenderedPageBreak/>
              <w:t>16816/INFOEM/IP/RR/2022</w:t>
            </w:r>
          </w:p>
        </w:tc>
        <w:tc>
          <w:tcPr>
            <w:tcW w:w="3119"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lastRenderedPageBreak/>
              <w:t xml:space="preserve">“LA RESPUESTA QUE FUE ENTREGADA DE MANERA </w:t>
            </w:r>
            <w:r w:rsidRPr="008D6F03">
              <w:rPr>
                <w:rFonts w:ascii="Palatino Linotype" w:eastAsia="Palatino Linotype" w:hAnsi="Palatino Linotype" w:cs="Palatino Linotype"/>
                <w:i/>
                <w:sz w:val="20"/>
                <w:szCs w:val="20"/>
              </w:rPr>
              <w:lastRenderedPageBreak/>
              <w:t>INCOMPLETA POR LA UNIDAD DE TRANSPARENCIA.” (sic)</w:t>
            </w:r>
          </w:p>
        </w:tc>
        <w:tc>
          <w:tcPr>
            <w:tcW w:w="3021"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lastRenderedPageBreak/>
              <w:t xml:space="preserve">“LA RESPUESTA QUE FUE ENTREGADA DE MANERA </w:t>
            </w:r>
            <w:r w:rsidRPr="008D6F03">
              <w:rPr>
                <w:rFonts w:ascii="Palatino Linotype" w:eastAsia="Palatino Linotype" w:hAnsi="Palatino Linotype" w:cs="Palatino Linotype"/>
                <w:i/>
                <w:sz w:val="20"/>
                <w:szCs w:val="20"/>
              </w:rPr>
              <w:lastRenderedPageBreak/>
              <w:t>INCOMPLETA POR LA UNIDAD DE TRANSPARENCIA.” (sic)</w:t>
            </w:r>
          </w:p>
        </w:tc>
      </w:tr>
      <w:tr w:rsidR="007B4405" w:rsidRPr="008D6F03">
        <w:tc>
          <w:tcPr>
            <w:tcW w:w="3119"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lastRenderedPageBreak/>
              <w:t>02174/TOLUCA/IP/2022</w:t>
            </w:r>
          </w:p>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16818/INFOEM/IP/RR/2022</w:t>
            </w:r>
          </w:p>
        </w:tc>
        <w:tc>
          <w:tcPr>
            <w:tcW w:w="3119"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“LA RESPUESTA QUE FUE ENTREGADA DE MANERA INCOMPLETA POR LA UNIDAD DE TRANSPARENCIA.” (sic)</w:t>
            </w:r>
          </w:p>
        </w:tc>
        <w:tc>
          <w:tcPr>
            <w:tcW w:w="3021"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“LA RESPUESTA QUE FUE ENTREGADA DE MANERA INCOMPLETA POR LA UNIDAD DE TRANSPARENCIA.” (sic)</w:t>
            </w:r>
          </w:p>
        </w:tc>
      </w:tr>
      <w:tr w:rsidR="007B4405" w:rsidRPr="008D6F03">
        <w:tc>
          <w:tcPr>
            <w:tcW w:w="3119"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02333/TOLUCA/IP/2022</w:t>
            </w:r>
          </w:p>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16963/INFOEM/IP/RR/2022</w:t>
            </w:r>
          </w:p>
        </w:tc>
        <w:tc>
          <w:tcPr>
            <w:tcW w:w="3119"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La respuesta proporcionada de manera incompleta por parte de la Unidad de Transparencia</w:t>
            </w:r>
          </w:p>
        </w:tc>
        <w:tc>
          <w:tcPr>
            <w:tcW w:w="3021" w:type="dxa"/>
            <w:shd w:val="clear" w:color="auto" w:fill="auto"/>
          </w:tcPr>
          <w:p w:rsidR="007B4405" w:rsidRPr="008D6F03" w:rsidRDefault="00CE4C85">
            <w:pPr>
              <w:jc w:val="both"/>
              <w:rPr>
                <w:rFonts w:ascii="Palatino Linotype" w:eastAsia="Palatino Linotype" w:hAnsi="Palatino Linotype" w:cs="Palatino Linotype"/>
                <w:color w:val="FF0000"/>
              </w:rPr>
            </w:pPr>
            <w:r w:rsidRPr="008D6F03">
              <w:rPr>
                <w:rFonts w:ascii="Palatino Linotype" w:eastAsia="Palatino Linotype" w:hAnsi="Palatino Linotype" w:cs="Palatino Linotype"/>
                <w:i/>
                <w:sz w:val="20"/>
                <w:szCs w:val="20"/>
              </w:rPr>
              <w:t xml:space="preserve">No me entregaron todo lo que solicite, aun cuando existen los recibos de </w:t>
            </w:r>
            <w:proofErr w:type="spellStart"/>
            <w:r w:rsidRPr="008D6F03">
              <w:rPr>
                <w:rFonts w:ascii="Palatino Linotype" w:eastAsia="Palatino Linotype" w:hAnsi="Palatino Linotype" w:cs="Palatino Linotype"/>
                <w:i/>
                <w:sz w:val="20"/>
                <w:szCs w:val="20"/>
              </w:rPr>
              <w:t>nomina</w:t>
            </w:r>
            <w:proofErr w:type="spellEnd"/>
            <w:r w:rsidRPr="008D6F03">
              <w:rPr>
                <w:rFonts w:ascii="Palatino Linotype" w:eastAsia="Palatino Linotype" w:hAnsi="Palatino Linotype" w:cs="Palatino Linotype"/>
                <w:i/>
                <w:sz w:val="20"/>
                <w:szCs w:val="20"/>
              </w:rPr>
              <w:t xml:space="preserve"> y los contratos por este despacho y que ya están publicados en IPOMEX y los recibos en el OSFEM.</w:t>
            </w:r>
          </w:p>
        </w:tc>
      </w:tr>
      <w:tr w:rsidR="007B4405" w:rsidRPr="008D6F03">
        <w:tc>
          <w:tcPr>
            <w:tcW w:w="3119"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02350/TOLUCA/IP/2022</w:t>
            </w:r>
          </w:p>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17005/INFOEM/IP/RR/2022</w:t>
            </w:r>
          </w:p>
        </w:tc>
        <w:tc>
          <w:tcPr>
            <w:tcW w:w="3119"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LA RESPUESTA PROPORCIONADA</w:t>
            </w:r>
          </w:p>
        </w:tc>
        <w:tc>
          <w:tcPr>
            <w:tcW w:w="3021" w:type="dxa"/>
            <w:shd w:val="clear" w:color="auto" w:fill="auto"/>
          </w:tcPr>
          <w:p w:rsidR="007B4405" w:rsidRPr="008D6F03" w:rsidRDefault="00CE4C85">
            <w:pPr>
              <w:jc w:val="both"/>
              <w:rPr>
                <w:rFonts w:ascii="Palatino Linotype" w:eastAsia="Palatino Linotype" w:hAnsi="Palatino Linotype" w:cs="Palatino Linotype"/>
                <w:i/>
                <w:sz w:val="20"/>
                <w:szCs w:val="20"/>
              </w:rPr>
            </w:pPr>
            <w:r w:rsidRPr="008D6F03">
              <w:rPr>
                <w:rFonts w:ascii="Palatino Linotype" w:eastAsia="Palatino Linotype" w:hAnsi="Palatino Linotype" w:cs="Palatino Linotype"/>
                <w:i/>
                <w:sz w:val="20"/>
                <w:szCs w:val="20"/>
              </w:rPr>
              <w:t>NO ME ENTREGARON TODA LA INFORMACIÓN</w:t>
            </w:r>
          </w:p>
        </w:tc>
      </w:tr>
    </w:tbl>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5. Turno.</w:t>
      </w:r>
      <w:r w:rsidRPr="008D6F03">
        <w:rPr>
          <w:rFonts w:ascii="Palatino Linotype" w:eastAsia="Palatino Linotype" w:hAnsi="Palatino Linotype" w:cs="Palatino Linotype"/>
        </w:rPr>
        <w:t xml:space="preserve"> De conformidad con el artículo 185 fracción I de la Ley de Transparencia y Acceso a la Información Pública del Estado de México y Municipios vigente, los presentes recursos de revisión se turnaron por el sistema electrónico del Instituto de Transparencia, Acceso a la Información Pública y Protección de Datos Personales del Estado de México y Municipios, a los Comisionados</w:t>
      </w:r>
      <w:r w:rsidRPr="008D6F03">
        <w:rPr>
          <w:rFonts w:ascii="Palatino Linotype" w:eastAsia="Palatino Linotype" w:hAnsi="Palatino Linotype" w:cs="Palatino Linotype"/>
          <w:b/>
        </w:rPr>
        <w:t xml:space="preserve"> Guadalupe Ramírez Peña, Luis Gustavo Parra Noriega, María de Rosario Mejía Ayala y José Vilchis Martínez, </w:t>
      </w:r>
      <w:r w:rsidRPr="008D6F03">
        <w:rPr>
          <w:rFonts w:ascii="Palatino Linotype" w:eastAsia="Palatino Linotype" w:hAnsi="Palatino Linotype" w:cs="Palatino Linotype"/>
        </w:rPr>
        <w:t xml:space="preserve">a efecto de que analizaran sobre su admisión o su </w:t>
      </w:r>
      <w:proofErr w:type="spellStart"/>
      <w:r w:rsidRPr="008D6F03">
        <w:rPr>
          <w:rFonts w:ascii="Palatino Linotype" w:eastAsia="Palatino Linotype" w:hAnsi="Palatino Linotype" w:cs="Palatino Linotype"/>
        </w:rPr>
        <w:t>desechamiento</w:t>
      </w:r>
      <w:proofErr w:type="spellEnd"/>
      <w:r w:rsidRPr="008D6F03">
        <w:rPr>
          <w:rFonts w:ascii="Palatino Linotype" w:eastAsia="Palatino Linotype" w:hAnsi="Palatino Linotype" w:cs="Palatino Linotype"/>
        </w:rPr>
        <w:t xml:space="preserve">. </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6. Admisión de los Recursos de Revisión. </w:t>
      </w:r>
      <w:r w:rsidRPr="008D6F03">
        <w:rPr>
          <w:rFonts w:ascii="Palatino Linotype" w:eastAsia="Palatino Linotype" w:hAnsi="Palatino Linotype" w:cs="Palatino Linotype"/>
        </w:rPr>
        <w:t xml:space="preserve">En fecha </w:t>
      </w:r>
      <w:r w:rsidRPr="008D6F03">
        <w:rPr>
          <w:rFonts w:ascii="Palatino Linotype" w:eastAsia="Palatino Linotype" w:hAnsi="Palatino Linotype" w:cs="Palatino Linotype"/>
          <w:b/>
        </w:rPr>
        <w:t>veinticinco, veintiocho y treinta de noviembre, dos y cinco de diciembre, todas las fechas de dos mil veintidós</w:t>
      </w:r>
      <w:r w:rsidRPr="008D6F03">
        <w:rPr>
          <w:rFonts w:ascii="Palatino Linotype" w:eastAsia="Palatino Linotype" w:hAnsi="Palatino Linotype" w:cs="Palatino Linotype"/>
        </w:rPr>
        <w:t>, en términos de lo dispuesto en el artículo 185 fracciones I, II y IV de la Ley de Transparencia y Acceso a la Información Pública del Estado de México y Municipios, se admitieron a trámite los recursos de revisión al rubro indicado.</w:t>
      </w:r>
    </w:p>
    <w:p w:rsidR="007B4405" w:rsidRPr="008D6F03" w:rsidRDefault="00CE4C85">
      <w:pPr>
        <w:pBdr>
          <w:top w:val="nil"/>
          <w:left w:val="nil"/>
          <w:bottom w:val="nil"/>
          <w:right w:val="nil"/>
          <w:between w:val="nil"/>
        </w:pBdr>
        <w:spacing w:before="240" w:after="240" w:line="360" w:lineRule="auto"/>
        <w:jc w:val="both"/>
      </w:pPr>
      <w:r w:rsidRPr="008D6F03">
        <w:rPr>
          <w:rFonts w:ascii="Palatino Linotype" w:eastAsia="Palatino Linotype" w:hAnsi="Palatino Linotype" w:cs="Palatino Linotype"/>
          <w:b/>
        </w:rPr>
        <w:lastRenderedPageBreak/>
        <w:t xml:space="preserve">7. Acumulación de los recursos de revisión. </w:t>
      </w:r>
      <w:r w:rsidRPr="008D6F03">
        <w:rPr>
          <w:rFonts w:ascii="Palatino Linotype" w:eastAsia="Palatino Linotype" w:hAnsi="Palatino Linotype" w:cs="Palatino Linotype"/>
        </w:rPr>
        <w:t xml:space="preserve">Al respecto cabe señalar, que el Pleno de este Instituto, en la Cuadragésima Cuarta y Quinta Sesión Ordinaria, celebradas el siete y catorce de diciembre de dos mil veintidós, respectivamente, ordenó la acumulación de los expedientes citados, a efecto de que la Comisionada </w:t>
      </w:r>
      <w:r w:rsidRPr="008D6F03">
        <w:rPr>
          <w:rFonts w:ascii="Palatino Linotype" w:eastAsia="Palatino Linotype" w:hAnsi="Palatino Linotype" w:cs="Palatino Linotype"/>
          <w:b/>
        </w:rPr>
        <w:t xml:space="preserve">Guadalupe Ramírez Peña </w:t>
      </w:r>
      <w:r w:rsidRPr="008D6F03">
        <w:rPr>
          <w:rFonts w:ascii="Palatino Linotype" w:eastAsia="Palatino Linotype" w:hAnsi="Palatino Linotype" w:cs="Palatino Linotype"/>
        </w:rPr>
        <w:t>formulara y presentara el proyecto de resolución correspondiente, de conformidad con lo dispuesto en el artículo 18 del Código de Procedimientos Administrativos del Estado de México, de aplicación supletoria en términos del artículo 195 de la Ley de Transparencia y Acceso a la Información Pública del Estado de México y Municipios, que a la letra señalan:  </w:t>
      </w:r>
    </w:p>
    <w:p w:rsidR="007B4405" w:rsidRPr="008D6F03" w:rsidRDefault="00CE4C85">
      <w:pPr>
        <w:pBdr>
          <w:top w:val="nil"/>
          <w:left w:val="nil"/>
          <w:bottom w:val="nil"/>
          <w:right w:val="nil"/>
          <w:between w:val="nil"/>
        </w:pBdr>
        <w:spacing w:before="120" w:after="120"/>
        <w:ind w:left="851" w:right="902"/>
        <w:jc w:val="both"/>
      </w:pPr>
      <w:r w:rsidRPr="008D6F03">
        <w:rPr>
          <w:rFonts w:ascii="Palatino Linotype" w:eastAsia="Palatino Linotype" w:hAnsi="Palatino Linotype" w:cs="Palatino Linotype"/>
          <w:b/>
          <w:i/>
          <w:sz w:val="22"/>
          <w:szCs w:val="22"/>
        </w:rPr>
        <w:t>Código de Procedimientos Administrativos del Estado de México</w:t>
      </w:r>
    </w:p>
    <w:p w:rsidR="007B4405" w:rsidRPr="008D6F03" w:rsidRDefault="00CE4C85">
      <w:pPr>
        <w:pBdr>
          <w:top w:val="nil"/>
          <w:left w:val="nil"/>
          <w:bottom w:val="nil"/>
          <w:right w:val="nil"/>
          <w:between w:val="nil"/>
        </w:pBdr>
        <w:spacing w:before="120" w:after="120"/>
        <w:ind w:left="851" w:right="902"/>
        <w:jc w:val="both"/>
      </w:pPr>
      <w:r w:rsidRPr="008D6F03">
        <w:rPr>
          <w:rFonts w:ascii="Palatino Linotype" w:eastAsia="Palatino Linotype" w:hAnsi="Palatino Linotype" w:cs="Palatino Linotype"/>
          <w:b/>
          <w:i/>
          <w:sz w:val="22"/>
          <w:szCs w:val="22"/>
        </w:rPr>
        <w:t>“Artículo 18.-</w:t>
      </w:r>
      <w:r w:rsidRPr="008D6F03">
        <w:rPr>
          <w:rFonts w:ascii="Palatino Linotype" w:eastAsia="Palatino Linotype" w:hAnsi="Palatino Linotype" w:cs="Palatino Linotype"/>
          <w:i/>
          <w:sz w:val="22"/>
          <w:szCs w:val="22"/>
        </w:rPr>
        <w:t xml:space="preserve"> </w:t>
      </w:r>
      <w:r w:rsidRPr="008D6F03">
        <w:rPr>
          <w:rFonts w:ascii="Palatino Linotype" w:eastAsia="Palatino Linotype" w:hAnsi="Palatino Linotype" w:cs="Palatino Linotype"/>
          <w:b/>
          <w:i/>
          <w:sz w:val="22"/>
          <w:szCs w:val="22"/>
        </w:rPr>
        <w:t>La autoridad administrativa o el Tribunal acordarán la acumulación de los expedientes del procedimiento y proceso administrativo que ante ellos se sigan, de oficio</w:t>
      </w:r>
      <w:r w:rsidRPr="008D6F03">
        <w:rPr>
          <w:rFonts w:ascii="Palatino Linotype" w:eastAsia="Palatino Linotype" w:hAnsi="Palatino Linotype" w:cs="Palatino Linotype"/>
          <w:i/>
          <w:sz w:val="22"/>
          <w:szCs w:val="22"/>
        </w:rPr>
        <w:t xml:space="preserve"> o a petición de parte, </w:t>
      </w:r>
      <w:r w:rsidRPr="008D6F03">
        <w:rPr>
          <w:rFonts w:ascii="Palatino Linotype" w:eastAsia="Palatino Linotype" w:hAnsi="Palatino Linotype" w:cs="Palatino Linotype"/>
          <w:b/>
          <w:i/>
          <w:sz w:val="22"/>
          <w:szCs w:val="22"/>
        </w:rPr>
        <w:t>cuando las partes</w:t>
      </w:r>
      <w:r w:rsidRPr="008D6F03">
        <w:rPr>
          <w:rFonts w:ascii="Palatino Linotype" w:eastAsia="Palatino Linotype" w:hAnsi="Palatino Linotype" w:cs="Palatino Linotype"/>
          <w:i/>
          <w:sz w:val="22"/>
          <w:szCs w:val="22"/>
        </w:rPr>
        <w:t xml:space="preserve"> o los actos administrativos sean iguales, se trate de actos conexos o </w:t>
      </w:r>
      <w:r w:rsidRPr="008D6F03">
        <w:rPr>
          <w:rFonts w:ascii="Palatino Linotype" w:eastAsia="Palatino Linotype" w:hAnsi="Palatino Linotype" w:cs="Palatino Linotype"/>
          <w:b/>
          <w:i/>
          <w:sz w:val="22"/>
          <w:szCs w:val="22"/>
        </w:rPr>
        <w:t>resulte conveniente el trámite unificado de los asuntos, para evitar la emisión de resoluciones contradictorias</w:t>
      </w:r>
      <w:r w:rsidRPr="008D6F03">
        <w:rPr>
          <w:rFonts w:ascii="Palatino Linotype" w:eastAsia="Palatino Linotype" w:hAnsi="Palatino Linotype" w:cs="Palatino Linotype"/>
          <w:i/>
          <w:sz w:val="22"/>
          <w:szCs w:val="22"/>
        </w:rPr>
        <w:t>. La misma regla se aplicará, en lo conducente, para la separación de los expedientes.”</w:t>
      </w:r>
    </w:p>
    <w:p w:rsidR="007B4405" w:rsidRPr="008D6F03" w:rsidRDefault="00CE4C85">
      <w:pPr>
        <w:pBdr>
          <w:top w:val="nil"/>
          <w:left w:val="nil"/>
          <w:bottom w:val="nil"/>
          <w:right w:val="nil"/>
          <w:between w:val="nil"/>
        </w:pBdr>
        <w:spacing w:before="120" w:after="120"/>
        <w:ind w:left="851" w:right="902"/>
        <w:jc w:val="both"/>
      </w:pPr>
      <w:r w:rsidRPr="008D6F03">
        <w:rPr>
          <w:rFonts w:ascii="Palatino Linotype" w:eastAsia="Palatino Linotype" w:hAnsi="Palatino Linotype" w:cs="Palatino Linotype"/>
          <w:b/>
          <w:i/>
          <w:sz w:val="22"/>
          <w:szCs w:val="22"/>
        </w:rPr>
        <w:t>Ley de Transparencia y Acceso a la Información Pública del Estado de México y Municipios</w:t>
      </w:r>
    </w:p>
    <w:p w:rsidR="007B4405" w:rsidRPr="008D6F03" w:rsidRDefault="00CE4C85">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“Artículo 195.-</w:t>
      </w:r>
      <w:r w:rsidRPr="008D6F03">
        <w:rPr>
          <w:rFonts w:ascii="Palatino Linotype" w:eastAsia="Palatino Linotype" w:hAnsi="Palatino Linotype" w:cs="Palatino Linotype"/>
          <w:i/>
          <w:sz w:val="22"/>
          <w:szCs w:val="22"/>
        </w:rPr>
        <w:t xml:space="preserve"> En la tramitación del recurso de revisión se aplicará supletoriamente las disposiciones contenidas en el Código de Procedimientos Administrativos del Estado de México.”</w:t>
      </w:r>
    </w:p>
    <w:p w:rsidR="007B4405" w:rsidRPr="008D6F03" w:rsidRDefault="007B4405">
      <w:pPr>
        <w:pBdr>
          <w:top w:val="nil"/>
          <w:left w:val="nil"/>
          <w:bottom w:val="nil"/>
          <w:right w:val="nil"/>
          <w:between w:val="nil"/>
        </w:pBdr>
        <w:spacing w:before="120" w:after="120"/>
        <w:ind w:left="851" w:right="902"/>
        <w:jc w:val="both"/>
      </w:pP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Acuerdo de acumulación que se hizo del conocimiento a la parte solicitante, a través del Sistema de Acceso a la Información Mexiquense. </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8. Manifestaciones. </w:t>
      </w:r>
      <w:r w:rsidRPr="008D6F03">
        <w:rPr>
          <w:rFonts w:ascii="Palatino Linotype" w:eastAsia="Palatino Linotype" w:hAnsi="Palatino Linotype" w:cs="Palatino Linotype"/>
        </w:rPr>
        <w:t xml:space="preserve">De las constancias que obran en los expedientes electrónico del SAIMEX se desprende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omitió realizar manifestaciones.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 xml:space="preserve">Por su parte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en fecha dieciocho de noviembre del año 2022, en ambos recursos de revisión, remitió su informe justificado, a través de los siguientes archivos electrónicos:</w:t>
      </w:r>
    </w:p>
    <w:tbl>
      <w:tblPr>
        <w:tblStyle w:val="af4"/>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7B4405" w:rsidRPr="008D6F03">
        <w:tc>
          <w:tcPr>
            <w:tcW w:w="2972" w:type="dxa"/>
            <w:shd w:val="clear" w:color="auto" w:fill="A6A6A6"/>
          </w:tcPr>
          <w:p w:rsidR="007B4405" w:rsidRPr="008D6F03" w:rsidRDefault="00CE4C85">
            <w:pPr>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Número de solicitud</w:t>
            </w:r>
          </w:p>
        </w:tc>
        <w:tc>
          <w:tcPr>
            <w:tcW w:w="5856" w:type="dxa"/>
            <w:shd w:val="clear" w:color="auto" w:fill="A6A6A6"/>
          </w:tcPr>
          <w:p w:rsidR="007B4405" w:rsidRPr="008D6F03" w:rsidRDefault="00CE4C85">
            <w:pPr>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Informe justificado</w:t>
            </w: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02193/TOLUCA/IP/2022</w:t>
            </w:r>
          </w:p>
          <w:p w:rsidR="007B4405" w:rsidRPr="008D6F03" w:rsidRDefault="00CE4C85">
            <w:pPr>
              <w:jc w:val="center"/>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16799/INFOEM/IP/RR/2022</w:t>
            </w:r>
          </w:p>
        </w:tc>
        <w:tc>
          <w:tcPr>
            <w:tcW w:w="5856" w:type="dxa"/>
          </w:tcPr>
          <w:p w:rsidR="007B4405" w:rsidRPr="008D6F03" w:rsidRDefault="007B4405">
            <w:pPr>
              <w:spacing w:before="240"/>
              <w:jc w:val="both"/>
              <w:rPr>
                <w:rFonts w:ascii="Palatino Linotype" w:eastAsia="Palatino Linotype" w:hAnsi="Palatino Linotype" w:cs="Palatino Linotype"/>
                <w:sz w:val="16"/>
                <w:szCs w:val="16"/>
              </w:rPr>
            </w:pPr>
          </w:p>
          <w:p w:rsidR="007B4405" w:rsidRPr="008D6F03" w:rsidRDefault="00CE4C85">
            <w:pPr>
              <w:spacing w:after="240"/>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39">
              <w:r w:rsidRPr="008D6F03">
                <w:rPr>
                  <w:rFonts w:ascii="Palatino Linotype" w:eastAsia="Palatino Linotype" w:hAnsi="Palatino Linotype" w:cs="Palatino Linotype"/>
                  <w:sz w:val="16"/>
                  <w:szCs w:val="16"/>
                </w:rPr>
                <w:t>RR 16799.pdf</w:t>
              </w:r>
            </w:hyperlink>
            <w:r w:rsidRPr="008D6F03">
              <w:rPr>
                <w:rFonts w:ascii="Palatino Linotype" w:eastAsia="Palatino Linotype" w:hAnsi="Palatino Linotype" w:cs="Palatino Linotype"/>
                <w:sz w:val="16"/>
                <w:szCs w:val="16"/>
              </w:rPr>
              <w:t>”, 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02191/TOLUCA/IP/2022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16801/INFOEM/IP/RR/2022</w:t>
            </w:r>
          </w:p>
        </w:tc>
        <w:tc>
          <w:tcPr>
            <w:tcW w:w="5856" w:type="dxa"/>
          </w:tcPr>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 xml:space="preserve"> “</w:t>
            </w:r>
            <w:hyperlink r:id="rId40">
              <w:r w:rsidRPr="008D6F03">
                <w:rPr>
                  <w:rFonts w:ascii="Palatino Linotype" w:eastAsia="Palatino Linotype" w:hAnsi="Palatino Linotype" w:cs="Palatino Linotype"/>
                  <w:sz w:val="16"/>
                  <w:szCs w:val="16"/>
                </w:rPr>
                <w:t>RR 16801.pdf</w:t>
              </w:r>
            </w:hyperlink>
            <w:r w:rsidRPr="008D6F03">
              <w:rPr>
                <w:rFonts w:ascii="Palatino Linotype" w:eastAsia="Palatino Linotype" w:hAnsi="Palatino Linotype" w:cs="Palatino Linotype"/>
                <w:sz w:val="16"/>
                <w:szCs w:val="16"/>
              </w:rPr>
              <w:t>”, 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p w:rsidR="007B4405" w:rsidRPr="008D6F03" w:rsidRDefault="007B4405">
            <w:pPr>
              <w:spacing w:after="240"/>
              <w:jc w:val="both"/>
              <w:rPr>
                <w:rFonts w:ascii="Palatino Linotype" w:eastAsia="Palatino Linotype" w:hAnsi="Palatino Linotype" w:cs="Palatino Linotype"/>
                <w:sz w:val="16"/>
                <w:szCs w:val="16"/>
              </w:rPr>
            </w:pP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02176/TOLUCA/IP/2022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16816/INFOEM/IP/RR/2022</w:t>
            </w:r>
          </w:p>
        </w:tc>
        <w:tc>
          <w:tcPr>
            <w:tcW w:w="5856" w:type="dxa"/>
          </w:tcPr>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41">
              <w:r w:rsidRPr="008D6F03">
                <w:rPr>
                  <w:rFonts w:ascii="Palatino Linotype" w:eastAsia="Palatino Linotype" w:hAnsi="Palatino Linotype" w:cs="Palatino Linotype"/>
                  <w:sz w:val="16"/>
                  <w:szCs w:val="16"/>
                </w:rPr>
                <w:t>RR 16816.pdf</w:t>
              </w:r>
            </w:hyperlink>
            <w:r w:rsidRPr="008D6F03">
              <w:rPr>
                <w:rFonts w:ascii="Palatino Linotype" w:eastAsia="Palatino Linotype" w:hAnsi="Palatino Linotype" w:cs="Palatino Linotype"/>
                <w:sz w:val="16"/>
                <w:szCs w:val="16"/>
              </w:rPr>
              <w:t>”, 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p w:rsidR="007B4405" w:rsidRPr="008D6F03" w:rsidRDefault="007B4405">
            <w:pPr>
              <w:spacing w:after="240"/>
              <w:jc w:val="both"/>
              <w:rPr>
                <w:rFonts w:ascii="Palatino Linotype" w:eastAsia="Palatino Linotype" w:hAnsi="Palatino Linotype" w:cs="Palatino Linotype"/>
                <w:sz w:val="16"/>
                <w:szCs w:val="16"/>
              </w:rPr>
            </w:pP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02174/TOLUCA/IP/2022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16818/INFOEM/IP/RR/2022</w:t>
            </w:r>
          </w:p>
        </w:tc>
        <w:tc>
          <w:tcPr>
            <w:tcW w:w="5856" w:type="dxa"/>
          </w:tcPr>
          <w:p w:rsidR="007B4405" w:rsidRPr="008D6F03" w:rsidRDefault="007B4405">
            <w:pPr>
              <w:jc w:val="both"/>
              <w:rPr>
                <w:rFonts w:ascii="Palatino Linotype" w:eastAsia="Palatino Linotype" w:hAnsi="Palatino Linotype" w:cs="Palatino Linotype"/>
                <w:sz w:val="16"/>
                <w:szCs w:val="16"/>
              </w:rPr>
            </w:pP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42">
              <w:r w:rsidRPr="008D6F03">
                <w:rPr>
                  <w:rFonts w:ascii="Palatino Linotype" w:eastAsia="Palatino Linotype" w:hAnsi="Palatino Linotype" w:cs="Palatino Linotype"/>
                  <w:sz w:val="16"/>
                  <w:szCs w:val="16"/>
                </w:rPr>
                <w:t>RR 16818.pdf</w:t>
              </w:r>
            </w:hyperlink>
            <w:r w:rsidRPr="008D6F03">
              <w:rPr>
                <w:rFonts w:ascii="Palatino Linotype" w:eastAsia="Palatino Linotype" w:hAnsi="Palatino Linotype" w:cs="Palatino Linotype"/>
                <w:sz w:val="16"/>
                <w:szCs w:val="16"/>
              </w:rPr>
              <w:t>”, 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p w:rsidR="007B4405" w:rsidRPr="008D6F03" w:rsidRDefault="007B4405">
            <w:pPr>
              <w:spacing w:after="120"/>
              <w:jc w:val="both"/>
              <w:rPr>
                <w:rFonts w:ascii="Palatino Linotype" w:eastAsia="Palatino Linotype" w:hAnsi="Palatino Linotype" w:cs="Palatino Linotype"/>
                <w:sz w:val="16"/>
                <w:szCs w:val="16"/>
              </w:rPr>
            </w:pP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lastRenderedPageBreak/>
              <w:t>02333/TOLUCA/IP/2022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16963/INFOEM/IP/RR/2022</w:t>
            </w:r>
          </w:p>
        </w:tc>
        <w:tc>
          <w:tcPr>
            <w:tcW w:w="5856" w:type="dxa"/>
          </w:tcPr>
          <w:p w:rsidR="007B4405" w:rsidRPr="008D6F03" w:rsidRDefault="00924E20">
            <w:pPr>
              <w:jc w:val="both"/>
              <w:rPr>
                <w:rFonts w:ascii="Palatino Linotype" w:eastAsia="Palatino Linotype" w:hAnsi="Palatino Linotype" w:cs="Palatino Linotype"/>
                <w:sz w:val="16"/>
                <w:szCs w:val="16"/>
              </w:rPr>
            </w:pPr>
            <w:hyperlink r:id="rId43">
              <w:r w:rsidR="00CE4C85" w:rsidRPr="008D6F03">
                <w:rPr>
                  <w:rFonts w:ascii="Palatino Linotype" w:eastAsia="Palatino Linotype" w:hAnsi="Palatino Linotype" w:cs="Palatino Linotype"/>
                  <w:sz w:val="16"/>
                  <w:szCs w:val="16"/>
                </w:rPr>
                <w:t>RR 16963.pdf</w:t>
              </w:r>
            </w:hyperlink>
            <w:r w:rsidR="00CE4C85" w:rsidRPr="008D6F03">
              <w:rPr>
                <w:rFonts w:ascii="Palatino Linotype" w:eastAsia="Palatino Linotype" w:hAnsi="Palatino Linotype" w:cs="Palatino Linotype"/>
                <w:sz w:val="16"/>
                <w:szCs w:val="16"/>
              </w:rPr>
              <w:t xml:space="preserve"> y </w:t>
            </w:r>
            <w:hyperlink r:id="rId44">
              <w:r w:rsidR="00CE4C85" w:rsidRPr="008D6F03">
                <w:rPr>
                  <w:rFonts w:ascii="Palatino Linotype" w:eastAsia="Palatino Linotype" w:hAnsi="Palatino Linotype" w:cs="Palatino Linotype"/>
                  <w:sz w:val="16"/>
                  <w:szCs w:val="16"/>
                </w:rPr>
                <w:t>RR 16963.1.pdf</w:t>
              </w:r>
            </w:hyperlink>
            <w:r w:rsidR="00CE4C85" w:rsidRPr="008D6F03">
              <w:rPr>
                <w:rFonts w:ascii="Palatino Linotype" w:eastAsia="Palatino Linotype" w:hAnsi="Palatino Linotype" w:cs="Palatino Linotype"/>
                <w:sz w:val="16"/>
                <w:szCs w:val="16"/>
              </w:rPr>
              <w:t>, el cual contienen el mismo documento con la diferencia del número de oficio, en donde el SUJETO OBLIGADO, además de ratificar su respuesta, agregó:</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drawing>
                <wp:inline distT="0" distB="0" distL="0" distR="0">
                  <wp:extent cx="3421209" cy="2120095"/>
                  <wp:effectExtent l="0" t="0" r="0" b="0"/>
                  <wp:docPr id="10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l="42222" t="39502" r="25084" b="32834"/>
                          <a:stretch>
                            <a:fillRect/>
                          </a:stretch>
                        </pic:blipFill>
                        <pic:spPr>
                          <a:xfrm>
                            <a:off x="0" y="0"/>
                            <a:ext cx="3421209" cy="2120095"/>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 xml:space="preserve">Sin embargo, el SUJETO OBLIGADO no adjunto ningún documento denominado “programa de Bacheo”. </w:t>
            </w:r>
          </w:p>
          <w:p w:rsidR="007B4405" w:rsidRPr="008D6F03" w:rsidRDefault="007B4405">
            <w:pPr>
              <w:spacing w:after="120"/>
              <w:jc w:val="both"/>
              <w:rPr>
                <w:rFonts w:ascii="Palatino Linotype" w:eastAsia="Palatino Linotype" w:hAnsi="Palatino Linotype" w:cs="Palatino Linotype"/>
                <w:sz w:val="16"/>
                <w:szCs w:val="16"/>
              </w:rPr>
            </w:pPr>
          </w:p>
        </w:tc>
      </w:tr>
      <w:tr w:rsidR="007B4405" w:rsidRPr="008D6F03">
        <w:tc>
          <w:tcPr>
            <w:tcW w:w="2972" w:type="dxa"/>
            <w:vAlign w:val="center"/>
          </w:tcPr>
          <w:p w:rsidR="007B4405" w:rsidRPr="008D6F03" w:rsidRDefault="00CE4C85">
            <w:pPr>
              <w:spacing w:before="120" w:after="120"/>
              <w:jc w:val="center"/>
              <w:rPr>
                <w:rFonts w:ascii="Palatino Linotype" w:eastAsia="Palatino Linotype" w:hAnsi="Palatino Linotype" w:cs="Palatino Linotype"/>
                <w:b/>
                <w:sz w:val="20"/>
                <w:szCs w:val="20"/>
              </w:rPr>
            </w:pPr>
            <w:r w:rsidRPr="008D6F03">
              <w:rPr>
                <w:rFonts w:ascii="Palatino Linotype" w:eastAsia="Palatino Linotype" w:hAnsi="Palatino Linotype" w:cs="Palatino Linotype"/>
                <w:b/>
                <w:sz w:val="20"/>
                <w:szCs w:val="20"/>
              </w:rPr>
              <w:t>02350/TOLUCA/IP/2022</w:t>
            </w:r>
          </w:p>
          <w:p w:rsidR="007B4405" w:rsidRPr="008D6F03" w:rsidRDefault="00CE4C85">
            <w:pPr>
              <w:jc w:val="both"/>
              <w:rPr>
                <w:rFonts w:ascii="Palatino Linotype" w:eastAsia="Palatino Linotype" w:hAnsi="Palatino Linotype" w:cs="Palatino Linotype"/>
                <w:b/>
                <w:i/>
                <w:sz w:val="20"/>
                <w:szCs w:val="20"/>
              </w:rPr>
            </w:pPr>
            <w:r w:rsidRPr="008D6F03">
              <w:rPr>
                <w:rFonts w:ascii="Palatino Linotype" w:eastAsia="Palatino Linotype" w:hAnsi="Palatino Linotype" w:cs="Palatino Linotype"/>
                <w:b/>
                <w:sz w:val="20"/>
                <w:szCs w:val="20"/>
              </w:rPr>
              <w:t>17005/INFOEM/IP/RR/2022</w:t>
            </w:r>
          </w:p>
        </w:tc>
        <w:tc>
          <w:tcPr>
            <w:tcW w:w="5856" w:type="dxa"/>
          </w:tcPr>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46">
              <w:r w:rsidRPr="008D6F03">
                <w:rPr>
                  <w:rFonts w:ascii="Palatino Linotype" w:eastAsia="Palatino Linotype" w:hAnsi="Palatino Linotype" w:cs="Palatino Linotype"/>
                  <w:sz w:val="16"/>
                  <w:szCs w:val="16"/>
                </w:rPr>
                <w:t>RR 17005.pdf</w:t>
              </w:r>
            </w:hyperlink>
            <w:r w:rsidRPr="008D6F03">
              <w:rPr>
                <w:rFonts w:ascii="Palatino Linotype" w:eastAsia="Palatino Linotype" w:hAnsi="Palatino Linotype" w:cs="Palatino Linotype"/>
                <w:sz w:val="16"/>
                <w:szCs w:val="16"/>
              </w:rPr>
              <w:t>”, en donde el SUJETO OBLIGADO, además de ratificar su respuesta, agregó:</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drawing>
                <wp:inline distT="0" distB="0" distL="0" distR="0">
                  <wp:extent cx="3551096" cy="2119189"/>
                  <wp:effectExtent l="0" t="0" r="0" b="0"/>
                  <wp:docPr id="10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l="42222" t="39502" r="25084" b="32834"/>
                          <a:stretch>
                            <a:fillRect/>
                          </a:stretch>
                        </pic:blipFill>
                        <pic:spPr>
                          <a:xfrm>
                            <a:off x="0" y="0"/>
                            <a:ext cx="3551096" cy="2119189"/>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47">
              <w:r w:rsidRPr="008D6F03">
                <w:rPr>
                  <w:rFonts w:ascii="Palatino Linotype" w:eastAsia="Palatino Linotype" w:hAnsi="Palatino Linotype" w:cs="Palatino Linotype"/>
                  <w:sz w:val="16"/>
                  <w:szCs w:val="16"/>
                </w:rPr>
                <w:t>Proceso constructivo bacheo a presión (1).</w:t>
              </w:r>
              <w:proofErr w:type="spellStart"/>
              <w:r w:rsidRPr="008D6F03">
                <w:rPr>
                  <w:rFonts w:ascii="Palatino Linotype" w:eastAsia="Palatino Linotype" w:hAnsi="Palatino Linotype" w:cs="Palatino Linotype"/>
                  <w:sz w:val="16"/>
                  <w:szCs w:val="16"/>
                </w:rPr>
                <w:t>pdf</w:t>
              </w:r>
              <w:proofErr w:type="spellEnd"/>
            </w:hyperlink>
            <w:r w:rsidRPr="008D6F03">
              <w:rPr>
                <w:rFonts w:ascii="Palatino Linotype" w:eastAsia="Palatino Linotype" w:hAnsi="Palatino Linotype" w:cs="Palatino Linotype"/>
                <w:sz w:val="16"/>
                <w:szCs w:val="16"/>
              </w:rPr>
              <w:t>”, el cual contiene el documento denominado proceso constructivo de bacheo a impresión, como se observa a continuación:</w:t>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lastRenderedPageBreak/>
              <w:t xml:space="preserve"> </w:t>
            </w:r>
            <w:r w:rsidRPr="008D6F03">
              <w:rPr>
                <w:rFonts w:ascii="Palatino Linotype" w:eastAsia="Palatino Linotype" w:hAnsi="Palatino Linotype" w:cs="Palatino Linotype"/>
                <w:noProof/>
                <w:sz w:val="16"/>
                <w:szCs w:val="16"/>
                <w:lang w:eastAsia="es-MX"/>
              </w:rPr>
              <w:drawing>
                <wp:inline distT="0" distB="0" distL="0" distR="0">
                  <wp:extent cx="3605210" cy="3736941"/>
                  <wp:effectExtent l="0" t="0" r="0" b="0"/>
                  <wp:docPr id="10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a:srcRect l="37348" t="17682" r="22446" b="10632"/>
                          <a:stretch>
                            <a:fillRect/>
                          </a:stretch>
                        </pic:blipFill>
                        <pic:spPr>
                          <a:xfrm>
                            <a:off x="0" y="0"/>
                            <a:ext cx="3605210" cy="3736941"/>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lastRenderedPageBreak/>
              <w:drawing>
                <wp:inline distT="0" distB="0" distL="0" distR="0">
                  <wp:extent cx="3620673" cy="3573549"/>
                  <wp:effectExtent l="0" t="0" r="0" b="0"/>
                  <wp:docPr id="10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9"/>
                          <a:srcRect l="42223" t="12414" r="28148" b="21156"/>
                          <a:stretch>
                            <a:fillRect/>
                          </a:stretch>
                        </pic:blipFill>
                        <pic:spPr>
                          <a:xfrm>
                            <a:off x="0" y="0"/>
                            <a:ext cx="3620673" cy="3573549"/>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drawing>
                <wp:inline distT="0" distB="0" distL="0" distR="0">
                  <wp:extent cx="3574449" cy="3485559"/>
                  <wp:effectExtent l="0" t="0" r="0" b="0"/>
                  <wp:docPr id="10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l="42324" t="21821" r="28155" b="11187"/>
                          <a:stretch>
                            <a:fillRect/>
                          </a:stretch>
                        </pic:blipFill>
                        <pic:spPr>
                          <a:xfrm>
                            <a:off x="0" y="0"/>
                            <a:ext cx="3574449" cy="3485559"/>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lastRenderedPageBreak/>
              <w:drawing>
                <wp:inline distT="0" distB="0" distL="0" distR="0">
                  <wp:extent cx="3609668" cy="3144868"/>
                  <wp:effectExtent l="0" t="0" r="0" b="0"/>
                  <wp:docPr id="10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1"/>
                          <a:srcRect l="41798" t="21820" r="27098" b="8179"/>
                          <a:stretch>
                            <a:fillRect/>
                          </a:stretch>
                        </pic:blipFill>
                        <pic:spPr>
                          <a:xfrm>
                            <a:off x="0" y="0"/>
                            <a:ext cx="3609668" cy="3144868"/>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drawing>
                <wp:inline distT="0" distB="0" distL="0" distR="0">
                  <wp:extent cx="3606342" cy="3815186"/>
                  <wp:effectExtent l="0" t="0" r="0" b="0"/>
                  <wp:docPr id="10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2"/>
                          <a:srcRect l="42014" t="21632" r="27408" b="10047"/>
                          <a:stretch>
                            <a:fillRect/>
                          </a:stretch>
                        </pic:blipFill>
                        <pic:spPr>
                          <a:xfrm>
                            <a:off x="0" y="0"/>
                            <a:ext cx="3606342" cy="3815186"/>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lastRenderedPageBreak/>
              <w:drawing>
                <wp:inline distT="0" distB="0" distL="0" distR="0">
                  <wp:extent cx="3572846" cy="3574222"/>
                  <wp:effectExtent l="0" t="0" r="0" b="0"/>
                  <wp:docPr id="10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3"/>
                          <a:srcRect l="42224" t="23701" r="27511" b="7983"/>
                          <a:stretch>
                            <a:fillRect/>
                          </a:stretch>
                        </pic:blipFill>
                        <pic:spPr>
                          <a:xfrm>
                            <a:off x="0" y="0"/>
                            <a:ext cx="3572846" cy="3574222"/>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sz w:val="16"/>
                <w:szCs w:val="16"/>
              </w:rPr>
              <w:t>“</w:t>
            </w:r>
            <w:hyperlink r:id="rId54">
              <w:r w:rsidRPr="008D6F03">
                <w:rPr>
                  <w:rFonts w:ascii="Palatino Linotype" w:eastAsia="Palatino Linotype" w:hAnsi="Palatino Linotype" w:cs="Palatino Linotype"/>
                  <w:sz w:val="16"/>
                  <w:szCs w:val="16"/>
                </w:rPr>
                <w:t>Descripción del proceso constructivo.pdf</w:t>
              </w:r>
            </w:hyperlink>
            <w:r w:rsidRPr="008D6F03">
              <w:rPr>
                <w:rFonts w:ascii="Palatino Linotype" w:eastAsia="Palatino Linotype" w:hAnsi="Palatino Linotype" w:cs="Palatino Linotype"/>
                <w:sz w:val="16"/>
                <w:szCs w:val="16"/>
              </w:rPr>
              <w:t>”, el cual contiene la descripción del proceso constructivo bacheo a impresión, como se observa a continuación:</w:t>
            </w:r>
          </w:p>
          <w:p w:rsidR="007B4405" w:rsidRPr="008D6F03" w:rsidRDefault="007B4405">
            <w:pPr>
              <w:jc w:val="both"/>
              <w:rPr>
                <w:rFonts w:ascii="Palatino Linotype" w:eastAsia="Palatino Linotype" w:hAnsi="Palatino Linotype" w:cs="Palatino Linotype"/>
                <w:sz w:val="16"/>
                <w:szCs w:val="16"/>
              </w:rPr>
            </w:pP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drawing>
                <wp:inline distT="0" distB="0" distL="0" distR="0">
                  <wp:extent cx="3576884" cy="3176515"/>
                  <wp:effectExtent l="0" t="0" r="0" b="0"/>
                  <wp:docPr id="10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5"/>
                          <a:srcRect l="35870" t="12227" r="20221" b="8559"/>
                          <a:stretch>
                            <a:fillRect/>
                          </a:stretch>
                        </pic:blipFill>
                        <pic:spPr>
                          <a:xfrm>
                            <a:off x="0" y="0"/>
                            <a:ext cx="3576884" cy="3176515"/>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lastRenderedPageBreak/>
              <w:drawing>
                <wp:inline distT="0" distB="0" distL="0" distR="0">
                  <wp:extent cx="3584055" cy="3762960"/>
                  <wp:effectExtent l="0" t="0" r="0" b="0"/>
                  <wp:docPr id="10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6"/>
                          <a:srcRect l="34495" t="15989" r="28370" b="6299"/>
                          <a:stretch>
                            <a:fillRect/>
                          </a:stretch>
                        </pic:blipFill>
                        <pic:spPr>
                          <a:xfrm>
                            <a:off x="0" y="0"/>
                            <a:ext cx="3584055" cy="3762960"/>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drawing>
                <wp:inline distT="0" distB="0" distL="0" distR="0">
                  <wp:extent cx="3609489" cy="3193099"/>
                  <wp:effectExtent l="0" t="0" r="0" b="0"/>
                  <wp:docPr id="1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7"/>
                          <a:srcRect l="34812" t="14859" r="19269" b="5734"/>
                          <a:stretch>
                            <a:fillRect/>
                          </a:stretch>
                        </pic:blipFill>
                        <pic:spPr>
                          <a:xfrm>
                            <a:off x="0" y="0"/>
                            <a:ext cx="3609489" cy="3193099"/>
                          </a:xfrm>
                          <a:prstGeom prst="rect">
                            <a:avLst/>
                          </a:prstGeom>
                          <a:ln/>
                        </pic:spPr>
                      </pic:pic>
                    </a:graphicData>
                  </a:graphic>
                </wp:inline>
              </w:drawing>
            </w:r>
          </w:p>
          <w:p w:rsidR="007B4405" w:rsidRPr="008D6F03" w:rsidRDefault="007B4405">
            <w:pPr>
              <w:jc w:val="both"/>
              <w:rPr>
                <w:rFonts w:ascii="Palatino Linotype" w:eastAsia="Palatino Linotype" w:hAnsi="Palatino Linotype" w:cs="Palatino Linotype"/>
                <w:sz w:val="16"/>
                <w:szCs w:val="16"/>
              </w:rPr>
            </w:pP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lastRenderedPageBreak/>
              <w:drawing>
                <wp:inline distT="0" distB="0" distL="0" distR="0">
                  <wp:extent cx="3563828" cy="3701809"/>
                  <wp:effectExtent l="0" t="0" r="0" b="0"/>
                  <wp:docPr id="11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8"/>
                          <a:srcRect l="35128" t="11852" r="18423" b="4516"/>
                          <a:stretch>
                            <a:fillRect/>
                          </a:stretch>
                        </pic:blipFill>
                        <pic:spPr>
                          <a:xfrm>
                            <a:off x="0" y="0"/>
                            <a:ext cx="3563828" cy="3701809"/>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lastRenderedPageBreak/>
              <w:drawing>
                <wp:inline distT="0" distB="0" distL="0" distR="0">
                  <wp:extent cx="3556575" cy="4105502"/>
                  <wp:effectExtent l="0" t="0" r="0" b="0"/>
                  <wp:docPr id="11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9"/>
                          <a:srcRect l="34822" t="11663" r="17981" b="5150"/>
                          <a:stretch>
                            <a:fillRect/>
                          </a:stretch>
                        </pic:blipFill>
                        <pic:spPr>
                          <a:xfrm>
                            <a:off x="0" y="0"/>
                            <a:ext cx="3556575" cy="4105502"/>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drawing>
                <wp:inline distT="0" distB="0" distL="0" distR="0">
                  <wp:extent cx="3588741" cy="3129625"/>
                  <wp:effectExtent l="0" t="0" r="0" b="0"/>
                  <wp:docPr id="11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l="37356" t="12603" r="21275" b="8930"/>
                          <a:stretch>
                            <a:fillRect/>
                          </a:stretch>
                        </pic:blipFill>
                        <pic:spPr>
                          <a:xfrm>
                            <a:off x="0" y="0"/>
                            <a:ext cx="3588741" cy="3129625"/>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16"/>
                <w:szCs w:val="16"/>
              </w:rPr>
            </w:pPr>
            <w:r w:rsidRPr="008D6F03">
              <w:rPr>
                <w:rFonts w:ascii="Palatino Linotype" w:eastAsia="Palatino Linotype" w:hAnsi="Palatino Linotype" w:cs="Palatino Linotype"/>
                <w:noProof/>
                <w:sz w:val="16"/>
                <w:szCs w:val="16"/>
                <w:lang w:eastAsia="es-MX"/>
              </w:rPr>
              <w:lastRenderedPageBreak/>
              <w:drawing>
                <wp:inline distT="0" distB="0" distL="0" distR="0">
                  <wp:extent cx="3551154" cy="3504058"/>
                  <wp:effectExtent l="0" t="0" r="0" b="0"/>
                  <wp:docPr id="11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1"/>
                          <a:srcRect l="37776" t="16928" r="21487" b="4416"/>
                          <a:stretch>
                            <a:fillRect/>
                          </a:stretch>
                        </pic:blipFill>
                        <pic:spPr>
                          <a:xfrm>
                            <a:off x="0" y="0"/>
                            <a:ext cx="3551154" cy="3504058"/>
                          </a:xfrm>
                          <a:prstGeom prst="rect">
                            <a:avLst/>
                          </a:prstGeom>
                          <a:ln/>
                        </pic:spPr>
                      </pic:pic>
                    </a:graphicData>
                  </a:graphic>
                </wp:inline>
              </w:drawing>
            </w:r>
          </w:p>
          <w:p w:rsidR="007B4405" w:rsidRPr="008D6F03" w:rsidRDefault="007B4405">
            <w:pPr>
              <w:spacing w:after="240"/>
              <w:jc w:val="both"/>
              <w:rPr>
                <w:rFonts w:ascii="Palatino Linotype" w:eastAsia="Palatino Linotype" w:hAnsi="Palatino Linotype" w:cs="Palatino Linotype"/>
                <w:sz w:val="16"/>
                <w:szCs w:val="16"/>
              </w:rPr>
            </w:pPr>
          </w:p>
        </w:tc>
      </w:tr>
    </w:tbl>
    <w:p w:rsidR="007B4405" w:rsidRPr="008D6F03" w:rsidRDefault="007B4405">
      <w:pPr>
        <w:spacing w:line="360" w:lineRule="auto"/>
        <w:jc w:val="both"/>
        <w:rPr>
          <w:rFonts w:ascii="Palatino Linotype" w:eastAsia="Palatino Linotype" w:hAnsi="Palatino Linotype" w:cs="Palatino Linotype"/>
          <w:color w:val="000000"/>
        </w:rPr>
      </w:pPr>
    </w:p>
    <w:p w:rsidR="007B4405" w:rsidRPr="008D6F03" w:rsidRDefault="00CE4C85">
      <w:pP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 xml:space="preserve">Archivos que se pusieron a la vista de la </w:t>
      </w:r>
      <w:r w:rsidRPr="008D6F03">
        <w:rPr>
          <w:rFonts w:ascii="Palatino Linotype" w:eastAsia="Palatino Linotype" w:hAnsi="Palatino Linotype" w:cs="Palatino Linotype"/>
          <w:b/>
          <w:color w:val="000000"/>
        </w:rPr>
        <w:t>RECURRENTE</w:t>
      </w:r>
      <w:r w:rsidRPr="008D6F03">
        <w:rPr>
          <w:rFonts w:ascii="Palatino Linotype" w:eastAsia="Palatino Linotype" w:hAnsi="Palatino Linotype" w:cs="Palatino Linotype"/>
          <w:color w:val="000000"/>
        </w:rPr>
        <w:t>,</w:t>
      </w:r>
      <w:r w:rsidRPr="008D6F03">
        <w:rPr>
          <w:rFonts w:ascii="Palatino Linotype" w:eastAsia="Palatino Linotype" w:hAnsi="Palatino Linotype" w:cs="Palatino Linotype"/>
        </w:rPr>
        <w:t xml:space="preserve"> </w:t>
      </w:r>
      <w:r w:rsidRPr="008D6F03">
        <w:rPr>
          <w:rFonts w:ascii="Palatino Linotype" w:eastAsia="Palatino Linotype" w:hAnsi="Palatino Linotype" w:cs="Palatino Linotype"/>
          <w:color w:val="000000"/>
        </w:rPr>
        <w:t xml:space="preserve">en términos de la fracción III del artículo 185 de la Ley de Transparencia y Acceso a la Información Pública del Estado de México y Municipios; para que en el término de tres días manifestara lo que a su derecho convenga; sin que la </w:t>
      </w:r>
      <w:r w:rsidRPr="008D6F03">
        <w:rPr>
          <w:rFonts w:ascii="Palatino Linotype" w:eastAsia="Palatino Linotype" w:hAnsi="Palatino Linotype" w:cs="Palatino Linotype"/>
          <w:b/>
          <w:color w:val="000000"/>
        </w:rPr>
        <w:t>RECURRENTE</w:t>
      </w:r>
      <w:r w:rsidRPr="008D6F03">
        <w:rPr>
          <w:rFonts w:ascii="Palatino Linotype" w:eastAsia="Palatino Linotype" w:hAnsi="Palatino Linotype" w:cs="Palatino Linotype"/>
          <w:color w:val="000000"/>
        </w:rPr>
        <w:t xml:space="preserve"> hiciera manifestación alguna.</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9. Ampliación del término para resolver</w:t>
      </w:r>
      <w:r w:rsidRPr="008D6F03">
        <w:rPr>
          <w:rFonts w:ascii="Palatino Linotype" w:eastAsia="Palatino Linotype" w:hAnsi="Palatino Linotype" w:cs="Palatino Linotype"/>
        </w:rPr>
        <w:t xml:space="preserve">. En fecha </w:t>
      </w:r>
      <w:r w:rsidRPr="008D6F03">
        <w:rPr>
          <w:rFonts w:ascii="Palatino Linotype" w:eastAsia="Palatino Linotype" w:hAnsi="Palatino Linotype" w:cs="Palatino Linotype"/>
          <w:b/>
        </w:rPr>
        <w:t>cinco de junio de dos mil veintidós</w:t>
      </w:r>
      <w:r w:rsidRPr="008D6F03">
        <w:rPr>
          <w:rFonts w:ascii="Palatino Linotype" w:eastAsia="Palatino Linotype" w:hAnsi="Palatino Linotype" w:cs="Palatino Linotype"/>
        </w:rPr>
        <w:t>, se amplió el término para resolver los recursos de revisión</w:t>
      </w:r>
      <w:r w:rsidRPr="008D6F03">
        <w:rPr>
          <w:rFonts w:ascii="Palatino Linotype" w:eastAsia="Palatino Linotype" w:hAnsi="Palatino Linotype" w:cs="Palatino Linotype"/>
          <w:color w:val="FF0000"/>
        </w:rPr>
        <w:t xml:space="preserve"> </w:t>
      </w:r>
      <w:r w:rsidRPr="008D6F03">
        <w:rPr>
          <w:rFonts w:ascii="Palatino Linotype" w:eastAsia="Palatino Linotype" w:hAnsi="Palatino Linotype" w:cs="Palatino Linotype"/>
        </w:rPr>
        <w:t>en términos del artículo 181 párrafo tercero de la Ley de Transparencia y Acceso a la Información Pública del Estado de México y Municipios.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Este organismo garante no pasa por alto justificar, que el plazo para emitir la resolución en el presente asunto encuentra justificación en el alto número de recursos de revisión recibidos en el año dos mil veintidós, que, en comparación con los recibidos en el año dos mil veintiuno, se incrementó aproximadamente un 300%, circunstancia atípica que ha rebasado las capacidades técnicas y humanas del personal encargado de la proyección de las resoluciones a dichos medios de impugnación.</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rsidR="007B4405" w:rsidRPr="008D6F03" w:rsidRDefault="00CE4C85">
      <w:pPr>
        <w:spacing w:before="240" w:after="240" w:line="360" w:lineRule="auto"/>
        <w:jc w:val="both"/>
        <w:rPr>
          <w:rFonts w:ascii="Palatino Linotype" w:eastAsia="Palatino Linotype" w:hAnsi="Palatino Linotype" w:cs="Palatino Linotype"/>
          <w:strike/>
        </w:rPr>
      </w:pPr>
      <w:r w:rsidRPr="008D6F03">
        <w:rPr>
          <w:rFonts w:ascii="Palatino Linotype" w:eastAsia="Palatino Linotype" w:hAnsi="Palatino Linotype" w:cs="Palatino Linotype"/>
        </w:rPr>
        <w:lastRenderedPageBreak/>
        <w:t xml:space="preserve">Por ello, excepcionalmente, si un asunto es resuelto con posterioridad a los plazos señalados por la norma debe analizarse la razonabilidad del tiempo necesario para </w:t>
      </w:r>
      <w:proofErr w:type="gramStart"/>
      <w:r w:rsidRPr="008D6F03">
        <w:rPr>
          <w:rFonts w:ascii="Palatino Linotype" w:eastAsia="Palatino Linotype" w:hAnsi="Palatino Linotype" w:cs="Palatino Linotype"/>
        </w:rPr>
        <w:t>su resolución atentos</w:t>
      </w:r>
      <w:proofErr w:type="gramEnd"/>
      <w:r w:rsidRPr="008D6F03">
        <w:rPr>
          <w:rFonts w:ascii="Palatino Linotype" w:eastAsia="Palatino Linotype" w:hAnsi="Palatino Linotype" w:cs="Palatino Linotype"/>
        </w:rPr>
        <w:t xml:space="preserve"> a los siguientes criterios: </w:t>
      </w:r>
    </w:p>
    <w:p w:rsidR="007B4405" w:rsidRPr="008D6F03" w:rsidRDefault="00CE4C85">
      <w:pPr>
        <w:numPr>
          <w:ilvl w:val="0"/>
          <w:numId w:val="2"/>
        </w:numPr>
        <w:tabs>
          <w:tab w:val="left" w:pos="993"/>
        </w:tabs>
        <w:spacing w:before="240" w:after="240" w:line="360" w:lineRule="auto"/>
        <w:ind w:left="567" w:firstLine="0"/>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rsidR="007B4405" w:rsidRPr="008D6F03" w:rsidRDefault="00CE4C85">
      <w:pPr>
        <w:numPr>
          <w:ilvl w:val="0"/>
          <w:numId w:val="2"/>
        </w:numPr>
        <w:tabs>
          <w:tab w:val="left" w:pos="993"/>
        </w:tabs>
        <w:spacing w:before="240" w:after="240" w:line="360" w:lineRule="auto"/>
        <w:ind w:left="567" w:firstLine="0"/>
        <w:jc w:val="both"/>
        <w:rPr>
          <w:rFonts w:ascii="Palatino Linotype" w:eastAsia="Palatino Linotype" w:hAnsi="Palatino Linotype" w:cs="Palatino Linotype"/>
        </w:rPr>
      </w:pPr>
      <w:r w:rsidRPr="008D6F03">
        <w:rPr>
          <w:rFonts w:ascii="Palatino Linotype" w:eastAsia="Palatino Linotype" w:hAnsi="Palatino Linotype" w:cs="Palatino Linotype"/>
        </w:rPr>
        <w:t>Actividad Procesal del interesado. Acciones u omisiones del interesado.</w:t>
      </w:r>
    </w:p>
    <w:p w:rsidR="007B4405" w:rsidRPr="008D6F03" w:rsidRDefault="00CE4C85">
      <w:pPr>
        <w:numPr>
          <w:ilvl w:val="0"/>
          <w:numId w:val="2"/>
        </w:numPr>
        <w:tabs>
          <w:tab w:val="left" w:pos="993"/>
        </w:tabs>
        <w:spacing w:before="240" w:after="240" w:line="360" w:lineRule="auto"/>
        <w:ind w:left="567" w:firstLine="0"/>
        <w:jc w:val="both"/>
        <w:rPr>
          <w:rFonts w:ascii="Palatino Linotype" w:eastAsia="Palatino Linotype" w:hAnsi="Palatino Linotype" w:cs="Palatino Linotype"/>
        </w:rPr>
      </w:pPr>
      <w:r w:rsidRPr="008D6F03">
        <w:rPr>
          <w:rFonts w:ascii="Palatino Linotype" w:eastAsia="Palatino Linotype" w:hAnsi="Palatino Linotype" w:cs="Palatino Linotype"/>
        </w:rPr>
        <w:t>Conducta de la Autoridad: Las Acciones u omisiones realizadas en el procedimiento. Así como si la autoridad actuó con la debida diligencia.</w:t>
      </w:r>
    </w:p>
    <w:p w:rsidR="007B4405" w:rsidRPr="008D6F03" w:rsidRDefault="00CE4C85">
      <w:pPr>
        <w:numPr>
          <w:ilvl w:val="0"/>
          <w:numId w:val="2"/>
        </w:numPr>
        <w:tabs>
          <w:tab w:val="left" w:pos="993"/>
        </w:tabs>
        <w:spacing w:before="240" w:after="240" w:line="360" w:lineRule="auto"/>
        <w:ind w:left="567" w:firstLine="0"/>
        <w:jc w:val="both"/>
        <w:rPr>
          <w:rFonts w:ascii="Palatino Linotype" w:eastAsia="Palatino Linotype" w:hAnsi="Palatino Linotype" w:cs="Palatino Linotype"/>
        </w:rPr>
      </w:pPr>
      <w:r w:rsidRPr="008D6F03">
        <w:rPr>
          <w:rFonts w:ascii="Palatino Linotype" w:eastAsia="Palatino Linotype" w:hAnsi="Palatino Linotype" w:cs="Palatino Linotype"/>
        </w:rPr>
        <w:t>La afectación generada en la situación jurídica de la persona involucrada en el proceso: Violación a sus derechos humanos.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rsidR="007B4405" w:rsidRPr="008D6F03" w:rsidRDefault="00CE4C85">
      <w:pPr>
        <w:spacing w:before="240" w:after="240" w:line="360" w:lineRule="auto"/>
        <w:jc w:val="both"/>
        <w:rPr>
          <w:rFonts w:ascii="Palatino Linotype" w:eastAsia="Palatino Linotype" w:hAnsi="Palatino Linotype" w:cs="Palatino Linotype"/>
          <w:b/>
        </w:rPr>
      </w:pPr>
      <w:r w:rsidRPr="008D6F03">
        <w:rPr>
          <w:rFonts w:ascii="Palatino Linotype" w:eastAsia="Palatino Linotype" w:hAnsi="Palatino Linotype" w:cs="Palatino Linotype"/>
        </w:rPr>
        <w:t>Argumento que encuentra sustento en la jurisprudencia P</w:t>
      </w:r>
      <w:proofErr w:type="gramStart"/>
      <w:r w:rsidRPr="008D6F03">
        <w:rPr>
          <w:rFonts w:ascii="Palatino Linotype" w:eastAsia="Palatino Linotype" w:hAnsi="Palatino Linotype" w:cs="Palatino Linotype"/>
        </w:rPr>
        <w:t>./</w:t>
      </w:r>
      <w:proofErr w:type="gramEnd"/>
      <w:r w:rsidRPr="008D6F03">
        <w:rPr>
          <w:rFonts w:ascii="Palatino Linotype" w:eastAsia="Palatino Linotype" w:hAnsi="Palatino Linotype" w:cs="Palatino Linotype"/>
        </w:rPr>
        <w:t xml:space="preserve">J. 32/92 emitida por el Pleno de la Suprema Corte de Justicia de la Nación de rubro </w:t>
      </w:r>
      <w:r w:rsidRPr="008D6F03">
        <w:rPr>
          <w:rFonts w:ascii="Palatino Linotype" w:eastAsia="Palatino Linotype" w:hAnsi="Palatino Linotype" w:cs="Palatino Linotype"/>
          <w:i/>
        </w:rPr>
        <w:t xml:space="preserve">“TÉRMINOS PROCESALES. PARA DETERMINAR SI UN FUNCIONARIO JUDICIAL ACTUÓ INDEBIDAMENTE POR NO RESPETARLOS SE DEBE ATENDER AL </w:t>
      </w:r>
      <w:r w:rsidRPr="008D6F03">
        <w:rPr>
          <w:rFonts w:ascii="Palatino Linotype" w:eastAsia="Palatino Linotype" w:hAnsi="Palatino Linotype" w:cs="Palatino Linotype"/>
          <w:i/>
        </w:rPr>
        <w:lastRenderedPageBreak/>
        <w:t>PRESUPUESTO QUE CONSIDERÓ EL LEGISLADOR AL FIJARLOS Y LAS CARACTERÍSTICAS DEL CASO.”</w:t>
      </w:r>
      <w:r w:rsidRPr="008D6F03">
        <w:rPr>
          <w:rFonts w:ascii="Palatino Linotype" w:eastAsia="Palatino Linotype" w:hAnsi="Palatino Linotype" w:cs="Palatino Linotype"/>
        </w:rPr>
        <w:t>, visible en la Gaceta del Seminario Judicial de la Federación con el registro digital 205635.</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rsidR="007B4405" w:rsidRPr="008D6F03" w:rsidRDefault="00CE4C85">
      <w:pPr>
        <w:spacing w:before="240" w:after="240"/>
        <w:ind w:left="851" w:right="900"/>
        <w:jc w:val="both"/>
        <w:rPr>
          <w:rFonts w:ascii="Palatino Linotype" w:eastAsia="Palatino Linotype" w:hAnsi="Palatino Linotype" w:cs="Palatino Linotype"/>
          <w:sz w:val="22"/>
          <w:szCs w:val="22"/>
        </w:rPr>
      </w:pPr>
      <w:r w:rsidRPr="008D6F03">
        <w:rPr>
          <w:rFonts w:ascii="Palatino Linotype" w:eastAsia="Palatino Linotype" w:hAnsi="Palatino Linotype" w:cs="Palatino Linotype"/>
          <w:sz w:val="22"/>
          <w:szCs w:val="22"/>
        </w:rPr>
        <w:t xml:space="preserve"> </w:t>
      </w:r>
      <w:r w:rsidRPr="008D6F03">
        <w:rPr>
          <w:rFonts w:ascii="Palatino Linotype" w:eastAsia="Palatino Linotype" w:hAnsi="Palatino Linotype" w:cs="Palatino Linotype"/>
          <w:b/>
          <w:i/>
          <w:sz w:val="22"/>
          <w:szCs w:val="22"/>
        </w:rPr>
        <w:t>“PLAZO RAZONABLE PARA RESOLVER. DIMENSIÓN Y EFECTOS DE ESTE CONCEPTO CUANDO SE ADUCE EXCESIVA CARGA DE TRABAJO</w:t>
      </w: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sz w:val="22"/>
          <w:szCs w:val="22"/>
        </w:rPr>
        <w:t xml:space="preserve"> consultable en el Seminario Judicial de la Federación y su gaceta, con el registro digital 2002351.</w:t>
      </w:r>
    </w:p>
    <w:p w:rsidR="007B4405" w:rsidRPr="008D6F03" w:rsidRDefault="00CE4C85">
      <w:pPr>
        <w:spacing w:before="240" w:after="240"/>
        <w:ind w:left="851" w:right="900"/>
        <w:jc w:val="both"/>
        <w:rPr>
          <w:rFonts w:ascii="Palatino Linotype" w:eastAsia="Palatino Linotype" w:hAnsi="Palatino Linotype" w:cs="Palatino Linotype"/>
          <w:sz w:val="22"/>
          <w:szCs w:val="22"/>
        </w:rPr>
      </w:pPr>
      <w:r w:rsidRPr="008D6F03">
        <w:rPr>
          <w:rFonts w:ascii="Palatino Linotype" w:eastAsia="Palatino Linotype" w:hAnsi="Palatino Linotype" w:cs="Palatino Linotype"/>
          <w:b/>
          <w:i/>
          <w:sz w:val="22"/>
          <w:szCs w:val="22"/>
        </w:rPr>
        <w:t>“PLAZO RAZONABLE PARA RESOLVER. CONCEPTO Y ELEMENTOS QUE LO INTEGRAN A LA LUZ DEL DERECHO INTERNACIONAL DE LOS DERECHOS HUMANOS.”</w:t>
      </w:r>
      <w:r w:rsidRPr="008D6F03">
        <w:rPr>
          <w:rFonts w:ascii="Palatino Linotype" w:eastAsia="Palatino Linotype" w:hAnsi="Palatino Linotype" w:cs="Palatino Linotype"/>
          <w:sz w:val="22"/>
          <w:szCs w:val="22"/>
        </w:rPr>
        <w:t>, visible en el Seminario Judicial de la Federación y su gaceta, con el registro digital 2002350.</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Por ello, este organismo garante comprometido con la tutela de los derechos humanos confiados, señala que este exceso del plazo legal para resolver el presente asunto, resulta de carácter excepcional.</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10. Cierre de Instrucción. </w:t>
      </w:r>
      <w:r w:rsidRPr="008D6F03">
        <w:rPr>
          <w:rFonts w:ascii="Palatino Linotype" w:eastAsia="Palatino Linotype" w:hAnsi="Palatino Linotype" w:cs="Palatino Linotype"/>
        </w:rPr>
        <w:t xml:space="preserve">En fecha </w:t>
      </w:r>
      <w:r w:rsidRPr="008D6F03">
        <w:rPr>
          <w:rFonts w:ascii="Palatino Linotype" w:eastAsia="Palatino Linotype" w:hAnsi="Palatino Linotype" w:cs="Palatino Linotype"/>
          <w:b/>
        </w:rPr>
        <w:t>nueve de junio de dos mil veintitrés</w:t>
      </w:r>
      <w:r w:rsidRPr="008D6F03">
        <w:rPr>
          <w:rFonts w:ascii="Palatino Linotype" w:eastAsia="Palatino Linotype" w:hAnsi="Palatino Linotype" w:cs="Palatino Linotype"/>
        </w:rPr>
        <w:t>, con fundamento en lo establecido en los artículos 185, fracción VI de la Ley de Transparencia y Acceso a la Información Pública del Estado de México y Municipios y 30, fracción IV del Reglamento Interior del Instituto de Transparencia, Acceso a la Información Pública y Protección de Datos Personales del Estado de México y Municipios, al no existir trámite pendiente por realizar y haber sido sustanciados medios de impugnación se acordó el cierre de instrucción y se procede a formular la resolución que en derecho corresponda.</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razón de que fueron debidamente sustanciados los expedientes electrónicos y no existe diligencia pendiente de desahogo, se emite la Resolución que conforme a Derecho proceda, de acuerdo con los siguientes: </w:t>
      </w:r>
    </w:p>
    <w:p w:rsidR="007B4405" w:rsidRPr="008D6F03" w:rsidRDefault="00CE4C85">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sidRPr="008D6F03">
        <w:rPr>
          <w:rFonts w:ascii="Palatino Linotype" w:eastAsia="Palatino Linotype" w:hAnsi="Palatino Linotype" w:cs="Palatino Linotype"/>
          <w:b/>
        </w:rPr>
        <w:t>II. C O N S I D E R A N D O 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Primero. Competencia.</w:t>
      </w:r>
      <w:r w:rsidRPr="008D6F03">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los presentes recursos de revisión interpuestos por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w:t>
      </w:r>
      <w:r w:rsidRPr="008D6F03">
        <w:rPr>
          <w:rFonts w:ascii="Palatino Linotype" w:eastAsia="Palatino Linotype" w:hAnsi="Palatino Linotype" w:cs="Palatino Linotype"/>
        </w:rPr>
        <w:lastRenderedPageBreak/>
        <w:t>181, 185, fracción I, 186 y 188 de la Ley Transparencia y Acceso a la Información Pública del Estado de México y Municipios; 9, fracciones I y XXIII y 11 del Reglamento Interior del Instituto de Transparencia, Acceso a la Información Pública y Protección de Datos Personales del Estado de México y Municipios.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Segundo. Oportunidad y </w:t>
      </w:r>
      <w:proofErr w:type="spellStart"/>
      <w:r w:rsidRPr="008D6F03">
        <w:rPr>
          <w:rFonts w:ascii="Palatino Linotype" w:eastAsia="Palatino Linotype" w:hAnsi="Palatino Linotype" w:cs="Palatino Linotype"/>
          <w:b/>
        </w:rPr>
        <w:t>Procedibilidad</w:t>
      </w:r>
      <w:proofErr w:type="spellEnd"/>
      <w:r w:rsidRPr="008D6F03">
        <w:rPr>
          <w:rFonts w:ascii="Palatino Linotype" w:eastAsia="Palatino Linotype" w:hAnsi="Palatino Linotype" w:cs="Palatino Linotype"/>
          <w:b/>
        </w:rPr>
        <w:t xml:space="preserve"> del Recurso de Revisión</w:t>
      </w:r>
      <w:r w:rsidRPr="008D6F03">
        <w:rPr>
          <w:rFonts w:ascii="Palatino Linotype" w:eastAsia="Palatino Linotype" w:hAnsi="Palatino Linotype" w:cs="Palatino Linotype"/>
        </w:rPr>
        <w:t xml:space="preserve">. Previo al estudio del fondo del asunto, se procede a analizar los requisitos de oportunidad y </w:t>
      </w:r>
      <w:proofErr w:type="spellStart"/>
      <w:r w:rsidRPr="008D6F03">
        <w:rPr>
          <w:rFonts w:ascii="Palatino Linotype" w:eastAsia="Palatino Linotype" w:hAnsi="Palatino Linotype" w:cs="Palatino Linotype"/>
        </w:rPr>
        <w:t>procedibilidad</w:t>
      </w:r>
      <w:proofErr w:type="spellEnd"/>
      <w:r w:rsidRPr="008D6F03">
        <w:rPr>
          <w:rFonts w:ascii="Palatino Linotype" w:eastAsia="Palatino Linotype" w:hAnsi="Palatino Linotype" w:cs="Palatino Linotype"/>
        </w:rPr>
        <w:t xml:space="preserve"> que deben reunir los recursos de revisión interpuestos, previstos en los artículos 178 y 180 de la Ley de Transparencia y Acceso a la Información Pública del Estado de México y Municipios.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Los recursos de revisión fueron interpuestos dentro del plazo de quince días hábiles, previsto en el artículo 178 de la Ley de Transparencia y Acceso a la Información Pública del Estado de México y Municipios, toda vez que el </w:t>
      </w:r>
      <w:r w:rsidRPr="008D6F03">
        <w:rPr>
          <w:rFonts w:ascii="Palatino Linotype" w:eastAsia="Palatino Linotype" w:hAnsi="Palatino Linotype" w:cs="Palatino Linotype"/>
          <w:b/>
        </w:rPr>
        <w:t xml:space="preserve">Sujeto Obligado </w:t>
      </w:r>
      <w:r w:rsidRPr="008D6F03">
        <w:rPr>
          <w:rFonts w:ascii="Palatino Linotype" w:eastAsia="Palatino Linotype" w:hAnsi="Palatino Linotype" w:cs="Palatino Linotype"/>
        </w:rPr>
        <w:t xml:space="preserve">remitió la respuesta a las solicitudes de información los días </w:t>
      </w:r>
      <w:r w:rsidRPr="008D6F03">
        <w:rPr>
          <w:rFonts w:ascii="Palatino Linotype" w:eastAsia="Palatino Linotype" w:hAnsi="Palatino Linotype" w:cs="Palatino Linotype"/>
          <w:b/>
        </w:rPr>
        <w:t xml:space="preserve">nueve, veinticinco y veintinueve de noviembre de dos mil veintidós, </w:t>
      </w:r>
      <w:r w:rsidRPr="008D6F03">
        <w:rPr>
          <w:rFonts w:ascii="Palatino Linotype" w:eastAsia="Palatino Linotype" w:hAnsi="Palatino Linotype" w:cs="Palatino Linotype"/>
        </w:rPr>
        <w:t xml:space="preserve">mientras que los recursos de revisión interpuestos por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se tuvieron por presentados los días </w:t>
      </w:r>
      <w:r w:rsidRPr="008D6F03">
        <w:rPr>
          <w:rFonts w:ascii="Palatino Linotype" w:eastAsia="Palatino Linotype" w:hAnsi="Palatino Linotype" w:cs="Palatino Linotype"/>
          <w:b/>
        </w:rPr>
        <w:t>veintidós, veintiocho y veintinueve de noviembre  de dos mil veintidós</w:t>
      </w:r>
      <w:r w:rsidRPr="008D6F03">
        <w:rPr>
          <w:rFonts w:ascii="Palatino Linotype" w:eastAsia="Palatino Linotype" w:hAnsi="Palatino Linotype" w:cs="Palatino Linotype"/>
        </w:rPr>
        <w:t>, esto es, al octavo y primer día hábil posterior y el mismo día en que tuvo conocimiento de las respuestas impugnadas, respectivamente.</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este sentido, al considerar la fecha en que se formuló la solicitud y la fecha en que respondió a esta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así como la fecha en que se interpuso el recurso de revisión, se concluye que el presente recurso de revisión se encuentra dentro de los márgenes temporales previstos las disposiciones legales referidas.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Sin que contraríe a lo anterior, el artículo 178 en análisis, refiere que el plazo de quince días hábiles se contará a partir del día siguiente de la fecha en que el afectado tuvo conocimiento de la resolución materia de impugnación, ya que ello debe entenderse para el efecto de que transcurrido dicho plazo ya no podrá presentarse el medio de impugnación o si es que se presenta, el mismo se considerará extemporáneo, no así cuando el medio de defensa se interponga antes de que comience a correr el plazo legal; tiene aplicación por analogía, la jurisprudencia 1ª. /J.41/2015, publicada en el Semanario Judicial de la Federación y su Gaceta, Libro 19, Junio de 2015, Tomo I, página 569 de la Décima época que lleva por rubro y texto los siguientes:</w:t>
      </w:r>
    </w:p>
    <w:p w:rsidR="007B4405" w:rsidRPr="008D6F03" w:rsidRDefault="00CE4C85">
      <w:pPr>
        <w:spacing w:before="120" w:after="120"/>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“RECURSO DE RECLAMACIÓN. SU INTERPOSICIÓN NO ES EXTEMPORÁNEA SI SE REALIZA ANTES DE QUE INICIE EL PLAZO PARA HACERLO</w:t>
      </w:r>
      <w:r w:rsidRPr="008D6F03">
        <w:rPr>
          <w:rFonts w:ascii="Palatino Linotype" w:eastAsia="Palatino Linotype" w:hAnsi="Palatino Linotype" w:cs="Palatino Linotype"/>
          <w:i/>
          <w:sz w:val="22"/>
          <w:szCs w:val="22"/>
        </w:rPr>
        <w:t>.</w:t>
      </w:r>
    </w:p>
    <w:p w:rsidR="007B4405" w:rsidRPr="008D6F03" w:rsidRDefault="00CE4C85">
      <w:pPr>
        <w:spacing w:before="120" w:after="120"/>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Conforme al artículo 104, párrafo segundo, de la Ley de Amparo, el recurso de reclamación podrá interponerse por cualquiera de las partes, por escrito, dentro del término de tres días siguientes al en que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que si dicho recurso se interpone antes de que inicie el plazo para hacerlo, su presentación no es extemporánea.”(Sic)</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En este sentido, se concluye que los presentes recursos de revisión se encuentran dentro de los márgenes temporales previstos las disposiciones legales referidas.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Al mismo tiempo, por cuanto hace a la </w:t>
      </w:r>
      <w:proofErr w:type="spellStart"/>
      <w:r w:rsidRPr="008D6F03">
        <w:rPr>
          <w:rFonts w:ascii="Palatino Linotype" w:eastAsia="Palatino Linotype" w:hAnsi="Palatino Linotype" w:cs="Palatino Linotype"/>
        </w:rPr>
        <w:t>procedibilidad</w:t>
      </w:r>
      <w:proofErr w:type="spellEnd"/>
      <w:r w:rsidRPr="008D6F03">
        <w:rPr>
          <w:rFonts w:ascii="Palatino Linotype" w:eastAsia="Palatino Linotype" w:hAnsi="Palatino Linotype" w:cs="Palatino Linotype"/>
        </w:rPr>
        <w:t xml:space="preserve"> de los recursos de revisión, una vez realizado el análisis de los formatos de interposición de los recursos, se concluye la acreditación plena de los elementos formales precisados por el artículo </w:t>
      </w:r>
      <w:r w:rsidRPr="008D6F03">
        <w:rPr>
          <w:rFonts w:ascii="Palatino Linotype" w:eastAsia="Palatino Linotype" w:hAnsi="Palatino Linotype" w:cs="Palatino Linotype"/>
        </w:rPr>
        <w:lastRenderedPageBreak/>
        <w:t>180 de la Ley de Transparencia y Acceso a la Información Pública del Estado de México y Municipios, en atención a que fueron presentados mediante el formato visible en el SAIMEX.</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Finalmente, se advierte que resulta procedente la interposición del recurso, según lo manifestado por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en sus motivos de inconformidad, de acuerdo al artículo 179, fracción V del ordenamiento legal citado, que a la letra dice: </w:t>
      </w:r>
    </w:p>
    <w:p w:rsidR="007B4405" w:rsidRPr="008D6F03" w:rsidRDefault="00CE4C85">
      <w:pPr>
        <w:spacing w:before="120" w:after="120"/>
        <w:ind w:left="993"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Artículo 179.</w:t>
      </w:r>
      <w:r w:rsidRPr="008D6F03">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rsidR="007B4405" w:rsidRPr="008D6F03" w:rsidRDefault="00CE4C85">
      <w:pPr>
        <w:spacing w:before="120" w:after="120"/>
        <w:ind w:left="1134"/>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w:t>
      </w:r>
    </w:p>
    <w:p w:rsidR="007B4405" w:rsidRPr="008D6F03" w:rsidRDefault="00CE4C85">
      <w:pPr>
        <w:spacing w:before="120" w:after="120"/>
        <w:ind w:left="1134"/>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V.</w:t>
      </w:r>
      <w:r w:rsidRPr="008D6F03">
        <w:rPr>
          <w:rFonts w:ascii="Palatino Linotype" w:eastAsia="Palatino Linotype" w:hAnsi="Palatino Linotype" w:cs="Palatino Linotype"/>
          <w:i/>
          <w:sz w:val="22"/>
          <w:szCs w:val="22"/>
        </w:rPr>
        <w:t xml:space="preserve"> La entrega de información incompleta;”</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Tercero. Materia de la revisión. </w:t>
      </w:r>
      <w:r w:rsidRPr="008D6F03">
        <w:rPr>
          <w:rFonts w:ascii="Palatino Linotype" w:eastAsia="Palatino Linotype" w:hAnsi="Palatino Linotype" w:cs="Palatino Linotype"/>
        </w:rPr>
        <w:t xml:space="preserve">De la revisión a las constancias y documentos que obran en el expediente electrónico se advierte, que el tema sobre el que este Organismo Garante de Transparencia y Acceso a la Información se pronunciará será: </w:t>
      </w:r>
      <w:r w:rsidRPr="008D6F03">
        <w:rPr>
          <w:rFonts w:ascii="Palatino Linotype" w:eastAsia="Palatino Linotype" w:hAnsi="Palatino Linotype" w:cs="Palatino Linotype"/>
          <w:b/>
        </w:rPr>
        <w:t xml:space="preserve">verificar si la respuesta como informe justificado otorgados por el SUJETO OBLIGADO es adecuada y suficiente para satisfacer el derecho de acceso a la información pública </w:t>
      </w:r>
      <w:r w:rsidRPr="008D6F03">
        <w:rPr>
          <w:rFonts w:ascii="Palatino Linotype" w:eastAsia="Palatino Linotype" w:hAnsi="Palatino Linotype" w:cs="Palatino Linotype"/>
        </w:rPr>
        <w:t xml:space="preserve">de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o en su defecto, en caso de ser procedente, ordenar la entrega de información oportuna.</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Cuarto. Estudio del asunto. </w:t>
      </w:r>
      <w:r w:rsidRPr="008D6F03">
        <w:rPr>
          <w:rFonts w:ascii="Palatino Linotype" w:eastAsia="Palatino Linotype" w:hAnsi="Palatino Linotype" w:cs="Palatino Linotype"/>
        </w:rPr>
        <w:t xml:space="preserve">Acotado lo anterior, tenemos en principio de cuentas que el artículo 6°, Apartado A), fracción I de la Constitución Política de los Estados Unidos Mexicanos, establece que toda la información en posesión de cualquier autoridad es pública y sólo podrá ser reservada temporalmente por razones de interés público. </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Por su parte, en materia local, el artículo 5°, fracción I de la Constitución Política del Estado Libre y Soberano de México, es coincidente con la Constitución Federal, en el sentido de la publicidad de toda la información, con la única restricción de proteger el interés público, así como la información referente a la intimidad de la vida privada y la imagen de las personas, con las excepciones que establezca la ley reglamentaria.</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Por su parte, la Ley de Transparencia y Acceso a la Información Pública del Estado de México y Municipios (Reglamentaria del artículo 5° de la Constitución Local), establece lo siguiente:</w:t>
      </w:r>
    </w:p>
    <w:p w:rsidR="007B4405" w:rsidRPr="008D6F03" w:rsidRDefault="00CE4C85">
      <w:pPr>
        <w:numPr>
          <w:ilvl w:val="0"/>
          <w:numId w:val="4"/>
        </w:numPr>
        <w:pBdr>
          <w:top w:val="nil"/>
          <w:left w:val="nil"/>
          <w:bottom w:val="nil"/>
          <w:right w:val="nil"/>
          <w:between w:val="nil"/>
        </w:pBdr>
        <w:spacing w:before="240" w:after="240" w:line="360" w:lineRule="auto"/>
        <w:ind w:left="426" w:firstLine="0"/>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El artículo 12, que, quienes generen, recopilen, administren, manejen, procesen, archiven o conserven información pública serán responsables de la misma.</w:t>
      </w:r>
    </w:p>
    <w:p w:rsidR="007B4405" w:rsidRPr="008D6F03" w:rsidRDefault="00CE4C85">
      <w:pPr>
        <w:numPr>
          <w:ilvl w:val="0"/>
          <w:numId w:val="4"/>
        </w:numPr>
        <w:pBdr>
          <w:top w:val="nil"/>
          <w:left w:val="nil"/>
          <w:bottom w:val="nil"/>
          <w:right w:val="nil"/>
          <w:between w:val="nil"/>
        </w:pBdr>
        <w:spacing w:before="240" w:after="240" w:line="360" w:lineRule="auto"/>
        <w:ind w:left="426" w:firstLine="0"/>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El artículo 18, que, los Sujetos Obligados deberán documentar todo acto que derive del ejercicio de sus facultades, competencias o funciones, considerando desde su origen la eventual publicidad y reutilización de la información que generen.</w:t>
      </w:r>
    </w:p>
    <w:p w:rsidR="007B4405" w:rsidRPr="008D6F03" w:rsidRDefault="00CE4C85">
      <w:pPr>
        <w:numPr>
          <w:ilvl w:val="0"/>
          <w:numId w:val="4"/>
        </w:numPr>
        <w:pBdr>
          <w:top w:val="nil"/>
          <w:left w:val="nil"/>
          <w:bottom w:val="nil"/>
          <w:right w:val="nil"/>
          <w:between w:val="nil"/>
        </w:pBdr>
        <w:spacing w:before="240" w:after="240" w:line="360" w:lineRule="auto"/>
        <w:ind w:left="426" w:firstLine="0"/>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El artículo 19, que, se presume que la información debe existir si se refiere a las facultades, competencias y funciones que los ordenamientos jurídicos aplicables otorgan a los sujetos Obligados y en caso de que dichas facultades no se hayan ejercido, se deberá motivar la respuesta en función de las causas que motivaron tal circunstancia.</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 xml:space="preserve">En esta lógica,  debe destacarse que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7B4405" w:rsidRPr="008D6F03" w:rsidRDefault="00CE4C85">
      <w:pPr>
        <w:spacing w:before="120" w:after="120"/>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 xml:space="preserve">Artículo 3. </w:t>
      </w:r>
      <w:r w:rsidRPr="008D6F03">
        <w:rPr>
          <w:rFonts w:ascii="Palatino Linotype" w:eastAsia="Palatino Linotype" w:hAnsi="Palatino Linotype" w:cs="Palatino Linotype"/>
          <w:i/>
          <w:sz w:val="22"/>
          <w:szCs w:val="22"/>
        </w:rPr>
        <w:t>Para los efectos de la presente Ley se entenderá por:</w:t>
      </w:r>
    </w:p>
    <w:p w:rsidR="007B4405" w:rsidRPr="008D6F03" w:rsidRDefault="00CE4C85">
      <w:pPr>
        <w:spacing w:before="120" w:after="120"/>
        <w:ind w:left="1134"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spacing w:before="120" w:after="120"/>
        <w:ind w:left="1134"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XI. Documento:</w:t>
      </w:r>
      <w:r w:rsidRPr="008D6F03">
        <w:rPr>
          <w:rFonts w:ascii="Palatino Linotype" w:eastAsia="Palatino Linotype" w:hAnsi="Palatino Linotype" w:cs="Palatino Linotype"/>
          <w:i/>
          <w:sz w:val="22"/>
          <w:szCs w:val="22"/>
        </w:rPr>
        <w:t xml:space="preserve"> Los expedientes, reportes, estudios, actas</w:t>
      </w:r>
      <w:r w:rsidRPr="008D6F03">
        <w:rPr>
          <w:rFonts w:ascii="Palatino Linotype" w:eastAsia="Palatino Linotype" w:hAnsi="Palatino Linotype" w:cs="Palatino Linotype"/>
          <w:b/>
          <w:i/>
          <w:sz w:val="22"/>
          <w:szCs w:val="22"/>
        </w:rPr>
        <w:t>,</w:t>
      </w:r>
      <w:r w:rsidRPr="008D6F03">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7B4405" w:rsidRPr="008D6F03" w:rsidRDefault="00CE4C85">
      <w:pPr>
        <w:spacing w:before="120" w:after="120"/>
        <w:ind w:left="851" w:right="902"/>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sz w:val="22"/>
          <w:szCs w:val="22"/>
        </w:rPr>
        <w:t>“</w:t>
      </w:r>
      <w:r w:rsidRPr="008D6F03">
        <w:rPr>
          <w:rFonts w:ascii="Palatino Linotype" w:eastAsia="Palatino Linotype" w:hAnsi="Palatino Linotype" w:cs="Palatino Linotype"/>
          <w:b/>
          <w:i/>
          <w:sz w:val="22"/>
          <w:szCs w:val="22"/>
        </w:rPr>
        <w:t>CRITERIO 0002-11</w:t>
      </w:r>
    </w:p>
    <w:p w:rsidR="007B4405" w:rsidRPr="008D6F03" w:rsidRDefault="00CE4C85">
      <w:pPr>
        <w:spacing w:before="120" w:after="120"/>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lastRenderedPageBreak/>
        <w:t>INFORMACIÓN PÚBLICA, CONCEPTO DE, EN MATERIA DE TRANSPARENCIA. INTERPRETACIÓN SISTEMÁTICA DE LOS ARTÍCULOS 2°, FRACCIÓN V, XV, Y XVI, 3°, 4°, 11 Y 41.</w:t>
      </w:r>
      <w:r w:rsidRPr="008D6F03">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7B4405" w:rsidRPr="008D6F03" w:rsidRDefault="00CE4C85">
      <w:pPr>
        <w:spacing w:before="120" w:after="120"/>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En consecuencia el acceso a la información se refiere a que se cumplan cualquiera de los siguientes tres supuestos:</w:t>
      </w:r>
    </w:p>
    <w:p w:rsidR="007B4405" w:rsidRPr="008D6F03" w:rsidRDefault="00CE4C85">
      <w:pPr>
        <w:spacing w:before="120" w:after="120"/>
        <w:ind w:left="1134"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1) </w:t>
      </w:r>
      <w:r w:rsidRPr="008D6F03">
        <w:rPr>
          <w:rFonts w:ascii="Palatino Linotype" w:eastAsia="Palatino Linotype" w:hAnsi="Palatino Linotype" w:cs="Palatino Linotype"/>
          <w:b/>
          <w:i/>
          <w:sz w:val="22"/>
          <w:szCs w:val="22"/>
        </w:rPr>
        <w:t>Que se trate de información registrada en cualquier soporte documental, que en ejercicio de las atribuciones conferidas, sea generada por los Sujetos Obligados;</w:t>
      </w:r>
    </w:p>
    <w:p w:rsidR="007B4405" w:rsidRPr="008D6F03" w:rsidRDefault="00CE4C85">
      <w:pPr>
        <w:spacing w:before="120" w:after="120"/>
        <w:ind w:left="1134" w:right="902"/>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rsidR="007B4405" w:rsidRPr="008D6F03" w:rsidRDefault="00CE4C85">
      <w:pPr>
        <w:spacing w:before="120" w:after="120"/>
        <w:ind w:left="1134" w:right="902"/>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 xml:space="preserve">3) Que se trate de información registrada en cualquier soporte documental, que en ejercicio de las atribuciones conferidas, se encuentre en posesión de los Sujetos Obligados.” </w:t>
      </w:r>
    </w:p>
    <w:p w:rsidR="007B4405" w:rsidRPr="008D6F03" w:rsidRDefault="00CE4C85">
      <w:pPr>
        <w:spacing w:before="280" w:after="28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De ahí que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cuenta con el deber de satisfacer las solicitudes de acceso a la información que le sean formuladas y entregar la información pública que obre en sus archivos pudiendo ser de manera electrónica; más aún si la misma se trata de información relativa a obligaciones de transparencia, la cual se relaciona con aquella que se genere de acuerdo con sus facultades, atribuciones y obligaciones señaladas por la Ley en la materia</w:t>
      </w:r>
      <w:r w:rsidRPr="008D6F03">
        <w:rPr>
          <w:rFonts w:ascii="Palatino Linotype" w:eastAsia="Palatino Linotype" w:hAnsi="Palatino Linotype" w:cs="Palatino Linotype"/>
          <w:vertAlign w:val="superscript"/>
        </w:rPr>
        <w:footnoteReference w:id="1"/>
      </w:r>
      <w:r w:rsidRPr="008D6F03">
        <w:rPr>
          <w:rFonts w:ascii="Palatino Linotype" w:eastAsia="Palatino Linotype" w:hAnsi="Palatino Linotype" w:cs="Palatino Linotype"/>
        </w:rPr>
        <w:t xml:space="preserve">, así como de interés público, es decir, aquella que resulta relevante o beneficiosa para la sociedad y no simplemente de interés individual, y cuya divulgación resulta útil para que el público comprenda las </w:t>
      </w:r>
      <w:r w:rsidRPr="008D6F03">
        <w:rPr>
          <w:rFonts w:ascii="Palatino Linotype" w:eastAsia="Palatino Linotype" w:hAnsi="Palatino Linotype" w:cs="Palatino Linotype"/>
        </w:rPr>
        <w:lastRenderedPageBreak/>
        <w:t>actividades que llevan a cabo los Sujetos Obligados</w:t>
      </w:r>
      <w:r w:rsidRPr="008D6F03">
        <w:rPr>
          <w:rFonts w:ascii="Palatino Linotype" w:eastAsia="Palatino Linotype" w:hAnsi="Palatino Linotype" w:cs="Palatino Linotype"/>
          <w:vertAlign w:val="superscript"/>
        </w:rPr>
        <w:footnoteReference w:id="2"/>
      </w:r>
      <w:r w:rsidRPr="008D6F03">
        <w:rPr>
          <w:rFonts w:ascii="Palatino Linotype" w:eastAsia="Palatino Linotype" w:hAnsi="Palatino Linotype" w:cs="Palatino Linotype"/>
        </w:rPr>
        <w:t>, como pudiera tratarse de aquella relacionada con las obligaciones de transparencia señaladas en los artículos 92 y 94 de la Ley de la Materia.</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Ahora bien, se procede abordar los recursos de revisión número </w:t>
      </w:r>
      <w:r w:rsidRPr="008D6F03">
        <w:rPr>
          <w:rFonts w:ascii="Palatino Linotype" w:eastAsia="Palatino Linotype" w:hAnsi="Palatino Linotype" w:cs="Palatino Linotype"/>
          <w:b/>
        </w:rPr>
        <w:t>16799/INFOEM/IP/RR/2022, 16801/INFOEM/IP/RR/2022 y 16816/INFOEM/IP/RR/2022</w:t>
      </w:r>
      <w:r w:rsidRPr="008D6F03">
        <w:rPr>
          <w:rFonts w:ascii="Palatino Linotype" w:eastAsia="Palatino Linotype" w:hAnsi="Palatino Linotype" w:cs="Palatino Linotype"/>
        </w:rPr>
        <w:t xml:space="preserve">, de manera conjunta por relacionarse entre sí, ya que de las solicitudes de información el particular requirió: </w:t>
      </w:r>
    </w:p>
    <w:p w:rsidR="007B4405" w:rsidRPr="008D6F03" w:rsidRDefault="00CE4C85">
      <w:pPr>
        <w:spacing w:before="240"/>
        <w:ind w:left="567" w:right="618"/>
        <w:jc w:val="both"/>
        <w:rPr>
          <w:rFonts w:ascii="Palatino Linotype" w:eastAsia="Palatino Linotype" w:hAnsi="Palatino Linotype" w:cs="Palatino Linotype"/>
        </w:rPr>
      </w:pPr>
      <w:r w:rsidRPr="008D6F03">
        <w:rPr>
          <w:rFonts w:ascii="Palatino Linotype" w:eastAsia="Palatino Linotype" w:hAnsi="Palatino Linotype" w:cs="Palatino Linotype"/>
        </w:rPr>
        <w:t>“SOLICITO EL NUMERO DE CALLES BACHEADAS, CUALES HAN SIDO, CUANTOS METROS SE HAN BACHEADO, EMPRESA CONTRATADA PARA REALIZAR EL BACHEO. QUIERO EL PROGRAMA ANUAL DE BACHEO, TODO A PARTIR DE ENERO A OCTUBRE DEL 2022.” (Sic)</w:t>
      </w:r>
    </w:p>
    <w:p w:rsidR="007B4405" w:rsidRPr="008D6F03" w:rsidRDefault="007B4405">
      <w:pPr>
        <w:spacing w:line="360" w:lineRule="auto"/>
        <w:jc w:val="both"/>
        <w:rPr>
          <w:rFonts w:ascii="Palatino Linotype" w:eastAsia="Palatino Linotype" w:hAnsi="Palatino Linotype" w:cs="Palatino Linotype"/>
          <w:b/>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respuestas a las solicitudes número </w:t>
      </w:r>
      <w:r w:rsidRPr="008D6F03">
        <w:rPr>
          <w:rFonts w:ascii="Palatino Linotype" w:eastAsia="Palatino Linotype" w:hAnsi="Palatino Linotype" w:cs="Palatino Linotype"/>
          <w:b/>
        </w:rPr>
        <w:t>02193/TOLUCA/IP/2022, 02191/TOLUCA/IP/2022 y 02176/TOLUCA/IP/2022</w:t>
      </w:r>
      <w:r w:rsidRPr="008D6F03">
        <w:rPr>
          <w:rFonts w:ascii="Palatino Linotype" w:eastAsia="Palatino Linotype" w:hAnsi="Palatino Linotype" w:cs="Palatino Linotype"/>
        </w:rPr>
        <w:t xml:space="preserve">, el </w:t>
      </w:r>
      <w:r w:rsidRPr="008D6F03">
        <w:rPr>
          <w:rFonts w:ascii="Palatino Linotype" w:eastAsia="Palatino Linotype" w:hAnsi="Palatino Linotype" w:cs="Palatino Linotype"/>
          <w:b/>
        </w:rPr>
        <w:t xml:space="preserve">SUJETO OBLIGADO </w:t>
      </w:r>
      <w:r w:rsidRPr="008D6F03">
        <w:rPr>
          <w:rFonts w:ascii="Palatino Linotype" w:eastAsia="Palatino Linotype" w:hAnsi="Palatino Linotype" w:cs="Palatino Linotype"/>
        </w:rPr>
        <w:t>entregó información de las calles bacheadas por delegación, colonia y fraccionamiento, especificando el nombre de las calles en donde se realizó el bacheo, el número total de metros bacheados, la empresas contratadas para tal fin y la calendarización de metas de actividad por proyecto, correspondiente a la rehabilitación de vialidades urbanas (bacheo), a través del formato PbRM02a.</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En relación al programa anual de Bacheo al mes de octubre del año 2022, informó que se encuentra publicado en el siguiente enlace:</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noProof/>
          <w:lang w:eastAsia="es-MX"/>
        </w:rPr>
        <w:drawing>
          <wp:inline distT="0" distB="0" distL="0" distR="0">
            <wp:extent cx="5656055" cy="859189"/>
            <wp:effectExtent l="0" t="0" r="0" b="0"/>
            <wp:docPr id="8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l="40420" t="51916" r="25299" b="39239"/>
                    <a:stretch>
                      <a:fillRect/>
                    </a:stretch>
                  </pic:blipFill>
                  <pic:spPr>
                    <a:xfrm>
                      <a:off x="0" y="0"/>
                      <a:ext cx="5656055" cy="859189"/>
                    </a:xfrm>
                    <a:prstGeom prst="rect">
                      <a:avLst/>
                    </a:prstGeom>
                    <a:ln/>
                  </pic:spPr>
                </pic:pic>
              </a:graphicData>
            </a:graphic>
          </wp:inline>
        </w:drawing>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Conocida la respuesta por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interpuso los recursos de revisión que ahora se analizan quejándose en lo medular porque no se le entregó la información completa. </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informes justificados,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en lo medular confirmó sus respuestas </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color w:val="000000"/>
        </w:rPr>
        <w:t>Con base en lo precedente</w:t>
      </w:r>
      <w:r w:rsidRPr="008D6F03">
        <w:rPr>
          <w:rFonts w:ascii="Palatino Linotype" w:eastAsia="Palatino Linotype" w:hAnsi="Palatino Linotype" w:cs="Palatino Linotype"/>
        </w:rPr>
        <w:t xml:space="preserve">, se reitera que la información proporcionada por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en su respuesta, cumple parcialmente con lo establecido por los artículos 4, 12 y 24 último párrafo de la Ley de Transparencia y Acceso a la Información Pública del Estado de México y Municipios; de ahí que, los motivos de inconformidad acontecen fundados para modificar la respuesta del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en razón de las consideraciones de derecho que a continuación se exponen:</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Antes del estudio de fondo, </w:t>
      </w:r>
      <w:r w:rsidRPr="008D6F03">
        <w:rPr>
          <w:rFonts w:ascii="Palatino Linotype" w:eastAsia="Palatino Linotype" w:hAnsi="Palatino Linotype" w:cs="Palatino Linotype"/>
          <w:color w:val="000000"/>
        </w:rPr>
        <w:t xml:space="preserve">se debe resaltar que, con la información remitida en respuesta por la </w:t>
      </w:r>
      <w:r w:rsidRPr="008D6F03">
        <w:rPr>
          <w:rFonts w:ascii="Palatino Linotype" w:eastAsia="Palatino Linotype" w:hAnsi="Palatino Linotype" w:cs="Palatino Linotype"/>
        </w:rPr>
        <w:t>Dirección General de Desarrollo Urbano, Ordenamiento Territorial y Obras Públicas</w:t>
      </w:r>
      <w:r w:rsidRPr="008D6F03">
        <w:rPr>
          <w:rFonts w:ascii="Palatino Linotype" w:eastAsia="Palatino Linotype" w:hAnsi="Palatino Linotype" w:cs="Palatino Linotype"/>
          <w:color w:val="000000"/>
        </w:rPr>
        <w:t xml:space="preserve"> del </w:t>
      </w:r>
      <w:r w:rsidRPr="008D6F03">
        <w:rPr>
          <w:rFonts w:ascii="Palatino Linotype" w:eastAsia="Palatino Linotype" w:hAnsi="Palatino Linotype" w:cs="Palatino Linotype"/>
          <w:b/>
          <w:color w:val="000000"/>
        </w:rPr>
        <w:t>SUJETO OBLIGADO</w:t>
      </w:r>
      <w:r w:rsidRPr="008D6F03">
        <w:rPr>
          <w:rFonts w:ascii="Palatino Linotype" w:eastAsia="Palatino Linotype" w:hAnsi="Palatino Linotype" w:cs="Palatino Linotype"/>
          <w:color w:val="000000"/>
        </w:rPr>
        <w:t>, se acredita la realización de bacheo en las calles en el Municipio de Toluca.</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En ese sentido se procede hacer un cuadro comparativo de la información solicitada con la información entregada en respuestas, para determinar si colma o no el derecho de acceso a la información del recurrente:</w:t>
      </w:r>
    </w:p>
    <w:tbl>
      <w:tblPr>
        <w:tblStyle w:val="af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7"/>
        <w:gridCol w:w="3216"/>
        <w:gridCol w:w="2805"/>
      </w:tblGrid>
      <w:tr w:rsidR="007B4405" w:rsidRPr="008D6F03">
        <w:tc>
          <w:tcPr>
            <w:tcW w:w="2807"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Solicitud </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Todo del primero de enero al treinta y uno de octubre del año 2022.</w:t>
            </w:r>
          </w:p>
        </w:tc>
        <w:tc>
          <w:tcPr>
            <w:tcW w:w="3216"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Respuesta</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De la Dirección General de Desarrollo Urbano, Ordenamiento Territorial y Obras Públicas del Ayuntamiento de Toluca. </w:t>
            </w:r>
          </w:p>
          <w:p w:rsidR="007B4405" w:rsidRPr="008D6F03" w:rsidRDefault="007B4405">
            <w:pPr>
              <w:jc w:val="both"/>
              <w:rPr>
                <w:rFonts w:ascii="Palatino Linotype" w:eastAsia="Palatino Linotype" w:hAnsi="Palatino Linotype" w:cs="Palatino Linotype"/>
                <w:sz w:val="20"/>
                <w:szCs w:val="20"/>
              </w:rPr>
            </w:pPr>
          </w:p>
        </w:tc>
        <w:tc>
          <w:tcPr>
            <w:tcW w:w="2805"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Colma</w:t>
            </w:r>
          </w:p>
        </w:tc>
      </w:tr>
      <w:tr w:rsidR="007B4405" w:rsidRPr="008D6F03">
        <w:tc>
          <w:tcPr>
            <w:tcW w:w="2807"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color w:val="000000"/>
                <w:sz w:val="20"/>
                <w:szCs w:val="20"/>
              </w:rPr>
              <w:t>1.-EL NUMERO DE CALLES BACHEADAS y CUALES HAN SIDO</w:t>
            </w:r>
          </w:p>
        </w:tc>
        <w:tc>
          <w:tcPr>
            <w:tcW w:w="3216"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Señaló que son 342 calle remitiendo un listado en donde se advierte el nombre de las calles.</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 </w:t>
            </w:r>
          </w:p>
        </w:tc>
        <w:tc>
          <w:tcPr>
            <w:tcW w:w="2805"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Sí</w:t>
            </w:r>
          </w:p>
        </w:tc>
      </w:tr>
      <w:tr w:rsidR="007B4405" w:rsidRPr="008D6F03">
        <w:tc>
          <w:tcPr>
            <w:tcW w:w="2807"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color w:val="000000"/>
                <w:sz w:val="20"/>
                <w:szCs w:val="20"/>
              </w:rPr>
              <w:t>2.-CUANTOS METROS SE HAN BACHEADO</w:t>
            </w:r>
          </w:p>
        </w:tc>
        <w:tc>
          <w:tcPr>
            <w:tcW w:w="3216"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Informó que son 123, 061.07 metros cuadrados. </w:t>
            </w:r>
          </w:p>
        </w:tc>
        <w:tc>
          <w:tcPr>
            <w:tcW w:w="2805"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Sí</w:t>
            </w:r>
          </w:p>
        </w:tc>
      </w:tr>
      <w:tr w:rsidR="007B4405" w:rsidRPr="008D6F03">
        <w:tc>
          <w:tcPr>
            <w:tcW w:w="2807"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color w:val="000000"/>
                <w:sz w:val="20"/>
                <w:szCs w:val="20"/>
              </w:rPr>
              <w:t>3.-EMPRESA CONTRATADA PARA REALIZAR EL BACHEO.</w:t>
            </w:r>
          </w:p>
        </w:tc>
        <w:tc>
          <w:tcPr>
            <w:tcW w:w="3216"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Informó que son:</w:t>
            </w:r>
          </w:p>
          <w:p w:rsidR="007B4405" w:rsidRPr="008D6F03" w:rsidRDefault="00CE4C85">
            <w:pPr>
              <w:jc w:val="both"/>
              <w:rPr>
                <w:rFonts w:ascii="Palatino Linotype" w:eastAsia="Palatino Linotype" w:hAnsi="Palatino Linotype" w:cs="Palatino Linotype"/>
                <w:sz w:val="20"/>
                <w:szCs w:val="20"/>
              </w:rPr>
            </w:pPr>
            <w:r w:rsidRPr="008D6F03">
              <w:rPr>
                <w:noProof/>
                <w:lang w:eastAsia="es-MX"/>
              </w:rPr>
              <w:drawing>
                <wp:inline distT="0" distB="0" distL="0" distR="0">
                  <wp:extent cx="1744386" cy="867401"/>
                  <wp:effectExtent l="0" t="0" r="0" b="0"/>
                  <wp:docPr id="8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2"/>
                          <a:srcRect l="42430" t="35003" r="34317" b="50361"/>
                          <a:stretch>
                            <a:fillRect/>
                          </a:stretch>
                        </pic:blipFill>
                        <pic:spPr>
                          <a:xfrm>
                            <a:off x="0" y="0"/>
                            <a:ext cx="1744386" cy="867401"/>
                          </a:xfrm>
                          <a:prstGeom prst="rect">
                            <a:avLst/>
                          </a:prstGeom>
                          <a:ln/>
                        </pic:spPr>
                      </pic:pic>
                    </a:graphicData>
                  </a:graphic>
                </wp:inline>
              </w:drawing>
            </w:r>
          </w:p>
        </w:tc>
        <w:tc>
          <w:tcPr>
            <w:tcW w:w="2805"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Sí</w:t>
            </w:r>
          </w:p>
        </w:tc>
      </w:tr>
      <w:tr w:rsidR="007B4405" w:rsidRPr="008D6F03">
        <w:tc>
          <w:tcPr>
            <w:tcW w:w="2807"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color w:val="000000"/>
                <w:sz w:val="20"/>
                <w:szCs w:val="20"/>
              </w:rPr>
              <w:t>4.-QUIERO EL PROGRAMA ANUAL DE BACHEO</w:t>
            </w:r>
          </w:p>
        </w:tc>
        <w:tc>
          <w:tcPr>
            <w:tcW w:w="3216"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Se concretó a señalar: </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En relación al programa anual de Bacheo al mes de octubre del año 2022, se encuentra publicado en el siguiente enlace:</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noProof/>
                <w:sz w:val="20"/>
                <w:szCs w:val="20"/>
                <w:lang w:eastAsia="es-MX"/>
              </w:rPr>
              <w:drawing>
                <wp:inline distT="0" distB="0" distL="0" distR="0">
                  <wp:extent cx="1918600" cy="860812"/>
                  <wp:effectExtent l="0" t="0" r="0" b="0"/>
                  <wp:docPr id="8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l="40420" t="51916" r="25299" b="39239"/>
                          <a:stretch>
                            <a:fillRect/>
                          </a:stretch>
                        </pic:blipFill>
                        <pic:spPr>
                          <a:xfrm>
                            <a:off x="0" y="0"/>
                            <a:ext cx="1918600" cy="860812"/>
                          </a:xfrm>
                          <a:prstGeom prst="rect">
                            <a:avLst/>
                          </a:prstGeom>
                          <a:ln/>
                        </pic:spPr>
                      </pic:pic>
                    </a:graphicData>
                  </a:graphic>
                </wp:inline>
              </w:drawing>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También informó, que respecto de plan de Bacheo solicitado, después de hacer una búsqueda exhaustiva y razonable dentro de sus archivos, no es de su competencia generar, poseer y/o administrar el plan de bacheo solicitado, de conformidad con el </w:t>
            </w:r>
            <w:r w:rsidRPr="008D6F03">
              <w:rPr>
                <w:rFonts w:ascii="Palatino Linotype" w:eastAsia="Palatino Linotype" w:hAnsi="Palatino Linotype" w:cs="Palatino Linotype"/>
                <w:sz w:val="20"/>
                <w:szCs w:val="20"/>
              </w:rPr>
              <w:lastRenderedPageBreak/>
              <w:t>Manual General de Organización del Sector Central de la Administración Pública Municipal de Toluca 2022-2024 en la codificación 209010000.</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Por último adjunto el formato PbRM02a, el cual corresponde a la calendarización de metas de actividad por proyecto, correspondiente a la rehabilitación de vialidades urbanas (bacheo). </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 </w:t>
            </w:r>
          </w:p>
          <w:p w:rsidR="007B4405" w:rsidRPr="008D6F03" w:rsidRDefault="007B4405">
            <w:pPr>
              <w:jc w:val="both"/>
              <w:rPr>
                <w:rFonts w:ascii="Palatino Linotype" w:eastAsia="Palatino Linotype" w:hAnsi="Palatino Linotype" w:cs="Palatino Linotype"/>
                <w:sz w:val="20"/>
                <w:szCs w:val="20"/>
              </w:rPr>
            </w:pPr>
          </w:p>
          <w:p w:rsidR="007B4405" w:rsidRPr="008D6F03" w:rsidRDefault="007B4405">
            <w:pPr>
              <w:jc w:val="both"/>
              <w:rPr>
                <w:rFonts w:ascii="Palatino Linotype" w:eastAsia="Palatino Linotype" w:hAnsi="Palatino Linotype" w:cs="Palatino Linotype"/>
                <w:sz w:val="20"/>
                <w:szCs w:val="20"/>
              </w:rPr>
            </w:pPr>
          </w:p>
          <w:p w:rsidR="007B4405" w:rsidRPr="008D6F03" w:rsidRDefault="007B4405">
            <w:pPr>
              <w:jc w:val="both"/>
              <w:rPr>
                <w:rFonts w:ascii="Palatino Linotype" w:eastAsia="Palatino Linotype" w:hAnsi="Palatino Linotype" w:cs="Palatino Linotype"/>
                <w:sz w:val="20"/>
                <w:szCs w:val="20"/>
              </w:rPr>
            </w:pPr>
          </w:p>
          <w:p w:rsidR="007B4405" w:rsidRPr="008D6F03" w:rsidRDefault="007B4405">
            <w:pPr>
              <w:jc w:val="both"/>
              <w:rPr>
                <w:rFonts w:ascii="Palatino Linotype" w:eastAsia="Palatino Linotype" w:hAnsi="Palatino Linotype" w:cs="Palatino Linotype"/>
                <w:sz w:val="20"/>
                <w:szCs w:val="20"/>
              </w:rPr>
            </w:pPr>
          </w:p>
          <w:p w:rsidR="007B4405" w:rsidRPr="008D6F03" w:rsidRDefault="007B4405">
            <w:pPr>
              <w:jc w:val="both"/>
              <w:rPr>
                <w:rFonts w:ascii="Palatino Linotype" w:eastAsia="Palatino Linotype" w:hAnsi="Palatino Linotype" w:cs="Palatino Linotype"/>
                <w:sz w:val="20"/>
                <w:szCs w:val="20"/>
              </w:rPr>
            </w:pPr>
          </w:p>
        </w:tc>
        <w:tc>
          <w:tcPr>
            <w:tcW w:w="2805"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lastRenderedPageBreak/>
              <w:t xml:space="preserve">No </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Ya que existe una incongruencia en la respuesta, toda vez que en primer lugar señala que dicho programa anual se encuentra publicado en la liga electrónica que proporcionó, lo que será motivos de análisis más adelante, y en segundo lugar señala que dicho programa anual de bacheo no es de su competencia.</w:t>
            </w:r>
          </w:p>
          <w:p w:rsidR="007B4405" w:rsidRPr="008D6F03" w:rsidRDefault="007B4405">
            <w:pPr>
              <w:jc w:val="both"/>
              <w:rPr>
                <w:rFonts w:ascii="Palatino Linotype" w:eastAsia="Palatino Linotype" w:hAnsi="Palatino Linotype" w:cs="Palatino Linotype"/>
                <w:sz w:val="20"/>
                <w:szCs w:val="20"/>
              </w:rPr>
            </w:pP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También, anexo el formato PbRM02a, que se relaciona con la información solicitada, </w:t>
            </w:r>
            <w:r w:rsidRPr="008D6F03">
              <w:rPr>
                <w:rFonts w:ascii="Palatino Linotype" w:eastAsia="Palatino Linotype" w:hAnsi="Palatino Linotype" w:cs="Palatino Linotype"/>
                <w:sz w:val="20"/>
                <w:szCs w:val="20"/>
              </w:rPr>
              <w:lastRenderedPageBreak/>
              <w:t xml:space="preserve">sin embargo, este  corresponde a la calendarización de metas de actividad por proyecto, correspondiente a la rehabilitación de vialidades urbanas (bacheo), no así el programa anual de bacheo.  </w:t>
            </w:r>
          </w:p>
        </w:tc>
      </w:tr>
    </w:tbl>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Del anterior cuadro comparativo podemos advertir que en cuanto a los numerales 1, 2 y 3, el que otorgó la respuesta fue la Dirección General de Desarrollo Urbano, Ordenamiento Territorial y Obras Públicas del Ayuntamiento de Toluca, siendo el competente para conocer de la información solicitada en términos de lo señalado por el artículo 96 Bis de la Ley Orgánica Municipal del Estado de México, que señala: </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“Artículo 96. Bis.- El Director de Obras Públicas o el Titular de la Unidad Administrativa equivalente, tiene las siguientes atribuciones: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I</w:t>
      </w:r>
      <w:r w:rsidRPr="008D6F03">
        <w:rPr>
          <w:rFonts w:ascii="Palatino Linotype" w:eastAsia="Palatino Linotype" w:hAnsi="Palatino Linotype" w:cs="Palatino Linotype"/>
          <w:b/>
          <w:i/>
          <w:sz w:val="22"/>
          <w:szCs w:val="22"/>
        </w:rPr>
        <w:t>. Realizar la programación y ejecución de las obras públicas y servicios relacionados, que por orden expresa del Ayuntamiento requieran prioridad;</w:t>
      </w:r>
      <w:r w:rsidRPr="008D6F03">
        <w:rPr>
          <w:rFonts w:ascii="Palatino Linotype" w:eastAsia="Palatino Linotype" w:hAnsi="Palatino Linotype" w:cs="Palatino Linotype"/>
          <w:i/>
          <w:sz w:val="22"/>
          <w:szCs w:val="22"/>
        </w:rPr>
        <w:t xml:space="preserve">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II. Planear y coordinar los proyectos de obras públicas y servicios relacionados con las mismas que autorice el Ayuntamiento, una vez que se cumplan los requisitos de licitación y otros que determine la ley de la materia</w:t>
      </w:r>
      <w:r w:rsidRPr="008D6F03">
        <w:rPr>
          <w:rFonts w:ascii="Palatino Linotype" w:eastAsia="Palatino Linotype" w:hAnsi="Palatino Linotype" w:cs="Palatino Linotype"/>
          <w:i/>
          <w:sz w:val="22"/>
          <w:szCs w:val="22"/>
        </w:rPr>
        <w:t xml:space="preserve">;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lastRenderedPageBreak/>
        <w:t xml:space="preserve">III. Proyectar las obras públicas y servicios relacionados, que realice el Municipio, incluyendo la conservación y mantenimiento de edificios, monumentos, calles, parques y jardines;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IV. Construir y ejecutar todas aquellas obras públicas y servicios relacionados, que aumenten y mantengan la infraestructura municipal y que estén consideradas en el programa respectivo</w:t>
      </w:r>
      <w:r w:rsidRPr="008D6F03">
        <w:rPr>
          <w:rFonts w:ascii="Palatino Linotype" w:eastAsia="Palatino Linotype" w:hAnsi="Palatino Linotype" w:cs="Palatino Linotype"/>
          <w:i/>
          <w:sz w:val="22"/>
          <w:szCs w:val="22"/>
        </w:rPr>
        <w:t xml:space="preserve">;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V. Determinar y cuantificar los materiales y trabajos necesarios para programas de construcción y mantenimiento de obras públicas y servicios relacionados</w:t>
      </w:r>
      <w:r w:rsidRPr="008D6F03">
        <w:rPr>
          <w:rFonts w:ascii="Palatino Linotype" w:eastAsia="Palatino Linotype" w:hAnsi="Palatino Linotype" w:cs="Palatino Linotype"/>
          <w:i/>
          <w:sz w:val="22"/>
          <w:szCs w:val="22"/>
        </w:rPr>
        <w:t xml:space="preserve">; </w:t>
      </w:r>
    </w:p>
    <w:p w:rsidR="007B4405" w:rsidRPr="008D6F03" w:rsidRDefault="00CE4C85">
      <w:pPr>
        <w:ind w:left="851" w:right="899"/>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 xml:space="preserve">VI. Vigilar que se cumplan y lleven a cabo los programas de construcción y mantenimiento de obras públicas y servicios relacionados;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VII. Cuidar que las obras públicas y servicios relacionados cumplan con los requisitos de seguridad y observen las normas de construcción y términos establecidos;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u w:val="single"/>
        </w:rPr>
        <w:t>VIII. Vigilar la construcción en las obras por contrato y por administración que hayan sido adjudicadas a los contratistas</w:t>
      </w:r>
      <w:r w:rsidRPr="008D6F03">
        <w:rPr>
          <w:rFonts w:ascii="Palatino Linotype" w:eastAsia="Palatino Linotype" w:hAnsi="Palatino Linotype" w:cs="Palatino Linotype"/>
          <w:i/>
          <w:sz w:val="22"/>
          <w:szCs w:val="22"/>
        </w:rPr>
        <w:t xml:space="preserve">;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IX. Administrar y ejercer, en el ámbito de su competencia, de manera coordinada con el Tesorero municipal, los recursos públicos destinados a la planeación, programación, </w:t>
      </w:r>
      <w:proofErr w:type="spellStart"/>
      <w:r w:rsidRPr="008D6F03">
        <w:rPr>
          <w:rFonts w:ascii="Palatino Linotype" w:eastAsia="Palatino Linotype" w:hAnsi="Palatino Linotype" w:cs="Palatino Linotype"/>
          <w:i/>
          <w:sz w:val="22"/>
          <w:szCs w:val="22"/>
        </w:rPr>
        <w:t>presupuestación</w:t>
      </w:r>
      <w:proofErr w:type="spellEnd"/>
      <w:r w:rsidRPr="008D6F03">
        <w:rPr>
          <w:rFonts w:ascii="Palatino Linotype" w:eastAsia="Palatino Linotype" w:hAnsi="Palatino Linotype" w:cs="Palatino Linotype"/>
          <w:i/>
          <w:sz w:val="22"/>
          <w:szCs w:val="22"/>
        </w:rPr>
        <w:t xml:space="preserve">, adjudicación, contratación, ejecución y control de la obra pública, conforme a las disposiciones legales aplicables y en congruencia con los planes, programas, especificaciones técnicas, controles y procedimientos administrativos aprobados;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X. Verificar que las obras públicas y los servicios relacionados con la misma, hayan sido programadas, presupuestadas, ejecutadas, adquiridas y contratadas en estricto apego a las disposiciones legales aplicables</w:t>
      </w:r>
      <w:r w:rsidRPr="008D6F03">
        <w:rPr>
          <w:rFonts w:ascii="Palatino Linotype" w:eastAsia="Palatino Linotype" w:hAnsi="Palatino Linotype" w:cs="Palatino Linotype"/>
          <w:i/>
          <w:sz w:val="22"/>
          <w:szCs w:val="22"/>
        </w:rPr>
        <w:t xml:space="preserve">;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 xml:space="preserve">XI. Integrar y verificar que se elaboren de manera correcta y completa las </w:t>
      </w:r>
      <w:r w:rsidRPr="008D6F03">
        <w:rPr>
          <w:rFonts w:ascii="Palatino Linotype" w:eastAsia="Palatino Linotype" w:hAnsi="Palatino Linotype" w:cs="Palatino Linotype"/>
          <w:b/>
          <w:i/>
          <w:sz w:val="22"/>
          <w:szCs w:val="22"/>
          <w:u w:val="single"/>
        </w:rPr>
        <w:t>bitácoras y/o expedientes abiertos con motivo de la obra pública y servicios relacionados con la misma</w:t>
      </w:r>
      <w:r w:rsidRPr="008D6F03">
        <w:rPr>
          <w:rFonts w:ascii="Palatino Linotype" w:eastAsia="Palatino Linotype" w:hAnsi="Palatino Linotype" w:cs="Palatino Linotype"/>
          <w:b/>
          <w:i/>
          <w:sz w:val="22"/>
          <w:szCs w:val="22"/>
        </w:rPr>
        <w:t>, conforme a lo establecido en las disposiciones legales aplicables</w:t>
      </w:r>
      <w:r w:rsidRPr="008D6F03">
        <w:rPr>
          <w:rFonts w:ascii="Palatino Linotype" w:eastAsia="Palatino Linotype" w:hAnsi="Palatino Linotype" w:cs="Palatino Linotype"/>
          <w:i/>
          <w:sz w:val="22"/>
          <w:szCs w:val="22"/>
        </w:rPr>
        <w:t xml:space="preserve">;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XII. Promover la construcción de urbanización, infraestructura y equipamiento urbano;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XIII. Formular y conducir la política municipal en materia de obras públicas e infraestructura para el desarrollo;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XIV. Cumplir y hacer cumplir la legislación y normatividad en materia de obra pública;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XV. Proyectar, formular y proponer al Presidente Municipal, el Programa General de Obras Públicas, para la construcción y mejoramiento de las mismas, de acuerdo a la normatividad aplicable y en congruencia con el Plan de Desarrollo </w:t>
      </w:r>
      <w:r w:rsidRPr="008D6F03">
        <w:rPr>
          <w:rFonts w:ascii="Palatino Linotype" w:eastAsia="Palatino Linotype" w:hAnsi="Palatino Linotype" w:cs="Palatino Linotype"/>
          <w:i/>
          <w:sz w:val="22"/>
          <w:szCs w:val="22"/>
        </w:rPr>
        <w:lastRenderedPageBreak/>
        <w:t xml:space="preserve">Municipal y con la política, objetivos y prioridades del Municipio y vigilar su ejecución;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XVI. Dictar las normas generales y ejecutar las obras de reparación, adaptación y demolición de inmuebles propiedad del municipio que le sean asignadas;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XVII. Ejecutar y mantener las obras públicas que acuerde el Ayuntamiento, de acuerdo a la legislación y normatividad aplicable, a los planes, presupuestos y programas previamente establecidos, coordinándose, en su caso, previo acuerdo con el Presidente Municipal, con las autoridades Federales, Estatales y municipales concurrentes;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XVIII. Vigilar que la ejecución de la obra pública adjudicada y los servicios relacionados con ésta, se sujeten a las condiciones contratadas</w:t>
      </w:r>
      <w:r w:rsidRPr="008D6F03">
        <w:rPr>
          <w:rFonts w:ascii="Palatino Linotype" w:eastAsia="Palatino Linotype" w:hAnsi="Palatino Linotype" w:cs="Palatino Linotype"/>
          <w:i/>
          <w:sz w:val="22"/>
          <w:szCs w:val="22"/>
        </w:rPr>
        <w:t xml:space="preserve">; XIX. Establecer los lineamientos para la realización de estudios y proyectos de construcción de obras públicas;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XX. Autorizar para su pago, previa validación del avance y calidad de las obras, los presupuestos y estimaciones que presenten los contratistas de obras públicas municipales;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XXI. Formular el inventario de la maquinaria y equipo de construcción a su cuidado o de su propiedad, manteniéndolo en óptimas condiciones de uso;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XXII. Coordinar y supervisar que todo el proceso de las obras públicas que se realicen en el municipio se realice conforme a la legislación y normatividad en materia de obra pública;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XXIII. Controlar y vigilar el inventario de materiales para construcción;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XXIV. Integrar y autorizar con su firma, la documentación que en materia de obra pública, deba presentarse al Órgano Superior de Fiscalización del Estado de México;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XXV. Formular las bases y expedir la convocatoria a los concursos para la realización de las obras públicas municipales, de acuerdo con los requisitos que para dichos actos señale la legislación y normatividad respectiva, vigilando su correcta ejecución; y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XXVI. Las demás que les señalen las disposiciones aplicables.” (Sic)</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Lo que se robustece con lo señalado por el artículo 3.53 fracciones VII, XI a la XIV  del Código Reglamentario Municipal de Toluca, que señala:</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“Artículo 3.53. La o el titular de la Dirección General de Desarrollo Urbano, Ordenamiento Territorial y Obras Públicas tendrá las siguientes atribuciones:</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lastRenderedPageBreak/>
        <w:t xml:space="preserve">VII. Intervenir en la autorización de construcción de obras para la prestación de servicios públicos;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XI. Coordinar actos relativos a la planeación, programación, </w:t>
      </w:r>
      <w:proofErr w:type="spellStart"/>
      <w:r w:rsidRPr="008D6F03">
        <w:rPr>
          <w:rFonts w:ascii="Palatino Linotype" w:eastAsia="Palatino Linotype" w:hAnsi="Palatino Linotype" w:cs="Palatino Linotype"/>
          <w:i/>
          <w:sz w:val="22"/>
          <w:szCs w:val="22"/>
        </w:rPr>
        <w:t>presupuestación</w:t>
      </w:r>
      <w:proofErr w:type="spellEnd"/>
      <w:r w:rsidRPr="008D6F03">
        <w:rPr>
          <w:rFonts w:ascii="Palatino Linotype" w:eastAsia="Palatino Linotype" w:hAnsi="Palatino Linotype" w:cs="Palatino Linotype"/>
          <w:i/>
          <w:sz w:val="22"/>
          <w:szCs w:val="22"/>
        </w:rPr>
        <w:t xml:space="preserve">, adjudicación y contratación de la obra pública, así como los servicios relacionados con las mismas;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XII. Programar y vigilar la construcción, instalación, conservación, mantenimiento o mejoramiento de la obra pública en el municipio de Toluca; XIII. Proyectar las obras públicas y servicios relacionados, incluyendo la construcción de edificios públicos, monumentos y bienes de uso común; </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XIV. Vigilar la construcción de obras por contrato, administración y cualquier otra modalidad que haya sido adjudicadas en términos de la legislación de la materia…” (Sic)</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Colmando con ello el derecho de acceso a la información pública del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en razón de que el área del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que proporcionó la información, fue la Dirección General de Desarrollo Urbano, Ordenamiento Territorial y Obras Públicas del Ayuntamiento de Toluca, área generadora de la información solicitada. </w:t>
      </w:r>
    </w:p>
    <w:p w:rsidR="007B4405" w:rsidRPr="008D6F03" w:rsidRDefault="007B4405">
      <w:pPr>
        <w:spacing w:line="360" w:lineRule="auto"/>
        <w:jc w:val="both"/>
        <w:rPr>
          <w:rFonts w:ascii="Palatino Linotype" w:eastAsia="Palatino Linotype" w:hAnsi="Palatino Linotype" w:cs="Palatino Linotype"/>
          <w:i/>
          <w:sz w:val="22"/>
          <w:szCs w:val="22"/>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Además, este Organismo Garante estima conveniente señalar que no está facultado para manifestarse sobre la veracidad de la información proporcionada en respuesta como en alcance al informe justificado, ya que no existe precepto legal alguno en la Ley de la Materia que permita, vía recurso de revisión, se pronuncie al respecto. Por analogía, sirve de apoyo a lo anterior el Criterio 31-10 emitido por el entonces Instituto Federal de Accesos a la Información y Protección de Datos, que a la letra establece lo siguiente:</w:t>
      </w:r>
    </w:p>
    <w:p w:rsidR="007B4405" w:rsidRPr="008D6F03" w:rsidRDefault="00CE4C85">
      <w:pPr>
        <w:spacing w:before="120" w:after="120"/>
        <w:ind w:left="851" w:right="85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 xml:space="preserve">El Instituto Federal de Acceso a la Información y Protección de Datos no cuenta con facultades para pronunciarse respecto de la veracidad de los </w:t>
      </w:r>
      <w:r w:rsidRPr="008D6F03">
        <w:rPr>
          <w:rFonts w:ascii="Palatino Linotype" w:eastAsia="Palatino Linotype" w:hAnsi="Palatino Linotype" w:cs="Palatino Linotype"/>
          <w:b/>
          <w:i/>
          <w:sz w:val="22"/>
          <w:szCs w:val="22"/>
        </w:rPr>
        <w:lastRenderedPageBreak/>
        <w:t>documentos proporcionados por los sujetos obligados.</w:t>
      </w:r>
      <w:r w:rsidRPr="008D6F03">
        <w:rPr>
          <w:rFonts w:ascii="Palatino Linotype" w:eastAsia="Palatino Linotype" w:hAnsi="Palatino Linotype" w:cs="Palatino Linotype"/>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(Sic)</w:t>
      </w:r>
    </w:p>
    <w:p w:rsidR="007B4405" w:rsidRPr="008D6F03" w:rsidRDefault="007B4405">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7B4405" w:rsidRPr="008D6F03" w:rsidRDefault="00CE4C85">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 xml:space="preserve">De lo anterior, este Órgano </w:t>
      </w:r>
      <w:proofErr w:type="spellStart"/>
      <w:r w:rsidRPr="008D6F03">
        <w:rPr>
          <w:rFonts w:ascii="Palatino Linotype" w:eastAsia="Palatino Linotype" w:hAnsi="Palatino Linotype" w:cs="Palatino Linotype"/>
          <w:color w:val="000000"/>
        </w:rPr>
        <w:t>Resolutor</w:t>
      </w:r>
      <w:proofErr w:type="spellEnd"/>
      <w:r w:rsidRPr="008D6F03">
        <w:rPr>
          <w:rFonts w:ascii="Palatino Linotype" w:eastAsia="Palatino Linotype" w:hAnsi="Palatino Linotype" w:cs="Palatino Linotype"/>
          <w:color w:val="000000"/>
        </w:rPr>
        <w:t xml:space="preserve"> en aras de tutelar el derecho de acceso a la información de los particulares, tiene la obligación de apegarse en todo momento a lo que dispone la Ley de Transparencia y Acceso a la Información Pública del Estado de México y Municipios garantizando los principios de imparcialidad y legalidad en el procedimiento de impugnación y resolución del recurso planteado.</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otro orden de ideas, </w:t>
      </w:r>
      <w:r w:rsidRPr="008D6F03">
        <w:rPr>
          <w:rFonts w:ascii="Palatino Linotype" w:eastAsia="Palatino Linotype" w:hAnsi="Palatino Linotype" w:cs="Palatino Linotype"/>
          <w:b/>
          <w:u w:val="single"/>
        </w:rPr>
        <w:t>en cuanto al programa anual de bacheo</w:t>
      </w:r>
      <w:r w:rsidRPr="008D6F03">
        <w:rPr>
          <w:rFonts w:ascii="Palatino Linotype" w:eastAsia="Palatino Linotype" w:hAnsi="Palatino Linotype" w:cs="Palatino Linotype"/>
        </w:rPr>
        <w:t>, de la respuesta se advierte que existe una incongruencia en la respuesta otorgada por el Dirección General de Desarrollo Urbano, Ordenamiento Territorial y Obras Públicas del Ayuntamiento de Toluca, ya que en primer lugar dice que el programa anual de bacheo se encuentra publicado en el siguiente enlace:</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noProof/>
          <w:sz w:val="20"/>
          <w:szCs w:val="20"/>
          <w:lang w:eastAsia="es-MX"/>
        </w:rPr>
        <w:drawing>
          <wp:inline distT="0" distB="0" distL="0" distR="0">
            <wp:extent cx="5624321" cy="861244"/>
            <wp:effectExtent l="0" t="0" r="0" b="0"/>
            <wp:docPr id="8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l="40420" t="51916" r="25299" b="39239"/>
                    <a:stretch>
                      <a:fillRect/>
                    </a:stretch>
                  </pic:blipFill>
                  <pic:spPr>
                    <a:xfrm>
                      <a:off x="0" y="0"/>
                      <a:ext cx="5624321" cy="861244"/>
                    </a:xfrm>
                    <a:prstGeom prst="rect">
                      <a:avLst/>
                    </a:prstGeom>
                    <a:ln/>
                  </pic:spPr>
                </pic:pic>
              </a:graphicData>
            </a:graphic>
          </wp:inline>
        </w:drawing>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Y por otra parte señala que después de hacer una búsqueda exhaustiva y razonable dentro de sus archivos, no es de su competencia generar, poseer y/o administrar el plan de bacheo solicitado, de conformidad con el Manual General de Organización del Sector Central de la Administración Pública Municipal de Toluca 2022-2024 en la codificación 209010000.</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En ese sentido, sobre la liga electrónica proporcionada, se procedió a acceder a ella, arrojando la siguiente información:</w:t>
      </w:r>
    </w:p>
    <w:p w:rsidR="007B4405" w:rsidRPr="008D6F03" w:rsidRDefault="00CE4C85">
      <w:pPr>
        <w:spacing w:line="360" w:lineRule="auto"/>
        <w:jc w:val="both"/>
      </w:pPr>
      <w:r w:rsidRPr="008D6F03">
        <w:rPr>
          <w:noProof/>
          <w:lang w:eastAsia="es-MX"/>
        </w:rPr>
        <w:drawing>
          <wp:inline distT="0" distB="0" distL="0" distR="0">
            <wp:extent cx="5564106" cy="2488971"/>
            <wp:effectExtent l="0" t="0" r="0" b="0"/>
            <wp:docPr id="8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3"/>
                    <a:srcRect l="31231" t="16898" r="16750" b="17456"/>
                    <a:stretch>
                      <a:fillRect/>
                    </a:stretch>
                  </pic:blipFill>
                  <pic:spPr>
                    <a:xfrm>
                      <a:off x="0" y="0"/>
                      <a:ext cx="5564106" cy="2488971"/>
                    </a:xfrm>
                    <a:prstGeom prst="rect">
                      <a:avLst/>
                    </a:prstGeom>
                    <a:ln/>
                  </pic:spPr>
                </pic:pic>
              </a:graphicData>
            </a:graphic>
          </wp:inline>
        </w:drawing>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La cual corresponde a los formatos </w:t>
      </w:r>
      <w:proofErr w:type="spellStart"/>
      <w:r w:rsidRPr="008D6F03">
        <w:rPr>
          <w:rFonts w:ascii="Palatino Linotype" w:eastAsia="Palatino Linotype" w:hAnsi="Palatino Linotype" w:cs="Palatino Linotype"/>
        </w:rPr>
        <w:t>PbRM</w:t>
      </w:r>
      <w:proofErr w:type="spellEnd"/>
      <w:r w:rsidRPr="008D6F03">
        <w:rPr>
          <w:rFonts w:ascii="Palatino Linotype" w:eastAsia="Palatino Linotype" w:hAnsi="Palatino Linotype" w:cs="Palatino Linotype"/>
        </w:rPr>
        <w:t xml:space="preserve"> elaborados por el Ayuntamiento de Toluca en el ejercicio fiscal del año dos mil veintidós, siendo un total de 1463 fojas; sin que se observe como tal un programa anual de bacheo, de los cuales se advierte que tiene un cúmulo de información, lo que implica que el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haga una búsqueda dentro de toda la información que yace en dicha liga electrónica, en razón de que el particular solicitó en particular el programa anual de bacheo; por consiguiente, no se colmó la pretensión de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Lo anterior es así en virtud de lo establecido por los artículos 11 y 161 de la Ley de Transparencia y Acceso a la Información Pública del Estado de México y Municipios, en lo que se señalan las características que debe tener toda información entregada por los sujetos obligados desde el momento de su generación, publicación y entrega, así como la forma en que se deberá consultar la información, señalando una fuente precisa y concreta, a saber:</w:t>
      </w:r>
    </w:p>
    <w:p w:rsidR="007B4405" w:rsidRPr="008D6F03" w:rsidRDefault="007B4405">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7B4405" w:rsidRPr="008D6F03" w:rsidRDefault="00CE4C85">
      <w:pPr>
        <w:pBdr>
          <w:top w:val="nil"/>
          <w:left w:val="nil"/>
          <w:bottom w:val="nil"/>
          <w:right w:val="nil"/>
          <w:between w:val="nil"/>
        </w:pBdr>
        <w:ind w:left="567" w:right="567"/>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b/>
          <w:i/>
          <w:color w:val="000000"/>
          <w:sz w:val="22"/>
          <w:szCs w:val="22"/>
        </w:rPr>
        <w:t>“Artículo 11.</w:t>
      </w:r>
      <w:r w:rsidRPr="008D6F03">
        <w:rPr>
          <w:rFonts w:ascii="Palatino Linotype" w:eastAsia="Palatino Linotype" w:hAnsi="Palatino Linotype" w:cs="Palatino Linotype"/>
          <w:i/>
          <w:color w:val="000000"/>
          <w:sz w:val="22"/>
          <w:szCs w:val="22"/>
        </w:rPr>
        <w:t xml:space="preserve"> </w:t>
      </w:r>
      <w:r w:rsidRPr="008D6F03">
        <w:rPr>
          <w:rFonts w:ascii="Palatino Linotype" w:eastAsia="Palatino Linotype" w:hAnsi="Palatino Linotype" w:cs="Palatino Linotype"/>
          <w:b/>
          <w:i/>
          <w:color w:val="000000"/>
          <w:sz w:val="22"/>
          <w:szCs w:val="22"/>
          <w:u w:val="single"/>
        </w:rPr>
        <w:t>En la generación, publicación y entrega de información se deberá garantizar que ésta sea accesible, actualizada, completa, congruente, confiable, verificable, veraz, integral, oportuna y expedita</w:t>
      </w:r>
      <w:r w:rsidRPr="008D6F03">
        <w:rPr>
          <w:rFonts w:ascii="Palatino Linotype" w:eastAsia="Palatino Linotype" w:hAnsi="Palatino Linotype" w:cs="Palatino Linotype"/>
          <w:i/>
          <w:color w:val="000000"/>
          <w:sz w:val="22"/>
          <w:szCs w:val="22"/>
        </w:rPr>
        <w:t>, sujeta a un claro régimen de excepciones que deberá estar definido y ser además legítima y estrictamente necesaria en una sociedad democrática, por lo que atenderá las necesidades del derecho de acceso a la información de toda persona.</w:t>
      </w:r>
    </w:p>
    <w:p w:rsidR="007B4405" w:rsidRPr="008D6F03" w:rsidRDefault="00CE4C85">
      <w:pPr>
        <w:pBdr>
          <w:top w:val="nil"/>
          <w:left w:val="nil"/>
          <w:bottom w:val="nil"/>
          <w:right w:val="nil"/>
          <w:between w:val="nil"/>
        </w:pBdr>
        <w:ind w:left="567" w:right="567"/>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w:t>
      </w:r>
    </w:p>
    <w:p w:rsidR="007B4405" w:rsidRPr="008D6F03" w:rsidRDefault="007B4405">
      <w:pPr>
        <w:pBdr>
          <w:top w:val="nil"/>
          <w:left w:val="nil"/>
          <w:bottom w:val="nil"/>
          <w:right w:val="nil"/>
          <w:between w:val="nil"/>
        </w:pBdr>
        <w:ind w:left="567" w:right="567"/>
        <w:jc w:val="both"/>
        <w:rPr>
          <w:rFonts w:ascii="Palatino Linotype" w:eastAsia="Palatino Linotype" w:hAnsi="Palatino Linotype" w:cs="Palatino Linotype"/>
          <w:i/>
          <w:color w:val="000000"/>
          <w:sz w:val="22"/>
          <w:szCs w:val="22"/>
        </w:rPr>
      </w:pPr>
    </w:p>
    <w:p w:rsidR="007B4405" w:rsidRPr="008D6F03" w:rsidRDefault="00CE4C85">
      <w:pPr>
        <w:pBdr>
          <w:top w:val="nil"/>
          <w:left w:val="nil"/>
          <w:bottom w:val="nil"/>
          <w:right w:val="nil"/>
          <w:between w:val="nil"/>
        </w:pBdr>
        <w:ind w:left="567" w:right="567"/>
        <w:jc w:val="both"/>
        <w:rPr>
          <w:rFonts w:ascii="Palatino Linotype" w:eastAsia="Palatino Linotype" w:hAnsi="Palatino Linotype" w:cs="Palatino Linotype"/>
          <w:color w:val="000000"/>
          <w:sz w:val="22"/>
          <w:szCs w:val="22"/>
        </w:rPr>
      </w:pPr>
      <w:r w:rsidRPr="008D6F03">
        <w:rPr>
          <w:rFonts w:ascii="Palatino Linotype" w:eastAsia="Palatino Linotype" w:hAnsi="Palatino Linotype" w:cs="Palatino Linotype"/>
          <w:b/>
          <w:i/>
          <w:color w:val="000000"/>
          <w:sz w:val="22"/>
          <w:szCs w:val="22"/>
        </w:rPr>
        <w:t>Artículo 161.</w:t>
      </w:r>
      <w:r w:rsidRPr="008D6F03">
        <w:rPr>
          <w:rFonts w:ascii="Palatino Linotype" w:eastAsia="Palatino Linotype" w:hAnsi="Palatino Linotype" w:cs="Palatino Linotype"/>
          <w:i/>
          <w:color w:val="000000"/>
          <w:sz w:val="22"/>
          <w:szCs w:val="22"/>
        </w:rPr>
        <w:t xml:space="preserve"> </w:t>
      </w:r>
      <w:r w:rsidRPr="008D6F03">
        <w:rPr>
          <w:rFonts w:ascii="Palatino Linotype" w:eastAsia="Palatino Linotype" w:hAnsi="Palatino Linotype" w:cs="Palatino Linotype"/>
          <w:b/>
          <w:i/>
          <w:color w:val="000000"/>
          <w:sz w:val="22"/>
          <w:szCs w:val="22"/>
          <w:u w:val="single"/>
        </w:rPr>
        <w:t>Cuando la información requerida por el solicitante ya esté disponible al público</w:t>
      </w:r>
      <w:r w:rsidRPr="008D6F03">
        <w:rPr>
          <w:rFonts w:ascii="Palatino Linotype" w:eastAsia="Palatino Linotype" w:hAnsi="Palatino Linotype" w:cs="Palatino Linotype"/>
          <w:i/>
          <w:color w:val="000000"/>
          <w:sz w:val="22"/>
          <w:szCs w:val="22"/>
        </w:rPr>
        <w:t xml:space="preserve"> en medios impresos, tales como libros, compendios, trípticos, registros públicos, </w:t>
      </w:r>
      <w:r w:rsidRPr="008D6F03">
        <w:rPr>
          <w:rFonts w:ascii="Palatino Linotype" w:eastAsia="Palatino Linotype" w:hAnsi="Palatino Linotype" w:cs="Palatino Linotype"/>
          <w:b/>
          <w:i/>
          <w:color w:val="000000"/>
          <w:sz w:val="22"/>
          <w:szCs w:val="22"/>
          <w:u w:val="single"/>
        </w:rPr>
        <w:t>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 (Sic)</w:t>
      </w:r>
    </w:p>
    <w:p w:rsidR="007B4405" w:rsidRPr="008D6F03" w:rsidRDefault="007B4405">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7B4405" w:rsidRPr="008D6F03" w:rsidRDefault="00CE4C85">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 xml:space="preserve">De los artículos transcritos se establecen las características que debe tener la información desde el momento de su generación, publicación y entrega; de igual manera se contempla el procedimiento a seguir por el </w:t>
      </w:r>
      <w:r w:rsidRPr="008D6F03">
        <w:rPr>
          <w:rFonts w:ascii="Palatino Linotype" w:eastAsia="Palatino Linotype" w:hAnsi="Palatino Linotype" w:cs="Palatino Linotype"/>
          <w:b/>
          <w:color w:val="000000"/>
        </w:rPr>
        <w:t>SUJETO OBLIGADO</w:t>
      </w:r>
      <w:r w:rsidRPr="008D6F03">
        <w:rPr>
          <w:rFonts w:ascii="Palatino Linotype" w:eastAsia="Palatino Linotype" w:hAnsi="Palatino Linotype" w:cs="Palatino Linotype"/>
          <w:color w:val="000000"/>
        </w:rPr>
        <w:t xml:space="preserve"> para informar a los solicitantes sobre información que se encuentre disponible en libros, compendios, formatos electrónicos, entre otros, haciéndole saber al solicitante como </w:t>
      </w:r>
      <w:r w:rsidRPr="008D6F03">
        <w:rPr>
          <w:rFonts w:ascii="Palatino Linotype" w:eastAsia="Palatino Linotype" w:hAnsi="Palatino Linotype" w:cs="Palatino Linotype"/>
          <w:color w:val="000000"/>
        </w:rPr>
        <w:lastRenderedPageBreak/>
        <w:t>podrá consultar, reproducir o adquirir la información, en un plazo no mayor a cinco días hábiles, comprendiendo:</w:t>
      </w:r>
    </w:p>
    <w:p w:rsidR="007B4405" w:rsidRPr="008D6F03" w:rsidRDefault="007B4405">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7B4405" w:rsidRPr="008D6F03" w:rsidRDefault="00CE4C85">
      <w:pPr>
        <w:numPr>
          <w:ilvl w:val="0"/>
          <w:numId w:val="1"/>
        </w:numPr>
        <w:pBdr>
          <w:top w:val="nil"/>
          <w:left w:val="nil"/>
          <w:bottom w:val="nil"/>
          <w:right w:val="nil"/>
          <w:between w:val="nil"/>
        </w:pBdr>
        <w:ind w:left="1134" w:hanging="567"/>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La fuente</w:t>
      </w:r>
    </w:p>
    <w:p w:rsidR="007B4405" w:rsidRPr="008D6F03" w:rsidRDefault="00CE4C85">
      <w:pPr>
        <w:numPr>
          <w:ilvl w:val="0"/>
          <w:numId w:val="1"/>
        </w:numPr>
        <w:pBdr>
          <w:top w:val="nil"/>
          <w:left w:val="nil"/>
          <w:bottom w:val="nil"/>
          <w:right w:val="nil"/>
          <w:between w:val="nil"/>
        </w:pBdr>
        <w:ind w:left="1134" w:hanging="567"/>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El lugar y</w:t>
      </w:r>
    </w:p>
    <w:p w:rsidR="007B4405" w:rsidRPr="008D6F03" w:rsidRDefault="00CE4C85">
      <w:pPr>
        <w:numPr>
          <w:ilvl w:val="0"/>
          <w:numId w:val="1"/>
        </w:numPr>
        <w:pBdr>
          <w:top w:val="nil"/>
          <w:left w:val="nil"/>
          <w:bottom w:val="nil"/>
          <w:right w:val="nil"/>
          <w:between w:val="nil"/>
        </w:pBdr>
        <w:ind w:left="1134" w:hanging="567"/>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 xml:space="preserve">La forma </w:t>
      </w:r>
    </w:p>
    <w:p w:rsidR="007B4405" w:rsidRPr="008D6F03" w:rsidRDefault="00CE4C85">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Asimismo, se establece que la fuente de la información deberá ser:</w:t>
      </w:r>
    </w:p>
    <w:p w:rsidR="007B4405" w:rsidRPr="008D6F03" w:rsidRDefault="00CE4C85">
      <w:pPr>
        <w:numPr>
          <w:ilvl w:val="0"/>
          <w:numId w:val="3"/>
        </w:numPr>
        <w:pBdr>
          <w:top w:val="nil"/>
          <w:left w:val="nil"/>
          <w:bottom w:val="nil"/>
          <w:right w:val="nil"/>
          <w:between w:val="nil"/>
        </w:pBdr>
        <w:ind w:left="1134" w:hanging="556"/>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Precisa</w:t>
      </w:r>
    </w:p>
    <w:p w:rsidR="007B4405" w:rsidRPr="008D6F03" w:rsidRDefault="00CE4C85">
      <w:pPr>
        <w:numPr>
          <w:ilvl w:val="0"/>
          <w:numId w:val="3"/>
        </w:numPr>
        <w:pBdr>
          <w:top w:val="nil"/>
          <w:left w:val="nil"/>
          <w:bottom w:val="nil"/>
          <w:right w:val="nil"/>
          <w:between w:val="nil"/>
        </w:pBdr>
        <w:ind w:left="1134" w:hanging="556"/>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Concreta</w:t>
      </w:r>
    </w:p>
    <w:p w:rsidR="007B4405" w:rsidRPr="008D6F03" w:rsidRDefault="00CE4C85">
      <w:pPr>
        <w:numPr>
          <w:ilvl w:val="0"/>
          <w:numId w:val="3"/>
        </w:numPr>
        <w:pBdr>
          <w:top w:val="nil"/>
          <w:left w:val="nil"/>
          <w:bottom w:val="nil"/>
          <w:right w:val="nil"/>
          <w:between w:val="nil"/>
        </w:pBdr>
        <w:ind w:left="1134" w:hanging="556"/>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b/>
          <w:color w:val="000000"/>
        </w:rPr>
        <w:t>Y no debe implicar que el solicitante realice una búsqueda en toda la información que se encuentre disponible</w:t>
      </w:r>
      <w:r w:rsidRPr="008D6F03">
        <w:rPr>
          <w:rFonts w:ascii="Palatino Linotype" w:eastAsia="Palatino Linotype" w:hAnsi="Palatino Linotype" w:cs="Palatino Linotype"/>
          <w:color w:val="000000"/>
        </w:rPr>
        <w:t>.</w:t>
      </w:r>
    </w:p>
    <w:p w:rsidR="007B4405" w:rsidRPr="008D6F03" w:rsidRDefault="007B4405">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7B4405" w:rsidRPr="008D6F03" w:rsidRDefault="00CE4C85">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 xml:space="preserve">Imperativos legales que establecen el procedimiento que debe seguir el </w:t>
      </w:r>
      <w:r w:rsidRPr="008D6F03">
        <w:rPr>
          <w:rFonts w:ascii="Palatino Linotype" w:eastAsia="Palatino Linotype" w:hAnsi="Palatino Linotype" w:cs="Palatino Linotype"/>
          <w:b/>
          <w:color w:val="000000"/>
        </w:rPr>
        <w:t>SUJETO OBLIGADO</w:t>
      </w:r>
      <w:r w:rsidRPr="008D6F03">
        <w:rPr>
          <w:rFonts w:ascii="Palatino Linotype" w:eastAsia="Palatino Linotype" w:hAnsi="Palatino Linotype" w:cs="Palatino Linotype"/>
          <w:color w:val="000000"/>
        </w:rPr>
        <w:t xml:space="preserve"> para que pueda tomarse como válida su orientación sobre la forma en que puede consultar la información requerida, y que, en el caso en concreto, no acontece; ello porque el </w:t>
      </w:r>
      <w:r w:rsidRPr="008D6F03">
        <w:rPr>
          <w:rFonts w:ascii="Palatino Linotype" w:eastAsia="Palatino Linotype" w:hAnsi="Palatino Linotype" w:cs="Palatino Linotype"/>
          <w:b/>
          <w:color w:val="000000"/>
        </w:rPr>
        <w:t>SUJETO OBLIGADO</w:t>
      </w:r>
      <w:r w:rsidRPr="008D6F03">
        <w:rPr>
          <w:rFonts w:ascii="Palatino Linotype" w:eastAsia="Palatino Linotype" w:hAnsi="Palatino Linotype" w:cs="Palatino Linotype"/>
          <w:color w:val="000000"/>
        </w:rPr>
        <w:t xml:space="preserve"> se limitó a indicar todos los formatos</w:t>
      </w:r>
      <w:r w:rsidRPr="008D6F03">
        <w:rPr>
          <w:rFonts w:ascii="Palatino Linotype" w:eastAsia="Palatino Linotype" w:hAnsi="Palatino Linotype" w:cs="Palatino Linotype"/>
        </w:rPr>
        <w:t xml:space="preserve"> </w:t>
      </w:r>
      <w:proofErr w:type="spellStart"/>
      <w:r w:rsidRPr="008D6F03">
        <w:rPr>
          <w:rFonts w:ascii="Palatino Linotype" w:eastAsia="Palatino Linotype" w:hAnsi="Palatino Linotype" w:cs="Palatino Linotype"/>
        </w:rPr>
        <w:t>PbRM</w:t>
      </w:r>
      <w:proofErr w:type="spellEnd"/>
      <w:r w:rsidRPr="008D6F03">
        <w:rPr>
          <w:rFonts w:ascii="Palatino Linotype" w:eastAsia="Palatino Linotype" w:hAnsi="Palatino Linotype" w:cs="Palatino Linotype"/>
        </w:rPr>
        <w:t xml:space="preserve"> elaborados por el Ayuntamiento de Toluca en el ejercicio fiscal del año dos mil veintidós</w:t>
      </w:r>
      <w:r w:rsidRPr="008D6F03">
        <w:rPr>
          <w:rFonts w:ascii="Palatino Linotype" w:eastAsia="Palatino Linotype" w:hAnsi="Palatino Linotype" w:cs="Palatino Linotype"/>
          <w:color w:val="000000"/>
        </w:rPr>
        <w:t xml:space="preserve">, sin que señalara puntualmente el procedimiento que el particular debe seguir para acceder a la información requerida, lo que implica que  la fuente no es precisa y no es concreta, sino por el contrario ésta resulta abstracta y genera incertidumbre entre el cúmulo de información que se observa en la página; y por último, su fuente implica que el solicitante realice una búsqueda en toda la información que se encuentra disponible a fin de localizar únicamente </w:t>
      </w:r>
      <w:r w:rsidRPr="008D6F03">
        <w:rPr>
          <w:rFonts w:ascii="Palatino Linotype" w:eastAsia="Palatino Linotype" w:hAnsi="Palatino Linotype" w:cs="Palatino Linotype"/>
        </w:rPr>
        <w:t>el programa anual de bacheo</w:t>
      </w:r>
      <w:r w:rsidRPr="008D6F03">
        <w:rPr>
          <w:rFonts w:ascii="Palatino Linotype" w:eastAsia="Palatino Linotype" w:hAnsi="Palatino Linotype" w:cs="Palatino Linotype"/>
          <w:color w:val="000000"/>
        </w:rPr>
        <w:t>, lo que a todas luces transgrede el numeral citado.</w:t>
      </w:r>
    </w:p>
    <w:p w:rsidR="007B4405" w:rsidRPr="008D6F03" w:rsidRDefault="007B4405">
      <w:pPr>
        <w:spacing w:line="360" w:lineRule="auto"/>
        <w:ind w:right="49"/>
        <w:jc w:val="both"/>
        <w:rPr>
          <w:rFonts w:ascii="Palatino Linotype" w:eastAsia="Palatino Linotype" w:hAnsi="Palatino Linotype" w:cs="Palatino Linotype"/>
        </w:rPr>
      </w:pPr>
    </w:p>
    <w:p w:rsidR="007B4405" w:rsidRPr="008D6F03" w:rsidRDefault="00CE4C85">
      <w:pPr>
        <w:spacing w:line="360" w:lineRule="auto"/>
        <w:ind w:right="49"/>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Bajo esa óptica, sobre el programa solicitado por el particular, el Manual para la Planeación, Programación y Presupuesto de Egresos Municipal para el ejercicio fiscal 2022 del Estado de México tiene como uno de sus objetivos orientar la programación de metas de actividad y de indicadores hacia resultados concretos, que permitan el seguimiento y evaluación del desempeño a nivel proyecto y programa presupuestario esto dimensionando su congruencia con lo establecido en el plan de desarrollo municipal. Asimismo en los lineamientos para la determinación del presupuesto de gastos de inversión contempla que los recursos para obra pública los serán asignados por los responsables de la ejecución de obras que conforman el gobierno municipal y para ello deben elaborar un plan anual de obras específico que deberá estar alineado al plan de desarrollo municipal.</w:t>
      </w:r>
    </w:p>
    <w:p w:rsidR="007B4405" w:rsidRPr="008D6F03" w:rsidRDefault="007B4405">
      <w:pPr>
        <w:spacing w:line="360" w:lineRule="auto"/>
        <w:ind w:right="49"/>
        <w:jc w:val="both"/>
        <w:rPr>
          <w:rFonts w:ascii="Palatino Linotype" w:eastAsia="Palatino Linotype" w:hAnsi="Palatino Linotype" w:cs="Palatino Linotype"/>
        </w:rPr>
      </w:pPr>
    </w:p>
    <w:p w:rsidR="007B4405" w:rsidRPr="008D6F03" w:rsidRDefault="00CE4C85">
      <w:pPr>
        <w:spacing w:line="360" w:lineRule="auto"/>
        <w:ind w:right="49"/>
        <w:jc w:val="both"/>
        <w:rPr>
          <w:rFonts w:ascii="Palatino Linotype" w:eastAsia="Palatino Linotype" w:hAnsi="Palatino Linotype" w:cs="Palatino Linotype"/>
        </w:rPr>
      </w:pPr>
      <w:r w:rsidRPr="008D6F03">
        <w:rPr>
          <w:rFonts w:ascii="Palatino Linotype" w:eastAsia="Palatino Linotype" w:hAnsi="Palatino Linotype" w:cs="Palatino Linotype"/>
        </w:rPr>
        <w:t>Aunado a esto, el Bando Municipal de Toluca establece en su artículo 66 que la autoridad municipal en materia de obra pública tendrá como atribución el de preparar y ejecutar el programa de obra pública, en términos de lo establecido en el Plan de Desarrollo Municipal, el Plan Municipal de Desarrollo Urbano y demás instrumentos legales aplicables, atendiendo a las prioridades socialmente demandadas y aquellas que contribuyan al desarrollo económico y al desarrollo social del municipio.</w:t>
      </w:r>
    </w:p>
    <w:p w:rsidR="007B4405" w:rsidRPr="008D6F03" w:rsidRDefault="007B4405">
      <w:pPr>
        <w:spacing w:line="360" w:lineRule="auto"/>
        <w:ind w:right="49"/>
        <w:jc w:val="both"/>
        <w:rPr>
          <w:rFonts w:ascii="Palatino Linotype" w:eastAsia="Palatino Linotype" w:hAnsi="Palatino Linotype" w:cs="Palatino Linotype"/>
        </w:rPr>
      </w:pPr>
    </w:p>
    <w:p w:rsidR="007B4405" w:rsidRPr="008D6F03" w:rsidRDefault="00CE4C85">
      <w:pPr>
        <w:spacing w:line="360" w:lineRule="auto"/>
        <w:ind w:right="49"/>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ese sentido, conviene a traer el contenido de los artículos 31, fracción XXI; 87, fracción III y 96 </w:t>
      </w:r>
      <w:proofErr w:type="gramStart"/>
      <w:r w:rsidRPr="008D6F03">
        <w:rPr>
          <w:rFonts w:ascii="Palatino Linotype" w:eastAsia="Palatino Linotype" w:hAnsi="Palatino Linotype" w:cs="Palatino Linotype"/>
        </w:rPr>
        <w:t>bis</w:t>
      </w:r>
      <w:proofErr w:type="gramEnd"/>
      <w:r w:rsidRPr="008D6F03">
        <w:rPr>
          <w:rFonts w:ascii="Palatino Linotype" w:eastAsia="Palatino Linotype" w:hAnsi="Palatino Linotype" w:cs="Palatino Linotype"/>
        </w:rPr>
        <w:t>, fracción II de la Ley Orgánica Municipal del Estado de México, el cual es del tenor literal siguiente:</w:t>
      </w:r>
    </w:p>
    <w:p w:rsidR="007B4405" w:rsidRPr="008D6F03" w:rsidRDefault="007B4405">
      <w:pPr>
        <w:spacing w:line="360" w:lineRule="auto"/>
        <w:ind w:right="49"/>
        <w:jc w:val="both"/>
        <w:rPr>
          <w:rFonts w:ascii="Palatino Linotype" w:eastAsia="Palatino Linotype" w:hAnsi="Palatino Linotype" w:cs="Palatino Linotype"/>
        </w:rPr>
      </w:pP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lastRenderedPageBreak/>
        <w:t xml:space="preserve">“Artículo 31.- Son </w:t>
      </w:r>
      <w:r w:rsidRPr="008D6F03">
        <w:rPr>
          <w:rFonts w:ascii="Palatino Linotype" w:eastAsia="Palatino Linotype" w:hAnsi="Palatino Linotype" w:cs="Palatino Linotype"/>
          <w:b/>
          <w:i/>
          <w:sz w:val="22"/>
          <w:szCs w:val="22"/>
        </w:rPr>
        <w:t>atribuciones de los ayuntamientos</w:t>
      </w:r>
      <w:r w:rsidRPr="008D6F03">
        <w:rPr>
          <w:rFonts w:ascii="Palatino Linotype" w:eastAsia="Palatino Linotype" w:hAnsi="Palatino Linotype" w:cs="Palatino Linotype"/>
          <w:i/>
          <w:sz w:val="22"/>
          <w:szCs w:val="22"/>
        </w:rPr>
        <w:t>:</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XXI. </w:t>
      </w:r>
      <w:r w:rsidRPr="008D6F03">
        <w:rPr>
          <w:rFonts w:ascii="Palatino Linotype" w:eastAsia="Palatino Linotype" w:hAnsi="Palatino Linotype" w:cs="Palatino Linotype"/>
          <w:b/>
          <w:i/>
          <w:sz w:val="22"/>
          <w:szCs w:val="22"/>
        </w:rPr>
        <w:t>Formular, aprobar y ejecutar</w:t>
      </w:r>
      <w:r w:rsidRPr="008D6F03">
        <w:rPr>
          <w:rFonts w:ascii="Palatino Linotype" w:eastAsia="Palatino Linotype" w:hAnsi="Palatino Linotype" w:cs="Palatino Linotype"/>
          <w:i/>
          <w:sz w:val="22"/>
          <w:szCs w:val="22"/>
        </w:rPr>
        <w:t xml:space="preserve"> los planes de desarrollo municipal y </w:t>
      </w:r>
      <w:r w:rsidRPr="008D6F03">
        <w:rPr>
          <w:rFonts w:ascii="Palatino Linotype" w:eastAsia="Palatino Linotype" w:hAnsi="Palatino Linotype" w:cs="Palatino Linotype"/>
          <w:b/>
          <w:i/>
          <w:sz w:val="22"/>
          <w:szCs w:val="22"/>
        </w:rPr>
        <w:t>los Programas correspondientes</w:t>
      </w:r>
      <w:r w:rsidRPr="008D6F03">
        <w:rPr>
          <w:rFonts w:ascii="Palatino Linotype" w:eastAsia="Palatino Linotype" w:hAnsi="Palatino Linotype" w:cs="Palatino Linotype"/>
          <w:i/>
          <w:sz w:val="22"/>
          <w:szCs w:val="22"/>
        </w:rPr>
        <w:t>;</w:t>
      </w:r>
    </w:p>
    <w:p w:rsidR="007B4405" w:rsidRPr="008D6F03" w:rsidRDefault="00CE4C85">
      <w:pPr>
        <w:ind w:left="851" w:right="902"/>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i/>
          <w:sz w:val="22"/>
          <w:szCs w:val="22"/>
        </w:rPr>
        <w:t>…</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Artículo 87.- Para el despacho, estudio y planeación de los diversos asuntos de la administración municipal, </w:t>
      </w:r>
      <w:r w:rsidRPr="008D6F03">
        <w:rPr>
          <w:rFonts w:ascii="Palatino Linotype" w:eastAsia="Palatino Linotype" w:hAnsi="Palatino Linotype" w:cs="Palatino Linotype"/>
          <w:b/>
          <w:i/>
          <w:sz w:val="22"/>
          <w:szCs w:val="22"/>
        </w:rPr>
        <w:t>el ayuntamiento contará</w:t>
      </w:r>
      <w:r w:rsidRPr="008D6F03">
        <w:rPr>
          <w:rFonts w:ascii="Palatino Linotype" w:eastAsia="Palatino Linotype" w:hAnsi="Palatino Linotype" w:cs="Palatino Linotype"/>
          <w:i/>
          <w:sz w:val="22"/>
          <w:szCs w:val="22"/>
        </w:rPr>
        <w:t xml:space="preserve"> por lo menos </w:t>
      </w:r>
      <w:r w:rsidRPr="008D6F03">
        <w:rPr>
          <w:rFonts w:ascii="Palatino Linotype" w:eastAsia="Palatino Linotype" w:hAnsi="Palatino Linotype" w:cs="Palatino Linotype"/>
          <w:b/>
          <w:i/>
          <w:sz w:val="22"/>
          <w:szCs w:val="22"/>
        </w:rPr>
        <w:t>con</w:t>
      </w:r>
      <w:r w:rsidRPr="008D6F03">
        <w:rPr>
          <w:rFonts w:ascii="Palatino Linotype" w:eastAsia="Palatino Linotype" w:hAnsi="Palatino Linotype" w:cs="Palatino Linotype"/>
          <w:i/>
          <w:sz w:val="22"/>
          <w:szCs w:val="22"/>
        </w:rPr>
        <w:t xml:space="preserve"> </w:t>
      </w:r>
      <w:r w:rsidRPr="008D6F03">
        <w:rPr>
          <w:rFonts w:ascii="Palatino Linotype" w:eastAsia="Palatino Linotype" w:hAnsi="Palatino Linotype" w:cs="Palatino Linotype"/>
          <w:b/>
          <w:i/>
          <w:sz w:val="22"/>
          <w:szCs w:val="22"/>
        </w:rPr>
        <w:t>las siguientes Dependencias</w:t>
      </w:r>
      <w:r w:rsidRPr="008D6F03">
        <w:rPr>
          <w:rFonts w:ascii="Palatino Linotype" w:eastAsia="Palatino Linotype" w:hAnsi="Palatino Linotype" w:cs="Palatino Linotype"/>
          <w:i/>
          <w:sz w:val="22"/>
          <w:szCs w:val="22"/>
        </w:rPr>
        <w:t xml:space="preserve">: </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ind w:left="851" w:right="902"/>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i/>
          <w:sz w:val="22"/>
          <w:szCs w:val="22"/>
        </w:rPr>
        <w:t xml:space="preserve">III. </w:t>
      </w:r>
      <w:r w:rsidRPr="008D6F03">
        <w:rPr>
          <w:rFonts w:ascii="Palatino Linotype" w:eastAsia="Palatino Linotype" w:hAnsi="Palatino Linotype" w:cs="Palatino Linotype"/>
          <w:b/>
          <w:i/>
          <w:sz w:val="22"/>
          <w:szCs w:val="22"/>
        </w:rPr>
        <w:t>La Dirección de Obras Públicas o equivalente</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Artículo 96. Bis.- El </w:t>
      </w:r>
      <w:r w:rsidRPr="008D6F03">
        <w:rPr>
          <w:rFonts w:ascii="Palatino Linotype" w:eastAsia="Palatino Linotype" w:hAnsi="Palatino Linotype" w:cs="Palatino Linotype"/>
          <w:b/>
          <w:i/>
          <w:sz w:val="22"/>
          <w:szCs w:val="22"/>
        </w:rPr>
        <w:t>Director de Obras Públicas</w:t>
      </w:r>
      <w:r w:rsidRPr="008D6F03">
        <w:rPr>
          <w:rFonts w:ascii="Palatino Linotype" w:eastAsia="Palatino Linotype" w:hAnsi="Palatino Linotype" w:cs="Palatino Linotype"/>
          <w:i/>
          <w:sz w:val="22"/>
          <w:szCs w:val="22"/>
        </w:rPr>
        <w:t xml:space="preserve"> o el Titular de la Unidad Administrativa equivalente, tiene las siguientes </w:t>
      </w:r>
      <w:r w:rsidRPr="008D6F03">
        <w:rPr>
          <w:rFonts w:ascii="Palatino Linotype" w:eastAsia="Palatino Linotype" w:hAnsi="Palatino Linotype" w:cs="Palatino Linotype"/>
          <w:b/>
          <w:i/>
          <w:sz w:val="22"/>
          <w:szCs w:val="22"/>
        </w:rPr>
        <w:t>atribuciones</w:t>
      </w:r>
      <w:r w:rsidRPr="008D6F03">
        <w:rPr>
          <w:rFonts w:ascii="Palatino Linotype" w:eastAsia="Palatino Linotype" w:hAnsi="Palatino Linotype" w:cs="Palatino Linotype"/>
          <w:i/>
          <w:sz w:val="22"/>
          <w:szCs w:val="22"/>
        </w:rPr>
        <w:t xml:space="preserve">: </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I. </w:t>
      </w:r>
      <w:r w:rsidRPr="008D6F03">
        <w:rPr>
          <w:rFonts w:ascii="Palatino Linotype" w:eastAsia="Palatino Linotype" w:hAnsi="Palatino Linotype" w:cs="Palatino Linotype"/>
          <w:b/>
          <w:i/>
          <w:sz w:val="22"/>
          <w:szCs w:val="22"/>
        </w:rPr>
        <w:t>Realizar la programación y ejecución de las obras públicas y servicios relacionados</w:t>
      </w:r>
      <w:r w:rsidRPr="008D6F03">
        <w:rPr>
          <w:rFonts w:ascii="Palatino Linotype" w:eastAsia="Palatino Linotype" w:hAnsi="Palatino Linotype" w:cs="Palatino Linotype"/>
          <w:i/>
          <w:sz w:val="22"/>
          <w:szCs w:val="22"/>
        </w:rPr>
        <w:t xml:space="preserve">, que por orden expresa del Ayuntamiento requieran prioridad </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II. </w:t>
      </w:r>
      <w:r w:rsidRPr="008D6F03">
        <w:rPr>
          <w:rFonts w:ascii="Palatino Linotype" w:eastAsia="Palatino Linotype" w:hAnsi="Palatino Linotype" w:cs="Palatino Linotype"/>
          <w:b/>
          <w:i/>
          <w:sz w:val="22"/>
          <w:szCs w:val="22"/>
        </w:rPr>
        <w:t xml:space="preserve">Planear y coordinar los </w:t>
      </w:r>
      <w:r w:rsidRPr="008D6F03">
        <w:rPr>
          <w:rFonts w:ascii="Palatino Linotype" w:eastAsia="Palatino Linotype" w:hAnsi="Palatino Linotype" w:cs="Palatino Linotype"/>
          <w:b/>
          <w:i/>
          <w:sz w:val="22"/>
          <w:szCs w:val="22"/>
          <w:u w:val="single"/>
        </w:rPr>
        <w:t>proyectos</w:t>
      </w:r>
      <w:r w:rsidRPr="008D6F03">
        <w:rPr>
          <w:rFonts w:ascii="Palatino Linotype" w:eastAsia="Palatino Linotype" w:hAnsi="Palatino Linotype" w:cs="Palatino Linotype"/>
          <w:b/>
          <w:i/>
          <w:sz w:val="22"/>
          <w:szCs w:val="22"/>
        </w:rPr>
        <w:t xml:space="preserve"> de obras públicas y servicios relacionados con las mismas</w:t>
      </w:r>
      <w:r w:rsidRPr="008D6F03">
        <w:rPr>
          <w:rFonts w:ascii="Palatino Linotype" w:eastAsia="Palatino Linotype" w:hAnsi="Palatino Linotype" w:cs="Palatino Linotype"/>
          <w:i/>
          <w:sz w:val="22"/>
          <w:szCs w:val="22"/>
        </w:rPr>
        <w:t xml:space="preserve"> que autorice el Ayuntamiento, una vez que se cumplan los requisitos de licitación y otros que determine la ley de la materia;</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ind w:left="851" w:right="902"/>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XV. </w:t>
      </w:r>
      <w:r w:rsidRPr="008D6F03">
        <w:rPr>
          <w:rFonts w:ascii="Palatino Linotype" w:eastAsia="Palatino Linotype" w:hAnsi="Palatino Linotype" w:cs="Palatino Linotype"/>
          <w:b/>
          <w:i/>
          <w:sz w:val="22"/>
          <w:szCs w:val="22"/>
          <w:u w:val="single"/>
        </w:rPr>
        <w:t>Proyectar, formular y proponer al Presidente Municipal, el Programa General de Obras Públicas</w:t>
      </w:r>
      <w:r w:rsidRPr="008D6F03">
        <w:rPr>
          <w:rFonts w:ascii="Palatino Linotype" w:eastAsia="Palatino Linotype" w:hAnsi="Palatino Linotype" w:cs="Palatino Linotype"/>
          <w:i/>
          <w:sz w:val="22"/>
          <w:szCs w:val="22"/>
        </w:rPr>
        <w:t>, para la construcción y mejoramiento de las mismas, de acuerdo a la normatividad aplicable y en congruencia con el Plan de Desarrollo Municipal y con la política, objetivos y prioridades del Municipio y vigilar su ejecución…”(Sic)</w:t>
      </w:r>
    </w:p>
    <w:p w:rsidR="007B4405" w:rsidRPr="008D6F03" w:rsidRDefault="00CE4C85">
      <w:pPr>
        <w:pBdr>
          <w:top w:val="nil"/>
          <w:left w:val="nil"/>
          <w:bottom w:val="nil"/>
          <w:right w:val="nil"/>
          <w:between w:val="nil"/>
        </w:pBdr>
        <w:spacing w:before="280"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 xml:space="preserve">De los preceptos anteriores se desprende que es atribución de los ayuntamientos la formulación, aprobación y ejecución de los planes de desarrollo municipal y  de los programas correspondientes;  además se denota que dentro de las dependencias con las que cuentan los Ayuntamientos para la realización de las atribuciones que las leyes les confieren, tienen a la Dirección de Obras Públicas a quien le corresponde entre otras cosas, realizar la programación de obras públicas que requieran prioridad; planear y coordinar los proyectos de obras, así como los servicios que se encuentren relacionados con las mismas, cuando sean autorizados por el </w:t>
      </w:r>
      <w:r w:rsidRPr="008D6F03">
        <w:rPr>
          <w:rFonts w:ascii="Palatino Linotype" w:eastAsia="Palatino Linotype" w:hAnsi="Palatino Linotype" w:cs="Palatino Linotype"/>
          <w:color w:val="000000"/>
        </w:rPr>
        <w:lastRenderedPageBreak/>
        <w:t>Ayuntamiento; y proyectar, formular y proponer al Presidente Municipal el programa general de obras públicas.</w:t>
      </w:r>
      <w:r w:rsidRPr="008D6F03">
        <w:rPr>
          <w:rFonts w:ascii="Palatino Linotype" w:eastAsia="Palatino Linotype" w:hAnsi="Palatino Linotype" w:cs="Palatino Linotype"/>
          <w:i/>
          <w:color w:val="000000"/>
        </w:rPr>
        <w:t xml:space="preserve"> </w:t>
      </w:r>
    </w:p>
    <w:p w:rsidR="007B4405" w:rsidRPr="008D6F03" w:rsidRDefault="00CE4C85">
      <w:pPr>
        <w:pBdr>
          <w:top w:val="nil"/>
          <w:left w:val="nil"/>
          <w:bottom w:val="nil"/>
          <w:right w:val="nil"/>
          <w:between w:val="nil"/>
        </w:pBdr>
        <w:tabs>
          <w:tab w:val="left" w:pos="2955"/>
        </w:tabs>
        <w:ind w:left="426"/>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ab/>
      </w:r>
    </w:p>
    <w:p w:rsidR="007B4405" w:rsidRPr="008D6F03" w:rsidRDefault="00CE4C85">
      <w:pPr>
        <w:pBdr>
          <w:top w:val="nil"/>
          <w:left w:val="nil"/>
          <w:bottom w:val="nil"/>
          <w:right w:val="nil"/>
          <w:between w:val="nil"/>
        </w:pBdr>
        <w:spacing w:after="280"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En segundo término, la Ley de Planeación del Estado de México y Municipios se señala en lo que nos interesa, lo siguiente:</w:t>
      </w:r>
    </w:p>
    <w:p w:rsidR="007B4405" w:rsidRPr="008D6F03" w:rsidRDefault="007B4405">
      <w:pPr>
        <w:spacing w:before="240" w:after="240" w:line="360" w:lineRule="auto"/>
        <w:jc w:val="both"/>
        <w:rPr>
          <w:rFonts w:ascii="Palatino Linotype" w:eastAsia="Palatino Linotype" w:hAnsi="Palatino Linotype" w:cs="Palatino Linotype"/>
        </w:rPr>
      </w:pPr>
    </w:p>
    <w:p w:rsidR="007B4405" w:rsidRPr="008D6F03" w:rsidRDefault="00CE4C85">
      <w:pPr>
        <w:pBdr>
          <w:top w:val="nil"/>
          <w:left w:val="nil"/>
          <w:bottom w:val="nil"/>
          <w:right w:val="nil"/>
          <w:between w:val="nil"/>
        </w:pBdr>
        <w:ind w:left="851"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“Artículo 1.- La presente ley es de orden público e interés social y tiene por objeto, establecer las normas:</w:t>
      </w:r>
    </w:p>
    <w:p w:rsidR="007B4405" w:rsidRPr="008D6F03" w:rsidRDefault="00CE4C85">
      <w:pPr>
        <w:pBdr>
          <w:top w:val="nil"/>
          <w:left w:val="nil"/>
          <w:bottom w:val="nil"/>
          <w:right w:val="nil"/>
          <w:between w:val="nil"/>
        </w:pBdr>
        <w:ind w:left="851"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w:t>
      </w:r>
    </w:p>
    <w:p w:rsidR="007B4405" w:rsidRPr="008D6F03" w:rsidRDefault="00CE4C85">
      <w:pPr>
        <w:pBdr>
          <w:top w:val="nil"/>
          <w:left w:val="nil"/>
          <w:bottom w:val="nil"/>
          <w:right w:val="nil"/>
          <w:between w:val="nil"/>
        </w:pBdr>
        <w:ind w:left="851"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II. </w:t>
      </w:r>
      <w:r w:rsidRPr="008D6F03">
        <w:rPr>
          <w:rFonts w:ascii="Palatino Linotype" w:eastAsia="Palatino Linotype" w:hAnsi="Palatino Linotype" w:cs="Palatino Linotype"/>
          <w:b/>
          <w:i/>
          <w:color w:val="000000"/>
          <w:sz w:val="22"/>
          <w:szCs w:val="22"/>
        </w:rPr>
        <w:t>De la participación democrática de los habitantes del Estado de México, grupos y organizaciones sociales y privados en la elaboración, ejecución y evaluación</w:t>
      </w:r>
      <w:r w:rsidRPr="008D6F03">
        <w:rPr>
          <w:rFonts w:ascii="Palatino Linotype" w:eastAsia="Palatino Linotype" w:hAnsi="Palatino Linotype" w:cs="Palatino Linotype"/>
          <w:i/>
          <w:color w:val="000000"/>
          <w:sz w:val="22"/>
          <w:szCs w:val="22"/>
        </w:rPr>
        <w:t xml:space="preserve"> del Plan de Desarrollo del Estado de México y los planes de desarrollo municipales, así como </w:t>
      </w:r>
      <w:r w:rsidRPr="008D6F03">
        <w:rPr>
          <w:rFonts w:ascii="Palatino Linotype" w:eastAsia="Palatino Linotype" w:hAnsi="Palatino Linotype" w:cs="Palatino Linotype"/>
          <w:b/>
          <w:i/>
          <w:color w:val="000000"/>
          <w:sz w:val="22"/>
          <w:szCs w:val="22"/>
        </w:rPr>
        <w:t>de los programas a que se refiere esta ley</w:t>
      </w:r>
      <w:r w:rsidRPr="008D6F03">
        <w:rPr>
          <w:rFonts w:ascii="Palatino Linotype" w:eastAsia="Palatino Linotype" w:hAnsi="Palatino Linotype" w:cs="Palatino Linotype"/>
          <w:i/>
          <w:color w:val="000000"/>
          <w:sz w:val="22"/>
          <w:szCs w:val="22"/>
        </w:rPr>
        <w:t>;…”</w:t>
      </w:r>
    </w:p>
    <w:p w:rsidR="007B4405" w:rsidRPr="008D6F03" w:rsidRDefault="00CE4C85">
      <w:pPr>
        <w:pBdr>
          <w:top w:val="nil"/>
          <w:left w:val="nil"/>
          <w:bottom w:val="nil"/>
          <w:right w:val="nil"/>
          <w:between w:val="nil"/>
        </w:pBdr>
        <w:ind w:left="851"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“Artículo 10.- Para efectos de esta Ley, se entiende por:</w:t>
      </w:r>
    </w:p>
    <w:p w:rsidR="007B4405" w:rsidRPr="008D6F03" w:rsidRDefault="00CE4C85">
      <w:pPr>
        <w:pBdr>
          <w:top w:val="nil"/>
          <w:left w:val="nil"/>
          <w:bottom w:val="nil"/>
          <w:right w:val="nil"/>
          <w:between w:val="nil"/>
        </w:pBdr>
        <w:ind w:left="851"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w:t>
      </w:r>
    </w:p>
    <w:p w:rsidR="007B4405" w:rsidRPr="008D6F03" w:rsidRDefault="00CE4C85">
      <w:pPr>
        <w:pBdr>
          <w:top w:val="nil"/>
          <w:left w:val="nil"/>
          <w:bottom w:val="nil"/>
          <w:right w:val="nil"/>
          <w:between w:val="nil"/>
        </w:pBdr>
        <w:ind w:left="851"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b/>
          <w:i/>
          <w:color w:val="000000"/>
          <w:sz w:val="22"/>
          <w:szCs w:val="22"/>
          <w:u w:val="single"/>
        </w:rPr>
        <w:t>Programa</w:t>
      </w:r>
      <w:r w:rsidRPr="008D6F03">
        <w:rPr>
          <w:rFonts w:ascii="Palatino Linotype" w:eastAsia="Palatino Linotype" w:hAnsi="Palatino Linotype" w:cs="Palatino Linotype"/>
          <w:i/>
          <w:color w:val="000000"/>
          <w:sz w:val="22"/>
          <w:szCs w:val="22"/>
          <w:u w:val="single"/>
        </w:rPr>
        <w:t>.</w:t>
      </w:r>
      <w:r w:rsidRPr="008D6F03">
        <w:rPr>
          <w:rFonts w:ascii="Palatino Linotype" w:eastAsia="Palatino Linotype" w:hAnsi="Palatino Linotype" w:cs="Palatino Linotype"/>
          <w:i/>
          <w:color w:val="000000"/>
          <w:sz w:val="22"/>
          <w:szCs w:val="22"/>
        </w:rPr>
        <w:t xml:space="preserve"> </w:t>
      </w:r>
      <w:r w:rsidRPr="008D6F03">
        <w:rPr>
          <w:rFonts w:ascii="Palatino Linotype" w:eastAsia="Palatino Linotype" w:hAnsi="Palatino Linotype" w:cs="Palatino Linotype"/>
          <w:b/>
          <w:i/>
          <w:color w:val="000000"/>
          <w:sz w:val="22"/>
          <w:szCs w:val="22"/>
        </w:rPr>
        <w:t>Instrumento de los planes que ordena y vincula, cronológica, espacial, cuantitativa y técnicamente las acciones o actividades y los recursos necesarios para alcanzar una meta, que contribuirá a lograr los objetivos de los planes de desarrollo</w:t>
      </w:r>
      <w:r w:rsidRPr="008D6F03">
        <w:rPr>
          <w:rFonts w:ascii="Palatino Linotype" w:eastAsia="Palatino Linotype" w:hAnsi="Palatino Linotype" w:cs="Palatino Linotype"/>
          <w:i/>
          <w:color w:val="000000"/>
          <w:sz w:val="22"/>
          <w:szCs w:val="22"/>
        </w:rPr>
        <w:t>.</w:t>
      </w:r>
    </w:p>
    <w:p w:rsidR="007B4405" w:rsidRPr="008D6F03" w:rsidRDefault="00CE4C85">
      <w:pPr>
        <w:pBdr>
          <w:top w:val="nil"/>
          <w:left w:val="nil"/>
          <w:bottom w:val="nil"/>
          <w:right w:val="nil"/>
          <w:between w:val="nil"/>
        </w:pBdr>
        <w:ind w:left="851"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w:t>
      </w:r>
    </w:p>
    <w:p w:rsidR="007B4405" w:rsidRPr="008D6F03" w:rsidRDefault="00CE4C85">
      <w:pPr>
        <w:pBdr>
          <w:top w:val="nil"/>
          <w:left w:val="nil"/>
          <w:bottom w:val="nil"/>
          <w:right w:val="nil"/>
          <w:between w:val="nil"/>
        </w:pBdr>
        <w:ind w:left="851"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b/>
          <w:i/>
          <w:color w:val="000000"/>
          <w:sz w:val="22"/>
          <w:szCs w:val="22"/>
        </w:rPr>
        <w:t>“Artículo 19.- Compete a los ayuntamientos</w:t>
      </w:r>
      <w:r w:rsidRPr="008D6F03">
        <w:rPr>
          <w:rFonts w:ascii="Palatino Linotype" w:eastAsia="Palatino Linotype" w:hAnsi="Palatino Linotype" w:cs="Palatino Linotype"/>
          <w:i/>
          <w:color w:val="000000"/>
          <w:sz w:val="22"/>
          <w:szCs w:val="22"/>
        </w:rPr>
        <w:t xml:space="preserve">, </w:t>
      </w:r>
      <w:r w:rsidRPr="008D6F03">
        <w:rPr>
          <w:rFonts w:ascii="Palatino Linotype" w:eastAsia="Palatino Linotype" w:hAnsi="Palatino Linotype" w:cs="Palatino Linotype"/>
          <w:b/>
          <w:i/>
          <w:color w:val="000000"/>
          <w:sz w:val="22"/>
          <w:szCs w:val="22"/>
        </w:rPr>
        <w:t>en materia de planeación democrática para el desarrollo</w:t>
      </w:r>
      <w:r w:rsidRPr="008D6F03">
        <w:rPr>
          <w:rFonts w:ascii="Palatino Linotype" w:eastAsia="Palatino Linotype" w:hAnsi="Palatino Linotype" w:cs="Palatino Linotype"/>
          <w:i/>
          <w:color w:val="000000"/>
          <w:sz w:val="22"/>
          <w:szCs w:val="22"/>
        </w:rPr>
        <w:t>:</w:t>
      </w:r>
    </w:p>
    <w:p w:rsidR="007B4405" w:rsidRPr="008D6F03" w:rsidRDefault="00CE4C85">
      <w:pPr>
        <w:pBdr>
          <w:top w:val="nil"/>
          <w:left w:val="nil"/>
          <w:bottom w:val="nil"/>
          <w:right w:val="nil"/>
          <w:between w:val="nil"/>
        </w:pBdr>
        <w:spacing w:after="240"/>
        <w:ind w:left="851"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I. </w:t>
      </w:r>
      <w:r w:rsidRPr="008D6F03">
        <w:rPr>
          <w:rFonts w:ascii="Palatino Linotype" w:eastAsia="Palatino Linotype" w:hAnsi="Palatino Linotype" w:cs="Palatino Linotype"/>
          <w:b/>
          <w:i/>
          <w:color w:val="000000"/>
          <w:sz w:val="22"/>
          <w:szCs w:val="22"/>
        </w:rPr>
        <w:t xml:space="preserve">Elaborar, aprobar, ejecutar, dar seguimiento, evaluar y el control del Plan de Desarrollo Municipal </w:t>
      </w:r>
      <w:r w:rsidRPr="008D6F03">
        <w:rPr>
          <w:rFonts w:ascii="Palatino Linotype" w:eastAsia="Palatino Linotype" w:hAnsi="Palatino Linotype" w:cs="Palatino Linotype"/>
          <w:b/>
          <w:i/>
          <w:color w:val="000000"/>
          <w:sz w:val="22"/>
          <w:szCs w:val="22"/>
          <w:u w:val="single"/>
        </w:rPr>
        <w:t>y sus programas</w:t>
      </w:r>
      <w:r w:rsidRPr="008D6F03">
        <w:rPr>
          <w:rFonts w:ascii="Palatino Linotype" w:eastAsia="Palatino Linotype" w:hAnsi="Palatino Linotype" w:cs="Palatino Linotype"/>
          <w:i/>
          <w:color w:val="000000"/>
          <w:sz w:val="22"/>
          <w:szCs w:val="22"/>
        </w:rPr>
        <w:t>;…”(Sic)</w:t>
      </w:r>
    </w:p>
    <w:p w:rsidR="007B4405" w:rsidRPr="008D6F03" w:rsidRDefault="00CE4C85">
      <w:pPr>
        <w:pBdr>
          <w:top w:val="nil"/>
          <w:left w:val="nil"/>
          <w:bottom w:val="nil"/>
          <w:right w:val="nil"/>
          <w:between w:val="nil"/>
        </w:pBdr>
        <w:spacing w:before="280"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 xml:space="preserve">Como se desprende de los preceptos anteriores, podemos advertir que la participación democrática de los habitantes del Estado de México se incluye en la elaboración, ejecución y evaluación de los programas relacionados con el Plan de Desarrollo Municipal que le compete a su vez elaborar, aprobar, ejecutar, dar seguimiento, evaluar y controlar a los ayuntamientos; entendiendo por programa al </w:t>
      </w:r>
      <w:r w:rsidRPr="008D6F03">
        <w:rPr>
          <w:rFonts w:ascii="Palatino Linotype" w:eastAsia="Palatino Linotype" w:hAnsi="Palatino Linotype" w:cs="Palatino Linotype"/>
          <w:color w:val="000000"/>
        </w:rPr>
        <w:lastRenderedPageBreak/>
        <w:t xml:space="preserve">instrumento de los planes que ordena y circula, cronológica, espacial cuantitativa y técnicamente, las acciones o actividades y los recursos para alcanzar una meta. </w:t>
      </w:r>
    </w:p>
    <w:p w:rsidR="007B4405" w:rsidRPr="008D6F03" w:rsidRDefault="007B4405">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7B4405" w:rsidRPr="008D6F03" w:rsidRDefault="00CE4C85">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En tercer término, el Código Administrativo del Estado de México señala en el mismo sentido que los artículos antes citados, en su artículo 12.15 que corresponde a los Ayuntamientos formular los programas de obra pública o de servicios relacionados con la misma, con base en las políticas, objetivos y prioridades de la planeación del desarrollo del Municipio</w:t>
      </w:r>
      <w:r w:rsidRPr="008D6F03">
        <w:rPr>
          <w:rFonts w:ascii="Palatino Linotype" w:eastAsia="Palatino Linotype" w:hAnsi="Palatino Linotype" w:cs="Palatino Linotype"/>
          <w:color w:val="000000"/>
          <w:vertAlign w:val="superscript"/>
        </w:rPr>
        <w:footnoteReference w:id="3"/>
      </w:r>
      <w:r w:rsidRPr="008D6F03">
        <w:rPr>
          <w:rFonts w:ascii="Palatino Linotype" w:eastAsia="Palatino Linotype" w:hAnsi="Palatino Linotype" w:cs="Palatino Linotype"/>
          <w:color w:val="000000"/>
        </w:rPr>
        <w:t xml:space="preserve">. </w:t>
      </w:r>
    </w:p>
    <w:p w:rsidR="007B4405" w:rsidRPr="008D6F03" w:rsidRDefault="007B4405">
      <w:pPr>
        <w:pBdr>
          <w:top w:val="nil"/>
          <w:left w:val="nil"/>
          <w:bottom w:val="nil"/>
          <w:right w:val="nil"/>
          <w:between w:val="nil"/>
        </w:pBdr>
        <w:ind w:left="426"/>
        <w:jc w:val="both"/>
        <w:rPr>
          <w:rFonts w:ascii="Palatino Linotype" w:eastAsia="Palatino Linotype" w:hAnsi="Palatino Linotype" w:cs="Palatino Linotype"/>
          <w:color w:val="000000"/>
        </w:rPr>
      </w:pPr>
    </w:p>
    <w:p w:rsidR="007B4405" w:rsidRPr="008D6F03" w:rsidRDefault="00CE4C85">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Además, el programa de obras, se encuentra vinculado con el Presupuesto de Egresos Municipal; para argumentar lo anterior, es indispensable citar lo ordenado por el artículo 125 de la Constitución Política del Estado Libre y Soberano de México, que en su penúltimo párrafo establece que el Presidente Municipal, promulgará y publicará el Presupuesto de Egresos Municipal, a más tardar el día 25 de febrero de cada año debiendo enviarlo al Órgano Superior de Fiscalización en la misma fecha</w:t>
      </w:r>
      <w:r w:rsidRPr="008D6F03">
        <w:rPr>
          <w:rFonts w:ascii="Palatino Linotype" w:eastAsia="Palatino Linotype" w:hAnsi="Palatino Linotype" w:cs="Palatino Linotype"/>
          <w:b/>
          <w:i/>
          <w:color w:val="000000"/>
        </w:rPr>
        <w:t xml:space="preserve">;  </w:t>
      </w:r>
      <w:r w:rsidRPr="008D6F03">
        <w:rPr>
          <w:rFonts w:ascii="Palatino Linotype" w:eastAsia="Palatino Linotype" w:hAnsi="Palatino Linotype" w:cs="Palatino Linotype"/>
          <w:color w:val="000000"/>
        </w:rPr>
        <w:t>de lo cual se colige que deberá presentar la propuesta correspondiente, a fin de que el día veinticinco de febrero de cada año pueda llevarse a cabo su promulgación y publicación e informar al Órgano Superior de Fiscalización del Estado de México.</w:t>
      </w:r>
    </w:p>
    <w:p w:rsidR="007B4405" w:rsidRPr="008D6F03" w:rsidRDefault="007B4405">
      <w:pPr>
        <w:rPr>
          <w:rFonts w:ascii="Palatino Linotype" w:eastAsia="Palatino Linotype" w:hAnsi="Palatino Linotype" w:cs="Palatino Linotype"/>
        </w:rPr>
      </w:pPr>
    </w:p>
    <w:p w:rsidR="007B4405" w:rsidRPr="008D6F03" w:rsidRDefault="00CE4C85">
      <w:pPr>
        <w:pBdr>
          <w:top w:val="nil"/>
          <w:left w:val="nil"/>
          <w:bottom w:val="nil"/>
          <w:right w:val="nil"/>
          <w:between w:val="nil"/>
        </w:pBdr>
        <w:spacing w:after="280"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lastRenderedPageBreak/>
        <w:t>En ese tenor, la Ley Orgánica Municipal del Estado de México resulta de interés lo que señalan sus artículos 31, fracción XIX, 100 y 101, a saber:</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sz w:val="22"/>
          <w:szCs w:val="22"/>
        </w:rPr>
        <w:t>“</w:t>
      </w:r>
      <w:r w:rsidRPr="008D6F03">
        <w:rPr>
          <w:rFonts w:ascii="Palatino Linotype" w:eastAsia="Palatino Linotype" w:hAnsi="Palatino Linotype" w:cs="Palatino Linotype"/>
          <w:b/>
          <w:i/>
          <w:sz w:val="22"/>
          <w:szCs w:val="22"/>
        </w:rPr>
        <w:t>Artículo 31</w:t>
      </w:r>
      <w:r w:rsidRPr="008D6F03">
        <w:rPr>
          <w:rFonts w:ascii="Palatino Linotype" w:eastAsia="Palatino Linotype" w:hAnsi="Palatino Linotype" w:cs="Palatino Linotype"/>
          <w:i/>
          <w:sz w:val="22"/>
          <w:szCs w:val="22"/>
        </w:rPr>
        <w:t>.- Son atribuciones de los ayuntamientos:</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XIX. </w:t>
      </w:r>
      <w:r w:rsidRPr="008D6F03">
        <w:rPr>
          <w:rFonts w:ascii="Palatino Linotype" w:eastAsia="Palatino Linotype" w:hAnsi="Palatino Linotype" w:cs="Palatino Linotype"/>
          <w:b/>
          <w:i/>
          <w:sz w:val="22"/>
          <w:szCs w:val="22"/>
        </w:rPr>
        <w:t>Aprobar anualmente a más tardar el 20 de diciembre, su Presupuesto de Egresos, en base a los ingresos presupuestados para el ejercicio que corresponda</w:t>
      </w:r>
      <w:r w:rsidRPr="008D6F03">
        <w:rPr>
          <w:rFonts w:ascii="Palatino Linotype" w:eastAsia="Palatino Linotype" w:hAnsi="Palatino Linotype" w:cs="Palatino Linotype"/>
          <w:i/>
          <w:sz w:val="22"/>
          <w:szCs w:val="22"/>
        </w:rPr>
        <w:t>, el cual podrá ser adecuado en función de las implicaciones que deriven de la aprobación de la Ley de Ingresos Municipal que haga la Legislatura, así como por la asignación de las participaciones y aportaciones federales y estatales.</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Artículo 100.-</w:t>
      </w:r>
      <w:r w:rsidRPr="008D6F03">
        <w:rPr>
          <w:rFonts w:ascii="Palatino Linotype" w:eastAsia="Palatino Linotype" w:hAnsi="Palatino Linotype" w:cs="Palatino Linotype"/>
          <w:i/>
          <w:sz w:val="22"/>
          <w:szCs w:val="22"/>
        </w:rPr>
        <w:t xml:space="preserve"> El presupuesto de egresos deberá contener las previsiones de gasto público que habrán de realizar los municipios.</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Artículo 101.</w:t>
      </w:r>
      <w:r w:rsidRPr="008D6F03">
        <w:rPr>
          <w:rFonts w:ascii="Palatino Linotype" w:eastAsia="Palatino Linotype" w:hAnsi="Palatino Linotype" w:cs="Palatino Linotype"/>
          <w:i/>
          <w:sz w:val="22"/>
          <w:szCs w:val="22"/>
        </w:rPr>
        <w:t>- El proyecto del presupuesto de egresos se integrará básicamente con:</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I.</w:t>
      </w:r>
      <w:r w:rsidRPr="008D6F03">
        <w:rPr>
          <w:rFonts w:ascii="Palatino Linotype" w:eastAsia="Palatino Linotype" w:hAnsi="Palatino Linotype" w:cs="Palatino Linotype"/>
          <w:i/>
          <w:sz w:val="22"/>
          <w:szCs w:val="22"/>
        </w:rPr>
        <w:t xml:space="preserve"> </w:t>
      </w:r>
      <w:r w:rsidRPr="008D6F03">
        <w:rPr>
          <w:rFonts w:ascii="Palatino Linotype" w:eastAsia="Palatino Linotype" w:hAnsi="Palatino Linotype" w:cs="Palatino Linotype"/>
          <w:b/>
          <w:i/>
          <w:sz w:val="22"/>
          <w:szCs w:val="22"/>
          <w:u w:val="single"/>
        </w:rPr>
        <w:t>Los programas en que se señalen objetivos, metas y unidades responsables para su ejecución</w:t>
      </w:r>
      <w:r w:rsidRPr="008D6F03">
        <w:rPr>
          <w:rFonts w:ascii="Palatino Linotype" w:eastAsia="Palatino Linotype" w:hAnsi="Palatino Linotype" w:cs="Palatino Linotype"/>
          <w:b/>
          <w:i/>
          <w:sz w:val="22"/>
          <w:szCs w:val="22"/>
        </w:rPr>
        <w:t>, así como la valuación estimada del programa</w:t>
      </w:r>
      <w:r w:rsidRPr="008D6F03">
        <w:rPr>
          <w:rFonts w:ascii="Palatino Linotype" w:eastAsia="Palatino Linotype" w:hAnsi="Palatino Linotype" w:cs="Palatino Linotype"/>
          <w:i/>
          <w:sz w:val="22"/>
          <w:szCs w:val="22"/>
        </w:rPr>
        <w:t>;</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II. Estimación de los ingresos y gastos del ejercicio fiscal calendarizados;</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III. Situación de deuda pública.</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El proyecto de presupuesto de egresos deberá realizarse con base en los criterios de proporcionalidad y equidad, considerando las necesidades básicas de las localidades que integran al municipio</w:t>
      </w:r>
      <w:r w:rsidRPr="008D6F03">
        <w:rPr>
          <w:rFonts w:ascii="Palatino Linotype" w:eastAsia="Palatino Linotype" w:hAnsi="Palatino Linotype" w:cs="Palatino Linotype"/>
          <w:i/>
          <w:sz w:val="22"/>
          <w:szCs w:val="22"/>
        </w:rPr>
        <w:t xml:space="preserve">.”(Sic) </w:t>
      </w:r>
    </w:p>
    <w:p w:rsidR="007B4405" w:rsidRPr="008D6F03" w:rsidRDefault="00CE4C85">
      <w:pPr>
        <w:pBdr>
          <w:top w:val="nil"/>
          <w:left w:val="nil"/>
          <w:bottom w:val="nil"/>
          <w:right w:val="nil"/>
          <w:between w:val="nil"/>
        </w:pBdr>
        <w:spacing w:before="280" w:after="280"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Por otra parte, la Ley de Planeación del Estado de México y Municipios contempla las atribuciones de los Ayuntamientos en materia de presupuesto:</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Artículo 19</w:t>
      </w:r>
      <w:r w:rsidRPr="008D6F03">
        <w:rPr>
          <w:rFonts w:ascii="Palatino Linotype" w:eastAsia="Palatino Linotype" w:hAnsi="Palatino Linotype" w:cs="Palatino Linotype"/>
          <w:i/>
          <w:sz w:val="22"/>
          <w:szCs w:val="22"/>
        </w:rPr>
        <w:t>.- Compete a los ayuntamientos, en materia de planeación democrática para el desarrollo:</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tabs>
          <w:tab w:val="left" w:pos="7513"/>
        </w:tabs>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VIII. </w:t>
      </w:r>
      <w:r w:rsidRPr="008D6F03">
        <w:rPr>
          <w:rFonts w:ascii="Palatino Linotype" w:eastAsia="Palatino Linotype" w:hAnsi="Palatino Linotype" w:cs="Palatino Linotype"/>
          <w:b/>
          <w:i/>
          <w:sz w:val="22"/>
          <w:szCs w:val="22"/>
        </w:rPr>
        <w:t>Integrar y elaborar el presupuesto</w:t>
      </w:r>
      <w:r w:rsidRPr="008D6F03">
        <w:rPr>
          <w:rFonts w:ascii="Palatino Linotype" w:eastAsia="Palatino Linotype" w:hAnsi="Palatino Linotype" w:cs="Palatino Linotype"/>
          <w:i/>
          <w:sz w:val="22"/>
          <w:szCs w:val="22"/>
        </w:rPr>
        <w:t xml:space="preserve"> </w:t>
      </w:r>
      <w:r w:rsidRPr="008D6F03">
        <w:rPr>
          <w:rFonts w:ascii="Palatino Linotype" w:eastAsia="Palatino Linotype" w:hAnsi="Palatino Linotype" w:cs="Palatino Linotype"/>
          <w:b/>
          <w:i/>
          <w:sz w:val="22"/>
          <w:szCs w:val="22"/>
        </w:rPr>
        <w:t>por programas para la ejecución de las acciones que correspondan</w:t>
      </w:r>
      <w:r w:rsidRPr="008D6F03">
        <w:rPr>
          <w:rFonts w:ascii="Palatino Linotype" w:eastAsia="Palatino Linotype" w:hAnsi="Palatino Linotype" w:cs="Palatino Linotype"/>
          <w:i/>
          <w:sz w:val="22"/>
          <w:szCs w:val="22"/>
        </w:rPr>
        <w:t>, de acuerdo con las leyes, reglamentos y demás disposiciones;…”(Sic)</w:t>
      </w:r>
    </w:p>
    <w:p w:rsidR="007B4405" w:rsidRPr="008D6F03" w:rsidRDefault="007B4405">
      <w:pPr>
        <w:spacing w:line="360" w:lineRule="auto"/>
        <w:ind w:left="567" w:right="618"/>
        <w:jc w:val="both"/>
        <w:rPr>
          <w:rFonts w:ascii="Palatino Linotype" w:eastAsia="Palatino Linotype" w:hAnsi="Palatino Linotype" w:cs="Palatino Linotype"/>
          <w:i/>
          <w:sz w:val="20"/>
          <w:szCs w:val="20"/>
        </w:rPr>
      </w:pPr>
    </w:p>
    <w:p w:rsidR="007B4405" w:rsidRPr="008D6F03" w:rsidRDefault="00CE4C85">
      <w:pPr>
        <w:pBdr>
          <w:top w:val="nil"/>
          <w:left w:val="nil"/>
          <w:bottom w:val="nil"/>
          <w:right w:val="nil"/>
          <w:between w:val="nil"/>
        </w:pBdr>
        <w:spacing w:after="280"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lastRenderedPageBreak/>
        <w:t>De lo anterior se colige que efectivamente compete a los Ayuntamientos integrar y elaborar el Presupuesto e informarlo al Órgano Superior de Fiscalización de la entidad, conforme a lo dispuesto en la Ley de Fiscalización Superior del Estado de México, que  en su artículo 47, señala:</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 xml:space="preserve">Artículo 47.- </w:t>
      </w:r>
      <w:r w:rsidRPr="008D6F03">
        <w:rPr>
          <w:rFonts w:ascii="Palatino Linotype" w:eastAsia="Palatino Linotype" w:hAnsi="Palatino Linotype" w:cs="Palatino Linotype"/>
          <w:i/>
          <w:sz w:val="22"/>
          <w:szCs w:val="22"/>
        </w:rPr>
        <w:t>Los Presidentes Municipales y los Síndicos estarán obligados a informar al Órgano Superior</w:t>
      </w:r>
      <w:r w:rsidRPr="008D6F03">
        <w:rPr>
          <w:rFonts w:ascii="Palatino Linotype" w:eastAsia="Palatino Linotype" w:hAnsi="Palatino Linotype" w:cs="Palatino Linotype"/>
          <w:b/>
          <w:i/>
          <w:sz w:val="22"/>
          <w:szCs w:val="22"/>
        </w:rPr>
        <w:t>, a más tardar el 25 de febrero de cada año</w:t>
      </w:r>
      <w:r w:rsidRPr="008D6F03">
        <w:rPr>
          <w:rFonts w:ascii="Palatino Linotype" w:eastAsia="Palatino Linotype" w:hAnsi="Palatino Linotype" w:cs="Palatino Linotype"/>
          <w:i/>
          <w:sz w:val="22"/>
          <w:szCs w:val="22"/>
        </w:rPr>
        <w:t>, el Presupuesto de Egresos Municipal que haya aprobado el Ayuntamiento correspondiente.”(Sic)</w:t>
      </w:r>
    </w:p>
    <w:p w:rsidR="007B4405" w:rsidRPr="008D6F03" w:rsidRDefault="007B4405">
      <w:pPr>
        <w:ind w:left="567" w:right="567"/>
        <w:jc w:val="both"/>
        <w:rPr>
          <w:rFonts w:ascii="Palatino Linotype" w:eastAsia="Palatino Linotype" w:hAnsi="Palatino Linotype" w:cs="Palatino Linotype"/>
          <w:i/>
          <w:sz w:val="20"/>
          <w:szCs w:val="20"/>
        </w:rPr>
      </w:pPr>
    </w:p>
    <w:p w:rsidR="007B4405" w:rsidRPr="008D6F03" w:rsidRDefault="00CE4C85">
      <w:pPr>
        <w:tabs>
          <w:tab w:val="left" w:pos="2552"/>
        </w:tabs>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Aunado a lo anterior, el Manual para la Planeación, Programación y </w:t>
      </w:r>
      <w:proofErr w:type="spellStart"/>
      <w:r w:rsidRPr="008D6F03">
        <w:rPr>
          <w:rFonts w:ascii="Palatino Linotype" w:eastAsia="Palatino Linotype" w:hAnsi="Palatino Linotype" w:cs="Palatino Linotype"/>
        </w:rPr>
        <w:t>Presupuestación</w:t>
      </w:r>
      <w:proofErr w:type="spellEnd"/>
      <w:r w:rsidRPr="008D6F03">
        <w:rPr>
          <w:rFonts w:ascii="Palatino Linotype" w:eastAsia="Palatino Linotype" w:hAnsi="Palatino Linotype" w:cs="Palatino Linotype"/>
        </w:rPr>
        <w:t xml:space="preserve"> Municipal para el Ejercicio Fiscal 2022, el cual además de apoyar los procesos para una mejor coordinación de acciones y un trabajo en equipo entre la Tesorería, la Unidad de Información, Planeación, Programación y Evaluación (UIPPE) Municipal o su equivalente, en términos de la Ley de Planeación del Estado de México y Municipios, la Contraloría Municipal y las distintas dependencias generales y auxiliares; garantiza realizar la integración del proyecto de presupuesto de egresos municipal, que sustente programas y proyectos que se ejecutarán en el ejercicio fiscal, orientando éstos a la realización de acciones que den cumplimiento a objetivos preestablecidos en el Plan de Desarrollo Municipal (PDM), los cuales serán verificados a través de indicadores y metas previstas a alcanzar; además en el cual se determinan los formatos impresos que deben integrarse, como sigue:</w:t>
      </w:r>
    </w:p>
    <w:p w:rsidR="007B4405" w:rsidRPr="008D6F03" w:rsidRDefault="007B4405">
      <w:pPr>
        <w:tabs>
          <w:tab w:val="left" w:pos="2552"/>
        </w:tabs>
        <w:spacing w:line="360" w:lineRule="auto"/>
        <w:jc w:val="both"/>
        <w:rPr>
          <w:rFonts w:ascii="Palatino Linotype" w:eastAsia="Palatino Linotype" w:hAnsi="Palatino Linotype" w:cs="Palatino Linotype"/>
        </w:rPr>
      </w:pP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“Finalmente, para la presentación del Presupuesto de Egresos Municipal ante el Órgano Superior de Fiscalización del Estado de México (OSFEM), se deberá contar con la siguiente información impresa: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1. Oficio de presentación: Deberá estar dirigido al Auditor Superior del OSFEM, indicando la presentación del Presupuesto de Egresos Municipal para el ejercicio </w:t>
      </w:r>
      <w:r w:rsidRPr="008D6F03">
        <w:rPr>
          <w:rFonts w:ascii="Palatino Linotype" w:eastAsia="Palatino Linotype" w:hAnsi="Palatino Linotype" w:cs="Palatino Linotype"/>
          <w:i/>
          <w:sz w:val="22"/>
          <w:szCs w:val="22"/>
        </w:rPr>
        <w:lastRenderedPageBreak/>
        <w:t xml:space="preserve">fiscal correspondiente, fundamentado en el artículo 125 de la Constitución del Estado Libre y Soberano de México y en el artículo 47 de la Ley de Fiscalización Superior del Estado de México, vigente debidamente firmado por la autoridad competente.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2. Copia certificada del acta de Cabildo, Consejo Directivo o Junta de Gobierno: Deberá reflejar el monto del Presupuesto de Egresos, señalar la forma de aprobación (unanimidad o mayoría), el desarrollo de los hechos (versión escenográfica), sus firmas y el sello.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3. Carátula de presupuesto de ingresos (PbRM-03b).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4. Carátula de presupuesto de egresos (PbRM-04d).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5. Presupuesto de ingresos detallado (PbRM-03a).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6. Presupuesto de Egreso global calendarizado (PbRM-04c).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7. Tabulador de sueldos (PbRM-05).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8. Programa anual de Adquisiciones (PbRM-06).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9. Programa anual de obra (PbRM-07a)</w:t>
      </w:r>
      <w:r w:rsidRPr="008D6F03">
        <w:rPr>
          <w:rFonts w:ascii="Palatino Linotype" w:eastAsia="Palatino Linotype" w:hAnsi="Palatino Linotype" w:cs="Palatino Linotype"/>
          <w:i/>
          <w:sz w:val="22"/>
          <w:szCs w:val="22"/>
        </w:rPr>
        <w:t xml:space="preserve">.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10. Programa anual de obra (reparaciones y mantenimientos) (PbRM-07b). </w:t>
      </w:r>
    </w:p>
    <w:p w:rsidR="007B4405" w:rsidRPr="008D6F03" w:rsidRDefault="00CE4C85">
      <w:pPr>
        <w:ind w:left="851" w:right="90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Con el propósito de que los entes municipales tengan mayor facilidad en el manejo de los documentos que integran la Ley de Ingresos Municipal y el Presupuesto de Egresos Municipal, adicionalmente a la información impresa se deberá anexar información en archivos electrónicos atendiendo los lineamientos y disposiciones que establezca el OSFEM, sin menoscabo de lo que establece el presente Manual.” (Sic)</w:t>
      </w:r>
    </w:p>
    <w:p w:rsidR="007B4405" w:rsidRPr="008D6F03" w:rsidRDefault="007B4405">
      <w:pPr>
        <w:tabs>
          <w:tab w:val="left" w:pos="2552"/>
        </w:tabs>
        <w:jc w:val="both"/>
        <w:rPr>
          <w:rFonts w:ascii="Palatino Linotype" w:eastAsia="Palatino Linotype" w:hAnsi="Palatino Linotype" w:cs="Palatino Linotype"/>
        </w:rPr>
      </w:pPr>
    </w:p>
    <w:p w:rsidR="007B4405" w:rsidRPr="008D6F03" w:rsidRDefault="00CE4C85">
      <w:pPr>
        <w:tabs>
          <w:tab w:val="left" w:pos="2552"/>
        </w:tabs>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Mismo que se maneja con el formato siguiente:</w:t>
      </w:r>
    </w:p>
    <w:p w:rsidR="007B4405" w:rsidRPr="008D6F03" w:rsidRDefault="00CE4C85">
      <w:pPr>
        <w:tabs>
          <w:tab w:val="left" w:pos="2552"/>
        </w:tabs>
        <w:jc w:val="center"/>
        <w:rPr>
          <w:rFonts w:ascii="Palatino Linotype" w:eastAsia="Palatino Linotype" w:hAnsi="Palatino Linotype" w:cs="Palatino Linotype"/>
        </w:rPr>
      </w:pPr>
      <w:bookmarkStart w:id="3" w:name="_GoBack"/>
      <w:r w:rsidRPr="008D6F03">
        <w:rPr>
          <w:noProof/>
          <w:lang w:eastAsia="es-MX"/>
        </w:rPr>
        <w:lastRenderedPageBreak/>
        <w:drawing>
          <wp:inline distT="0" distB="0" distL="0" distR="0">
            <wp:extent cx="6023530" cy="4699952"/>
            <wp:effectExtent l="0" t="0" r="0" b="0"/>
            <wp:docPr id="9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
                    <a:srcRect l="24124" t="15720" r="24690" b="15741"/>
                    <a:stretch>
                      <a:fillRect/>
                    </a:stretch>
                  </pic:blipFill>
                  <pic:spPr>
                    <a:xfrm>
                      <a:off x="0" y="0"/>
                      <a:ext cx="6023530" cy="4699952"/>
                    </a:xfrm>
                    <a:prstGeom prst="rect">
                      <a:avLst/>
                    </a:prstGeom>
                    <a:ln/>
                  </pic:spPr>
                </pic:pic>
              </a:graphicData>
            </a:graphic>
          </wp:inline>
        </w:drawing>
      </w:r>
      <w:bookmarkEnd w:id="3"/>
    </w:p>
    <w:p w:rsidR="007B4405" w:rsidRPr="008D6F03" w:rsidRDefault="007B4405">
      <w:pPr>
        <w:tabs>
          <w:tab w:val="left" w:pos="2552"/>
        </w:tabs>
        <w:jc w:val="center"/>
        <w:rPr>
          <w:rFonts w:ascii="Palatino Linotype" w:eastAsia="Palatino Linotype" w:hAnsi="Palatino Linotype" w:cs="Palatino Linotype"/>
        </w:rPr>
      </w:pPr>
    </w:p>
    <w:p w:rsidR="007B4405" w:rsidRPr="008D6F03" w:rsidRDefault="00CE4C85">
      <w:pPr>
        <w:tabs>
          <w:tab w:val="left" w:pos="2552"/>
        </w:tabs>
        <w:spacing w:line="360" w:lineRule="auto"/>
        <w:jc w:val="both"/>
        <w:rPr>
          <w:rFonts w:ascii="Palatino Linotype" w:eastAsia="Palatino Linotype" w:hAnsi="Palatino Linotype" w:cs="Palatino Linotype"/>
          <w:b/>
        </w:rPr>
      </w:pPr>
      <w:r w:rsidRPr="008D6F03">
        <w:rPr>
          <w:rFonts w:ascii="Palatino Linotype" w:eastAsia="Palatino Linotype" w:hAnsi="Palatino Linotype" w:cs="Palatino Linotype"/>
        </w:rPr>
        <w:t xml:space="preserve">Como ha quedado señalado con antelación, por disposición del artículo 125 de la Constitución Política del Estado Libre y Soberano de México, el Presidente Municipal tiene como fecha límite para promulgar y publicar el Presupuesto de Egresos Municipal, a más tardar el día veinticinco de febrero del año en curso, debiendo enviarlo al Órgano Superior de Fiscalización en la misma fecha; y, para la elaboración del mismo debe también generar el programa anual de obra  y entregarlo tanto de forma impresa como electrónica, es decir, </w:t>
      </w:r>
      <w:r w:rsidRPr="008D6F03">
        <w:rPr>
          <w:rFonts w:ascii="Palatino Linotype" w:eastAsia="Palatino Linotype" w:hAnsi="Palatino Linotype" w:cs="Palatino Linotype"/>
          <w:b/>
        </w:rPr>
        <w:t>programa de obra y programa de bacheo.</w:t>
      </w:r>
    </w:p>
    <w:p w:rsidR="007B4405" w:rsidRPr="008D6F03" w:rsidRDefault="00CE4C85">
      <w:pPr>
        <w:tabs>
          <w:tab w:val="left" w:pos="2552"/>
        </w:tabs>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 xml:space="preserve">Máxime, que de una búsqueda del programa de bacheo solicitado por el particular se localizó en la siguiente liga electrónica: </w:t>
      </w:r>
      <w:hyperlink r:id="rId65">
        <w:r w:rsidRPr="008D6F03">
          <w:rPr>
            <w:rFonts w:ascii="Palatino Linotype" w:eastAsia="Palatino Linotype" w:hAnsi="Palatino Linotype" w:cs="Palatino Linotype"/>
            <w:color w:val="0000FF"/>
            <w:u w:val="single"/>
          </w:rPr>
          <w:t>https://seunonoticias.net/campana-de-bacheo-toluca-2022-es-real-el-trabajo-240397/</w:t>
        </w:r>
      </w:hyperlink>
      <w:r w:rsidRPr="008D6F03">
        <w:rPr>
          <w:rFonts w:ascii="Palatino Linotype" w:eastAsia="Palatino Linotype" w:hAnsi="Palatino Linotype" w:cs="Palatino Linotype"/>
        </w:rPr>
        <w:t>, en donde nos arroja lo siguiente información:</w:t>
      </w:r>
    </w:p>
    <w:p w:rsidR="007B4405" w:rsidRPr="008D6F03" w:rsidRDefault="00CE4C85">
      <w:pPr>
        <w:tabs>
          <w:tab w:val="left" w:pos="2552"/>
        </w:tabs>
        <w:spacing w:line="360" w:lineRule="auto"/>
        <w:jc w:val="both"/>
        <w:rPr>
          <w:rFonts w:ascii="Palatino Linotype" w:eastAsia="Palatino Linotype" w:hAnsi="Palatino Linotype" w:cs="Palatino Linotype"/>
        </w:rPr>
      </w:pPr>
      <w:r w:rsidRPr="008D6F03">
        <w:rPr>
          <w:noProof/>
          <w:lang w:eastAsia="es-MX"/>
        </w:rPr>
        <w:drawing>
          <wp:inline distT="0" distB="0" distL="0" distR="0">
            <wp:extent cx="5538322" cy="5796051"/>
            <wp:effectExtent l="0" t="0" r="0" b="0"/>
            <wp:docPr id="9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6"/>
                    <a:srcRect l="24021" t="20503" r="24232" b="7797"/>
                    <a:stretch>
                      <a:fillRect/>
                    </a:stretch>
                  </pic:blipFill>
                  <pic:spPr>
                    <a:xfrm>
                      <a:off x="0" y="0"/>
                      <a:ext cx="5538322" cy="5796051"/>
                    </a:xfrm>
                    <a:prstGeom prst="rect">
                      <a:avLst/>
                    </a:prstGeom>
                    <a:ln/>
                  </pic:spPr>
                </pic:pic>
              </a:graphicData>
            </a:graphic>
          </wp:inline>
        </w:drawing>
      </w:r>
    </w:p>
    <w:p w:rsidR="007B4405" w:rsidRPr="008D6F03" w:rsidRDefault="00CE4C85">
      <w:pPr>
        <w:tabs>
          <w:tab w:val="left" w:pos="2552"/>
        </w:tabs>
        <w:spacing w:line="360" w:lineRule="auto"/>
        <w:jc w:val="both"/>
        <w:rPr>
          <w:rFonts w:ascii="Palatino Linotype" w:eastAsia="Palatino Linotype" w:hAnsi="Palatino Linotype" w:cs="Palatino Linotype"/>
        </w:rPr>
      </w:pPr>
      <w:r w:rsidRPr="008D6F03">
        <w:rPr>
          <w:noProof/>
          <w:lang w:eastAsia="es-MX"/>
        </w:rPr>
        <w:lastRenderedPageBreak/>
        <w:drawing>
          <wp:inline distT="0" distB="0" distL="0" distR="0">
            <wp:extent cx="5441483" cy="3896028"/>
            <wp:effectExtent l="0" t="0" r="0" b="0"/>
            <wp:docPr id="9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7"/>
                    <a:srcRect l="35021" t="21444" r="36307" b="17397"/>
                    <a:stretch>
                      <a:fillRect/>
                    </a:stretch>
                  </pic:blipFill>
                  <pic:spPr>
                    <a:xfrm>
                      <a:off x="0" y="0"/>
                      <a:ext cx="5441483" cy="3896028"/>
                    </a:xfrm>
                    <a:prstGeom prst="rect">
                      <a:avLst/>
                    </a:prstGeom>
                    <a:ln/>
                  </pic:spPr>
                </pic:pic>
              </a:graphicData>
            </a:graphic>
          </wp:inline>
        </w:drawing>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Con base a lo anterior, podemos concluir que hay un indicio de la existencia del programa de bacheo en la Administración Pública de Toluca 2022-2024, sirve de sustento a lo anterior </w:t>
      </w:r>
      <w:r w:rsidRPr="008D6F03">
        <w:rPr>
          <w:rFonts w:ascii="Palatino Linotype" w:eastAsia="Palatino Linotype" w:hAnsi="Palatino Linotype" w:cs="Palatino Linotype"/>
          <w:color w:val="000000"/>
        </w:rPr>
        <w:t>las siguientes tesis jurisprudenciales</w:t>
      </w:r>
      <w:r w:rsidRPr="008D6F03">
        <w:rPr>
          <w:rFonts w:ascii="Palatino Linotype" w:eastAsia="Palatino Linotype" w:hAnsi="Palatino Linotype" w:cs="Palatino Linotype"/>
        </w:rPr>
        <w:t>:</w:t>
      </w:r>
    </w:p>
    <w:p w:rsidR="007B4405" w:rsidRPr="008D6F03" w:rsidRDefault="007B4405">
      <w:pPr>
        <w:pBdr>
          <w:top w:val="nil"/>
          <w:left w:val="nil"/>
          <w:bottom w:val="nil"/>
          <w:right w:val="nil"/>
          <w:between w:val="nil"/>
        </w:pBdr>
        <w:spacing w:line="360" w:lineRule="auto"/>
        <w:ind w:left="851" w:firstLine="707"/>
        <w:jc w:val="both"/>
        <w:rPr>
          <w:rFonts w:ascii="Palatino Linotype" w:eastAsia="Palatino Linotype" w:hAnsi="Palatino Linotype" w:cs="Palatino Linotype"/>
          <w:color w:val="000000"/>
          <w:sz w:val="22"/>
          <w:szCs w:val="22"/>
        </w:rPr>
      </w:pPr>
    </w:p>
    <w:p w:rsidR="007B4405" w:rsidRPr="008D6F03" w:rsidRDefault="00CE4C85">
      <w:pPr>
        <w:ind w:left="567" w:right="616"/>
        <w:jc w:val="center"/>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HECHOS NOTORIOS. CONCEPTOS GENERAL Y JURÍDICO</w:t>
      </w:r>
    </w:p>
    <w:p w:rsidR="007B4405" w:rsidRPr="008D6F03" w:rsidRDefault="00CE4C85">
      <w:pPr>
        <w:ind w:left="567" w:right="616"/>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 xml:space="preserve">Conforme al artículo </w:t>
      </w:r>
      <w:hyperlink r:id="rId68">
        <w:r w:rsidRPr="008D6F03">
          <w:rPr>
            <w:rFonts w:ascii="Palatino Linotype" w:eastAsia="Palatino Linotype" w:hAnsi="Palatino Linotype" w:cs="Palatino Linotype"/>
            <w:b/>
            <w:i/>
            <w:sz w:val="22"/>
            <w:szCs w:val="22"/>
          </w:rPr>
          <w:t>88 del Código Federal de Procedimientos Civiles</w:t>
        </w:r>
      </w:hyperlink>
      <w:r w:rsidRPr="008D6F03">
        <w:rPr>
          <w:rFonts w:ascii="Palatino Linotype" w:eastAsia="Palatino Linotype" w:hAnsi="Palatino Linotype" w:cs="Palatino Linotype"/>
          <w:b/>
          <w:i/>
          <w:sz w:val="22"/>
          <w:szCs w:val="22"/>
        </w:rPr>
        <w:t xml:space="preserve"> los tribunales pueden invocar hechos notorios aunque no hayan sido alegados ni probados por las partes.</w:t>
      </w:r>
      <w:r w:rsidRPr="008D6F03">
        <w:rPr>
          <w:rFonts w:ascii="Palatino Linotype" w:eastAsia="Palatino Linotype" w:hAnsi="Palatino Linotype" w:cs="Palatino Linotype"/>
          <w:i/>
          <w:sz w:val="22"/>
          <w:szCs w:val="22"/>
        </w:rPr>
        <w:t xml:space="preserve"> Por hechos notorios deben entenderse, en general, aquellos que por el conocimiento humano se consideran ciertos e indiscutibles, ya sea que pertenezcan a la historia, a la ciencia, a la naturaleza</w:t>
      </w:r>
      <w:r w:rsidRPr="008D6F03">
        <w:rPr>
          <w:rFonts w:ascii="Palatino Linotype" w:eastAsia="Palatino Linotype" w:hAnsi="Palatino Linotype" w:cs="Palatino Linotype"/>
          <w:b/>
          <w:i/>
          <w:sz w:val="22"/>
          <w:szCs w:val="22"/>
        </w:rPr>
        <w:t>, a las vicisitudes de la vida pública actual o a circunstancias comúnmente conocidas en un determinado lugar</w:t>
      </w:r>
      <w:r w:rsidRPr="008D6F03">
        <w:rPr>
          <w:rFonts w:ascii="Palatino Linotype" w:eastAsia="Palatino Linotype" w:hAnsi="Palatino Linotype" w:cs="Palatino Linotype"/>
          <w:i/>
          <w:sz w:val="22"/>
          <w:szCs w:val="22"/>
        </w:rPr>
        <w:t xml:space="preserve">, </w:t>
      </w:r>
      <w:r w:rsidRPr="008D6F03">
        <w:rPr>
          <w:rFonts w:ascii="Palatino Linotype" w:eastAsia="Palatino Linotype" w:hAnsi="Palatino Linotype" w:cs="Palatino Linotype"/>
          <w:b/>
          <w:i/>
          <w:sz w:val="22"/>
          <w:szCs w:val="22"/>
        </w:rPr>
        <w:t>de modo que toda persona de ese medio esté en condiciones de saberlo</w:t>
      </w:r>
      <w:r w:rsidRPr="008D6F03">
        <w:rPr>
          <w:rFonts w:ascii="Palatino Linotype" w:eastAsia="Palatino Linotype" w:hAnsi="Palatino Linotype" w:cs="Palatino Linotype"/>
          <w:i/>
          <w:sz w:val="22"/>
          <w:szCs w:val="22"/>
        </w:rPr>
        <w:t xml:space="preserve">; y desde el punto de vista jurídico, hecho notorio es cualquier acontecimiento de dominio público conocido por todos o casi todos los miembros de un círculo social en el momento en que va a pronunciarse la decisión judicial, respecto del cual no hay duda ni discusión; </w:t>
      </w:r>
      <w:r w:rsidRPr="008D6F03">
        <w:rPr>
          <w:rFonts w:ascii="Palatino Linotype" w:eastAsia="Palatino Linotype" w:hAnsi="Palatino Linotype" w:cs="Palatino Linotype"/>
          <w:i/>
          <w:sz w:val="22"/>
          <w:szCs w:val="22"/>
        </w:rPr>
        <w:lastRenderedPageBreak/>
        <w:t>de manera que al ser notorio la ley exime de su prueba, por ser del conocimiento público en el medio social donde ocurrió o donde se tramita el procedimiento.</w:t>
      </w:r>
    </w:p>
    <w:p w:rsidR="007B4405" w:rsidRPr="008D6F03" w:rsidRDefault="007B4405">
      <w:pPr>
        <w:ind w:left="567" w:right="616"/>
        <w:rPr>
          <w:rFonts w:ascii="Palatino Linotype" w:eastAsia="Palatino Linotype" w:hAnsi="Palatino Linotype" w:cs="Palatino Linotype"/>
          <w:i/>
          <w:sz w:val="22"/>
          <w:szCs w:val="22"/>
        </w:rPr>
      </w:pPr>
    </w:p>
    <w:p w:rsidR="007B4405" w:rsidRPr="008D6F03" w:rsidRDefault="00CE4C85">
      <w:pPr>
        <w:ind w:left="567" w:right="616"/>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Controversia constitucional 24/2005. Cámara de Diputados del Congreso de la Unión. 9 de marzo de 2006. Once votos. Ponente: José Ramón Cossío Díaz. Secretarios: Raúl Manuel Mejía Garza y Laura Patricia Rojas Zamudio.</w:t>
      </w:r>
    </w:p>
    <w:p w:rsidR="007B4405" w:rsidRPr="008D6F03" w:rsidRDefault="00CE4C85">
      <w:pPr>
        <w:ind w:left="567" w:right="616"/>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El Tribunal Pleno, el dieciséis de mayo en curso, aprobó, con el número 74/2006, la tesis jurisprudencial que antecede. México, Distrito Federal, a dieciséis de mayo de dos mil seis.</w:t>
      </w:r>
    </w:p>
    <w:p w:rsidR="007B4405" w:rsidRPr="008D6F03" w:rsidRDefault="00CE4C85">
      <w:pPr>
        <w:ind w:left="567" w:right="616"/>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Nota: Esta tesis fue objeto de la denuncia relativa a la contradicción de tesis 91/2014, desechada por notoriamente improcedente, mediante acuerdo de 24 de marzo de 2014.”</w:t>
      </w:r>
    </w:p>
    <w:p w:rsidR="007B4405" w:rsidRPr="008D6F03" w:rsidRDefault="007B4405">
      <w:pPr>
        <w:ind w:left="567" w:right="616"/>
        <w:jc w:val="both"/>
        <w:rPr>
          <w:rFonts w:ascii="Palatino Linotype" w:eastAsia="Palatino Linotype" w:hAnsi="Palatino Linotype" w:cs="Palatino Linotype"/>
          <w:i/>
          <w:sz w:val="22"/>
          <w:szCs w:val="22"/>
        </w:rPr>
      </w:pPr>
    </w:p>
    <w:p w:rsidR="007B4405" w:rsidRPr="008D6F03" w:rsidRDefault="00CE4C85">
      <w:pPr>
        <w:widowControl w:val="0"/>
        <w:pBdr>
          <w:top w:val="nil"/>
          <w:left w:val="nil"/>
          <w:bottom w:val="nil"/>
          <w:right w:val="nil"/>
          <w:between w:val="nil"/>
        </w:pBdr>
        <w:shd w:val="clear" w:color="auto" w:fill="FFFFFF"/>
        <w:spacing w:after="120"/>
        <w:ind w:left="567" w:right="567"/>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b/>
          <w:i/>
          <w:color w:val="000000"/>
          <w:sz w:val="22"/>
          <w:szCs w:val="22"/>
        </w:rPr>
        <w:t>PÁGINAS WEB O ELECTRÓNICAS. SU CONTENIDO ES UN HECHO NOTORIO Y SUSCEPTIBLE DE SER VALORADO EN UNA DECISIÓN JUDICIAL.</w:t>
      </w:r>
      <w:r w:rsidRPr="008D6F03">
        <w:rPr>
          <w:color w:val="000000"/>
          <w:sz w:val="22"/>
          <w:szCs w:val="22"/>
        </w:rPr>
        <w:t xml:space="preserve"> </w:t>
      </w:r>
      <w:r w:rsidRPr="008D6F03">
        <w:rPr>
          <w:rFonts w:ascii="Palatino Linotype" w:eastAsia="Palatino Linotype" w:hAnsi="Palatino Linotype" w:cs="Palatino Linotype"/>
          <w:i/>
          <w:color w:val="000000"/>
          <w:sz w:val="22"/>
          <w:szCs w:val="22"/>
        </w:rPr>
        <w:t xml:space="preserve">Los datos publicados en documentos o páginas situados en redes informáticas constituyen un hecho notorio por formar parte del conocimiento público a través de tales medios al momento en que se dicta una resolución judicial, de conformidad con el artículo 88 del Código Federal de Procedimientos Civiles. El acceso al uso de Internet para buscar información sobre la existencia de personas morales, establecimientos mercantiles, domicilios y en general cualquier dato publicado en redes informáticas, forma parte de la cultura normal de sectores específicos de la sociedad dependiendo del tipo de información de que se trate. De ahí que, si bien no es posible afirmar que esa información se encuentra al alcance de todos los sectores de la sociedad, lo cierto es que sí es posible determinar si por el tipo de datos un hecho forma parte de la cultura normal de un sector de la sociedad y pueda ser considerado como notorio por el juzgador y, consecuentemente, valorado en una decisión judicial, por tratarse de un dato u opinión común indiscutible, no por el número de personas que conocen ese hecho, sino por la notoriedad, accesibilidad, aceptación e imparcialidad de este conocimiento. Por tanto, el contenido de una página de Internet que refleja hechos propios de una de las partes en cualquier juicio, puede ser tomado como prueba plena, a menos que haya una en contrario que no fue creada por orden del interesado, ya que se le reputará autor y podrá perjudicarle lo que ofrezca en sus términos. TERCER TRIBUNAL COLEGIADO EN MATERIA CIVIL DEL PRIMER CIRCUITO. Amparo en revisión 365/2012. </w:t>
      </w:r>
      <w:proofErr w:type="spellStart"/>
      <w:r w:rsidRPr="008D6F03">
        <w:rPr>
          <w:rFonts w:ascii="Palatino Linotype" w:eastAsia="Palatino Linotype" w:hAnsi="Palatino Linotype" w:cs="Palatino Linotype"/>
          <w:i/>
          <w:color w:val="000000"/>
          <w:sz w:val="22"/>
          <w:szCs w:val="22"/>
        </w:rPr>
        <w:t>Mardygras</w:t>
      </w:r>
      <w:proofErr w:type="spellEnd"/>
      <w:r w:rsidRPr="008D6F03">
        <w:rPr>
          <w:rFonts w:ascii="Palatino Linotype" w:eastAsia="Palatino Linotype" w:hAnsi="Palatino Linotype" w:cs="Palatino Linotype"/>
          <w:i/>
          <w:color w:val="000000"/>
          <w:sz w:val="22"/>
          <w:szCs w:val="22"/>
        </w:rPr>
        <w:t xml:space="preserve">, S.A. de C.V. 7 de diciembre de 2012. Unanimidad de votos. Ponente: Neófito López Ramos. Secretaria: Ana Lilia Osorno Arroyo. HECHO NOTORIO. LO CONSTITUYEN LOS DATOS QUE APARECEN EN LAS PÁGINAS ELECTRÓNICAS OFICIALES QUE LOS ÓRGANOS DE GOBIERNO UTILIZAN PARA PONER A DISPOSICIÓN DEL PÚBLICO, ENTRE OTROS SERVICIOS, LA DESCRIPCIÓN DE SUS PLAZAS, EL DIRECTORIO DE SUS EMPLEADOS O EL </w:t>
      </w:r>
      <w:r w:rsidRPr="008D6F03">
        <w:rPr>
          <w:rFonts w:ascii="Palatino Linotype" w:eastAsia="Palatino Linotype" w:hAnsi="Palatino Linotype" w:cs="Palatino Linotype"/>
          <w:i/>
          <w:color w:val="000000"/>
          <w:sz w:val="22"/>
          <w:szCs w:val="22"/>
        </w:rPr>
        <w:lastRenderedPageBreak/>
        <w:t xml:space="preserve">ESTADO QUE GUARDAN SUS EXPEDIENTES Y, POR ELLO, ES VÁLIDO QUE SE INVOQUEN DE OFICIO PARA RESOLVER UN ASUNTO EN PARTICULAR. Los datos que aparecen en las páginas electrónicas oficiales que los órganos de gobierno utilizan para poner a disposición del público, entre otros servicios, la descripción de sus plazas, el directorio de sus empleados o el estado que guardan sus expedientes, constituyen Tesis: XX.2o. J/24 Semanario Judicial de la Federación y su Gaceta Novena Época 168124 75 de 163 Tribunales Colegiados de Circuito Tomo XXIX, Enero de 2009 </w:t>
      </w:r>
      <w:proofErr w:type="spellStart"/>
      <w:r w:rsidRPr="008D6F03">
        <w:rPr>
          <w:rFonts w:ascii="Palatino Linotype" w:eastAsia="Palatino Linotype" w:hAnsi="Palatino Linotype" w:cs="Palatino Linotype"/>
          <w:i/>
          <w:color w:val="000000"/>
          <w:sz w:val="22"/>
          <w:szCs w:val="22"/>
        </w:rPr>
        <w:t>Pag</w:t>
      </w:r>
      <w:proofErr w:type="spellEnd"/>
      <w:r w:rsidRPr="008D6F03">
        <w:rPr>
          <w:rFonts w:ascii="Palatino Linotype" w:eastAsia="Palatino Linotype" w:hAnsi="Palatino Linotype" w:cs="Palatino Linotype"/>
          <w:i/>
          <w:color w:val="000000"/>
          <w:sz w:val="22"/>
          <w:szCs w:val="22"/>
        </w:rPr>
        <w:t>. 2470 Jurisprudencia(Común) un hecho notorio que puede invocarse por los tribunales, en términos del artículo 88 del Código Federal de Procedimientos Civiles, de aplicación supletoria a la Ley de Amparo; porque la información generada o comunicada por esa vía forma parte del sistema mundial de diseminación y obtención de datos denominada "internet", del cual puede obtenerse, por ejemplo, el nombre de un servidor público, el organigrama de una institución, así como el sentido de sus resoluciones; de ahí que sea válido que los órganos jurisdiccionales invoquen de oficio lo publicado en ese medio para resolver un asunto en particular. SEGUNDO TRIBUNAL COLEGIADO DEL VIGÉSIMO CIRCUITO. Amparo directo 816/2006. 13 de junio de 2007. Unanimidad de votos. Ponente: Carlos Arteaga Álvarez. Secretario: Jorge Alberto Camacho Pérez. Amparo directo 77/2008. 10 de octubre de 2008. Unanimidad de votos. Ponente: Carlos Arteaga Álvarez. Secretario: José Martín Lázaro Vázquez. Amparo directo 74/2008. 10 de octubre de 2008. Unanimidad de votos. Ponente: Carlos Arteaga Álvarez. Secretario: Jorge Alberto Camacho Pérez. Amparo directo 355/2008. 16 de octubre de 2008. Unanimidad de votos. Ponente: Antonio Artemio Maldonado Cruz, secretario de tribunal autorizado por la Comisión de Carrera Judicial del Consejo de la Judicatura Federal para desempeñar las funciones de Magistrado. Secretario: Rolando Meza Camacho. Amparo directo 968/2007. 23 de octubre de 2008. Unanimidad de votos. Ponente: Marta Olivia Tello Acuña. Secretaria: Elvia Aguilar Moreno. Nota: Esta tesis fue objeto de la denuncia relativa a la contradicción de tesis 91/2014, desechada por notoriamente improcedente, mediante acuerdo de 23 de marzo de 2014. Por ejecutoria del 19 de junio de 2013, la Segunda Sala declaró inexistente la contradicción de tesis 132/2013 derivada de la denuncia de la que fue objeto el criterio contenido en esta tesis, al estimarse que no son discrepantes los criterios materia de la denuncia respectiva.</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Bajo ese contexto,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tiene la obligación de documentar todo lo relacionado con sus atribuciones, en cualquier soporte documental, siendo aplicable, el Criterio de interpretación en el orden administrativo número 0002-11, emitido por Acuerdo del Pleno del Instituto de Transparencia y Acceso a la </w:t>
      </w:r>
      <w:r w:rsidRPr="008D6F03">
        <w:rPr>
          <w:rFonts w:ascii="Palatino Linotype" w:eastAsia="Palatino Linotype" w:hAnsi="Palatino Linotype" w:cs="Palatino Linotype"/>
        </w:rPr>
        <w:lastRenderedPageBreak/>
        <w:t>Información Pública del Estado de México y Municipios; publicado en el Periódico Oficial del Gobierno del Estado Libre y Soberano de México “Gaceta del Gobierno”, el diecinueve de octubre de dos mil once, cuyo rubro y texto refieren lo siguiente:</w:t>
      </w:r>
    </w:p>
    <w:p w:rsidR="007B4405" w:rsidRPr="008D6F03" w:rsidRDefault="007B4405">
      <w:pPr>
        <w:ind w:left="851" w:right="899"/>
        <w:jc w:val="both"/>
        <w:rPr>
          <w:rFonts w:ascii="Palatino Linotype" w:eastAsia="Palatino Linotype" w:hAnsi="Palatino Linotype" w:cs="Palatino Linotype"/>
        </w:rPr>
      </w:pPr>
    </w:p>
    <w:p w:rsidR="007B4405" w:rsidRPr="008D6F03" w:rsidRDefault="00CE4C85">
      <w:pPr>
        <w:ind w:left="851" w:right="899"/>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sz w:val="22"/>
          <w:szCs w:val="22"/>
        </w:rPr>
        <w:t>“</w:t>
      </w:r>
      <w:r w:rsidRPr="008D6F03">
        <w:rPr>
          <w:rFonts w:ascii="Palatino Linotype" w:eastAsia="Palatino Linotype" w:hAnsi="Palatino Linotype" w:cs="Palatino Linotype"/>
          <w:b/>
          <w:i/>
          <w:sz w:val="22"/>
          <w:szCs w:val="22"/>
        </w:rPr>
        <w:t>CRITERIO 0002-11</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sidRPr="008D6F03">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En consecuencia el acceso a la información se refiere a que se cumplan cualquiera de los siguientes tres supuestos:</w:t>
      </w:r>
    </w:p>
    <w:p w:rsidR="007B4405" w:rsidRPr="008D6F03" w:rsidRDefault="00CE4C85">
      <w:pPr>
        <w:ind w:left="851" w:right="89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rsidR="007B4405" w:rsidRPr="008D6F03" w:rsidRDefault="00CE4C85">
      <w:pPr>
        <w:ind w:left="851" w:right="899"/>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rsidR="007B4405" w:rsidRPr="008D6F03" w:rsidRDefault="00CE4C85">
      <w:pPr>
        <w:ind w:left="851" w:right="899"/>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3) Que se trate de información registrada en cualquier soporte documental, que en ejercicio de las atribuciones conferidas, se encuentre en posesión de los Sujetos Obligados.”(Sic)</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Por consiguiente, es responsabilidad del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de conservar todos los soportes documentales en el ejercicio de sus atribuciones y de lo que se haya publicado en la red social de referencia, así como en cualquier otra que se administró, ello derivado de que si bien, las redes sociales digitales no se encuentran reguladas por ninguna norma para su procedimiento de creación y eliminación;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en el ejercicio de sus funciones de comunicación social la utiliza como un medio a través del cual comparte contenido de tipo fotográfico, </w:t>
      </w:r>
      <w:r w:rsidRPr="008D6F03">
        <w:rPr>
          <w:rFonts w:ascii="Palatino Linotype" w:eastAsia="Palatino Linotype" w:hAnsi="Palatino Linotype" w:cs="Palatino Linotype"/>
        </w:rPr>
        <w:lastRenderedPageBreak/>
        <w:t>escrito o de vídeo, que se tuvo que haber respaldado, por el simple hecho de generarlo derivado de su función como autoridad y por el fin que se persiguió con la difusión en dicha plataforma.</w:t>
      </w:r>
    </w:p>
    <w:p w:rsidR="007B4405" w:rsidRPr="008D6F03" w:rsidRDefault="007B4405">
      <w:pPr>
        <w:spacing w:line="360" w:lineRule="auto"/>
        <w:jc w:val="both"/>
        <w:rPr>
          <w:rFonts w:ascii="Palatino Linotype" w:eastAsia="Palatino Linotype" w:hAnsi="Palatino Linotype" w:cs="Palatino Linotype"/>
          <w:color w:val="FF0000"/>
        </w:rPr>
      </w:pPr>
    </w:p>
    <w:p w:rsidR="007B4405" w:rsidRPr="008D6F03" w:rsidRDefault="00CE4C85">
      <w:pPr>
        <w:spacing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Ello es así, ya que la conservación de los archivos, ya sea físicos o digitales, es una responsabilidad encomendada para cualquier autoridad, entidad, órgano y organismo de los poderes Legislativo, Ejecutivo y Judicial, Ayuntamientos, órganos autónomos, partidos políticos, fideicomisos y fondos públicos, así como de cualquier persona física, moral o sindicato que reciba y ejerza recursos públicos o realice actos de autoridad de la federación, las entidades federativas y los municipios, según lo dispuesto en la Ley General de Archivos.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En dicha norma, se define al archivo como el conjunto organizado de documentos producidos o recibidos por los sujetos obligados en el ejercicio de sus atribuciones y funciones, con independencia del soporte, espacio o lugar que se resguarden; de igual forma, señala que la conservación es el conjunto de procedimientos y medidas destinados a asegurar la prevención de aliteraciones físicas de los documentos en papel y la preservación de documentos digitales a largo plazo.</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De tal manera, que la Ley fija que al igual que en materia de transparencia y acceso a la información pública, toda la información contenida en documentos de archivo producidos, obtenidos, adquiridos, transformados o en posesión de los Sujetos Obligados es pública; por lo que destaca que el Estado mexicano deberá garantizar la organización, conservación y preservación de los archivos con el objeto de respetar el derecho a la verdad y el acceso a la información contenida en los archivos, </w:t>
      </w:r>
      <w:r w:rsidRPr="008D6F03">
        <w:rPr>
          <w:rFonts w:ascii="Palatino Linotype" w:eastAsia="Palatino Linotype" w:hAnsi="Palatino Linotype" w:cs="Palatino Linotype"/>
        </w:rPr>
        <w:lastRenderedPageBreak/>
        <w:t>por lo cual indica en su artículo 7 que los sujetos obligados deberán producir, registrar, organizar y conservar los documentos de archivo sobre todo acto que derive del ejercicio de sus facultades, competencias o funciones de acuerdo con lo establecido en las disposiciones jurídicas correspondientes.</w:t>
      </w:r>
    </w:p>
    <w:p w:rsidR="007B4405" w:rsidRPr="008D6F03" w:rsidRDefault="00CE4C85">
      <w:pPr>
        <w:spacing w:before="240" w:after="240"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rPr>
        <w:t xml:space="preserve">Por consiguiente, la respuesta del Dirección General de Desarrollo Urbano, Ordenamiento Territorial y Obras Públicas del Ayuntamiento de Toluca, es incompleta; de ahí que, dicho pronunciamiento careció </w:t>
      </w:r>
      <w:r w:rsidRPr="008D6F03">
        <w:rPr>
          <w:rFonts w:ascii="Palatino Linotype" w:eastAsia="Palatino Linotype" w:hAnsi="Palatino Linotype" w:cs="Palatino Linotype"/>
          <w:color w:val="000000"/>
        </w:rPr>
        <w:t>de los principios de congruencia y exhaustividad, como refuerzo de lo anterior</w:t>
      </w:r>
      <w:r w:rsidRPr="008D6F03">
        <w:rPr>
          <w:rFonts w:ascii="Palatino Linotype" w:eastAsia="Palatino Linotype" w:hAnsi="Palatino Linotype" w:cs="Palatino Linotype"/>
          <w:color w:val="000000"/>
          <w:u w:val="single"/>
        </w:rPr>
        <w:t xml:space="preserve">, resulta crucial el Criterio 02/17, emitido por el Pleno del </w:t>
      </w:r>
      <w:r w:rsidRPr="008D6F03">
        <w:rPr>
          <w:rFonts w:ascii="Palatino Linotype" w:eastAsia="Palatino Linotype" w:hAnsi="Palatino Linotype" w:cs="Palatino Linotype"/>
          <w:color w:val="000000"/>
        </w:rPr>
        <w:t>Instituto Nacional de Transparencia y Acceso a la Información y Protección de Datos Personales, de título y texto siguientes:</w:t>
      </w:r>
    </w:p>
    <w:p w:rsidR="007B4405" w:rsidRPr="008D6F03" w:rsidRDefault="00CE4C85">
      <w:pPr>
        <w:spacing w:before="240" w:after="240"/>
        <w:ind w:left="567" w:right="900"/>
        <w:jc w:val="both"/>
        <w:rPr>
          <w:rFonts w:ascii="Palatino Linotype" w:eastAsia="Palatino Linotype" w:hAnsi="Palatino Linotype" w:cs="Palatino Linotype"/>
          <w:i/>
          <w:color w:val="000000"/>
        </w:rPr>
      </w:pPr>
      <w:r w:rsidRPr="008D6F03">
        <w:rPr>
          <w:rFonts w:ascii="Palatino Linotype" w:eastAsia="Palatino Linotype" w:hAnsi="Palatino Linotype" w:cs="Palatino Linotype"/>
          <w:b/>
          <w:i/>
          <w:color w:val="000000"/>
        </w:rPr>
        <w:t xml:space="preserve">“Congruencia y exhaustividad. Sus alcances para garantizar el derecho de acceso a la información. </w:t>
      </w:r>
      <w:r w:rsidRPr="008D6F03">
        <w:rPr>
          <w:rFonts w:ascii="Palatino Linotype" w:eastAsia="Palatino Linotype" w:hAnsi="Palatino Linotype" w:cs="Palatino Linotype"/>
          <w:i/>
          <w:color w:val="000000"/>
        </w:rPr>
        <w:t xml:space="preserve">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sidRPr="008D6F03">
        <w:rPr>
          <w:rFonts w:ascii="Palatino Linotype" w:eastAsia="Palatino Linotype" w:hAnsi="Palatino Linotype" w:cs="Palatino Linotype"/>
          <w:b/>
          <w:i/>
          <w:color w:val="000000"/>
        </w:rPr>
        <w:t>la congruencia implica que exista concordancia entre el requerimiento formulado por el particular y la respuesta proporcionada por el sujeto obligado</w:t>
      </w:r>
      <w:r w:rsidRPr="008D6F03">
        <w:rPr>
          <w:rFonts w:ascii="Palatino Linotype" w:eastAsia="Palatino Linotype" w:hAnsi="Palatino Linotype" w:cs="Palatino Linotype"/>
          <w:i/>
          <w:color w:val="000000"/>
        </w:rPr>
        <w:t xml:space="preserve">; mientras que </w:t>
      </w:r>
      <w:r w:rsidRPr="008D6F03">
        <w:rPr>
          <w:rFonts w:ascii="Palatino Linotype" w:eastAsia="Palatino Linotype" w:hAnsi="Palatino Linotype" w:cs="Palatino Linotype"/>
          <w:b/>
          <w:i/>
          <w:color w:val="000000"/>
        </w:rPr>
        <w:t>la exhaustividad significa que dicha respuesta se refiera expresamente a cada uno de los puntos solicitados</w:t>
      </w:r>
      <w:r w:rsidRPr="008D6F03">
        <w:rPr>
          <w:rFonts w:ascii="Palatino Linotype" w:eastAsia="Palatino Linotype" w:hAnsi="Palatino Linotype" w:cs="Palatino Linotype"/>
          <w:i/>
          <w:color w:val="000000"/>
        </w:rPr>
        <w:t>. Por lo anterior, los sujetos obligados cumplirán con los principios de congruencia y exhaustividad, cuando las respuestas que emitan guarden una relación lógica con lo solicitado y atiendan de manera puntual y expresa, cada uno de los contenidos de información.” (Sic)</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Razones por las cuales lo procedente es ordenar al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el documento en donde conste el Programa de Bacheo del primero de enero al treinta </w:t>
      </w:r>
      <w:r w:rsidRPr="008D6F03">
        <w:rPr>
          <w:rFonts w:ascii="Palatino Linotype" w:eastAsia="Palatino Linotype" w:hAnsi="Palatino Linotype" w:cs="Palatino Linotype"/>
        </w:rPr>
        <w:lastRenderedPageBreak/>
        <w:t>y uno de octubre del año 2022 y de ser procedente en versión pública conforme a lo señalado por el considerando quinto del presente fallo.</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b/>
        </w:rPr>
      </w:pPr>
      <w:r w:rsidRPr="008D6F03">
        <w:rPr>
          <w:rFonts w:ascii="Palatino Linotype" w:eastAsia="Palatino Linotype" w:hAnsi="Palatino Linotype" w:cs="Palatino Linotype"/>
          <w:b/>
        </w:rPr>
        <w:t>En otro orden de ideas, en cuanto al recurso de revisión 16818/INFOEM/IP/RR/2022, en donde se requirió:</w:t>
      </w:r>
    </w:p>
    <w:p w:rsidR="007B4405" w:rsidRPr="008D6F03" w:rsidRDefault="00CE4C85">
      <w:pPr>
        <w:spacing w:before="240" w:after="240" w:line="360" w:lineRule="auto"/>
        <w:jc w:val="both"/>
        <w:rPr>
          <w:rFonts w:ascii="Palatino Linotype" w:eastAsia="Palatino Linotype" w:hAnsi="Palatino Linotype" w:cs="Palatino Linotype"/>
          <w:i/>
          <w:color w:val="000000"/>
        </w:rPr>
      </w:pPr>
      <w:r w:rsidRPr="008D6F03">
        <w:rPr>
          <w:rFonts w:ascii="Palatino Linotype" w:eastAsia="Palatino Linotype" w:hAnsi="Palatino Linotype" w:cs="Palatino Linotype"/>
          <w:i/>
          <w:color w:val="000000"/>
        </w:rPr>
        <w:t xml:space="preserve">“Dónde se puede pedir que me </w:t>
      </w:r>
      <w:proofErr w:type="spellStart"/>
      <w:r w:rsidRPr="008D6F03">
        <w:rPr>
          <w:rFonts w:ascii="Palatino Linotype" w:eastAsia="Palatino Linotype" w:hAnsi="Palatino Linotype" w:cs="Palatino Linotype"/>
          <w:i/>
          <w:color w:val="000000"/>
        </w:rPr>
        <w:t>pagen</w:t>
      </w:r>
      <w:proofErr w:type="spellEnd"/>
      <w:r w:rsidRPr="008D6F03">
        <w:rPr>
          <w:rFonts w:ascii="Palatino Linotype" w:eastAsia="Palatino Linotype" w:hAnsi="Palatino Linotype" w:cs="Palatino Linotype"/>
          <w:i/>
          <w:color w:val="000000"/>
        </w:rPr>
        <w:t xml:space="preserve"> las llantas ponchadas y la suspensión de mi auto, por haber caído en un bache” (Sic)</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respuesta la Consejería Jurídica del Ayuntamiento de Toluca, le informó que de acuerdo al artículo 23 de la Ley de Responsabilidad Patrimonial para el Estado de México y Municipios, la parte interesada deberá presentar una reclamación de indemnización por escrito ante la entidad pública presuntamente responsable en términos de lo previsto en la misma. </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También señaló que no cuenta con un formato especial de presentación, siendo que este debe ser a consideración de la parte interesada; sin embargo, en términos de lo señalado por el artículo 26 de la Ley de Responsabilidad Patrimonial para el Estado de México y Municipios, establece que el escrito inicial de reclamación debe cumplir con los siguientes requisitos:</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noProof/>
          <w:lang w:eastAsia="es-MX"/>
        </w:rPr>
        <w:drawing>
          <wp:inline distT="0" distB="0" distL="0" distR="0">
            <wp:extent cx="4395895" cy="580946"/>
            <wp:effectExtent l="0" t="0" r="0" b="0"/>
            <wp:docPr id="9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l="44657" t="22384" r="38526" b="73664"/>
                    <a:stretch>
                      <a:fillRect/>
                    </a:stretch>
                  </pic:blipFill>
                  <pic:spPr>
                    <a:xfrm>
                      <a:off x="0" y="0"/>
                      <a:ext cx="4395895" cy="580946"/>
                    </a:xfrm>
                    <a:prstGeom prst="rect">
                      <a:avLst/>
                    </a:prstGeom>
                    <a:ln/>
                  </pic:spPr>
                </pic:pic>
              </a:graphicData>
            </a:graphic>
          </wp:inline>
        </w:drawing>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noProof/>
          <w:lang w:eastAsia="es-MX"/>
        </w:rPr>
        <w:lastRenderedPageBreak/>
        <w:drawing>
          <wp:inline distT="0" distB="0" distL="0" distR="0">
            <wp:extent cx="5270419" cy="4233711"/>
            <wp:effectExtent l="0" t="0" r="0" b="0"/>
            <wp:docPr id="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l="44556" t="40819" r="28138" b="5725"/>
                    <a:stretch>
                      <a:fillRect/>
                    </a:stretch>
                  </pic:blipFill>
                  <pic:spPr>
                    <a:xfrm>
                      <a:off x="0" y="0"/>
                      <a:ext cx="5270419" cy="4233711"/>
                    </a:xfrm>
                    <a:prstGeom prst="rect">
                      <a:avLst/>
                    </a:prstGeom>
                    <a:ln/>
                  </pic:spPr>
                </pic:pic>
              </a:graphicData>
            </a:graphic>
          </wp:inline>
        </w:drawing>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De lo anterior, se advierte que el área que proporcionó la respuesta fue la Consejería Jurídica, que en términos de lo señalado por el artículo 3.13 del Código Reglamentario municipal de Toluca, tiene las siguientes atribuciones:</w:t>
      </w:r>
    </w:p>
    <w:p w:rsidR="007B4405" w:rsidRPr="008D6F03" w:rsidRDefault="00CE4C85">
      <w:pPr>
        <w:spacing w:before="240" w:after="240"/>
        <w:ind w:left="567" w:right="900"/>
        <w:jc w:val="both"/>
        <w:rPr>
          <w:rFonts w:ascii="Palatino Linotype" w:eastAsia="Palatino Linotype" w:hAnsi="Palatino Linotype" w:cs="Palatino Linotype"/>
          <w:i/>
          <w:color w:val="000000"/>
        </w:rPr>
      </w:pPr>
      <w:r w:rsidRPr="008D6F03">
        <w:rPr>
          <w:rFonts w:ascii="Palatino Linotype" w:eastAsia="Palatino Linotype" w:hAnsi="Palatino Linotype" w:cs="Palatino Linotype"/>
          <w:i/>
          <w:color w:val="000000"/>
        </w:rPr>
        <w:t xml:space="preserve">“Artículo 3.13. El titular de la Consejería Jurídica tiene las siguientes atribuciones: </w:t>
      </w:r>
    </w:p>
    <w:p w:rsidR="007B4405" w:rsidRPr="008D6F03" w:rsidRDefault="00CE4C85">
      <w:pPr>
        <w:spacing w:before="240" w:after="240"/>
        <w:ind w:left="567" w:right="900"/>
        <w:jc w:val="both"/>
        <w:rPr>
          <w:rFonts w:ascii="Palatino Linotype" w:eastAsia="Palatino Linotype" w:hAnsi="Palatino Linotype" w:cs="Palatino Linotype"/>
          <w:i/>
          <w:color w:val="000000"/>
        </w:rPr>
      </w:pPr>
      <w:r w:rsidRPr="008D6F03">
        <w:rPr>
          <w:rFonts w:ascii="Palatino Linotype" w:eastAsia="Palatino Linotype" w:hAnsi="Palatino Linotype" w:cs="Palatino Linotype"/>
          <w:i/>
          <w:color w:val="000000"/>
        </w:rPr>
        <w:t xml:space="preserve">I. Fungir como apoderado jurídico del H. Ayuntamiento de Toluca, del presidente municipal y de la administración pública municipal Centralizada; II. Coadyuvar con los Síndicos Municipales en los procedimientos que por disposición de ley deban conocer, tramitar y resolver; </w:t>
      </w:r>
    </w:p>
    <w:p w:rsidR="007B4405" w:rsidRPr="008D6F03" w:rsidRDefault="00CE4C85">
      <w:pPr>
        <w:spacing w:before="240" w:after="240"/>
        <w:ind w:left="567" w:right="900"/>
        <w:jc w:val="both"/>
        <w:rPr>
          <w:rFonts w:ascii="Palatino Linotype" w:eastAsia="Palatino Linotype" w:hAnsi="Palatino Linotype" w:cs="Palatino Linotype"/>
          <w:i/>
          <w:color w:val="000000"/>
        </w:rPr>
      </w:pPr>
      <w:r w:rsidRPr="008D6F03">
        <w:rPr>
          <w:rFonts w:ascii="Palatino Linotype" w:eastAsia="Palatino Linotype" w:hAnsi="Palatino Linotype" w:cs="Palatino Linotype"/>
          <w:b/>
          <w:i/>
          <w:color w:val="000000"/>
        </w:rPr>
        <w:lastRenderedPageBreak/>
        <w:t xml:space="preserve">III. Desahogar las consultas y las asesorías jurídicas, </w:t>
      </w:r>
      <w:r w:rsidRPr="008D6F03">
        <w:rPr>
          <w:rFonts w:ascii="Palatino Linotype" w:eastAsia="Palatino Linotype" w:hAnsi="Palatino Linotype" w:cs="Palatino Linotype"/>
          <w:i/>
          <w:color w:val="000000"/>
        </w:rPr>
        <w:t xml:space="preserve">así como brindar apoyo técnico jurídico a los integrantes del Ayuntamiento y las dependencias municipales, con excepción de las de carácter fiscal; IV. Recuperar bienes del dominio público o privado del municipio mediante el procedimiento establecido en el artículo 27 Bis de la Ley de Bienes del Estado y sus Municipios, con la colaboración de las áreas del Ayuntamiento que de acuerdo a sus atribuciones considere necesarias, en términos del artículo 128 del Bando Municipal; </w:t>
      </w:r>
    </w:p>
    <w:p w:rsidR="007B4405" w:rsidRPr="008D6F03" w:rsidRDefault="00CE4C85">
      <w:pPr>
        <w:spacing w:before="240" w:after="240"/>
        <w:ind w:left="567" w:right="900"/>
        <w:jc w:val="both"/>
        <w:rPr>
          <w:rFonts w:ascii="Palatino Linotype" w:eastAsia="Palatino Linotype" w:hAnsi="Palatino Linotype" w:cs="Palatino Linotype"/>
          <w:i/>
          <w:color w:val="000000"/>
        </w:rPr>
      </w:pPr>
      <w:r w:rsidRPr="008D6F03">
        <w:rPr>
          <w:rFonts w:ascii="Palatino Linotype" w:eastAsia="Palatino Linotype" w:hAnsi="Palatino Linotype" w:cs="Palatino Linotype"/>
          <w:i/>
          <w:color w:val="000000"/>
        </w:rPr>
        <w:t xml:space="preserve">V. Atender los asuntos jurídicos de los que el Presidente, Síndicos y la administración pública municipal sean parte; y </w:t>
      </w:r>
    </w:p>
    <w:p w:rsidR="007B4405" w:rsidRPr="008D6F03" w:rsidRDefault="00CE4C85">
      <w:pPr>
        <w:spacing w:before="240" w:after="240"/>
        <w:ind w:left="567" w:right="900"/>
        <w:jc w:val="both"/>
        <w:rPr>
          <w:rFonts w:ascii="Palatino Linotype" w:eastAsia="Palatino Linotype" w:hAnsi="Palatino Linotype" w:cs="Palatino Linotype"/>
          <w:i/>
          <w:color w:val="000000"/>
        </w:rPr>
      </w:pPr>
      <w:r w:rsidRPr="008D6F03">
        <w:rPr>
          <w:rFonts w:ascii="Palatino Linotype" w:eastAsia="Palatino Linotype" w:hAnsi="Palatino Linotype" w:cs="Palatino Linotype"/>
          <w:i/>
          <w:color w:val="000000"/>
        </w:rPr>
        <w:t>VI. Las demás que le asignen otros ordenamientos, el presidente municipal y la o el Secretario del Ayuntamiento.”(Sic)</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Sin bien no se advierte como tal una atribución de conocer sobre donde se puede pedir un pago por el daño ocasionado a las llantas y suspensión de un vehículo por un bache, lo cierto es que al ser el área encargada de desahogar las consultas y asesoría jurídica, esta señaló que no cuenta con un formato especial de presentación, siendo que este debe ser a consideración de la parte interesada; proporcionándole  en términos de lo señalado por el artículo 26 de la Ley de Responsabilidad Patrimonial para el Estado de México y Municipios, lo que debe contener el escrito inicial de reclamación, siendo los siguiente:</w:t>
      </w:r>
    </w:p>
    <w:p w:rsidR="007B4405" w:rsidRPr="008D6F03" w:rsidRDefault="00CE4C85">
      <w:pPr>
        <w:spacing w:before="240"/>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“Artículo 26. El escrito inicial de reclamación deberá cumplir con los siguientes requisitos: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I. Autoridad ante quien se promueve.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II. Nombre, denominación o razón social del reclamante, representante, apoderado legal, o de quien legítimamente promueva en su nombre, acompañando las documentales que lo acrediten, quien deberá autorizar a las personas que estime pertinentes para oír y recibir notificaciones en su nombre. III. Domicilio para oír y recibir notificaciones y documentos dentro de la población donde radique el sujeto obligado.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lastRenderedPageBreak/>
        <w:t xml:space="preserve">IV. Denominación y domicilio del sujeto o sujetos obligados, a quienes se reclame la indemnización por su actividad irregular.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V. Prestaciones que se demanden, en que se indique el cálculo estimado del daño generado.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VI. Narración de hechos de manera ordenada y cronológica en los que se apoye la petición.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VII. Señalar en su caso, el o los servidores públicos involucrados en la actividad administrativa que se considere irregular.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VIII. Disposiciones legales en que se sustente.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IX. Señalar la relación causa-efecto entre la actividad administrativa irregular del sujeto obligado y el daño causado.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X. Acompañar las pruebas que acrediten los hechos argumentados y la existencia del acto, conforme a los lineamientos establecidos en el Código de Procedimientos Administrativos del Estado de México.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XI. Lugar, fecha y firma de quién promueva, salvo que el accionante no sepa o pueda firmar, caso en el cual, imprimirá su huella digital y podrá signarla otra persona a su ruego, haciendo constar esa situación.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El reclamante deberá adjuntar a su reclamación copias de traslado para cada una de las partes…” (Sic)</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 </w:t>
      </w:r>
    </w:p>
    <w:p w:rsidR="007B4405" w:rsidRPr="008D6F03" w:rsidRDefault="00CE4C85">
      <w:pPr>
        <w:spacing w:after="240" w:line="360" w:lineRule="auto"/>
        <w:ind w:right="51"/>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Sin embargo, no le indicó el área del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en donde deba ingresar el escrito inicial de reclamación, ya que sólo se concretó a señalar que el escrito se deberá presentar a la ante la entidad pública presuntamente responsable, sin especificar cual, lo que transgrede el derecho de acceso a la información pública de la parte solicitante. </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Precisado lo anterior, se observa que la respuesta proporcionada carece de los principios de exhaustividad, ya que se debió ajustar a lo dispuesto por la Ley en la materia, ya que los trámites que ofrecen los sujetos obligados son considerados una obligación de transparencia común, esto en razón de la fracción XXIV del artículo 92 de la Ley de Transparencia y Acceso a la Información Pública del Estado de México y Municipios, que establece lo siguiente: </w:t>
      </w:r>
    </w:p>
    <w:p w:rsidR="007B4405" w:rsidRPr="008D6F03" w:rsidRDefault="00CE4C85">
      <w:pPr>
        <w:spacing w:line="276" w:lineRule="auto"/>
        <w:ind w:left="851" w:right="900"/>
        <w:jc w:val="both"/>
        <w:rPr>
          <w:rFonts w:ascii="Palatino Linotype" w:eastAsia="Palatino Linotype" w:hAnsi="Palatino Linotype" w:cs="Palatino Linotype"/>
          <w:i/>
          <w:color w:val="000000"/>
        </w:rPr>
      </w:pPr>
      <w:r w:rsidRPr="008D6F03">
        <w:rPr>
          <w:rFonts w:ascii="Palatino Linotype" w:eastAsia="Palatino Linotype" w:hAnsi="Palatino Linotype" w:cs="Palatino Linotype"/>
          <w:i/>
          <w:color w:val="000000"/>
        </w:rPr>
        <w:lastRenderedPageBreak/>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7B4405" w:rsidRPr="008D6F03" w:rsidRDefault="007B4405">
      <w:pPr>
        <w:spacing w:line="276" w:lineRule="auto"/>
        <w:ind w:left="851" w:right="900"/>
        <w:jc w:val="both"/>
        <w:rPr>
          <w:rFonts w:ascii="Palatino Linotype" w:eastAsia="Palatino Linotype" w:hAnsi="Palatino Linotype" w:cs="Palatino Linotype"/>
          <w:i/>
          <w:color w:val="000000"/>
        </w:rPr>
      </w:pPr>
    </w:p>
    <w:p w:rsidR="007B4405" w:rsidRPr="008D6F03" w:rsidRDefault="00CE4C85">
      <w:pPr>
        <w:spacing w:line="276" w:lineRule="auto"/>
        <w:ind w:left="851" w:right="900"/>
        <w:jc w:val="both"/>
        <w:rPr>
          <w:rFonts w:ascii="Palatino Linotype" w:eastAsia="Palatino Linotype" w:hAnsi="Palatino Linotype" w:cs="Palatino Linotype"/>
          <w:i/>
          <w:color w:val="000000"/>
        </w:rPr>
      </w:pPr>
      <w:r w:rsidRPr="008D6F03">
        <w:rPr>
          <w:rFonts w:ascii="Palatino Linotype" w:eastAsia="Palatino Linotype" w:hAnsi="Palatino Linotype" w:cs="Palatino Linotype"/>
          <w:i/>
          <w:color w:val="000000"/>
        </w:rPr>
        <w:t>XXIV. Los trámites, requisitos y formatos que ofrecen, así como los tiempos de respuesta;</w:t>
      </w:r>
    </w:p>
    <w:p w:rsidR="007B4405" w:rsidRPr="008D6F03" w:rsidRDefault="007B4405">
      <w:pPr>
        <w:spacing w:line="360" w:lineRule="auto"/>
        <w:ind w:left="851" w:right="900"/>
        <w:jc w:val="both"/>
        <w:rPr>
          <w:rFonts w:ascii="Palatino Linotype" w:eastAsia="Palatino Linotype" w:hAnsi="Palatino Linotype" w:cs="Palatino Linotype"/>
          <w:color w:val="000000"/>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Para mayor precisión dentro de su respuesta el sujeto obligado le debió proporcionar la información mínima establecida en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w:t>
      </w:r>
      <w:r w:rsidRPr="008D6F03">
        <w:rPr>
          <w:rFonts w:ascii="Palatino Linotype" w:eastAsia="Palatino Linotype" w:hAnsi="Palatino Linotype" w:cs="Palatino Linotype"/>
          <w:b/>
          <w:u w:val="single"/>
        </w:rPr>
        <w:t>,</w:t>
      </w:r>
      <w:r w:rsidRPr="008D6F03">
        <w:rPr>
          <w:rFonts w:ascii="Palatino Linotype" w:eastAsia="Palatino Linotype" w:hAnsi="Palatino Linotype" w:cs="Palatino Linotype"/>
        </w:rPr>
        <w:t xml:space="preserve"> que establece lo siguiente:</w:t>
      </w:r>
    </w:p>
    <w:p w:rsidR="007B4405" w:rsidRPr="008D6F03" w:rsidRDefault="007B4405">
      <w:pPr>
        <w:spacing w:line="360" w:lineRule="auto"/>
        <w:jc w:val="both"/>
        <w:rPr>
          <w:rFonts w:ascii="Palatino Linotype" w:eastAsia="Palatino Linotype" w:hAnsi="Palatino Linotype" w:cs="Palatino Linotype"/>
        </w:rPr>
      </w:pPr>
    </w:p>
    <w:p w:rsidR="00215E16" w:rsidRPr="008D6F03" w:rsidRDefault="00CE4C85" w:rsidP="00215E16">
      <w:pPr>
        <w:spacing w:line="276" w:lineRule="auto"/>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rPr>
        <w:t>“</w:t>
      </w:r>
      <w:r w:rsidR="00215E16" w:rsidRPr="008D6F03">
        <w:rPr>
          <w:rFonts w:ascii="Palatino Linotype" w:eastAsia="Palatino Linotype" w:hAnsi="Palatino Linotype" w:cs="Palatino Linotype"/>
          <w:i/>
          <w:sz w:val="22"/>
          <w:szCs w:val="22"/>
        </w:rPr>
        <w:t xml:space="preserve">ANEXO I. OBLIGACIONES DE TRANSPARENCIA COMUNES TODOS LOS SUJETOS OBLIGADOS </w:t>
      </w:r>
    </w:p>
    <w:p w:rsidR="007B4405" w:rsidRPr="008D6F03" w:rsidRDefault="00215E16" w:rsidP="00215E16">
      <w:pPr>
        <w:spacing w:line="276" w:lineRule="auto"/>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Criterios para las obligaciones de transparencia comunes</w:t>
      </w:r>
      <w:r w:rsidR="00CE4C85" w:rsidRPr="008D6F03">
        <w:rPr>
          <w:rFonts w:ascii="Palatino Linotype" w:eastAsia="Palatino Linotype" w:hAnsi="Palatino Linotype" w:cs="Palatino Linotype"/>
          <w:i/>
          <w:sz w:val="22"/>
          <w:szCs w:val="22"/>
        </w:rPr>
        <w:t>.</w:t>
      </w:r>
    </w:p>
    <w:p w:rsidR="00215E16" w:rsidRPr="008D6F03" w:rsidRDefault="00215E16" w:rsidP="00215E16">
      <w:pPr>
        <w:spacing w:line="276" w:lineRule="auto"/>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 xml:space="preserve">El catálogo de la información que todos los sujetos obligados deben poner a disposición de las personas en sus portales de Internet y en la Plataforma Nacional está detallado en el Título Quinto, Capítulo II de la Ley General, en el artículo 70, fracciones I a la XLVIII. En este apartado se detallan los criterios sustantivos y adjetivos que por cada rubro de información determinan los datos, características y forma de organización de la información que publicarán y actualizarán en sus portales de Internet y en la Plataforma Nacional, los sujetos obligados determinados en el artículo 23 de la Ley General. El artículo 70 dice a la letra: </w:t>
      </w:r>
    </w:p>
    <w:p w:rsidR="00215E16" w:rsidRPr="008D6F03" w:rsidRDefault="00215E16" w:rsidP="00215E16">
      <w:pPr>
        <w:spacing w:line="276" w:lineRule="auto"/>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lastRenderedPageBreak/>
        <w:t xml:space="preserve">Artículo 70. En la Ley Federal y de las Entidades Federativas se contemplará que los sujetos obligados pongan a disposición del público y mantengan actualizada, en los respectivos medios electrónicos, de acuerdo con sus facultades, atribuciones, funciones u objeto social, según corresponda, la información, por lo menos, de los temas, documentos y políticas que a continuación se señalan: </w:t>
      </w:r>
    </w:p>
    <w:p w:rsidR="00215E16" w:rsidRPr="008D6F03" w:rsidRDefault="00215E16" w:rsidP="00215E16">
      <w:pPr>
        <w:spacing w:line="276" w:lineRule="auto"/>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En las siguientes páginas se hace mención de cada una de las fracciones con sus respectivos criterios.</w:t>
      </w:r>
    </w:p>
    <w:p w:rsidR="00215E16" w:rsidRPr="008D6F03" w:rsidRDefault="00215E16">
      <w:pPr>
        <w:spacing w:line="276" w:lineRule="auto"/>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spacing w:line="276" w:lineRule="auto"/>
        <w:ind w:left="851" w:right="900"/>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XX. Los trámites, requisitos y formatos que ofrecen…” (Sic)</w:t>
      </w:r>
    </w:p>
    <w:p w:rsidR="007B4405" w:rsidRPr="008D6F03" w:rsidRDefault="007B4405">
      <w:pPr>
        <w:spacing w:line="360" w:lineRule="auto"/>
        <w:ind w:right="49"/>
        <w:jc w:val="both"/>
        <w:rPr>
          <w:rFonts w:ascii="Palatino Linotype" w:eastAsia="Palatino Linotype" w:hAnsi="Palatino Linotype" w:cs="Palatino Linotype"/>
        </w:rPr>
      </w:pPr>
    </w:p>
    <w:p w:rsidR="007B4405" w:rsidRPr="008D6F03" w:rsidRDefault="00CE4C85">
      <w:pPr>
        <w:spacing w:line="360" w:lineRule="auto"/>
        <w:ind w:right="49"/>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De manera particular los Criterios que debe cumplir </w:t>
      </w:r>
      <w:r w:rsidRPr="008D6F03">
        <w:rPr>
          <w:rFonts w:ascii="Palatino Linotype" w:eastAsia="Palatino Linotype" w:hAnsi="Palatino Linotype" w:cs="Palatino Linotype"/>
          <w:b/>
        </w:rPr>
        <w:t>EL SUJETO OBLIGADO</w:t>
      </w:r>
      <w:r w:rsidRPr="008D6F03">
        <w:rPr>
          <w:rFonts w:ascii="Palatino Linotype" w:eastAsia="Palatino Linotype" w:hAnsi="Palatino Linotype" w:cs="Palatino Linotype"/>
        </w:rPr>
        <w:t xml:space="preserve"> respecto a la obligación de transparencia común relativa a los trámites, requisitos y formatos que ofrecen, de conformidad con los lineamientos antes referidos, son los siguientes: </w:t>
      </w:r>
    </w:p>
    <w:p w:rsidR="007B4405" w:rsidRPr="008D6F03" w:rsidRDefault="00CE4C85">
      <w:pPr>
        <w:spacing w:line="360" w:lineRule="auto"/>
        <w:ind w:right="139"/>
        <w:jc w:val="both"/>
        <w:rPr>
          <w:rFonts w:ascii="Palatino Linotype" w:eastAsia="Palatino Linotype" w:hAnsi="Palatino Linotype" w:cs="Palatino Linotype"/>
        </w:rPr>
      </w:pPr>
      <w:r w:rsidRPr="008D6F03">
        <w:rPr>
          <w:noProof/>
          <w:lang w:eastAsia="es-MX"/>
        </w:rPr>
        <w:drawing>
          <wp:inline distT="0" distB="0" distL="0" distR="0">
            <wp:extent cx="5718810" cy="2990850"/>
            <wp:effectExtent l="0" t="0" r="0" b="0"/>
            <wp:docPr id="8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9"/>
                    <a:srcRect l="33096" t="22330" r="34487" b="18526"/>
                    <a:stretch>
                      <a:fillRect/>
                    </a:stretch>
                  </pic:blipFill>
                  <pic:spPr>
                    <a:xfrm>
                      <a:off x="0" y="0"/>
                      <a:ext cx="5719178" cy="2991042"/>
                    </a:xfrm>
                    <a:prstGeom prst="rect">
                      <a:avLst/>
                    </a:prstGeom>
                    <a:ln/>
                  </pic:spPr>
                </pic:pic>
              </a:graphicData>
            </a:graphic>
          </wp:inline>
        </w:drawing>
      </w:r>
    </w:p>
    <w:p w:rsidR="007B4405" w:rsidRPr="008D6F03" w:rsidRDefault="00CE4C85">
      <w:pPr>
        <w:spacing w:line="360" w:lineRule="auto"/>
        <w:ind w:right="49"/>
        <w:jc w:val="both"/>
        <w:rPr>
          <w:rFonts w:ascii="Palatino Linotype" w:eastAsia="Palatino Linotype" w:hAnsi="Palatino Linotype" w:cs="Palatino Linotype"/>
        </w:rPr>
      </w:pPr>
      <w:r w:rsidRPr="008D6F03">
        <w:rPr>
          <w:noProof/>
          <w:lang w:eastAsia="es-MX"/>
        </w:rPr>
        <w:lastRenderedPageBreak/>
        <w:drawing>
          <wp:inline distT="0" distB="0" distL="0" distR="0">
            <wp:extent cx="5279928" cy="7082913"/>
            <wp:effectExtent l="0" t="0" r="0" b="0"/>
            <wp:docPr id="8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0"/>
                    <a:srcRect l="32755" t="18707" r="33300" b="6156"/>
                    <a:stretch>
                      <a:fillRect/>
                    </a:stretch>
                  </pic:blipFill>
                  <pic:spPr>
                    <a:xfrm>
                      <a:off x="0" y="0"/>
                      <a:ext cx="5279928" cy="7082913"/>
                    </a:xfrm>
                    <a:prstGeom prst="rect">
                      <a:avLst/>
                    </a:prstGeom>
                    <a:ln/>
                  </pic:spPr>
                </pic:pic>
              </a:graphicData>
            </a:graphic>
          </wp:inline>
        </w:drawing>
      </w:r>
    </w:p>
    <w:p w:rsidR="007B4405" w:rsidRPr="008D6F03" w:rsidRDefault="00CE4C85">
      <w:pPr>
        <w:spacing w:line="360" w:lineRule="auto"/>
        <w:ind w:right="49"/>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 xml:space="preserve">En donde se destaca el criterio 15 y 16 correspondiente </w:t>
      </w:r>
      <w:proofErr w:type="gramStart"/>
      <w:r w:rsidRPr="008D6F03">
        <w:rPr>
          <w:rFonts w:ascii="Palatino Linotype" w:eastAsia="Palatino Linotype" w:hAnsi="Palatino Linotype" w:cs="Palatino Linotype"/>
        </w:rPr>
        <w:t>a</w:t>
      </w:r>
      <w:proofErr w:type="gramEnd"/>
      <w:r w:rsidRPr="008D6F03">
        <w:rPr>
          <w:rFonts w:ascii="Palatino Linotype" w:eastAsia="Palatino Linotype" w:hAnsi="Palatino Linotype" w:cs="Palatino Linotype"/>
        </w:rPr>
        <w:t>:</w:t>
      </w:r>
    </w:p>
    <w:tbl>
      <w:tblPr>
        <w:tblStyle w:val="af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72"/>
        <w:gridCol w:w="3019"/>
        <w:gridCol w:w="2737"/>
      </w:tblGrid>
      <w:tr w:rsidR="007B4405" w:rsidRPr="008D6F03">
        <w:tc>
          <w:tcPr>
            <w:tcW w:w="3072" w:type="dxa"/>
          </w:tcPr>
          <w:p w:rsidR="007B4405" w:rsidRPr="008D6F03" w:rsidRDefault="00CE4C85">
            <w:pPr>
              <w:spacing w:before="240" w:after="240" w:line="276" w:lineRule="auto"/>
              <w:ind w:right="139"/>
              <w:jc w:val="both"/>
              <w:rPr>
                <w:rFonts w:ascii="Palatino Linotype" w:eastAsia="Palatino Linotype" w:hAnsi="Palatino Linotype" w:cs="Palatino Linotype"/>
                <w:sz w:val="18"/>
                <w:szCs w:val="18"/>
              </w:rPr>
            </w:pPr>
            <w:r w:rsidRPr="008D6F03">
              <w:rPr>
                <w:rFonts w:ascii="Palatino Linotype" w:eastAsia="Palatino Linotype" w:hAnsi="Palatino Linotype" w:cs="Palatino Linotype"/>
                <w:b/>
                <w:sz w:val="18"/>
                <w:szCs w:val="18"/>
              </w:rPr>
              <w:t>Criterio 15</w:t>
            </w:r>
            <w:r w:rsidRPr="008D6F03">
              <w:rPr>
                <w:rFonts w:ascii="Palatino Linotype" w:eastAsia="Palatino Linotype" w:hAnsi="Palatino Linotype" w:cs="Palatino Linotype"/>
                <w:sz w:val="18"/>
                <w:szCs w:val="18"/>
              </w:rPr>
              <w:t xml:space="preserve"> Denominación del/las área/s o unidades administrativas en donde se realiza el trámite.</w:t>
            </w:r>
          </w:p>
        </w:tc>
        <w:tc>
          <w:tcPr>
            <w:tcW w:w="3019" w:type="dxa"/>
          </w:tcPr>
          <w:p w:rsidR="007B4405" w:rsidRPr="008D6F03" w:rsidRDefault="00CE4C85">
            <w:pPr>
              <w:spacing w:before="240" w:after="240" w:line="276" w:lineRule="auto"/>
              <w:ind w:right="139"/>
              <w:jc w:val="both"/>
              <w:rPr>
                <w:rFonts w:ascii="Palatino Linotype" w:eastAsia="Palatino Linotype" w:hAnsi="Palatino Linotype" w:cs="Palatino Linotype"/>
                <w:sz w:val="18"/>
                <w:szCs w:val="18"/>
              </w:rPr>
            </w:pPr>
            <w:r w:rsidRPr="008D6F03">
              <w:rPr>
                <w:rFonts w:ascii="Palatino Linotype" w:eastAsia="Palatino Linotype" w:hAnsi="Palatino Linotype" w:cs="Palatino Linotype"/>
                <w:sz w:val="18"/>
                <w:szCs w:val="18"/>
              </w:rPr>
              <w:t>No hay pronunciamiento.</w:t>
            </w:r>
          </w:p>
        </w:tc>
        <w:tc>
          <w:tcPr>
            <w:tcW w:w="2737" w:type="dxa"/>
          </w:tcPr>
          <w:p w:rsidR="007B4405" w:rsidRPr="008D6F03" w:rsidRDefault="00CE4C85">
            <w:pPr>
              <w:spacing w:before="240" w:after="240" w:line="276" w:lineRule="auto"/>
              <w:ind w:right="139"/>
              <w:jc w:val="both"/>
              <w:rPr>
                <w:rFonts w:ascii="Palatino Linotype" w:eastAsia="Palatino Linotype" w:hAnsi="Palatino Linotype" w:cs="Palatino Linotype"/>
                <w:sz w:val="18"/>
                <w:szCs w:val="18"/>
              </w:rPr>
            </w:pPr>
            <w:r w:rsidRPr="008D6F03">
              <w:rPr>
                <w:rFonts w:ascii="Palatino Linotype" w:eastAsia="Palatino Linotype" w:hAnsi="Palatino Linotype" w:cs="Palatino Linotype"/>
                <w:sz w:val="18"/>
                <w:szCs w:val="18"/>
              </w:rPr>
              <w:t>No.</w:t>
            </w:r>
          </w:p>
        </w:tc>
      </w:tr>
      <w:tr w:rsidR="007B4405" w:rsidRPr="008D6F03">
        <w:tc>
          <w:tcPr>
            <w:tcW w:w="3072" w:type="dxa"/>
          </w:tcPr>
          <w:p w:rsidR="007B4405" w:rsidRPr="008D6F03" w:rsidRDefault="00CE4C85">
            <w:pPr>
              <w:spacing w:before="240" w:after="240" w:line="276" w:lineRule="auto"/>
              <w:ind w:right="139"/>
              <w:jc w:val="both"/>
              <w:rPr>
                <w:rFonts w:ascii="Palatino Linotype" w:eastAsia="Palatino Linotype" w:hAnsi="Palatino Linotype" w:cs="Palatino Linotype"/>
                <w:sz w:val="18"/>
                <w:szCs w:val="18"/>
              </w:rPr>
            </w:pPr>
            <w:r w:rsidRPr="008D6F03">
              <w:rPr>
                <w:rFonts w:ascii="Palatino Linotype" w:eastAsia="Palatino Linotype" w:hAnsi="Palatino Linotype" w:cs="Palatino Linotype"/>
                <w:b/>
                <w:sz w:val="18"/>
                <w:szCs w:val="18"/>
              </w:rPr>
              <w:t>Criterio 16</w:t>
            </w:r>
            <w:r w:rsidRPr="008D6F03">
              <w:rPr>
                <w:rFonts w:ascii="Palatino Linotype" w:eastAsia="Palatino Linotype" w:hAnsi="Palatino Linotype" w:cs="Palatino Linotype"/>
                <w:sz w:val="18"/>
                <w:szCs w:val="18"/>
              </w:rPr>
              <w:t xml:space="preserve"> Domicilio de la oficina de atención (tipo de vialidad [catálogo], nombre de vialidad [calle], número exterior, número interior [en su caso], tipo de asentamiento humano [catálogo], nombre de asentamiento humano [colonia], clave de la localidad, nombre de la localidad, clave del municipio, nombre del municipio o delegación, clave de la entidad federativa, nombre de la entidad federativa [catálogo], código postal).</w:t>
            </w:r>
          </w:p>
        </w:tc>
        <w:tc>
          <w:tcPr>
            <w:tcW w:w="3019" w:type="dxa"/>
          </w:tcPr>
          <w:p w:rsidR="007B4405" w:rsidRPr="008D6F03" w:rsidRDefault="00CE4C85">
            <w:pPr>
              <w:spacing w:before="240" w:after="240" w:line="276" w:lineRule="auto"/>
              <w:ind w:right="139"/>
              <w:jc w:val="both"/>
              <w:rPr>
                <w:rFonts w:ascii="Palatino Linotype" w:eastAsia="Palatino Linotype" w:hAnsi="Palatino Linotype" w:cs="Palatino Linotype"/>
                <w:sz w:val="18"/>
                <w:szCs w:val="18"/>
              </w:rPr>
            </w:pPr>
            <w:r w:rsidRPr="008D6F03">
              <w:rPr>
                <w:rFonts w:ascii="Palatino Linotype" w:eastAsia="Palatino Linotype" w:hAnsi="Palatino Linotype" w:cs="Palatino Linotype"/>
                <w:sz w:val="18"/>
                <w:szCs w:val="18"/>
              </w:rPr>
              <w:t>No hay pronunciamiento.</w:t>
            </w:r>
          </w:p>
        </w:tc>
        <w:tc>
          <w:tcPr>
            <w:tcW w:w="2737" w:type="dxa"/>
          </w:tcPr>
          <w:p w:rsidR="007B4405" w:rsidRPr="008D6F03" w:rsidRDefault="00CE4C85">
            <w:pPr>
              <w:spacing w:before="240" w:after="240" w:line="276" w:lineRule="auto"/>
              <w:ind w:right="139"/>
              <w:jc w:val="both"/>
              <w:rPr>
                <w:rFonts w:ascii="Palatino Linotype" w:eastAsia="Palatino Linotype" w:hAnsi="Palatino Linotype" w:cs="Palatino Linotype"/>
                <w:sz w:val="18"/>
                <w:szCs w:val="18"/>
              </w:rPr>
            </w:pPr>
            <w:r w:rsidRPr="008D6F03">
              <w:rPr>
                <w:rFonts w:ascii="Palatino Linotype" w:eastAsia="Palatino Linotype" w:hAnsi="Palatino Linotype" w:cs="Palatino Linotype"/>
                <w:sz w:val="18"/>
                <w:szCs w:val="18"/>
              </w:rPr>
              <w:t xml:space="preserve">No.   </w:t>
            </w:r>
          </w:p>
        </w:tc>
      </w:tr>
    </w:tbl>
    <w:p w:rsidR="007B4405" w:rsidRPr="008D6F03" w:rsidRDefault="007B4405">
      <w:pPr>
        <w:spacing w:line="360" w:lineRule="auto"/>
        <w:ind w:right="900"/>
        <w:jc w:val="both"/>
        <w:rPr>
          <w:rFonts w:ascii="Palatino Linotype" w:eastAsia="Palatino Linotype" w:hAnsi="Palatino Linotype" w:cs="Palatino Linotype"/>
          <w:b/>
          <w:i/>
        </w:rPr>
      </w:pPr>
    </w:p>
    <w:p w:rsidR="007B4405" w:rsidRPr="008D6F03" w:rsidRDefault="00CE4C85">
      <w:pPr>
        <w:spacing w:line="360" w:lineRule="auto"/>
        <w:ind w:right="139"/>
        <w:jc w:val="both"/>
        <w:rPr>
          <w:rFonts w:ascii="Palatino Linotype" w:eastAsia="Palatino Linotype" w:hAnsi="Palatino Linotype" w:cs="Palatino Linotype"/>
        </w:rPr>
      </w:pPr>
      <w:r w:rsidRPr="008D6F03">
        <w:rPr>
          <w:rFonts w:ascii="Palatino Linotype" w:eastAsia="Palatino Linotype" w:hAnsi="Palatino Linotype" w:cs="Palatino Linotype"/>
          <w:color w:val="000000"/>
        </w:rPr>
        <w:t xml:space="preserve">Los cuales corresponden a que se deberá publicar la denominación del área o unidad administrativa en donde se realiza el trámite y el domicilio de la oficina de atención, con lo cual se acredita que el </w:t>
      </w:r>
      <w:r w:rsidRPr="008D6F03">
        <w:rPr>
          <w:rFonts w:ascii="Palatino Linotype" w:eastAsia="Palatino Linotype" w:hAnsi="Palatino Linotype" w:cs="Palatino Linotype"/>
          <w:b/>
          <w:color w:val="000000"/>
        </w:rPr>
        <w:t>SUJETO OBLIGADO</w:t>
      </w:r>
      <w:r w:rsidRPr="008D6F03">
        <w:rPr>
          <w:rFonts w:ascii="Palatino Linotype" w:eastAsia="Palatino Linotype" w:hAnsi="Palatino Linotype" w:cs="Palatino Linotype"/>
          <w:color w:val="000000"/>
        </w:rPr>
        <w:t xml:space="preserve">, deberá tener dentro de sus archivos el documento que dé cuenta del área administrativa encargada de recibir el escrito </w:t>
      </w:r>
      <w:r w:rsidRPr="008D6F03">
        <w:rPr>
          <w:rFonts w:ascii="Palatino Linotype" w:eastAsia="Palatino Linotype" w:hAnsi="Palatino Linotype" w:cs="Palatino Linotype"/>
        </w:rPr>
        <w:t xml:space="preserve">reclamación de indemnización por los daños ocasionados </w:t>
      </w:r>
      <w:r w:rsidRPr="008D6F03">
        <w:rPr>
          <w:rFonts w:ascii="Palatino Linotype" w:eastAsia="Palatino Linotype" w:hAnsi="Palatino Linotype" w:cs="Palatino Linotype"/>
          <w:color w:val="000000"/>
        </w:rPr>
        <w:t>a las llantas y suspensiones de los automóviles causado por los baches</w:t>
      </w:r>
      <w:r w:rsidRPr="008D6F03">
        <w:rPr>
          <w:rFonts w:ascii="Palatino Linotype" w:eastAsia="Palatino Linotype" w:hAnsi="Palatino Linotype" w:cs="Palatino Linotype"/>
        </w:rPr>
        <w:t xml:space="preserve">, de acuerdo a sus atribuciones, vigente al dieciocho de octubre del año dos mil veintidós. </w:t>
      </w:r>
    </w:p>
    <w:p w:rsidR="007B4405" w:rsidRPr="008D6F03" w:rsidRDefault="007B4405">
      <w:pPr>
        <w:spacing w:line="360" w:lineRule="auto"/>
        <w:ind w:right="139"/>
        <w:jc w:val="both"/>
        <w:rPr>
          <w:rFonts w:ascii="Palatino Linotype" w:eastAsia="Palatino Linotype" w:hAnsi="Palatino Linotype" w:cs="Palatino Linotype"/>
        </w:rPr>
      </w:pPr>
    </w:p>
    <w:p w:rsidR="007B4405" w:rsidRPr="008D6F03" w:rsidRDefault="00CE4C85">
      <w:pPr>
        <w:spacing w:line="360" w:lineRule="auto"/>
        <w:ind w:right="139"/>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No se omite, comentar que otro documento en donde pudiera constar el área administrativa </w:t>
      </w:r>
      <w:r w:rsidRPr="008D6F03">
        <w:rPr>
          <w:rFonts w:ascii="Palatino Linotype" w:eastAsia="Palatino Linotype" w:hAnsi="Palatino Linotype" w:cs="Palatino Linotype"/>
          <w:color w:val="000000"/>
        </w:rPr>
        <w:t xml:space="preserve">encargada de recibir el escrito </w:t>
      </w:r>
      <w:r w:rsidRPr="008D6F03">
        <w:rPr>
          <w:rFonts w:ascii="Palatino Linotype" w:eastAsia="Palatino Linotype" w:hAnsi="Palatino Linotype" w:cs="Palatino Linotype"/>
        </w:rPr>
        <w:t xml:space="preserve"> reclamación de indemnización por </w:t>
      </w:r>
      <w:r w:rsidRPr="008D6F03">
        <w:rPr>
          <w:rFonts w:ascii="Palatino Linotype" w:eastAsia="Palatino Linotype" w:hAnsi="Palatino Linotype" w:cs="Palatino Linotype"/>
        </w:rPr>
        <w:lastRenderedPageBreak/>
        <w:t xml:space="preserve">los daños ocasionados por un bache, podría ser un reglamento, manual de procedimiento o manual de organización. </w:t>
      </w:r>
    </w:p>
    <w:p w:rsidR="007B4405" w:rsidRPr="008D6F03" w:rsidRDefault="007B4405">
      <w:pPr>
        <w:spacing w:line="360" w:lineRule="auto"/>
        <w:ind w:right="139"/>
        <w:jc w:val="both"/>
        <w:rPr>
          <w:rFonts w:ascii="Palatino Linotype" w:eastAsia="Palatino Linotype" w:hAnsi="Palatino Linotype" w:cs="Palatino Linotype"/>
        </w:rPr>
      </w:pPr>
    </w:p>
    <w:p w:rsidR="007B4405" w:rsidRPr="008D6F03" w:rsidRDefault="00CE4C85">
      <w:pPr>
        <w:spacing w:line="360" w:lineRule="auto"/>
        <w:ind w:right="139"/>
        <w:jc w:val="both"/>
        <w:rPr>
          <w:rFonts w:ascii="Palatino Linotype" w:eastAsia="Palatino Linotype" w:hAnsi="Palatino Linotype" w:cs="Palatino Linotype"/>
          <w:b/>
        </w:rPr>
      </w:pPr>
      <w:r w:rsidRPr="008D6F03">
        <w:rPr>
          <w:rFonts w:ascii="Palatino Linotype" w:eastAsia="Palatino Linotype" w:hAnsi="Palatino Linotype" w:cs="Palatino Linotype"/>
          <w:b/>
        </w:rPr>
        <w:t>En cuanto al recurso de revisión 16963/INFOEM/IP/RR/2022, en donde se requirió:</w:t>
      </w:r>
    </w:p>
    <w:p w:rsidR="007B4405" w:rsidRPr="008D6F03" w:rsidRDefault="007B4405">
      <w:pPr>
        <w:spacing w:line="360" w:lineRule="auto"/>
        <w:ind w:right="139"/>
        <w:jc w:val="both"/>
        <w:rPr>
          <w:rFonts w:ascii="Palatino Linotype" w:eastAsia="Palatino Linotype" w:hAnsi="Palatino Linotype" w:cs="Palatino Linotype"/>
          <w:b/>
        </w:rPr>
      </w:pP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“Solicito todos los contratos de bacheo de enero a noviembre del 2022 y el plan de bacheo de la actual administración.” (Sic)</w:t>
      </w:r>
    </w:p>
    <w:p w:rsidR="007B4405" w:rsidRPr="008D6F03" w:rsidRDefault="007B4405">
      <w:pPr>
        <w:spacing w:line="360" w:lineRule="auto"/>
        <w:ind w:right="139"/>
        <w:jc w:val="both"/>
        <w:rPr>
          <w:rFonts w:ascii="Palatino Linotype" w:eastAsia="Palatino Linotype" w:hAnsi="Palatino Linotype" w:cs="Palatino Linotype"/>
          <w:b/>
        </w:rPr>
      </w:pP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respuesta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hizo entrega de once contratos en versión pública conforme a lo determinado el acta de la sexcentésima nonagésima sesión extraordinaria del Comité de Transparencia del Ayuntamiento de Toluca, a través del cual se aprobó el acuerdo número AT/CT/01/2022 a través del cual se aprobó la versión pública de los documentos para dar respuesta a la solicitud 02333/TOLUCA/IP/2022.</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Por otro lado informó que respecto de plan de Bacheo solicitado, informó que después de hacer una búsqueda exhaustiva y razonable dentro de sus archivos, no es de su competencia generar, poseer y/o administrar el plan de bacheo solicitado, de conformidad con el fundamento legal que señaló. </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Inconforme el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con la respuesta, interpuso el Recurso de Revisión, en el que señaló en sus motivos de inconformidad lo siguiente:</w:t>
      </w:r>
    </w:p>
    <w:p w:rsidR="007B4405" w:rsidRPr="008D6F03" w:rsidRDefault="00CE4C85">
      <w:pPr>
        <w:spacing w:before="240"/>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lastRenderedPageBreak/>
        <w:t xml:space="preserve">“No me entregaron todo lo que solicite, aun cuando existen los recibos de </w:t>
      </w:r>
      <w:proofErr w:type="spellStart"/>
      <w:r w:rsidRPr="008D6F03">
        <w:rPr>
          <w:rFonts w:ascii="Palatino Linotype" w:eastAsia="Palatino Linotype" w:hAnsi="Palatino Linotype" w:cs="Palatino Linotype"/>
          <w:i/>
          <w:color w:val="000000"/>
          <w:sz w:val="22"/>
          <w:szCs w:val="22"/>
        </w:rPr>
        <w:t>nomina</w:t>
      </w:r>
      <w:proofErr w:type="spellEnd"/>
      <w:r w:rsidRPr="008D6F03">
        <w:rPr>
          <w:rFonts w:ascii="Palatino Linotype" w:eastAsia="Palatino Linotype" w:hAnsi="Palatino Linotype" w:cs="Palatino Linotype"/>
          <w:i/>
          <w:color w:val="000000"/>
          <w:sz w:val="22"/>
          <w:szCs w:val="22"/>
        </w:rPr>
        <w:t xml:space="preserve"> y los contratos por este despacho y que ya están publicados en IPOMEX y los recibos en el OSFEM.” (Sic)</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Una vez notificado el recurso de revisión al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rindió su informe justificado mediante el cual en lo medular ratificó su respuesta. </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Ahora bien de la lectura a los motivos de inconformidad se advierte que estos no corresponden a la solicitud con número de folio 02333/TOLUCA/IP/2022</w:t>
      </w:r>
      <w:r w:rsidRPr="008D6F03">
        <w:rPr>
          <w:rFonts w:ascii="Palatino Linotype" w:eastAsia="Palatino Linotype" w:hAnsi="Palatino Linotype" w:cs="Palatino Linotype"/>
          <w:b/>
          <w:color w:val="000000"/>
        </w:rPr>
        <w:t>, l</w:t>
      </w:r>
      <w:r w:rsidRPr="008D6F03">
        <w:rPr>
          <w:rFonts w:ascii="Palatino Linotype" w:eastAsia="Palatino Linotype" w:hAnsi="Palatino Linotype" w:cs="Palatino Linotype"/>
          <w:color w:val="000000"/>
        </w:rPr>
        <w:t xml:space="preserve">o anterior es así toda vez que, no se advierte que la materia de la solicitud se planteara </w:t>
      </w:r>
      <w:r w:rsidRPr="008D6F03">
        <w:rPr>
          <w:rFonts w:ascii="Palatino Linotype" w:eastAsia="Palatino Linotype" w:hAnsi="Palatino Linotype" w:cs="Palatino Linotype"/>
          <w:color w:val="000000"/>
          <w:u w:val="single"/>
        </w:rPr>
        <w:t>con relacionado a los recibos de nómina y los contratos por este despacho y que ya están publicados en IPOMEX y los recibos en el OSFEM</w:t>
      </w:r>
      <w:r w:rsidRPr="008D6F03">
        <w:rPr>
          <w:rFonts w:ascii="Palatino Linotype" w:eastAsia="Palatino Linotype" w:hAnsi="Palatino Linotype" w:cs="Palatino Linotype"/>
          <w:color w:val="000000"/>
        </w:rPr>
        <w:t xml:space="preserve">, toda vez que como quedó asentado en las constancias que conforman el expediente electrónico del SAIMEX, el particular requirió </w:t>
      </w:r>
      <w:r w:rsidRPr="008D6F03">
        <w:rPr>
          <w:rFonts w:ascii="Palatino Linotype" w:eastAsia="Palatino Linotype" w:hAnsi="Palatino Linotype" w:cs="Palatino Linotype"/>
        </w:rPr>
        <w:t xml:space="preserve">los contratos de bacheo de enero a noviembre del 2022 y el plan de bacheo de la actual administración; </w:t>
      </w:r>
      <w:r w:rsidRPr="008D6F03">
        <w:rPr>
          <w:rFonts w:ascii="Palatino Linotype" w:eastAsia="Palatino Linotype" w:hAnsi="Palatino Linotype" w:cs="Palatino Linotype"/>
          <w:color w:val="000000"/>
        </w:rPr>
        <w:t xml:space="preserve">es decir, no hace mención alguna respecto a los recibos de nómina y los contratos por este despacho y que ya están publicados en IPOMEX y los recibos en el OSFEM, como lo refiere posteriormente en sus motivos de inconformidad </w:t>
      </w:r>
      <w:r w:rsidRPr="008D6F03">
        <w:rPr>
          <w:rFonts w:ascii="Palatino Linotype" w:eastAsia="Palatino Linotype" w:hAnsi="Palatino Linotype" w:cs="Palatino Linotype"/>
          <w:b/>
          <w:color w:val="000000"/>
        </w:rPr>
        <w:t>LA PARTE</w:t>
      </w:r>
      <w:r w:rsidRPr="008D6F03">
        <w:rPr>
          <w:rFonts w:ascii="Palatino Linotype" w:eastAsia="Palatino Linotype" w:hAnsi="Palatino Linotype" w:cs="Palatino Linotype"/>
          <w:color w:val="000000"/>
        </w:rPr>
        <w:t xml:space="preserve"> </w:t>
      </w:r>
      <w:r w:rsidRPr="008D6F03">
        <w:rPr>
          <w:rFonts w:ascii="Palatino Linotype" w:eastAsia="Palatino Linotype" w:hAnsi="Palatino Linotype" w:cs="Palatino Linotype"/>
          <w:b/>
          <w:color w:val="000000"/>
        </w:rPr>
        <w:t>RECURRENTE</w:t>
      </w:r>
      <w:r w:rsidRPr="008D6F03">
        <w:rPr>
          <w:rFonts w:ascii="Palatino Linotype" w:eastAsia="Palatino Linotype" w:hAnsi="Palatino Linotype" w:cs="Palatino Linotype"/>
          <w:color w:val="000000"/>
        </w:rPr>
        <w:t>. </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widowControl w:val="0"/>
        <w:spacing w:line="360" w:lineRule="auto"/>
        <w:ind w:right="51"/>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efecto, atentos a la inconformidad planteada resulta necesario señalar que la misma no versa ni sobre la materia de la solicitud de información inicial, ni sobre el contenido de la respuesta emitida por </w:t>
      </w:r>
      <w:r w:rsidRPr="008D6F03">
        <w:rPr>
          <w:rFonts w:ascii="Palatino Linotype" w:eastAsia="Palatino Linotype" w:hAnsi="Palatino Linotype" w:cs="Palatino Linotype"/>
          <w:b/>
        </w:rPr>
        <w:t>EL SUJETO OBLIGADO</w:t>
      </w:r>
      <w:r w:rsidRPr="008D6F03">
        <w:rPr>
          <w:rFonts w:ascii="Palatino Linotype" w:eastAsia="Palatino Linotype" w:hAnsi="Palatino Linotype" w:cs="Palatino Linotype"/>
        </w:rPr>
        <w:t xml:space="preserve">, en esa virtud, no se actualiza ninguna causal de procedencia, al acreditarse con las constancias que integran el expediente, que las razones o motivos de inconformidad no guardan relación con la solicitud inicial, es por ello que se actualiza la causal de </w:t>
      </w:r>
      <w:r w:rsidRPr="008D6F03">
        <w:rPr>
          <w:rFonts w:ascii="Palatino Linotype" w:eastAsia="Palatino Linotype" w:hAnsi="Palatino Linotype" w:cs="Palatino Linotype"/>
        </w:rPr>
        <w:lastRenderedPageBreak/>
        <w:t xml:space="preserve">improcedencia prevista en la fracción IV del artículo 192 de la Ley en la materia, en relación con la fracción III del artículo 191 del mismo ordenamiento, disposiciones normativas que señalan: </w:t>
      </w:r>
    </w:p>
    <w:p w:rsidR="007B4405" w:rsidRPr="008D6F03" w:rsidRDefault="007B4405">
      <w:pPr>
        <w:widowControl w:val="0"/>
        <w:spacing w:line="276" w:lineRule="auto"/>
        <w:ind w:right="51"/>
        <w:jc w:val="both"/>
        <w:rPr>
          <w:rFonts w:ascii="Palatino Linotype" w:eastAsia="Palatino Linotype" w:hAnsi="Palatino Linotype" w:cs="Palatino Linotype"/>
          <w:color w:val="000000"/>
          <w:sz w:val="28"/>
          <w:szCs w:val="28"/>
        </w:rPr>
      </w:pPr>
    </w:p>
    <w:p w:rsidR="007B4405" w:rsidRPr="008D6F03" w:rsidRDefault="00CE4C85">
      <w:pPr>
        <w:tabs>
          <w:tab w:val="left" w:pos="7938"/>
        </w:tabs>
        <w:spacing w:line="276" w:lineRule="auto"/>
        <w:ind w:left="851" w:right="620"/>
        <w:jc w:val="both"/>
        <w:rPr>
          <w:rFonts w:ascii="Palatino Linotype" w:eastAsia="Palatino Linotype" w:hAnsi="Palatino Linotype" w:cs="Palatino Linotype"/>
          <w:b/>
          <w:i/>
        </w:rPr>
      </w:pPr>
      <w:r w:rsidRPr="008D6F03">
        <w:rPr>
          <w:rFonts w:ascii="Palatino Linotype" w:eastAsia="Palatino Linotype" w:hAnsi="Palatino Linotype" w:cs="Palatino Linotype"/>
          <w:b/>
          <w:i/>
        </w:rPr>
        <w:t xml:space="preserve">“Artículo 191. El recurso será desechado por improcedente cuando: </w:t>
      </w:r>
    </w:p>
    <w:p w:rsidR="007B4405" w:rsidRPr="008D6F03" w:rsidRDefault="00CE4C85">
      <w:pPr>
        <w:tabs>
          <w:tab w:val="left" w:pos="7938"/>
        </w:tabs>
        <w:spacing w:line="276" w:lineRule="auto"/>
        <w:ind w:left="851" w:right="620"/>
        <w:jc w:val="both"/>
        <w:rPr>
          <w:rFonts w:ascii="Palatino Linotype" w:eastAsia="Palatino Linotype" w:hAnsi="Palatino Linotype" w:cs="Palatino Linotype"/>
          <w:b/>
          <w:i/>
        </w:rPr>
      </w:pPr>
      <w:r w:rsidRPr="008D6F03">
        <w:rPr>
          <w:rFonts w:ascii="Palatino Linotype" w:eastAsia="Palatino Linotype" w:hAnsi="Palatino Linotype" w:cs="Palatino Linotype"/>
          <w:b/>
          <w:i/>
        </w:rPr>
        <w:t>III. No se actualice alguno de los supuestos previstos en la Ley.</w:t>
      </w:r>
    </w:p>
    <w:p w:rsidR="007B4405" w:rsidRPr="008D6F03" w:rsidRDefault="00CE4C85">
      <w:pPr>
        <w:tabs>
          <w:tab w:val="left" w:pos="7938"/>
        </w:tabs>
        <w:spacing w:line="276" w:lineRule="auto"/>
        <w:ind w:left="851" w:right="620"/>
        <w:jc w:val="both"/>
        <w:rPr>
          <w:rFonts w:ascii="Palatino Linotype" w:eastAsia="Palatino Linotype" w:hAnsi="Palatino Linotype" w:cs="Palatino Linotype"/>
          <w:b/>
          <w:i/>
        </w:rPr>
      </w:pPr>
      <w:r w:rsidRPr="008D6F03">
        <w:rPr>
          <w:rFonts w:ascii="Palatino Linotype" w:eastAsia="Palatino Linotype" w:hAnsi="Palatino Linotype" w:cs="Palatino Linotype"/>
          <w:b/>
          <w:i/>
        </w:rPr>
        <w:t>…</w:t>
      </w:r>
    </w:p>
    <w:p w:rsidR="007B4405" w:rsidRPr="008D6F03" w:rsidRDefault="00CE4C85">
      <w:pPr>
        <w:tabs>
          <w:tab w:val="left" w:pos="7938"/>
        </w:tabs>
        <w:spacing w:line="276" w:lineRule="auto"/>
        <w:ind w:left="851" w:right="620"/>
        <w:jc w:val="both"/>
        <w:rPr>
          <w:rFonts w:ascii="Palatino Linotype" w:eastAsia="Palatino Linotype" w:hAnsi="Palatino Linotype" w:cs="Palatino Linotype"/>
          <w:b/>
          <w:i/>
        </w:rPr>
      </w:pPr>
      <w:r w:rsidRPr="008D6F03">
        <w:rPr>
          <w:rFonts w:ascii="Palatino Linotype" w:eastAsia="Palatino Linotype" w:hAnsi="Palatino Linotype" w:cs="Palatino Linotype"/>
          <w:b/>
          <w:i/>
        </w:rPr>
        <w:t xml:space="preserve">Artículo 192. El recurso será </w:t>
      </w:r>
      <w:r w:rsidRPr="008D6F03">
        <w:rPr>
          <w:rFonts w:ascii="Palatino Linotype" w:eastAsia="Palatino Linotype" w:hAnsi="Palatino Linotype" w:cs="Palatino Linotype"/>
          <w:b/>
          <w:i/>
          <w:u w:val="single"/>
        </w:rPr>
        <w:t>sobreseído</w:t>
      </w:r>
      <w:r w:rsidRPr="008D6F03">
        <w:rPr>
          <w:rFonts w:ascii="Palatino Linotype" w:eastAsia="Palatino Linotype" w:hAnsi="Palatino Linotype" w:cs="Palatino Linotype"/>
          <w:b/>
          <w:i/>
        </w:rPr>
        <w:t>, en todo o en parte, cuando una vez admitido, se actualicen alguno de los siguientes supuestos:</w:t>
      </w:r>
    </w:p>
    <w:p w:rsidR="007B4405" w:rsidRPr="008D6F03" w:rsidRDefault="00CE4C85">
      <w:pPr>
        <w:tabs>
          <w:tab w:val="left" w:pos="7938"/>
        </w:tabs>
        <w:spacing w:line="276" w:lineRule="auto"/>
        <w:ind w:left="851" w:right="620"/>
        <w:jc w:val="both"/>
        <w:rPr>
          <w:rFonts w:ascii="Palatino Linotype" w:eastAsia="Palatino Linotype" w:hAnsi="Palatino Linotype" w:cs="Palatino Linotype"/>
          <w:b/>
          <w:i/>
        </w:rPr>
      </w:pPr>
      <w:r w:rsidRPr="008D6F03">
        <w:rPr>
          <w:rFonts w:ascii="Palatino Linotype" w:eastAsia="Palatino Linotype" w:hAnsi="Palatino Linotype" w:cs="Palatino Linotype"/>
          <w:b/>
          <w:i/>
        </w:rPr>
        <w:t>(…)</w:t>
      </w:r>
    </w:p>
    <w:p w:rsidR="007B4405" w:rsidRPr="008D6F03" w:rsidRDefault="00CE4C85">
      <w:pPr>
        <w:tabs>
          <w:tab w:val="left" w:pos="7938"/>
        </w:tabs>
        <w:spacing w:line="276" w:lineRule="auto"/>
        <w:ind w:left="851" w:right="620"/>
        <w:jc w:val="both"/>
        <w:rPr>
          <w:rFonts w:ascii="Palatino Linotype" w:eastAsia="Palatino Linotype" w:hAnsi="Palatino Linotype" w:cs="Palatino Linotype"/>
          <w:b/>
          <w:i/>
        </w:rPr>
      </w:pPr>
      <w:r w:rsidRPr="008D6F03">
        <w:rPr>
          <w:rFonts w:ascii="Palatino Linotype" w:eastAsia="Palatino Linotype" w:hAnsi="Palatino Linotype" w:cs="Palatino Linotype"/>
          <w:b/>
          <w:i/>
        </w:rPr>
        <w:t>IV. Admitido el recurso de revisión aparezca alguna causal de improcedencia en términos de la presente Ley… (Sic)”</w:t>
      </w:r>
    </w:p>
    <w:p w:rsidR="007B4405" w:rsidRPr="008D6F03" w:rsidRDefault="007B4405">
      <w:pPr>
        <w:tabs>
          <w:tab w:val="left" w:pos="7938"/>
        </w:tabs>
        <w:spacing w:before="120" w:after="120"/>
        <w:ind w:right="902"/>
        <w:jc w:val="both"/>
        <w:rPr>
          <w:rFonts w:ascii="Palatino Linotype" w:eastAsia="Palatino Linotype" w:hAnsi="Palatino Linotype" w:cs="Palatino Linotype"/>
          <w:b/>
          <w:i/>
        </w:rPr>
      </w:pPr>
    </w:p>
    <w:p w:rsidR="007B4405" w:rsidRPr="008D6F03" w:rsidRDefault="00CE4C85">
      <w:pPr>
        <w:spacing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color w:val="000000"/>
        </w:rPr>
        <w:t xml:space="preserve">Por consiguiente, en estricto derecho la alegación de </w:t>
      </w:r>
      <w:r w:rsidRPr="008D6F03">
        <w:rPr>
          <w:rFonts w:ascii="Palatino Linotype" w:eastAsia="Palatino Linotype" w:hAnsi="Palatino Linotype" w:cs="Palatino Linotype"/>
          <w:b/>
          <w:color w:val="000000"/>
        </w:rPr>
        <w:t>LA PARTE RECURRENTE</w:t>
      </w:r>
      <w:r w:rsidRPr="008D6F03">
        <w:rPr>
          <w:rFonts w:ascii="Palatino Linotype" w:eastAsia="Palatino Linotype" w:hAnsi="Palatino Linotype" w:cs="Palatino Linotype"/>
          <w:color w:val="000000"/>
        </w:rPr>
        <w:t xml:space="preserve"> se califican de inoperantes; </w:t>
      </w:r>
      <w:r w:rsidRPr="008D6F03">
        <w:rPr>
          <w:rFonts w:ascii="Palatino Linotype" w:eastAsia="Palatino Linotype" w:hAnsi="Palatino Linotype" w:cs="Palatino Linotype"/>
        </w:rPr>
        <w:t xml:space="preserve">motivo por el cual lo procedente es sobreseer el recurso de revisión; </w:t>
      </w:r>
      <w:r w:rsidRPr="008D6F03">
        <w:rPr>
          <w:rFonts w:ascii="Palatino Linotype" w:eastAsia="Palatino Linotype" w:hAnsi="Palatino Linotype" w:cs="Palatino Linotype"/>
          <w:color w:val="000000"/>
        </w:rPr>
        <w:t>resultando necesario traer a colación la Tesis Aislada con número de registro 2017549 de rubro “INEXISTENCIA DE LOS ACTOS RECLAMADOS EN EL AMPARO. NO ES UN MOTIVO MANIFIESTO E INDUDABLE DE IMPROCEDENCIA QUE DÉ LUGAR AL DESECHAMIENTO DE LA DEMANDA, SINO QUE CONSTITUYE UNA CAUSAL DE SOBRESEIMIENTO EN EL JUICIO.”, la cual constituye un criterio orientador para este Órgano Garante, que pone en aptitudes de poder sobreseer el presente recurso de revisión, lo que en el caso particular, se tiene por acreditada la inexistencia del acto reclamado, quedando sin materia el presente asunto.</w:t>
      </w:r>
    </w:p>
    <w:p w:rsidR="007B4405" w:rsidRPr="008D6F03" w:rsidRDefault="007B4405">
      <w:pPr>
        <w:spacing w:line="360" w:lineRule="auto"/>
        <w:jc w:val="both"/>
        <w:rPr>
          <w:rFonts w:ascii="Palatino Linotype" w:eastAsia="Palatino Linotype" w:hAnsi="Palatino Linotype" w:cs="Palatino Linotype"/>
          <w:color w:val="000000"/>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Derivado de lo expuesto, es necesario hacer del conocimiento de la persona solicitante que, de la simple lectura a su Recurso de Revisión, se desprende que</w:t>
      </w:r>
      <w:r w:rsidRPr="008D6F03">
        <w:rPr>
          <w:rFonts w:ascii="Palatino Linotype" w:eastAsia="Palatino Linotype" w:hAnsi="Palatino Linotype" w:cs="Palatino Linotype"/>
          <w:b/>
          <w:u w:val="single"/>
        </w:rPr>
        <w:t xml:space="preserve"> las razones o motivos de inconformidad hechas valer, no corresponden ni con la solicitud, ni con la respuesta del SUJETO OBLIGADO para atender su requerimiento de información,</w:t>
      </w:r>
      <w:r w:rsidRPr="008D6F03">
        <w:rPr>
          <w:rFonts w:ascii="Palatino Linotype" w:eastAsia="Palatino Linotype" w:hAnsi="Palatino Linotype" w:cs="Palatino Linotype"/>
        </w:rPr>
        <w:t xml:space="preserve"> por lo tanto, es claro que el Recurso de Revisión que nos ocupa, no actualiza ninguno de los supuestos previstos en la Ley de la materia conforme a las actuaciones que obran en el expediente electrónico formado en el Sistema de Acceso a la Información Mexiquense, SAIMEX.</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Por tales circunstancias, este Instituto se encuentra impedido a entrar al estudio de fondo, en virtud que la particular no manifestó razones o motivos de inconformidad, relacionados con la respuesta del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a fin de atender su solicitud de acceso.</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ind w:right="96"/>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Por lo tanto, en virtud de los argumentos expuestos con anterioridad, así como del análisis realizado a las constancias que obran en el expediente electrónico, toda vez que no se actualizó algún supuesto de procedencia, se determina </w:t>
      </w:r>
      <w:r w:rsidRPr="008D6F03">
        <w:rPr>
          <w:rFonts w:ascii="Palatino Linotype" w:eastAsia="Palatino Linotype" w:hAnsi="Palatino Linotype" w:cs="Palatino Linotype"/>
          <w:i/>
        </w:rPr>
        <w:t xml:space="preserve">sobreseer </w:t>
      </w:r>
      <w:r w:rsidRPr="008D6F03">
        <w:rPr>
          <w:rFonts w:ascii="Palatino Linotype" w:eastAsia="Palatino Linotype" w:hAnsi="Palatino Linotype" w:cs="Palatino Linotype"/>
        </w:rPr>
        <w:t xml:space="preserve">el presente recurso de revisión. </w:t>
      </w:r>
    </w:p>
    <w:p w:rsidR="007B4405" w:rsidRPr="008D6F03" w:rsidRDefault="007B4405">
      <w:pPr>
        <w:spacing w:line="360" w:lineRule="auto"/>
        <w:ind w:right="96"/>
        <w:jc w:val="both"/>
        <w:rPr>
          <w:rFonts w:ascii="Palatino Linotype" w:eastAsia="Palatino Linotype" w:hAnsi="Palatino Linotype" w:cs="Palatino Linotype"/>
        </w:rPr>
      </w:pPr>
    </w:p>
    <w:p w:rsidR="007B4405" w:rsidRPr="008D6F03" w:rsidRDefault="00CE4C85">
      <w:pPr>
        <w:spacing w:line="360" w:lineRule="auto"/>
        <w:ind w:right="96"/>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Siendo el </w:t>
      </w:r>
      <w:r w:rsidRPr="008D6F03">
        <w:rPr>
          <w:rFonts w:ascii="Palatino Linotype" w:eastAsia="Palatino Linotype" w:hAnsi="Palatino Linotype" w:cs="Palatino Linotype"/>
          <w:i/>
        </w:rPr>
        <w:t>sobreseimiento</w:t>
      </w:r>
      <w:r w:rsidRPr="008D6F03">
        <w:rPr>
          <w:rFonts w:ascii="Palatino Linotype" w:eastAsia="Palatino Linotype" w:hAnsi="Palatino Linotype" w:cs="Palatino Linotype"/>
        </w:rPr>
        <w:t xml:space="preserve"> un acto que da por terminado el procedimiento administrativo de impugnación sin resolver el fondo de la cuestión planteada, por presentarse causas que impiden a la autoridad referirse a lo sustancial de lo planteado por el recurrente, los efectos del sobreseimiento consisten en dar por concluido el recurso administrativo sin entrar al estudio de fondo del asunto de que </w:t>
      </w:r>
      <w:r w:rsidRPr="008D6F03">
        <w:rPr>
          <w:rFonts w:ascii="Palatino Linotype" w:eastAsia="Palatino Linotype" w:hAnsi="Palatino Linotype" w:cs="Palatino Linotype"/>
        </w:rPr>
        <w:lastRenderedPageBreak/>
        <w:t>se trate; lo anterior con apoyo en el criterio del Poder Judicial de la Federación con rubro:</w:t>
      </w:r>
    </w:p>
    <w:p w:rsidR="007B4405" w:rsidRPr="008D6F03" w:rsidRDefault="007B4405">
      <w:pPr>
        <w:spacing w:line="360" w:lineRule="auto"/>
        <w:ind w:right="96"/>
        <w:jc w:val="both"/>
        <w:rPr>
          <w:rFonts w:ascii="Palatino Linotype" w:eastAsia="Palatino Linotype" w:hAnsi="Palatino Linotype" w:cs="Palatino Linotype"/>
          <w:b/>
          <w:i/>
        </w:rPr>
      </w:pPr>
    </w:p>
    <w:p w:rsidR="007B4405" w:rsidRPr="008D6F03" w:rsidRDefault="00CE4C85">
      <w:pPr>
        <w:spacing w:line="276" w:lineRule="auto"/>
        <w:ind w:left="851" w:right="902"/>
        <w:jc w:val="both"/>
        <w:rPr>
          <w:rFonts w:ascii="Palatino Linotype" w:eastAsia="Palatino Linotype" w:hAnsi="Palatino Linotype" w:cs="Palatino Linotype"/>
          <w:b/>
          <w:i/>
        </w:rPr>
      </w:pPr>
      <w:r w:rsidRPr="008D6F03">
        <w:rPr>
          <w:rFonts w:ascii="Palatino Linotype" w:eastAsia="Palatino Linotype" w:hAnsi="Palatino Linotype" w:cs="Palatino Linotype"/>
          <w:i/>
        </w:rPr>
        <w:t>“</w:t>
      </w:r>
      <w:r w:rsidRPr="008D6F03">
        <w:rPr>
          <w:rFonts w:ascii="Palatino Linotype" w:eastAsia="Palatino Linotype" w:hAnsi="Palatino Linotype" w:cs="Palatino Linotype"/>
          <w:b/>
          <w:i/>
        </w:rPr>
        <w:t>SOBRESEIMIENTO, NO PERMITE ENTRAR AL ESTUDIO DE LAS CUESTIONES DE FONDO</w:t>
      </w:r>
    </w:p>
    <w:p w:rsidR="007B4405" w:rsidRPr="008D6F03" w:rsidRDefault="00CE4C85">
      <w:pPr>
        <w:spacing w:after="120" w:line="276" w:lineRule="auto"/>
        <w:ind w:left="851" w:right="902"/>
        <w:jc w:val="both"/>
        <w:rPr>
          <w:rFonts w:ascii="Palatino Linotype" w:eastAsia="Palatino Linotype" w:hAnsi="Palatino Linotype" w:cs="Palatino Linotype"/>
          <w:i/>
        </w:rPr>
      </w:pPr>
      <w:r w:rsidRPr="008D6F03">
        <w:rPr>
          <w:rFonts w:ascii="Palatino Linotype" w:eastAsia="Palatino Linotype" w:hAnsi="Palatino Linotype" w:cs="Palatino Linotype"/>
          <w:i/>
        </w:rPr>
        <w:t>Localización: 213609. II.2o.183 K. Tribunales Colegiados de Circuito. Octava Época. Semanario Judicial de la Federación. Tomo XIII, Febrero de 1994, Pág. 420</w:t>
      </w:r>
    </w:p>
    <w:p w:rsidR="007B4405" w:rsidRPr="008D6F03" w:rsidRDefault="00CE4C85">
      <w:pPr>
        <w:spacing w:before="120" w:line="276" w:lineRule="auto"/>
        <w:ind w:left="851" w:right="902"/>
        <w:jc w:val="both"/>
        <w:rPr>
          <w:rFonts w:ascii="Palatino Linotype" w:eastAsia="Palatino Linotype" w:hAnsi="Palatino Linotype" w:cs="Palatino Linotype"/>
          <w:i/>
        </w:rPr>
      </w:pPr>
      <w:r w:rsidRPr="008D6F03">
        <w:rPr>
          <w:rFonts w:ascii="Palatino Linotype" w:eastAsia="Palatino Linotype" w:hAnsi="Palatino Linotype" w:cs="Palatino Linotype"/>
          <w:i/>
        </w:rPr>
        <w:t>Cuerpo de tesis: No causa agravio la sentencia que no se ocupa de los razonamientos tendientes a demostrar la inconstitucionalidad de los actos reclamados de las autoridades responsables, que constituyen el problema de fondo, si se decreta el sobreseimiento del juicio.” (Sic)</w:t>
      </w:r>
    </w:p>
    <w:p w:rsidR="007B4405" w:rsidRPr="008D6F03" w:rsidRDefault="007B4405">
      <w:pPr>
        <w:spacing w:line="360" w:lineRule="auto"/>
        <w:ind w:left="851" w:right="902"/>
        <w:jc w:val="both"/>
        <w:rPr>
          <w:rFonts w:ascii="Palatino Linotype" w:eastAsia="Palatino Linotype" w:hAnsi="Palatino Linotype" w:cs="Palatino Linotype"/>
          <w:i/>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Cabe destacar que la decisión de este Organismo Colegiado de sobreseer el recurso de revisión no implica una limitación o negación a la justicia, según lo ha establecido el Poder Judicial Federal, en el criterio que es aplicable por analogía, con rubro:</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after="120" w:line="276" w:lineRule="auto"/>
        <w:ind w:left="851" w:right="902"/>
        <w:jc w:val="both"/>
        <w:rPr>
          <w:rFonts w:ascii="Palatino Linotype" w:eastAsia="Palatino Linotype" w:hAnsi="Palatino Linotype" w:cs="Palatino Linotype"/>
          <w:b/>
          <w:i/>
        </w:rPr>
      </w:pPr>
      <w:r w:rsidRPr="008D6F03">
        <w:rPr>
          <w:rFonts w:ascii="Palatino Linotype" w:eastAsia="Palatino Linotype" w:hAnsi="Palatino Linotype" w:cs="Palatino Linotype"/>
          <w:b/>
          <w:i/>
        </w:rPr>
        <w:t>“DESECHAMIENTO O SOBRESEIMIENTO EN EL JUICIO DE AMPARO. NO IMPLICA DENEGACIÓN DE JUSTICIA NI GENERA INSEGURIDAD JURÍDICA”</w:t>
      </w:r>
    </w:p>
    <w:p w:rsidR="007B4405" w:rsidRPr="008D6F03" w:rsidRDefault="00CE4C85">
      <w:pPr>
        <w:spacing w:before="120" w:after="120" w:line="276" w:lineRule="auto"/>
        <w:ind w:left="851" w:right="902"/>
        <w:jc w:val="both"/>
        <w:rPr>
          <w:rFonts w:ascii="Palatino Linotype" w:eastAsia="Palatino Linotype" w:hAnsi="Palatino Linotype" w:cs="Palatino Linotype"/>
        </w:rPr>
      </w:pPr>
      <w:r w:rsidRPr="008D6F03">
        <w:rPr>
          <w:rFonts w:ascii="Palatino Linotype" w:eastAsia="Palatino Linotype" w:hAnsi="Palatino Linotype" w:cs="Palatino Linotype"/>
          <w:i/>
        </w:rPr>
        <w:t xml:space="preserve">Cuerpo de la tesis: Cuando se desecha una demanda de amparo o se sobresee en el juicio, ello no implica denegar justicia ni genera inseguridad jurídica, ya que la obligación de los tribunales no es tramitar y resolver en el fondo todos los asuntos sometidos a su consideración en forma favorable a los intereses del solicitante, sino que se circunscribe a la posibilidad que tiene cualquier individuo de acudir ante los órganos jurisdiccionales, con su promoción (demanda), a la cual debe darse el trámite acorde a las formalidades rectoras del procedimiento respectivo, dentro de las cuales el </w:t>
      </w:r>
      <w:r w:rsidRPr="008D6F03">
        <w:rPr>
          <w:rFonts w:ascii="Palatino Linotype" w:eastAsia="Palatino Linotype" w:hAnsi="Palatino Linotype" w:cs="Palatino Linotype"/>
          <w:i/>
        </w:rPr>
        <w:lastRenderedPageBreak/>
        <w:t xml:space="preserve">legislador previó las causales de improcedencia y sobreseimiento. Así, cuando el juzgador o tribunal de amparo se funda en una de ellas para desechar o sobreseer en un juicio, imparte justicia, puesto que el acceso a ella no se ve menoscabado, sino que es efectivo, ni se deja en estado de indefensión al </w:t>
      </w:r>
      <w:proofErr w:type="spellStart"/>
      <w:r w:rsidRPr="008D6F03">
        <w:rPr>
          <w:rFonts w:ascii="Palatino Linotype" w:eastAsia="Palatino Linotype" w:hAnsi="Palatino Linotype" w:cs="Palatino Linotype"/>
          <w:i/>
        </w:rPr>
        <w:t>promovente</w:t>
      </w:r>
      <w:proofErr w:type="spellEnd"/>
      <w:r w:rsidRPr="008D6F03">
        <w:rPr>
          <w:rFonts w:ascii="Palatino Linotype" w:eastAsia="Palatino Linotype" w:hAnsi="Palatino Linotype" w:cs="Palatino Linotype"/>
          <w:i/>
        </w:rPr>
        <w:t>, no obstante sea desfavorable, al no poder negar que se da respuesta a la petición de amparo, con independencia de que no comparta el sentido de la resolución, dado que de esa forma quien imparte justicia se pronuncia sobre la acción, diciendo así el derecho y permitiendo que impere el orden jurídico.” (Sic)</w:t>
      </w:r>
      <w:r w:rsidRPr="008D6F03">
        <w:rPr>
          <w:rFonts w:ascii="Palatino Linotype" w:eastAsia="Palatino Linotype" w:hAnsi="Palatino Linotype" w:cs="Palatino Linotype"/>
        </w:rPr>
        <w:tab/>
      </w:r>
    </w:p>
    <w:p w:rsidR="007B4405" w:rsidRPr="008D6F03" w:rsidRDefault="007B4405">
      <w:pPr>
        <w:spacing w:before="120" w:after="120" w:line="276" w:lineRule="auto"/>
        <w:ind w:left="851" w:right="902"/>
        <w:jc w:val="both"/>
        <w:rPr>
          <w:rFonts w:ascii="Palatino Linotype" w:eastAsia="Palatino Linotype" w:hAnsi="Palatino Linotype" w:cs="Palatino Linotype"/>
          <w:i/>
        </w:rPr>
      </w:pPr>
    </w:p>
    <w:p w:rsidR="007B4405" w:rsidRPr="008D6F03" w:rsidRDefault="00CE4C85">
      <w:pPr>
        <w:spacing w:before="12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Bajo ese tenor con fundamento en la segunda hipótesis de la fracción I del artículo 186, de la Ley de Transparencia y Acceso a la Información Pública del Estado de México y Municipios, se </w:t>
      </w:r>
      <w:r w:rsidRPr="008D6F03">
        <w:rPr>
          <w:rFonts w:ascii="Palatino Linotype" w:eastAsia="Palatino Linotype" w:hAnsi="Palatino Linotype" w:cs="Palatino Linotype"/>
          <w:b/>
        </w:rPr>
        <w:t xml:space="preserve">SOBRESEE </w:t>
      </w:r>
      <w:r w:rsidRPr="008D6F03">
        <w:rPr>
          <w:rFonts w:ascii="Palatino Linotype" w:eastAsia="Palatino Linotype" w:hAnsi="Palatino Linotype" w:cs="Palatino Linotype"/>
        </w:rPr>
        <w:t xml:space="preserve">el recurso de revisión </w:t>
      </w:r>
      <w:r w:rsidRPr="008D6F03">
        <w:rPr>
          <w:rFonts w:ascii="Palatino Linotype" w:eastAsia="Palatino Linotype" w:hAnsi="Palatino Linotype" w:cs="Palatino Linotype"/>
          <w:b/>
        </w:rPr>
        <w:t>16963/INFOEM/IP/RR/2022</w:t>
      </w:r>
      <w:r w:rsidRPr="008D6F03">
        <w:rPr>
          <w:rFonts w:ascii="Palatino Linotype" w:eastAsia="Palatino Linotype" w:hAnsi="Palatino Linotype" w:cs="Palatino Linotype"/>
        </w:rPr>
        <w:t>, que ha sido materia del presente fallo.</w:t>
      </w:r>
    </w:p>
    <w:p w:rsidR="007B4405" w:rsidRPr="008D6F03" w:rsidRDefault="00CE4C85">
      <w:pPr>
        <w:spacing w:before="240" w:after="240" w:line="360" w:lineRule="auto"/>
        <w:jc w:val="both"/>
        <w:rPr>
          <w:rFonts w:ascii="Palatino Linotype" w:eastAsia="Palatino Linotype" w:hAnsi="Palatino Linotype" w:cs="Palatino Linotype"/>
          <w:b/>
        </w:rPr>
      </w:pPr>
      <w:r w:rsidRPr="008D6F03">
        <w:rPr>
          <w:rFonts w:ascii="Palatino Linotype" w:eastAsia="Palatino Linotype" w:hAnsi="Palatino Linotype" w:cs="Palatino Linotype"/>
          <w:b/>
        </w:rPr>
        <w:t>Finalmente en cuanto al recurso de revisión número  17005/INFOEM/IP/RR/2022, en donde se requirió:</w:t>
      </w:r>
    </w:p>
    <w:p w:rsidR="007B4405" w:rsidRPr="008D6F03" w:rsidRDefault="00CE4C85">
      <w:pPr>
        <w:spacing w:before="240"/>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“Solicito los documentos que sustenten el llamado "programa emergente de bacheo" o "programa de bacheo" o cualquier denominación que tenga el programa o acciones que emprendió la administración del Presidente Municipal Raymundo Martínez, así como la documentación generada con motivo de la asignación de las obras de bacheo, es decir, el expediente de licitación pública, invitación restringida o adjudicación directa de la obra de bacheo de las calles y avenidas de la ciudad de Toluca. De igual forma, solicito el nombre de las empresas adjudicadas o asignadas y monto de los contratos” (Sic)</w:t>
      </w:r>
    </w:p>
    <w:p w:rsidR="007B4405" w:rsidRPr="008D6F03" w:rsidRDefault="007B4405">
      <w:pPr>
        <w:spacing w:line="360" w:lineRule="auto"/>
        <w:jc w:val="both"/>
        <w:rPr>
          <w:rFonts w:ascii="Palatino Linotype" w:eastAsia="Palatino Linotype" w:hAnsi="Palatino Linotype" w:cs="Palatino Linotype"/>
          <w:b/>
        </w:rPr>
      </w:pP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respuesta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hizo entrega de invitaciones a empresas contratistas y acta de fallo para dar respuesta a la solicitud 02350/TOLUCA/IP/2022, </w:t>
      </w:r>
      <w:r w:rsidRPr="008D6F03">
        <w:rPr>
          <w:rFonts w:ascii="Palatino Linotype" w:eastAsia="Palatino Linotype" w:hAnsi="Palatino Linotype" w:cs="Palatino Linotype"/>
        </w:rPr>
        <w:lastRenderedPageBreak/>
        <w:t xml:space="preserve">en versión pública en términos del acta de la sexcentésima nonagésima primera sesión extraordinaria del Comité de Transparencia del Ayuntamiento de Toluca, a través del cual se aprobó el acuerdo número AT/CT/01/2022 a través del cual se aprobó la clasificación de forma parcial los datos personales contenidos en las mismas.  </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Por otro lado, informó que respecto de plan de Bacheo solicitado, después de hacer una búsqueda exhaustiva y razonable dentro de sus archivos, no es de su competencia generar, poseer y/o administrar el plan de bacheo solicitado, de conformidad con el Manual General de Organización del Sector Central de la Administración Pública Municipal de Toluca 2022-2024 en la codificación 209010000.</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El particular se inconformó en lo medular porque la información es incompleta y porque no se le entregó todo lo que solicitó.</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En informe justificado,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además de ratificar su respuesta, manifestó lo siguiente:</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noProof/>
          <w:lang w:eastAsia="es-MX"/>
        </w:rPr>
        <w:drawing>
          <wp:inline distT="0" distB="0" distL="0" distR="0">
            <wp:extent cx="5612130" cy="2062296"/>
            <wp:effectExtent l="0" t="0" r="0" b="0"/>
            <wp:docPr id="8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l="42222" t="39502" r="25084" b="32834"/>
                    <a:stretch>
                      <a:fillRect/>
                    </a:stretch>
                  </pic:blipFill>
                  <pic:spPr>
                    <a:xfrm>
                      <a:off x="0" y="0"/>
                      <a:ext cx="5612130" cy="2062296"/>
                    </a:xfrm>
                    <a:prstGeom prst="rect">
                      <a:avLst/>
                    </a:prstGeom>
                    <a:ln/>
                  </pic:spPr>
                </pic:pic>
              </a:graphicData>
            </a:graphic>
          </wp:inline>
        </w:drawing>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lastRenderedPageBreak/>
        <w:t>Entregando el documento denominado proceso constructivo de bacheo a impresión y  la descripción del proceso constructivo bacheo a impresión.</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color w:val="000000"/>
        </w:rPr>
        <w:t>Con base en lo precedente</w:t>
      </w:r>
      <w:r w:rsidRPr="008D6F03">
        <w:rPr>
          <w:rFonts w:ascii="Palatino Linotype" w:eastAsia="Palatino Linotype" w:hAnsi="Palatino Linotype" w:cs="Palatino Linotype"/>
        </w:rPr>
        <w:t xml:space="preserve">, se reitera que la información proporcionada por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en su respuesta, cumple parcialmente con lo establecido por los artículos 4, 12 y 24 último párrafo de la Ley de Transparencia y Acceso a la Información Pública del Estado de México y Municipios; de ahí que, los motivos de inconformidad acontecen fundados para modificar la respuesta del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en razón de las consideraciones de derecho que a continuación se exponen:</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Antes del estudio de fondo, </w:t>
      </w:r>
      <w:r w:rsidRPr="008D6F03">
        <w:rPr>
          <w:rFonts w:ascii="Palatino Linotype" w:eastAsia="Palatino Linotype" w:hAnsi="Palatino Linotype" w:cs="Palatino Linotype"/>
          <w:color w:val="000000"/>
        </w:rPr>
        <w:t xml:space="preserve">se debe resaltar que, con la información remitida en respuesta por la </w:t>
      </w:r>
      <w:r w:rsidRPr="008D6F03">
        <w:rPr>
          <w:rFonts w:ascii="Palatino Linotype" w:eastAsia="Palatino Linotype" w:hAnsi="Palatino Linotype" w:cs="Palatino Linotype"/>
        </w:rPr>
        <w:t>Dirección General de Desarrollo Urbano, Ordenamiento Territorial y Obras Públicas</w:t>
      </w:r>
      <w:r w:rsidRPr="008D6F03">
        <w:rPr>
          <w:rFonts w:ascii="Palatino Linotype" w:eastAsia="Palatino Linotype" w:hAnsi="Palatino Linotype" w:cs="Palatino Linotype"/>
          <w:color w:val="000000"/>
        </w:rPr>
        <w:t xml:space="preserve"> del </w:t>
      </w:r>
      <w:r w:rsidRPr="008D6F03">
        <w:rPr>
          <w:rFonts w:ascii="Palatino Linotype" w:eastAsia="Palatino Linotype" w:hAnsi="Palatino Linotype" w:cs="Palatino Linotype"/>
          <w:b/>
          <w:color w:val="000000"/>
        </w:rPr>
        <w:t>SUJETO OBLIGADO</w:t>
      </w:r>
      <w:r w:rsidRPr="008D6F03">
        <w:rPr>
          <w:rFonts w:ascii="Palatino Linotype" w:eastAsia="Palatino Linotype" w:hAnsi="Palatino Linotype" w:cs="Palatino Linotype"/>
          <w:color w:val="000000"/>
        </w:rPr>
        <w:t>, se acredita la realización de bacheo en las calles en el Municipio de Toluca.</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En ese sentido se procede hacer un cuadro comparativo de la información solicitada con la información entregada en respuesta, para determinar si colma o no el derecho de acceso a la información del recurrente:</w:t>
      </w:r>
    </w:p>
    <w:tbl>
      <w:tblPr>
        <w:tblStyle w:val="af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9"/>
        <w:gridCol w:w="2893"/>
        <w:gridCol w:w="1315"/>
        <w:gridCol w:w="2691"/>
      </w:tblGrid>
      <w:tr w:rsidR="007B4405" w:rsidRPr="008D6F03">
        <w:tc>
          <w:tcPr>
            <w:tcW w:w="1929"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Solicitud </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Del primero de enero a noviembre del 2022.</w:t>
            </w:r>
          </w:p>
        </w:tc>
        <w:tc>
          <w:tcPr>
            <w:tcW w:w="2893"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Respuesta</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De la Dirección General de Desarrollo Urbano, Ordenamiento Territorial y Obras Públicas del Ayuntamiento de Toluca. </w:t>
            </w:r>
          </w:p>
          <w:p w:rsidR="007B4405" w:rsidRPr="008D6F03" w:rsidRDefault="007B4405">
            <w:pPr>
              <w:jc w:val="both"/>
              <w:rPr>
                <w:rFonts w:ascii="Palatino Linotype" w:eastAsia="Palatino Linotype" w:hAnsi="Palatino Linotype" w:cs="Palatino Linotype"/>
                <w:sz w:val="20"/>
                <w:szCs w:val="20"/>
              </w:rPr>
            </w:pPr>
          </w:p>
        </w:tc>
        <w:tc>
          <w:tcPr>
            <w:tcW w:w="1315"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Informe justificado</w:t>
            </w:r>
          </w:p>
        </w:tc>
        <w:tc>
          <w:tcPr>
            <w:tcW w:w="2691"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Colma</w:t>
            </w:r>
          </w:p>
        </w:tc>
      </w:tr>
      <w:tr w:rsidR="007B4405" w:rsidRPr="008D6F03">
        <w:tc>
          <w:tcPr>
            <w:tcW w:w="1929"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1.El plan de bacheo de la actual administración</w:t>
            </w:r>
          </w:p>
        </w:tc>
        <w:tc>
          <w:tcPr>
            <w:tcW w:w="2893"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Informó que respecto de plan de Bacheo solicitado, informó que después de hacer una búsqueda exhaustiva y </w:t>
            </w:r>
            <w:r w:rsidRPr="008D6F03">
              <w:rPr>
                <w:rFonts w:ascii="Palatino Linotype" w:eastAsia="Palatino Linotype" w:hAnsi="Palatino Linotype" w:cs="Palatino Linotype"/>
                <w:sz w:val="20"/>
                <w:szCs w:val="20"/>
              </w:rPr>
              <w:lastRenderedPageBreak/>
              <w:t xml:space="preserve">razonable dentro de sus archivos, no es de su competencia generar, poseer y/o administrar el plan de bacheo solicitado, de conformidad con el fundamento legal que señaló. </w:t>
            </w:r>
          </w:p>
          <w:p w:rsidR="007B4405" w:rsidRPr="008D6F03" w:rsidRDefault="007B4405">
            <w:pPr>
              <w:jc w:val="both"/>
              <w:rPr>
                <w:rFonts w:ascii="Palatino Linotype" w:eastAsia="Palatino Linotype" w:hAnsi="Palatino Linotype" w:cs="Palatino Linotype"/>
                <w:sz w:val="20"/>
                <w:szCs w:val="20"/>
              </w:rPr>
            </w:pPr>
          </w:p>
        </w:tc>
        <w:tc>
          <w:tcPr>
            <w:tcW w:w="1315"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lastRenderedPageBreak/>
              <w:t xml:space="preserve">Dice adjuntar el programa de bacheo, </w:t>
            </w:r>
            <w:r w:rsidRPr="008D6F03">
              <w:rPr>
                <w:rFonts w:ascii="Palatino Linotype" w:eastAsia="Palatino Linotype" w:hAnsi="Palatino Linotype" w:cs="Palatino Linotype"/>
                <w:sz w:val="20"/>
                <w:szCs w:val="20"/>
              </w:rPr>
              <w:lastRenderedPageBreak/>
              <w:t>pero no lo adjunto.</w:t>
            </w:r>
          </w:p>
        </w:tc>
        <w:tc>
          <w:tcPr>
            <w:tcW w:w="2691"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lastRenderedPageBreak/>
              <w:t>No</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Deberá estarse a lo determinado en los recurso de revisión:</w:t>
            </w:r>
          </w:p>
          <w:p w:rsidR="007B4405" w:rsidRPr="008D6F03" w:rsidRDefault="007B4405">
            <w:pPr>
              <w:jc w:val="both"/>
              <w:rPr>
                <w:rFonts w:ascii="Palatino Linotype" w:eastAsia="Palatino Linotype" w:hAnsi="Palatino Linotype" w:cs="Palatino Linotype"/>
                <w:sz w:val="20"/>
                <w:szCs w:val="20"/>
              </w:rPr>
            </w:pP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16799/INFOEM/IP/RR/2022, 16801/INFOEM/IP/RR/2022 y 16816/INFOEM/IP/RR/2022, en cuanto al programa anual de obra pública.  </w:t>
            </w:r>
          </w:p>
        </w:tc>
      </w:tr>
      <w:tr w:rsidR="007B4405" w:rsidRPr="008D6F03">
        <w:tc>
          <w:tcPr>
            <w:tcW w:w="1929"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lastRenderedPageBreak/>
              <w:t>2.Los documentos que sustenten el llamado "programa emergente de bacheo" o "programa de bacheo" o cualquier denominación que tenga el programa o acciones que emprendió la administración del Presidente Municipal Raymundo Martínez</w:t>
            </w:r>
          </w:p>
        </w:tc>
        <w:tc>
          <w:tcPr>
            <w:tcW w:w="2893"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Informó que no es de su competencia generar, poseer y/o administrar el plan de bacheo solicitado, de conformidad con el Manual General de Organización del Sector Central de la Administración Pública Municipal de Toluca 2022-2024 en la codificación 209010000.</w:t>
            </w:r>
          </w:p>
          <w:p w:rsidR="007B4405" w:rsidRPr="008D6F03" w:rsidRDefault="007B4405">
            <w:pPr>
              <w:jc w:val="both"/>
              <w:rPr>
                <w:rFonts w:ascii="Palatino Linotype" w:eastAsia="Palatino Linotype" w:hAnsi="Palatino Linotype" w:cs="Palatino Linotype"/>
                <w:sz w:val="20"/>
                <w:szCs w:val="20"/>
              </w:rPr>
            </w:pPr>
          </w:p>
        </w:tc>
        <w:tc>
          <w:tcPr>
            <w:tcW w:w="1315"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Entregó proceso constructivo de bacheo a impresión y la descripción del proceso constructivo bacheo a impresión.</w:t>
            </w:r>
          </w:p>
        </w:tc>
        <w:tc>
          <w:tcPr>
            <w:tcW w:w="2691"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Parcialmente</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Faltó el programa de bacheo para la realización de las obras.</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Lo que deberá estarse a lo determinado en los recurso de revisión:</w:t>
            </w:r>
          </w:p>
          <w:p w:rsidR="007B4405" w:rsidRPr="008D6F03" w:rsidRDefault="007B4405">
            <w:pPr>
              <w:jc w:val="both"/>
              <w:rPr>
                <w:rFonts w:ascii="Palatino Linotype" w:eastAsia="Palatino Linotype" w:hAnsi="Palatino Linotype" w:cs="Palatino Linotype"/>
                <w:sz w:val="20"/>
                <w:szCs w:val="20"/>
              </w:rPr>
            </w:pP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16799/INFOEM/IP/RR/2022, 16801/INFOEM/IP/RR/2022 y 16816/INFOEM/IP/RR/2022, en cuanto al programa anual de obra pública.  </w:t>
            </w:r>
          </w:p>
        </w:tc>
      </w:tr>
      <w:tr w:rsidR="007B4405" w:rsidRPr="008D6F03">
        <w:tc>
          <w:tcPr>
            <w:tcW w:w="1929" w:type="dxa"/>
          </w:tcPr>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3.-La documentación generada con motivo de la asignación de las obras de bacheo, es decir, el expediente de licitación pública, invitación restringida o adjudicación directa de la obra de bacheo de las calles y avenidas de la ciudad de Toluca. De igual forma, solicito el nombre de las </w:t>
            </w:r>
            <w:r w:rsidRPr="008D6F03">
              <w:rPr>
                <w:rFonts w:ascii="Palatino Linotype" w:eastAsia="Palatino Linotype" w:hAnsi="Palatino Linotype" w:cs="Palatino Linotype"/>
                <w:sz w:val="20"/>
                <w:szCs w:val="20"/>
              </w:rPr>
              <w:lastRenderedPageBreak/>
              <w:t>empresas adjudicadas o asignadas y monto de los contratos.</w:t>
            </w:r>
          </w:p>
        </w:tc>
        <w:tc>
          <w:tcPr>
            <w:tcW w:w="2893" w:type="dxa"/>
          </w:tcPr>
          <w:p w:rsidR="007B4405" w:rsidRPr="008D6F03" w:rsidRDefault="007B4405">
            <w:pPr>
              <w:jc w:val="both"/>
              <w:rPr>
                <w:rFonts w:ascii="Palatino Linotype" w:eastAsia="Palatino Linotype" w:hAnsi="Palatino Linotype" w:cs="Palatino Linotype"/>
                <w:sz w:val="20"/>
                <w:szCs w:val="20"/>
              </w:rPr>
            </w:pP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Entregó las actas de fallo y realizadas por la Directora de Obras Públicas del Ayuntamiento de Toluca, para participar en el concurso de invitación restringida para llevar los trabajos de obra pública denominados "REHABILITACIÓN DE VIALIDADES URBANAS (BACHEO OE VIALIDADES CON MEZCLA ASFALTICA)", de diferentes comunidades del Ayuntamiento de Toluca</w:t>
            </w:r>
          </w:p>
          <w:p w:rsidR="007B4405" w:rsidRPr="008D6F03" w:rsidRDefault="007B4405">
            <w:pPr>
              <w:jc w:val="both"/>
              <w:rPr>
                <w:rFonts w:ascii="Palatino Linotype" w:eastAsia="Palatino Linotype" w:hAnsi="Palatino Linotype" w:cs="Palatino Linotype"/>
                <w:sz w:val="20"/>
                <w:szCs w:val="20"/>
              </w:rPr>
            </w:pPr>
          </w:p>
          <w:p w:rsidR="007B4405" w:rsidRPr="008D6F03" w:rsidRDefault="007B4405">
            <w:pPr>
              <w:jc w:val="both"/>
              <w:rPr>
                <w:rFonts w:ascii="Palatino Linotype" w:eastAsia="Palatino Linotype" w:hAnsi="Palatino Linotype" w:cs="Palatino Linotype"/>
                <w:sz w:val="20"/>
                <w:szCs w:val="20"/>
              </w:rPr>
            </w:pPr>
          </w:p>
          <w:p w:rsidR="007B4405" w:rsidRPr="008D6F03" w:rsidRDefault="007B4405">
            <w:pPr>
              <w:jc w:val="both"/>
              <w:rPr>
                <w:rFonts w:ascii="Palatino Linotype" w:eastAsia="Palatino Linotype" w:hAnsi="Palatino Linotype" w:cs="Palatino Linotype"/>
                <w:sz w:val="20"/>
                <w:szCs w:val="20"/>
              </w:rPr>
            </w:pPr>
          </w:p>
          <w:p w:rsidR="007B4405" w:rsidRPr="008D6F03" w:rsidRDefault="007B4405">
            <w:pPr>
              <w:jc w:val="both"/>
              <w:rPr>
                <w:rFonts w:ascii="Palatino Linotype" w:eastAsia="Palatino Linotype" w:hAnsi="Palatino Linotype" w:cs="Palatino Linotype"/>
                <w:sz w:val="20"/>
                <w:szCs w:val="20"/>
              </w:rPr>
            </w:pPr>
          </w:p>
          <w:p w:rsidR="007B4405" w:rsidRPr="008D6F03" w:rsidRDefault="007B4405">
            <w:pPr>
              <w:jc w:val="both"/>
              <w:rPr>
                <w:rFonts w:ascii="Palatino Linotype" w:eastAsia="Palatino Linotype" w:hAnsi="Palatino Linotype" w:cs="Palatino Linotype"/>
                <w:sz w:val="20"/>
                <w:szCs w:val="20"/>
              </w:rPr>
            </w:pPr>
          </w:p>
        </w:tc>
        <w:tc>
          <w:tcPr>
            <w:tcW w:w="1315"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lastRenderedPageBreak/>
              <w:t>Ratificó respuesta</w:t>
            </w:r>
          </w:p>
        </w:tc>
        <w:tc>
          <w:tcPr>
            <w:tcW w:w="2691" w:type="dxa"/>
          </w:tcPr>
          <w:p w:rsidR="007B4405" w:rsidRPr="008D6F03" w:rsidRDefault="00CE4C85">
            <w:pPr>
              <w:jc w:val="center"/>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Parcialmente</w:t>
            </w:r>
          </w:p>
          <w:p w:rsidR="007B4405" w:rsidRPr="008D6F03" w:rsidRDefault="00CE4C85">
            <w:pPr>
              <w:jc w:val="both"/>
              <w:rPr>
                <w:rFonts w:ascii="Palatino Linotype" w:eastAsia="Palatino Linotype" w:hAnsi="Palatino Linotype" w:cs="Palatino Linotype"/>
                <w:sz w:val="20"/>
                <w:szCs w:val="20"/>
              </w:rPr>
            </w:pPr>
            <w:r w:rsidRPr="008D6F03">
              <w:rPr>
                <w:rFonts w:ascii="Palatino Linotype" w:eastAsia="Palatino Linotype" w:hAnsi="Palatino Linotype" w:cs="Palatino Linotype"/>
                <w:sz w:val="20"/>
                <w:szCs w:val="20"/>
              </w:rPr>
              <w:t xml:space="preserve">Faltó información que contiene el expediente de las invitaciones restringidas. </w:t>
            </w:r>
          </w:p>
        </w:tc>
      </w:tr>
    </w:tbl>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Del anterior cuadro comparativo, </w:t>
      </w:r>
      <w:r w:rsidRPr="008D6F03">
        <w:rPr>
          <w:rFonts w:ascii="Palatino Linotype" w:eastAsia="Palatino Linotype" w:hAnsi="Palatino Linotype" w:cs="Palatino Linotype"/>
          <w:b/>
        </w:rPr>
        <w:t>respecto a la a documentación generada con motivo de la asignación de las obras de bacheo, es decir, el expediente de licitación pública, invitación restringida o adjudicación directa de la obra de bacheo de las calles y avenidas de la ciudad de Toluca</w:t>
      </w:r>
      <w:r w:rsidRPr="008D6F03">
        <w:rPr>
          <w:rFonts w:ascii="Palatino Linotype" w:eastAsia="Palatino Linotype" w:hAnsi="Palatino Linotype" w:cs="Palatino Linotype"/>
        </w:rPr>
        <w:t>, si bien es cierto, que al Ayuntamiento de Toluca remitió las actas de fallo de los concursos de invitación restringida para la "REHABILITACIÓN DE VIALIDADES URBANAS (BACHEO OE VIALIDADES CON MEZCLA ASFALTICA)", de diferentes comunidades del Ayuntamiento de Toluca y las invitaciones realizadas por la Directora de Obras Públicas del Ayuntamiento de Toluca, para participar en el concurso de invitación restringida para llevar los trabajos de obra pública denominados "REHABILITACIÓN DE VIALIDADES URBANAS (BACHEO OE VIALIDADES CON MEZCLA ASFALTICA)", de diferentes comunidades del Ayuntamiento de Toluca, los que forman parte del expediente de licitación; lo cierto es que de acuerdo lo señalado por el artículo 92 fracción XXIX de la Ley de Transparencia y Acceso a la Información Pública del Estado de México y Municipios, el Ayuntamiento de Toluca deberá publicar en la plataforma de la Información Pública de Oficio Mexiquense (IPOMEX), como mínimo, en cuanto a los procedimientos de invitación restringida lo siguiente:</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“Artículo 92. Los sujetos obligados deberán poner a disposición del público de manera permanente y actualizada de forma sencilla, precisa y entendible, en los </w:t>
      </w:r>
      <w:r w:rsidRPr="008D6F03">
        <w:rPr>
          <w:rFonts w:ascii="Palatino Linotype" w:eastAsia="Palatino Linotype" w:hAnsi="Palatino Linotype" w:cs="Palatino Linotype"/>
          <w:i/>
          <w:color w:val="000000"/>
          <w:sz w:val="22"/>
          <w:szCs w:val="22"/>
        </w:rPr>
        <w:lastRenderedPageBreak/>
        <w:t>respectivos medios electrónicos, de acuerdo con sus facultades, atribuciones, funciones u objeto social, según corresponda, la información, por lo menos, de los temas, documentos y políticas que a continuación se señalan:</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XXIX. La información sobre los procesos y resultados sobre procedimientos de adjudicación directa, invitación restringida y licitación de cualquier naturaleza, incluyendo la versión pública del expediente respectivo y de los contratos celebrados, que deberán contener, por los menos, lo siguiente: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a) De licitaciones públicas o procedimientos de invitación restringida: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1) La convocatoria o invitación emitida, así como los fundamentos legales aplicados para llevarla a cabo;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2) Los nombres de los participantes o invitados; </w:t>
      </w:r>
    </w:p>
    <w:p w:rsidR="007B4405" w:rsidRPr="008D6F03" w:rsidRDefault="00CE4C85">
      <w:pPr>
        <w:ind w:left="567" w:right="902"/>
        <w:jc w:val="both"/>
        <w:rPr>
          <w:rFonts w:ascii="Palatino Linotype" w:eastAsia="Palatino Linotype" w:hAnsi="Palatino Linotype" w:cs="Palatino Linotype"/>
          <w:b/>
          <w:i/>
          <w:color w:val="000000"/>
          <w:sz w:val="22"/>
          <w:szCs w:val="22"/>
        </w:rPr>
      </w:pPr>
      <w:r w:rsidRPr="008D6F03">
        <w:rPr>
          <w:rFonts w:ascii="Palatino Linotype" w:eastAsia="Palatino Linotype" w:hAnsi="Palatino Linotype" w:cs="Palatino Linotype"/>
          <w:b/>
          <w:i/>
          <w:color w:val="000000"/>
          <w:sz w:val="22"/>
          <w:szCs w:val="22"/>
        </w:rPr>
        <w:t xml:space="preserve">3) El nombre del ganador y las razones que lo justifican;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4) El área solicitante y la responsable de su ejecución;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5) Las convocatorias e invitaciones emitidas;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6) Los dictámenes y fallo de adjudicación; </w:t>
      </w:r>
    </w:p>
    <w:p w:rsidR="007B4405" w:rsidRPr="008D6F03" w:rsidRDefault="00CE4C85">
      <w:pPr>
        <w:ind w:left="567" w:right="902"/>
        <w:jc w:val="both"/>
        <w:rPr>
          <w:rFonts w:ascii="Palatino Linotype" w:eastAsia="Palatino Linotype" w:hAnsi="Palatino Linotype" w:cs="Palatino Linotype"/>
          <w:b/>
          <w:i/>
          <w:color w:val="000000"/>
          <w:sz w:val="22"/>
          <w:szCs w:val="22"/>
        </w:rPr>
      </w:pPr>
      <w:r w:rsidRPr="008D6F03">
        <w:rPr>
          <w:rFonts w:ascii="Palatino Linotype" w:eastAsia="Palatino Linotype" w:hAnsi="Palatino Linotype" w:cs="Palatino Linotype"/>
          <w:b/>
          <w:i/>
          <w:color w:val="000000"/>
          <w:sz w:val="22"/>
          <w:szCs w:val="22"/>
        </w:rPr>
        <w:t xml:space="preserve">7) El contrato y, en su caso, sus anexos; </w:t>
      </w:r>
    </w:p>
    <w:p w:rsidR="007B4405" w:rsidRPr="008D6F03" w:rsidRDefault="00CE4C85">
      <w:pPr>
        <w:ind w:left="567" w:right="902"/>
        <w:jc w:val="both"/>
        <w:rPr>
          <w:rFonts w:ascii="Palatino Linotype" w:eastAsia="Palatino Linotype" w:hAnsi="Palatino Linotype" w:cs="Palatino Linotype"/>
          <w:b/>
          <w:i/>
          <w:color w:val="000000"/>
          <w:sz w:val="22"/>
          <w:szCs w:val="22"/>
        </w:rPr>
      </w:pPr>
      <w:r w:rsidRPr="008D6F03">
        <w:rPr>
          <w:rFonts w:ascii="Palatino Linotype" w:eastAsia="Palatino Linotype" w:hAnsi="Palatino Linotype" w:cs="Palatino Linotype"/>
          <w:b/>
          <w:i/>
          <w:color w:val="000000"/>
          <w:sz w:val="22"/>
          <w:szCs w:val="22"/>
        </w:rPr>
        <w:t xml:space="preserve">8) Los mecanismos de vigilancia y supervisión, incluyendo en su caso, los estudios de impacto urbano y ambiental, según corresponda; </w:t>
      </w:r>
    </w:p>
    <w:p w:rsidR="007B4405" w:rsidRPr="008D6F03" w:rsidRDefault="00CE4C85">
      <w:pPr>
        <w:ind w:left="567" w:right="902"/>
        <w:jc w:val="both"/>
        <w:rPr>
          <w:rFonts w:ascii="Palatino Linotype" w:eastAsia="Palatino Linotype" w:hAnsi="Palatino Linotype" w:cs="Palatino Linotype"/>
          <w:b/>
          <w:i/>
          <w:color w:val="000000"/>
          <w:sz w:val="22"/>
          <w:szCs w:val="22"/>
        </w:rPr>
      </w:pPr>
      <w:r w:rsidRPr="008D6F03">
        <w:rPr>
          <w:rFonts w:ascii="Palatino Linotype" w:eastAsia="Palatino Linotype" w:hAnsi="Palatino Linotype" w:cs="Palatino Linotype"/>
          <w:b/>
          <w:i/>
          <w:color w:val="000000"/>
          <w:sz w:val="22"/>
          <w:szCs w:val="22"/>
        </w:rPr>
        <w:t xml:space="preserve">9) La partida presupuestal, de conformidad con el clasificador por objeto del gasto, en el caso de ser aplicable; </w:t>
      </w:r>
    </w:p>
    <w:p w:rsidR="007B4405" w:rsidRPr="008D6F03" w:rsidRDefault="00CE4C85">
      <w:pPr>
        <w:ind w:left="567" w:right="902"/>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 xml:space="preserve">10) Origen de los recursos especificando si son federales, estatales o municipales, así como el tipo de fondo de participación o aportación respectiva; </w:t>
      </w:r>
    </w:p>
    <w:p w:rsidR="007B4405" w:rsidRPr="008D6F03" w:rsidRDefault="00CE4C85">
      <w:pPr>
        <w:ind w:left="567" w:right="902"/>
        <w:jc w:val="both"/>
        <w:rPr>
          <w:rFonts w:ascii="Palatino Linotype" w:eastAsia="Palatino Linotype" w:hAnsi="Palatino Linotype" w:cs="Palatino Linotype"/>
          <w:b/>
          <w:i/>
          <w:color w:val="000000"/>
          <w:sz w:val="22"/>
          <w:szCs w:val="22"/>
        </w:rPr>
      </w:pPr>
      <w:r w:rsidRPr="008D6F03">
        <w:rPr>
          <w:rFonts w:ascii="Palatino Linotype" w:eastAsia="Palatino Linotype" w:hAnsi="Palatino Linotype" w:cs="Palatino Linotype"/>
          <w:b/>
          <w:i/>
          <w:color w:val="000000"/>
          <w:sz w:val="22"/>
          <w:szCs w:val="22"/>
        </w:rPr>
        <w:t xml:space="preserve">11) Los convenios modificatorios que, en su caso, sean firmados, precisando el objeto y la fecha de celebración; </w:t>
      </w:r>
    </w:p>
    <w:p w:rsidR="007B4405" w:rsidRPr="008D6F03" w:rsidRDefault="00CE4C85">
      <w:pPr>
        <w:ind w:left="567" w:right="902"/>
        <w:jc w:val="both"/>
        <w:rPr>
          <w:rFonts w:ascii="Palatino Linotype" w:eastAsia="Palatino Linotype" w:hAnsi="Palatino Linotype" w:cs="Palatino Linotype"/>
          <w:b/>
          <w:i/>
          <w:color w:val="000000"/>
          <w:sz w:val="22"/>
          <w:szCs w:val="22"/>
        </w:rPr>
      </w:pPr>
      <w:r w:rsidRPr="008D6F03">
        <w:rPr>
          <w:rFonts w:ascii="Palatino Linotype" w:eastAsia="Palatino Linotype" w:hAnsi="Palatino Linotype" w:cs="Palatino Linotype"/>
          <w:b/>
          <w:i/>
          <w:color w:val="000000"/>
          <w:sz w:val="22"/>
          <w:szCs w:val="22"/>
        </w:rPr>
        <w:t xml:space="preserve">12) Los informes de avance físico y financiero sobre las obras o servicios contratados; 13) El convenio de terminación; y </w:t>
      </w:r>
    </w:p>
    <w:p w:rsidR="007B4405" w:rsidRPr="008D6F03" w:rsidRDefault="00CE4C85">
      <w:pPr>
        <w:ind w:left="567" w:right="902"/>
        <w:jc w:val="both"/>
        <w:rPr>
          <w:rFonts w:ascii="Palatino Linotype" w:eastAsia="Palatino Linotype" w:hAnsi="Palatino Linotype" w:cs="Palatino Linotype"/>
          <w:b/>
          <w:i/>
          <w:color w:val="000000"/>
          <w:sz w:val="22"/>
          <w:szCs w:val="22"/>
        </w:rPr>
      </w:pPr>
      <w:r w:rsidRPr="008D6F03">
        <w:rPr>
          <w:rFonts w:ascii="Palatino Linotype" w:eastAsia="Palatino Linotype" w:hAnsi="Palatino Linotype" w:cs="Palatino Linotype"/>
          <w:b/>
          <w:i/>
          <w:color w:val="000000"/>
          <w:sz w:val="22"/>
          <w:szCs w:val="22"/>
        </w:rPr>
        <w:t>14) El finiquito.” (Sic)</w:t>
      </w:r>
    </w:p>
    <w:p w:rsidR="007B4405" w:rsidRPr="008D6F03" w:rsidRDefault="007B4405">
      <w:pPr>
        <w:spacing w:line="360" w:lineRule="auto"/>
        <w:jc w:val="both"/>
        <w:rPr>
          <w:rFonts w:ascii="Verdana" w:eastAsia="Verdana" w:hAnsi="Verdana" w:cs="Verdana"/>
          <w:color w:val="000000"/>
          <w:sz w:val="14"/>
          <w:szCs w:val="14"/>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Con lo cual se acredita, que efectivamente, como lo señaló la parte particular en sus motivos de inconformidad, la información es incompleta, faltando lo correspondiente al nombre del ganador y las razones que lo justifican, el contrato y, en su caso, sus anexos, los mecanismos de vigilancia y supervisión, incluyendo en su caso, los estudios de impacto urbano y ambiental, según corresponda, la partida presupuestal, de conformidad con el clasificador por objeto del gasto, en el caso de </w:t>
      </w:r>
      <w:r w:rsidRPr="008D6F03">
        <w:rPr>
          <w:rFonts w:ascii="Palatino Linotype" w:eastAsia="Palatino Linotype" w:hAnsi="Palatino Linotype" w:cs="Palatino Linotype"/>
        </w:rPr>
        <w:lastRenderedPageBreak/>
        <w:t>ser aplicable, los convenios modificatorios que, en su caso, sean firmados, precisando el objeto y la fecha de celebración, los informes de avance físico y financiero sobre las obras o servicios contratados, el convenio de terminación y el finiquito.</w:t>
      </w:r>
    </w:p>
    <w:p w:rsidR="007B4405" w:rsidRPr="008D6F03" w:rsidRDefault="00CE4C85">
      <w:pPr>
        <w:spacing w:before="240" w:after="240" w:line="360" w:lineRule="auto"/>
        <w:jc w:val="both"/>
        <w:rPr>
          <w:rFonts w:ascii="Palatino Linotype" w:eastAsia="Palatino Linotype" w:hAnsi="Palatino Linotype" w:cs="Palatino Linotype"/>
          <w:color w:val="000000"/>
        </w:rPr>
      </w:pPr>
      <w:r w:rsidRPr="008D6F03">
        <w:rPr>
          <w:rFonts w:ascii="Palatino Linotype" w:eastAsia="Palatino Linotype" w:hAnsi="Palatino Linotype" w:cs="Palatino Linotype"/>
        </w:rPr>
        <w:t xml:space="preserve">De ahí que, la respuesta del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careció </w:t>
      </w:r>
      <w:r w:rsidRPr="008D6F03">
        <w:rPr>
          <w:rFonts w:ascii="Palatino Linotype" w:eastAsia="Palatino Linotype" w:hAnsi="Palatino Linotype" w:cs="Palatino Linotype"/>
          <w:color w:val="000000"/>
        </w:rPr>
        <w:t>de los principios de congruencia y exhaustividad, como refuerzo de lo anterior</w:t>
      </w:r>
      <w:r w:rsidRPr="008D6F03">
        <w:rPr>
          <w:rFonts w:ascii="Palatino Linotype" w:eastAsia="Palatino Linotype" w:hAnsi="Palatino Linotype" w:cs="Palatino Linotype"/>
          <w:color w:val="000000"/>
          <w:u w:val="single"/>
        </w:rPr>
        <w:t xml:space="preserve">, resulta crucial el Criterio 02/17, emitido por el Pleno del </w:t>
      </w:r>
      <w:r w:rsidRPr="008D6F03">
        <w:rPr>
          <w:rFonts w:ascii="Palatino Linotype" w:eastAsia="Palatino Linotype" w:hAnsi="Palatino Linotype" w:cs="Palatino Linotype"/>
          <w:color w:val="000000"/>
        </w:rPr>
        <w:t>Instituto Nacional de Transparencia y Acceso a la Información y Protección de Datos Personales, ya citado en el presente considerando.</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Razones por las cuales lo procedente es ordenar los expedientes generados por invitación restringida para llevar los trabajos de obra pública denominados "REHABILITACIÓN DE VIALIDADES URBANAS (BACHEO OE VIALIDADES CON MEZCLA ASFALTICA)", de las diferentes comunidades, delegaciones, fraccionamiento y colonias del Ayuntamiento de Toluca, de manera completa, vigentes al siete de noviembre del año dos mil veintidós, referidas en la respuesta. </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Quinto. Versión Pública. </w:t>
      </w:r>
      <w:r w:rsidRPr="008D6F03">
        <w:rPr>
          <w:rFonts w:ascii="Palatino Linotype" w:eastAsia="Palatino Linotype" w:hAnsi="Palatino Linotype" w:cs="Palatino Linotype"/>
        </w:rPr>
        <w:t xml:space="preserve">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Sujeto Obligado tendrá que hacer la elaboración de una versión pública de los documentos que vaya entregar para dar cumplimiento a esta resolución, a fin de </w:t>
      </w:r>
      <w:r w:rsidRPr="008D6F03">
        <w:rPr>
          <w:rFonts w:ascii="Palatino Linotype" w:eastAsia="Palatino Linotype" w:hAnsi="Palatino Linotype" w:cs="Palatino Linotype"/>
        </w:rPr>
        <w:lastRenderedPageBreak/>
        <w:t xml:space="preserve">satisfacer el derecho de acceso a la información pública del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sin menoscabar el derecho a la protección de los datos personales de terceros.</w:t>
      </w:r>
    </w:p>
    <w:p w:rsidR="007B4405" w:rsidRPr="008D6F03" w:rsidRDefault="00CE4C85">
      <w:pPr>
        <w:spacing w:before="240" w:after="240" w:line="360" w:lineRule="auto"/>
        <w:ind w:right="50"/>
        <w:jc w:val="both"/>
        <w:rPr>
          <w:rFonts w:ascii="Palatino Linotype" w:eastAsia="Palatino Linotype" w:hAnsi="Palatino Linotype" w:cs="Palatino Linotype"/>
        </w:rPr>
      </w:pPr>
      <w:r w:rsidRPr="008D6F03">
        <w:rPr>
          <w:rFonts w:ascii="Palatino Linotype" w:eastAsia="Palatino Linotype" w:hAnsi="Palatino Linotype" w:cs="Palatino Linotype"/>
        </w:rPr>
        <w:t>Lo anterior, de conformidad a lo que señalan los artículos 3, fracciones IX, XX, XXXII, XLV; 6, 137 y 143 fracción I, de la Ley de Transparencia y Acceso a la Información Pública del Estado de México y Municipios vigente, que se leen como sigue:</w:t>
      </w:r>
    </w:p>
    <w:p w:rsidR="007B4405" w:rsidRPr="008D6F03" w:rsidRDefault="00CE4C85">
      <w:pPr>
        <w:ind w:left="993" w:right="1041"/>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 xml:space="preserve"> “Artículo 3. Para los efectos de la presente Ley se entenderá por:</w:t>
      </w:r>
    </w:p>
    <w:p w:rsidR="007B4405" w:rsidRPr="008D6F03" w:rsidRDefault="00CE4C85">
      <w:pPr>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IX. Datos personales:</w:t>
      </w:r>
      <w:r w:rsidRPr="008D6F03">
        <w:rPr>
          <w:rFonts w:ascii="Palatino Linotype" w:eastAsia="Palatino Linotype" w:hAnsi="Palatino Linotype" w:cs="Palatino Linotype"/>
          <w:i/>
          <w:sz w:val="22"/>
          <w:szCs w:val="22"/>
        </w:rPr>
        <w:t xml:space="preserve"> </w:t>
      </w:r>
      <w:r w:rsidRPr="008D6F03">
        <w:rPr>
          <w:rFonts w:ascii="Palatino Linotype" w:eastAsia="Palatino Linotype" w:hAnsi="Palatino Linotype" w:cs="Palatino Linotype"/>
          <w:b/>
          <w:i/>
          <w:sz w:val="22"/>
          <w:szCs w:val="22"/>
        </w:rPr>
        <w:t>La información concerniente a una persona, identificada o identificable</w:t>
      </w:r>
      <w:r w:rsidRPr="008D6F03">
        <w:rPr>
          <w:rFonts w:ascii="Palatino Linotype" w:eastAsia="Palatino Linotype" w:hAnsi="Palatino Linotype" w:cs="Palatino Linotype"/>
          <w:i/>
          <w:sz w:val="22"/>
          <w:szCs w:val="22"/>
        </w:rPr>
        <w:t xml:space="preserve"> según lo dispuesto por la Ley de Protección de Datos Personales del Estado de México;</w:t>
      </w:r>
    </w:p>
    <w:p w:rsidR="007B4405" w:rsidRPr="008D6F03" w:rsidRDefault="00CE4C85">
      <w:pPr>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XX. Información clasificada:</w:t>
      </w:r>
      <w:r w:rsidRPr="008D6F03">
        <w:rPr>
          <w:rFonts w:ascii="Palatino Linotype" w:eastAsia="Palatino Linotype" w:hAnsi="Palatino Linotype" w:cs="Palatino Linotype"/>
          <w:i/>
          <w:sz w:val="22"/>
          <w:szCs w:val="22"/>
        </w:rPr>
        <w:t xml:space="preserve"> Aquella considerada por la presente Ley como reservada o confidencial;</w:t>
      </w:r>
    </w:p>
    <w:p w:rsidR="007B4405" w:rsidRPr="008D6F03" w:rsidRDefault="00CE4C85">
      <w:pPr>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XXXII. Protección de Datos Personales:</w:t>
      </w:r>
      <w:r w:rsidRPr="008D6F03">
        <w:rPr>
          <w:rFonts w:ascii="Palatino Linotype" w:eastAsia="Palatino Linotype" w:hAnsi="Palatino Linotype" w:cs="Palatino Linotype"/>
          <w:i/>
          <w:sz w:val="22"/>
          <w:szCs w:val="22"/>
        </w:rPr>
        <w:t xml:space="preserve"> Derecho humano que tutela la privacidad de datos personales en poder de los sujetos obligados y sujetos particulares;</w:t>
      </w:r>
    </w:p>
    <w:p w:rsidR="007B4405" w:rsidRPr="008D6F03" w:rsidRDefault="00CE4C85">
      <w:pPr>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XLV. Versión pública</w:t>
      </w:r>
      <w:r w:rsidRPr="008D6F03">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rsidR="007B4405" w:rsidRPr="008D6F03" w:rsidRDefault="007B4405">
      <w:pPr>
        <w:ind w:left="993" w:right="1041"/>
        <w:jc w:val="both"/>
        <w:rPr>
          <w:rFonts w:ascii="Palatino Linotype" w:eastAsia="Palatino Linotype" w:hAnsi="Palatino Linotype" w:cs="Palatino Linotype"/>
          <w:i/>
          <w:sz w:val="22"/>
          <w:szCs w:val="22"/>
        </w:rPr>
      </w:pPr>
    </w:p>
    <w:p w:rsidR="007B4405" w:rsidRPr="008D6F03" w:rsidRDefault="00CE4C85">
      <w:pPr>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“Artículo 6.</w:t>
      </w:r>
      <w:r w:rsidRPr="008D6F03">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rsidR="007B4405" w:rsidRPr="008D6F03" w:rsidRDefault="007B4405">
      <w:pPr>
        <w:ind w:left="993" w:right="1041"/>
        <w:jc w:val="both"/>
        <w:rPr>
          <w:rFonts w:ascii="Palatino Linotype" w:eastAsia="Palatino Linotype" w:hAnsi="Palatino Linotype" w:cs="Palatino Linotype"/>
          <w:i/>
          <w:sz w:val="22"/>
          <w:szCs w:val="22"/>
        </w:rPr>
      </w:pPr>
    </w:p>
    <w:p w:rsidR="007B4405" w:rsidRPr="008D6F03" w:rsidRDefault="00CE4C85">
      <w:pPr>
        <w:ind w:left="993" w:right="1041"/>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“Artículo 137.</w:t>
      </w:r>
      <w:r w:rsidRPr="008D6F03">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7B4405" w:rsidRPr="008D6F03" w:rsidRDefault="007B4405">
      <w:pPr>
        <w:ind w:left="993" w:right="1041"/>
        <w:jc w:val="both"/>
        <w:rPr>
          <w:rFonts w:ascii="Palatino Linotype" w:eastAsia="Palatino Linotype" w:hAnsi="Palatino Linotype" w:cs="Palatino Linotype"/>
          <w:b/>
          <w:i/>
          <w:sz w:val="22"/>
          <w:szCs w:val="22"/>
        </w:rPr>
      </w:pPr>
    </w:p>
    <w:p w:rsidR="007B4405" w:rsidRPr="008D6F03" w:rsidRDefault="00CE4C85">
      <w:pPr>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“Artículo 143</w:t>
      </w:r>
      <w:r w:rsidRPr="008D6F03">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rsidR="007B4405" w:rsidRPr="008D6F03" w:rsidRDefault="00CE4C85">
      <w:pPr>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I.</w:t>
      </w:r>
      <w:r w:rsidRPr="008D6F03">
        <w:rPr>
          <w:rFonts w:ascii="Palatino Linotype" w:eastAsia="Palatino Linotype" w:hAnsi="Palatino Linotype" w:cs="Palatino Linotype"/>
          <w:i/>
          <w:sz w:val="22"/>
          <w:szCs w:val="22"/>
        </w:rPr>
        <w:t xml:space="preserve"> Se refiera a la información privada y los datos personales concernientes a una persona física o jurídica colectiva identificada o identificable;</w:t>
      </w:r>
    </w:p>
    <w:p w:rsidR="007B4405" w:rsidRPr="008D6F03" w:rsidRDefault="00CE4C85">
      <w:pPr>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rsidR="007B4405" w:rsidRPr="008D6F03" w:rsidRDefault="00CE4C85">
      <w:pPr>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III. La que presenten los particulares a los sujetos obligados, de conformidad con lo dispuesto por las leyes o los tratados internacionales.” (Sic)</w:t>
      </w:r>
    </w:p>
    <w:p w:rsidR="007B4405" w:rsidRPr="008D6F03" w:rsidRDefault="007B4405">
      <w:pPr>
        <w:ind w:left="993" w:right="1041"/>
        <w:jc w:val="both"/>
        <w:rPr>
          <w:rFonts w:ascii="Palatino Linotype" w:eastAsia="Palatino Linotype" w:hAnsi="Palatino Linotype" w:cs="Palatino Linotype"/>
          <w:i/>
          <w:sz w:val="22"/>
          <w:szCs w:val="22"/>
        </w:rPr>
      </w:pPr>
    </w:p>
    <w:p w:rsidR="007B4405" w:rsidRPr="008D6F03" w:rsidRDefault="00CE4C85">
      <w:pPr>
        <w:spacing w:line="360" w:lineRule="auto"/>
        <w:ind w:right="51"/>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Sujeto Obligado deberá proceder a testar los datos personales que se encuentren contenidos en los documentos a entregar por parte del Sujeto Obligado para satisfacer el derecho de acceso a la información pública de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 que señala la fracción XII del artículo 4 de la Ley de Protección de Datos Personales en Posesión de Sujetos Obligados del Estado de México.</w:t>
      </w:r>
    </w:p>
    <w:p w:rsidR="007B4405" w:rsidRPr="008D6F03" w:rsidRDefault="007B4405">
      <w:pPr>
        <w:spacing w:line="360" w:lineRule="auto"/>
        <w:ind w:right="51"/>
        <w:jc w:val="both"/>
        <w:rPr>
          <w:rFonts w:ascii="Palatino Linotype" w:eastAsia="Palatino Linotype" w:hAnsi="Palatino Linotype" w:cs="Palatino Linotype"/>
        </w:rPr>
      </w:pPr>
    </w:p>
    <w:p w:rsidR="007B4405" w:rsidRPr="008D6F03" w:rsidRDefault="00CE4C85">
      <w:pPr>
        <w:spacing w:line="360" w:lineRule="auto"/>
        <w:ind w:right="50"/>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Datos que deberá clasificar como confidenciales por tratarse precisamente de información privada, puesto que los datos personales son irrenunciables, </w:t>
      </w:r>
      <w:r w:rsidRPr="008D6F03">
        <w:rPr>
          <w:rFonts w:ascii="Palatino Linotype" w:eastAsia="Palatino Linotype" w:hAnsi="Palatino Linotype" w:cs="Palatino Linotype"/>
        </w:rPr>
        <w:lastRenderedPageBreak/>
        <w:t>intransferibles e indelegables y los Sujetos Obligados no deberán hacer entrega de los mismos a personas ajenas a su titular.</w:t>
      </w:r>
    </w:p>
    <w:p w:rsidR="007B4405" w:rsidRPr="008D6F03" w:rsidRDefault="007B4405">
      <w:pPr>
        <w:spacing w:line="360" w:lineRule="auto"/>
        <w:ind w:right="50"/>
        <w:jc w:val="both"/>
        <w:rPr>
          <w:rFonts w:ascii="Palatino Linotype" w:eastAsia="Palatino Linotype" w:hAnsi="Palatino Linotype" w:cs="Palatino Linotype"/>
        </w:rPr>
      </w:pPr>
    </w:p>
    <w:p w:rsidR="007B4405" w:rsidRPr="008D6F03" w:rsidRDefault="00CE4C85">
      <w:pPr>
        <w:spacing w:line="360" w:lineRule="auto"/>
        <w:ind w:right="51"/>
        <w:jc w:val="both"/>
        <w:rPr>
          <w:rFonts w:ascii="Palatino Linotype" w:eastAsia="Palatino Linotype" w:hAnsi="Palatino Linotype" w:cs="Palatino Linotype"/>
        </w:rPr>
      </w:pPr>
      <w:r w:rsidRPr="008D6F03">
        <w:rPr>
          <w:rFonts w:ascii="Palatino Linotype" w:eastAsia="Palatino Linotype" w:hAnsi="Palatino Linotype" w:cs="Palatino Linotype"/>
        </w:rPr>
        <w:t>En ese contexto, la clasificación de la información no opera con la simple supresión de datos que se haga en los documentos de que se trate o con la simple decisión que tome el Servidor Público Habilitado o el Responsable de la Unidad de Transparencia del Sujeto Obligado, sino que ello deberá realizarse en términos de lo que disponen los artículos 49 fracción VIII, 53, fracción X y 59, fracción V, de la Ley en consulta, cuyo sentido literal es el siguiente:</w:t>
      </w:r>
    </w:p>
    <w:p w:rsidR="007B4405" w:rsidRPr="008D6F03" w:rsidRDefault="007B4405">
      <w:pPr>
        <w:spacing w:line="360" w:lineRule="auto"/>
        <w:ind w:right="51"/>
        <w:jc w:val="both"/>
        <w:rPr>
          <w:rFonts w:ascii="Palatino Linotype" w:eastAsia="Palatino Linotype" w:hAnsi="Palatino Linotype" w:cs="Palatino Linotype"/>
        </w:rPr>
      </w:pPr>
    </w:p>
    <w:p w:rsidR="007B4405" w:rsidRPr="008D6F03" w:rsidRDefault="00CE4C85">
      <w:pPr>
        <w:ind w:left="992" w:right="1043"/>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“Artículo 49.</w:t>
      </w:r>
      <w:r w:rsidRPr="008D6F03">
        <w:rPr>
          <w:rFonts w:ascii="Palatino Linotype" w:eastAsia="Palatino Linotype" w:hAnsi="Palatino Linotype" w:cs="Palatino Linotype"/>
          <w:i/>
          <w:sz w:val="22"/>
          <w:szCs w:val="22"/>
        </w:rPr>
        <w:t xml:space="preserve"> </w:t>
      </w:r>
      <w:r w:rsidRPr="008D6F03">
        <w:rPr>
          <w:rFonts w:ascii="Palatino Linotype" w:eastAsia="Palatino Linotype" w:hAnsi="Palatino Linotype" w:cs="Palatino Linotype"/>
          <w:b/>
          <w:i/>
          <w:sz w:val="22"/>
          <w:szCs w:val="22"/>
        </w:rPr>
        <w:t>Los Comités de Transparencia</w:t>
      </w:r>
      <w:r w:rsidRPr="008D6F03">
        <w:rPr>
          <w:rFonts w:ascii="Palatino Linotype" w:eastAsia="Palatino Linotype" w:hAnsi="Palatino Linotype" w:cs="Palatino Linotype"/>
          <w:i/>
          <w:sz w:val="22"/>
          <w:szCs w:val="22"/>
        </w:rPr>
        <w:t xml:space="preserve"> tendrán las siguientes atribuciones:</w:t>
      </w:r>
    </w:p>
    <w:p w:rsidR="007B4405" w:rsidRPr="008D6F03" w:rsidRDefault="00CE4C85">
      <w:pPr>
        <w:ind w:left="992" w:right="1043"/>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VIII. Aprobar, modificar o revocar la clasificación de la información</w:t>
      </w:r>
      <w:r w:rsidRPr="008D6F03">
        <w:rPr>
          <w:rFonts w:ascii="Palatino Linotype" w:eastAsia="Palatino Linotype" w:hAnsi="Palatino Linotype" w:cs="Palatino Linotype"/>
          <w:i/>
          <w:sz w:val="22"/>
          <w:szCs w:val="22"/>
        </w:rPr>
        <w:t>…”</w:t>
      </w:r>
    </w:p>
    <w:p w:rsidR="007B4405" w:rsidRPr="008D6F03" w:rsidRDefault="00CE4C85">
      <w:pPr>
        <w:ind w:left="992" w:right="1043"/>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Artículo 53.</w:t>
      </w:r>
      <w:r w:rsidRPr="008D6F03">
        <w:rPr>
          <w:rFonts w:ascii="Palatino Linotype" w:eastAsia="Palatino Linotype" w:hAnsi="Palatino Linotype" w:cs="Palatino Linotype"/>
          <w:i/>
          <w:sz w:val="22"/>
          <w:szCs w:val="22"/>
        </w:rPr>
        <w:t xml:space="preserve"> Las </w:t>
      </w:r>
      <w:r w:rsidRPr="008D6F03">
        <w:rPr>
          <w:rFonts w:ascii="Palatino Linotype" w:eastAsia="Palatino Linotype" w:hAnsi="Palatino Linotype" w:cs="Palatino Linotype"/>
          <w:b/>
          <w:i/>
          <w:sz w:val="22"/>
          <w:szCs w:val="22"/>
        </w:rPr>
        <w:t>Unidades de Transparencia</w:t>
      </w:r>
      <w:r w:rsidRPr="008D6F03">
        <w:rPr>
          <w:rFonts w:ascii="Palatino Linotype" w:eastAsia="Palatino Linotype" w:hAnsi="Palatino Linotype" w:cs="Palatino Linotype"/>
          <w:i/>
          <w:sz w:val="22"/>
          <w:szCs w:val="22"/>
        </w:rPr>
        <w:t xml:space="preserve"> tendrán las siguientes </w:t>
      </w:r>
      <w:r w:rsidRPr="008D6F03">
        <w:rPr>
          <w:rFonts w:ascii="Palatino Linotype" w:eastAsia="Palatino Linotype" w:hAnsi="Palatino Linotype" w:cs="Palatino Linotype"/>
          <w:b/>
          <w:i/>
          <w:sz w:val="22"/>
          <w:szCs w:val="22"/>
        </w:rPr>
        <w:t>funciones</w:t>
      </w:r>
      <w:r w:rsidRPr="008D6F03">
        <w:rPr>
          <w:rFonts w:ascii="Palatino Linotype" w:eastAsia="Palatino Linotype" w:hAnsi="Palatino Linotype" w:cs="Palatino Linotype"/>
          <w:i/>
          <w:sz w:val="22"/>
          <w:szCs w:val="22"/>
        </w:rPr>
        <w:t>:</w:t>
      </w:r>
    </w:p>
    <w:p w:rsidR="007B4405" w:rsidRPr="008D6F03" w:rsidRDefault="00CE4C85">
      <w:pPr>
        <w:ind w:left="992" w:right="1043"/>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X. Presentar ante el Comité, el proyecto de clasificación de información</w:t>
      </w:r>
      <w:r w:rsidRPr="008D6F03">
        <w:rPr>
          <w:rFonts w:ascii="Palatino Linotype" w:eastAsia="Palatino Linotype" w:hAnsi="Palatino Linotype" w:cs="Palatino Linotype"/>
          <w:i/>
          <w:sz w:val="22"/>
          <w:szCs w:val="22"/>
        </w:rPr>
        <w:t xml:space="preserve">…” </w:t>
      </w:r>
    </w:p>
    <w:p w:rsidR="007B4405" w:rsidRPr="008D6F03" w:rsidRDefault="00CE4C85">
      <w:pPr>
        <w:ind w:left="992" w:right="1043"/>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“Artículo 59.</w:t>
      </w:r>
      <w:r w:rsidRPr="008D6F03">
        <w:rPr>
          <w:rFonts w:ascii="Palatino Linotype" w:eastAsia="Palatino Linotype" w:hAnsi="Palatino Linotype" w:cs="Palatino Linotype"/>
          <w:i/>
          <w:sz w:val="22"/>
          <w:szCs w:val="22"/>
        </w:rPr>
        <w:t xml:space="preserve"> Los </w:t>
      </w:r>
      <w:r w:rsidRPr="008D6F03">
        <w:rPr>
          <w:rFonts w:ascii="Palatino Linotype" w:eastAsia="Palatino Linotype" w:hAnsi="Palatino Linotype" w:cs="Palatino Linotype"/>
          <w:b/>
          <w:i/>
          <w:sz w:val="22"/>
          <w:szCs w:val="22"/>
        </w:rPr>
        <w:t>servidores públicos habilitados</w:t>
      </w:r>
      <w:r w:rsidRPr="008D6F03">
        <w:rPr>
          <w:rFonts w:ascii="Palatino Linotype" w:eastAsia="Palatino Linotype" w:hAnsi="Palatino Linotype" w:cs="Palatino Linotype"/>
          <w:i/>
          <w:sz w:val="22"/>
          <w:szCs w:val="22"/>
        </w:rPr>
        <w:t xml:space="preserve"> tendrán las </w:t>
      </w:r>
      <w:r w:rsidRPr="008D6F03">
        <w:rPr>
          <w:rFonts w:ascii="Palatino Linotype" w:eastAsia="Palatino Linotype" w:hAnsi="Palatino Linotype" w:cs="Palatino Linotype"/>
          <w:b/>
          <w:i/>
          <w:sz w:val="22"/>
          <w:szCs w:val="22"/>
        </w:rPr>
        <w:t>funciones</w:t>
      </w:r>
      <w:r w:rsidRPr="008D6F03">
        <w:rPr>
          <w:rFonts w:ascii="Palatino Linotype" w:eastAsia="Palatino Linotype" w:hAnsi="Palatino Linotype" w:cs="Palatino Linotype"/>
          <w:i/>
          <w:sz w:val="22"/>
          <w:szCs w:val="22"/>
        </w:rPr>
        <w:t xml:space="preserve"> siguientes:</w:t>
      </w:r>
    </w:p>
    <w:p w:rsidR="007B4405" w:rsidRPr="008D6F03" w:rsidRDefault="00CE4C85">
      <w:pPr>
        <w:ind w:left="992" w:right="1043"/>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8D6F03">
        <w:rPr>
          <w:rFonts w:ascii="Palatino Linotype" w:eastAsia="Palatino Linotype" w:hAnsi="Palatino Linotype" w:cs="Palatino Linotype"/>
          <w:i/>
          <w:sz w:val="22"/>
          <w:szCs w:val="22"/>
        </w:rPr>
        <w:t>, la cual tendrá los fundamentos y argumentos en que se basa dicha propuesta…”(Sic)</w:t>
      </w:r>
    </w:p>
    <w:p w:rsidR="007B4405" w:rsidRPr="008D6F03" w:rsidRDefault="007B4405">
      <w:pPr>
        <w:ind w:left="992" w:right="1043"/>
        <w:jc w:val="both"/>
        <w:rPr>
          <w:rFonts w:ascii="Palatino Linotype" w:eastAsia="Palatino Linotype" w:hAnsi="Palatino Linotype" w:cs="Palatino Linotype"/>
          <w:i/>
          <w:sz w:val="22"/>
          <w:szCs w:val="22"/>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w:t>
      </w:r>
      <w:r w:rsidRPr="008D6F03">
        <w:rPr>
          <w:rFonts w:ascii="Palatino Linotype" w:eastAsia="Palatino Linotype" w:hAnsi="Palatino Linotype" w:cs="Palatino Linotype"/>
        </w:rPr>
        <w:lastRenderedPageBreak/>
        <w:t>ésta presente ante al Comité de Transparencia de así resultar procedente el proyecto de clasificación de la información y finalmente sea éste último quien apruebe, modifique o revoque la clasificación de la información solicitada.</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after="240"/>
        <w:ind w:left="993" w:right="1041"/>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Artículo 149.</w:t>
      </w:r>
      <w:r w:rsidRPr="008D6F03">
        <w:rPr>
          <w:rFonts w:ascii="Palatino Linotype" w:eastAsia="Palatino Linotype" w:hAnsi="Palatino Linotype" w:cs="Palatino Linotype"/>
          <w:i/>
          <w:sz w:val="22"/>
          <w:szCs w:val="22"/>
        </w:rPr>
        <w:t xml:space="preserve"> El </w:t>
      </w:r>
      <w:r w:rsidRPr="008D6F03">
        <w:rPr>
          <w:rFonts w:ascii="Palatino Linotype" w:eastAsia="Palatino Linotype" w:hAnsi="Palatino Linotype" w:cs="Palatino Linotype"/>
          <w:b/>
          <w:i/>
          <w:sz w:val="22"/>
          <w:szCs w:val="22"/>
        </w:rPr>
        <w:t>acuerdo que clasifique la información como confidencial</w:t>
      </w:r>
      <w:r w:rsidRPr="008D6F03">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Ley.”(Sic)</w:t>
      </w:r>
    </w:p>
    <w:p w:rsidR="007B4405" w:rsidRPr="008D6F03" w:rsidRDefault="007B4405">
      <w:pPr>
        <w:spacing w:before="240" w:line="360" w:lineRule="auto"/>
        <w:ind w:right="51"/>
        <w:jc w:val="both"/>
        <w:rPr>
          <w:rFonts w:ascii="Palatino Linotype" w:eastAsia="Palatino Linotype" w:hAnsi="Palatino Linotype" w:cs="Palatino Linotype"/>
          <w:i/>
          <w:sz w:val="22"/>
          <w:szCs w:val="22"/>
        </w:rPr>
      </w:pPr>
    </w:p>
    <w:p w:rsidR="007B4405" w:rsidRPr="008D6F03" w:rsidRDefault="00CE4C85">
      <w:pPr>
        <w:spacing w:line="360" w:lineRule="auto"/>
        <w:ind w:right="51"/>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Es decir,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rsidR="007B4405" w:rsidRPr="008D6F03" w:rsidRDefault="007B4405">
      <w:pPr>
        <w:spacing w:line="360" w:lineRule="auto"/>
        <w:ind w:right="51"/>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Es así, que por cuanto hace al número de cuenta bancaria de los particulares debe ser clasificado como confidencial con fundamento en las fracciones I y II del artículo </w:t>
      </w:r>
      <w:r w:rsidRPr="008D6F03">
        <w:rPr>
          <w:rFonts w:ascii="Palatino Linotype" w:eastAsia="Palatino Linotype" w:hAnsi="Palatino Linotype" w:cs="Palatino Linotype"/>
        </w:rPr>
        <w:lastRenderedPageBreak/>
        <w:t>143 de la Ley de la Materia de la Entidad; en razón de que, con su difusión se estaría poniendo en riesgo la seguridad de su titular.</w:t>
      </w:r>
    </w:p>
    <w:p w:rsidR="007B4405" w:rsidRPr="008D6F03" w:rsidRDefault="007B4405">
      <w:pPr>
        <w:spacing w:line="360" w:lineRule="auto"/>
        <w:ind w:right="50"/>
        <w:jc w:val="both"/>
        <w:rPr>
          <w:rFonts w:ascii="Palatino Linotype" w:eastAsia="Palatino Linotype" w:hAnsi="Palatino Linotype" w:cs="Palatino Linotype"/>
        </w:rPr>
      </w:pPr>
    </w:p>
    <w:p w:rsidR="007B4405" w:rsidRPr="008D6F03" w:rsidRDefault="00CE4C85">
      <w:pPr>
        <w:spacing w:line="360" w:lineRule="auto"/>
        <w:ind w:right="51"/>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Además de que, la publicidad de los números de cuenta bancaria de los particulares en nada contribuye a la rendición de cuentas, sino por el contrario, dar a conocer los números de las cuentas bancarias hace vulnerable a las personas físicas, al abrir la posibilidad de que terceros que cuenten con las posibilidades tecnológicas y/o económicas puedan realizar actos ilícitos mediante operaciones cibernéticas; en esa virtud, este Instituto determina que dicha información no puede ser del dominio público, toda vez que se podría dar un uso inadecuado a la misma o cometer algún ilícito o fraude en contra del patrimonio de los particulares. </w:t>
      </w:r>
    </w:p>
    <w:p w:rsidR="007B4405" w:rsidRPr="008D6F03" w:rsidRDefault="007B4405">
      <w:pPr>
        <w:spacing w:line="360" w:lineRule="auto"/>
        <w:ind w:right="51"/>
        <w:jc w:val="both"/>
        <w:rPr>
          <w:rFonts w:ascii="Palatino Linotype" w:eastAsia="Palatino Linotype" w:hAnsi="Palatino Linotype" w:cs="Palatino Linotype"/>
        </w:rPr>
      </w:pPr>
    </w:p>
    <w:p w:rsidR="007B4405" w:rsidRPr="008D6F03" w:rsidRDefault="00CE4C85">
      <w:pPr>
        <w:spacing w:line="360" w:lineRule="auto"/>
        <w:ind w:right="50"/>
        <w:jc w:val="both"/>
        <w:rPr>
          <w:rFonts w:ascii="Palatino Linotype" w:eastAsia="Palatino Linotype" w:hAnsi="Palatino Linotype" w:cs="Palatino Linotype"/>
        </w:rPr>
      </w:pPr>
      <w:r w:rsidRPr="008D6F03">
        <w:rPr>
          <w:rFonts w:ascii="Palatino Linotype" w:eastAsia="Palatino Linotype" w:hAnsi="Palatino Linotype" w:cs="Palatino Linotype"/>
        </w:rPr>
        <w:t>Lo anterior encuentra sustento en el criterio 10/17 emitido por el Instituto Nacional de Transparencia y Acceso a la Información Pública del Estado de México y Municipios, que a la letra dicen:</w:t>
      </w:r>
    </w:p>
    <w:p w:rsidR="007B4405" w:rsidRPr="008D6F03" w:rsidRDefault="007B4405">
      <w:pPr>
        <w:ind w:right="50"/>
        <w:jc w:val="both"/>
        <w:rPr>
          <w:rFonts w:ascii="Palatino Linotype" w:eastAsia="Palatino Linotype" w:hAnsi="Palatino Linotype" w:cs="Palatino Linotype"/>
        </w:rPr>
      </w:pPr>
    </w:p>
    <w:p w:rsidR="007B4405" w:rsidRPr="008D6F03" w:rsidRDefault="00CE4C85">
      <w:pPr>
        <w:ind w:left="851" w:right="1134"/>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“Cuentas bancarias y/o CLABE interbancaria de personas físicas y morales privadas.</w:t>
      </w:r>
      <w:r w:rsidRPr="008D6F03">
        <w:rPr>
          <w:rFonts w:ascii="Palatino Linotype" w:eastAsia="Palatino Linotype" w:hAnsi="Palatino Linotype" w:cs="Palatino Linotype"/>
          <w:i/>
          <w:sz w:val="22"/>
          <w:szCs w:val="22"/>
        </w:rPr>
        <w:t xml:space="preserve"> El número de cuenta bancaria y/o CLABE interbancaria de particulares es información confidencial,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w:t>
      </w:r>
    </w:p>
    <w:p w:rsidR="007B4405" w:rsidRPr="008D6F03" w:rsidRDefault="007B4405">
      <w:pPr>
        <w:ind w:left="851" w:right="899"/>
        <w:jc w:val="center"/>
        <w:rPr>
          <w:rFonts w:ascii="Palatino Linotype" w:eastAsia="Palatino Linotype" w:hAnsi="Palatino Linotype" w:cs="Palatino Linotype"/>
          <w:b/>
          <w:i/>
          <w:sz w:val="22"/>
          <w:szCs w:val="22"/>
        </w:rPr>
      </w:pPr>
    </w:p>
    <w:p w:rsidR="007B4405" w:rsidRPr="008D6F03" w:rsidRDefault="00CE4C85">
      <w:pPr>
        <w:spacing w:line="360" w:lineRule="auto"/>
        <w:ind w:right="50"/>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Ahora bien, por cuanto hace a las cuentas bancarias de los Sujetos obligados, dicha información no puede considerarse como confidencial, pues la difusión de dichas </w:t>
      </w:r>
      <w:r w:rsidRPr="008D6F03">
        <w:rPr>
          <w:rFonts w:ascii="Palatino Linotype" w:eastAsia="Palatino Linotype" w:hAnsi="Palatino Linotype" w:cs="Palatino Linotype"/>
        </w:rPr>
        <w:lastRenderedPageBreak/>
        <w:t>cuentas o claves interbancarias, favorecen a la rendición de cuentas; ello tiene sustento en el criterio 11/17, emitido por el Instituto Nacional de Transparencia y Acceso a la Información Pública del Estado de México y Municipios, el cual para mayor referencia se inserta a continuación:</w:t>
      </w:r>
    </w:p>
    <w:p w:rsidR="007B4405" w:rsidRPr="008D6F03" w:rsidRDefault="007B4405">
      <w:pPr>
        <w:ind w:right="50"/>
        <w:jc w:val="both"/>
        <w:rPr>
          <w:rFonts w:ascii="Palatino Linotype" w:eastAsia="Palatino Linotype" w:hAnsi="Palatino Linotype" w:cs="Palatino Linotype"/>
        </w:rPr>
      </w:pPr>
    </w:p>
    <w:p w:rsidR="007B4405" w:rsidRPr="008D6F03" w:rsidRDefault="00CE4C85">
      <w:pPr>
        <w:ind w:left="851" w:right="1134"/>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Cuentas bancarias y/o CLABE interbancaria de sujetos obligados que reciben y/o transfieren recursos públicos, son información pública.</w:t>
      </w:r>
      <w:r w:rsidRPr="008D6F03">
        <w:rPr>
          <w:rFonts w:ascii="Palatino Linotype" w:eastAsia="Palatino Linotype" w:hAnsi="Palatino Linotype" w:cs="Palatino Linotype"/>
          <w:i/>
          <w:sz w:val="22"/>
          <w:szCs w:val="22"/>
        </w:rPr>
        <w:t xml:space="preserve"> La difusión de las cuentas bancarias y claves interbancarias pertenecientes a un sujeto obligado favorece la rendición de cuentas al transparentar la forma en que se administran los recursos públicos, razón por la cual no pueden considerarse como información clasificada. “</w:t>
      </w:r>
    </w:p>
    <w:p w:rsidR="007B4405" w:rsidRPr="008D6F03" w:rsidRDefault="007B4405">
      <w:pPr>
        <w:spacing w:line="360" w:lineRule="auto"/>
        <w:ind w:right="51"/>
        <w:jc w:val="both"/>
        <w:rPr>
          <w:rFonts w:ascii="Palatino Linotype" w:eastAsia="Palatino Linotype" w:hAnsi="Palatino Linotype" w:cs="Palatino Linotype"/>
        </w:rPr>
      </w:pPr>
    </w:p>
    <w:p w:rsidR="007B4405" w:rsidRPr="008D6F03" w:rsidRDefault="00CE4C85">
      <w:pPr>
        <w:spacing w:before="240" w:after="240" w:line="360" w:lineRule="auto"/>
        <w:ind w:right="50"/>
        <w:jc w:val="both"/>
        <w:rPr>
          <w:rFonts w:ascii="Palatino Linotype" w:eastAsia="Palatino Linotype" w:hAnsi="Palatino Linotype" w:cs="Palatino Linotype"/>
        </w:rPr>
      </w:pPr>
      <w:r w:rsidRPr="008D6F03">
        <w:rPr>
          <w:rFonts w:ascii="Palatino Linotype" w:eastAsia="Palatino Linotype" w:hAnsi="Palatino Linotype" w:cs="Palatino Linotype"/>
        </w:rPr>
        <w:t>Sobre el RFC, dada la naturaleza de la información que se ordena, es importante resaltar que, si bien este Instituto ha sostenido que el RFC y domicilio de las personas físicas debe ser testado por los Sujetos Obligados, en las versiones públicas de los documentos que elaboren para atender las solicitudes de información pública, lo cierto es que tratándose de proveedores, prestadores de servicios o contratistas, dichos datos no deben ser suprimidos de las facturas y contratos que vayan a ser entregados.</w:t>
      </w:r>
    </w:p>
    <w:p w:rsidR="007B4405" w:rsidRPr="008D6F03" w:rsidRDefault="00CE4C85">
      <w:pPr>
        <w:spacing w:before="240" w:after="240" w:line="360" w:lineRule="auto"/>
        <w:ind w:right="50"/>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Ello se debe a que, del ejercicio de ponderación entre el derecho a la protección de datos personales con el derecho de acceso a la información pública, es de mayor trascendencia el que cualquier persona pueda conocer en qué se gastan los recursos públicos, puesto que se trata de erogaciones que realiza un órgano del Estado con base en los recursos que encuentran su origen en mayor medida en las </w:t>
      </w:r>
      <w:r w:rsidRPr="008D6F03">
        <w:rPr>
          <w:rFonts w:ascii="Palatino Linotype" w:eastAsia="Palatino Linotype" w:hAnsi="Palatino Linotype" w:cs="Palatino Linotype"/>
        </w:rPr>
        <w:lastRenderedPageBreak/>
        <w:t>contribuciones aportados por los gobernados, por lo que debe transparentarse su ejercicio.</w:t>
      </w:r>
    </w:p>
    <w:p w:rsidR="007B4405" w:rsidRPr="008D6F03" w:rsidRDefault="00CE4C85">
      <w:pPr>
        <w:spacing w:before="240" w:after="240" w:line="360" w:lineRule="auto"/>
        <w:ind w:right="50"/>
        <w:jc w:val="both"/>
        <w:rPr>
          <w:rFonts w:ascii="Palatino Linotype" w:eastAsia="Palatino Linotype" w:hAnsi="Palatino Linotype" w:cs="Palatino Linotype"/>
        </w:rPr>
      </w:pPr>
      <w:r w:rsidRPr="008D6F03">
        <w:rPr>
          <w:rFonts w:ascii="Palatino Linotype" w:eastAsia="Palatino Linotype" w:hAnsi="Palatino Linotype" w:cs="Palatino Linotype"/>
        </w:rPr>
        <w:t>Además, las personas físicas que realicen las actividades contratadas por las instituciones, renuncian implícitamente a una parte de su derecho a la intimidad al obtener beneficios y lucros de los recursos públicos por dicha contratación, por lo que no puede considerarse como información clasificada lo relativo a su nombre, registro federal de contribuyentes y domicilio fiscal, atento a que dicha información es la que puede generar certeza en los gobernados en que se está ejerciendo debidamente el presupuesto.</w:t>
      </w: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Al respecto, se destaca que la versión pública que elabore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debe cumplir con las formalidades exigidas en la Ley; es decir, resulta necesario que el Comité de Transparencia del Sujeto Obligado 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y Municipios, ya expuesto; así como con los numerales aplicables de los </w:t>
      </w:r>
      <w:r w:rsidRPr="008D6F03">
        <w:rPr>
          <w:rFonts w:ascii="Palatino Linotype" w:eastAsia="Palatino Linotype" w:hAnsi="Palatino Linotype" w:cs="Palatino Linotype"/>
          <w:b/>
        </w:rPr>
        <w:t>LINEAMIENTOS GENERALES EN MATERIA DE CLASIFICACIÓN Y DESCLASIFICACIÓN DE LA INFORMACIÓN, ASÍ COMO PARA LA ELABORACIÓN DE VERSIONES PÚBLICAS</w:t>
      </w:r>
      <w:r w:rsidR="004C3613" w:rsidRPr="008D6F03">
        <w:rPr>
          <w:rFonts w:ascii="Palatino Linotype" w:eastAsia="Palatino Linotype" w:hAnsi="Palatino Linotype" w:cs="Palatino Linotype"/>
        </w:rPr>
        <w:t xml:space="preserve">, </w:t>
      </w:r>
      <w:r w:rsidRPr="008D6F03">
        <w:rPr>
          <w:rFonts w:ascii="Palatino Linotype" w:eastAsia="Palatino Linotype" w:hAnsi="Palatino Linotype" w:cs="Palatino Linotype"/>
        </w:rPr>
        <w:t>que literalmente expresan:</w:t>
      </w:r>
    </w:p>
    <w:p w:rsidR="007B4405" w:rsidRPr="008D6F03" w:rsidRDefault="007B4405">
      <w:pPr>
        <w:ind w:left="709" w:right="709"/>
        <w:jc w:val="both"/>
        <w:rPr>
          <w:rFonts w:ascii="Palatino Linotype" w:eastAsia="Palatino Linotype" w:hAnsi="Palatino Linotype" w:cs="Palatino Linotype"/>
          <w:b/>
          <w:i/>
          <w:sz w:val="22"/>
          <w:szCs w:val="22"/>
        </w:rPr>
      </w:pPr>
    </w:p>
    <w:p w:rsidR="007B4405" w:rsidRPr="008D6F03" w:rsidRDefault="00CE4C85">
      <w:pPr>
        <w:ind w:left="709" w:right="709"/>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“Lineamientos Generales en materia de Clasificación y Desclasificación de la Información, así como para la elaboración de Versiones Públicas</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r w:rsidRPr="008D6F03">
        <w:rPr>
          <w:rFonts w:ascii="Palatino Linotype" w:eastAsia="Palatino Linotype" w:hAnsi="Palatino Linotype" w:cs="Palatino Linotype"/>
          <w:b/>
          <w:i/>
          <w:sz w:val="22"/>
          <w:szCs w:val="22"/>
        </w:rPr>
        <w:t>Segundo.-</w:t>
      </w:r>
      <w:r w:rsidRPr="008D6F03">
        <w:rPr>
          <w:rFonts w:ascii="Palatino Linotype" w:eastAsia="Palatino Linotype" w:hAnsi="Palatino Linotype" w:cs="Palatino Linotype"/>
          <w:i/>
          <w:sz w:val="22"/>
          <w:szCs w:val="22"/>
        </w:rPr>
        <w:t xml:space="preserve"> Para efectos de los presentes Lineamientos Generales, se entenderá por:</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XVIII.</w:t>
      </w:r>
      <w:r w:rsidRPr="008D6F03">
        <w:rPr>
          <w:rFonts w:ascii="Palatino Linotype" w:eastAsia="Palatino Linotype" w:hAnsi="Palatino Linotype" w:cs="Palatino Linotype"/>
          <w:i/>
          <w:sz w:val="22"/>
          <w:szCs w:val="22"/>
        </w:rPr>
        <w:t xml:space="preserve"> </w:t>
      </w:r>
      <w:r w:rsidRPr="008D6F03">
        <w:rPr>
          <w:rFonts w:ascii="Palatino Linotype" w:eastAsia="Palatino Linotype" w:hAnsi="Palatino Linotype" w:cs="Palatino Linotype"/>
          <w:b/>
          <w:i/>
          <w:sz w:val="22"/>
          <w:szCs w:val="22"/>
        </w:rPr>
        <w:t>Versión pública:</w:t>
      </w:r>
      <w:r w:rsidRPr="008D6F03">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w:t>
      </w:r>
      <w:r w:rsidRPr="008D6F03">
        <w:rPr>
          <w:rFonts w:ascii="Palatino Linotype" w:eastAsia="Palatino Linotype" w:hAnsi="Palatino Linotype" w:cs="Palatino Linotype"/>
          <w:i/>
          <w:sz w:val="22"/>
          <w:szCs w:val="22"/>
        </w:rPr>
        <w:lastRenderedPageBreak/>
        <w:t xml:space="preserve">de éstas de manera genérica, </w:t>
      </w:r>
      <w:r w:rsidRPr="008D6F03">
        <w:rPr>
          <w:rFonts w:ascii="Palatino Linotype" w:eastAsia="Palatino Linotype" w:hAnsi="Palatino Linotype" w:cs="Palatino Linotype"/>
          <w:b/>
          <w:i/>
          <w:sz w:val="22"/>
          <w:szCs w:val="22"/>
          <w:u w:val="single"/>
        </w:rPr>
        <w:t>fundando y motivando la</w:t>
      </w:r>
      <w:r w:rsidRPr="008D6F03">
        <w:rPr>
          <w:rFonts w:ascii="Palatino Linotype" w:eastAsia="Palatino Linotype" w:hAnsi="Palatino Linotype" w:cs="Palatino Linotype"/>
          <w:i/>
          <w:sz w:val="22"/>
          <w:szCs w:val="22"/>
        </w:rPr>
        <w:t xml:space="preserve"> reserva o </w:t>
      </w:r>
      <w:r w:rsidRPr="008D6F03">
        <w:rPr>
          <w:rFonts w:ascii="Palatino Linotype" w:eastAsia="Palatino Linotype" w:hAnsi="Palatino Linotype" w:cs="Palatino Linotype"/>
          <w:b/>
          <w:i/>
          <w:sz w:val="22"/>
          <w:szCs w:val="22"/>
          <w:u w:val="single"/>
        </w:rPr>
        <w:t>confidencialidad</w:t>
      </w:r>
      <w:r w:rsidRPr="008D6F03">
        <w:rPr>
          <w:rFonts w:ascii="Palatino Linotype" w:eastAsia="Palatino Linotype" w:hAnsi="Palatino Linotype" w:cs="Palatino Linotype"/>
          <w:i/>
          <w:sz w:val="22"/>
          <w:szCs w:val="22"/>
        </w:rPr>
        <w:t>, a través de la resolución que para tal efecto emita el Comité de Transparencia.</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Cuarto.</w:t>
      </w:r>
      <w:r w:rsidRPr="008D6F03">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Quinto.</w:t>
      </w:r>
      <w:r w:rsidRPr="008D6F03">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4C3613" w:rsidRPr="008D6F03" w:rsidRDefault="004C3613">
      <w:pPr>
        <w:ind w:left="709" w:right="709"/>
        <w:jc w:val="both"/>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Séptimo.</w:t>
      </w:r>
      <w:r w:rsidRPr="008D6F03">
        <w:rPr>
          <w:rFonts w:ascii="Palatino Linotype" w:eastAsia="Palatino Linotype" w:hAnsi="Palatino Linotype" w:cs="Palatino Linotype"/>
          <w:i/>
          <w:sz w:val="22"/>
          <w:szCs w:val="22"/>
        </w:rPr>
        <w:t xml:space="preserve"> La clasificación de la información se llevará a cabo en el momento en que:</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I.</w:t>
      </w:r>
      <w:r w:rsidRPr="008D6F03">
        <w:rPr>
          <w:rFonts w:ascii="Palatino Linotype" w:eastAsia="Palatino Linotype" w:hAnsi="Palatino Linotype" w:cs="Palatino Linotype"/>
          <w:i/>
          <w:sz w:val="22"/>
          <w:szCs w:val="22"/>
        </w:rPr>
        <w:t xml:space="preserve"> Se reciba una solicitud de acceso a la información;</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II.</w:t>
      </w:r>
      <w:r w:rsidRPr="008D6F03">
        <w:rPr>
          <w:rFonts w:ascii="Palatino Linotype" w:eastAsia="Palatino Linotype" w:hAnsi="Palatino Linotype" w:cs="Palatino Linotype"/>
          <w:i/>
          <w:sz w:val="22"/>
          <w:szCs w:val="22"/>
        </w:rPr>
        <w:t xml:space="preserve"> Se determine mediante resolución de autoridad competente, o</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III.</w:t>
      </w:r>
      <w:r w:rsidRPr="008D6F03">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Octavo.</w:t>
      </w:r>
      <w:r w:rsidRPr="008D6F03">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En caso de referirse a información reservada, la motivación de la clasificación también deberá comprender las circunstancias que justifican el establecimiento de determinado plazo de reserva.</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lastRenderedPageBreak/>
        <w:t>Tratándose de información clasificada como confidencial respecto de la cual se haya determinado su conservación permanente por tener valor histórico, ésta conservará tal carácter de conformidad con la normativa aplicable en materia de archivos.</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Los documentos contenidos en los archivos históricos y los identificados como históricos confidenciales no serán susceptibles de clasificación como reservados.</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Noveno.</w:t>
      </w:r>
      <w:r w:rsidRPr="008D6F03">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Décimo.</w:t>
      </w:r>
      <w:r w:rsidRPr="008D6F03">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Décimo primero.</w:t>
      </w:r>
      <w:r w:rsidRPr="008D6F03">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7B4405" w:rsidRPr="008D6F03" w:rsidRDefault="00CE4C85">
      <w:pPr>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ind w:left="709" w:right="709"/>
        <w:jc w:val="center"/>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CAPÍTULO VIII</w:t>
      </w:r>
    </w:p>
    <w:p w:rsidR="007B4405" w:rsidRPr="008D6F03" w:rsidRDefault="00CE4C85">
      <w:pPr>
        <w:ind w:left="709" w:right="709"/>
        <w:jc w:val="center"/>
        <w:rPr>
          <w:rFonts w:ascii="Palatino Linotype" w:eastAsia="Palatino Linotype" w:hAnsi="Palatino Linotype" w:cs="Palatino Linotype"/>
          <w:b/>
          <w:i/>
          <w:sz w:val="22"/>
          <w:szCs w:val="22"/>
        </w:rPr>
      </w:pPr>
      <w:r w:rsidRPr="008D6F03">
        <w:rPr>
          <w:rFonts w:ascii="Palatino Linotype" w:eastAsia="Palatino Linotype" w:hAnsi="Palatino Linotype" w:cs="Palatino Linotype"/>
          <w:b/>
          <w:i/>
          <w:sz w:val="22"/>
          <w:szCs w:val="22"/>
        </w:rPr>
        <w:t>DE LA LEYENDA DE CLASIFICACIÓN</w:t>
      </w:r>
    </w:p>
    <w:p w:rsidR="007B4405" w:rsidRPr="008D6F03" w:rsidRDefault="004C3613" w:rsidP="004C3613">
      <w:pPr>
        <w:spacing w:after="160"/>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Quincuagésimo</w:t>
      </w:r>
      <w:r w:rsidRPr="008D6F03">
        <w:rPr>
          <w:rFonts w:ascii="Palatino Linotype" w:eastAsia="Palatino Linotype" w:hAnsi="Palatino Linotype" w:cs="Palatino Linotype"/>
          <w:i/>
          <w:sz w:val="22"/>
          <w:szCs w:val="22"/>
        </w:rPr>
        <w:t>. Los titulares de las áreas de los sujetos obligados podrán establecer sus propios modelos o formatos para la elaboración de versiones públicas de documentos o expedientes, siempre y cuando cumplan lo establecido en los presentes Lineamientos, así como en las correspondientes Leyes Generales.</w:t>
      </w:r>
      <w:r w:rsidR="00CE4C85" w:rsidRPr="008D6F03">
        <w:rPr>
          <w:rFonts w:ascii="Palatino Linotype" w:eastAsia="Palatino Linotype" w:hAnsi="Palatino Linotype" w:cs="Palatino Linotype"/>
          <w:i/>
          <w:sz w:val="22"/>
          <w:szCs w:val="22"/>
        </w:rPr>
        <w:t>.</w:t>
      </w:r>
    </w:p>
    <w:p w:rsidR="007B4405" w:rsidRPr="008D6F03" w:rsidRDefault="00CE4C85" w:rsidP="004C3613">
      <w:pPr>
        <w:spacing w:after="160"/>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i/>
          <w:sz w:val="22"/>
          <w:szCs w:val="22"/>
        </w:rPr>
        <w:t>[…]</w:t>
      </w:r>
    </w:p>
    <w:p w:rsidR="007B4405" w:rsidRPr="008D6F03" w:rsidRDefault="00CE4C85">
      <w:pPr>
        <w:spacing w:after="160"/>
        <w:ind w:left="709" w:right="709"/>
        <w:jc w:val="both"/>
        <w:rPr>
          <w:rFonts w:ascii="Palatino Linotype" w:eastAsia="Palatino Linotype" w:hAnsi="Palatino Linotype" w:cs="Palatino Linotype"/>
          <w:i/>
          <w:sz w:val="22"/>
          <w:szCs w:val="22"/>
        </w:rPr>
      </w:pPr>
      <w:r w:rsidRPr="008D6F03">
        <w:rPr>
          <w:rFonts w:ascii="Palatino Linotype" w:eastAsia="Palatino Linotype" w:hAnsi="Palatino Linotype" w:cs="Palatino Linotype"/>
          <w:b/>
          <w:i/>
          <w:sz w:val="22"/>
          <w:szCs w:val="22"/>
        </w:rPr>
        <w:t xml:space="preserve">Quincuagésimo tercero. </w:t>
      </w:r>
      <w:r w:rsidRPr="008D6F03">
        <w:rPr>
          <w:rFonts w:ascii="Palatino Linotype" w:eastAsia="Palatino Linotype" w:hAnsi="Palatino Linotype" w:cs="Palatino Linotype"/>
          <w:b/>
          <w:i/>
          <w:sz w:val="22"/>
          <w:szCs w:val="22"/>
          <w:u w:val="single"/>
        </w:rPr>
        <w:t>El formato para señalar la clasificación parcial de un documento</w:t>
      </w:r>
      <w:r w:rsidRPr="008D6F03">
        <w:rPr>
          <w:rFonts w:ascii="Palatino Linotype" w:eastAsia="Palatino Linotype" w:hAnsi="Palatino Linotype" w:cs="Palatino Linotype"/>
          <w:i/>
          <w:sz w:val="22"/>
          <w:szCs w:val="22"/>
        </w:rPr>
        <w:t>, es el siguiente:</w:t>
      </w:r>
    </w:p>
    <w:tbl>
      <w:tblPr>
        <w:tblStyle w:val="af8"/>
        <w:tblW w:w="768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9"/>
        <w:gridCol w:w="1990"/>
        <w:gridCol w:w="4531"/>
      </w:tblGrid>
      <w:tr w:rsidR="007B4405" w:rsidRPr="008D6F03">
        <w:trPr>
          <w:jc w:val="center"/>
        </w:trPr>
        <w:tc>
          <w:tcPr>
            <w:tcW w:w="1159" w:type="dxa"/>
            <w:tcBorders>
              <w:top w:val="nil"/>
              <w:left w:val="nil"/>
              <w:bottom w:val="single" w:sz="4" w:space="0" w:color="000000"/>
              <w:right w:val="single" w:sz="4" w:space="0" w:color="000000"/>
            </w:tcBorders>
          </w:tcPr>
          <w:p w:rsidR="007B4405" w:rsidRPr="008D6F03" w:rsidRDefault="007B4405">
            <w:pPr>
              <w:jc w:val="both"/>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b/>
                <w:i/>
              </w:rPr>
            </w:pPr>
            <w:r w:rsidRPr="008D6F03">
              <w:rPr>
                <w:rFonts w:ascii="Palatino Linotype" w:eastAsia="Palatino Linotype" w:hAnsi="Palatino Linotype" w:cs="Palatino Linotype"/>
                <w:b/>
                <w:i/>
              </w:rPr>
              <w:t>Concepto</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b/>
                <w:i/>
              </w:rPr>
            </w:pPr>
            <w:r w:rsidRPr="008D6F03">
              <w:rPr>
                <w:rFonts w:ascii="Palatino Linotype" w:eastAsia="Palatino Linotype" w:hAnsi="Palatino Linotype" w:cs="Palatino Linotype"/>
                <w:b/>
                <w:i/>
              </w:rPr>
              <w:t>Dónde:</w:t>
            </w:r>
          </w:p>
        </w:tc>
      </w:tr>
      <w:tr w:rsidR="007B4405" w:rsidRPr="008D6F03">
        <w:trPr>
          <w:jc w:val="center"/>
        </w:trPr>
        <w:tc>
          <w:tcPr>
            <w:tcW w:w="1159" w:type="dxa"/>
            <w:vMerge w:val="restart"/>
            <w:tcBorders>
              <w:top w:val="single" w:sz="4" w:space="0" w:color="000000"/>
              <w:left w:val="single" w:sz="4" w:space="0" w:color="000000"/>
              <w:bottom w:val="single" w:sz="4" w:space="0" w:color="000000"/>
              <w:right w:val="single" w:sz="4" w:space="0" w:color="000000"/>
            </w:tcBorders>
            <w:vAlign w:val="center"/>
          </w:tcPr>
          <w:p w:rsidR="007B4405" w:rsidRPr="008D6F03" w:rsidRDefault="00CE4C85">
            <w:pPr>
              <w:jc w:val="center"/>
              <w:rPr>
                <w:rFonts w:ascii="Palatino Linotype" w:eastAsia="Palatino Linotype" w:hAnsi="Palatino Linotype" w:cs="Palatino Linotype"/>
                <w:b/>
                <w:i/>
              </w:rPr>
            </w:pPr>
            <w:r w:rsidRPr="008D6F03">
              <w:rPr>
                <w:rFonts w:ascii="Palatino Linotype" w:eastAsia="Palatino Linotype" w:hAnsi="Palatino Linotype" w:cs="Palatino Linotype"/>
                <w:b/>
                <w:i/>
              </w:rPr>
              <w:t xml:space="preserve">Sello oficial o logotipo </w:t>
            </w:r>
            <w:r w:rsidRPr="008D6F03">
              <w:rPr>
                <w:rFonts w:ascii="Palatino Linotype" w:eastAsia="Palatino Linotype" w:hAnsi="Palatino Linotype" w:cs="Palatino Linotype"/>
                <w:b/>
                <w:i/>
              </w:rPr>
              <w:lastRenderedPageBreak/>
              <w:t>del sujeto obligado</w:t>
            </w: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lastRenderedPageBreak/>
              <w:t>Fecha de clasificación</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Se anotará la fecha en la que el Comité de Transparencia confirmó la clasificación del documento, en su caso.</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Área</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Se señalará el nombre del área del cual es titular quien clasifica.</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Información reservada</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 xml:space="preserve">Se indicarán, en su caso, las partes o páginas del documento que se clasifican como reservadas. Si el documento fuera reservado en su totalidad, se </w:t>
            </w:r>
            <w:proofErr w:type="gramStart"/>
            <w:r w:rsidRPr="008D6F03">
              <w:rPr>
                <w:rFonts w:ascii="Palatino Linotype" w:eastAsia="Palatino Linotype" w:hAnsi="Palatino Linotype" w:cs="Palatino Linotype"/>
                <w:i/>
              </w:rPr>
              <w:t>anotarán</w:t>
            </w:r>
            <w:proofErr w:type="gramEnd"/>
            <w:r w:rsidRPr="008D6F03">
              <w:rPr>
                <w:rFonts w:ascii="Palatino Linotype" w:eastAsia="Palatino Linotype" w:hAnsi="Palatino Linotype" w:cs="Palatino Linotype"/>
                <w:i/>
              </w:rPr>
              <w:t xml:space="preserve"> todas las páginas que lo conforman. Si el documento no contiene información reservada, se tachará este apartado.</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Periodo de reserva</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Se anotará el número de años o meses por los que se mantendrá el documento o las partes del mismo como reservado.</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Se señalará el nombre del ordenamiento, el o los artículos, fracción(es), párrafo(s) con base en los cuales se sustente la reserva.</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Ampliación del periodo de reserva</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En caso de haber solicitado la ampliación del periodo de reserva originalmente establecido, se deberá anotar el número de años o meses por los que se amplía la reserva.</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Confidencial</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Se señalará el nombre del ordenamiento, el o los artículos, fracción(es), párrafo(s) con base en los cuales se sustente la confidencialidad.</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Rúbrica del titular del área</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Rúbrica autógrafa de quien clasifica.</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Fecha de desclasificación</w:t>
            </w:r>
          </w:p>
        </w:tc>
        <w:tc>
          <w:tcPr>
            <w:tcW w:w="4531"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both"/>
              <w:rPr>
                <w:rFonts w:ascii="Palatino Linotype" w:eastAsia="Palatino Linotype" w:hAnsi="Palatino Linotype" w:cs="Palatino Linotype"/>
                <w:i/>
              </w:rPr>
            </w:pPr>
            <w:r w:rsidRPr="008D6F03">
              <w:rPr>
                <w:rFonts w:ascii="Palatino Linotype" w:eastAsia="Palatino Linotype" w:hAnsi="Palatino Linotype" w:cs="Palatino Linotype"/>
                <w:i/>
              </w:rPr>
              <w:t>Se anotará la fecha en que se desclasifica el documento.</w:t>
            </w:r>
          </w:p>
        </w:tc>
      </w:tr>
      <w:tr w:rsidR="007B4405" w:rsidRPr="008D6F03">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7B4405" w:rsidRPr="008D6F03" w:rsidRDefault="007B4405">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7B4405" w:rsidRPr="008D6F03" w:rsidRDefault="00CE4C85">
            <w:pPr>
              <w:jc w:val="center"/>
              <w:rPr>
                <w:rFonts w:ascii="Palatino Linotype" w:eastAsia="Palatino Linotype" w:hAnsi="Palatino Linotype" w:cs="Palatino Linotype"/>
                <w:i/>
              </w:rPr>
            </w:pPr>
            <w:r w:rsidRPr="008D6F03">
              <w:rPr>
                <w:rFonts w:ascii="Palatino Linotype" w:eastAsia="Palatino Linotype" w:hAnsi="Palatino Linotype" w:cs="Palatino Linotype"/>
                <w:i/>
              </w:rPr>
              <w:t>Rúbrica y cargo del servidor público</w:t>
            </w:r>
          </w:p>
        </w:tc>
        <w:tc>
          <w:tcPr>
            <w:tcW w:w="4531" w:type="dxa"/>
            <w:tcBorders>
              <w:top w:val="single" w:sz="4" w:space="0" w:color="000000"/>
              <w:left w:val="single" w:sz="4" w:space="0" w:color="000000"/>
              <w:bottom w:val="single" w:sz="4" w:space="0" w:color="000000"/>
              <w:right w:val="single" w:sz="4" w:space="0" w:color="000000"/>
            </w:tcBorders>
            <w:vAlign w:val="center"/>
          </w:tcPr>
          <w:p w:rsidR="007B4405" w:rsidRPr="008D6F03" w:rsidRDefault="00CE4C85">
            <w:pPr>
              <w:rPr>
                <w:rFonts w:ascii="Palatino Linotype" w:eastAsia="Palatino Linotype" w:hAnsi="Palatino Linotype" w:cs="Palatino Linotype"/>
                <w:i/>
              </w:rPr>
            </w:pPr>
            <w:r w:rsidRPr="008D6F03">
              <w:rPr>
                <w:rFonts w:ascii="Palatino Linotype" w:eastAsia="Palatino Linotype" w:hAnsi="Palatino Linotype" w:cs="Palatino Linotype"/>
                <w:i/>
              </w:rPr>
              <w:t>Rúbrica autógrafa de quien desclasifica.</w:t>
            </w:r>
          </w:p>
        </w:tc>
      </w:tr>
    </w:tbl>
    <w:p w:rsidR="007B4405" w:rsidRPr="008D6F03" w:rsidRDefault="007B4405">
      <w:pPr>
        <w:spacing w:before="240" w:line="360" w:lineRule="auto"/>
        <w:ind w:right="51"/>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hd w:val="clear" w:color="auto" w:fill="FFFFFF"/>
        <w:spacing w:line="360" w:lineRule="auto"/>
        <w:ind w:right="51"/>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del </w:t>
      </w:r>
      <w:r w:rsidRPr="008D6F03">
        <w:rPr>
          <w:rFonts w:ascii="Palatino Linotype" w:eastAsia="Palatino Linotype" w:hAnsi="Palatino Linotype" w:cs="Palatino Linotype"/>
          <w:b/>
        </w:rPr>
        <w:t>RECURRENTE.</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 xml:space="preserve">De este modo, como ha sido señalado en la presente resolución, en armonía entre los principios constitucionales de máxima publicidad y de protección de datos personales, la Ley de Transparencia y Acceso a la Información Pública del Estado de </w:t>
      </w:r>
      <w:r w:rsidRPr="008D6F03">
        <w:rPr>
          <w:rFonts w:ascii="Palatino Linotype" w:eastAsia="Palatino Linotype" w:hAnsi="Palatino Linotype" w:cs="Palatino Linotype"/>
        </w:rPr>
        <w:lastRenderedPageBreak/>
        <w:t>México y Municipios permite la elaboración de versiones públicas en las que se suprima aquella información relacionada con la vida privada.</w:t>
      </w:r>
    </w:p>
    <w:p w:rsidR="007B4405" w:rsidRPr="008D6F03" w:rsidRDefault="007B4405">
      <w:pPr>
        <w:spacing w:line="360" w:lineRule="auto"/>
        <w:jc w:val="both"/>
        <w:rPr>
          <w:rFonts w:ascii="Palatino Linotype" w:eastAsia="Palatino Linotype" w:hAnsi="Palatino Linotype" w:cs="Palatino Linotype"/>
        </w:rPr>
      </w:pPr>
    </w:p>
    <w:p w:rsidR="007B4405" w:rsidRPr="008D6F03" w:rsidRDefault="00CE4C85">
      <w:pPr>
        <w:spacing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rsidR="007B4405" w:rsidRPr="008D6F03" w:rsidRDefault="00CE4C85">
      <w:pPr>
        <w:numPr>
          <w:ilvl w:val="0"/>
          <w:numId w:val="5"/>
        </w:numPr>
        <w:pBdr>
          <w:top w:val="nil"/>
          <w:left w:val="nil"/>
          <w:bottom w:val="nil"/>
          <w:right w:val="nil"/>
          <w:between w:val="nil"/>
        </w:pBdr>
        <w:spacing w:before="240" w:after="240" w:line="360" w:lineRule="auto"/>
        <w:jc w:val="center"/>
        <w:rPr>
          <w:rFonts w:ascii="Palatino Linotype" w:eastAsia="Palatino Linotype" w:hAnsi="Palatino Linotype" w:cs="Palatino Linotype"/>
          <w:b/>
          <w:color w:val="000000"/>
          <w:sz w:val="22"/>
          <w:szCs w:val="22"/>
        </w:rPr>
      </w:pPr>
      <w:r w:rsidRPr="008D6F03">
        <w:rPr>
          <w:rFonts w:ascii="Palatino Linotype" w:eastAsia="Palatino Linotype" w:hAnsi="Palatino Linotype" w:cs="Palatino Linotype"/>
          <w:b/>
          <w:color w:val="000000"/>
          <w:sz w:val="22"/>
          <w:szCs w:val="22"/>
        </w:rPr>
        <w:t>R E S U E L V E:</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Primero. </w:t>
      </w:r>
      <w:r w:rsidRPr="008D6F03">
        <w:rPr>
          <w:rFonts w:ascii="Palatino Linotype" w:eastAsia="Palatino Linotype" w:hAnsi="Palatino Linotype" w:cs="Palatino Linotype"/>
        </w:rPr>
        <w:t xml:space="preserve">Se </w:t>
      </w:r>
      <w:r w:rsidRPr="008D6F03">
        <w:rPr>
          <w:rFonts w:ascii="Palatino Linotype" w:eastAsia="Palatino Linotype" w:hAnsi="Palatino Linotype" w:cs="Palatino Linotype"/>
          <w:b/>
        </w:rPr>
        <w:t>SOBRESEE</w:t>
      </w:r>
      <w:r w:rsidRPr="008D6F03">
        <w:rPr>
          <w:rFonts w:ascii="Palatino Linotype" w:eastAsia="Palatino Linotype" w:hAnsi="Palatino Linotype" w:cs="Palatino Linotype"/>
        </w:rPr>
        <w:t xml:space="preserve"> el Recurso de Revisión </w:t>
      </w:r>
      <w:r w:rsidRPr="008D6F03">
        <w:rPr>
          <w:rFonts w:ascii="Palatino Linotype" w:eastAsia="Palatino Linotype" w:hAnsi="Palatino Linotype" w:cs="Palatino Linotype"/>
          <w:b/>
        </w:rPr>
        <w:t>16963/INFOEM/IP/RR/2022</w:t>
      </w:r>
      <w:r w:rsidRPr="008D6F03">
        <w:rPr>
          <w:rFonts w:ascii="Palatino Linotype" w:eastAsia="Palatino Linotype" w:hAnsi="Palatino Linotype" w:cs="Palatino Linotype"/>
        </w:rPr>
        <w:t>, por improcedente</w:t>
      </w:r>
      <w:r w:rsidRPr="008D6F03">
        <w:rPr>
          <w:rFonts w:ascii="Palatino Linotype" w:eastAsia="Palatino Linotype" w:hAnsi="Palatino Linotype" w:cs="Palatino Linotype"/>
          <w:b/>
        </w:rPr>
        <w:t xml:space="preserve">, </w:t>
      </w:r>
      <w:r w:rsidRPr="008D6F03">
        <w:rPr>
          <w:rFonts w:ascii="Palatino Linotype" w:eastAsia="Palatino Linotype" w:hAnsi="Palatino Linotype" w:cs="Palatino Linotype"/>
        </w:rPr>
        <w:t xml:space="preserve">por actualizarse la fracción IV del artículo 192, en relación con la fracción III del artículo 191, ambos, de la Ley de Transparencia y Acceso a la Información Pública del Estado de México y Municipios, en términos del </w:t>
      </w:r>
      <w:r w:rsidR="00215E16" w:rsidRPr="008D6F03">
        <w:rPr>
          <w:rFonts w:ascii="Palatino Linotype" w:eastAsia="Palatino Linotype" w:hAnsi="Palatino Linotype" w:cs="Palatino Linotype"/>
          <w:b/>
        </w:rPr>
        <w:t>Considerando Cuarto</w:t>
      </w:r>
      <w:r w:rsidRPr="008D6F03">
        <w:rPr>
          <w:rFonts w:ascii="Palatino Linotype" w:eastAsia="Palatino Linotype" w:hAnsi="Palatino Linotype" w:cs="Palatino Linotype"/>
        </w:rPr>
        <w:t xml:space="preserve"> de la presente resolución.</w:t>
      </w:r>
      <w:r w:rsidR="00424BFE" w:rsidRPr="008D6F03">
        <w:rPr>
          <w:rFonts w:ascii="Palatino Linotype" w:eastAsia="Palatino Linotype" w:hAnsi="Palatino Linotype" w:cs="Palatino Linotype"/>
        </w:rPr>
        <w:t xml:space="preserve"> </w:t>
      </w:r>
    </w:p>
    <w:p w:rsidR="007B4405" w:rsidRPr="008D6F03" w:rsidRDefault="00CE4C85">
      <w:pPr>
        <w:spacing w:before="240" w:after="240"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t xml:space="preserve">Segundo. </w:t>
      </w:r>
      <w:r w:rsidRPr="008D6F03">
        <w:rPr>
          <w:rFonts w:ascii="Palatino Linotype" w:eastAsia="Palatino Linotype" w:hAnsi="Palatino Linotype" w:cs="Palatino Linotype"/>
        </w:rPr>
        <w:t xml:space="preserve">Resultan fundados los motivos de inconformidad hechos valer por el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en los Recursos de Revisión </w:t>
      </w:r>
      <w:r w:rsidRPr="008D6F03">
        <w:rPr>
          <w:rFonts w:ascii="Palatino Linotype" w:eastAsia="Palatino Linotype" w:hAnsi="Palatino Linotype" w:cs="Palatino Linotype"/>
          <w:b/>
        </w:rPr>
        <w:t xml:space="preserve">16799/INFOEM/IP/RR/2022, 16801/INFOEM/IP/RR/2022, 16816/INFOEM/IP/RR/2022, 16818/INFOEM/IP/RR/2022 y 17005/INFOEM/IP/RR/2022; </w:t>
      </w:r>
      <w:r w:rsidRPr="008D6F03">
        <w:rPr>
          <w:rFonts w:ascii="Palatino Linotype" w:eastAsia="Palatino Linotype" w:hAnsi="Palatino Linotype" w:cs="Palatino Linotype"/>
        </w:rPr>
        <w:t xml:space="preserve">por lo que, en términos del considerando </w:t>
      </w:r>
      <w:r w:rsidRPr="008D6F03">
        <w:rPr>
          <w:rFonts w:ascii="Palatino Linotype" w:eastAsia="Palatino Linotype" w:hAnsi="Palatino Linotype" w:cs="Palatino Linotype"/>
          <w:b/>
        </w:rPr>
        <w:t xml:space="preserve">Cuarto </w:t>
      </w:r>
      <w:r w:rsidRPr="008D6F03">
        <w:rPr>
          <w:rFonts w:ascii="Palatino Linotype" w:eastAsia="Palatino Linotype" w:hAnsi="Palatino Linotype" w:cs="Palatino Linotype"/>
        </w:rPr>
        <w:t xml:space="preserve">de esta resolución, se </w:t>
      </w:r>
      <w:r w:rsidRPr="008D6F03">
        <w:rPr>
          <w:rFonts w:ascii="Palatino Linotype" w:eastAsia="Palatino Linotype" w:hAnsi="Palatino Linotype" w:cs="Palatino Linotype"/>
          <w:b/>
        </w:rPr>
        <w:t xml:space="preserve">MODIFICAN </w:t>
      </w:r>
      <w:r w:rsidRPr="008D6F03">
        <w:rPr>
          <w:rFonts w:ascii="Palatino Linotype" w:eastAsia="Palatino Linotype" w:hAnsi="Palatino Linotype" w:cs="Palatino Linotype"/>
        </w:rPr>
        <w:t xml:space="preserve">las respuestas emitidas por el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w:t>
      </w:r>
    </w:p>
    <w:p w:rsidR="007B4405" w:rsidRPr="008D6F03" w:rsidRDefault="00CE4C85">
      <w:pPr>
        <w:tabs>
          <w:tab w:val="left" w:pos="7936"/>
        </w:tabs>
        <w:spacing w:line="360" w:lineRule="auto"/>
        <w:jc w:val="both"/>
        <w:rPr>
          <w:rFonts w:ascii="Palatino Linotype" w:eastAsia="Palatino Linotype" w:hAnsi="Palatino Linotype" w:cs="Palatino Linotype"/>
        </w:rPr>
      </w:pPr>
      <w:r w:rsidRPr="008D6F03">
        <w:rPr>
          <w:rFonts w:ascii="Palatino Linotype" w:eastAsia="Palatino Linotype" w:hAnsi="Palatino Linotype" w:cs="Palatino Linotype"/>
          <w:b/>
        </w:rPr>
        <w:lastRenderedPageBreak/>
        <w:t xml:space="preserve">Tercero. </w:t>
      </w:r>
      <w:r w:rsidRPr="008D6F03">
        <w:rPr>
          <w:rFonts w:ascii="Palatino Linotype" w:eastAsia="Palatino Linotype" w:hAnsi="Palatino Linotype" w:cs="Palatino Linotype"/>
        </w:rPr>
        <w:t>Se</w:t>
      </w:r>
      <w:r w:rsidRPr="008D6F03">
        <w:rPr>
          <w:rFonts w:ascii="Palatino Linotype" w:eastAsia="Palatino Linotype" w:hAnsi="Palatino Linotype" w:cs="Palatino Linotype"/>
          <w:b/>
        </w:rPr>
        <w:t xml:space="preserve"> ORDENA </w:t>
      </w:r>
      <w:r w:rsidRPr="008D6F03">
        <w:rPr>
          <w:rFonts w:ascii="Palatino Linotype" w:eastAsia="Palatino Linotype" w:hAnsi="Palatino Linotype" w:cs="Palatino Linotype"/>
        </w:rPr>
        <w:t xml:space="preserve">al </w:t>
      </w:r>
      <w:r w:rsidRPr="008D6F03">
        <w:rPr>
          <w:rFonts w:ascii="Palatino Linotype" w:eastAsia="Palatino Linotype" w:hAnsi="Palatino Linotype" w:cs="Palatino Linotype"/>
          <w:b/>
        </w:rPr>
        <w:t>SUJETO OBLIGADO</w:t>
      </w:r>
      <w:r w:rsidRPr="008D6F03">
        <w:rPr>
          <w:rFonts w:ascii="Palatino Linotype" w:eastAsia="Palatino Linotype" w:hAnsi="Palatino Linotype" w:cs="Palatino Linotype"/>
        </w:rPr>
        <w:t xml:space="preserve"> a que,</w:t>
      </w:r>
      <w:r w:rsidRPr="008D6F03">
        <w:rPr>
          <w:rFonts w:ascii="Palatino Linotype" w:eastAsia="Palatino Linotype" w:hAnsi="Palatino Linotype" w:cs="Palatino Linotype"/>
          <w:b/>
        </w:rPr>
        <w:t xml:space="preserve"> </w:t>
      </w:r>
      <w:r w:rsidRPr="008D6F03">
        <w:rPr>
          <w:rFonts w:ascii="Palatino Linotype" w:eastAsia="Palatino Linotype" w:hAnsi="Palatino Linotype" w:cs="Palatino Linotype"/>
        </w:rPr>
        <w:t>en términos del Considerando Cuarto y Quinto, haga entrega vía SAIMEX, en versión pública de ser procedente, del documento o documentos en donde conste lo siguiente:</w:t>
      </w:r>
    </w:p>
    <w:p w:rsidR="007B4405" w:rsidRPr="008D6F03" w:rsidRDefault="007B4405">
      <w:pPr>
        <w:tabs>
          <w:tab w:val="left" w:pos="7936"/>
        </w:tabs>
        <w:spacing w:line="360" w:lineRule="auto"/>
        <w:jc w:val="both"/>
        <w:rPr>
          <w:rFonts w:ascii="Palatino Linotype" w:eastAsia="Palatino Linotype" w:hAnsi="Palatino Linotype" w:cs="Palatino Linotype"/>
        </w:rPr>
      </w:pPr>
    </w:p>
    <w:p w:rsidR="007B4405" w:rsidRPr="008D6F03" w:rsidRDefault="00CE4C85">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r w:rsidRPr="008D6F03">
        <w:rPr>
          <w:rFonts w:ascii="Palatino Linotype" w:eastAsia="Palatino Linotype" w:hAnsi="Palatino Linotype" w:cs="Palatino Linotype"/>
          <w:color w:val="000000"/>
          <w:sz w:val="22"/>
          <w:szCs w:val="22"/>
        </w:rPr>
        <w:t>Programa de Bacheo del primero de enero al treinta y uno de octubre del año 2022.</w:t>
      </w:r>
    </w:p>
    <w:p w:rsidR="007B4405" w:rsidRPr="008D6F03" w:rsidRDefault="00CE4C85">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r w:rsidRPr="008D6F03">
        <w:rPr>
          <w:rFonts w:ascii="Palatino Linotype" w:eastAsia="Palatino Linotype" w:hAnsi="Palatino Linotype" w:cs="Palatino Linotype"/>
          <w:color w:val="000000"/>
          <w:sz w:val="22"/>
          <w:szCs w:val="22"/>
        </w:rPr>
        <w:t>El área administrativa encargada de recibir el escrito reclamación de indemnización por los daños ocasionados a las llantas y suspensiones de los automóviles, causados por los baches, de acuerdo a sus atribuciones, vigente al dieciocho de octubre del año dos mil veintidós.</w:t>
      </w:r>
    </w:p>
    <w:p w:rsidR="007B4405" w:rsidRPr="008D6F03" w:rsidRDefault="00CE4C85">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bookmarkStart w:id="4" w:name="_heading=h.1t3h5sf" w:colFirst="0" w:colLast="0"/>
      <w:bookmarkEnd w:id="4"/>
      <w:r w:rsidRPr="008D6F03">
        <w:rPr>
          <w:rFonts w:ascii="Palatino Linotype" w:eastAsia="Palatino Linotype" w:hAnsi="Palatino Linotype" w:cs="Palatino Linotype"/>
          <w:color w:val="000000"/>
          <w:sz w:val="22"/>
          <w:szCs w:val="22"/>
        </w:rPr>
        <w:t xml:space="preserve">Los expedientes completos por invitación restringida para </w:t>
      </w:r>
      <w:r w:rsidRPr="008D6F03">
        <w:rPr>
          <w:rFonts w:ascii="Palatino Linotype" w:eastAsia="Palatino Linotype" w:hAnsi="Palatino Linotype" w:cs="Palatino Linotype"/>
          <w:sz w:val="22"/>
          <w:szCs w:val="22"/>
        </w:rPr>
        <w:t>la contratación</w:t>
      </w:r>
      <w:r w:rsidRPr="008D6F03">
        <w:rPr>
          <w:rFonts w:ascii="Palatino Linotype" w:eastAsia="Palatino Linotype" w:hAnsi="Palatino Linotype" w:cs="Palatino Linotype"/>
          <w:color w:val="000000"/>
          <w:sz w:val="22"/>
          <w:szCs w:val="22"/>
        </w:rPr>
        <w:t xml:space="preserve"> de la obra pública denominad</w:t>
      </w:r>
      <w:r w:rsidRPr="008D6F03">
        <w:rPr>
          <w:rFonts w:ascii="Palatino Linotype" w:eastAsia="Palatino Linotype" w:hAnsi="Palatino Linotype" w:cs="Palatino Linotype"/>
          <w:sz w:val="22"/>
          <w:szCs w:val="22"/>
        </w:rPr>
        <w:t>a:</w:t>
      </w:r>
      <w:r w:rsidRPr="008D6F03">
        <w:rPr>
          <w:rFonts w:ascii="Palatino Linotype" w:eastAsia="Palatino Linotype" w:hAnsi="Palatino Linotype" w:cs="Palatino Linotype"/>
          <w:color w:val="000000"/>
          <w:sz w:val="22"/>
          <w:szCs w:val="22"/>
        </w:rPr>
        <w:t xml:space="preserve"> "REHABILITACIÓN DE VIALIDADES URBANAS (BACHEO </w:t>
      </w:r>
      <w:r w:rsidRPr="008D6F03">
        <w:rPr>
          <w:rFonts w:ascii="Palatino Linotype" w:eastAsia="Palatino Linotype" w:hAnsi="Palatino Linotype" w:cs="Palatino Linotype"/>
          <w:sz w:val="22"/>
          <w:szCs w:val="22"/>
        </w:rPr>
        <w:t>A</w:t>
      </w:r>
      <w:r w:rsidRPr="008D6F03">
        <w:rPr>
          <w:rFonts w:ascii="Palatino Linotype" w:eastAsia="Palatino Linotype" w:hAnsi="Palatino Linotype" w:cs="Palatino Linotype"/>
          <w:color w:val="000000"/>
          <w:sz w:val="22"/>
          <w:szCs w:val="22"/>
        </w:rPr>
        <w:t xml:space="preserve"> VIALIDADES CON MEZCLA </w:t>
      </w:r>
      <w:r w:rsidRPr="008D6F03">
        <w:rPr>
          <w:rFonts w:ascii="Palatino Linotype" w:eastAsia="Palatino Linotype" w:hAnsi="Palatino Linotype" w:cs="Palatino Linotype"/>
          <w:sz w:val="22"/>
          <w:szCs w:val="22"/>
        </w:rPr>
        <w:t>ASFÁLTICA</w:t>
      </w:r>
      <w:r w:rsidRPr="008D6F03">
        <w:rPr>
          <w:rFonts w:ascii="Palatino Linotype" w:eastAsia="Palatino Linotype" w:hAnsi="Palatino Linotype" w:cs="Palatino Linotype"/>
          <w:color w:val="000000"/>
          <w:sz w:val="22"/>
          <w:szCs w:val="22"/>
        </w:rPr>
        <w:t xml:space="preserve">)", </w:t>
      </w:r>
      <w:r w:rsidRPr="008D6F03">
        <w:rPr>
          <w:rFonts w:ascii="Palatino Linotype" w:eastAsia="Palatino Linotype" w:hAnsi="Palatino Linotype" w:cs="Palatino Linotype"/>
          <w:sz w:val="22"/>
          <w:szCs w:val="22"/>
        </w:rPr>
        <w:t>en</w:t>
      </w:r>
      <w:r w:rsidRPr="008D6F03">
        <w:rPr>
          <w:rFonts w:ascii="Palatino Linotype" w:eastAsia="Palatino Linotype" w:hAnsi="Palatino Linotype" w:cs="Palatino Linotype"/>
          <w:color w:val="000000"/>
          <w:sz w:val="22"/>
          <w:szCs w:val="22"/>
        </w:rPr>
        <w:t xml:space="preserve"> las diferentes comunidades, delegaciones, fraccionamiento y colonias del Ayuntamiento de Toluca, </w:t>
      </w:r>
      <w:r w:rsidRPr="008D6F03">
        <w:rPr>
          <w:rFonts w:ascii="Palatino Linotype" w:eastAsia="Palatino Linotype" w:hAnsi="Palatino Linotype" w:cs="Palatino Linotype"/>
          <w:sz w:val="22"/>
          <w:szCs w:val="22"/>
        </w:rPr>
        <w:t>generados</w:t>
      </w:r>
      <w:r w:rsidRPr="008D6F03">
        <w:rPr>
          <w:rFonts w:ascii="Palatino Linotype" w:eastAsia="Palatino Linotype" w:hAnsi="Palatino Linotype" w:cs="Palatino Linotype"/>
          <w:color w:val="000000"/>
          <w:sz w:val="22"/>
          <w:szCs w:val="22"/>
        </w:rPr>
        <w:t xml:space="preserve"> al siete de noviembre del año dos mil veintidó</w:t>
      </w:r>
      <w:r w:rsidRPr="008D6F03">
        <w:rPr>
          <w:rFonts w:ascii="Palatino Linotype" w:eastAsia="Palatino Linotype" w:hAnsi="Palatino Linotype" w:cs="Palatino Linotype"/>
          <w:sz w:val="22"/>
          <w:szCs w:val="22"/>
        </w:rPr>
        <w:t xml:space="preserve">s. </w:t>
      </w:r>
    </w:p>
    <w:p w:rsidR="007B4405" w:rsidRPr="008D6F03" w:rsidRDefault="00CE4C85">
      <w:pPr>
        <w:pBdr>
          <w:top w:val="nil"/>
          <w:left w:val="nil"/>
          <w:bottom w:val="nil"/>
          <w:right w:val="nil"/>
          <w:between w:val="nil"/>
        </w:pBdr>
        <w:ind w:left="720" w:right="40"/>
        <w:jc w:val="both"/>
        <w:rPr>
          <w:rFonts w:ascii="Palatino Linotype" w:eastAsia="Palatino Linotype" w:hAnsi="Palatino Linotype" w:cs="Palatino Linotype"/>
          <w:i/>
          <w:color w:val="000000"/>
          <w:sz w:val="22"/>
          <w:szCs w:val="22"/>
        </w:rPr>
      </w:pPr>
      <w:r w:rsidRPr="008D6F03">
        <w:rPr>
          <w:rFonts w:ascii="Palatino Linotype" w:eastAsia="Palatino Linotype" w:hAnsi="Palatino Linotype" w:cs="Palatino Linotype"/>
          <w:i/>
          <w:color w:val="000000"/>
          <w:sz w:val="22"/>
          <w:szCs w:val="22"/>
        </w:rPr>
        <w:t>De ser procedente,</w:t>
      </w:r>
      <w:r w:rsidRPr="008D6F03">
        <w:rPr>
          <w:rFonts w:ascii="Palatino Linotype" w:eastAsia="Palatino Linotype" w:hAnsi="Palatino Linotype" w:cs="Palatino Linotype"/>
          <w:color w:val="000000"/>
        </w:rPr>
        <w:t xml:space="preserve"> </w:t>
      </w:r>
      <w:r w:rsidRPr="008D6F03">
        <w:rPr>
          <w:rFonts w:ascii="Palatino Linotype" w:eastAsia="Palatino Linotype" w:hAnsi="Palatino Linotype" w:cs="Palatino Linotype"/>
          <w:i/>
          <w:color w:val="000000"/>
          <w:sz w:val="22"/>
          <w:szCs w:val="22"/>
        </w:rPr>
        <w:t>para la entrega en versión pública, deberá emitir el Acuerdo del Comité de Transparencia en términos de la Ley de Transparencia y Acceso a la Información Pública del Estado de México y Municipios, en el que funde y motive las razones sobre los datos que se supriman o eliminen, así como de los documentos remitidos en respuesta, y se ponga a disposición de la parte Recurrente.</w:t>
      </w:r>
    </w:p>
    <w:p w:rsidR="007B4405" w:rsidRPr="008D6F03" w:rsidRDefault="007B4405">
      <w:pPr>
        <w:pBdr>
          <w:top w:val="nil"/>
          <w:left w:val="nil"/>
          <w:bottom w:val="nil"/>
          <w:right w:val="nil"/>
          <w:between w:val="nil"/>
        </w:pBdr>
        <w:spacing w:after="120"/>
        <w:ind w:left="720" w:right="40"/>
        <w:jc w:val="both"/>
        <w:rPr>
          <w:rFonts w:ascii="Palatino Linotype" w:eastAsia="Palatino Linotype" w:hAnsi="Palatino Linotype" w:cs="Palatino Linotype"/>
          <w:i/>
          <w:color w:val="000000"/>
          <w:sz w:val="22"/>
          <w:szCs w:val="22"/>
        </w:rPr>
      </w:pPr>
    </w:p>
    <w:p w:rsidR="007B4405" w:rsidRPr="008D6F03" w:rsidRDefault="00CE4C85">
      <w:pPr>
        <w:spacing w:line="360" w:lineRule="auto"/>
        <w:ind w:right="49"/>
        <w:jc w:val="both"/>
        <w:rPr>
          <w:rFonts w:ascii="Palatino Linotype" w:eastAsia="Palatino Linotype" w:hAnsi="Palatino Linotype" w:cs="Palatino Linotype"/>
        </w:rPr>
      </w:pPr>
      <w:r w:rsidRPr="008D6F03">
        <w:rPr>
          <w:rFonts w:ascii="Palatino Linotype" w:eastAsia="Palatino Linotype" w:hAnsi="Palatino Linotype" w:cs="Palatino Linotype"/>
          <w:b/>
          <w:color w:val="000000"/>
        </w:rPr>
        <w:t xml:space="preserve">Cuarto. Notifíquese, </w:t>
      </w:r>
      <w:r w:rsidRPr="008D6F03">
        <w:rPr>
          <w:rFonts w:ascii="Palatino Linotype" w:eastAsia="Palatino Linotype" w:hAnsi="Palatino Linotype" w:cs="Palatino Linotype"/>
          <w:color w:val="000000"/>
        </w:rPr>
        <w:t xml:space="preserve">vía </w:t>
      </w:r>
      <w:r w:rsidRPr="008D6F03">
        <w:rPr>
          <w:rFonts w:ascii="Palatino Linotype" w:eastAsia="Palatino Linotype" w:hAnsi="Palatino Linotype" w:cs="Palatino Linotype"/>
          <w:b/>
          <w:color w:val="000000"/>
        </w:rPr>
        <w:t>SAIMEX</w:t>
      </w:r>
      <w:r w:rsidRPr="008D6F03">
        <w:rPr>
          <w:rFonts w:ascii="Palatino Linotype" w:eastAsia="Palatino Linotype" w:hAnsi="Palatino Linotype" w:cs="Palatino Linotype"/>
          <w:color w:val="000000"/>
        </w:rPr>
        <w:t xml:space="preserve">, al Titular de la Unidad de Transparencia del </w:t>
      </w:r>
      <w:r w:rsidRPr="008D6F03">
        <w:rPr>
          <w:rFonts w:ascii="Palatino Linotype" w:eastAsia="Palatino Linotype" w:hAnsi="Palatino Linotype" w:cs="Palatino Linotype"/>
          <w:b/>
          <w:color w:val="000000"/>
        </w:rPr>
        <w:t>Sujeto Obligado,</w:t>
      </w:r>
      <w:r w:rsidRPr="008D6F03">
        <w:rPr>
          <w:rFonts w:ascii="Palatino Linotype" w:eastAsia="Palatino Linotype" w:hAnsi="Palatino Linotype" w:cs="Palatino Linotype"/>
          <w:color w:val="000000"/>
        </w:rPr>
        <w:t xml:space="preserve"> la presente resolución para que conforme a los artículos 186, último párrafo y 189, párrafo segundo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w:t>
      </w:r>
      <w:r w:rsidRPr="008D6F03">
        <w:rPr>
          <w:rFonts w:ascii="Palatino Linotype" w:eastAsia="Palatino Linotype" w:hAnsi="Palatino Linotype" w:cs="Palatino Linotype"/>
          <w:color w:val="000000"/>
        </w:rPr>
        <w:lastRenderedPageBreak/>
        <w:t>manera parcial, se le impondrá una medida de apremio de conformidad con lo previsto en los artículos 198, 200, fracción III; 214, 215 y 216 de la Ley  de Transparencia y Acceso a la Información Pública del Estado de México y Municipios</w:t>
      </w:r>
      <w:r w:rsidRPr="008D6F03">
        <w:rPr>
          <w:rFonts w:ascii="Palatino Linotype" w:eastAsia="Palatino Linotype" w:hAnsi="Palatino Linotype" w:cs="Palatino Linotype"/>
        </w:rPr>
        <w:t>.</w:t>
      </w:r>
    </w:p>
    <w:p w:rsidR="007B4405" w:rsidRPr="008D6F03" w:rsidRDefault="007B4405">
      <w:pPr>
        <w:spacing w:line="360" w:lineRule="auto"/>
        <w:ind w:right="49"/>
        <w:jc w:val="both"/>
        <w:rPr>
          <w:rFonts w:ascii="Palatino Linotype" w:eastAsia="Palatino Linotype" w:hAnsi="Palatino Linotype" w:cs="Palatino Linotype"/>
          <w:b/>
        </w:rPr>
      </w:pPr>
    </w:p>
    <w:p w:rsidR="007B4405" w:rsidRPr="008D6F03" w:rsidRDefault="00CE4C85">
      <w:pPr>
        <w:spacing w:line="360" w:lineRule="auto"/>
        <w:ind w:right="49"/>
        <w:jc w:val="both"/>
        <w:rPr>
          <w:rFonts w:ascii="Palatino Linotype" w:eastAsia="Palatino Linotype" w:hAnsi="Palatino Linotype" w:cs="Palatino Linotype"/>
        </w:rPr>
      </w:pPr>
      <w:r w:rsidRPr="008D6F03">
        <w:rPr>
          <w:rFonts w:ascii="Palatino Linotype" w:eastAsia="Palatino Linotype" w:hAnsi="Palatino Linotype" w:cs="Palatino Linotype"/>
          <w:b/>
        </w:rPr>
        <w:t>Quinto. Notifíquese vía SAIMEX</w:t>
      </w:r>
      <w:r w:rsidRPr="008D6F03">
        <w:rPr>
          <w:rFonts w:ascii="Palatino Linotype" w:eastAsia="Palatino Linotype" w:hAnsi="Palatino Linotype" w:cs="Palatino Linotype"/>
        </w:rPr>
        <w:t xml:space="preserve">, a la parte </w:t>
      </w:r>
      <w:r w:rsidRPr="008D6F03">
        <w:rPr>
          <w:rFonts w:ascii="Palatino Linotype" w:eastAsia="Palatino Linotype" w:hAnsi="Palatino Linotype" w:cs="Palatino Linotype"/>
          <w:b/>
        </w:rPr>
        <w:t>RECURRENTE</w:t>
      </w:r>
      <w:r w:rsidRPr="008D6F03">
        <w:rPr>
          <w:rFonts w:ascii="Palatino Linotype" w:eastAsia="Palatino Linotype" w:hAnsi="Palatino Linotype" w:cs="Palatino Linotype"/>
        </w:rPr>
        <w:t xml:space="preserve"> la presente resolución, así como, que de conformidad con lo establecido en el artículo 196 de la Ley de Transparencia y Acceso a la Información Pública del Estado de México y Municipios, podrá impugnar la presente resolución vía Juicio de Amparo en los términos de las leyes aplicables.</w:t>
      </w:r>
    </w:p>
    <w:p w:rsidR="007B4405" w:rsidRPr="008D6F03" w:rsidRDefault="00CE4C85">
      <w:pPr>
        <w:spacing w:before="240" w:after="240" w:line="360" w:lineRule="auto"/>
        <w:jc w:val="both"/>
        <w:rPr>
          <w:rFonts w:ascii="Palatino Linotype" w:eastAsia="Palatino Linotype" w:hAnsi="Palatino Linotype" w:cs="Palatino Linotype"/>
          <w:b/>
        </w:rPr>
      </w:pPr>
      <w:r w:rsidRPr="008D6F03">
        <w:rPr>
          <w:rFonts w:ascii="Palatino Linotype" w:eastAsia="Palatino Linotype" w:hAnsi="Palatino Linotype" w:cs="Palatino Linotype"/>
          <w:b/>
        </w:rPr>
        <w:t>Sexto.</w:t>
      </w:r>
      <w:r w:rsidRPr="008D6F03">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rsidR="007B4405" w:rsidRPr="008D6F03" w:rsidRDefault="00CE4C85">
      <w:pPr>
        <w:spacing w:before="240" w:after="240" w:line="360" w:lineRule="auto"/>
        <w:jc w:val="both"/>
        <w:rPr>
          <w:rFonts w:ascii="Palatino Linotype" w:eastAsia="Palatino Linotype" w:hAnsi="Palatino Linotype" w:cs="Palatino Linotype"/>
        </w:rPr>
        <w:sectPr w:rsidR="007B4405" w:rsidRPr="008D6F03">
          <w:headerReference w:type="default" r:id="rId71"/>
          <w:footerReference w:type="default" r:id="rId72"/>
          <w:headerReference w:type="first" r:id="rId73"/>
          <w:footerReference w:type="first" r:id="rId74"/>
          <w:pgSz w:w="12240" w:h="15840"/>
          <w:pgMar w:top="2041" w:right="1701" w:bottom="1701" w:left="1701" w:header="709" w:footer="709" w:gutter="0"/>
          <w:pgNumType w:start="1"/>
          <w:cols w:space="720"/>
          <w:titlePg/>
        </w:sectPr>
      </w:pPr>
      <w:r w:rsidRPr="008D6F03">
        <w:rPr>
          <w:rFonts w:ascii="Palatino Linotype" w:eastAsia="Palatino Linotype" w:hAnsi="Palatino Linotype" w:cs="Palatino Linotype"/>
          <w:color w:val="222222"/>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VIGÉSIMA SEGUNDA SESIÓN ORDINARIA CELEBRADA EL CATORCE DE JUNIO</w:t>
      </w:r>
      <w:r w:rsidRPr="008D6F03">
        <w:rPr>
          <w:rFonts w:ascii="Palatino Linotype" w:eastAsia="Palatino Linotype" w:hAnsi="Palatino Linotype" w:cs="Palatino Linotype"/>
        </w:rPr>
        <w:t xml:space="preserve"> DEL DOS MIL VEINTITRÉS, ANTE EL SECRETARIO TÉCNICO DEL PLENO ALEXIS TAPIA RAMÍREZ.                             </w:t>
      </w:r>
    </w:p>
    <w:p w:rsidR="007B4405" w:rsidRPr="008D6F03" w:rsidRDefault="007B4405">
      <w:pPr>
        <w:spacing w:before="240" w:after="240" w:line="360" w:lineRule="auto"/>
        <w:ind w:right="51"/>
        <w:jc w:val="both"/>
        <w:rPr>
          <w:rFonts w:ascii="Palatino Linotype" w:eastAsia="Palatino Linotype" w:hAnsi="Palatino Linotype" w:cs="Palatino Linotype"/>
          <w:color w:val="FF0000"/>
        </w:rPr>
      </w:pPr>
    </w:p>
    <w:p w:rsidR="007B4405" w:rsidRPr="008D6F03" w:rsidRDefault="007B4405">
      <w:pPr>
        <w:spacing w:before="240" w:after="240" w:line="360" w:lineRule="auto"/>
        <w:ind w:right="51"/>
        <w:jc w:val="both"/>
        <w:rPr>
          <w:rFonts w:ascii="Palatino Linotype" w:eastAsia="Palatino Linotype" w:hAnsi="Palatino Linotype" w:cs="Palatino Linotype"/>
          <w:color w:val="FF0000"/>
        </w:rPr>
      </w:pPr>
    </w:p>
    <w:p w:rsidR="007B4405" w:rsidRDefault="007B4405">
      <w:pPr>
        <w:tabs>
          <w:tab w:val="left" w:pos="709"/>
        </w:tabs>
        <w:spacing w:before="240" w:after="240" w:line="360" w:lineRule="auto"/>
        <w:jc w:val="both"/>
        <w:rPr>
          <w:rFonts w:ascii="Palatino Linotype" w:eastAsia="Palatino Linotype" w:hAnsi="Palatino Linotype" w:cs="Palatino Linotype"/>
        </w:rPr>
      </w:pPr>
      <w:bookmarkStart w:id="5" w:name="_heading=h.tyjcwt" w:colFirst="0" w:colLast="0"/>
      <w:bookmarkEnd w:id="5"/>
    </w:p>
    <w:p w:rsidR="007B4405" w:rsidRDefault="007B4405"/>
    <w:p w:rsidR="007B4405" w:rsidRDefault="007B4405"/>
    <w:sectPr w:rsidR="007B4405">
      <w:headerReference w:type="first" r:id="rId75"/>
      <w:pgSz w:w="12240" w:h="15840"/>
      <w:pgMar w:top="1985" w:right="1701" w:bottom="1701"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5B69" w:rsidRDefault="00F05B69">
      <w:r>
        <w:separator/>
      </w:r>
    </w:p>
  </w:endnote>
  <w:endnote w:type="continuationSeparator" w:id="0">
    <w:p w:rsidR="00F05B69" w:rsidRDefault="00F05B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05" w:rsidRDefault="00CE4C85">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924E20">
      <w:rPr>
        <w:rFonts w:ascii="Arial" w:eastAsia="Arial" w:hAnsi="Arial" w:cs="Arial"/>
        <w:b/>
        <w:noProof/>
        <w:color w:val="000000"/>
        <w:sz w:val="20"/>
        <w:szCs w:val="20"/>
      </w:rPr>
      <w:t>21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924E20">
      <w:rPr>
        <w:rFonts w:ascii="Arial" w:eastAsia="Arial" w:hAnsi="Arial" w:cs="Arial"/>
        <w:b/>
        <w:noProof/>
        <w:color w:val="000000"/>
        <w:sz w:val="20"/>
        <w:szCs w:val="20"/>
      </w:rPr>
      <w:t>91</w:t>
    </w:r>
    <w:r>
      <w:rPr>
        <w:rFonts w:ascii="Arial" w:eastAsia="Arial" w:hAnsi="Arial" w:cs="Arial"/>
        <w:b/>
        <w:color w:val="000000"/>
        <w:sz w:val="20"/>
        <w:szCs w:val="20"/>
      </w:rPr>
      <w:fldChar w:fldCharType="end"/>
    </w:r>
  </w:p>
  <w:p w:rsidR="007B4405" w:rsidRDefault="007B4405">
    <w:pPr>
      <w:pBdr>
        <w:top w:val="nil"/>
        <w:left w:val="nil"/>
        <w:bottom w:val="nil"/>
        <w:right w:val="nil"/>
        <w:between w:val="nil"/>
      </w:pBdr>
      <w:tabs>
        <w:tab w:val="center" w:pos="4252"/>
        <w:tab w:val="right" w:pos="8504"/>
      </w:tabs>
      <w:rPr>
        <w:color w:val="000000"/>
      </w:rPr>
    </w:pPr>
  </w:p>
  <w:p w:rsidR="007B4405" w:rsidRDefault="007B4405">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05" w:rsidRDefault="00CE4C85">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924E20">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924E20">
      <w:rPr>
        <w:rFonts w:ascii="Arial" w:eastAsia="Arial" w:hAnsi="Arial" w:cs="Arial"/>
        <w:b/>
        <w:noProof/>
        <w:color w:val="000000"/>
        <w:sz w:val="20"/>
        <w:szCs w:val="20"/>
      </w:rPr>
      <w:t>91</w:t>
    </w:r>
    <w:r>
      <w:rPr>
        <w:rFonts w:ascii="Arial" w:eastAsia="Arial" w:hAnsi="Arial" w:cs="Arial"/>
        <w:b/>
        <w:color w:val="000000"/>
        <w:sz w:val="20"/>
        <w:szCs w:val="20"/>
      </w:rPr>
      <w:fldChar w:fldCharType="end"/>
    </w:r>
  </w:p>
  <w:p w:rsidR="007B4405" w:rsidRDefault="007B4405">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5B69" w:rsidRDefault="00F05B69">
      <w:r>
        <w:separator/>
      </w:r>
    </w:p>
  </w:footnote>
  <w:footnote w:type="continuationSeparator" w:id="0">
    <w:p w:rsidR="00F05B69" w:rsidRDefault="00F05B69">
      <w:r>
        <w:continuationSeparator/>
      </w:r>
    </w:p>
  </w:footnote>
  <w:footnote w:id="1">
    <w:p w:rsidR="007B4405" w:rsidRDefault="00CE4C85">
      <w:pPr>
        <w:pBdr>
          <w:top w:val="nil"/>
          <w:left w:val="nil"/>
          <w:bottom w:val="nil"/>
          <w:right w:val="nil"/>
          <w:between w:val="nil"/>
        </w:pBdr>
        <w:rPr>
          <w:rFonts w:ascii="Cambria" w:eastAsia="Cambria" w:hAnsi="Cambria" w:cs="Cambria"/>
          <w:color w:val="000000"/>
          <w:sz w:val="20"/>
          <w:szCs w:val="20"/>
        </w:rPr>
      </w:pPr>
      <w:r>
        <w:rPr>
          <w:vertAlign w:val="superscript"/>
        </w:rPr>
        <w:footnoteRef/>
      </w:r>
      <w:r>
        <w:rPr>
          <w:rFonts w:ascii="Cambria" w:eastAsia="Cambria" w:hAnsi="Cambria" w:cs="Cambria"/>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rFonts w:ascii="Cambria" w:eastAsia="Cambria" w:hAnsi="Cambria" w:cs="Cambria"/>
          <w:color w:val="000000"/>
          <w:sz w:val="20"/>
          <w:szCs w:val="20"/>
        </w:rPr>
        <w:t xml:space="preserve"> (…)</w:t>
      </w:r>
    </w:p>
  </w:footnote>
  <w:footnote w:id="2">
    <w:p w:rsidR="007B4405" w:rsidRDefault="00CE4C85">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 w:id="3">
    <w:p w:rsidR="007B4405" w:rsidRDefault="00CE4C85">
      <w:pPr>
        <w:pBdr>
          <w:top w:val="nil"/>
          <w:left w:val="nil"/>
          <w:bottom w:val="nil"/>
          <w:right w:val="nil"/>
          <w:between w:val="nil"/>
        </w:pBdr>
        <w:tabs>
          <w:tab w:val="left" w:pos="7371"/>
        </w:tabs>
        <w:ind w:right="-93"/>
        <w:jc w:val="both"/>
        <w:rPr>
          <w:rFonts w:ascii="Palatino Linotype" w:eastAsia="Palatino Linotype" w:hAnsi="Palatino Linotype" w:cs="Palatino Linotype"/>
          <w:color w:val="000000"/>
          <w:sz w:val="19"/>
          <w:szCs w:val="19"/>
        </w:rPr>
      </w:pPr>
      <w:r>
        <w:rPr>
          <w:vertAlign w:val="superscript"/>
        </w:rPr>
        <w:footnoteRef/>
      </w:r>
      <w:r>
        <w:rPr>
          <w:color w:val="000000"/>
        </w:rPr>
        <w:t xml:space="preserve"> </w:t>
      </w:r>
      <w:r>
        <w:rPr>
          <w:rFonts w:ascii="Palatino Linotype" w:eastAsia="Palatino Linotype" w:hAnsi="Palatino Linotype" w:cs="Palatino Linotype"/>
          <w:color w:val="000000"/>
          <w:sz w:val="18"/>
          <w:szCs w:val="18"/>
        </w:rPr>
        <w:t xml:space="preserve">“Artículo 12.15.- Las dependencias, entidades y </w:t>
      </w:r>
      <w:r>
        <w:rPr>
          <w:rFonts w:ascii="Palatino Linotype" w:eastAsia="Palatino Linotype" w:hAnsi="Palatino Linotype" w:cs="Palatino Linotype"/>
          <w:b/>
          <w:color w:val="000000"/>
          <w:sz w:val="18"/>
          <w:szCs w:val="18"/>
        </w:rPr>
        <w:t>ayuntamientos</w:t>
      </w:r>
      <w:r>
        <w:rPr>
          <w:rFonts w:ascii="Palatino Linotype" w:eastAsia="Palatino Linotype" w:hAnsi="Palatino Linotype" w:cs="Palatino Linotype"/>
          <w:color w:val="000000"/>
          <w:sz w:val="18"/>
          <w:szCs w:val="18"/>
        </w:rPr>
        <w:t xml:space="preserve">, según las características, complejidad y magnitud de los trabajos, </w:t>
      </w:r>
      <w:r>
        <w:rPr>
          <w:rFonts w:ascii="Palatino Linotype" w:eastAsia="Palatino Linotype" w:hAnsi="Palatino Linotype" w:cs="Palatino Linotype"/>
          <w:b/>
          <w:color w:val="000000"/>
          <w:sz w:val="18"/>
          <w:szCs w:val="18"/>
        </w:rPr>
        <w:t>formularán los programas de obra pública</w:t>
      </w:r>
      <w:r>
        <w:rPr>
          <w:rFonts w:ascii="Palatino Linotype" w:eastAsia="Palatino Linotype" w:hAnsi="Palatino Linotype" w:cs="Palatino Linotype"/>
          <w:color w:val="000000"/>
          <w:sz w:val="18"/>
          <w:szCs w:val="18"/>
        </w:rPr>
        <w:t xml:space="preserve"> </w:t>
      </w:r>
      <w:r>
        <w:rPr>
          <w:rFonts w:ascii="Palatino Linotype" w:eastAsia="Palatino Linotype" w:hAnsi="Palatino Linotype" w:cs="Palatino Linotype"/>
          <w:b/>
          <w:color w:val="000000"/>
          <w:sz w:val="18"/>
          <w:szCs w:val="18"/>
        </w:rPr>
        <w:t>o de servicios relacionados con la misma</w:t>
      </w:r>
      <w:r>
        <w:rPr>
          <w:rFonts w:ascii="Palatino Linotype" w:eastAsia="Palatino Linotype" w:hAnsi="Palatino Linotype" w:cs="Palatino Linotype"/>
          <w:color w:val="000000"/>
          <w:sz w:val="18"/>
          <w:szCs w:val="18"/>
        </w:rPr>
        <w:t xml:space="preserve">, así como sus respectivos presupuestos, con base en las políticas, objetivos y prioridades de la planeación del desarrollo del Estado y municipios, </w:t>
      </w:r>
      <w:r>
        <w:rPr>
          <w:rFonts w:ascii="Palatino Linotype" w:eastAsia="Palatino Linotype" w:hAnsi="Palatino Linotype" w:cs="Palatino Linotype"/>
          <w:b/>
          <w:color w:val="000000"/>
          <w:sz w:val="18"/>
          <w:szCs w:val="18"/>
        </w:rPr>
        <w:t>considerando</w:t>
      </w:r>
      <w:r>
        <w:rPr>
          <w:rFonts w:ascii="Palatino Linotype" w:eastAsia="Palatino Linotype" w:hAnsi="Palatino Linotype" w:cs="Palatino Linotype"/>
          <w:color w:val="000000"/>
          <w:sz w:val="18"/>
          <w:szCs w:val="18"/>
        </w:rPr>
        <w:t>: (…)</w:t>
      </w:r>
    </w:p>
    <w:p w:rsidR="007B4405" w:rsidRDefault="007B4405">
      <w:pPr>
        <w:pBdr>
          <w:top w:val="nil"/>
          <w:left w:val="nil"/>
          <w:bottom w:val="nil"/>
          <w:right w:val="nil"/>
          <w:between w:val="nil"/>
        </w:pBdr>
        <w:rPr>
          <w:rFonts w:ascii="Calibri" w:eastAsia="Calibri" w:hAnsi="Calibri" w:cs="Calibri"/>
          <w:color w:val="000000"/>
          <w:sz w:val="20"/>
          <w:szCs w:val="20"/>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05" w:rsidRDefault="007B4405">
    <w:pPr>
      <w:widowControl w:val="0"/>
      <w:pBdr>
        <w:top w:val="nil"/>
        <w:left w:val="nil"/>
        <w:bottom w:val="nil"/>
        <w:right w:val="nil"/>
        <w:between w:val="nil"/>
      </w:pBdr>
      <w:spacing w:line="276" w:lineRule="auto"/>
      <w:rPr>
        <w:rFonts w:ascii="Calibri" w:eastAsia="Calibri" w:hAnsi="Calibri" w:cs="Calibri"/>
        <w:color w:val="000000"/>
      </w:rPr>
    </w:pPr>
  </w:p>
  <w:tbl>
    <w:tblPr>
      <w:tblStyle w:val="afa"/>
      <w:tblW w:w="5528" w:type="dxa"/>
      <w:tblInd w:w="3261" w:type="dxa"/>
      <w:tblLayout w:type="fixed"/>
      <w:tblLook w:val="0400" w:firstRow="0" w:lastRow="0" w:firstColumn="0" w:lastColumn="0" w:noHBand="0" w:noVBand="1"/>
    </w:tblPr>
    <w:tblGrid>
      <w:gridCol w:w="2551"/>
      <w:gridCol w:w="2977"/>
    </w:tblGrid>
    <w:tr w:rsidR="007B4405">
      <w:tc>
        <w:tcPr>
          <w:tcW w:w="2551" w:type="dxa"/>
          <w:vAlign w:val="center"/>
        </w:tcPr>
        <w:p w:rsidR="007B4405" w:rsidRDefault="00CE4C8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77" w:type="dxa"/>
          <w:vAlign w:val="center"/>
        </w:tcPr>
        <w:p w:rsidR="007B4405" w:rsidRDefault="00CE4C8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16799/INFOEM/IP/RR/2022 y acumulados.</w:t>
          </w:r>
        </w:p>
      </w:tc>
    </w:tr>
    <w:tr w:rsidR="007B4405">
      <w:trPr>
        <w:trHeight w:val="228"/>
      </w:trPr>
      <w:tc>
        <w:tcPr>
          <w:tcW w:w="2551" w:type="dxa"/>
          <w:vAlign w:val="center"/>
        </w:tcPr>
        <w:p w:rsidR="007B4405" w:rsidRDefault="00CE4C8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2977" w:type="dxa"/>
          <w:vAlign w:val="center"/>
        </w:tcPr>
        <w:p w:rsidR="007B4405" w:rsidRDefault="00CE4C8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Ayuntamiento de Toluca </w:t>
          </w:r>
        </w:p>
      </w:tc>
    </w:tr>
    <w:tr w:rsidR="007B4405">
      <w:tc>
        <w:tcPr>
          <w:tcW w:w="2551" w:type="dxa"/>
          <w:vAlign w:val="center"/>
        </w:tcPr>
        <w:p w:rsidR="007B4405" w:rsidRDefault="00CE4C8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2977" w:type="dxa"/>
          <w:vAlign w:val="center"/>
        </w:tcPr>
        <w:p w:rsidR="007B4405" w:rsidRDefault="00CE4C85">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7B4405" w:rsidRDefault="00CE4C85">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lang w:eastAsia="es-MX"/>
      </w:rPr>
      <w:drawing>
        <wp:anchor distT="0" distB="0" distL="0" distR="0" simplePos="0" relativeHeight="251658240" behindDoc="1" locked="0" layoutInCell="1" hidden="0" allowOverlap="1">
          <wp:simplePos x="0" y="0"/>
          <wp:positionH relativeFrom="column">
            <wp:posOffset>-695766</wp:posOffset>
          </wp:positionH>
          <wp:positionV relativeFrom="paragraph">
            <wp:posOffset>-1200941</wp:posOffset>
          </wp:positionV>
          <wp:extent cx="7809876" cy="10165823"/>
          <wp:effectExtent l="0" t="0" r="0" b="0"/>
          <wp:wrapNone/>
          <wp:docPr id="8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05" w:rsidRDefault="00CE4C85">
    <w:pPr>
      <w:pBdr>
        <w:top w:val="nil"/>
        <w:left w:val="nil"/>
        <w:bottom w:val="nil"/>
        <w:right w:val="nil"/>
        <w:between w:val="nil"/>
      </w:pBdr>
      <w:tabs>
        <w:tab w:val="center" w:pos="4252"/>
        <w:tab w:val="right" w:pos="8504"/>
      </w:tabs>
      <w:jc w:val="both"/>
      <w:rPr>
        <w:rFonts w:ascii="Calibri" w:eastAsia="Calibri" w:hAnsi="Calibri" w:cs="Calibri"/>
        <w:color w:val="000000"/>
      </w:rPr>
    </w:pPr>
    <w:r>
      <w:rPr>
        <w:noProof/>
        <w:lang w:eastAsia="es-MX"/>
      </w:rPr>
      <w:drawing>
        <wp:anchor distT="0" distB="0" distL="0" distR="0" simplePos="0" relativeHeight="251659264" behindDoc="1" locked="0" layoutInCell="1" hidden="0" allowOverlap="1">
          <wp:simplePos x="0" y="0"/>
          <wp:positionH relativeFrom="column">
            <wp:posOffset>-846156</wp:posOffset>
          </wp:positionH>
          <wp:positionV relativeFrom="paragraph">
            <wp:posOffset>-171227</wp:posOffset>
          </wp:positionV>
          <wp:extent cx="7809876" cy="10165823"/>
          <wp:effectExtent l="0" t="0" r="0" b="0"/>
          <wp:wrapNone/>
          <wp:docPr id="1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f9"/>
      <w:tblW w:w="5670" w:type="dxa"/>
      <w:tblInd w:w="3119" w:type="dxa"/>
      <w:tblLayout w:type="fixed"/>
      <w:tblLook w:val="0400" w:firstRow="0" w:lastRow="0" w:firstColumn="0" w:lastColumn="0" w:noHBand="0" w:noVBand="1"/>
    </w:tblPr>
    <w:tblGrid>
      <w:gridCol w:w="2551"/>
      <w:gridCol w:w="3119"/>
    </w:tblGrid>
    <w:tr w:rsidR="007B4405">
      <w:tc>
        <w:tcPr>
          <w:tcW w:w="2551" w:type="dxa"/>
          <w:vAlign w:val="center"/>
        </w:tcPr>
        <w:p w:rsidR="007B4405" w:rsidRDefault="00CE4C8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rsidR="007B4405" w:rsidRDefault="00CE4C8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16799/INFOEM/IP/RR/2022 y acumulados. </w:t>
          </w:r>
        </w:p>
      </w:tc>
    </w:tr>
    <w:tr w:rsidR="007B4405">
      <w:tc>
        <w:tcPr>
          <w:tcW w:w="2551" w:type="dxa"/>
          <w:vAlign w:val="center"/>
        </w:tcPr>
        <w:p w:rsidR="007B4405" w:rsidRDefault="00CE4C85">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rsidR="007B4405" w:rsidRDefault="00924E20" w:rsidP="00924E20">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XXXXXX XXXXX XXXX</w:t>
          </w:r>
        </w:p>
      </w:tc>
    </w:tr>
    <w:tr w:rsidR="007B4405">
      <w:trPr>
        <w:trHeight w:val="228"/>
      </w:trPr>
      <w:tc>
        <w:tcPr>
          <w:tcW w:w="2551" w:type="dxa"/>
          <w:vAlign w:val="center"/>
        </w:tcPr>
        <w:p w:rsidR="007B4405" w:rsidRDefault="00CE4C8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rsidR="007B4405" w:rsidRDefault="00CE4C85">
          <w:pPr>
            <w:ind w:right="27"/>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7B4405">
      <w:tc>
        <w:tcPr>
          <w:tcW w:w="2551" w:type="dxa"/>
          <w:vAlign w:val="center"/>
        </w:tcPr>
        <w:p w:rsidR="007B4405" w:rsidRDefault="00CE4C8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rsidR="007B4405" w:rsidRDefault="00CE4C85">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7B4405" w:rsidRDefault="007B4405">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05" w:rsidRDefault="00CE4C85">
    <w:pPr>
      <w:pBdr>
        <w:top w:val="nil"/>
        <w:left w:val="nil"/>
        <w:bottom w:val="nil"/>
        <w:right w:val="nil"/>
        <w:between w:val="nil"/>
      </w:pBdr>
      <w:tabs>
        <w:tab w:val="center" w:pos="4252"/>
        <w:tab w:val="right" w:pos="8504"/>
      </w:tabs>
      <w:jc w:val="both"/>
      <w:rPr>
        <w:rFonts w:ascii="Calibri" w:eastAsia="Calibri" w:hAnsi="Calibri" w:cs="Calibri"/>
        <w:color w:val="000000"/>
      </w:rPr>
    </w:pPr>
    <w:r>
      <w:rPr>
        <w:rFonts w:ascii="Calibri" w:eastAsia="Calibri" w:hAnsi="Calibri" w:cs="Calibri"/>
        <w:color w:val="000000"/>
      </w:rPr>
      <w:t xml:space="preserve">                                  </w:t>
    </w:r>
  </w:p>
  <w:p w:rsidR="007B4405" w:rsidRDefault="007B4405">
    <w:pPr>
      <w:pBdr>
        <w:top w:val="nil"/>
        <w:left w:val="nil"/>
        <w:bottom w:val="nil"/>
        <w:right w:val="nil"/>
        <w:between w:val="nil"/>
      </w:pBdr>
      <w:tabs>
        <w:tab w:val="center" w:pos="4252"/>
        <w:tab w:val="right" w:pos="8504"/>
      </w:tabs>
      <w:rPr>
        <w:rFonts w:ascii="Calibri" w:eastAsia="Calibri" w:hAnsi="Calibri" w:cs="Calibri"/>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14074E"/>
    <w:multiLevelType w:val="multilevel"/>
    <w:tmpl w:val="DA84B432"/>
    <w:lvl w:ilvl="0">
      <w:start w:val="1"/>
      <w:numFmt w:val="bullet"/>
      <w:lvlText w:val="●"/>
      <w:lvlJc w:val="left"/>
      <w:pPr>
        <w:ind w:left="720" w:hanging="360"/>
      </w:pPr>
      <w:rPr>
        <w:rFonts w:ascii="Noto Sans Symbols" w:eastAsia="Noto Sans Symbols" w:hAnsi="Noto Sans Symbols" w:cs="Noto Sans Symbols"/>
        <w:strike w:val="0"/>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29B6595F"/>
    <w:multiLevelType w:val="multilevel"/>
    <w:tmpl w:val="BC221878"/>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
    <w:nsid w:val="4D114AD9"/>
    <w:multiLevelType w:val="multilevel"/>
    <w:tmpl w:val="377622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748F6D99"/>
    <w:multiLevelType w:val="multilevel"/>
    <w:tmpl w:val="B5540B3A"/>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793C3876"/>
    <w:multiLevelType w:val="multilevel"/>
    <w:tmpl w:val="92B0D63A"/>
    <w:lvl w:ilvl="0">
      <w:start w:val="1"/>
      <w:numFmt w:val="lowerLetter"/>
      <w:lvlText w:val="%1)"/>
      <w:lvlJc w:val="left"/>
      <w:pPr>
        <w:ind w:left="1974" w:hanging="84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5">
    <w:nsid w:val="7F9436FF"/>
    <w:multiLevelType w:val="multilevel"/>
    <w:tmpl w:val="3CB66F28"/>
    <w:lvl w:ilvl="0">
      <w:start w:val="1"/>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1"/>
  </w:num>
  <w:num w:numId="3">
    <w:abstractNumId w:val="4"/>
  </w:num>
  <w:num w:numId="4">
    <w:abstractNumId w:val="5"/>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4405"/>
    <w:rsid w:val="00101F53"/>
    <w:rsid w:val="001065A9"/>
    <w:rsid w:val="002057ED"/>
    <w:rsid w:val="00215E16"/>
    <w:rsid w:val="00424BFE"/>
    <w:rsid w:val="004C3613"/>
    <w:rsid w:val="007B4405"/>
    <w:rsid w:val="0084756D"/>
    <w:rsid w:val="008D6F03"/>
    <w:rsid w:val="00924E20"/>
    <w:rsid w:val="00A44ABE"/>
    <w:rsid w:val="00A760FF"/>
    <w:rsid w:val="00A8439B"/>
    <w:rsid w:val="00BC606E"/>
    <w:rsid w:val="00CE4C85"/>
    <w:rsid w:val="00DD4104"/>
    <w:rsid w:val="00EA770E"/>
    <w:rsid w:val="00F05B69"/>
    <w:rsid w:val="00FD18A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EBD5229-ED06-47C2-A44E-EA2D3BEFA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42A3"/>
    <w:rPr>
      <w:lang w:eastAsia="es-ES"/>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591A48"/>
    <w:rPr>
      <w:rFonts w:eastAsiaTheme="minorEastAsia"/>
      <w:sz w:val="24"/>
      <w:szCs w:val="24"/>
      <w:lang w:val="es-ES_tradnl" w:eastAsia="es-ES"/>
    </w:rPr>
  </w:style>
  <w:style w:type="paragraph" w:styleId="Piedepgina">
    <w:name w:val="footer"/>
    <w:basedOn w:val="Normal"/>
    <w:link w:val="Piedepgina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591A48"/>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91A48"/>
    <w:rPr>
      <w:rFonts w:ascii="Times New Roman" w:eastAsia="Times New Roman" w:hAnsi="Times New Roman" w:cs="Times New Roman"/>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591A48"/>
    <w:pPr>
      <w:ind w:left="708"/>
    </w:pPr>
    <w:rPr>
      <w:sz w:val="22"/>
      <w:szCs w:val="22"/>
      <w:lang w:eastAsia="en-US"/>
    </w:rPr>
  </w:style>
  <w:style w:type="table" w:styleId="Tablaconcuadrcula">
    <w:name w:val="Table Grid"/>
    <w:basedOn w:val="Tablanormal"/>
    <w:uiPriority w:val="39"/>
    <w:rsid w:val="00591A48"/>
    <w:rPr>
      <w:rFonts w:eastAsiaTheme="minorEastAsia"/>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xtrun">
    <w:name w:val="normaltextrun"/>
    <w:basedOn w:val="Fuentedeprrafopredeter"/>
    <w:rsid w:val="00591A48"/>
  </w:style>
  <w:style w:type="character" w:customStyle="1" w:styleId="apple-converted-space">
    <w:name w:val="apple-converted-space"/>
    <w:basedOn w:val="Fuentedeprrafopredeter"/>
    <w:rsid w:val="00591A48"/>
  </w:style>
  <w:style w:type="character" w:styleId="Hipervnculo">
    <w:name w:val="Hyperlink"/>
    <w:basedOn w:val="Fuentedeprrafopredeter"/>
    <w:uiPriority w:val="99"/>
    <w:unhideWhenUsed/>
    <w:rsid w:val="00591A48"/>
    <w:rPr>
      <w:color w:val="0000FF"/>
      <w:u w:val="single"/>
    </w:rPr>
  </w:style>
  <w:style w:type="paragraph" w:styleId="NormalWeb">
    <w:name w:val="Normal (Web)"/>
    <w:basedOn w:val="Normal"/>
    <w:uiPriority w:val="99"/>
    <w:unhideWhenUsed/>
    <w:rsid w:val="00591A48"/>
    <w:pPr>
      <w:spacing w:before="100" w:beforeAutospacing="1" w:after="100" w:afterAutospacing="1"/>
    </w:pPr>
    <w:rPr>
      <w:lang w:eastAsia="es-MX"/>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591A4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591A48"/>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591A48"/>
    <w:rPr>
      <w:vertAlign w:val="superscript"/>
    </w:rPr>
  </w:style>
  <w:style w:type="character" w:styleId="Refdecomentario">
    <w:name w:val="annotation reference"/>
    <w:basedOn w:val="Fuentedeprrafopredeter"/>
    <w:uiPriority w:val="99"/>
    <w:semiHidden/>
    <w:unhideWhenUsed/>
    <w:rsid w:val="00D33422"/>
    <w:rPr>
      <w:sz w:val="16"/>
      <w:szCs w:val="16"/>
    </w:rPr>
  </w:style>
  <w:style w:type="paragraph" w:styleId="Textocomentario">
    <w:name w:val="annotation text"/>
    <w:basedOn w:val="Normal"/>
    <w:link w:val="TextocomentarioCar"/>
    <w:uiPriority w:val="99"/>
    <w:semiHidden/>
    <w:unhideWhenUsed/>
    <w:rsid w:val="00D33422"/>
    <w:rPr>
      <w:sz w:val="20"/>
      <w:szCs w:val="20"/>
    </w:rPr>
  </w:style>
  <w:style w:type="character" w:customStyle="1" w:styleId="TextocomentarioCar">
    <w:name w:val="Texto comentario Car"/>
    <w:basedOn w:val="Fuentedeprrafopredeter"/>
    <w:link w:val="Textocomentario"/>
    <w:uiPriority w:val="99"/>
    <w:semiHidden/>
    <w:rsid w:val="00D33422"/>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33422"/>
    <w:rPr>
      <w:b/>
      <w:bCs/>
    </w:rPr>
  </w:style>
  <w:style w:type="character" w:customStyle="1" w:styleId="AsuntodelcomentarioCar">
    <w:name w:val="Asunto del comentario Car"/>
    <w:basedOn w:val="TextocomentarioCar"/>
    <w:link w:val="Asuntodelcomentario"/>
    <w:uiPriority w:val="99"/>
    <w:semiHidden/>
    <w:rsid w:val="00D33422"/>
    <w:rPr>
      <w:rFonts w:ascii="Times New Roman" w:eastAsia="Times New Roman" w:hAnsi="Times New Roman" w:cs="Times New Roman"/>
      <w:b/>
      <w:bCs/>
      <w:sz w:val="20"/>
      <w:szCs w:val="20"/>
      <w:lang w:val="es-ES" w:eastAsia="es-ES"/>
    </w:rPr>
  </w:style>
  <w:style w:type="paragraph" w:styleId="Textodeglobo">
    <w:name w:val="Balloon Text"/>
    <w:basedOn w:val="Normal"/>
    <w:link w:val="TextodegloboCar"/>
    <w:uiPriority w:val="99"/>
    <w:semiHidden/>
    <w:unhideWhenUsed/>
    <w:rsid w:val="00D3342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33422"/>
    <w:rPr>
      <w:rFonts w:ascii="Segoe UI" w:eastAsia="Times New Roman" w:hAnsi="Segoe UI" w:cs="Segoe UI"/>
      <w:sz w:val="18"/>
      <w:szCs w:val="18"/>
      <w:lang w:val="es-ES" w:eastAsia="es-ES"/>
    </w:rPr>
  </w:style>
  <w:style w:type="paragraph" w:customStyle="1" w:styleId="paragraph">
    <w:name w:val="paragraph"/>
    <w:basedOn w:val="Normal"/>
    <w:rsid w:val="00225930"/>
    <w:pPr>
      <w:spacing w:before="100" w:beforeAutospacing="1" w:after="100" w:afterAutospacing="1"/>
    </w:pPr>
    <w:rPr>
      <w:lang w:eastAsia="es-MX"/>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4"/>
    <w:tblPr>
      <w:tblStyleRowBandSize w:val="1"/>
      <w:tblStyleColBandSize w:val="1"/>
      <w:tblCellMar>
        <w:top w:w="0" w:type="dxa"/>
        <w:left w:w="115" w:type="dxa"/>
        <w:bottom w:w="0" w:type="dxa"/>
        <w:right w:w="115" w:type="dxa"/>
      </w:tblCellMar>
    </w:tblPr>
  </w:style>
  <w:style w:type="table" w:customStyle="1" w:styleId="a0">
    <w:basedOn w:val="TableNormal4"/>
    <w:tblPr>
      <w:tblStyleRowBandSize w:val="1"/>
      <w:tblStyleColBandSize w:val="1"/>
      <w:tblCellMar>
        <w:top w:w="0" w:type="dxa"/>
        <w:left w:w="115" w:type="dxa"/>
        <w:bottom w:w="0" w:type="dxa"/>
        <w:right w:w="115" w:type="dxa"/>
      </w:tblCellMar>
    </w:tblPr>
  </w:style>
  <w:style w:type="paragraph" w:styleId="Sinespaciado">
    <w:name w:val="No Spacing"/>
    <w:aliases w:val="Francesa,INAI"/>
    <w:link w:val="SinespaciadoCar"/>
    <w:uiPriority w:val="1"/>
    <w:qFormat/>
    <w:rsid w:val="000039DE"/>
    <w:rPr>
      <w:lang w:eastAsia="es-ES"/>
    </w:rPr>
  </w:style>
  <w:style w:type="character" w:customStyle="1" w:styleId="SinespaciadoCar">
    <w:name w:val="Sin espaciado Car"/>
    <w:aliases w:val="Francesa Car,INAI Car"/>
    <w:link w:val="Sinespaciado"/>
    <w:uiPriority w:val="1"/>
    <w:locked/>
    <w:rsid w:val="000039DE"/>
    <w:rPr>
      <w:lang w:val="es-MX" w:eastAsia="es-ES"/>
    </w:rPr>
  </w:style>
  <w:style w:type="table" w:customStyle="1" w:styleId="a1">
    <w:basedOn w:val="TableNormal4"/>
    <w:tblPr>
      <w:tblStyleRowBandSize w:val="1"/>
      <w:tblStyleColBandSize w:val="1"/>
      <w:tblCellMar>
        <w:top w:w="0" w:type="dxa"/>
        <w:left w:w="108" w:type="dxa"/>
        <w:bottom w:w="0" w:type="dxa"/>
        <w:right w:w="108" w:type="dxa"/>
      </w:tblCellMar>
    </w:tblPr>
  </w:style>
  <w:style w:type="table" w:customStyle="1" w:styleId="a2">
    <w:basedOn w:val="TableNormal4"/>
    <w:tblPr>
      <w:tblStyleRowBandSize w:val="1"/>
      <w:tblStyleColBandSize w:val="1"/>
      <w:tblCellMar>
        <w:top w:w="0" w:type="dxa"/>
        <w:left w:w="108" w:type="dxa"/>
        <w:bottom w:w="0" w:type="dxa"/>
        <w:right w:w="108" w:type="dxa"/>
      </w:tblCellMar>
    </w:tblPr>
  </w:style>
  <w:style w:type="table" w:customStyle="1" w:styleId="a3">
    <w:basedOn w:val="TableNormal4"/>
    <w:tblPr>
      <w:tblStyleRowBandSize w:val="1"/>
      <w:tblStyleColBandSize w:val="1"/>
      <w:tblCellMar>
        <w:top w:w="0" w:type="dxa"/>
        <w:left w:w="115" w:type="dxa"/>
        <w:bottom w:w="0" w:type="dxa"/>
        <w:right w:w="115" w:type="dxa"/>
      </w:tblCellMar>
    </w:tblPr>
  </w:style>
  <w:style w:type="table" w:customStyle="1" w:styleId="a4">
    <w:basedOn w:val="TableNormal4"/>
    <w:tblPr>
      <w:tblStyleRowBandSize w:val="1"/>
      <w:tblStyleColBandSize w:val="1"/>
      <w:tblCellMar>
        <w:top w:w="0" w:type="dxa"/>
        <w:left w:w="115" w:type="dxa"/>
        <w:bottom w:w="0" w:type="dxa"/>
        <w:right w:w="115" w:type="dxa"/>
      </w:tblCellMar>
    </w:tblPr>
  </w:style>
  <w:style w:type="table" w:customStyle="1" w:styleId="a5">
    <w:basedOn w:val="TableNormal3"/>
    <w:tblPr>
      <w:tblStyleRowBandSize w:val="1"/>
      <w:tblStyleColBandSize w:val="1"/>
      <w:tblCellMar>
        <w:top w:w="0" w:type="dxa"/>
        <w:left w:w="115" w:type="dxa"/>
        <w:bottom w:w="0" w:type="dxa"/>
        <w:right w:w="115" w:type="dxa"/>
      </w:tblCellMar>
    </w:tblPr>
  </w:style>
  <w:style w:type="table" w:customStyle="1" w:styleId="a6">
    <w:basedOn w:val="TableNormal3"/>
    <w:tblPr>
      <w:tblStyleRowBandSize w:val="1"/>
      <w:tblStyleColBandSize w:val="1"/>
      <w:tblCellMar>
        <w:top w:w="0" w:type="dxa"/>
        <w:left w:w="115" w:type="dxa"/>
        <w:bottom w:w="0" w:type="dxa"/>
        <w:right w:w="115" w:type="dxa"/>
      </w:tblCellMar>
    </w:tblPr>
  </w:style>
  <w:style w:type="table" w:customStyle="1" w:styleId="a7">
    <w:basedOn w:val="TableNormal3"/>
    <w:tblPr>
      <w:tblStyleRowBandSize w:val="1"/>
      <w:tblStyleColBandSize w:val="1"/>
      <w:tblCellMar>
        <w:top w:w="0" w:type="dxa"/>
        <w:left w:w="115" w:type="dxa"/>
        <w:bottom w:w="0" w:type="dxa"/>
        <w:right w:w="115" w:type="dxa"/>
      </w:tblCellMar>
    </w:tblPr>
  </w:style>
  <w:style w:type="table" w:customStyle="1" w:styleId="a8">
    <w:basedOn w:val="TableNormal3"/>
    <w:tblPr>
      <w:tblStyleRowBandSize w:val="1"/>
      <w:tblStyleColBandSize w:val="1"/>
      <w:tblCellMar>
        <w:top w:w="0" w:type="dxa"/>
        <w:left w:w="115" w:type="dxa"/>
        <w:bottom w:w="0" w:type="dxa"/>
        <w:right w:w="115" w:type="dxa"/>
      </w:tblCellMar>
    </w:tblPr>
  </w:style>
  <w:style w:type="table" w:customStyle="1" w:styleId="a9">
    <w:basedOn w:val="TableNormal3"/>
    <w:tblPr>
      <w:tblStyleRowBandSize w:val="1"/>
      <w:tblStyleColBandSize w:val="1"/>
      <w:tblCellMar>
        <w:top w:w="0" w:type="dxa"/>
        <w:left w:w="115" w:type="dxa"/>
        <w:bottom w:w="0" w:type="dxa"/>
        <w:right w:w="115" w:type="dxa"/>
      </w:tblCellMar>
    </w:tblPr>
  </w:style>
  <w:style w:type="table" w:customStyle="1" w:styleId="aa">
    <w:basedOn w:val="TableNormal2"/>
    <w:tblPr>
      <w:tblStyleRowBandSize w:val="1"/>
      <w:tblStyleColBandSize w:val="1"/>
      <w:tblCellMar>
        <w:top w:w="0" w:type="dxa"/>
        <w:left w:w="115" w:type="dxa"/>
        <w:bottom w:w="0" w:type="dxa"/>
        <w:right w:w="115" w:type="dxa"/>
      </w:tblCellMar>
    </w:tblPr>
  </w:style>
  <w:style w:type="table" w:customStyle="1" w:styleId="ab">
    <w:basedOn w:val="TableNormal2"/>
    <w:tblPr>
      <w:tblStyleRowBandSize w:val="1"/>
      <w:tblStyleColBandSize w:val="1"/>
      <w:tblCellMar>
        <w:top w:w="0" w:type="dxa"/>
        <w:left w:w="115" w:type="dxa"/>
        <w:bottom w:w="0" w:type="dxa"/>
        <w:right w:w="115" w:type="dxa"/>
      </w:tblCellMar>
    </w:tblPr>
  </w:style>
  <w:style w:type="table" w:customStyle="1" w:styleId="ac">
    <w:basedOn w:val="TableNormal2"/>
    <w:tblPr>
      <w:tblStyleRowBandSize w:val="1"/>
      <w:tblStyleColBandSize w:val="1"/>
      <w:tblCellMar>
        <w:top w:w="0" w:type="dxa"/>
        <w:left w:w="115" w:type="dxa"/>
        <w:bottom w:w="0" w:type="dxa"/>
        <w:right w:w="115" w:type="dxa"/>
      </w:tblCellMar>
    </w:tblPr>
  </w:style>
  <w:style w:type="table" w:customStyle="1" w:styleId="Tabladelista1clara-nfasis11">
    <w:name w:val="Tabla de lista 1 clara - Énfasis 11"/>
    <w:basedOn w:val="Tablanormal"/>
    <w:uiPriority w:val="46"/>
    <w:rsid w:val="006D213A"/>
    <w:rPr>
      <w:rFonts w:asciiTheme="minorHAnsi" w:eastAsia="MS Mincho" w:hAnsiTheme="minorHAnsi" w:cstheme="minorBidi"/>
      <w:lang w:val="es-ES_tradnl" w:eastAsia="es-ES"/>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ad">
    <w:basedOn w:val="TableNormal1"/>
    <w:tblPr>
      <w:tblStyleRowBandSize w:val="1"/>
      <w:tblStyleColBandSize w:val="1"/>
      <w:tblCellMar>
        <w:top w:w="0" w:type="dxa"/>
        <w:left w:w="115" w:type="dxa"/>
        <w:bottom w:w="0" w:type="dxa"/>
        <w:right w:w="115" w:type="dxa"/>
      </w:tblCellMar>
    </w:tblPr>
  </w:style>
  <w:style w:type="table" w:customStyle="1" w:styleId="ae">
    <w:basedOn w:val="TableNormal1"/>
    <w:rPr>
      <w:rFonts w:ascii="Calibri" w:eastAsia="Calibri" w:hAnsi="Calibri" w:cs="Calibri"/>
    </w:rPr>
    <w:tblPr>
      <w:tblStyleRowBandSize w:val="1"/>
      <w:tblStyleColBandSize w:val="1"/>
      <w:tblCellMar>
        <w:top w:w="0" w:type="dxa"/>
        <w:left w:w="108" w:type="dxa"/>
        <w:bottom w:w="0"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
    <w:basedOn w:val="TableNormal1"/>
    <w:tblPr>
      <w:tblStyleRowBandSize w:val="1"/>
      <w:tblStyleColBandSize w:val="1"/>
      <w:tblCellMar>
        <w:top w:w="0" w:type="dxa"/>
        <w:left w:w="115" w:type="dxa"/>
        <w:bottom w:w="0" w:type="dxa"/>
        <w:right w:w="115" w:type="dxa"/>
      </w:tblCellMar>
    </w:tblPr>
  </w:style>
  <w:style w:type="table" w:customStyle="1" w:styleId="af0">
    <w:basedOn w:val="TableNormal1"/>
    <w:tblPr>
      <w:tblStyleRowBandSize w:val="1"/>
      <w:tblStyleColBandSize w:val="1"/>
      <w:tblCellMar>
        <w:top w:w="0" w:type="dxa"/>
        <w:left w:w="115" w:type="dxa"/>
        <w:bottom w:w="0" w:type="dxa"/>
        <w:right w:w="115" w:type="dxa"/>
      </w:tblCellMar>
    </w:tblPr>
  </w:style>
  <w:style w:type="character" w:customStyle="1" w:styleId="Mencinsinresolver1">
    <w:name w:val="Mención sin resolver1"/>
    <w:basedOn w:val="Fuentedeprrafopredeter"/>
    <w:uiPriority w:val="99"/>
    <w:semiHidden/>
    <w:unhideWhenUsed/>
    <w:rsid w:val="00E44466"/>
    <w:rPr>
      <w:color w:val="605E5C"/>
      <w:shd w:val="clear" w:color="auto" w:fill="E1DFDD"/>
    </w:rPr>
  </w:style>
  <w:style w:type="character" w:styleId="Hipervnculovisitado">
    <w:name w:val="FollowedHyperlink"/>
    <w:basedOn w:val="Fuentedeprrafopredeter"/>
    <w:uiPriority w:val="99"/>
    <w:semiHidden/>
    <w:unhideWhenUsed/>
    <w:rsid w:val="00E44466"/>
    <w:rPr>
      <w:color w:val="954F72" w:themeColor="followedHyperlink"/>
      <w:u w:val="single"/>
    </w:rPr>
  </w:style>
  <w:style w:type="table" w:customStyle="1" w:styleId="Tablaconcuadrcula1">
    <w:name w:val="Tabla con cuadrícula1"/>
    <w:basedOn w:val="Tablanormal"/>
    <w:next w:val="Tablaconcuadrcula"/>
    <w:uiPriority w:val="59"/>
    <w:rsid w:val="00D61CF5"/>
    <w:rPr>
      <w:rFonts w:asciiTheme="minorHAnsi" w:eastAsiaTheme="minorEastAsia" w:hAnsiTheme="minorHAnsi" w:cstheme="minorBidi"/>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1">
    <w:basedOn w:val="TableNormal0"/>
    <w:tblPr>
      <w:tblStyleRowBandSize w:val="1"/>
      <w:tblStyleColBandSize w:val="1"/>
      <w:tblCellMar>
        <w:top w:w="0" w:type="dxa"/>
        <w:left w:w="115" w:type="dxa"/>
        <w:bottom w:w="0" w:type="dxa"/>
        <w:right w:w="115" w:type="dxa"/>
      </w:tblCellMar>
    </w:tblPr>
  </w:style>
  <w:style w:type="table" w:customStyle="1" w:styleId="af2">
    <w:basedOn w:val="TableNormal0"/>
    <w:tblPr>
      <w:tblStyleRowBandSize w:val="1"/>
      <w:tblStyleColBandSize w:val="1"/>
      <w:tblCellMar>
        <w:top w:w="0" w:type="dxa"/>
        <w:left w:w="115" w:type="dxa"/>
        <w:bottom w:w="0" w:type="dxa"/>
        <w:right w:w="115" w:type="dxa"/>
      </w:tblCellMar>
    </w:tblPr>
  </w:style>
  <w:style w:type="table" w:customStyle="1" w:styleId="af3">
    <w:basedOn w:val="TableNormal0"/>
    <w:tblPr>
      <w:tblStyleRowBandSize w:val="1"/>
      <w:tblStyleColBandSize w:val="1"/>
      <w:tblCellMar>
        <w:top w:w="0" w:type="dxa"/>
        <w:left w:w="115" w:type="dxa"/>
        <w:bottom w:w="0" w:type="dxa"/>
        <w:right w:w="115" w:type="dxa"/>
      </w:tblCellMar>
    </w:tblPr>
  </w:style>
  <w:style w:type="table" w:customStyle="1" w:styleId="af4">
    <w:basedOn w:val="TableNormal0"/>
    <w:tblPr>
      <w:tblStyleRowBandSize w:val="1"/>
      <w:tblStyleColBandSize w:val="1"/>
      <w:tblCellMar>
        <w:top w:w="0" w:type="dxa"/>
        <w:left w:w="115" w:type="dxa"/>
        <w:bottom w:w="0" w:type="dxa"/>
        <w:right w:w="115" w:type="dxa"/>
      </w:tblCellMar>
    </w:tblPr>
  </w:style>
  <w:style w:type="table" w:customStyle="1" w:styleId="af5">
    <w:basedOn w:val="TableNormal0"/>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f6">
    <w:basedOn w:val="TableNormal0"/>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f7">
    <w:basedOn w:val="TableNormal0"/>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f8">
    <w:basedOn w:val="TableNormal0"/>
    <w:tblPr>
      <w:tblStyleRowBandSize w:val="1"/>
      <w:tblStyleColBandSize w:val="1"/>
      <w:tblCellMar>
        <w:top w:w="0" w:type="dxa"/>
        <w:left w:w="115" w:type="dxa"/>
        <w:bottom w:w="0" w:type="dxa"/>
        <w:right w:w="115" w:type="dxa"/>
      </w:tblCellMar>
    </w:tblPr>
  </w:style>
  <w:style w:type="table" w:customStyle="1" w:styleId="af9">
    <w:basedOn w:val="TableNormal0"/>
    <w:tblPr>
      <w:tblStyleRowBandSize w:val="1"/>
      <w:tblStyleColBandSize w:val="1"/>
      <w:tblCellMar>
        <w:top w:w="0" w:type="dxa"/>
        <w:left w:w="115" w:type="dxa"/>
        <w:bottom w:w="0" w:type="dxa"/>
        <w:right w:w="115" w:type="dxa"/>
      </w:tblCellMar>
    </w:tblPr>
  </w:style>
  <w:style w:type="table" w:customStyle="1" w:styleId="afa">
    <w:basedOn w:val="TableNormal0"/>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aimex.org.mx/saimex/solicitud/downloadAttach/1640659.page" TargetMode="External"/><Relationship Id="rId21" Type="http://schemas.openxmlformats.org/officeDocument/2006/relationships/image" Target="media/image4.png"/><Relationship Id="rId42" Type="http://schemas.openxmlformats.org/officeDocument/2006/relationships/hyperlink" Target="https://saimex.org.mx/saimex/solicitud/downloadAttach/1661537.page" TargetMode="External"/><Relationship Id="rId47" Type="http://schemas.openxmlformats.org/officeDocument/2006/relationships/hyperlink" Target="https://saimex.org.mx/saimex/solicitud/downloadAttach/1665492.page" TargetMode="External"/><Relationship Id="rId63" Type="http://schemas.openxmlformats.org/officeDocument/2006/relationships/image" Target="media/image20.png"/><Relationship Id="rId68" Type="http://schemas.openxmlformats.org/officeDocument/2006/relationships/hyperlink" Target="about:blank" TargetMode="External"/><Relationship Id="rId16" Type="http://schemas.openxmlformats.org/officeDocument/2006/relationships/hyperlink" Target="https://saimex.org.mx/saimex/solicitud/downloadAttach/1630398.page" TargetMode="External"/><Relationship Id="rId11" Type="http://schemas.openxmlformats.org/officeDocument/2006/relationships/image" Target="media/image2.png"/><Relationship Id="rId24" Type="http://schemas.openxmlformats.org/officeDocument/2006/relationships/hyperlink" Target="https://saimex.org.mx/saimex/solicitud/downloadAttach/1640657.page" TargetMode="External"/><Relationship Id="rId32" Type="http://schemas.openxmlformats.org/officeDocument/2006/relationships/hyperlink" Target="https://saimex.org.mx/saimex/solicitud/downloadAttach/1640666.page" TargetMode="External"/><Relationship Id="rId37" Type="http://schemas.openxmlformats.org/officeDocument/2006/relationships/hyperlink" Target="https://saimex.org.mx/saimex/solicitud/downloadAttach/1649298.page" TargetMode="External"/><Relationship Id="rId40" Type="http://schemas.openxmlformats.org/officeDocument/2006/relationships/hyperlink" Target="https://saimex.org.mx/saimex/solicitud/downloadAttach/1657978.page" TargetMode="External"/><Relationship Id="rId45" Type="http://schemas.openxmlformats.org/officeDocument/2006/relationships/image" Target="media/image5.png"/><Relationship Id="rId53" Type="http://schemas.openxmlformats.org/officeDocument/2006/relationships/image" Target="media/image11.png"/><Relationship Id="rId58" Type="http://schemas.openxmlformats.org/officeDocument/2006/relationships/image" Target="media/image15.png"/><Relationship Id="rId66" Type="http://schemas.openxmlformats.org/officeDocument/2006/relationships/image" Target="media/image22.png"/><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18.png"/><Relationship Id="rId19" Type="http://schemas.openxmlformats.org/officeDocument/2006/relationships/hyperlink" Target="https://saimex.org.mx/saimex/solicitud/downloadAttach/1630353.page" TargetMode="External"/><Relationship Id="rId14" Type="http://schemas.openxmlformats.org/officeDocument/2006/relationships/hyperlink" Target="https://saimex.org.mx/saimex/solicitud/downloadAttach/1629744.page" TargetMode="External"/><Relationship Id="rId22" Type="http://schemas.openxmlformats.org/officeDocument/2006/relationships/hyperlink" Target="https://saimex.org.mx/saimex/solicitud/downloadAttach/1640655.page" TargetMode="External"/><Relationship Id="rId27" Type="http://schemas.openxmlformats.org/officeDocument/2006/relationships/hyperlink" Target="https://saimex.org.mx/saimex/solicitud/downloadAttach/1640660.page" TargetMode="External"/><Relationship Id="rId30" Type="http://schemas.openxmlformats.org/officeDocument/2006/relationships/hyperlink" Target="https://saimex.org.mx/saimex/solicitud/downloadAttach/1640664.page" TargetMode="External"/><Relationship Id="rId35" Type="http://schemas.openxmlformats.org/officeDocument/2006/relationships/hyperlink" Target="https://saimex.org.mx/saimex/solicitud/downloadAttach/1649296.page" TargetMode="External"/><Relationship Id="rId43" Type="http://schemas.openxmlformats.org/officeDocument/2006/relationships/hyperlink" Target="https://saimex.org.mx/saimex/solicitud/downloadAttach/1666882.page" TargetMode="External"/><Relationship Id="rId48" Type="http://schemas.openxmlformats.org/officeDocument/2006/relationships/image" Target="media/image6.png"/><Relationship Id="rId56" Type="http://schemas.openxmlformats.org/officeDocument/2006/relationships/image" Target="media/image13.png"/><Relationship Id="rId64" Type="http://schemas.openxmlformats.org/officeDocument/2006/relationships/image" Target="media/image21.png"/><Relationship Id="rId69" Type="http://schemas.openxmlformats.org/officeDocument/2006/relationships/image" Target="media/image24.png"/><Relationship Id="rId77" Type="http://schemas.openxmlformats.org/officeDocument/2006/relationships/theme" Target="theme/theme1.xml"/><Relationship Id="rId8" Type="http://schemas.openxmlformats.org/officeDocument/2006/relationships/hyperlink" Target="https://saimex.org.mx/saimex/solicitud/downloadAttach/1629755.page" TargetMode="External"/><Relationship Id="rId51" Type="http://schemas.openxmlformats.org/officeDocument/2006/relationships/image" Target="media/image9.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saimex.org.mx/saimex/solicitud/downloadAttach/1630414.page" TargetMode="External"/><Relationship Id="rId17" Type="http://schemas.openxmlformats.org/officeDocument/2006/relationships/hyperlink" Target="https://saimex.org.mx/saimex/solicitud/downloadAttach/1629741.page" TargetMode="External"/><Relationship Id="rId25" Type="http://schemas.openxmlformats.org/officeDocument/2006/relationships/hyperlink" Target="https://saimex.org.mx/saimex/solicitud/downloadAttach/1640658.page" TargetMode="External"/><Relationship Id="rId33" Type="http://schemas.openxmlformats.org/officeDocument/2006/relationships/hyperlink" Target="https://saimex.org.mx/saimex/solicitud/downloadAttach/1646375.page" TargetMode="External"/><Relationship Id="rId38" Type="http://schemas.openxmlformats.org/officeDocument/2006/relationships/hyperlink" Target="https://saimex.org.mx/saimex/solicitud/downloadAttach/1649299.page" TargetMode="External"/><Relationship Id="rId46" Type="http://schemas.openxmlformats.org/officeDocument/2006/relationships/hyperlink" Target="https://saimex.org.mx/saimex/solicitud/downloadAttach/1665459.page" TargetMode="External"/><Relationship Id="rId59" Type="http://schemas.openxmlformats.org/officeDocument/2006/relationships/image" Target="media/image16.png"/><Relationship Id="rId67" Type="http://schemas.openxmlformats.org/officeDocument/2006/relationships/image" Target="media/image23.png"/><Relationship Id="rId20" Type="http://schemas.openxmlformats.org/officeDocument/2006/relationships/hyperlink" Target="https://saimex.org.mx/saimex/solicitud/downloadAttach/1629783.page" TargetMode="External"/><Relationship Id="rId41" Type="http://schemas.openxmlformats.org/officeDocument/2006/relationships/hyperlink" Target="https://saimex.org.mx/saimex/solicitud/downloadAttach/1657921.page" TargetMode="External"/><Relationship Id="rId54" Type="http://schemas.openxmlformats.org/officeDocument/2006/relationships/hyperlink" Target="https://saimex.org.mx/saimex/solicitud/downloadAttach/1665493.page" TargetMode="External"/><Relationship Id="rId62" Type="http://schemas.openxmlformats.org/officeDocument/2006/relationships/image" Target="media/image19.png"/><Relationship Id="rId70" Type="http://schemas.openxmlformats.org/officeDocument/2006/relationships/image" Target="media/image25.pn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aimex.org.mx/saimex/solicitud/downloadAttach/1630397.page" TargetMode="External"/><Relationship Id="rId23" Type="http://schemas.openxmlformats.org/officeDocument/2006/relationships/hyperlink" Target="https://saimex.org.mx/saimex/solicitud/downloadAttach/1640656.page" TargetMode="External"/><Relationship Id="rId28" Type="http://schemas.openxmlformats.org/officeDocument/2006/relationships/hyperlink" Target="https://saimex.org.mx/saimex/solicitud/downloadAttach/1640661.page" TargetMode="External"/><Relationship Id="rId36" Type="http://schemas.openxmlformats.org/officeDocument/2006/relationships/hyperlink" Target="https://saimex.org.mx/saimex/solicitud/downloadAttach/1649297.page" TargetMode="External"/><Relationship Id="rId49" Type="http://schemas.openxmlformats.org/officeDocument/2006/relationships/image" Target="media/image7.png"/><Relationship Id="rId57" Type="http://schemas.openxmlformats.org/officeDocument/2006/relationships/image" Target="media/image14.png"/><Relationship Id="rId10" Type="http://schemas.openxmlformats.org/officeDocument/2006/relationships/image" Target="media/image1.png"/><Relationship Id="rId31" Type="http://schemas.openxmlformats.org/officeDocument/2006/relationships/hyperlink" Target="https://saimex.org.mx/saimex/solicitud/downloadAttach/1640665.page" TargetMode="External"/><Relationship Id="rId44" Type="http://schemas.openxmlformats.org/officeDocument/2006/relationships/hyperlink" Target="https://saimex.org.mx/saimex/solicitud/downloadAttach/1666886.page" TargetMode="External"/><Relationship Id="rId52" Type="http://schemas.openxmlformats.org/officeDocument/2006/relationships/image" Target="media/image10.png"/><Relationship Id="rId60" Type="http://schemas.openxmlformats.org/officeDocument/2006/relationships/image" Target="media/image17.png"/><Relationship Id="rId65" Type="http://schemas.openxmlformats.org/officeDocument/2006/relationships/hyperlink" Target="https://seunonoticias.net/campana-de-bacheo-toluca-2022-es-real-el-trabajo-240397/" TargetMode="External"/><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saimex.org.mx/saimex/solicitud/downloadAttach/1630413.page" TargetMode="External"/><Relationship Id="rId13" Type="http://schemas.openxmlformats.org/officeDocument/2006/relationships/image" Target="media/image3.png"/><Relationship Id="rId18" Type="http://schemas.openxmlformats.org/officeDocument/2006/relationships/hyperlink" Target="https://saimex.org.mx/saimex/solicitud/downloadAttach/1630352.page" TargetMode="External"/><Relationship Id="rId39" Type="http://schemas.openxmlformats.org/officeDocument/2006/relationships/hyperlink" Target="https://saimex.org.mx/saimex/solicitud/downloadAttach/1655294.page" TargetMode="External"/><Relationship Id="rId34" Type="http://schemas.openxmlformats.org/officeDocument/2006/relationships/hyperlink" Target="https://saimex.org.mx/saimex/solicitud/downloadAttach/1646376.page" TargetMode="External"/><Relationship Id="rId50" Type="http://schemas.openxmlformats.org/officeDocument/2006/relationships/image" Target="media/image8.png"/><Relationship Id="rId55" Type="http://schemas.openxmlformats.org/officeDocument/2006/relationships/image" Target="media/image12.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s://saimex.org.mx/saimex/solicitud/downloadAttach/1640663.pag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vrYA96S+8myv4062zwgLUH2eE1w==">CgMxLjAyCWguMzBqMHpsbDIIaC5namRneHMyCWguMmV0OTJwMDIJaC4xdDNoNXNmMghoLnR5amN3dDgAciExaGRPZnd2VW94LWtoTU12ODA2SEZYZW9NM1VZSW5URWY=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21109</Words>
  <Characters>116103</Characters>
  <Application>Microsoft Office Word</Application>
  <DocSecurity>0</DocSecurity>
  <Lines>967</Lines>
  <Paragraphs>273</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136939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USUARIO</cp:lastModifiedBy>
  <cp:revision>2</cp:revision>
  <cp:lastPrinted>2023-06-16T18:06:00Z</cp:lastPrinted>
  <dcterms:created xsi:type="dcterms:W3CDTF">2023-06-28T22:59:00Z</dcterms:created>
  <dcterms:modified xsi:type="dcterms:W3CDTF">2023-06-28T22:59:00Z</dcterms:modified>
</cp:coreProperties>
</file>