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549A4"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w:t>
      </w:r>
      <w:r w:rsidR="00F2746B">
        <w:rPr>
          <w:rFonts w:ascii="Palatino Linotype" w:eastAsia="Palatino Linotype" w:hAnsi="Palatino Linotype" w:cs="Palatino Linotype"/>
        </w:rPr>
        <w:t>, de fecha diecinueve de abril</w:t>
      </w:r>
      <w:r>
        <w:rPr>
          <w:rFonts w:ascii="Palatino Linotype" w:eastAsia="Palatino Linotype" w:hAnsi="Palatino Linotype" w:cs="Palatino Linotype"/>
        </w:rPr>
        <w:t xml:space="preserve"> del dos mil veintitrés.</w:t>
      </w:r>
    </w:p>
    <w:p w14:paraId="6AC6DD6F"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00654/INFOEM/IP/RR/2023</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que no proporcionó su nombre,</w:t>
      </w:r>
      <w:r>
        <w:rPr>
          <w:rFonts w:ascii="Palatino Linotype" w:eastAsia="Palatino Linotype" w:hAnsi="Palatino Linotype" w:cs="Palatino Linotype"/>
        </w:rPr>
        <w:t xml:space="preserve"> lo sucesivo se le denominara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00014/ATIZAPAN/IP/2023,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Atizapán,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6A29E8C0" w14:textId="77777777" w:rsidR="007239E3" w:rsidRDefault="0008579E">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64D310A6"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dieciocho de enero del dos mil veintitrés,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03296A9" w14:textId="77777777" w:rsidR="007239E3" w:rsidRDefault="0008579E">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“Monto gastado para la decoración de Navidad en el centro, con facturas o comprobantes de pago” (Sic)</w:t>
      </w:r>
    </w:p>
    <w:p w14:paraId="7FCA8983"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80A68AB"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tres de febrero del dos mil veintitrés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625E282F" w14:textId="77777777" w:rsidR="007239E3" w:rsidRDefault="0008579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 fundamento en los Art. 50, 51, 53, 55, 56, 57 y 59 de la Ley de Transparencia y Acceso a la Información Pública del Estado de México y </w:t>
      </w:r>
      <w:r>
        <w:rPr>
          <w:rFonts w:ascii="Palatino Linotype" w:eastAsia="Palatino Linotype" w:hAnsi="Palatino Linotype" w:cs="Palatino Linotype"/>
          <w:i/>
          <w:color w:val="000000"/>
          <w:sz w:val="22"/>
          <w:szCs w:val="22"/>
        </w:rPr>
        <w:lastRenderedPageBreak/>
        <w:t>Municipios, compete a este ayuntamiento conocer y resolver la presente solicitud de acceso a la información. A continuación, se entrega la información con la que cuenta este sujeto obligado.</w:t>
      </w:r>
    </w:p>
    <w:p w14:paraId="51387887" w14:textId="77777777" w:rsidR="007239E3" w:rsidRDefault="0008579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7E74AAA1" w14:textId="77777777" w:rsidR="007239E3" w:rsidRDefault="0008579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 P. Ralph Bastida Muñoz” (Sic)</w:t>
      </w:r>
    </w:p>
    <w:p w14:paraId="5CC2EFA7" w14:textId="77777777" w:rsidR="007239E3" w:rsidRDefault="007239E3">
      <w:pPr>
        <w:ind w:right="902"/>
        <w:jc w:val="both"/>
        <w:rPr>
          <w:rFonts w:ascii="Palatino Linotype" w:eastAsia="Palatino Linotype" w:hAnsi="Palatino Linotype" w:cs="Palatino Linotype"/>
          <w:i/>
          <w:color w:val="000000"/>
        </w:rPr>
      </w:pPr>
    </w:p>
    <w:p w14:paraId="3D70BB9A"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denominado “</w:t>
      </w:r>
      <w:hyperlink r:id="rId8">
        <w:r>
          <w:rPr>
            <w:rFonts w:ascii="Palatino Linotype" w:eastAsia="Palatino Linotype" w:hAnsi="Palatino Linotype" w:cs="Palatino Linotype"/>
          </w:rPr>
          <w:t>14IP2023.pdf</w:t>
        </w:r>
      </w:hyperlink>
      <w:r>
        <w:rPr>
          <w:rFonts w:ascii="Palatino Linotype" w:eastAsia="Palatino Linotype" w:hAnsi="Palatino Linotype" w:cs="Palatino Linotype"/>
        </w:rPr>
        <w:t xml:space="preserve">”; el cual contiene un listado del neto pagado a los servidores públicos del Ayuntamiento de Atizapán, de la primera quincena del mes de enero del año en curso.  </w:t>
      </w:r>
    </w:p>
    <w:p w14:paraId="28D9C5EF" w14:textId="77777777" w:rsidR="007239E3" w:rsidRDefault="007239E3">
      <w:pPr>
        <w:spacing w:line="360" w:lineRule="auto"/>
        <w:jc w:val="both"/>
      </w:pPr>
    </w:p>
    <w:p w14:paraId="458B2423"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Inconforme</w:t>
      </w:r>
      <w:r>
        <w:rPr>
          <w:rFonts w:ascii="Palatino Linotype" w:eastAsia="Palatino Linotype" w:hAnsi="Palatino Linotype" w:cs="Palatino Linotype"/>
          <w:sz w:val="36"/>
          <w:szCs w:val="36"/>
        </w:rPr>
        <w:t xml:space="preserve"> </w:t>
      </w:r>
      <w:r>
        <w:rPr>
          <w:rFonts w:ascii="Palatino Linotype" w:eastAsia="Palatino Linotype" w:hAnsi="Palatino Linotype" w:cs="Palatino Linotype"/>
        </w:rPr>
        <w:t xml:space="preserve">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ocho de febrero del dos mil veintitrés, a través del cual expresó lo siguiente:</w:t>
      </w:r>
    </w:p>
    <w:p w14:paraId="05F6230B" w14:textId="77777777" w:rsidR="007239E3" w:rsidRDefault="007239E3">
      <w:pPr>
        <w:spacing w:line="360" w:lineRule="auto"/>
        <w:jc w:val="both"/>
        <w:rPr>
          <w:rFonts w:ascii="Palatino Linotype" w:eastAsia="Palatino Linotype" w:hAnsi="Palatino Linotype" w:cs="Palatino Linotype"/>
        </w:rPr>
      </w:pPr>
    </w:p>
    <w:p w14:paraId="4EAB05AE" w14:textId="77777777" w:rsidR="007239E3" w:rsidRDefault="0008579E">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1205D641" w14:textId="77777777" w:rsidR="007239E3" w:rsidRDefault="0008579E">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(Sic)</w:t>
      </w:r>
    </w:p>
    <w:p w14:paraId="04F940A0" w14:textId="77777777" w:rsidR="007239E3" w:rsidRDefault="0008579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930F8C3" w14:textId="77777777" w:rsidR="007239E3" w:rsidRDefault="0008579E">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(Sic)</w:t>
      </w:r>
    </w:p>
    <w:p w14:paraId="16C44B5A" w14:textId="77777777" w:rsidR="007239E3" w:rsidRDefault="0008579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00654/INFOEM/IP/RR/2023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038B6E80" w14:textId="77777777" w:rsidR="007239E3" w:rsidRDefault="007239E3">
      <w:pPr>
        <w:spacing w:line="360" w:lineRule="auto"/>
        <w:jc w:val="both"/>
        <w:rPr>
          <w:rFonts w:ascii="Palatino Linotype" w:eastAsia="Palatino Linotype" w:hAnsi="Palatino Linotype" w:cs="Palatino Linotype"/>
        </w:rPr>
      </w:pPr>
    </w:p>
    <w:p w14:paraId="171ADDD3" w14:textId="77777777" w:rsidR="007239E3" w:rsidRDefault="0008579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5. Admisión del recurso de revisión: </w:t>
      </w:r>
      <w:r>
        <w:rPr>
          <w:rFonts w:ascii="Palatino Linotype" w:eastAsia="Palatino Linotype" w:hAnsi="Palatino Linotype" w:cs="Palatino Linotype"/>
        </w:rPr>
        <w:t xml:space="preserve">En fecha trece de febrero del dos mil veintitrés,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CBC9967" w14:textId="77777777" w:rsidR="007239E3" w:rsidRDefault="0008579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actúan se advierte que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omiso en ofrecer sus alegatos.</w:t>
      </w:r>
    </w:p>
    <w:p w14:paraId="6A55F5A2"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veintiuno de febrero del dos mil veintitrés, remite en el apartado de manifestaciones del SAIMEX los archivos electrónicos denominados: </w:t>
      </w:r>
    </w:p>
    <w:p w14:paraId="7EBD335F" w14:textId="77777777" w:rsidR="007239E3" w:rsidRDefault="007239E3">
      <w:pPr>
        <w:spacing w:line="360" w:lineRule="auto"/>
        <w:jc w:val="both"/>
        <w:rPr>
          <w:rFonts w:ascii="Palatino Linotype" w:eastAsia="Palatino Linotype" w:hAnsi="Palatino Linotype" w:cs="Palatino Linotype"/>
        </w:rPr>
      </w:pPr>
    </w:p>
    <w:p w14:paraId="3B68B674"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Atizapán.pdf</w:t>
        </w:r>
      </w:hyperlink>
      <w:r>
        <w:rPr>
          <w:rFonts w:ascii="Palatino Linotype" w:eastAsia="Palatino Linotype" w:hAnsi="Palatino Linotype" w:cs="Palatino Linotype"/>
        </w:rPr>
        <w:t>”, por medio del cual el Titular de la Unidad de Transparencia, informó al solicitante que la respuesta no fue la adecuada dado que el área donde se remitió la información se equivocó, conforme a los siguientes hechos:</w:t>
      </w:r>
    </w:p>
    <w:p w14:paraId="3B2C4C32" w14:textId="77777777" w:rsidR="007239E3" w:rsidRDefault="007239E3">
      <w:pPr>
        <w:spacing w:line="360" w:lineRule="auto"/>
        <w:jc w:val="both"/>
        <w:rPr>
          <w:rFonts w:ascii="Palatino Linotype" w:eastAsia="Palatino Linotype" w:hAnsi="Palatino Linotype" w:cs="Palatino Linotype"/>
        </w:rPr>
      </w:pPr>
    </w:p>
    <w:p w14:paraId="2D73DBA7"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Que en fecha 18 de enero del 2023 fue recibido a través del Sistema de Acceso a la Información Mexiquense (SAIMEX) la solicitud 00014/ATIZAPAN/IP/2023. </w:t>
      </w:r>
    </w:p>
    <w:p w14:paraId="50BE6611"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2. El 23 de enero del 2023, se remitió el oficio no. PMASC/DTA/013/2023, con donde se solicita “monto gastado para la decoración de navidad en el centro, con factura o comprobantes de pago”. </w:t>
      </w:r>
    </w:p>
    <w:p w14:paraId="335E7032"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 Obteniendo respuesta el 01 de febrero del 2023 con numero de oficio MA/TM/026/2023, entregando la nómina de la primera quincena de enero 2023 de los servidores públicos que laboran en este Ayuntamiento. </w:t>
      </w:r>
    </w:p>
    <w:p w14:paraId="4902F5B8"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4. Derivado de esto resultó en el recurso de revisión con número: No. 00654/INFOEM/IP/RR/2023 el cual fue interpuesto el día 8 de febrero de 2023 y a su vez fue admitido el día 13 de febrero de 2023, derivado de la solicitud: 00014/ATIZAPAN/IP/2023; lo cual compete a la Unidad Administrativa Tesorería. 5. Y en fecha 15 de febrero del 2023 se envía oficio No. PMASC/DTA/028/2023 describiendo todo el seguimiento y MENCIONANDO QUE LA RESPUESTA NO ES LA SOLICITADA, por lo que; se vuelve a solicitar la información. “Monto gastado para la decoración de Navidad en el centro, con las facturas o comprobantes de pago”. ya que este recurso de revisión se encuentra en manifestaciones y de acuerdo al artículo 176 de la LTAIPEMM se puede subsanar la afectación al derecho de acceso a la información. </w:t>
      </w:r>
    </w:p>
    <w:p w14:paraId="11997F98" w14:textId="77777777" w:rsidR="007239E3" w:rsidRDefault="007239E3">
      <w:pPr>
        <w:spacing w:line="360" w:lineRule="auto"/>
        <w:jc w:val="both"/>
        <w:rPr>
          <w:rFonts w:ascii="Palatino Linotype" w:eastAsia="Palatino Linotype" w:hAnsi="Palatino Linotype" w:cs="Palatino Linotype"/>
        </w:rPr>
      </w:pPr>
      <w:bookmarkStart w:id="0" w:name="_heading=h.1fob9te" w:colFirst="0" w:colLast="0"/>
      <w:bookmarkEnd w:id="0"/>
    </w:p>
    <w:p w14:paraId="48C0A556"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6. Es así que en fecha 17 de los corrientes se recibe oficio No. MA/TM/039/2023, en donde remite facturas respecto de la decoración de navidad. </w:t>
      </w:r>
    </w:p>
    <w:p w14:paraId="2193BA26" w14:textId="77777777" w:rsidR="007239E3" w:rsidRDefault="007239E3">
      <w:pPr>
        <w:spacing w:line="360" w:lineRule="auto"/>
        <w:jc w:val="both"/>
        <w:rPr>
          <w:rFonts w:ascii="Palatino Linotype" w:eastAsia="Palatino Linotype" w:hAnsi="Palatino Linotype" w:cs="Palatino Linotype"/>
        </w:rPr>
      </w:pPr>
    </w:p>
    <w:p w14:paraId="3B58F87B"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7. Por lo tanto, en relación al artículo 179 fracción VI, de la Ley de Transparencia y Acceso a la Información Pública del Estado de México y Municipios, corrijo y remito la información solicitada y entregada por la Tesorería Municipal.” (Sic) </w:t>
      </w:r>
    </w:p>
    <w:p w14:paraId="5F4154C2" w14:textId="77777777" w:rsidR="007239E3" w:rsidRDefault="0008579E">
      <w:pPr>
        <w:spacing w:line="360" w:lineRule="auto"/>
        <w:jc w:val="both"/>
        <w:rPr>
          <w:rFonts w:ascii="Palatino Linotype" w:eastAsia="Palatino Linotype" w:hAnsi="Palatino Linotype" w:cs="Palatino Linotype"/>
        </w:rPr>
      </w:pPr>
      <w:r>
        <w:fldChar w:fldCharType="begin"/>
      </w:r>
      <w:r>
        <w:instrText xml:space="preserve"> HYPERLINK "https://saimex.org.mx/saimex/solicitud/downloadAttach/1714882.page" </w:instrText>
      </w:r>
      <w:r>
        <w:fldChar w:fldCharType="separate"/>
      </w:r>
    </w:p>
    <w:p w14:paraId="685D7AA7"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“img20230220_16321419.pdf</w:t>
      </w:r>
      <w:r>
        <w:fldChar w:fldCharType="end"/>
      </w:r>
      <w:r>
        <w:rPr>
          <w:rFonts w:ascii="Palatino Linotype" w:eastAsia="Palatino Linotype" w:hAnsi="Palatino Linotype" w:cs="Palatino Linotype"/>
        </w:rPr>
        <w:t>”, el cual contiene la captura de imagen de un CDF correspondiente a la factura por concepto de gastos generales del veinticinco de noviembre del año 2022, por la cantidad de $11,150.01, como se muestra a continuación:</w:t>
      </w:r>
    </w:p>
    <w:p w14:paraId="65375340" w14:textId="77777777" w:rsidR="007239E3" w:rsidRDefault="007239E3">
      <w:pPr>
        <w:spacing w:line="360" w:lineRule="auto"/>
        <w:jc w:val="both"/>
        <w:rPr>
          <w:rFonts w:ascii="Palatino Linotype" w:eastAsia="Palatino Linotype" w:hAnsi="Palatino Linotype" w:cs="Palatino Linotype"/>
        </w:rPr>
      </w:pPr>
    </w:p>
    <w:p w14:paraId="16819E63" w14:textId="77777777" w:rsidR="007239E3" w:rsidRDefault="007239E3">
      <w:pPr>
        <w:spacing w:line="360" w:lineRule="auto"/>
        <w:jc w:val="both"/>
      </w:pPr>
    </w:p>
    <w:p w14:paraId="05A5F12B" w14:textId="77777777" w:rsidR="007239E3" w:rsidRDefault="0008579E">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55CCEF92" wp14:editId="320F942C">
            <wp:extent cx="5490941" cy="7540384"/>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9149" t="16553" r="25089" b="16087"/>
                    <a:stretch>
                      <a:fillRect/>
                    </a:stretch>
                  </pic:blipFill>
                  <pic:spPr>
                    <a:xfrm>
                      <a:off x="0" y="0"/>
                      <a:ext cx="5490941" cy="7540384"/>
                    </a:xfrm>
                    <a:prstGeom prst="rect">
                      <a:avLst/>
                    </a:prstGeom>
                    <a:ln/>
                  </pic:spPr>
                </pic:pic>
              </a:graphicData>
            </a:graphic>
          </wp:inline>
        </w:drawing>
      </w:r>
    </w:p>
    <w:p w14:paraId="4A21B0BF"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11">
        <w:r>
          <w:rPr>
            <w:rFonts w:ascii="Palatino Linotype" w:eastAsia="Palatino Linotype" w:hAnsi="Palatino Linotype" w:cs="Palatino Linotype"/>
          </w:rPr>
          <w:t>img20230220_16293544.pdf</w:t>
        </w:r>
      </w:hyperlink>
      <w:r>
        <w:rPr>
          <w:rFonts w:ascii="Palatino Linotype" w:eastAsia="Palatino Linotype" w:hAnsi="Palatino Linotype" w:cs="Palatino Linotype"/>
        </w:rPr>
        <w:t>”, el cual contiene la repuesta del Tesorero Municipal del Ayuntamiento de Atizapán, por medio del cual informó que se remiten las facturas respecto de la decoración de navidad, como se muestra a continuación:</w:t>
      </w:r>
    </w:p>
    <w:p w14:paraId="09867D16" w14:textId="77777777" w:rsidR="007239E3" w:rsidRDefault="007239E3">
      <w:pPr>
        <w:spacing w:line="360" w:lineRule="auto"/>
        <w:jc w:val="both"/>
        <w:rPr>
          <w:rFonts w:ascii="Palatino Linotype" w:eastAsia="Palatino Linotype" w:hAnsi="Palatino Linotype" w:cs="Palatino Linotype"/>
        </w:rPr>
      </w:pPr>
    </w:p>
    <w:p w14:paraId="07796579" w14:textId="77777777" w:rsidR="007239E3" w:rsidRDefault="0008579E">
      <w:pPr>
        <w:spacing w:line="360" w:lineRule="auto"/>
        <w:jc w:val="both"/>
        <w:rPr>
          <w:rFonts w:ascii="Palatino Linotype" w:eastAsia="Palatino Linotype" w:hAnsi="Palatino Linotype" w:cs="Palatino Linotype"/>
        </w:rPr>
      </w:pPr>
      <w:r>
        <w:rPr>
          <w:noProof/>
          <w:lang w:val="es-MX" w:eastAsia="es-MX"/>
        </w:rPr>
        <w:drawing>
          <wp:inline distT="0" distB="0" distL="0" distR="0" wp14:anchorId="1AB4378D" wp14:editId="0EC3CE5A">
            <wp:extent cx="5416085" cy="4648474"/>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41904" t="14673" r="26350" b="11563"/>
                    <a:stretch>
                      <a:fillRect/>
                    </a:stretch>
                  </pic:blipFill>
                  <pic:spPr>
                    <a:xfrm>
                      <a:off x="0" y="0"/>
                      <a:ext cx="5416085" cy="4648474"/>
                    </a:xfrm>
                    <a:prstGeom prst="rect">
                      <a:avLst/>
                    </a:prstGeom>
                    <a:ln/>
                  </pic:spPr>
                </pic:pic>
              </a:graphicData>
            </a:graphic>
          </wp:inline>
        </w:drawing>
      </w:r>
    </w:p>
    <w:p w14:paraId="57369A70" w14:textId="77777777" w:rsidR="007239E3" w:rsidRDefault="007239E3">
      <w:pPr>
        <w:spacing w:line="360" w:lineRule="auto"/>
        <w:jc w:val="both"/>
        <w:rPr>
          <w:rFonts w:ascii="Palatino Linotype" w:eastAsia="Palatino Linotype" w:hAnsi="Palatino Linotype" w:cs="Palatino Linotype"/>
        </w:rPr>
      </w:pPr>
    </w:p>
    <w:p w14:paraId="64CF9F77"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3">
        <w:r>
          <w:rPr>
            <w:rFonts w:ascii="Palatino Linotype" w:eastAsia="Palatino Linotype" w:hAnsi="Palatino Linotype" w:cs="Palatino Linotype"/>
          </w:rPr>
          <w:t>img20230220_16313530.pdf</w:t>
        </w:r>
      </w:hyperlink>
      <w:proofErr w:type="gramStart"/>
      <w:r>
        <w:rPr>
          <w:rFonts w:ascii="Palatino Linotype" w:eastAsia="Palatino Linotype" w:hAnsi="Palatino Linotype" w:cs="Palatino Linotype"/>
        </w:rPr>
        <w:t>”,  el</w:t>
      </w:r>
      <w:proofErr w:type="gramEnd"/>
      <w:r>
        <w:rPr>
          <w:rFonts w:ascii="Palatino Linotype" w:eastAsia="Palatino Linotype" w:hAnsi="Palatino Linotype" w:cs="Palatino Linotype"/>
        </w:rPr>
        <w:t xml:space="preserve"> cual contiene la captura de imagen de un CDF correspondiente a la factura por concepto de gastos generales del veintinueve de diciembre del año 2022, por la cantidad de $35,148.01, como se muestra a continuación:</w:t>
      </w:r>
    </w:p>
    <w:p w14:paraId="0C257DD6" w14:textId="77777777" w:rsidR="007239E3" w:rsidRDefault="007239E3">
      <w:pPr>
        <w:spacing w:line="360" w:lineRule="auto"/>
        <w:jc w:val="both"/>
      </w:pPr>
    </w:p>
    <w:p w14:paraId="155939E9" w14:textId="77777777" w:rsidR="007239E3" w:rsidRDefault="0008579E">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08D01A08" wp14:editId="32835563">
            <wp:extent cx="5494083" cy="5876319"/>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9259" t="18998" r="25082" b="5537"/>
                    <a:stretch>
                      <a:fillRect/>
                    </a:stretch>
                  </pic:blipFill>
                  <pic:spPr>
                    <a:xfrm>
                      <a:off x="0" y="0"/>
                      <a:ext cx="5494083" cy="5876319"/>
                    </a:xfrm>
                    <a:prstGeom prst="rect">
                      <a:avLst/>
                    </a:prstGeom>
                    <a:ln/>
                  </pic:spPr>
                </pic:pic>
              </a:graphicData>
            </a:graphic>
          </wp:inline>
        </w:drawing>
      </w:r>
    </w:p>
    <w:p w14:paraId="1B0F57D8" w14:textId="77777777" w:rsidR="007239E3" w:rsidRDefault="007239E3">
      <w:pPr>
        <w:spacing w:line="360" w:lineRule="auto"/>
        <w:jc w:val="both"/>
        <w:rPr>
          <w:rFonts w:ascii="Palatino Linotype" w:eastAsia="Palatino Linotype" w:hAnsi="Palatino Linotype" w:cs="Palatino Linotype"/>
        </w:rPr>
      </w:pPr>
    </w:p>
    <w:p w14:paraId="36A9B5C9" w14:textId="77777777" w:rsidR="007239E3" w:rsidRDefault="0008579E">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 xml:space="preserve">Los cuales se determinó poner a la vista del </w:t>
      </w:r>
      <w:r>
        <w:rPr>
          <w:rFonts w:ascii="Palatino Linotype" w:eastAsia="Palatino Linotype" w:hAnsi="Palatino Linotype" w:cs="Palatino Linotype"/>
          <w:b/>
        </w:rPr>
        <w:t>RECURRENTE</w:t>
      </w:r>
      <w:r>
        <w:rPr>
          <w:rFonts w:ascii="Palatino Linotype" w:eastAsia="Palatino Linotype" w:hAnsi="Palatino Linotype" w:cs="Palatino Linotype"/>
        </w:rPr>
        <w:t>, en términos de la fracción III del artículo 185 de la Ley de Transparencia y Acceso a la Información Pública del Estado de México y Municipios.</w:t>
      </w:r>
    </w:p>
    <w:p w14:paraId="27AFC254" w14:textId="77777777" w:rsidR="007239E3" w:rsidRDefault="007239E3">
      <w:pPr>
        <w:spacing w:line="360" w:lineRule="auto"/>
        <w:jc w:val="both"/>
        <w:rPr>
          <w:rFonts w:ascii="Palatino Linotype" w:eastAsia="Palatino Linotype" w:hAnsi="Palatino Linotype" w:cs="Palatino Linotype"/>
          <w:b/>
        </w:rPr>
      </w:pPr>
    </w:p>
    <w:p w14:paraId="1CBECFFB" w14:textId="77777777" w:rsidR="007239E3" w:rsidRDefault="0008579E">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doce de abril del dos mil </w:t>
      </w:r>
      <w:r>
        <w:rPr>
          <w:rFonts w:ascii="Palatino Linotype" w:eastAsia="Palatino Linotype" w:hAnsi="Palatino Linotype" w:cs="Palatino Linotype"/>
        </w:rPr>
        <w:lastRenderedPageBreak/>
        <w:t>veintitrés, con fundamento en el artículo 181, párrafo tercero de la Ley de Transparencia y Acceso a la Información Pública del Estado de México y Municipios, se acordó la ampliación del plazo para su resolución.</w:t>
      </w:r>
    </w:p>
    <w:p w14:paraId="5F3DA440" w14:textId="77777777" w:rsidR="007239E3" w:rsidRDefault="007239E3">
      <w:pPr>
        <w:widowControl w:val="0"/>
        <w:spacing w:line="360" w:lineRule="auto"/>
        <w:jc w:val="both"/>
        <w:rPr>
          <w:rFonts w:ascii="Palatino Linotype" w:eastAsia="Palatino Linotype" w:hAnsi="Palatino Linotype" w:cs="Palatino Linotype"/>
        </w:rPr>
      </w:pPr>
    </w:p>
    <w:p w14:paraId="5AD323CF"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En fecha dieciocho de abril del dos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mil veintitrés la Comisionada ponente determinó el cierre de instrucción en términos de la fracción VI del artículo 185 de la Ley de Transparencia y Acceso a la Información Pública del Estado de México y Municipios.</w:t>
      </w:r>
    </w:p>
    <w:p w14:paraId="7111A000"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C341E1B" w14:textId="77777777" w:rsidR="007239E3" w:rsidRDefault="0008579E">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14:paraId="0673C043" w14:textId="77777777" w:rsidR="007239E3" w:rsidRDefault="0008579E">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XXIII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21A384A3"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solicitante en fecha tres de febrero del año dos mil veintitrés y el RECURRENTE presentó su recurso de revisión el ocho del mismo mes y año, esto es al segundo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192420D5"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proporcionó su nombre</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0C4706" w14:textId="77777777" w:rsidR="007239E3" w:rsidRDefault="0008579E">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Las solicitudes </w:t>
      </w:r>
      <w:r>
        <w:rPr>
          <w:rFonts w:ascii="Palatino Linotype" w:eastAsia="Palatino Linotype" w:hAnsi="Palatino Linotype" w:cs="Palatino Linotype"/>
          <w:i/>
          <w:sz w:val="22"/>
          <w:szCs w:val="22"/>
        </w:rPr>
        <w:t xml:space="preserve">anónimas, con </w:t>
      </w:r>
      <w:r>
        <w:rPr>
          <w:rFonts w:ascii="Palatino Linotype" w:eastAsia="Palatino Linotype" w:hAnsi="Palatino Linotype" w:cs="Palatino Linotype"/>
          <w:b/>
          <w:i/>
          <w:sz w:val="22"/>
          <w:szCs w:val="22"/>
        </w:rPr>
        <w:t>nombre incompleto o seudónimo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640D7B22" w14:textId="77777777" w:rsidR="007239E3" w:rsidRDefault="0008579E">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w:t>
      </w:r>
      <w:r>
        <w:rPr>
          <w:rFonts w:ascii="Palatino Linotype" w:eastAsia="Palatino Linotype" w:hAnsi="Palatino Linotype" w:cs="Palatino Linotype"/>
          <w:color w:val="000000"/>
        </w:rPr>
        <w:lastRenderedPageBreak/>
        <w:t xml:space="preserve">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7439ABE7" w14:textId="77777777" w:rsidR="007239E3" w:rsidRDefault="007239E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6384B3FA" w14:textId="77777777" w:rsidR="007239E3" w:rsidRDefault="0008579E">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revisión, según lo aducido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su acto impugnado como en sus motivos de inconformidad, de acuerdo al artículo 179 fracción VI</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74F96FC9" w14:textId="77777777" w:rsidR="007239E3" w:rsidRDefault="007239E3">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2042566D" w14:textId="77777777" w:rsidR="007239E3" w:rsidRDefault="0008579E">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2BFA565C" w14:textId="77777777" w:rsidR="007239E3" w:rsidRDefault="0008579E">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DCFDB31" w14:textId="77777777" w:rsidR="007239E3" w:rsidRDefault="0008579E">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La entrega de información que no corresponda con lo solicitado…” (Sic)</w:t>
      </w:r>
    </w:p>
    <w:p w14:paraId="6A18C37C" w14:textId="77777777" w:rsidR="007239E3" w:rsidRDefault="007239E3">
      <w:pPr>
        <w:pBdr>
          <w:top w:val="nil"/>
          <w:left w:val="nil"/>
          <w:bottom w:val="nil"/>
          <w:right w:val="nil"/>
          <w:between w:val="nil"/>
        </w:pBdr>
        <w:spacing w:after="240" w:line="360" w:lineRule="auto"/>
        <w:ind w:right="-91"/>
        <w:jc w:val="both"/>
        <w:rPr>
          <w:rFonts w:ascii="Palatino Linotype" w:eastAsia="Palatino Linotype" w:hAnsi="Palatino Linotype" w:cs="Palatino Linotype"/>
          <w:b/>
          <w:i/>
          <w:color w:val="000000"/>
          <w:sz w:val="22"/>
          <w:szCs w:val="22"/>
        </w:rPr>
      </w:pPr>
    </w:p>
    <w:p w14:paraId="53106056" w14:textId="77777777" w:rsidR="007239E3" w:rsidRDefault="0008579E">
      <w:pPr>
        <w:spacing w:before="240" w:after="240" w:line="360" w:lineRule="auto"/>
        <w:ind w:right="60"/>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Análisis de las causales de sobreseimiento del recurso de revisión. </w:t>
      </w:r>
      <w:r>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64C997C" w14:textId="77777777" w:rsidR="007239E3" w:rsidRDefault="0008579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w:t>
      </w:r>
      <w:r>
        <w:rPr>
          <w:rFonts w:ascii="Palatino Linotype" w:eastAsia="Palatino Linotype" w:hAnsi="Palatino Linotype" w:cs="Palatino Linotype"/>
        </w:rPr>
        <w:lastRenderedPageBreak/>
        <w:t>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33A90682" w14:textId="77777777" w:rsidR="007239E3" w:rsidRDefault="007239E3">
      <w:pPr>
        <w:spacing w:line="360" w:lineRule="auto"/>
        <w:jc w:val="both"/>
      </w:pPr>
    </w:p>
    <w:p w14:paraId="766B889B" w14:textId="77777777" w:rsidR="007239E3" w:rsidRDefault="0008579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manera preliminar en el caso concreto conviene analizar si se actualiza alguna de las causales de sobreseimiento del recurso de revisión.</w:t>
      </w:r>
    </w:p>
    <w:p w14:paraId="1664AB48"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del análisis de la solicitud de información motivo del recurso de revisión que ahora se resuelve, se advierte que el particular requirió al Ayuntamiento de Atizapán, lo siguiente:</w:t>
      </w:r>
    </w:p>
    <w:p w14:paraId="2F0B9E22" w14:textId="77777777" w:rsidR="007239E3" w:rsidRDefault="0008579E">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Monto gastado para la decoración de Navidad en el centro, con facturas o comprobantes de pago.</w:t>
      </w:r>
    </w:p>
    <w:p w14:paraId="6BBE41EF"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respuesta remitió un listado del neto pagado a los servidores públicos del Ayuntamiento de Atizapán, de la primera quincena del mes de enero del año en curso.  </w:t>
      </w:r>
    </w:p>
    <w:p w14:paraId="7CF467E1" w14:textId="77777777" w:rsidR="007239E3" w:rsidRDefault="0008579E">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Inconforme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 la respuesta, interpuso el Recurso de Revisión que se resuelve, quejándose en lo medular por la respuesta. </w:t>
      </w:r>
    </w:p>
    <w:p w14:paraId="47421EE5"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Una vez notificado el recurso de revisión, el </w:t>
      </w:r>
      <w:r>
        <w:rPr>
          <w:rFonts w:ascii="Palatino Linotype" w:eastAsia="Palatino Linotype" w:hAnsi="Palatino Linotype" w:cs="Palatino Linotype"/>
          <w:b/>
        </w:rPr>
        <w:t xml:space="preserve">SUJETO </w:t>
      </w:r>
      <w:proofErr w:type="gramStart"/>
      <w:r>
        <w:rPr>
          <w:rFonts w:ascii="Palatino Linotype" w:eastAsia="Palatino Linotype" w:hAnsi="Palatino Linotype" w:cs="Palatino Linotype"/>
          <w:b/>
        </w:rPr>
        <w:t>OBLIGADO</w:t>
      </w:r>
      <w:r>
        <w:rPr>
          <w:rFonts w:ascii="Palatino Linotype" w:eastAsia="Palatino Linotype" w:hAnsi="Palatino Linotype" w:cs="Palatino Linotype"/>
        </w:rPr>
        <w:t>,  través</w:t>
      </w:r>
      <w:proofErr w:type="gramEnd"/>
      <w:r>
        <w:rPr>
          <w:rFonts w:ascii="Palatino Linotype" w:eastAsia="Palatino Linotype" w:hAnsi="Palatino Linotype" w:cs="Palatino Linotype"/>
        </w:rPr>
        <w:t xml:space="preserve"> de su informe justificado, rendido por el Tesorero Municipal remitió el monto gastado y facturas respecto de la decoración de navidad, como se observa a continuación:</w:t>
      </w:r>
    </w:p>
    <w:p w14:paraId="4EA81048" w14:textId="77777777" w:rsidR="007239E3" w:rsidRDefault="007239E3">
      <w:pPr>
        <w:spacing w:line="360" w:lineRule="auto"/>
        <w:jc w:val="both"/>
        <w:rPr>
          <w:rFonts w:ascii="Palatino Linotype" w:eastAsia="Palatino Linotype" w:hAnsi="Palatino Linotype" w:cs="Palatino Linotype"/>
        </w:rPr>
      </w:pPr>
    </w:p>
    <w:p w14:paraId="208572E0" w14:textId="77777777" w:rsidR="007239E3" w:rsidRDefault="0008579E">
      <w:pPr>
        <w:spacing w:line="360" w:lineRule="auto"/>
        <w:jc w:val="both"/>
        <w:rPr>
          <w:rFonts w:ascii="Palatino Linotype" w:eastAsia="Palatino Linotype" w:hAnsi="Palatino Linotype" w:cs="Palatino Linotype"/>
        </w:rPr>
      </w:pPr>
      <w:r>
        <w:rPr>
          <w:noProof/>
          <w:lang w:val="es-MX" w:eastAsia="es-MX"/>
        </w:rPr>
        <w:drawing>
          <wp:inline distT="0" distB="0" distL="0" distR="0" wp14:anchorId="736F7E72" wp14:editId="1752C032">
            <wp:extent cx="5419598" cy="6091189"/>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41904" t="14673" r="26350" b="11563"/>
                    <a:stretch>
                      <a:fillRect/>
                    </a:stretch>
                  </pic:blipFill>
                  <pic:spPr>
                    <a:xfrm>
                      <a:off x="0" y="0"/>
                      <a:ext cx="5419598" cy="6091189"/>
                    </a:xfrm>
                    <a:prstGeom prst="rect">
                      <a:avLst/>
                    </a:prstGeom>
                    <a:ln/>
                  </pic:spPr>
                </pic:pic>
              </a:graphicData>
            </a:graphic>
          </wp:inline>
        </w:drawing>
      </w:r>
    </w:p>
    <w:p w14:paraId="3A94B140" w14:textId="77777777" w:rsidR="007239E3" w:rsidRDefault="007239E3">
      <w:pPr>
        <w:spacing w:line="360" w:lineRule="auto"/>
        <w:jc w:val="both"/>
        <w:rPr>
          <w:rFonts w:ascii="Palatino Linotype" w:eastAsia="Palatino Linotype" w:hAnsi="Palatino Linotype" w:cs="Palatino Linotype"/>
        </w:rPr>
      </w:pPr>
    </w:p>
    <w:p w14:paraId="7560AEBA" w14:textId="77777777" w:rsidR="007239E3" w:rsidRDefault="0008579E">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5CA3FD7A" wp14:editId="1A401DD2">
            <wp:extent cx="5490941" cy="7540384"/>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9149" t="16553" r="25089" b="16087"/>
                    <a:stretch>
                      <a:fillRect/>
                    </a:stretch>
                  </pic:blipFill>
                  <pic:spPr>
                    <a:xfrm>
                      <a:off x="0" y="0"/>
                      <a:ext cx="5490941" cy="7540384"/>
                    </a:xfrm>
                    <a:prstGeom prst="rect">
                      <a:avLst/>
                    </a:prstGeom>
                    <a:ln/>
                  </pic:spPr>
                </pic:pic>
              </a:graphicData>
            </a:graphic>
          </wp:inline>
        </w:drawing>
      </w:r>
    </w:p>
    <w:p w14:paraId="191C048B" w14:textId="77777777" w:rsidR="007239E3" w:rsidRDefault="007239E3">
      <w:pPr>
        <w:spacing w:line="360" w:lineRule="auto"/>
        <w:jc w:val="both"/>
      </w:pPr>
    </w:p>
    <w:p w14:paraId="62E6FC6B" w14:textId="77777777" w:rsidR="007239E3" w:rsidRDefault="0008579E">
      <w:pPr>
        <w:spacing w:line="360" w:lineRule="auto"/>
        <w:jc w:val="both"/>
        <w:rPr>
          <w:rFonts w:ascii="Palatino Linotype" w:eastAsia="Palatino Linotype" w:hAnsi="Palatino Linotype" w:cs="Palatino Linotype"/>
        </w:rPr>
      </w:pPr>
      <w:r>
        <w:rPr>
          <w:noProof/>
          <w:lang w:val="es-MX" w:eastAsia="es-MX"/>
        </w:rPr>
        <w:drawing>
          <wp:inline distT="0" distB="0" distL="0" distR="0" wp14:anchorId="28C4B55E" wp14:editId="1D6E93D8">
            <wp:extent cx="5494083" cy="5876319"/>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9259" t="18998" r="25082" b="5537"/>
                    <a:stretch>
                      <a:fillRect/>
                    </a:stretch>
                  </pic:blipFill>
                  <pic:spPr>
                    <a:xfrm>
                      <a:off x="0" y="0"/>
                      <a:ext cx="5494083" cy="5876319"/>
                    </a:xfrm>
                    <a:prstGeom prst="rect">
                      <a:avLst/>
                    </a:prstGeom>
                    <a:ln/>
                  </pic:spPr>
                </pic:pic>
              </a:graphicData>
            </a:graphic>
          </wp:inline>
        </w:drawing>
      </w:r>
    </w:p>
    <w:p w14:paraId="526E905A"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con ello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razón de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proporcionó la información, fue el </w:t>
      </w:r>
      <w:r>
        <w:rPr>
          <w:rFonts w:ascii="Palatino Linotype" w:eastAsia="Palatino Linotype" w:hAnsi="Palatino Linotype" w:cs="Palatino Linotype"/>
          <w:b/>
        </w:rPr>
        <w:t>Tesorero Municipal del Ayuntamiento de Atizapán</w:t>
      </w:r>
      <w:r>
        <w:rPr>
          <w:rFonts w:ascii="Palatino Linotype" w:eastAsia="Palatino Linotype" w:hAnsi="Palatino Linotype" w:cs="Palatino Linotype"/>
        </w:rPr>
        <w:t>, que en términos de lo señalado por el artículo 95 fracción IV de la Ley Orgánica Municipal del Estado de México, tiene la siguiente atribución:</w:t>
      </w:r>
    </w:p>
    <w:p w14:paraId="76A4B3B8" w14:textId="77777777" w:rsidR="007239E3" w:rsidRDefault="0008579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“Artículo 95.- Son atribuciones del tesorero municipal:</w:t>
      </w:r>
    </w:p>
    <w:p w14:paraId="278F90AF" w14:textId="77777777" w:rsidR="007239E3" w:rsidRDefault="0008579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9AE4059" w14:textId="77777777" w:rsidR="007239E3" w:rsidRDefault="0008579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Llevar los registros contables, financieros y administrativos</w:t>
      </w:r>
      <w:r>
        <w:rPr>
          <w:rFonts w:ascii="Palatino Linotype" w:eastAsia="Palatino Linotype" w:hAnsi="Palatino Linotype" w:cs="Palatino Linotype"/>
          <w:i/>
          <w:sz w:val="22"/>
          <w:szCs w:val="22"/>
        </w:rPr>
        <w:t xml:space="preserve"> de los ingresos, </w:t>
      </w:r>
      <w:r>
        <w:rPr>
          <w:rFonts w:ascii="Palatino Linotype" w:eastAsia="Palatino Linotype" w:hAnsi="Palatino Linotype" w:cs="Palatino Linotype"/>
          <w:b/>
          <w:i/>
          <w:sz w:val="22"/>
          <w:szCs w:val="22"/>
        </w:rPr>
        <w:t>egresos</w:t>
      </w:r>
      <w:r>
        <w:rPr>
          <w:rFonts w:ascii="Palatino Linotype" w:eastAsia="Palatino Linotype" w:hAnsi="Palatino Linotype" w:cs="Palatino Linotype"/>
          <w:i/>
          <w:sz w:val="22"/>
          <w:szCs w:val="22"/>
        </w:rPr>
        <w:t>, e inventarios…” (Sic)</w:t>
      </w:r>
    </w:p>
    <w:p w14:paraId="3CE767B4" w14:textId="77777777" w:rsidR="007239E3" w:rsidRDefault="007239E3">
      <w:pPr>
        <w:spacing w:before="120" w:after="120"/>
        <w:ind w:left="851" w:right="851"/>
        <w:jc w:val="both"/>
        <w:rPr>
          <w:rFonts w:ascii="Palatino Linotype" w:eastAsia="Palatino Linotype" w:hAnsi="Palatino Linotype" w:cs="Palatino Linotype"/>
          <w:i/>
          <w:sz w:val="22"/>
          <w:szCs w:val="22"/>
        </w:rPr>
      </w:pPr>
    </w:p>
    <w:p w14:paraId="14824846"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que el Tesorero Municipal es el servidor público competente del Ayuntamiento de Atizapán, para generar, poseer y administrar la información solicitada; además, este Organismo Garante estima conveniente señalar que no está facultado para manifestarse sobre la veracidad de la información proporcionada en respuesta como en alcance al informe 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651B5DC6" w14:textId="77777777" w:rsidR="007239E3" w:rsidRDefault="0008579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65E9658B" w14:textId="77777777" w:rsidR="007239E3" w:rsidRDefault="007239E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5E985EC" w14:textId="77777777" w:rsidR="007239E3" w:rsidRDefault="0008579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AC39550" w14:textId="77777777" w:rsidR="007239E3" w:rsidRDefault="007239E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C43EB17" w14:textId="77777777" w:rsidR="007239E3" w:rsidRDefault="000857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449EA0B4" w14:textId="77777777" w:rsidR="007239E3" w:rsidRDefault="007239E3">
      <w:pPr>
        <w:spacing w:line="360" w:lineRule="auto"/>
        <w:jc w:val="both"/>
        <w:rPr>
          <w:rFonts w:ascii="Palatino Linotype" w:eastAsia="Palatino Linotype" w:hAnsi="Palatino Linotype" w:cs="Palatino Linotype"/>
          <w:color w:val="FF0000"/>
        </w:rPr>
      </w:pPr>
    </w:p>
    <w:p w14:paraId="148800F2" w14:textId="77777777" w:rsidR="007239E3" w:rsidRDefault="0008579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4098F870" w14:textId="77777777" w:rsidR="007239E3" w:rsidRDefault="0008579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477FC730" w14:textId="77777777" w:rsidR="007239E3" w:rsidRDefault="0008579E">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0C0968DD" w14:textId="77777777" w:rsidR="007239E3" w:rsidRDefault="007239E3">
      <w:pPr>
        <w:spacing w:line="360" w:lineRule="auto"/>
        <w:jc w:val="both"/>
        <w:rPr>
          <w:rFonts w:ascii="Palatino Linotype" w:eastAsia="Palatino Linotype" w:hAnsi="Palatino Linotype" w:cs="Palatino Linotype"/>
          <w:b/>
          <w:i/>
        </w:rPr>
      </w:pPr>
    </w:p>
    <w:p w14:paraId="60089364" w14:textId="77777777" w:rsidR="007239E3" w:rsidRDefault="0008579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14:paraId="440B4A81"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14:paraId="00361547"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14:paraId="35DAF32D"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2BAFC989"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esta subsana las deficiencias que hubiera </w:t>
      </w:r>
      <w:r>
        <w:rPr>
          <w:rFonts w:ascii="Palatino Linotype" w:eastAsia="Palatino Linotype" w:hAnsi="Palatino Linotype" w:cs="Palatino Linotype"/>
        </w:rPr>
        <w:lastRenderedPageBreak/>
        <w:t xml:space="preserve">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11D359E0"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742B9654" w14:textId="77777777" w:rsidR="007239E3" w:rsidRDefault="0008579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732F7F2"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tanto, en el presente caso queda sin materia, toda vez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con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la respuesta al remitir los montos del gasto y facturas respecto de la decoración de navidad correspondiente al año 2022.</w:t>
      </w:r>
    </w:p>
    <w:p w14:paraId="095EDA41"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Tomando en consideración dicha circunstancia, así como el hecho de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puesta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16E7B334"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w:t>
      </w:r>
      <w:r>
        <w:rPr>
          <w:rFonts w:ascii="Palatino Linotype" w:eastAsia="Palatino Linotype" w:hAnsi="Palatino Linotype" w:cs="Palatino Linotype"/>
        </w:rPr>
        <w:lastRenderedPageBreak/>
        <w:t xml:space="preserve">recurso de revisión, actualizándose entonces la causal prevista en la fracción III del artículo 192 de la Ley de la Materia vigente en la Entidad, antes transcrita. </w:t>
      </w:r>
    </w:p>
    <w:p w14:paraId="51D27F39" w14:textId="77777777" w:rsidR="007239E3" w:rsidRDefault="0008579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1367836E" w14:textId="77777777" w:rsidR="007239E3" w:rsidRDefault="0008579E">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14:paraId="0529BEA6" w14:textId="77777777" w:rsidR="007239E3" w:rsidRDefault="0008579E">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Pr>
          <w:rFonts w:ascii="Palatino Linotype" w:eastAsia="Palatino Linotype" w:hAnsi="Palatino Linotype" w:cs="Palatino Linotype"/>
          <w:i/>
          <w:sz w:val="22"/>
          <w:szCs w:val="22"/>
        </w:rPr>
        <w:t>Febrero</w:t>
      </w:r>
      <w:proofErr w:type="gramEnd"/>
      <w:r>
        <w:rPr>
          <w:rFonts w:ascii="Palatino Linotype" w:eastAsia="Palatino Linotype" w:hAnsi="Palatino Linotype" w:cs="Palatino Linotype"/>
          <w:i/>
          <w:sz w:val="22"/>
          <w:szCs w:val="22"/>
        </w:rPr>
        <w:t xml:space="preserve"> de 1994, Pág. 420</w:t>
      </w:r>
    </w:p>
    <w:p w14:paraId="2D8395D0" w14:textId="77777777" w:rsidR="007239E3" w:rsidRDefault="0008579E">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C17062F" w14:textId="77777777" w:rsidR="007239E3" w:rsidRDefault="007239E3">
      <w:pPr>
        <w:ind w:left="567" w:right="567"/>
        <w:jc w:val="both"/>
        <w:rPr>
          <w:rFonts w:ascii="Palatino Linotype" w:eastAsia="Palatino Linotype" w:hAnsi="Palatino Linotype" w:cs="Palatino Linotype"/>
          <w:i/>
          <w:sz w:val="22"/>
          <w:szCs w:val="22"/>
        </w:rPr>
      </w:pPr>
    </w:p>
    <w:p w14:paraId="0A5506B4" w14:textId="77777777" w:rsidR="007239E3" w:rsidRDefault="0008579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AEEE1C2" w14:textId="77777777" w:rsidR="007239E3" w:rsidRDefault="0008579E">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957BC6C" w14:textId="77777777" w:rsidR="007239E3" w:rsidRDefault="0008579E">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w:t>
      </w:r>
      <w:r>
        <w:rPr>
          <w:rFonts w:ascii="Palatino Linotype" w:eastAsia="Palatino Linotype" w:hAnsi="Palatino Linotype" w:cs="Palatino Linotype"/>
          <w:i/>
          <w:sz w:val="22"/>
          <w:szCs w:val="22"/>
        </w:rPr>
        <w:lastRenderedPageBreak/>
        <w:t>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5E45944" w14:textId="77777777" w:rsidR="007239E3" w:rsidRDefault="007239E3">
      <w:pPr>
        <w:ind w:left="567" w:right="567"/>
        <w:jc w:val="both"/>
        <w:rPr>
          <w:rFonts w:ascii="Palatino Linotype" w:eastAsia="Palatino Linotype" w:hAnsi="Palatino Linotype" w:cs="Palatino Linotype"/>
          <w:i/>
          <w:sz w:val="22"/>
          <w:szCs w:val="22"/>
        </w:rPr>
      </w:pPr>
    </w:p>
    <w:p w14:paraId="54418455" w14:textId="77777777" w:rsidR="007239E3" w:rsidRDefault="0008579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07E89D1" w14:textId="77777777" w:rsidR="007239E3" w:rsidRDefault="0008579E">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III.R E S U E L V E:</w:t>
      </w:r>
    </w:p>
    <w:p w14:paraId="417A0811" w14:textId="77777777" w:rsidR="007239E3" w:rsidRDefault="0008579E">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highlight w:val="white"/>
        </w:rPr>
        <w:t>Primero</w:t>
      </w:r>
      <w:r>
        <w:rPr>
          <w:rFonts w:ascii="Palatino Linotype" w:eastAsia="Palatino Linotype" w:hAnsi="Palatino Linotype" w:cs="Palatino Linotype"/>
          <w:color w:val="000000"/>
          <w:highlight w:val="white"/>
        </w:rPr>
        <w:t xml:space="preserve">. Se </w:t>
      </w:r>
      <w:r>
        <w:rPr>
          <w:rFonts w:ascii="Palatino Linotype" w:eastAsia="Palatino Linotype" w:hAnsi="Palatino Linotype" w:cs="Palatino Linotype"/>
          <w:b/>
          <w:color w:val="000000"/>
          <w:highlight w:val="white"/>
        </w:rPr>
        <w:t>SOBRESEE</w:t>
      </w:r>
      <w:r>
        <w:rPr>
          <w:rFonts w:ascii="Palatino Linotype" w:eastAsia="Palatino Linotype" w:hAnsi="Palatino Linotype" w:cs="Palatino Linotype"/>
          <w:color w:val="000000"/>
          <w:highlight w:val="white"/>
        </w:rPr>
        <w:t xml:space="preserve"> el recurso de revisión número </w:t>
      </w:r>
      <w:r>
        <w:rPr>
          <w:rFonts w:ascii="Palatino Linotype" w:eastAsia="Palatino Linotype" w:hAnsi="Palatino Linotype" w:cs="Palatino Linotype"/>
          <w:b/>
          <w:color w:val="000000"/>
          <w:highlight w:val="white"/>
        </w:rPr>
        <w:t>00654/INFOEM/IP/RR/202</w:t>
      </w:r>
      <w:r>
        <w:rPr>
          <w:rFonts w:ascii="Palatino Linotype" w:eastAsia="Palatino Linotype" w:hAnsi="Palatino Linotype" w:cs="Palatino Linotype"/>
          <w:b/>
          <w:highlight w:val="white"/>
        </w:rPr>
        <w:t>3</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porque al </w:t>
      </w:r>
      <w:r>
        <w:rPr>
          <w:rFonts w:ascii="Palatino Linotype" w:eastAsia="Palatino Linotype" w:hAnsi="Palatino Linotype" w:cs="Palatino Linotype"/>
          <w:b/>
          <w:color w:val="000000"/>
        </w:rPr>
        <w:t>modificar la respuesta</w:t>
      </w:r>
      <w:r>
        <w:rPr>
          <w:rFonts w:ascii="Palatino Linotype" w:eastAsia="Palatino Linotype" w:hAnsi="Palatino Linotype" w:cs="Palatino Linotype"/>
          <w:color w:val="000000"/>
        </w:rPr>
        <w:t xml:space="preserve"> se actualizó la causal prevista en el artículo 192, fracción III, de la Ley de Transparencia y Acceso a la Información Pública del Estado de México y Municipios, quedando sin materia en términos del considerando </w:t>
      </w:r>
      <w:r>
        <w:rPr>
          <w:rFonts w:ascii="Palatino Linotype" w:eastAsia="Palatino Linotype" w:hAnsi="Palatino Linotype" w:cs="Palatino Linotype"/>
          <w:i/>
          <w:color w:val="000000"/>
        </w:rPr>
        <w:t xml:space="preserve">Tercero </w:t>
      </w:r>
      <w:r>
        <w:rPr>
          <w:rFonts w:ascii="Palatino Linotype" w:eastAsia="Palatino Linotype" w:hAnsi="Palatino Linotype" w:cs="Palatino Linotype"/>
          <w:color w:val="000000"/>
        </w:rPr>
        <w:t>de la presente Resolución.</w:t>
      </w:r>
    </w:p>
    <w:p w14:paraId="019458CF" w14:textId="77777777" w:rsidR="007239E3" w:rsidRDefault="0008579E">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Segundo. Notifíquese vía </w:t>
      </w:r>
      <w:r>
        <w:rPr>
          <w:rFonts w:ascii="Palatino Linotype" w:eastAsia="Palatino Linotype" w:hAnsi="Palatino Linotype" w:cs="Palatino Linotype"/>
        </w:rPr>
        <w:t>Sistema de Acceso a la Información Mexiquense (</w:t>
      </w:r>
      <w:r>
        <w:rPr>
          <w:rFonts w:ascii="Palatino Linotype" w:eastAsia="Palatino Linotype" w:hAnsi="Palatino Linotype" w:cs="Palatino Linotype"/>
          <w:b/>
          <w:highlight w:val="white"/>
        </w:rPr>
        <w:t>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 </w:t>
      </w:r>
    </w:p>
    <w:p w14:paraId="331FAE81" w14:textId="77777777" w:rsidR="007239E3" w:rsidRDefault="007239E3">
      <w:pPr>
        <w:spacing w:line="360" w:lineRule="auto"/>
        <w:jc w:val="both"/>
        <w:rPr>
          <w:rFonts w:ascii="Palatino Linotype" w:eastAsia="Palatino Linotype" w:hAnsi="Palatino Linotype" w:cs="Palatino Linotype"/>
          <w:highlight w:val="white"/>
        </w:rPr>
      </w:pPr>
    </w:p>
    <w:p w14:paraId="61765245" w14:textId="77777777" w:rsidR="007239E3" w:rsidRDefault="0008579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a través </w:t>
      </w:r>
      <w:r>
        <w:rPr>
          <w:rFonts w:ascii="Palatino Linotype" w:eastAsia="Palatino Linotype" w:hAnsi="Palatino Linotype" w:cs="Palatino Linotype"/>
        </w:rPr>
        <w:t>del Sistema de Acceso a la Información Mexiquense</w:t>
      </w:r>
      <w:r>
        <w:rPr>
          <w:rFonts w:ascii="Palatino Linotype" w:eastAsia="Palatino Linotype" w:hAnsi="Palatino Linotype" w:cs="Palatino Linotype"/>
          <w:color w:val="980000"/>
        </w:rPr>
        <w:t xml:space="preserve"> </w:t>
      </w:r>
      <w:r>
        <w:rPr>
          <w:rFonts w:ascii="Palatino Linotype" w:eastAsia="Palatino Linotype" w:hAnsi="Palatino Linotype" w:cs="Palatino Linotype"/>
        </w:rPr>
        <w:t xml:space="preserve">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w:t>
      </w:r>
      <w:r>
        <w:rPr>
          <w:rFonts w:ascii="Palatino Linotype" w:eastAsia="Palatino Linotype" w:hAnsi="Palatino Linotype" w:cs="Palatino Linotype"/>
        </w:rPr>
        <w:lastRenderedPageBreak/>
        <w:t>Pública del Estado de México y Municipios, podrá impugnarla en la vía Juicio de Amparo en los términos de las leyes aplicables.</w:t>
      </w:r>
    </w:p>
    <w:p w14:paraId="133F0A62" w14:textId="77777777" w:rsidR="007239E3" w:rsidRDefault="0008579E">
      <w:pPr>
        <w:spacing w:before="240" w:after="240" w:line="360" w:lineRule="auto"/>
        <w:jc w:val="both"/>
        <w:rPr>
          <w:rFonts w:ascii="Palatino Linotype" w:eastAsia="Palatino Linotype" w:hAnsi="Palatino Linotype" w:cs="Palatino Linotype"/>
        </w:rPr>
        <w:sectPr w:rsidR="007239E3">
          <w:headerReference w:type="default" r:id="rId15"/>
          <w:footerReference w:type="default" r:id="rId16"/>
          <w:headerReference w:type="first" r:id="rId17"/>
          <w:footerReference w:type="first" r:id="rId18"/>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color w:val="222222"/>
        </w:rPr>
        <w:t>DÉCIMA CUARTA SESIÓN ORDINARIA CELEBRADA EL DIECINUEVE</w:t>
      </w:r>
      <w:r>
        <w:rPr>
          <w:rFonts w:ascii="Palatino Linotype" w:eastAsia="Palatino Linotype" w:hAnsi="Palatino Linotype" w:cs="Palatino Linotype"/>
        </w:rPr>
        <w:t xml:space="preserve"> DE ABRIL DE DOS MIL VEINTITRÉS, ANTE EL SECRETARIO TÉCNICO DEL PLENO ALEXIS TAPIA RAMÍREZ. </w:t>
      </w:r>
    </w:p>
    <w:p w14:paraId="747DFD35" w14:textId="77777777" w:rsidR="007239E3" w:rsidRDefault="007239E3">
      <w:pPr>
        <w:spacing w:before="240" w:after="240" w:line="360" w:lineRule="auto"/>
        <w:jc w:val="both"/>
        <w:rPr>
          <w:rFonts w:ascii="Palatino Linotype" w:eastAsia="Palatino Linotype" w:hAnsi="Palatino Linotype" w:cs="Palatino Linotype"/>
        </w:rPr>
      </w:pPr>
    </w:p>
    <w:p w14:paraId="2067CF85" w14:textId="77777777" w:rsidR="007239E3" w:rsidRDefault="007239E3">
      <w:pPr>
        <w:spacing w:before="240" w:after="240" w:line="360" w:lineRule="auto"/>
        <w:jc w:val="both"/>
        <w:rPr>
          <w:rFonts w:ascii="Palatino Linotype" w:eastAsia="Palatino Linotype" w:hAnsi="Palatino Linotype" w:cs="Palatino Linotype"/>
        </w:rPr>
      </w:pPr>
    </w:p>
    <w:p w14:paraId="4990DF22" w14:textId="77777777" w:rsidR="007239E3" w:rsidRDefault="007239E3">
      <w:pPr>
        <w:spacing w:before="240" w:after="240" w:line="360" w:lineRule="auto"/>
        <w:jc w:val="both"/>
        <w:rPr>
          <w:rFonts w:ascii="Palatino Linotype" w:eastAsia="Palatino Linotype" w:hAnsi="Palatino Linotype" w:cs="Palatino Linotype"/>
        </w:rPr>
      </w:pPr>
    </w:p>
    <w:sectPr w:rsidR="007239E3">
      <w:headerReference w:type="first" r:id="rId19"/>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14644" w14:textId="77777777" w:rsidR="00391890" w:rsidRDefault="00391890">
      <w:r>
        <w:separator/>
      </w:r>
    </w:p>
  </w:endnote>
  <w:endnote w:type="continuationSeparator" w:id="0">
    <w:p w14:paraId="1F5C042D" w14:textId="77777777" w:rsidR="00391890" w:rsidRDefault="0039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D768" w14:textId="77777777" w:rsidR="007239E3" w:rsidRDefault="0008579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2746B">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2746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08AD9F01" w14:textId="77777777" w:rsidR="007239E3" w:rsidRDefault="007239E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E988" w14:textId="77777777" w:rsidR="007239E3" w:rsidRDefault="0008579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2746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2746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3E79E4BE" w14:textId="77777777" w:rsidR="007239E3" w:rsidRDefault="007239E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C3F6" w14:textId="77777777" w:rsidR="00391890" w:rsidRDefault="00391890">
      <w:r>
        <w:separator/>
      </w:r>
    </w:p>
  </w:footnote>
  <w:footnote w:type="continuationSeparator" w:id="0">
    <w:p w14:paraId="4D1488B0" w14:textId="77777777" w:rsidR="00391890" w:rsidRDefault="00391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FD5E" w14:textId="77777777" w:rsidR="007239E3" w:rsidRDefault="0008579E">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598527AA" wp14:editId="644F8AF5">
          <wp:simplePos x="0" y="0"/>
          <wp:positionH relativeFrom="column">
            <wp:posOffset>-665859</wp:posOffset>
          </wp:positionH>
          <wp:positionV relativeFrom="paragraph">
            <wp:posOffset>-453615</wp:posOffset>
          </wp:positionV>
          <wp:extent cx="7635600" cy="9943200"/>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7239E3" w14:paraId="0BE79E68" w14:textId="77777777">
      <w:tc>
        <w:tcPr>
          <w:tcW w:w="2551" w:type="dxa"/>
          <w:vAlign w:val="center"/>
        </w:tcPr>
        <w:p w14:paraId="6B28F1C9" w14:textId="77777777" w:rsidR="007239E3" w:rsidRDefault="000857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CD0A8C7" w14:textId="77777777" w:rsidR="007239E3" w:rsidRDefault="0008579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00654/INFOEM/IP/RR/2023. </w:t>
          </w:r>
        </w:p>
      </w:tc>
    </w:tr>
    <w:tr w:rsidR="007239E3" w14:paraId="6A017576" w14:textId="77777777">
      <w:trPr>
        <w:trHeight w:val="228"/>
      </w:trPr>
      <w:tc>
        <w:tcPr>
          <w:tcW w:w="2551" w:type="dxa"/>
          <w:vAlign w:val="center"/>
        </w:tcPr>
        <w:p w14:paraId="4FB4B387" w14:textId="77777777" w:rsidR="007239E3" w:rsidRDefault="000857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2582146" w14:textId="77777777" w:rsidR="007239E3" w:rsidRDefault="0008579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7239E3" w14:paraId="57F792C6" w14:textId="77777777">
      <w:tc>
        <w:tcPr>
          <w:tcW w:w="2551" w:type="dxa"/>
          <w:vAlign w:val="center"/>
        </w:tcPr>
        <w:p w14:paraId="55041372" w14:textId="77777777" w:rsidR="007239E3" w:rsidRDefault="000857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86AE59E" w14:textId="77777777" w:rsidR="007239E3" w:rsidRDefault="0008579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C68E7F" w14:textId="77777777" w:rsidR="007239E3" w:rsidRDefault="007239E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48F9" w14:textId="77777777" w:rsidR="007239E3" w:rsidRDefault="0008579E">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5A92CFEA" wp14:editId="4D3F27F6">
          <wp:simplePos x="0" y="0"/>
          <wp:positionH relativeFrom="column">
            <wp:posOffset>-680312</wp:posOffset>
          </wp:positionH>
          <wp:positionV relativeFrom="paragraph">
            <wp:posOffset>-168883</wp:posOffset>
          </wp:positionV>
          <wp:extent cx="7635600" cy="9943200"/>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5812" w:type="dxa"/>
      <w:tblInd w:w="3119" w:type="dxa"/>
      <w:tblLayout w:type="fixed"/>
      <w:tblLook w:val="0400" w:firstRow="0" w:lastRow="0" w:firstColumn="0" w:lastColumn="0" w:noHBand="0" w:noVBand="1"/>
    </w:tblPr>
    <w:tblGrid>
      <w:gridCol w:w="2551"/>
      <w:gridCol w:w="3261"/>
    </w:tblGrid>
    <w:tr w:rsidR="007239E3" w14:paraId="5B8B24C1" w14:textId="77777777">
      <w:tc>
        <w:tcPr>
          <w:tcW w:w="2551" w:type="dxa"/>
          <w:vAlign w:val="center"/>
        </w:tcPr>
        <w:p w14:paraId="4BFF5FDC" w14:textId="77777777" w:rsidR="007239E3" w:rsidRDefault="000857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F0D47E0" w14:textId="77777777" w:rsidR="007239E3" w:rsidRDefault="0008579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00654/INFOEM/IP/RR/2023. </w:t>
          </w:r>
        </w:p>
      </w:tc>
    </w:tr>
    <w:tr w:rsidR="007239E3" w14:paraId="2520436F" w14:textId="77777777">
      <w:tc>
        <w:tcPr>
          <w:tcW w:w="2551" w:type="dxa"/>
          <w:vAlign w:val="center"/>
        </w:tcPr>
        <w:p w14:paraId="040DEBCA" w14:textId="77777777" w:rsidR="007239E3" w:rsidRDefault="0008579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251B5889" w14:textId="77777777" w:rsidR="007239E3" w:rsidRDefault="007239E3">
          <w:pPr>
            <w:jc w:val="both"/>
            <w:rPr>
              <w:rFonts w:ascii="Palatino Linotype" w:eastAsia="Palatino Linotype" w:hAnsi="Palatino Linotype" w:cs="Palatino Linotype"/>
              <w:b/>
              <w:sz w:val="22"/>
              <w:szCs w:val="22"/>
            </w:rPr>
          </w:pPr>
        </w:p>
      </w:tc>
    </w:tr>
    <w:tr w:rsidR="007239E3" w14:paraId="31281FA1" w14:textId="77777777">
      <w:trPr>
        <w:trHeight w:val="228"/>
      </w:trPr>
      <w:tc>
        <w:tcPr>
          <w:tcW w:w="2551" w:type="dxa"/>
          <w:vAlign w:val="center"/>
        </w:tcPr>
        <w:p w14:paraId="61C7AD9F" w14:textId="77777777" w:rsidR="007239E3" w:rsidRDefault="000857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445CA4B9" w14:textId="77777777" w:rsidR="007239E3" w:rsidRDefault="0008579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w:t>
          </w:r>
        </w:p>
      </w:tc>
    </w:tr>
    <w:tr w:rsidR="007239E3" w14:paraId="22D85AEA" w14:textId="77777777">
      <w:tc>
        <w:tcPr>
          <w:tcW w:w="2551" w:type="dxa"/>
          <w:vAlign w:val="center"/>
        </w:tcPr>
        <w:p w14:paraId="6B5235D5" w14:textId="77777777" w:rsidR="007239E3" w:rsidRDefault="0008579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4BE81E1F" w14:textId="77777777" w:rsidR="007239E3" w:rsidRDefault="0008579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2479B4" w14:textId="77777777" w:rsidR="007239E3" w:rsidRDefault="007239E3">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F2C7" w14:textId="77777777" w:rsidR="007239E3" w:rsidRDefault="007239E3">
    <w:pPr>
      <w:pBdr>
        <w:top w:val="nil"/>
        <w:left w:val="nil"/>
        <w:bottom w:val="nil"/>
        <w:right w:val="nil"/>
        <w:between w:val="nil"/>
      </w:pBdr>
      <w:tabs>
        <w:tab w:val="center" w:pos="4419"/>
        <w:tab w:val="right" w:pos="8838"/>
      </w:tabs>
      <w:jc w:val="both"/>
      <w:rPr>
        <w:color w:val="000000"/>
      </w:rPr>
    </w:pPr>
  </w:p>
  <w:p w14:paraId="538FA0FF" w14:textId="77777777" w:rsidR="007239E3" w:rsidRDefault="007239E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26B56"/>
    <w:multiLevelType w:val="multilevel"/>
    <w:tmpl w:val="3B045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516560"/>
    <w:multiLevelType w:val="multilevel"/>
    <w:tmpl w:val="A86EF9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E3"/>
    <w:rsid w:val="0008579E"/>
    <w:rsid w:val="002054EA"/>
    <w:rsid w:val="00391890"/>
    <w:rsid w:val="00435BAA"/>
    <w:rsid w:val="007239E3"/>
    <w:rsid w:val="00B9254F"/>
    <w:rsid w:val="00F274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087E"/>
  <w15:docId w15:val="{CF8A41AF-F992-45B3-BF76-CC78CCFB2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01188.page" TargetMode="External"/><Relationship Id="rId13" Type="http://schemas.openxmlformats.org/officeDocument/2006/relationships/hyperlink" Target="https://saimex.org.mx/saimex/solicitud/downloadAttach/1714884.pag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14883.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714881.p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1J39PHmo9Bb7ZSRoU1mR1d+qqQ==">AMUW2mU+enFYYqvXABOxoLnAGfqhyUkfTYRSVKrKH7XP303jE4f+QmrQHJTbqMzW2QbTcU+YdH+GPx+CddWVnKl7N6JJ9HP2NBxkAyBY4Wa6UF5u65jHJlz8GXJ+C1clOGJ+L9CKPK54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3643</Words>
  <Characters>20041</Characters>
  <Application>Microsoft Office Word</Application>
  <DocSecurity>0</DocSecurity>
  <Lines>167</Lines>
  <Paragraphs>47</Paragraphs>
  <ScaleCrop>false</ScaleCrop>
  <Company>HP Inc.</Company>
  <LinksUpToDate>false</LinksUpToDate>
  <CharactersWithSpaces>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2023-04-20T19:21:00Z</cp:lastPrinted>
  <dcterms:created xsi:type="dcterms:W3CDTF">2023-04-28T19:18:00Z</dcterms:created>
  <dcterms:modified xsi:type="dcterms:W3CDTF">2023-04-28T19:18:00Z</dcterms:modified>
</cp:coreProperties>
</file>