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C67" w:rsidRPr="00FC1180" w:rsidRDefault="00FA1C67" w:rsidP="00FA1C67">
      <w:pPr>
        <w:spacing w:line="360" w:lineRule="auto"/>
        <w:jc w:val="both"/>
        <w:rPr>
          <w:rFonts w:ascii="Palatino Linotype" w:eastAsiaTheme="minorEastAsia" w:hAnsi="Palatino Linotype"/>
          <w:lang w:val="es-ES_tradnl" w:eastAsia="es-ES"/>
        </w:rPr>
      </w:pPr>
      <w:r w:rsidRPr="00FC1180">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w:t>
      </w:r>
      <w:r w:rsidR="00B81E5A">
        <w:rPr>
          <w:rFonts w:ascii="Palatino Linotype" w:eastAsiaTheme="minorEastAsia" w:hAnsi="Palatino Linotype"/>
          <w:lang w:val="es-ES_tradnl" w:eastAsia="es-ES"/>
        </w:rPr>
        <w:t xml:space="preserve"> de México; de fecha siete (</w:t>
      </w:r>
      <w:r w:rsidR="00EA37F6">
        <w:rPr>
          <w:rFonts w:ascii="Palatino Linotype" w:eastAsiaTheme="minorEastAsia" w:hAnsi="Palatino Linotype"/>
          <w:lang w:val="es-ES_tradnl" w:eastAsia="es-ES"/>
        </w:rPr>
        <w:t>0</w:t>
      </w:r>
      <w:r w:rsidRPr="00FC1180">
        <w:rPr>
          <w:rFonts w:ascii="Palatino Linotype" w:eastAsiaTheme="minorEastAsia" w:hAnsi="Palatino Linotype"/>
          <w:lang w:val="es-ES_tradnl" w:eastAsia="es-ES"/>
        </w:rPr>
        <w:t>7) de junio de dos mil veintitrés.</w:t>
      </w:r>
    </w:p>
    <w:p w:rsidR="00FA1C67" w:rsidRPr="00FC1180" w:rsidRDefault="00FA1C67" w:rsidP="00FA1C67">
      <w:pPr>
        <w:spacing w:line="360" w:lineRule="auto"/>
        <w:jc w:val="both"/>
        <w:rPr>
          <w:rFonts w:ascii="Palatino Linotype" w:eastAsiaTheme="minorEastAsia" w:hAnsi="Palatino Linotype"/>
          <w:lang w:val="es-ES_tradnl" w:eastAsia="es-ES"/>
        </w:rPr>
      </w:pPr>
    </w:p>
    <w:p w:rsidR="00FA1C67" w:rsidRPr="00FC1180" w:rsidRDefault="00FA1C67" w:rsidP="00FA1C67">
      <w:pPr>
        <w:spacing w:line="360" w:lineRule="auto"/>
        <w:jc w:val="both"/>
        <w:rPr>
          <w:rFonts w:ascii="Palatino Linotype" w:hAnsi="Palatino Linotype"/>
        </w:rPr>
      </w:pPr>
      <w:r w:rsidRPr="00FC1180">
        <w:rPr>
          <w:rFonts w:ascii="Palatino Linotype" w:hAnsi="Palatino Linotype"/>
          <w:b/>
        </w:rPr>
        <w:t>VISTO</w:t>
      </w:r>
      <w:r w:rsidRPr="00FC1180">
        <w:rPr>
          <w:rFonts w:ascii="Palatino Linotype" w:hAnsi="Palatino Linotype"/>
        </w:rPr>
        <w:t xml:space="preserve"> el expediente electrónico formado con motivo del recurso de revisión </w:t>
      </w:r>
      <w:bookmarkStart w:id="0" w:name="_GoBack"/>
      <w:r w:rsidRPr="00FC1180">
        <w:rPr>
          <w:rFonts w:ascii="Palatino Linotype" w:hAnsi="Palatino Linotype"/>
          <w:b/>
        </w:rPr>
        <w:t>02443</w:t>
      </w:r>
      <w:bookmarkEnd w:id="0"/>
      <w:r w:rsidRPr="00FC1180">
        <w:rPr>
          <w:rFonts w:ascii="Palatino Linotype" w:hAnsi="Palatino Linotype"/>
          <w:b/>
        </w:rPr>
        <w:t>/INFOEM/IP/RR/2023,</w:t>
      </w:r>
      <w:r w:rsidRPr="00FC1180">
        <w:rPr>
          <w:rFonts w:ascii="Palatino Linotype" w:hAnsi="Palatino Linotype" w:cs="Arial"/>
          <w:b/>
          <w:bCs/>
        </w:rPr>
        <w:t xml:space="preserve"> </w:t>
      </w:r>
      <w:r w:rsidRPr="00FC1180">
        <w:rPr>
          <w:rFonts w:ascii="Palatino Linotype" w:eastAsiaTheme="minorEastAsia" w:hAnsi="Palatino Linotype"/>
          <w:lang w:val="es-ES_tradnl" w:eastAsia="es-ES"/>
        </w:rPr>
        <w:t xml:space="preserve">promovido por </w:t>
      </w:r>
      <w:r w:rsidR="002F7418">
        <w:rPr>
          <w:rFonts w:ascii="Palatino Linotype" w:eastAsiaTheme="minorEastAsia" w:hAnsi="Palatino Linotype"/>
          <w:b/>
          <w:lang w:val="es-ES" w:eastAsia="es-ES"/>
        </w:rPr>
        <w:t xml:space="preserve">XXX </w:t>
      </w:r>
      <w:proofErr w:type="spellStart"/>
      <w:r w:rsidR="002F7418">
        <w:rPr>
          <w:rFonts w:ascii="Palatino Linotype" w:eastAsiaTheme="minorEastAsia" w:hAnsi="Palatino Linotype"/>
          <w:b/>
          <w:lang w:val="es-ES" w:eastAsia="es-ES"/>
        </w:rPr>
        <w:t>XXX</w:t>
      </w:r>
      <w:proofErr w:type="spellEnd"/>
      <w:r w:rsidR="002F7418">
        <w:rPr>
          <w:rFonts w:ascii="Palatino Linotype" w:eastAsiaTheme="minorEastAsia" w:hAnsi="Palatino Linotype"/>
          <w:b/>
          <w:lang w:val="es-ES" w:eastAsia="es-ES"/>
        </w:rPr>
        <w:t xml:space="preserve"> </w:t>
      </w:r>
      <w:proofErr w:type="spellStart"/>
      <w:r w:rsidR="002F7418">
        <w:rPr>
          <w:rFonts w:ascii="Palatino Linotype" w:eastAsiaTheme="minorEastAsia" w:hAnsi="Palatino Linotype"/>
          <w:b/>
          <w:lang w:val="es-ES" w:eastAsia="es-ES"/>
        </w:rPr>
        <w:t>XXX</w:t>
      </w:r>
      <w:proofErr w:type="spellEnd"/>
      <w:r w:rsidRPr="00FC1180">
        <w:rPr>
          <w:rFonts w:ascii="Palatino Linotype" w:eastAsiaTheme="minorEastAsia" w:hAnsi="Palatino Linotype"/>
          <w:lang w:val="es-ES" w:eastAsia="es-ES"/>
        </w:rPr>
        <w:t xml:space="preserve">, </w:t>
      </w:r>
      <w:r w:rsidRPr="00FC1180">
        <w:rPr>
          <w:rFonts w:ascii="Palatino Linotype" w:eastAsiaTheme="minorEastAsia" w:hAnsi="Palatino Linotype"/>
          <w:lang w:eastAsia="es-ES"/>
        </w:rPr>
        <w:t xml:space="preserve">quien </w:t>
      </w:r>
      <w:r w:rsidRPr="00FC1180">
        <w:rPr>
          <w:rFonts w:ascii="Palatino Linotype" w:hAnsi="Palatino Linotype"/>
        </w:rPr>
        <w:t xml:space="preserve">en lo sucesivo se identificará como </w:t>
      </w:r>
      <w:r w:rsidRPr="00FC1180">
        <w:rPr>
          <w:rFonts w:ascii="Palatino Linotype" w:hAnsi="Palatino Linotype"/>
          <w:b/>
        </w:rPr>
        <w:t xml:space="preserve">EL </w:t>
      </w:r>
      <w:r w:rsidRPr="00FC1180">
        <w:rPr>
          <w:rFonts w:ascii="Palatino Linotype" w:hAnsi="Palatino Linotype" w:cs="Arial"/>
          <w:b/>
        </w:rPr>
        <w:t>RECURRENTE</w:t>
      </w:r>
      <w:r w:rsidRPr="00FC1180">
        <w:rPr>
          <w:rFonts w:ascii="Palatino Linotype" w:hAnsi="Palatino Linotype" w:cs="Arial"/>
        </w:rPr>
        <w:t xml:space="preserve">, en contra de la respuesta del </w:t>
      </w:r>
      <w:r w:rsidRPr="00FC1180">
        <w:rPr>
          <w:rFonts w:ascii="Palatino Linotype" w:hAnsi="Palatino Linotype" w:cs="Arial"/>
          <w:b/>
          <w:bCs/>
        </w:rPr>
        <w:t>Poder Legislativo</w:t>
      </w:r>
      <w:r w:rsidRPr="00FC1180">
        <w:rPr>
          <w:rFonts w:ascii="Palatino Linotype" w:hAnsi="Palatino Linotype" w:cs="Arial"/>
          <w:b/>
        </w:rPr>
        <w:t>,</w:t>
      </w:r>
      <w:r w:rsidRPr="00FC1180">
        <w:rPr>
          <w:rFonts w:ascii="Palatino Linotype" w:hAnsi="Palatino Linotype"/>
          <w:b/>
        </w:rPr>
        <w:t xml:space="preserve"> </w:t>
      </w:r>
      <w:r w:rsidRPr="00FC1180">
        <w:rPr>
          <w:rFonts w:ascii="Palatino Linotype" w:hAnsi="Palatino Linotype"/>
        </w:rPr>
        <w:t xml:space="preserve">en </w:t>
      </w:r>
      <w:r w:rsidR="00EA69FB">
        <w:rPr>
          <w:rFonts w:ascii="Palatino Linotype" w:hAnsi="Palatino Linotype"/>
        </w:rPr>
        <w:t>adelante</w:t>
      </w:r>
      <w:r w:rsidRPr="00FC1180">
        <w:rPr>
          <w:rFonts w:ascii="Palatino Linotype" w:hAnsi="Palatino Linotype"/>
        </w:rPr>
        <w:t xml:space="preserve"> el</w:t>
      </w:r>
      <w:r w:rsidRPr="00FC1180">
        <w:rPr>
          <w:rFonts w:ascii="Palatino Linotype" w:hAnsi="Palatino Linotype"/>
          <w:b/>
        </w:rPr>
        <w:t xml:space="preserve"> SUJETO OBLIGADO</w:t>
      </w:r>
      <w:r w:rsidRPr="00FC1180">
        <w:rPr>
          <w:rFonts w:ascii="Palatino Linotype" w:hAnsi="Palatino Linotype"/>
        </w:rPr>
        <w:t>, por lo que se procede a dictar la presente resolución, con base en los siguientes:</w:t>
      </w:r>
    </w:p>
    <w:p w:rsidR="00FA1C67" w:rsidRPr="00FC1180" w:rsidRDefault="00FA1C67" w:rsidP="00FA1C67">
      <w:pPr>
        <w:spacing w:line="360" w:lineRule="auto"/>
        <w:jc w:val="both"/>
        <w:rPr>
          <w:rFonts w:ascii="Palatino Linotype" w:hAnsi="Palatino Linotype"/>
        </w:rPr>
      </w:pPr>
    </w:p>
    <w:p w:rsidR="00FA1C67" w:rsidRPr="00FC1180" w:rsidRDefault="00FA1C67" w:rsidP="00FA1C67">
      <w:pPr>
        <w:keepNext/>
        <w:keepLines/>
        <w:spacing w:line="360" w:lineRule="auto"/>
        <w:jc w:val="center"/>
        <w:outlineLvl w:val="0"/>
        <w:rPr>
          <w:rFonts w:ascii="Palatino Linotype" w:eastAsiaTheme="majorEastAsia" w:hAnsi="Palatino Linotype" w:cstheme="majorBidi"/>
          <w:b/>
          <w:szCs w:val="32"/>
        </w:rPr>
      </w:pPr>
      <w:bookmarkStart w:id="1" w:name="_Toc83301633"/>
      <w:r w:rsidRPr="00FC1180">
        <w:rPr>
          <w:rFonts w:ascii="Palatino Linotype" w:eastAsiaTheme="majorEastAsia" w:hAnsi="Palatino Linotype" w:cstheme="majorBidi"/>
          <w:b/>
          <w:szCs w:val="32"/>
        </w:rPr>
        <w:t>ANTECEDENTES</w:t>
      </w:r>
      <w:bookmarkEnd w:id="1"/>
    </w:p>
    <w:p w:rsidR="00FA1C67" w:rsidRPr="00FC1180" w:rsidRDefault="00FA1C67" w:rsidP="00FA1C67">
      <w:pPr>
        <w:spacing w:line="360" w:lineRule="auto"/>
        <w:rPr>
          <w:rFonts w:ascii="Palatino Linotype" w:eastAsiaTheme="minorEastAsia" w:hAnsi="Palatino Linotype"/>
        </w:rPr>
      </w:pPr>
    </w:p>
    <w:p w:rsidR="00FA1C67" w:rsidRPr="00FC1180" w:rsidRDefault="00FA1C67" w:rsidP="00FA1C67">
      <w:pPr>
        <w:numPr>
          <w:ilvl w:val="0"/>
          <w:numId w:val="1"/>
        </w:numPr>
        <w:spacing w:line="360" w:lineRule="auto"/>
        <w:ind w:left="0" w:firstLine="0"/>
        <w:contextualSpacing/>
        <w:jc w:val="both"/>
        <w:rPr>
          <w:rFonts w:ascii="Palatino Linotype" w:hAnsi="Palatino Linotype" w:cs="Arial"/>
          <w:lang w:val="es-ES" w:eastAsia="es-ES"/>
        </w:rPr>
      </w:pPr>
      <w:r w:rsidRPr="00FC1180">
        <w:rPr>
          <w:rFonts w:ascii="Palatino Linotype" w:eastAsia="Calibri" w:hAnsi="Palatino Linotype" w:cs="Arial"/>
          <w:lang w:val="es-ES" w:eastAsia="es-ES"/>
        </w:rPr>
        <w:t>El once (11) de abril de dos mil veintitrés,</w:t>
      </w:r>
      <w:r w:rsidRPr="00FC1180">
        <w:rPr>
          <w:rFonts w:ascii="Palatino Linotype" w:eastAsia="Calibri" w:hAnsi="Palatino Linotype"/>
          <w:lang w:val="es-ES" w:eastAsia="es-ES"/>
        </w:rPr>
        <w:t xml:space="preserve"> </w:t>
      </w:r>
      <w:r w:rsidRPr="00FC1180">
        <w:rPr>
          <w:rFonts w:ascii="Palatino Linotype" w:eastAsia="Calibri" w:hAnsi="Palatino Linotype"/>
          <w:b/>
          <w:lang w:val="es-ES" w:eastAsia="es-ES"/>
        </w:rPr>
        <w:t>EL RECURRENTE</w:t>
      </w:r>
      <w:r w:rsidRPr="00FC1180">
        <w:rPr>
          <w:rFonts w:ascii="Palatino Linotype" w:eastAsiaTheme="minorEastAsia" w:hAnsi="Palatino Linotype"/>
          <w:b/>
          <w:lang w:val="es-ES_tradnl" w:eastAsia="es-ES"/>
        </w:rPr>
        <w:t>,</w:t>
      </w:r>
      <w:r w:rsidRPr="00FC1180">
        <w:rPr>
          <w:rFonts w:ascii="Palatino Linotype" w:eastAsia="Calibri" w:hAnsi="Palatino Linotype" w:cs="Arial"/>
          <w:lang w:val="es-ES" w:eastAsia="es-ES"/>
        </w:rPr>
        <w:t xml:space="preserve"> ante el </w:t>
      </w:r>
      <w:r w:rsidRPr="00FC1180">
        <w:rPr>
          <w:rFonts w:ascii="Palatino Linotype" w:eastAsia="Calibri" w:hAnsi="Palatino Linotype" w:cs="Arial"/>
          <w:b/>
          <w:lang w:val="es-ES" w:eastAsia="es-ES"/>
        </w:rPr>
        <w:t>SUJETO OBLIGADO</w:t>
      </w:r>
      <w:r w:rsidRPr="00FC1180">
        <w:rPr>
          <w:rFonts w:ascii="Palatino Linotype" w:eastAsia="Calibri" w:hAnsi="Palatino Linotype" w:cs="Arial"/>
          <w:lang w:val="es-ES_tradnl" w:eastAsia="es-ES"/>
        </w:rPr>
        <w:t xml:space="preserve"> vía </w:t>
      </w:r>
      <w:r w:rsidRPr="00FC1180">
        <w:rPr>
          <w:rFonts w:ascii="Palatino Linotype" w:eastAsia="Calibri" w:hAnsi="Palatino Linotype" w:cs="Arial"/>
          <w:lang w:val="es-ES" w:eastAsia="es-ES"/>
        </w:rPr>
        <w:t>Sistema de Acceso a la Información Mexiquense (</w:t>
      </w:r>
      <w:r w:rsidRPr="00FC1180">
        <w:rPr>
          <w:rFonts w:ascii="Palatino Linotype" w:eastAsia="Calibri" w:hAnsi="Palatino Linotype" w:cs="Arial"/>
          <w:b/>
          <w:lang w:val="es-ES" w:eastAsia="es-ES"/>
        </w:rPr>
        <w:t>SAIMEX)</w:t>
      </w:r>
      <w:r w:rsidRPr="00FC1180">
        <w:rPr>
          <w:rFonts w:ascii="Palatino Linotype" w:eastAsia="Calibri" w:hAnsi="Palatino Linotype" w:cs="Arial"/>
          <w:lang w:val="es-ES" w:eastAsia="es-ES"/>
        </w:rPr>
        <w:t xml:space="preserve">, presentó una solicitud de información registrada con el número </w:t>
      </w:r>
      <w:r w:rsidRPr="00FC1180">
        <w:rPr>
          <w:rFonts w:ascii="Palatino Linotype" w:hAnsi="Palatino Linotype"/>
          <w:b/>
          <w:bCs/>
        </w:rPr>
        <w:t>00193/PLEGISLA/IP/2023</w:t>
      </w:r>
      <w:r w:rsidRPr="00FC1180">
        <w:rPr>
          <w:rFonts w:ascii="Palatino Linotype" w:eastAsiaTheme="minorEastAsia" w:hAnsi="Palatino Linotype"/>
          <w:b/>
          <w:lang w:val="es-ES_tradnl" w:eastAsia="es-ES"/>
        </w:rPr>
        <w:t xml:space="preserve">, </w:t>
      </w:r>
      <w:r w:rsidRPr="00FC1180">
        <w:rPr>
          <w:rFonts w:ascii="Palatino Linotype" w:eastAsia="Calibri" w:hAnsi="Palatino Linotype" w:cs="Arial"/>
          <w:lang w:val="es-ES" w:eastAsia="es-ES"/>
        </w:rPr>
        <w:t>mediante la cual solicitó lo siguiente:</w:t>
      </w:r>
    </w:p>
    <w:p w:rsidR="00FA1C67" w:rsidRPr="00FC1180" w:rsidRDefault="00FA1C67" w:rsidP="00FA1C67">
      <w:pPr>
        <w:spacing w:line="360" w:lineRule="auto"/>
        <w:contextualSpacing/>
        <w:jc w:val="both"/>
        <w:rPr>
          <w:rFonts w:ascii="Palatino Linotype" w:hAnsi="Palatino Linotype" w:cs="Arial"/>
          <w:lang w:val="es-ES" w:eastAsia="es-ES"/>
        </w:rPr>
      </w:pPr>
    </w:p>
    <w:p w:rsidR="00FA1C67" w:rsidRPr="00FC1180" w:rsidRDefault="00FA1C67" w:rsidP="00FA1C67">
      <w:pPr>
        <w:pStyle w:val="Prrafodelista"/>
        <w:spacing w:line="360" w:lineRule="auto"/>
        <w:ind w:left="1069" w:right="567"/>
        <w:jc w:val="both"/>
        <w:rPr>
          <w:rFonts w:ascii="Palatino Linotype" w:hAnsi="Palatino Linotype"/>
          <w:i/>
          <w:color w:val="000000"/>
        </w:rPr>
      </w:pPr>
      <w:r w:rsidRPr="00FC1180">
        <w:rPr>
          <w:rFonts w:ascii="Palatino Linotype" w:hAnsi="Palatino Linotype"/>
          <w:i/>
          <w:color w:val="000000"/>
        </w:rPr>
        <w:t xml:space="preserve"> “Solicito me proporcionen el lineamiento, emitido por el Organo Superior de Fiscalización del Estado de México, en materia de inventarios para los municipios y sus organismos descentralizados, que actualmente esté vigente. En caso de existir un proceso de reforma a dicho lineamiento, Solicito me proporcionen el proyecto, los nombres y correos de contacto de los servidores públicos que intervengan en el mismo. Gracias.” (Sic) </w:t>
      </w:r>
    </w:p>
    <w:p w:rsidR="00FA1C67" w:rsidRPr="00FC1180" w:rsidRDefault="00FA1C67" w:rsidP="00FA1C67">
      <w:pPr>
        <w:pStyle w:val="Prrafodelista"/>
        <w:spacing w:line="360" w:lineRule="auto"/>
        <w:ind w:left="1069" w:right="567"/>
        <w:jc w:val="both"/>
        <w:rPr>
          <w:rFonts w:ascii="Palatino Linotype" w:hAnsi="Palatino Linotype"/>
          <w:i/>
          <w:color w:val="000000"/>
        </w:rPr>
      </w:pPr>
    </w:p>
    <w:p w:rsidR="00FA1C67" w:rsidRPr="00FC1180" w:rsidRDefault="00FA1C67" w:rsidP="00FA1C67">
      <w:pPr>
        <w:numPr>
          <w:ilvl w:val="0"/>
          <w:numId w:val="1"/>
        </w:numPr>
        <w:spacing w:line="360" w:lineRule="auto"/>
        <w:ind w:left="0" w:firstLine="0"/>
        <w:contextualSpacing/>
        <w:jc w:val="both"/>
        <w:rPr>
          <w:rFonts w:ascii="Palatino Linotype" w:eastAsia="Calibri" w:hAnsi="Palatino Linotype"/>
          <w:lang w:val="es-ES" w:eastAsia="es-ES"/>
        </w:rPr>
      </w:pPr>
      <w:r w:rsidRPr="00FC1180">
        <w:rPr>
          <w:rFonts w:ascii="Palatino Linotype" w:eastAsia="Calibri" w:hAnsi="Palatino Linotype"/>
          <w:lang w:val="es-ES" w:eastAsia="es-ES"/>
        </w:rPr>
        <w:lastRenderedPageBreak/>
        <w:t>Se eligió como modalidad de entrega a través de la plataforma digital Sistema de Acceso a la Información Mexiquense (SAIMEX).</w:t>
      </w:r>
    </w:p>
    <w:p w:rsidR="00FA1C67" w:rsidRPr="00FC1180" w:rsidRDefault="00FA1C67" w:rsidP="00FA1C67">
      <w:pPr>
        <w:spacing w:line="360" w:lineRule="auto"/>
        <w:contextualSpacing/>
        <w:jc w:val="both"/>
        <w:rPr>
          <w:rFonts w:ascii="Palatino Linotype" w:eastAsia="Calibri" w:hAnsi="Palatino Linotype"/>
          <w:lang w:val="es-ES" w:eastAsia="es-ES"/>
        </w:rPr>
      </w:pPr>
    </w:p>
    <w:p w:rsidR="00FA1C67" w:rsidRPr="00FC1180" w:rsidRDefault="00FA1C67" w:rsidP="00FA1C67">
      <w:pPr>
        <w:numPr>
          <w:ilvl w:val="0"/>
          <w:numId w:val="1"/>
        </w:numPr>
        <w:spacing w:line="360" w:lineRule="auto"/>
        <w:ind w:left="0" w:firstLine="0"/>
        <w:contextualSpacing/>
        <w:jc w:val="both"/>
        <w:rPr>
          <w:rFonts w:ascii="Palatino Linotype" w:eastAsia="Calibri" w:hAnsi="Palatino Linotype"/>
          <w:lang w:val="es-ES" w:eastAsia="es-ES"/>
        </w:rPr>
      </w:pPr>
      <w:r w:rsidRPr="00FC1180">
        <w:rPr>
          <w:rFonts w:ascii="Palatino Linotype" w:eastAsia="Calibri" w:hAnsi="Palatino Linotype"/>
          <w:lang w:val="es-ES" w:eastAsia="es-ES"/>
        </w:rPr>
        <w:t xml:space="preserve">El </w:t>
      </w:r>
      <w:r w:rsidR="00B66DDE" w:rsidRPr="00FC1180">
        <w:rPr>
          <w:rFonts w:ascii="Palatino Linotype" w:eastAsia="Calibri" w:hAnsi="Palatino Linotype"/>
          <w:lang w:val="es-ES" w:eastAsia="es-ES"/>
        </w:rPr>
        <w:t>once (11) de abril de dos mil veintitrés</w:t>
      </w:r>
      <w:r w:rsidRPr="00FC1180">
        <w:rPr>
          <w:rFonts w:ascii="Palatino Linotype" w:eastAsia="Calibri" w:hAnsi="Palatino Linotype"/>
          <w:lang w:val="es-ES" w:eastAsia="es-ES"/>
        </w:rPr>
        <w:t xml:space="preserve">, se realizó un requerimiento al servidor público habilitado. </w:t>
      </w:r>
    </w:p>
    <w:p w:rsidR="00FA1C67" w:rsidRPr="00FC1180" w:rsidRDefault="00FA1C67" w:rsidP="00FA1C67">
      <w:pPr>
        <w:spacing w:line="360" w:lineRule="auto"/>
        <w:contextualSpacing/>
        <w:jc w:val="both"/>
        <w:rPr>
          <w:rFonts w:ascii="Palatino Linotype" w:eastAsia="Calibri" w:hAnsi="Palatino Linotype"/>
          <w:lang w:val="es-ES" w:eastAsia="es-ES"/>
        </w:rPr>
      </w:pPr>
    </w:p>
    <w:p w:rsidR="00FA1C67" w:rsidRPr="00FC1180" w:rsidRDefault="00FA1C67" w:rsidP="00FA1C67">
      <w:pPr>
        <w:numPr>
          <w:ilvl w:val="0"/>
          <w:numId w:val="1"/>
        </w:numPr>
        <w:spacing w:line="360" w:lineRule="auto"/>
        <w:ind w:left="0" w:firstLine="0"/>
        <w:contextualSpacing/>
        <w:jc w:val="both"/>
        <w:rPr>
          <w:rFonts w:ascii="Palatino Linotype" w:eastAsia="Calibri" w:hAnsi="Palatino Linotype"/>
          <w:lang w:val="es-ES" w:eastAsia="es-ES"/>
        </w:rPr>
      </w:pPr>
      <w:r w:rsidRPr="00FC1180">
        <w:rPr>
          <w:rFonts w:ascii="Palatino Linotype" w:eastAsiaTheme="minorEastAsia" w:hAnsi="Palatino Linotype"/>
          <w:lang w:val="es-ES_tradnl" w:eastAsia="es-ES"/>
        </w:rPr>
        <w:t xml:space="preserve">El </w:t>
      </w:r>
      <w:r w:rsidR="00B66DDE" w:rsidRPr="00FC1180">
        <w:rPr>
          <w:rFonts w:ascii="Palatino Linotype" w:eastAsiaTheme="minorEastAsia" w:hAnsi="Palatino Linotype"/>
          <w:lang w:val="es-ES_tradnl" w:eastAsia="es-ES"/>
        </w:rPr>
        <w:t>veintisiete (27) de abril</w:t>
      </w:r>
      <w:r w:rsidRPr="00FC1180">
        <w:rPr>
          <w:rFonts w:ascii="Palatino Linotype" w:eastAsiaTheme="minorEastAsia" w:hAnsi="Palatino Linotype"/>
          <w:lang w:val="es-ES_tradnl" w:eastAsia="es-ES"/>
        </w:rPr>
        <w:t xml:space="preserve"> de dos mil veintitrés, </w:t>
      </w:r>
      <w:r w:rsidRPr="00FC1180">
        <w:rPr>
          <w:rFonts w:ascii="Palatino Linotype" w:eastAsia="Calibri" w:hAnsi="Palatino Linotype"/>
          <w:lang w:val="es-ES" w:eastAsia="es-ES"/>
        </w:rPr>
        <w:t xml:space="preserve">el </w:t>
      </w:r>
      <w:r w:rsidRPr="00FC1180">
        <w:rPr>
          <w:rFonts w:ascii="Palatino Linotype" w:eastAsia="Calibri" w:hAnsi="Palatino Linotype" w:cs="Arial"/>
          <w:b/>
          <w:lang w:val="es-AR" w:eastAsia="es-ES"/>
        </w:rPr>
        <w:t>SUJETO OBLIGADO</w:t>
      </w:r>
      <w:r w:rsidRPr="00FC1180">
        <w:rPr>
          <w:rFonts w:ascii="Palatino Linotype" w:eastAsia="Calibri" w:hAnsi="Palatino Linotype" w:cs="Arial"/>
          <w:b/>
          <w:i/>
          <w:lang w:val="es-AR" w:eastAsia="es-ES"/>
        </w:rPr>
        <w:t xml:space="preserve"> </w:t>
      </w:r>
      <w:r w:rsidRPr="00FC1180">
        <w:rPr>
          <w:rFonts w:ascii="Palatino Linotype" w:hAnsi="Palatino Linotype" w:cs="Arial"/>
          <w:lang w:val="es-ES" w:eastAsia="es-ES"/>
        </w:rPr>
        <w:t>dio respuesta a la solicitud de información en los siguientes términos:</w:t>
      </w:r>
    </w:p>
    <w:p w:rsidR="00FA1C67" w:rsidRPr="00FC1180" w:rsidRDefault="00FA1C67" w:rsidP="00FA1C67">
      <w:pPr>
        <w:spacing w:line="360" w:lineRule="auto"/>
        <w:contextualSpacing/>
        <w:jc w:val="both"/>
        <w:rPr>
          <w:rFonts w:ascii="Palatino Linotype" w:eastAsia="Calibri" w:hAnsi="Palatino Linotype"/>
          <w:lang w:val="es-ES" w:eastAsia="es-ES"/>
        </w:rPr>
      </w:pPr>
    </w:p>
    <w:tbl>
      <w:tblPr>
        <w:tblW w:w="7345" w:type="dxa"/>
        <w:jc w:val="center"/>
        <w:tblCellSpacing w:w="0" w:type="dxa"/>
        <w:tblCellMar>
          <w:left w:w="0" w:type="dxa"/>
          <w:right w:w="0" w:type="dxa"/>
        </w:tblCellMar>
        <w:tblLook w:val="04A0" w:firstRow="1" w:lastRow="0" w:firstColumn="1" w:lastColumn="0" w:noHBand="0" w:noVBand="1"/>
      </w:tblPr>
      <w:tblGrid>
        <w:gridCol w:w="7345"/>
      </w:tblGrid>
      <w:tr w:rsidR="00B66DDE" w:rsidRPr="00FC1180" w:rsidTr="00B66DDE">
        <w:trPr>
          <w:trHeight w:val="344"/>
          <w:tblCellSpacing w:w="0" w:type="dxa"/>
          <w:jc w:val="center"/>
        </w:trPr>
        <w:tc>
          <w:tcPr>
            <w:tcW w:w="0" w:type="auto"/>
            <w:vAlign w:val="center"/>
            <w:hideMark/>
          </w:tcPr>
          <w:p w:rsidR="00B66DDE" w:rsidRPr="00FC1180" w:rsidRDefault="00B66DDE" w:rsidP="00B66DDE">
            <w:pPr>
              <w:jc w:val="right"/>
              <w:rPr>
                <w:rFonts w:ascii="Palatino Linotype" w:hAnsi="Palatino Linotype"/>
                <w:i/>
                <w:sz w:val="22"/>
                <w:lang w:val="es-ES" w:eastAsia="es-ES"/>
              </w:rPr>
            </w:pPr>
            <w:r w:rsidRPr="00FC1180">
              <w:rPr>
                <w:rFonts w:ascii="Palatino Linotype" w:hAnsi="Palatino Linotype"/>
                <w:i/>
                <w:sz w:val="22"/>
                <w:szCs w:val="18"/>
                <w:lang w:val="es-ES" w:eastAsia="es-ES"/>
              </w:rPr>
              <w:t>“Metepec, México a 27 de Abril de 2023</w:t>
            </w:r>
          </w:p>
        </w:tc>
      </w:tr>
      <w:tr w:rsidR="00B66DDE" w:rsidRPr="00FC1180" w:rsidTr="00B66DDE">
        <w:trPr>
          <w:trHeight w:val="344"/>
          <w:tblCellSpacing w:w="0" w:type="dxa"/>
          <w:jc w:val="center"/>
        </w:trPr>
        <w:tc>
          <w:tcPr>
            <w:tcW w:w="0" w:type="auto"/>
            <w:vAlign w:val="center"/>
            <w:hideMark/>
          </w:tcPr>
          <w:p w:rsidR="00B66DDE" w:rsidRPr="00FC1180" w:rsidRDefault="00B66DDE" w:rsidP="00B66DDE">
            <w:pPr>
              <w:jc w:val="right"/>
              <w:rPr>
                <w:rFonts w:ascii="Palatino Linotype" w:hAnsi="Palatino Linotype"/>
                <w:i/>
                <w:sz w:val="22"/>
                <w:lang w:val="es-ES" w:eastAsia="es-ES"/>
              </w:rPr>
            </w:pPr>
            <w:r w:rsidRPr="00FC1180">
              <w:rPr>
                <w:rFonts w:ascii="Palatino Linotype" w:hAnsi="Palatino Linotype"/>
                <w:i/>
                <w:sz w:val="22"/>
                <w:szCs w:val="18"/>
                <w:lang w:val="es-ES" w:eastAsia="es-ES"/>
              </w:rPr>
              <w:t>Nombre del solicitante: C. Solicitante</w:t>
            </w:r>
          </w:p>
        </w:tc>
      </w:tr>
      <w:tr w:rsidR="00B66DDE" w:rsidRPr="00FC1180" w:rsidTr="00B66DDE">
        <w:trPr>
          <w:trHeight w:val="344"/>
          <w:tblCellSpacing w:w="0" w:type="dxa"/>
          <w:jc w:val="center"/>
        </w:trPr>
        <w:tc>
          <w:tcPr>
            <w:tcW w:w="0" w:type="auto"/>
            <w:vAlign w:val="center"/>
            <w:hideMark/>
          </w:tcPr>
          <w:p w:rsidR="00B66DDE" w:rsidRPr="00FC1180" w:rsidRDefault="00B66DDE" w:rsidP="00B66DDE">
            <w:pPr>
              <w:jc w:val="right"/>
              <w:rPr>
                <w:rFonts w:ascii="Palatino Linotype" w:hAnsi="Palatino Linotype"/>
                <w:i/>
                <w:sz w:val="22"/>
                <w:lang w:val="es-ES" w:eastAsia="es-ES"/>
              </w:rPr>
            </w:pPr>
            <w:r w:rsidRPr="00FC1180">
              <w:rPr>
                <w:rFonts w:ascii="Palatino Linotype" w:hAnsi="Palatino Linotype"/>
                <w:i/>
                <w:sz w:val="22"/>
                <w:szCs w:val="18"/>
                <w:lang w:val="es-ES" w:eastAsia="es-ES"/>
              </w:rPr>
              <w:t>Folio de la solicitud: 00193/PLEGISLA/IP/2023</w:t>
            </w:r>
          </w:p>
        </w:tc>
      </w:tr>
      <w:tr w:rsidR="00B66DDE" w:rsidRPr="00FC1180" w:rsidTr="00B66DDE">
        <w:trPr>
          <w:trHeight w:val="516"/>
          <w:tblCellSpacing w:w="0" w:type="dxa"/>
          <w:jc w:val="center"/>
        </w:trPr>
        <w:tc>
          <w:tcPr>
            <w:tcW w:w="0" w:type="auto"/>
            <w:vAlign w:val="center"/>
            <w:hideMark/>
          </w:tcPr>
          <w:p w:rsidR="00B66DDE" w:rsidRPr="00FC1180" w:rsidRDefault="00B66DDE" w:rsidP="00B66DDE">
            <w:pPr>
              <w:jc w:val="right"/>
              <w:rPr>
                <w:rFonts w:ascii="Palatino Linotype" w:hAnsi="Palatino Linotype"/>
                <w:i/>
                <w:sz w:val="22"/>
                <w:lang w:val="es-ES" w:eastAsia="es-ES"/>
              </w:rPr>
            </w:pPr>
          </w:p>
        </w:tc>
      </w:tr>
      <w:tr w:rsidR="00B66DDE" w:rsidRPr="00FC1180" w:rsidTr="00B66DDE">
        <w:trPr>
          <w:trHeight w:val="172"/>
          <w:tblCellSpacing w:w="0" w:type="dxa"/>
          <w:jc w:val="center"/>
        </w:trPr>
        <w:tc>
          <w:tcPr>
            <w:tcW w:w="0" w:type="auto"/>
            <w:vAlign w:val="center"/>
            <w:hideMark/>
          </w:tcPr>
          <w:p w:rsidR="00B66DDE" w:rsidRPr="00FC1180" w:rsidRDefault="00B66DDE" w:rsidP="00B66DDE">
            <w:pPr>
              <w:rPr>
                <w:rFonts w:ascii="Palatino Linotype" w:hAnsi="Palatino Linotype"/>
                <w:i/>
                <w:sz w:val="22"/>
                <w:lang w:val="es-ES" w:eastAsia="es-ES"/>
              </w:rPr>
            </w:pPr>
            <w:r w:rsidRPr="00FC1180">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B66DDE" w:rsidRPr="00FC1180" w:rsidTr="00B66DDE">
        <w:trPr>
          <w:trHeight w:val="430"/>
          <w:tblCellSpacing w:w="0" w:type="dxa"/>
          <w:jc w:val="center"/>
        </w:trPr>
        <w:tc>
          <w:tcPr>
            <w:tcW w:w="0" w:type="auto"/>
            <w:vAlign w:val="center"/>
            <w:hideMark/>
          </w:tcPr>
          <w:p w:rsidR="00B66DDE" w:rsidRPr="00FC1180" w:rsidRDefault="00B66DDE" w:rsidP="00B66DDE">
            <w:pPr>
              <w:rPr>
                <w:rFonts w:ascii="Palatino Linotype" w:hAnsi="Palatino Linotype"/>
                <w:i/>
                <w:sz w:val="22"/>
                <w:lang w:val="es-ES" w:eastAsia="es-ES"/>
              </w:rPr>
            </w:pPr>
          </w:p>
        </w:tc>
      </w:tr>
      <w:tr w:rsidR="00B66DDE" w:rsidRPr="00FC1180" w:rsidTr="00B66DDE">
        <w:trPr>
          <w:trHeight w:val="172"/>
          <w:tblCellSpacing w:w="0" w:type="dxa"/>
          <w:jc w:val="center"/>
        </w:trPr>
        <w:tc>
          <w:tcPr>
            <w:tcW w:w="0" w:type="auto"/>
            <w:vAlign w:val="center"/>
            <w:hideMark/>
          </w:tcPr>
          <w:p w:rsidR="00B66DDE" w:rsidRPr="00FC1180" w:rsidRDefault="00B66DDE" w:rsidP="00B66DDE">
            <w:pPr>
              <w:rPr>
                <w:rFonts w:ascii="Palatino Linotype" w:hAnsi="Palatino Linotype"/>
                <w:i/>
                <w:sz w:val="22"/>
                <w:lang w:val="es-ES" w:eastAsia="es-ES"/>
              </w:rPr>
            </w:pPr>
            <w:r w:rsidRPr="00FC1180">
              <w:rPr>
                <w:rFonts w:ascii="Palatino Linotype" w:hAnsi="Palatino Linotype"/>
                <w:i/>
                <w:sz w:val="22"/>
                <w:szCs w:val="18"/>
                <w:lang w:val="es-ES" w:eastAsia="es-ES"/>
              </w:rPr>
              <w:t>Respuesta a solicitud 00193-2023</w:t>
            </w:r>
          </w:p>
        </w:tc>
      </w:tr>
      <w:tr w:rsidR="00B66DDE" w:rsidRPr="00FC1180" w:rsidTr="00B66DDE">
        <w:trPr>
          <w:trHeight w:val="430"/>
          <w:tblCellSpacing w:w="0" w:type="dxa"/>
          <w:jc w:val="center"/>
        </w:trPr>
        <w:tc>
          <w:tcPr>
            <w:tcW w:w="0" w:type="auto"/>
            <w:vAlign w:val="center"/>
            <w:hideMark/>
          </w:tcPr>
          <w:p w:rsidR="00B66DDE" w:rsidRPr="00FC1180" w:rsidRDefault="00B66DDE" w:rsidP="00B66DDE">
            <w:pPr>
              <w:rPr>
                <w:rFonts w:ascii="Palatino Linotype" w:hAnsi="Palatino Linotype"/>
                <w:i/>
                <w:sz w:val="22"/>
                <w:lang w:val="es-ES" w:eastAsia="es-ES"/>
              </w:rPr>
            </w:pPr>
          </w:p>
        </w:tc>
      </w:tr>
      <w:tr w:rsidR="00B66DDE" w:rsidRPr="00FC1180" w:rsidTr="00B66DDE">
        <w:trPr>
          <w:trHeight w:val="172"/>
          <w:tblCellSpacing w:w="0" w:type="dxa"/>
          <w:jc w:val="center"/>
        </w:trPr>
        <w:tc>
          <w:tcPr>
            <w:tcW w:w="0" w:type="auto"/>
            <w:vAlign w:val="center"/>
            <w:hideMark/>
          </w:tcPr>
          <w:p w:rsidR="00B66DDE" w:rsidRPr="00FC1180" w:rsidRDefault="00B66DDE" w:rsidP="00B66DDE">
            <w:pPr>
              <w:jc w:val="center"/>
              <w:rPr>
                <w:rFonts w:ascii="Palatino Linotype" w:hAnsi="Palatino Linotype"/>
                <w:i/>
                <w:sz w:val="22"/>
                <w:szCs w:val="20"/>
                <w:lang w:val="es-ES" w:eastAsia="es-ES"/>
              </w:rPr>
            </w:pPr>
          </w:p>
        </w:tc>
      </w:tr>
      <w:tr w:rsidR="00B66DDE" w:rsidRPr="00FC1180" w:rsidTr="00B66DDE">
        <w:trPr>
          <w:trHeight w:val="172"/>
          <w:tblCellSpacing w:w="0" w:type="dxa"/>
          <w:jc w:val="center"/>
        </w:trPr>
        <w:tc>
          <w:tcPr>
            <w:tcW w:w="0" w:type="auto"/>
            <w:vAlign w:val="center"/>
            <w:hideMark/>
          </w:tcPr>
          <w:p w:rsidR="00B66DDE" w:rsidRPr="00FC1180" w:rsidRDefault="00B66DDE" w:rsidP="00B66DDE">
            <w:pPr>
              <w:rPr>
                <w:rFonts w:ascii="Palatino Linotype" w:hAnsi="Palatino Linotype"/>
                <w:i/>
                <w:sz w:val="22"/>
                <w:szCs w:val="20"/>
                <w:lang w:val="es-ES" w:eastAsia="es-ES"/>
              </w:rPr>
            </w:pPr>
          </w:p>
        </w:tc>
      </w:tr>
      <w:tr w:rsidR="00B66DDE" w:rsidRPr="00FC1180" w:rsidTr="00B66DDE">
        <w:trPr>
          <w:trHeight w:val="172"/>
          <w:tblCellSpacing w:w="0" w:type="dxa"/>
          <w:jc w:val="center"/>
        </w:trPr>
        <w:tc>
          <w:tcPr>
            <w:tcW w:w="0" w:type="auto"/>
            <w:vAlign w:val="center"/>
            <w:hideMark/>
          </w:tcPr>
          <w:p w:rsidR="00B66DDE" w:rsidRPr="00FC1180" w:rsidRDefault="00B66DDE" w:rsidP="00B66DDE">
            <w:pPr>
              <w:rPr>
                <w:rFonts w:ascii="Palatino Linotype" w:hAnsi="Palatino Linotype"/>
                <w:i/>
                <w:sz w:val="22"/>
                <w:lang w:val="es-ES" w:eastAsia="es-ES"/>
              </w:rPr>
            </w:pPr>
            <w:r w:rsidRPr="00FC1180">
              <w:rPr>
                <w:rFonts w:ascii="Palatino Linotype" w:hAnsi="Palatino Linotype"/>
                <w:i/>
                <w:sz w:val="22"/>
                <w:szCs w:val="18"/>
                <w:lang w:val="es-ES" w:eastAsia="es-ES"/>
              </w:rPr>
              <w:t>ATENTAMENTE</w:t>
            </w:r>
          </w:p>
        </w:tc>
      </w:tr>
      <w:tr w:rsidR="00B66DDE" w:rsidRPr="00FC1180" w:rsidTr="00B66DDE">
        <w:trPr>
          <w:trHeight w:val="258"/>
          <w:tblCellSpacing w:w="0" w:type="dxa"/>
          <w:jc w:val="center"/>
        </w:trPr>
        <w:tc>
          <w:tcPr>
            <w:tcW w:w="0" w:type="auto"/>
            <w:vAlign w:val="center"/>
            <w:hideMark/>
          </w:tcPr>
          <w:p w:rsidR="00B66DDE" w:rsidRPr="00FC1180" w:rsidRDefault="00B66DDE" w:rsidP="00B66DDE">
            <w:pPr>
              <w:rPr>
                <w:rFonts w:ascii="Palatino Linotype" w:hAnsi="Palatino Linotype"/>
                <w:i/>
                <w:sz w:val="22"/>
                <w:lang w:val="es-ES" w:eastAsia="es-ES"/>
              </w:rPr>
            </w:pPr>
          </w:p>
        </w:tc>
      </w:tr>
      <w:tr w:rsidR="00B66DDE" w:rsidRPr="00FC1180" w:rsidTr="00B66DDE">
        <w:trPr>
          <w:trHeight w:val="172"/>
          <w:tblCellSpacing w:w="0" w:type="dxa"/>
          <w:jc w:val="center"/>
        </w:trPr>
        <w:tc>
          <w:tcPr>
            <w:tcW w:w="0" w:type="auto"/>
            <w:vAlign w:val="center"/>
            <w:hideMark/>
          </w:tcPr>
          <w:p w:rsidR="00B66DDE" w:rsidRPr="00FC1180" w:rsidRDefault="00B66DDE" w:rsidP="00B66DDE">
            <w:pPr>
              <w:rPr>
                <w:rFonts w:ascii="Palatino Linotype" w:hAnsi="Palatino Linotype"/>
                <w:i/>
                <w:sz w:val="22"/>
                <w:lang w:val="es-ES" w:eastAsia="es-ES"/>
              </w:rPr>
            </w:pPr>
            <w:r w:rsidRPr="00FC1180">
              <w:rPr>
                <w:rFonts w:ascii="Palatino Linotype" w:hAnsi="Palatino Linotype"/>
                <w:i/>
                <w:sz w:val="22"/>
                <w:szCs w:val="18"/>
                <w:lang w:val="es-ES" w:eastAsia="es-ES"/>
              </w:rPr>
              <w:t>Jesús Felipe Borja Coronel”</w:t>
            </w:r>
          </w:p>
        </w:tc>
      </w:tr>
    </w:tbl>
    <w:p w:rsidR="00FA1C67" w:rsidRPr="00FC1180" w:rsidRDefault="00FA1C67" w:rsidP="00FA1C67">
      <w:pPr>
        <w:spacing w:line="360" w:lineRule="auto"/>
        <w:ind w:right="567"/>
        <w:jc w:val="both"/>
        <w:rPr>
          <w:rFonts w:ascii="Palatino Linotype" w:hAnsi="Palatino Linotype"/>
          <w:i/>
          <w:sz w:val="32"/>
        </w:rPr>
      </w:pPr>
    </w:p>
    <w:p w:rsidR="00FA1C67" w:rsidRPr="00FC1180" w:rsidRDefault="00FA1C67" w:rsidP="00B66DDE">
      <w:pPr>
        <w:spacing w:line="360" w:lineRule="auto"/>
        <w:ind w:right="567"/>
        <w:jc w:val="both"/>
        <w:rPr>
          <w:rFonts w:ascii="Palatino Linotype" w:hAnsi="Palatino Linotype"/>
        </w:rPr>
      </w:pPr>
      <w:r w:rsidRPr="00FC1180">
        <w:rPr>
          <w:rFonts w:ascii="Palatino Linotype" w:hAnsi="Palatino Linotype"/>
        </w:rPr>
        <w:t>A la respuesta se adjuntaron los archivos que se describen a continuación:</w:t>
      </w:r>
    </w:p>
    <w:p w:rsidR="00B66DDE" w:rsidRPr="00FC1180" w:rsidRDefault="00B66DDE" w:rsidP="00B66DDE">
      <w:pPr>
        <w:spacing w:line="360" w:lineRule="auto"/>
        <w:ind w:right="567"/>
        <w:jc w:val="both"/>
        <w:rPr>
          <w:rFonts w:ascii="Palatino Linotype" w:hAnsi="Palatino Linotype"/>
        </w:rPr>
      </w:pPr>
    </w:p>
    <w:p w:rsidR="00B66DDE" w:rsidRPr="00FC1180" w:rsidRDefault="000C171C" w:rsidP="00B66DDE">
      <w:pPr>
        <w:pStyle w:val="Prrafodelista"/>
        <w:numPr>
          <w:ilvl w:val="0"/>
          <w:numId w:val="5"/>
        </w:numPr>
        <w:spacing w:line="360" w:lineRule="auto"/>
        <w:ind w:right="567"/>
        <w:jc w:val="both"/>
        <w:rPr>
          <w:rFonts w:ascii="Palatino Linotype" w:hAnsi="Palatino Linotype"/>
          <w:szCs w:val="22"/>
        </w:rPr>
      </w:pPr>
      <w:hyperlink r:id="rId7" w:tgtFrame="_blank" w:history="1">
        <w:r w:rsidR="00B66DDE" w:rsidRPr="00FC1180">
          <w:rPr>
            <w:rStyle w:val="Hipervnculo"/>
            <w:rFonts w:ascii="Palatino Linotype" w:eastAsiaTheme="majorEastAsia" w:hAnsi="Palatino Linotype" w:cs="Arial"/>
            <w:b/>
            <w:bCs/>
            <w:color w:val="auto"/>
            <w:szCs w:val="22"/>
          </w:rPr>
          <w:t>Respuesta a solicitud 193-2023.pdf</w:t>
        </w:r>
      </w:hyperlink>
      <w:r w:rsidR="00B66DDE" w:rsidRPr="00FC1180">
        <w:rPr>
          <w:rFonts w:ascii="Palatino Linotype" w:hAnsi="Palatino Linotype"/>
          <w:szCs w:val="22"/>
        </w:rPr>
        <w:t xml:space="preserve">: oficio OSFEM/UAJ/DJC/SPH/70/2023 de fecha veintiséis de abril de dos mil veintidós, suscrito por el Servidor Público Habilitado mediante el cual señaló que los lineamientos para el Registro y Control del Inventario y la Conciliación y Desincorporación de Bienes Muebles e Inmuebles para las Entidades Fiscalizables Municipales del Estado de México, publicado en la Gaceta del Gobierno el 11 de julio de 2013, se encuentra vigente y se anexa en formato PDF, además de poder ser consultado en la liga electrónica </w:t>
      </w:r>
      <w:hyperlink r:id="rId8" w:history="1">
        <w:r w:rsidR="00B66DDE" w:rsidRPr="00FC1180">
          <w:rPr>
            <w:rStyle w:val="Hipervnculo"/>
            <w:rFonts w:ascii="Palatino Linotype" w:hAnsi="Palatino Linotype"/>
            <w:szCs w:val="22"/>
          </w:rPr>
          <w:t>https://legislacion.edomex.gob.mx/sites/legislacion.edomex.gob.mx/files/files/vigentes/jul113.PDF</w:t>
        </w:r>
      </w:hyperlink>
      <w:r w:rsidR="00B66DDE" w:rsidRPr="00FC1180">
        <w:rPr>
          <w:rFonts w:ascii="Palatino Linotype" w:hAnsi="Palatino Linotype"/>
          <w:szCs w:val="22"/>
        </w:rPr>
        <w:t xml:space="preserve"> .</w:t>
      </w:r>
    </w:p>
    <w:p w:rsidR="00B66DDE" w:rsidRPr="00FC1180" w:rsidRDefault="00B66DDE" w:rsidP="00B66DDE">
      <w:pPr>
        <w:pStyle w:val="Prrafodelista"/>
        <w:spacing w:line="360" w:lineRule="auto"/>
        <w:ind w:right="567"/>
        <w:jc w:val="both"/>
        <w:rPr>
          <w:rFonts w:ascii="Palatino Linotype" w:hAnsi="Palatino Linotype"/>
          <w:szCs w:val="22"/>
        </w:rPr>
      </w:pPr>
    </w:p>
    <w:p w:rsidR="00B66DDE" w:rsidRPr="00FC1180" w:rsidRDefault="000C171C" w:rsidP="00B66DDE">
      <w:pPr>
        <w:pStyle w:val="Prrafodelista"/>
        <w:numPr>
          <w:ilvl w:val="0"/>
          <w:numId w:val="5"/>
        </w:numPr>
        <w:spacing w:line="360" w:lineRule="auto"/>
        <w:ind w:right="567"/>
        <w:jc w:val="both"/>
        <w:rPr>
          <w:rFonts w:ascii="Palatino Linotype" w:hAnsi="Palatino Linotype"/>
          <w:szCs w:val="22"/>
        </w:rPr>
      </w:pPr>
      <w:hyperlink r:id="rId9" w:tgtFrame="_blank" w:history="1">
        <w:r w:rsidR="00B66DDE" w:rsidRPr="00B81E5A">
          <w:rPr>
            <w:rStyle w:val="Hipervnculo"/>
            <w:rFonts w:ascii="Palatino Linotype" w:eastAsiaTheme="majorEastAsia" w:hAnsi="Palatino Linotype" w:cs="Arial"/>
            <w:b/>
            <w:bCs/>
            <w:color w:val="auto"/>
            <w:szCs w:val="22"/>
            <w:u w:val="none"/>
          </w:rPr>
          <w:t>• LINEAMIENTOS PARA EL REGISTRO Y CONTROL DEL INVENTARIO.PDF</w:t>
        </w:r>
      </w:hyperlink>
      <w:r w:rsidR="00B66DDE" w:rsidRPr="00FC1180">
        <w:rPr>
          <w:rFonts w:ascii="Palatino Linotype" w:hAnsi="Palatino Linotype"/>
          <w:szCs w:val="22"/>
        </w:rPr>
        <w:t>:</w:t>
      </w:r>
      <w:r w:rsidR="00755E8D" w:rsidRPr="00FC1180">
        <w:rPr>
          <w:rFonts w:ascii="Palatino Linotype" w:hAnsi="Palatino Linotype"/>
          <w:szCs w:val="22"/>
        </w:rPr>
        <w:t xml:space="preserve"> Lineamientos para el Registro y Control de Inventario y la Conciliación y Desincorporación de Bienes Muebles e Inmuebles para las Entidades Fiscalizables Municipales del Estado de México. </w:t>
      </w:r>
    </w:p>
    <w:p w:rsidR="00B66DDE" w:rsidRPr="00FC1180" w:rsidRDefault="00B66DDE" w:rsidP="00B66DDE">
      <w:pPr>
        <w:pStyle w:val="Prrafodelista"/>
        <w:spacing w:line="360" w:lineRule="auto"/>
        <w:ind w:right="567"/>
        <w:jc w:val="both"/>
        <w:rPr>
          <w:rFonts w:ascii="Palatino Linotype" w:hAnsi="Palatino Linotype"/>
          <w:szCs w:val="22"/>
        </w:rPr>
      </w:pPr>
    </w:p>
    <w:p w:rsidR="00B66DDE" w:rsidRPr="00FC1180" w:rsidRDefault="000C171C" w:rsidP="00B66DDE">
      <w:pPr>
        <w:pStyle w:val="Prrafodelista"/>
        <w:numPr>
          <w:ilvl w:val="0"/>
          <w:numId w:val="5"/>
        </w:numPr>
        <w:spacing w:line="360" w:lineRule="auto"/>
        <w:ind w:right="567"/>
        <w:jc w:val="both"/>
        <w:rPr>
          <w:rFonts w:ascii="Palatino Linotype" w:hAnsi="Palatino Linotype"/>
          <w:szCs w:val="22"/>
        </w:rPr>
      </w:pPr>
      <w:hyperlink r:id="rId10" w:tgtFrame="_blank" w:history="1">
        <w:r w:rsidR="00B66DDE" w:rsidRPr="00B81E5A">
          <w:rPr>
            <w:rStyle w:val="Hipervnculo"/>
            <w:rFonts w:ascii="Palatino Linotype" w:eastAsiaTheme="majorEastAsia" w:hAnsi="Palatino Linotype" w:cs="Arial"/>
            <w:b/>
            <w:bCs/>
            <w:color w:val="auto"/>
            <w:szCs w:val="22"/>
            <w:u w:val="none"/>
          </w:rPr>
          <w:t>Respuesta 193- OSFEM.pdf</w:t>
        </w:r>
      </w:hyperlink>
      <w:r w:rsidR="00B66DDE" w:rsidRPr="00B81E5A">
        <w:rPr>
          <w:rFonts w:ascii="Palatino Linotype" w:hAnsi="Palatino Linotype"/>
          <w:szCs w:val="22"/>
        </w:rPr>
        <w:t>:</w:t>
      </w:r>
      <w:r w:rsidR="00755E8D" w:rsidRPr="00FC1180">
        <w:rPr>
          <w:rFonts w:ascii="Palatino Linotype" w:hAnsi="Palatino Linotype"/>
          <w:szCs w:val="22"/>
        </w:rPr>
        <w:t xml:space="preserve"> oficio UIPL/0572/2023 de fecha veintisiete de abril de dos mil veintitrés, suscrito por el Titular de la Unidad mediante el cual señaló el derecho del particular para interponer recurso de revisión contra la respuesta. </w:t>
      </w:r>
    </w:p>
    <w:p w:rsidR="00FA1C67" w:rsidRPr="00FC1180" w:rsidRDefault="00FA1C67" w:rsidP="00B66DDE">
      <w:pPr>
        <w:spacing w:line="360" w:lineRule="auto"/>
        <w:ind w:right="567"/>
        <w:jc w:val="both"/>
        <w:rPr>
          <w:rFonts w:ascii="Palatino Linotype" w:hAnsi="Palatino Linotype"/>
          <w:b/>
        </w:rPr>
      </w:pPr>
    </w:p>
    <w:p w:rsidR="00FA1C67" w:rsidRPr="00FC1180" w:rsidRDefault="00FA1C67" w:rsidP="00FA1C67">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FC1180">
        <w:rPr>
          <w:rFonts w:ascii="Palatino Linotype" w:eastAsia="Calibri" w:hAnsi="Palatino Linotype" w:cs="Arial"/>
          <w:lang w:val="es-AR" w:eastAsia="es-ES"/>
        </w:rPr>
        <w:t xml:space="preserve">El </w:t>
      </w:r>
      <w:r w:rsidR="00755E8D" w:rsidRPr="00FC1180">
        <w:rPr>
          <w:rFonts w:ascii="Palatino Linotype" w:eastAsia="Calibri" w:hAnsi="Palatino Linotype" w:cs="Arial"/>
          <w:lang w:val="es-AR" w:eastAsia="es-ES"/>
        </w:rPr>
        <w:t>cuatro (04) de mayo</w:t>
      </w:r>
      <w:r w:rsidRPr="00FC1180">
        <w:rPr>
          <w:rFonts w:ascii="Palatino Linotype" w:eastAsia="Calibri" w:hAnsi="Palatino Linotype" w:cs="Arial"/>
          <w:lang w:val="es-AR" w:eastAsia="es-ES"/>
        </w:rPr>
        <w:t xml:space="preserve"> de dos mil veintitrés</w:t>
      </w:r>
      <w:r w:rsidRPr="00FC1180">
        <w:rPr>
          <w:rFonts w:ascii="Palatino Linotype" w:hAnsi="Palatino Linotype" w:cs="Arial"/>
          <w:lang w:val="es-ES" w:eastAsia="es-ES"/>
        </w:rPr>
        <w:t xml:space="preserve">, </w:t>
      </w:r>
      <w:r w:rsidRPr="00FC1180">
        <w:rPr>
          <w:rFonts w:ascii="Palatino Linotype" w:eastAsiaTheme="minorEastAsia" w:hAnsi="Palatino Linotype"/>
          <w:b/>
          <w:lang w:val="es-ES_tradnl" w:eastAsia="es-ES"/>
        </w:rPr>
        <w:t>EL RECURRENTE</w:t>
      </w:r>
      <w:r w:rsidRPr="00FC1180">
        <w:rPr>
          <w:rFonts w:ascii="Palatino Linotype" w:hAnsi="Palatino Linotype" w:cs="Arial"/>
          <w:lang w:val="es-ES" w:eastAsia="es-ES"/>
        </w:rPr>
        <w:t xml:space="preserve"> interpuso el recurso de revisión, en contra de la respuesta, señalando como:</w:t>
      </w:r>
      <w:bookmarkStart w:id="2" w:name="_Toc462307683"/>
      <w:bookmarkStart w:id="3" w:name="_Toc472427085"/>
      <w:bookmarkStart w:id="4" w:name="_Toc472500652"/>
    </w:p>
    <w:p w:rsidR="00FA1C67" w:rsidRPr="00FC1180" w:rsidRDefault="00FA1C67" w:rsidP="00FA1C67">
      <w:pPr>
        <w:spacing w:line="360" w:lineRule="auto"/>
        <w:ind w:left="567" w:right="567"/>
        <w:contextualSpacing/>
        <w:rPr>
          <w:rFonts w:ascii="Palatino Linotype" w:eastAsiaTheme="minorEastAsia" w:hAnsi="Palatino Linotype" w:cs="Arial"/>
          <w:i/>
          <w:lang w:val="es-ES_tradnl" w:eastAsia="es-ES"/>
        </w:rPr>
      </w:pPr>
    </w:p>
    <w:p w:rsidR="00FA1C67" w:rsidRPr="00FC1180" w:rsidRDefault="00FA1C67" w:rsidP="00FA1C67">
      <w:pPr>
        <w:spacing w:line="360" w:lineRule="auto"/>
        <w:ind w:left="567" w:right="567"/>
        <w:contextualSpacing/>
        <w:jc w:val="both"/>
        <w:rPr>
          <w:rFonts w:ascii="Palatino Linotype" w:eastAsia="Calibri" w:hAnsi="Palatino Linotype" w:cs="Arial"/>
          <w:i/>
          <w:lang w:val="es-ES" w:eastAsia="es-ES"/>
        </w:rPr>
      </w:pPr>
      <w:r w:rsidRPr="00FC1180">
        <w:rPr>
          <w:rFonts w:ascii="Palatino Linotype" w:eastAsiaTheme="minorEastAsia" w:hAnsi="Palatino Linotype"/>
          <w:b/>
          <w:lang w:val="es-ES_tradnl" w:eastAsia="es-ES"/>
        </w:rPr>
        <w:t>Acto impugnado</w:t>
      </w:r>
      <w:r w:rsidRPr="00FC1180">
        <w:rPr>
          <w:rFonts w:ascii="Palatino Linotype" w:eastAsiaTheme="minorEastAsia" w:hAnsi="Palatino Linotype"/>
          <w:b/>
          <w:i/>
          <w:lang w:val="es-ES_tradnl" w:eastAsia="es-ES"/>
        </w:rPr>
        <w:t>:</w:t>
      </w:r>
      <w:r w:rsidRPr="00FC1180">
        <w:rPr>
          <w:rFonts w:ascii="Palatino Linotype" w:hAnsi="Palatino Linotype"/>
          <w:i/>
          <w:color w:val="000000"/>
        </w:rPr>
        <w:t xml:space="preserve"> “</w:t>
      </w:r>
      <w:r w:rsidR="00755E8D" w:rsidRPr="00FC1180">
        <w:rPr>
          <w:rFonts w:ascii="Palatino Linotype" w:hAnsi="Palatino Linotype"/>
          <w:i/>
          <w:color w:val="000000"/>
        </w:rPr>
        <w:t>LA RESPUESTA DEL SUJETO OBLIGADO</w:t>
      </w:r>
      <w:r w:rsidRPr="00FC1180">
        <w:rPr>
          <w:rFonts w:ascii="Palatino Linotype" w:hAnsi="Palatino Linotype"/>
          <w:i/>
          <w:color w:val="000000"/>
        </w:rPr>
        <w:t>” (Sic)</w:t>
      </w:r>
    </w:p>
    <w:p w:rsidR="00FA1C67" w:rsidRPr="00FC1180" w:rsidRDefault="00FA1C67" w:rsidP="00FA1C67">
      <w:pPr>
        <w:spacing w:line="360" w:lineRule="auto"/>
        <w:ind w:left="567" w:right="567"/>
        <w:contextualSpacing/>
        <w:jc w:val="both"/>
        <w:rPr>
          <w:rFonts w:ascii="Palatino Linotype" w:eastAsia="Calibri" w:hAnsi="Palatino Linotype" w:cs="Arial"/>
          <w:lang w:val="es-ES" w:eastAsia="es-ES"/>
        </w:rPr>
      </w:pPr>
    </w:p>
    <w:p w:rsidR="00FA1C67" w:rsidRPr="00FC1180" w:rsidRDefault="00FA1C67" w:rsidP="00FA1C67">
      <w:pPr>
        <w:spacing w:line="360" w:lineRule="auto"/>
        <w:ind w:left="567" w:right="567"/>
        <w:contextualSpacing/>
        <w:jc w:val="both"/>
        <w:rPr>
          <w:rFonts w:ascii="Palatino Linotype" w:hAnsi="Palatino Linotype"/>
          <w:i/>
          <w:color w:val="000000"/>
        </w:rPr>
      </w:pPr>
      <w:r w:rsidRPr="00FC1180">
        <w:rPr>
          <w:rFonts w:ascii="Palatino Linotype" w:eastAsiaTheme="minorEastAsia" w:hAnsi="Palatino Linotype"/>
          <w:b/>
          <w:lang w:val="es-ES_tradnl" w:eastAsia="es-ES"/>
        </w:rPr>
        <w:t>Razones o Motivos de inconformidad:</w:t>
      </w:r>
      <w:r w:rsidRPr="00FC1180">
        <w:rPr>
          <w:rFonts w:ascii="Palatino Linotype" w:eastAsiaTheme="majorEastAsia" w:hAnsi="Palatino Linotype" w:cstheme="majorBidi"/>
          <w:b/>
          <w:color w:val="2E74B5" w:themeColor="accent1" w:themeShade="BF"/>
          <w:sz w:val="26"/>
          <w:szCs w:val="26"/>
          <w:lang w:val="es-ES" w:eastAsia="es-ES"/>
        </w:rPr>
        <w:t xml:space="preserve"> </w:t>
      </w:r>
      <w:r w:rsidRPr="00FC1180">
        <w:rPr>
          <w:rFonts w:ascii="Palatino Linotype" w:eastAsiaTheme="majorEastAsia" w:hAnsi="Palatino Linotype" w:cstheme="majorBidi"/>
          <w:i/>
          <w:lang w:val="es-ES" w:eastAsia="es-ES"/>
        </w:rPr>
        <w:t>“</w:t>
      </w:r>
      <w:r w:rsidR="00755E8D" w:rsidRPr="00FC1180">
        <w:rPr>
          <w:rFonts w:ascii="Palatino Linotype" w:hAnsi="Palatino Linotype"/>
          <w:i/>
          <w:color w:val="000000"/>
        </w:rPr>
        <w:t xml:space="preserve">La omisión a proporcionar la información relacionada con mi solicitud, sin mediar ninguna declaratoria de </w:t>
      </w:r>
      <w:r w:rsidR="00755E8D" w:rsidRPr="00FC1180">
        <w:rPr>
          <w:rFonts w:ascii="Palatino Linotype" w:hAnsi="Palatino Linotype"/>
          <w:i/>
          <w:color w:val="000000"/>
        </w:rPr>
        <w:lastRenderedPageBreak/>
        <w:t>inexistencia, o algún tipo de justificación constitucional a tan grave transgresión a mi derecho humano a la información gubernamental. pues el sujeto obligado fue omiso en entregarme la información concerniente a: "En caso de existir un proceso de reforma a dicho lineamiento, Solicito me proporcionen el proyecto, los nombres y correos de contacto de los servidores públicos que intervengan en el mismo. Gracias." de no existir ningún proceso de reforma o actualización, es obligación del sujeto obligado hacer tal precisión en su respuesta, de lo contrario, tal incertidumbre se traduce en opacidad y esta ultima en la violación de mis derechos. es por esto, que interpongo el presente recurso, para que se me entregue la información completa que he solicitado.</w:t>
      </w:r>
      <w:r w:rsidRPr="00FC1180">
        <w:rPr>
          <w:rFonts w:ascii="Palatino Linotype" w:hAnsi="Palatino Linotype"/>
          <w:i/>
          <w:color w:val="000000"/>
        </w:rPr>
        <w:t>” (Sic).</w:t>
      </w:r>
    </w:p>
    <w:p w:rsidR="00FA1C67" w:rsidRPr="00FC1180" w:rsidRDefault="00FA1C67" w:rsidP="00FA1C67">
      <w:pPr>
        <w:spacing w:line="360" w:lineRule="auto"/>
        <w:ind w:left="567" w:right="567"/>
        <w:contextualSpacing/>
        <w:jc w:val="both"/>
        <w:rPr>
          <w:rFonts w:ascii="Palatino Linotype" w:hAnsi="Palatino Linotype"/>
          <w:i/>
          <w:color w:val="000000"/>
        </w:rPr>
      </w:pPr>
      <w:r w:rsidRPr="00FC1180">
        <w:rPr>
          <w:rFonts w:ascii="Palatino Linotype" w:hAnsi="Palatino Linotype" w:cs="Arial"/>
          <w:sz w:val="22"/>
          <w:szCs w:val="22"/>
        </w:rPr>
        <w:t xml:space="preserve"> </w:t>
      </w:r>
      <w:bookmarkEnd w:id="2"/>
      <w:bookmarkEnd w:id="3"/>
      <w:bookmarkEnd w:id="4"/>
    </w:p>
    <w:p w:rsidR="00FA1C67" w:rsidRPr="00FC1180" w:rsidRDefault="00FA1C67" w:rsidP="00FA1C67">
      <w:pPr>
        <w:numPr>
          <w:ilvl w:val="0"/>
          <w:numId w:val="1"/>
        </w:numPr>
        <w:spacing w:line="360" w:lineRule="auto"/>
        <w:ind w:left="0" w:firstLine="0"/>
        <w:contextualSpacing/>
        <w:jc w:val="both"/>
        <w:rPr>
          <w:rFonts w:ascii="Palatino Linotype" w:eastAsia="Calibri" w:hAnsi="Palatino Linotype" w:cs="Arial"/>
          <w:lang w:val="es-AR" w:eastAsia="es-ES"/>
        </w:rPr>
      </w:pPr>
      <w:r w:rsidRPr="00FC1180">
        <w:rPr>
          <w:rFonts w:ascii="Palatino Linotype" w:hAnsi="Palatino Linotype" w:cs="Arial"/>
          <w:lang w:val="es-ES" w:eastAsia="es-ES"/>
        </w:rPr>
        <w:t xml:space="preserve">Se registró el recurso de revisión bajo el número de expediente </w:t>
      </w:r>
      <w:r w:rsidRPr="00FC1180">
        <w:rPr>
          <w:rFonts w:ascii="Palatino Linotype" w:eastAsiaTheme="minorEastAsia" w:hAnsi="Palatino Linotype" w:cs="Arial"/>
          <w:bCs/>
          <w:lang w:val="es-ES_tradnl" w:eastAsia="es-ES"/>
        </w:rPr>
        <w:t xml:space="preserve">al rubro indicado, asimismo con fundamento en lo dispuesto por el </w:t>
      </w:r>
      <w:r w:rsidRPr="00FC1180">
        <w:rPr>
          <w:rFonts w:ascii="Palatino Linotype" w:eastAsia="Calibri" w:hAnsi="Palatino Linotype" w:cs="Arial"/>
          <w:lang w:val="es-ES" w:eastAsia="es-ES"/>
        </w:rPr>
        <w:t xml:space="preserve">artículo 185 fracción I de la </w:t>
      </w:r>
      <w:r w:rsidRPr="00FC1180">
        <w:rPr>
          <w:rFonts w:ascii="Palatino Linotype" w:eastAsia="Calibri" w:hAnsi="Palatino Linotype" w:cs="Arial"/>
          <w:b/>
          <w:lang w:val="es-ES" w:eastAsia="es-ES"/>
        </w:rPr>
        <w:t xml:space="preserve">Ley de Transparencia y Acceso a la Información Pública del Estado de México y Municipios </w:t>
      </w:r>
      <w:r w:rsidRPr="00FC1180">
        <w:rPr>
          <w:rFonts w:ascii="Palatino Linotype" w:hAnsi="Palatino Linotype" w:cs="Arial"/>
          <w:lang w:val="es-ES" w:eastAsia="es-ES"/>
        </w:rPr>
        <w:t xml:space="preserve">se turnó a la </w:t>
      </w:r>
      <w:r w:rsidRPr="00FC1180">
        <w:rPr>
          <w:rFonts w:ascii="Palatino Linotype" w:hAnsi="Palatino Linotype" w:cs="Arial"/>
          <w:b/>
          <w:lang w:val="es-ES" w:eastAsia="es-ES"/>
        </w:rPr>
        <w:t xml:space="preserve">Comisionada María del Rosario Mejía Ayala, </w:t>
      </w:r>
      <w:r w:rsidRPr="00FC1180">
        <w:rPr>
          <w:rFonts w:ascii="Palatino Linotype" w:hAnsi="Palatino Linotype" w:cs="Arial"/>
          <w:lang w:val="es-ES" w:eastAsia="es-ES"/>
        </w:rPr>
        <w:t xml:space="preserve">con el objeto de </w:t>
      </w:r>
      <w:r w:rsidRPr="00FC1180">
        <w:rPr>
          <w:rFonts w:ascii="Palatino Linotype" w:hAnsi="Palatino Linotype" w:cs="Arial"/>
          <w:lang w:eastAsia="es-ES"/>
        </w:rPr>
        <w:t xml:space="preserve">su análisis. </w:t>
      </w:r>
    </w:p>
    <w:p w:rsidR="00FA1C67" w:rsidRPr="00FC1180" w:rsidRDefault="00FA1C67" w:rsidP="00FA1C67">
      <w:pPr>
        <w:spacing w:line="360" w:lineRule="auto"/>
        <w:contextualSpacing/>
        <w:jc w:val="both"/>
        <w:rPr>
          <w:rFonts w:ascii="Palatino Linotype" w:eastAsia="Calibri" w:hAnsi="Palatino Linotype" w:cs="Arial"/>
          <w:lang w:val="es-AR" w:eastAsia="es-ES"/>
        </w:rPr>
      </w:pPr>
    </w:p>
    <w:p w:rsidR="00FA1C67" w:rsidRPr="00FC1180" w:rsidRDefault="00FA1C67" w:rsidP="00620AC0">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FC1180">
        <w:rPr>
          <w:rFonts w:ascii="Palatino Linotype" w:eastAsia="Calibri" w:hAnsi="Palatino Linotype" w:cs="Arial"/>
          <w:lang w:val="es-ES" w:eastAsia="es-ES"/>
        </w:rPr>
        <w:t>El Comisionado Ponente con fundamento en lo dispuesto por el artículo 185 fracción II de la ley de la materia, a través d</w:t>
      </w:r>
      <w:r w:rsidR="00620AC0" w:rsidRPr="00FC1180">
        <w:rPr>
          <w:rFonts w:ascii="Palatino Linotype" w:eastAsia="Calibri" w:hAnsi="Palatino Linotype" w:cs="Arial"/>
          <w:lang w:val="es-ES" w:eastAsia="es-ES"/>
        </w:rPr>
        <w:t>el acuerdo de admisión de fecha doce (12) de mayo</w:t>
      </w:r>
      <w:r w:rsidRPr="00FC1180">
        <w:rPr>
          <w:rFonts w:ascii="Palatino Linotype" w:eastAsia="Calibri" w:hAnsi="Palatino Linotype" w:cs="Arial"/>
          <w:lang w:val="es-ES" w:eastAsia="es-ES"/>
        </w:rPr>
        <w:t xml:space="preserve"> de dos mil veintitrés, puso a disposición de las partes el expediente electrónico </w:t>
      </w:r>
      <w:r w:rsidRPr="00FC1180">
        <w:rPr>
          <w:rFonts w:ascii="Palatino Linotype" w:eastAsia="Calibri" w:hAnsi="Palatino Linotype" w:cs="Arial"/>
          <w:lang w:val="es-ES_tradnl" w:eastAsia="es-ES"/>
        </w:rPr>
        <w:t xml:space="preserve">vía </w:t>
      </w:r>
      <w:r w:rsidRPr="00FC1180">
        <w:rPr>
          <w:rFonts w:ascii="Palatino Linotype" w:eastAsia="Calibri" w:hAnsi="Palatino Linotype" w:cs="Arial"/>
          <w:b/>
          <w:lang w:val="es-ES" w:eastAsia="es-ES"/>
        </w:rPr>
        <w:t xml:space="preserve">SAIMEX </w:t>
      </w:r>
      <w:r w:rsidRPr="00FC1180">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FC1180">
        <w:rPr>
          <w:rFonts w:ascii="Palatino Linotype" w:eastAsia="Calibri" w:hAnsi="Palatino Linotype" w:cs="Arial"/>
          <w:b/>
          <w:lang w:val="es-ES" w:eastAsia="es-ES"/>
        </w:rPr>
        <w:t>SUJETO OBLIGADO</w:t>
      </w:r>
      <w:r w:rsidRPr="00FC1180">
        <w:rPr>
          <w:rFonts w:ascii="Palatino Linotype" w:eastAsia="Calibri" w:hAnsi="Palatino Linotype" w:cs="Arial"/>
          <w:lang w:val="es-ES" w:eastAsia="es-ES"/>
        </w:rPr>
        <w:t xml:space="preserve"> presentara el informe justificado procedente. </w:t>
      </w:r>
    </w:p>
    <w:p w:rsidR="00FA1C67" w:rsidRPr="00FC1180" w:rsidRDefault="00FA1C67" w:rsidP="00FA1C67">
      <w:pPr>
        <w:spacing w:line="360" w:lineRule="auto"/>
        <w:contextualSpacing/>
        <w:jc w:val="both"/>
        <w:rPr>
          <w:rFonts w:ascii="Palatino Linotype" w:eastAsiaTheme="minorEastAsia" w:hAnsi="Palatino Linotype" w:cstheme="minorBidi"/>
          <w:i/>
          <w:color w:val="000000"/>
          <w:sz w:val="22"/>
          <w:szCs w:val="22"/>
          <w:lang w:val="es-ES_tradnl" w:eastAsia="es-ES"/>
        </w:rPr>
      </w:pPr>
    </w:p>
    <w:p w:rsidR="00FA1C67" w:rsidRPr="00FC1180" w:rsidRDefault="00FA1C67" w:rsidP="00FA1C67">
      <w:pPr>
        <w:numPr>
          <w:ilvl w:val="0"/>
          <w:numId w:val="1"/>
        </w:numPr>
        <w:spacing w:line="360" w:lineRule="auto"/>
        <w:ind w:left="0" w:firstLine="0"/>
        <w:contextualSpacing/>
        <w:jc w:val="both"/>
        <w:rPr>
          <w:rFonts w:ascii="Arial" w:hAnsi="Arial" w:cs="Arial"/>
          <w:lang w:eastAsia="es-ES"/>
        </w:rPr>
      </w:pPr>
      <w:r w:rsidRPr="00FC1180">
        <w:rPr>
          <w:rFonts w:ascii="Palatino Linotype" w:eastAsia="Calibri" w:hAnsi="Palatino Linotype" w:cs="Arial"/>
          <w:lang w:val="es-ES" w:eastAsia="es-ES"/>
        </w:rPr>
        <w:lastRenderedPageBreak/>
        <w:t xml:space="preserve">De las constancias en el expediente electrónico SAIMEX, se advierte que el particular no realizó manifestaciones, no ofreció pruebas o alegatos que convinieran a su derecho convinieran; por su parte, el Sujeto Obligado remitió informe justificado el </w:t>
      </w:r>
      <w:r w:rsidR="00620AC0" w:rsidRPr="00FC1180">
        <w:rPr>
          <w:rFonts w:ascii="Palatino Linotype" w:eastAsia="Calibri" w:hAnsi="Palatino Linotype" w:cs="Arial"/>
          <w:lang w:val="es-ES" w:eastAsia="es-ES"/>
        </w:rPr>
        <w:t>diecisiete (17) de mayo de dos mil veintitrés, mismo que se puso a la vista del particular el treinta de mayo del mismo año, y que consta de los archivos que se describen enseguida:</w:t>
      </w:r>
    </w:p>
    <w:p w:rsidR="00620AC0" w:rsidRPr="00FC1180" w:rsidRDefault="00620AC0" w:rsidP="00620AC0">
      <w:pPr>
        <w:spacing w:line="360" w:lineRule="auto"/>
        <w:contextualSpacing/>
        <w:jc w:val="both"/>
        <w:rPr>
          <w:rFonts w:ascii="Palatino Linotype" w:eastAsia="Calibri" w:hAnsi="Palatino Linotype" w:cs="Arial"/>
          <w:lang w:val="es-ES" w:eastAsia="es-ES"/>
        </w:rPr>
      </w:pPr>
    </w:p>
    <w:p w:rsidR="00620AC0" w:rsidRPr="00FC1180" w:rsidRDefault="000C171C" w:rsidP="00620AC0">
      <w:pPr>
        <w:pStyle w:val="Prrafodelista"/>
        <w:numPr>
          <w:ilvl w:val="0"/>
          <w:numId w:val="6"/>
        </w:numPr>
        <w:spacing w:line="360" w:lineRule="auto"/>
        <w:jc w:val="both"/>
        <w:rPr>
          <w:rFonts w:ascii="Palatino Linotype" w:hAnsi="Palatino Linotype" w:cs="Arial"/>
          <w:lang w:val="es-ES" w:eastAsia="es-ES"/>
        </w:rPr>
      </w:pPr>
      <w:hyperlink r:id="rId11" w:history="1">
        <w:r w:rsidR="00620AC0" w:rsidRPr="00B81E5A">
          <w:rPr>
            <w:rStyle w:val="Hipervnculo"/>
            <w:rFonts w:ascii="Palatino Linotype" w:eastAsiaTheme="majorEastAsia" w:hAnsi="Palatino Linotype" w:cs="Arial"/>
            <w:b/>
            <w:bCs/>
            <w:color w:val="auto"/>
            <w:sz w:val="24"/>
            <w:u w:val="none"/>
          </w:rPr>
          <w:t>Informe justificado RR. 02443-2023 (sol. 0193-2023).pdf</w:t>
        </w:r>
      </w:hyperlink>
      <w:r w:rsidR="00620AC0" w:rsidRPr="00B81E5A">
        <w:rPr>
          <w:rFonts w:ascii="Palatino Linotype" w:hAnsi="Palatino Linotype" w:cs="Arial"/>
          <w:lang w:val="es-ES" w:eastAsia="es-ES"/>
        </w:rPr>
        <w:t>:</w:t>
      </w:r>
      <w:r w:rsidR="00620AC0" w:rsidRPr="00FC1180">
        <w:rPr>
          <w:rFonts w:ascii="Palatino Linotype" w:hAnsi="Palatino Linotype" w:cs="Arial"/>
          <w:lang w:val="es-ES" w:eastAsia="es-ES"/>
        </w:rPr>
        <w:t xml:space="preserve"> </w:t>
      </w:r>
      <w:r w:rsidR="0028475E" w:rsidRPr="00FC1180">
        <w:rPr>
          <w:rFonts w:ascii="Palatino Linotype" w:hAnsi="Palatino Linotype" w:cs="Arial"/>
          <w:lang w:val="es-ES" w:eastAsia="es-ES"/>
        </w:rPr>
        <w:t xml:space="preserve">oficio UIPL/0722/2023 de fecha diecisiete (17) de mayo de dos mil veintitrés, suscrito por la Titular de la Unidad de Información mediante el cual solicitó tenerse por presentado el informe justificado y confirmo la respuesta. </w:t>
      </w:r>
    </w:p>
    <w:p w:rsidR="0028475E" w:rsidRPr="00FC1180" w:rsidRDefault="0028475E" w:rsidP="0028475E">
      <w:pPr>
        <w:pStyle w:val="Prrafodelista"/>
        <w:spacing w:line="360" w:lineRule="auto"/>
        <w:jc w:val="both"/>
        <w:rPr>
          <w:rFonts w:ascii="Palatino Linotype" w:hAnsi="Palatino Linotype" w:cs="Arial"/>
          <w:lang w:val="es-ES" w:eastAsia="es-ES"/>
        </w:rPr>
      </w:pPr>
    </w:p>
    <w:p w:rsidR="00620AC0" w:rsidRPr="00FC1180" w:rsidRDefault="000C171C" w:rsidP="00620AC0">
      <w:pPr>
        <w:pStyle w:val="Prrafodelista"/>
        <w:numPr>
          <w:ilvl w:val="0"/>
          <w:numId w:val="6"/>
        </w:numPr>
        <w:spacing w:line="360" w:lineRule="auto"/>
        <w:jc w:val="both"/>
        <w:rPr>
          <w:rFonts w:ascii="Palatino Linotype" w:hAnsi="Palatino Linotype" w:cs="Arial"/>
          <w:lang w:val="es-ES" w:eastAsia="es-ES"/>
        </w:rPr>
      </w:pPr>
      <w:hyperlink r:id="rId12" w:history="1">
        <w:r w:rsidR="00620AC0" w:rsidRPr="00B81E5A">
          <w:rPr>
            <w:rStyle w:val="Hipervnculo"/>
            <w:rFonts w:ascii="Palatino Linotype" w:eastAsiaTheme="majorEastAsia" w:hAnsi="Palatino Linotype" w:cs="Arial"/>
            <w:b/>
            <w:bCs/>
            <w:color w:val="auto"/>
            <w:sz w:val="24"/>
            <w:u w:val="none"/>
          </w:rPr>
          <w:t>Informe justificado OSFEM- 02443-193-2023.pdf</w:t>
        </w:r>
      </w:hyperlink>
      <w:r w:rsidR="00620AC0" w:rsidRPr="00B81E5A">
        <w:rPr>
          <w:rFonts w:ascii="Palatino Linotype" w:hAnsi="Palatino Linotype"/>
        </w:rPr>
        <w:t>:</w:t>
      </w:r>
      <w:r w:rsidR="00620AC0" w:rsidRPr="00FC1180">
        <w:rPr>
          <w:rFonts w:ascii="Palatino Linotype" w:hAnsi="Palatino Linotype"/>
        </w:rPr>
        <w:t xml:space="preserve"> </w:t>
      </w:r>
      <w:r w:rsidR="0028475E" w:rsidRPr="00FC1180">
        <w:rPr>
          <w:rFonts w:ascii="Palatino Linotype" w:hAnsi="Palatino Linotype"/>
        </w:rPr>
        <w:t>oficio OSFEM/UAJ/DJC/SPH/078/2023</w:t>
      </w:r>
      <w:r w:rsidR="00B81E5A">
        <w:rPr>
          <w:rFonts w:ascii="Palatino Linotype" w:hAnsi="Palatino Linotype"/>
        </w:rPr>
        <w:t>,</w:t>
      </w:r>
      <w:r w:rsidR="0028475E" w:rsidRPr="00FC1180">
        <w:rPr>
          <w:rFonts w:ascii="Palatino Linotype" w:hAnsi="Palatino Linotype"/>
        </w:rPr>
        <w:t xml:space="preserve"> de fecha nueve (09) de mayo de dos mil veintitrés, suscrito por el Servidor Público Habilitado mediante el cual se confirmó la respuesta emitida. </w:t>
      </w:r>
    </w:p>
    <w:p w:rsidR="00FA1C67" w:rsidRPr="00FC1180" w:rsidRDefault="00FA1C67" w:rsidP="00FA1C67">
      <w:pPr>
        <w:spacing w:line="360" w:lineRule="auto"/>
        <w:contextualSpacing/>
        <w:jc w:val="both"/>
        <w:rPr>
          <w:rFonts w:ascii="Arial" w:hAnsi="Arial" w:cs="Arial"/>
          <w:lang w:eastAsia="es-ES"/>
        </w:rPr>
      </w:pPr>
    </w:p>
    <w:p w:rsidR="00FA1C67" w:rsidRPr="00FC1180" w:rsidRDefault="00FA1C67" w:rsidP="00FA1C67">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FC1180">
        <w:rPr>
          <w:rFonts w:ascii="Palatino Linotype" w:eastAsiaTheme="minorEastAsia" w:hAnsi="Palatino Linotype"/>
          <w:lang w:val="es-ES_tradnl" w:eastAsia="es-ES"/>
        </w:rPr>
        <w:t>El Comisionado Ponente decretó el cierre de instrucción</w:t>
      </w:r>
      <w:r w:rsidRPr="00FC1180">
        <w:rPr>
          <w:rFonts w:ascii="Palatino Linotype" w:eastAsiaTheme="minorEastAsia" w:hAnsi="Palatino Linotype" w:cs="Arial"/>
          <w:lang w:val="es-ES_tradnl" w:eastAsia="es-ES"/>
        </w:rPr>
        <w:t xml:space="preserve"> </w:t>
      </w:r>
      <w:r w:rsidRPr="00FC1180">
        <w:rPr>
          <w:rFonts w:ascii="Palatino Linotype" w:eastAsiaTheme="minorEastAsia" w:hAnsi="Palatino Linotype"/>
          <w:lang w:val="es-ES_tradnl" w:eastAsia="es-ES"/>
        </w:rPr>
        <w:t xml:space="preserve">mediante el acuerdo de fecha </w:t>
      </w:r>
      <w:r w:rsidR="00BF57DA">
        <w:rPr>
          <w:rFonts w:ascii="Palatino Linotype" w:eastAsiaTheme="minorEastAsia" w:hAnsi="Palatino Linotype"/>
          <w:lang w:val="es-ES_tradnl" w:eastAsia="es-ES"/>
        </w:rPr>
        <w:t>cinco (</w:t>
      </w:r>
      <w:r w:rsidR="0028475E" w:rsidRPr="00FC1180">
        <w:rPr>
          <w:rFonts w:ascii="Palatino Linotype" w:eastAsiaTheme="minorEastAsia" w:hAnsi="Palatino Linotype"/>
          <w:lang w:val="es-ES_tradnl" w:eastAsia="es-ES"/>
        </w:rPr>
        <w:t>0</w:t>
      </w:r>
      <w:r w:rsidR="00BF57DA">
        <w:rPr>
          <w:rFonts w:ascii="Palatino Linotype" w:eastAsiaTheme="minorEastAsia" w:hAnsi="Palatino Linotype"/>
          <w:lang w:val="es-ES_tradnl" w:eastAsia="es-ES"/>
        </w:rPr>
        <w:t>5</w:t>
      </w:r>
      <w:r w:rsidR="0028475E" w:rsidRPr="00FC1180">
        <w:rPr>
          <w:rFonts w:ascii="Palatino Linotype" w:eastAsiaTheme="minorEastAsia" w:hAnsi="Palatino Linotype"/>
          <w:lang w:val="es-ES_tradnl" w:eastAsia="es-ES"/>
        </w:rPr>
        <w:t xml:space="preserve">) de </w:t>
      </w:r>
      <w:r w:rsidR="00BF57DA">
        <w:rPr>
          <w:rFonts w:ascii="Palatino Linotype" w:eastAsiaTheme="minorEastAsia" w:hAnsi="Palatino Linotype"/>
          <w:lang w:val="es-ES_tradnl" w:eastAsia="es-ES"/>
        </w:rPr>
        <w:t>junio</w:t>
      </w:r>
      <w:r w:rsidRPr="00FC1180">
        <w:rPr>
          <w:rFonts w:ascii="Palatino Linotype" w:eastAsiaTheme="minorEastAsia" w:hAnsi="Palatino Linotype"/>
          <w:lang w:val="es-ES_tradnl" w:eastAsia="es-ES"/>
        </w:rPr>
        <w:t xml:space="preserve"> de dos mil veintitrés.</w:t>
      </w:r>
    </w:p>
    <w:p w:rsidR="00FA1C67" w:rsidRPr="00FC1180" w:rsidRDefault="00FA1C67" w:rsidP="00FA1C67">
      <w:pPr>
        <w:pStyle w:val="Prrafodelista"/>
        <w:spacing w:line="360" w:lineRule="auto"/>
        <w:ind w:left="0" w:right="113"/>
        <w:jc w:val="both"/>
        <w:rPr>
          <w:rFonts w:ascii="Palatino Linotype" w:hAnsi="Palatino Linotype"/>
          <w:sz w:val="24"/>
        </w:rPr>
      </w:pPr>
    </w:p>
    <w:p w:rsidR="00FA1C67" w:rsidRPr="00FC1180" w:rsidRDefault="00FA1C67" w:rsidP="00FA1C67">
      <w:pPr>
        <w:keepNext/>
        <w:keepLines/>
        <w:spacing w:line="360" w:lineRule="auto"/>
        <w:jc w:val="center"/>
        <w:outlineLvl w:val="0"/>
        <w:rPr>
          <w:rFonts w:ascii="Palatino Linotype" w:eastAsiaTheme="majorEastAsia" w:hAnsi="Palatino Linotype" w:cstheme="majorBidi"/>
        </w:rPr>
      </w:pPr>
      <w:bookmarkStart w:id="5" w:name="_Toc83301634"/>
      <w:r w:rsidRPr="00FC1180">
        <w:rPr>
          <w:rFonts w:ascii="Palatino Linotype" w:eastAsiaTheme="majorEastAsia" w:hAnsi="Palatino Linotype" w:cstheme="majorBidi"/>
          <w:b/>
        </w:rPr>
        <w:t>CONSIDERANDO</w:t>
      </w:r>
      <w:bookmarkEnd w:id="5"/>
      <w:r w:rsidRPr="00FC1180">
        <w:rPr>
          <w:rFonts w:ascii="Palatino Linotype" w:eastAsiaTheme="majorEastAsia" w:hAnsi="Palatino Linotype" w:cstheme="majorBidi"/>
          <w:b/>
        </w:rPr>
        <w:t xml:space="preserve"> </w:t>
      </w:r>
    </w:p>
    <w:p w:rsidR="00FA1C67" w:rsidRPr="00FC1180" w:rsidRDefault="00FA1C67" w:rsidP="00FA1C67">
      <w:pPr>
        <w:spacing w:line="360" w:lineRule="auto"/>
        <w:rPr>
          <w:rFonts w:ascii="Palatino Linotype" w:eastAsiaTheme="minorEastAsia" w:hAnsi="Palatino Linotype"/>
        </w:rPr>
      </w:pPr>
    </w:p>
    <w:p w:rsidR="00FA1C67" w:rsidRPr="00FC1180" w:rsidRDefault="00FA1C67" w:rsidP="00FA1C67">
      <w:pPr>
        <w:keepNext/>
        <w:keepLines/>
        <w:spacing w:line="360" w:lineRule="auto"/>
        <w:outlineLvl w:val="1"/>
        <w:rPr>
          <w:rFonts w:ascii="Palatino Linotype" w:eastAsiaTheme="majorEastAsia" w:hAnsi="Palatino Linotype" w:cstheme="majorBidi"/>
          <w:b/>
          <w:szCs w:val="26"/>
        </w:rPr>
      </w:pPr>
      <w:bookmarkStart w:id="6" w:name="_Toc83301635"/>
      <w:r w:rsidRPr="00FC1180">
        <w:rPr>
          <w:rFonts w:ascii="Palatino Linotype" w:eastAsiaTheme="majorEastAsia" w:hAnsi="Palatino Linotype" w:cstheme="majorBidi"/>
          <w:b/>
          <w:szCs w:val="26"/>
        </w:rPr>
        <w:lastRenderedPageBreak/>
        <w:t>PRIMERO. De la competencia</w:t>
      </w:r>
      <w:bookmarkEnd w:id="6"/>
    </w:p>
    <w:p w:rsidR="008246BF" w:rsidRPr="00FC1180" w:rsidRDefault="008246BF" w:rsidP="00FA1C67">
      <w:pPr>
        <w:keepNext/>
        <w:keepLines/>
        <w:spacing w:line="360" w:lineRule="auto"/>
        <w:outlineLvl w:val="1"/>
        <w:rPr>
          <w:rFonts w:ascii="Palatino Linotype" w:eastAsiaTheme="majorEastAsia" w:hAnsi="Palatino Linotype" w:cstheme="majorBidi"/>
          <w:b/>
          <w:szCs w:val="26"/>
        </w:rPr>
      </w:pPr>
    </w:p>
    <w:p w:rsidR="008246BF" w:rsidRPr="00FC1180" w:rsidRDefault="008246BF" w:rsidP="008246BF">
      <w:pPr>
        <w:pStyle w:val="Prrafodelista"/>
        <w:numPr>
          <w:ilvl w:val="0"/>
          <w:numId w:val="1"/>
        </w:numPr>
        <w:spacing w:line="360" w:lineRule="auto"/>
        <w:ind w:left="0" w:firstLine="0"/>
        <w:jc w:val="both"/>
        <w:rPr>
          <w:rFonts w:ascii="Palatino Linotype" w:hAnsi="Palatino Linotype"/>
          <w:sz w:val="24"/>
        </w:rPr>
      </w:pPr>
      <w:r w:rsidRPr="00FC1180">
        <w:rPr>
          <w:rFonts w:ascii="Palatino Linotype" w:hAnsi="Palatino Linotype"/>
          <w:sz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w:t>
      </w:r>
      <w:r w:rsidRPr="00FC1180">
        <w:rPr>
          <w:rFonts w:ascii="Palatino Linotype" w:hAnsi="Palatino Linotype"/>
          <w:b/>
          <w:sz w:val="24"/>
        </w:rPr>
        <w:t>Constitución Política de los Estados Unidos Mexicanos</w:t>
      </w:r>
      <w:r w:rsidRPr="00FC1180">
        <w:rPr>
          <w:rFonts w:ascii="Palatino Linotype" w:hAnsi="Palatino Linotype"/>
          <w:sz w:val="24"/>
        </w:rPr>
        <w:t xml:space="preserve">; 5, párrafos trigésimo, trigésimo primero y trigésimo segundo, fracciones IV y V, de la </w:t>
      </w:r>
      <w:r w:rsidRPr="00FC1180">
        <w:rPr>
          <w:rFonts w:ascii="Palatino Linotype" w:hAnsi="Palatino Linotype"/>
          <w:b/>
          <w:sz w:val="24"/>
        </w:rPr>
        <w:t>Constitución Política del Estado Libre y Soberano de México</w:t>
      </w:r>
      <w:r w:rsidRPr="00FC1180">
        <w:rPr>
          <w:rFonts w:ascii="Palatino Linotype" w:hAnsi="Palatino Linotype"/>
          <w:sz w:val="24"/>
        </w:rPr>
        <w:t xml:space="preserve">; artículos 1, 2 fracción II, 13, 29, 36 fracciones I y II, 176, 178, 179, 181 párrafo tercero y 185 de la </w:t>
      </w:r>
      <w:r w:rsidRPr="00FC1180">
        <w:rPr>
          <w:rFonts w:ascii="Palatino Linotype" w:hAnsi="Palatino Linotype"/>
          <w:b/>
          <w:sz w:val="24"/>
        </w:rPr>
        <w:t>Ley de Transparencia y Acceso a la Información Pública del Estado de México y Municipios</w:t>
      </w:r>
      <w:r w:rsidRPr="00FC1180">
        <w:rPr>
          <w:rFonts w:ascii="Palatino Linotype" w:hAnsi="Palatino Linotype"/>
          <w:sz w:val="24"/>
        </w:rPr>
        <w:t xml:space="preserve">; 6, 9 fracciones I y XXIII, y 11 del </w:t>
      </w:r>
      <w:r w:rsidRPr="00FC1180">
        <w:rPr>
          <w:rFonts w:ascii="Palatino Linotype" w:hAnsi="Palatino Linotype"/>
          <w:b/>
          <w:sz w:val="24"/>
        </w:rPr>
        <w:t>Reglamento Interior del Instituto de Transparencia, Acceso a la Información Pública y Protección de Datos Personales del Estado de México y Municipios</w:t>
      </w:r>
      <w:r w:rsidRPr="00FC1180">
        <w:rPr>
          <w:rFonts w:ascii="Palatino Linotype" w:hAnsi="Palatino Linotype"/>
          <w:sz w:val="24"/>
        </w:rPr>
        <w:t>.</w:t>
      </w:r>
    </w:p>
    <w:p w:rsidR="00FA1C67" w:rsidRPr="00FC1180" w:rsidRDefault="00FA1C67" w:rsidP="00FA1C67">
      <w:pPr>
        <w:spacing w:line="360" w:lineRule="auto"/>
        <w:contextualSpacing/>
        <w:jc w:val="both"/>
        <w:rPr>
          <w:rFonts w:ascii="Palatino Linotype" w:eastAsiaTheme="minorEastAsia" w:hAnsi="Palatino Linotype"/>
          <w:lang w:val="es-ES_tradnl" w:eastAsia="es-ES"/>
        </w:rPr>
      </w:pPr>
    </w:p>
    <w:p w:rsidR="00FA1C67" w:rsidRPr="00FC1180" w:rsidRDefault="00FA1C67" w:rsidP="00FA1C67">
      <w:pPr>
        <w:keepNext/>
        <w:keepLines/>
        <w:spacing w:line="360" w:lineRule="auto"/>
        <w:outlineLvl w:val="1"/>
        <w:rPr>
          <w:rFonts w:ascii="Palatino Linotype" w:eastAsiaTheme="majorEastAsia" w:hAnsi="Palatino Linotype" w:cstheme="majorBidi"/>
          <w:b/>
          <w:szCs w:val="26"/>
        </w:rPr>
      </w:pPr>
      <w:bookmarkStart w:id="7" w:name="_Toc83301636"/>
      <w:r w:rsidRPr="00FC1180">
        <w:rPr>
          <w:rFonts w:ascii="Palatino Linotype" w:eastAsiaTheme="majorEastAsia" w:hAnsi="Palatino Linotype" w:cstheme="majorBidi"/>
          <w:b/>
          <w:szCs w:val="26"/>
        </w:rPr>
        <w:t>SEGUNDO. De la oportunidad y procedencia.</w:t>
      </w:r>
      <w:bookmarkEnd w:id="7"/>
    </w:p>
    <w:p w:rsidR="00FA1C67" w:rsidRPr="00FC1180" w:rsidRDefault="00FA1C67" w:rsidP="00FA1C67">
      <w:pPr>
        <w:spacing w:line="360" w:lineRule="auto"/>
        <w:rPr>
          <w:rFonts w:ascii="Palatino Linotype" w:eastAsiaTheme="minorEastAsia" w:hAnsi="Palatino Linotype"/>
        </w:rPr>
      </w:pPr>
    </w:p>
    <w:p w:rsidR="00FA1C67" w:rsidRPr="00FC1180" w:rsidRDefault="00FA1C67" w:rsidP="00FA1C6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C1180">
        <w:rPr>
          <w:rFonts w:ascii="Palatino Linotype" w:eastAsia="Calibri" w:hAnsi="Palatino Linotype" w:cs="Arial"/>
          <w:lang w:val="es-ES_tradnl" w:eastAsia="es-ES"/>
        </w:rPr>
        <w:t xml:space="preserve">El medio de impugnación fue presentado a través del </w:t>
      </w:r>
      <w:r w:rsidRPr="00FC1180">
        <w:rPr>
          <w:rFonts w:ascii="Palatino Linotype" w:eastAsia="Calibri" w:hAnsi="Palatino Linotype" w:cs="Arial"/>
          <w:b/>
          <w:lang w:val="es-ES_tradnl" w:eastAsia="es-ES"/>
        </w:rPr>
        <w:t>SAIMEX,</w:t>
      </w:r>
      <w:r w:rsidRPr="00FC1180">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FC1180">
        <w:rPr>
          <w:rFonts w:ascii="Palatino Linotype" w:eastAsia="Calibri" w:hAnsi="Palatino Linotype" w:cs="Arial"/>
          <w:b/>
          <w:lang w:val="es-ES_tradnl" w:eastAsia="es-ES"/>
        </w:rPr>
        <w:t>SUJETO OBLIGADO</w:t>
      </w:r>
      <w:r w:rsidRPr="00FC1180">
        <w:rPr>
          <w:rFonts w:ascii="Palatino Linotype" w:eastAsia="Calibri" w:hAnsi="Palatino Linotype" w:cs="Arial"/>
          <w:lang w:val="es-ES_tradnl" w:eastAsia="es-ES"/>
        </w:rPr>
        <w:t xml:space="preserve"> entregó respuesta a la solicitud el día </w:t>
      </w:r>
      <w:r w:rsidR="002362AB" w:rsidRPr="00FC1180">
        <w:rPr>
          <w:rFonts w:ascii="Palatino Linotype" w:eastAsia="Calibri" w:hAnsi="Palatino Linotype" w:cs="Arial"/>
          <w:lang w:val="es-ES_tradnl" w:eastAsia="es-ES"/>
        </w:rPr>
        <w:t>veintisiete (27) de abril de dos mil veintitrés</w:t>
      </w:r>
      <w:r w:rsidRPr="00FC1180">
        <w:rPr>
          <w:rFonts w:ascii="Palatino Linotype" w:eastAsia="Calibri" w:hAnsi="Palatino Linotype" w:cs="Arial"/>
          <w:lang w:val="es-ES_tradnl" w:eastAsia="es-ES"/>
        </w:rPr>
        <w:t xml:space="preserve">, </w:t>
      </w:r>
      <w:r w:rsidRPr="00FC1180">
        <w:rPr>
          <w:rFonts w:ascii="Palatino Linotype" w:eastAsiaTheme="minorEastAsia" w:hAnsi="Palatino Linotype" w:cs="Arial"/>
          <w:lang w:val="es-ES_tradnl" w:eastAsia="es-ES"/>
        </w:rPr>
        <w:t>de tal forma que el plazo para interponer el recurso de revisión transcurrió del</w:t>
      </w:r>
      <w:r w:rsidR="002362AB" w:rsidRPr="00FC1180">
        <w:rPr>
          <w:rFonts w:ascii="Palatino Linotype" w:eastAsiaTheme="minorEastAsia" w:hAnsi="Palatino Linotype" w:cs="Arial"/>
          <w:lang w:val="es-ES_tradnl" w:eastAsia="es-ES"/>
        </w:rPr>
        <w:t xml:space="preserve"> veintiocho (28) de abril al veintidós (22) de mayo de dos mil veintitrés</w:t>
      </w:r>
      <w:r w:rsidRPr="00FC1180">
        <w:rPr>
          <w:rFonts w:ascii="Palatino Linotype" w:eastAsiaTheme="minorEastAsia" w:hAnsi="Palatino Linotype" w:cs="Arial"/>
          <w:lang w:val="es-ES_tradnl" w:eastAsia="es-ES"/>
        </w:rPr>
        <w:t xml:space="preserve">; en consecuencia, presentó su inconformidad el día </w:t>
      </w:r>
      <w:r w:rsidR="002362AB" w:rsidRPr="00FC1180">
        <w:rPr>
          <w:rFonts w:ascii="Palatino Linotype" w:eastAsiaTheme="minorEastAsia" w:hAnsi="Palatino Linotype" w:cs="Arial"/>
          <w:lang w:val="es-ES_tradnl" w:eastAsia="es-ES"/>
        </w:rPr>
        <w:t xml:space="preserve">cuatro (04) de mayo </w:t>
      </w:r>
      <w:r w:rsidRPr="00FC1180">
        <w:rPr>
          <w:rFonts w:ascii="Palatino Linotype" w:eastAsiaTheme="minorEastAsia" w:hAnsi="Palatino Linotype" w:cs="Arial"/>
          <w:lang w:val="es-ES_tradnl" w:eastAsia="es-ES"/>
        </w:rPr>
        <w:t xml:space="preserve">de dos mil veintitrés, por lo que se encuentra dentro de los márgenes temporales previstos en el artículo 178 de la </w:t>
      </w:r>
      <w:r w:rsidRPr="00FC1180">
        <w:rPr>
          <w:rFonts w:ascii="Palatino Linotype" w:eastAsiaTheme="minorEastAsia" w:hAnsi="Palatino Linotype" w:cs="Arial"/>
          <w:b/>
          <w:lang w:val="es-ES_tradnl" w:eastAsia="es-ES"/>
        </w:rPr>
        <w:t xml:space="preserve">Ley de Transparencia y Acceso a la Información Pública del Estado de México y Municipios </w:t>
      </w:r>
      <w:r w:rsidRPr="00FC1180">
        <w:rPr>
          <w:rFonts w:ascii="Palatino Linotype" w:eastAsiaTheme="minorEastAsia" w:hAnsi="Palatino Linotype" w:cs="Arial"/>
          <w:lang w:val="es-ES_tradnl" w:eastAsia="es-ES"/>
        </w:rPr>
        <w:t>vigente.</w:t>
      </w:r>
    </w:p>
    <w:p w:rsidR="00FA1C67" w:rsidRPr="00FC1180" w:rsidRDefault="00FA1C67" w:rsidP="002362AB">
      <w:pPr>
        <w:rPr>
          <w:rFonts w:ascii="Palatino Linotype" w:hAnsi="Palatino Linotype" w:cs="Arial"/>
          <w:i/>
          <w:szCs w:val="20"/>
        </w:rPr>
      </w:pPr>
    </w:p>
    <w:p w:rsidR="00FA1C67" w:rsidRPr="00FC1180" w:rsidRDefault="00FA1C67" w:rsidP="00FA1C6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C1180">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65713731"/>
      <w:bookmarkStart w:id="9" w:name="_Toc94119614"/>
      <w:bookmarkStart w:id="10" w:name="_Toc452722829"/>
      <w:bookmarkStart w:id="11" w:name="_Toc454373811"/>
      <w:bookmarkStart w:id="12" w:name="_Toc476675991"/>
    </w:p>
    <w:p w:rsidR="00E91CBA" w:rsidRPr="00FC1180" w:rsidRDefault="00E91CBA" w:rsidP="00E91CBA">
      <w:pPr>
        <w:pStyle w:val="Ttulo2"/>
        <w:tabs>
          <w:tab w:val="left" w:pos="0"/>
        </w:tabs>
        <w:spacing w:before="0" w:line="360" w:lineRule="auto"/>
        <w:rPr>
          <w:rFonts w:ascii="Palatino Linotype" w:hAnsi="Palatino Linotype"/>
          <w:b/>
          <w:color w:val="auto"/>
          <w:sz w:val="24"/>
          <w:szCs w:val="24"/>
        </w:rPr>
      </w:pPr>
      <w:r w:rsidRPr="00FC1180">
        <w:rPr>
          <w:rFonts w:ascii="Palatino Linotype" w:hAnsi="Palatino Linotype"/>
          <w:b/>
          <w:color w:val="auto"/>
          <w:sz w:val="24"/>
          <w:szCs w:val="24"/>
        </w:rPr>
        <w:t xml:space="preserve">TERCERO. De las causales de sobreseimiento </w:t>
      </w:r>
    </w:p>
    <w:p w:rsidR="00E91CBA" w:rsidRPr="00FC1180" w:rsidRDefault="00E91CBA" w:rsidP="00E91CB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bookmarkStart w:id="13" w:name="_Toc529263621"/>
      <w:bookmarkStart w:id="14" w:name="_Toc530650937"/>
      <w:bookmarkStart w:id="15" w:name="_Toc535334654"/>
      <w:bookmarkStart w:id="16" w:name="_Toc2248735"/>
    </w:p>
    <w:p w:rsidR="00E91CBA" w:rsidRPr="00FC1180" w:rsidRDefault="00E91CBA" w:rsidP="00E91CBA">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FC1180">
        <w:rPr>
          <w:rFonts w:ascii="Palatino Linotype" w:eastAsia="Calibri" w:hAnsi="Palatino Linotype" w:cs="Arial"/>
          <w:color w:val="000000" w:themeColor="text1"/>
          <w:sz w:val="24"/>
        </w:rPr>
        <w:t xml:space="preserve">El recurso de revisión </w:t>
      </w:r>
      <w:r w:rsidRPr="00FC1180">
        <w:rPr>
          <w:rFonts w:ascii="Palatino Linotype" w:hAnsi="Palatino Linotype" w:cs="Arial"/>
          <w:sz w:val="24"/>
        </w:rPr>
        <w:t xml:space="preserve">tiene como finalidad reparar cualquier posible afectación al derecho de acceso a la información pública en términos del Título Octavo de la Ley de </w:t>
      </w:r>
      <w:r w:rsidRPr="00FC1180">
        <w:rPr>
          <w:rFonts w:ascii="Palatino Linotype" w:eastAsia="Calibri" w:hAnsi="Palatino Linotype" w:cs="Arial"/>
          <w:sz w:val="24"/>
        </w:rPr>
        <w:t>Transparencia, Acceso a la Información Pública del Estado de México y Municipios</w:t>
      </w:r>
      <w:r w:rsidRPr="00FC1180">
        <w:rPr>
          <w:rFonts w:ascii="Palatino Linotype" w:hAnsi="Palatino Linotype" w:cs="Arial"/>
          <w:sz w:val="24"/>
        </w:rPr>
        <w:t xml:space="preserve">, y determinar la confirmación; revocación o modificación; desechamiento o </w:t>
      </w:r>
      <w:r w:rsidRPr="00B81E5A">
        <w:rPr>
          <w:rFonts w:ascii="Palatino Linotype" w:hAnsi="Palatino Linotype" w:cs="Arial"/>
          <w:b/>
          <w:sz w:val="24"/>
        </w:rPr>
        <w:t>sobreseimiento</w:t>
      </w:r>
      <w:r w:rsidRPr="00B81E5A">
        <w:rPr>
          <w:rFonts w:ascii="Palatino Linotype" w:hAnsi="Palatino Linotype" w:cs="Arial"/>
          <w:sz w:val="24"/>
        </w:rPr>
        <w:t>;</w:t>
      </w:r>
      <w:r w:rsidRPr="00FC1180">
        <w:rPr>
          <w:rFonts w:ascii="Palatino Linotype" w:hAnsi="Palatino Linotype" w:cs="Arial"/>
          <w:sz w:val="24"/>
        </w:rPr>
        <w:t xml:space="preserve"> y en su caso ordenar la entrega de la información con respecto a la respuesta emitida por el </w:t>
      </w:r>
      <w:r w:rsidRPr="00FC1180">
        <w:rPr>
          <w:rFonts w:ascii="Palatino Linotype" w:hAnsi="Palatino Linotype" w:cs="Arial"/>
          <w:b/>
          <w:sz w:val="24"/>
        </w:rPr>
        <w:t>SUJETO</w:t>
      </w:r>
      <w:r w:rsidRPr="00FC1180">
        <w:rPr>
          <w:rFonts w:ascii="Palatino Linotype" w:hAnsi="Palatino Linotype" w:cs="Arial"/>
          <w:sz w:val="24"/>
        </w:rPr>
        <w:t xml:space="preserve"> </w:t>
      </w:r>
      <w:r w:rsidRPr="00FC1180">
        <w:rPr>
          <w:rFonts w:ascii="Palatino Linotype" w:hAnsi="Palatino Linotype" w:cs="Arial"/>
          <w:b/>
          <w:sz w:val="24"/>
        </w:rPr>
        <w:t>OBLIGADO</w:t>
      </w:r>
      <w:r w:rsidRPr="00FC1180">
        <w:rPr>
          <w:rFonts w:ascii="Palatino Linotype" w:hAnsi="Palatino Linotype" w:cs="Arial"/>
          <w:sz w:val="24"/>
        </w:rPr>
        <w:t>.</w:t>
      </w:r>
    </w:p>
    <w:p w:rsidR="00E91CBA" w:rsidRPr="00FC1180" w:rsidRDefault="00E91CBA" w:rsidP="00E91CBA">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E91CBA" w:rsidRPr="00FC1180" w:rsidRDefault="00E91CBA" w:rsidP="00E91CBA">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FC1180">
        <w:rPr>
          <w:rFonts w:ascii="Palatino Linotype" w:eastAsia="Calibri" w:hAnsi="Palatino Linotype" w:cs="Arial"/>
          <w:color w:val="000000" w:themeColor="text1"/>
          <w:sz w:val="24"/>
        </w:rPr>
        <w:t xml:space="preserve">De </w:t>
      </w:r>
      <w:r w:rsidRPr="00FC1180">
        <w:rPr>
          <w:rFonts w:ascii="Palatino Linotype" w:eastAsia="Calibri" w:hAnsi="Palatino Linotype"/>
          <w:sz w:val="24"/>
        </w:rPr>
        <w:t xml:space="preserve">acuerdo al precepto legal contenido en la fracción III del artículo 192 de la </w:t>
      </w:r>
      <w:r w:rsidRPr="00FC1180">
        <w:rPr>
          <w:rFonts w:ascii="Palatino Linotype" w:eastAsia="Calibri" w:hAnsi="Palatino Linotype"/>
          <w:b/>
          <w:sz w:val="24"/>
        </w:rPr>
        <w:t>Ley de Transparencia y Acceso a la Información Pública del Estado de México y Municipios</w:t>
      </w:r>
      <w:r w:rsidRPr="00FC1180">
        <w:rPr>
          <w:rFonts w:ascii="Palatino Linotype" w:eastAsia="Calibri" w:hAnsi="Palatino Linotype"/>
          <w:sz w:val="24"/>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rsidR="00E91CBA" w:rsidRPr="00FC1180" w:rsidRDefault="00E91CBA" w:rsidP="00E91CBA">
      <w:pPr>
        <w:pStyle w:val="Prrafodelista"/>
        <w:ind w:left="0"/>
        <w:rPr>
          <w:rFonts w:ascii="Palatino Linotype" w:eastAsia="Calibri" w:hAnsi="Palatino Linotype" w:cs="Arial"/>
          <w:color w:val="000000" w:themeColor="text1"/>
          <w:sz w:val="24"/>
          <w:lang w:val="es-ES"/>
        </w:rPr>
      </w:pPr>
    </w:p>
    <w:p w:rsidR="00E91CBA" w:rsidRPr="00FC1180" w:rsidRDefault="00E91CBA" w:rsidP="00E91CBA">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FC1180">
        <w:rPr>
          <w:rFonts w:ascii="Palatino Linotype" w:eastAsia="Calibri" w:hAnsi="Palatino Linotype" w:cs="Arial"/>
          <w:color w:val="000000" w:themeColor="text1"/>
          <w:sz w:val="24"/>
          <w:lang w:val="es-ES"/>
        </w:rPr>
        <w:t xml:space="preserve">Para </w:t>
      </w:r>
      <w:r w:rsidRPr="00FC1180">
        <w:rPr>
          <w:rFonts w:ascii="Palatino Linotype" w:eastAsia="Calibri" w:hAnsi="Palatino Linotype"/>
          <w:sz w:val="24"/>
        </w:rPr>
        <w:t xml:space="preserve">los efectos de esta resolución, es oportuno precisar los alcances jurídicos de la fracción III de la disposición legal transcrita. Así, procede el sobreseimiento del recurso de revisión cuando el </w:t>
      </w:r>
      <w:r w:rsidRPr="00FC1180">
        <w:rPr>
          <w:rFonts w:ascii="Palatino Linotype" w:eastAsia="Calibri" w:hAnsi="Palatino Linotype"/>
          <w:b/>
          <w:sz w:val="24"/>
        </w:rPr>
        <w:t>SUJETO OBLIGADO</w:t>
      </w:r>
      <w:r w:rsidRPr="00FC1180">
        <w:rPr>
          <w:rFonts w:ascii="Palatino Linotype" w:eastAsia="Calibri" w:hAnsi="Palatino Linotype"/>
          <w:sz w:val="24"/>
        </w:rPr>
        <w:t>:</w:t>
      </w:r>
    </w:p>
    <w:p w:rsidR="00E91CBA" w:rsidRPr="00FC1180" w:rsidRDefault="00E91CBA" w:rsidP="00E91CBA">
      <w:pPr>
        <w:rPr>
          <w:rFonts w:ascii="Palatino Linotype" w:eastAsia="Calibri" w:hAnsi="Palatino Linotype" w:cs="Arial"/>
          <w:color w:val="000000" w:themeColor="text1"/>
          <w:lang w:val="es-ES"/>
        </w:rPr>
      </w:pPr>
    </w:p>
    <w:p w:rsidR="00E91CBA" w:rsidRPr="00FC1180" w:rsidRDefault="00E91CBA" w:rsidP="00E91CBA">
      <w:pPr>
        <w:numPr>
          <w:ilvl w:val="0"/>
          <w:numId w:val="8"/>
        </w:numPr>
        <w:spacing w:line="360" w:lineRule="auto"/>
        <w:ind w:left="567" w:right="616" w:firstLine="0"/>
        <w:contextualSpacing/>
        <w:jc w:val="both"/>
        <w:rPr>
          <w:rFonts w:ascii="Palatino Linotype" w:hAnsi="Palatino Linotype" w:cs="Arial"/>
        </w:rPr>
      </w:pPr>
      <w:r w:rsidRPr="00FC1180">
        <w:rPr>
          <w:rFonts w:ascii="Palatino Linotype" w:hAnsi="Palatino Linotype" w:cs="Arial"/>
          <w:b/>
        </w:rPr>
        <w:t>Modifique el acto impugnado:</w:t>
      </w:r>
      <w:r w:rsidRPr="00FC1180">
        <w:rPr>
          <w:rFonts w:ascii="Palatino Linotype" w:hAnsi="Palatino Linotype" w:cs="Arial"/>
        </w:rPr>
        <w:t xml:space="preserve"> Se actualiza cuando el </w:t>
      </w:r>
      <w:r w:rsidRPr="00FC1180">
        <w:rPr>
          <w:rFonts w:ascii="Palatino Linotype" w:hAnsi="Palatino Linotype" w:cs="Arial"/>
          <w:b/>
        </w:rPr>
        <w:t>SUJETO OBLIGADO</w:t>
      </w:r>
      <w:r w:rsidRPr="00FC1180">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rsidR="00E91CBA" w:rsidRPr="00FC1180" w:rsidRDefault="00E91CBA" w:rsidP="00E91CBA">
      <w:pPr>
        <w:spacing w:line="360" w:lineRule="auto"/>
        <w:ind w:left="567" w:right="616"/>
        <w:contextualSpacing/>
        <w:jc w:val="both"/>
        <w:rPr>
          <w:rFonts w:ascii="Palatino Linotype" w:hAnsi="Palatino Linotype" w:cs="Arial"/>
        </w:rPr>
      </w:pPr>
    </w:p>
    <w:p w:rsidR="00E91CBA" w:rsidRPr="00FC1180" w:rsidRDefault="00E91CBA" w:rsidP="00E91CBA">
      <w:pPr>
        <w:numPr>
          <w:ilvl w:val="0"/>
          <w:numId w:val="8"/>
        </w:numPr>
        <w:spacing w:line="360" w:lineRule="auto"/>
        <w:ind w:left="567" w:right="616" w:firstLine="0"/>
        <w:contextualSpacing/>
        <w:jc w:val="both"/>
        <w:rPr>
          <w:rFonts w:ascii="Palatino Linotype" w:hAnsi="Palatino Linotype" w:cs="Arial"/>
        </w:rPr>
      </w:pPr>
      <w:r w:rsidRPr="00FC1180">
        <w:rPr>
          <w:rFonts w:ascii="Palatino Linotype" w:hAnsi="Palatino Linotype" w:cs="Arial"/>
          <w:b/>
        </w:rPr>
        <w:t>Revoque el acto impugnado:</w:t>
      </w:r>
      <w:r w:rsidRPr="00FC1180">
        <w:rPr>
          <w:rFonts w:ascii="Palatino Linotype" w:hAnsi="Palatino Linotype" w:cs="Arial"/>
        </w:rPr>
        <w:t xml:space="preserve"> En este supuesto, el </w:t>
      </w:r>
      <w:r w:rsidRPr="00FC1180">
        <w:rPr>
          <w:rFonts w:ascii="Palatino Linotype" w:hAnsi="Palatino Linotype" w:cs="Arial"/>
          <w:b/>
        </w:rPr>
        <w:t>SUJETO OBLIGADO</w:t>
      </w:r>
      <w:r w:rsidRPr="00FC1180">
        <w:rPr>
          <w:rFonts w:ascii="Palatino Linotype" w:hAnsi="Palatino Linotype" w:cs="Arial"/>
        </w:rPr>
        <w:t xml:space="preserve"> deja sin efectos la primera respuesta y en su lugar emite otra que satisfaga lo solicitado por el Particular en un primer momento.</w:t>
      </w:r>
    </w:p>
    <w:p w:rsidR="00E91CBA" w:rsidRPr="00FC1180" w:rsidRDefault="00E91CBA" w:rsidP="00E91CBA">
      <w:pPr>
        <w:spacing w:line="360" w:lineRule="auto"/>
        <w:ind w:right="616"/>
        <w:contextualSpacing/>
        <w:jc w:val="both"/>
        <w:rPr>
          <w:rFonts w:ascii="Palatino Linotype" w:hAnsi="Palatino Linotype" w:cs="Arial"/>
        </w:rPr>
      </w:pPr>
    </w:p>
    <w:p w:rsidR="00E91CBA" w:rsidRPr="00FC1180" w:rsidRDefault="00E91CBA" w:rsidP="00E91CBA">
      <w:pPr>
        <w:pStyle w:val="Prrafodelista"/>
        <w:numPr>
          <w:ilvl w:val="0"/>
          <w:numId w:val="1"/>
        </w:numPr>
        <w:tabs>
          <w:tab w:val="left" w:pos="284"/>
          <w:tab w:val="left" w:pos="567"/>
        </w:tabs>
        <w:spacing w:line="360" w:lineRule="auto"/>
        <w:ind w:left="0" w:firstLine="0"/>
        <w:jc w:val="both"/>
        <w:rPr>
          <w:rFonts w:ascii="Palatino Linotype" w:eastAsia="Calibri" w:hAnsi="Palatino Linotype" w:cs="Arial"/>
          <w:color w:val="000000" w:themeColor="text1"/>
          <w:sz w:val="24"/>
          <w:lang w:val="es-ES"/>
        </w:rPr>
      </w:pPr>
      <w:r w:rsidRPr="00FC1180">
        <w:rPr>
          <w:rFonts w:ascii="Palatino Linotype" w:eastAsia="Calibri" w:hAnsi="Palatino Linotype" w:cs="Arial"/>
          <w:color w:val="000000" w:themeColor="text1"/>
          <w:sz w:val="24"/>
          <w:lang w:val="es-ES"/>
        </w:rPr>
        <w:t xml:space="preserve">Las </w:t>
      </w:r>
      <w:r w:rsidRPr="00FC1180">
        <w:rPr>
          <w:rFonts w:ascii="Palatino Linotype" w:eastAsia="Calibri" w:hAnsi="Palatino Linotype"/>
          <w:sz w:val="24"/>
        </w:rPr>
        <w:t>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E91CBA" w:rsidRPr="00FC1180" w:rsidRDefault="00E91CBA" w:rsidP="00E91CBA">
      <w:pPr>
        <w:pStyle w:val="Prrafodelista"/>
        <w:tabs>
          <w:tab w:val="left" w:pos="284"/>
          <w:tab w:val="left" w:pos="567"/>
        </w:tabs>
        <w:spacing w:line="360" w:lineRule="auto"/>
        <w:ind w:left="0"/>
        <w:jc w:val="both"/>
        <w:rPr>
          <w:rFonts w:ascii="Palatino Linotype" w:eastAsia="Calibri" w:hAnsi="Palatino Linotype" w:cs="Arial"/>
          <w:color w:val="000000" w:themeColor="text1"/>
          <w:sz w:val="24"/>
          <w:lang w:val="es-ES"/>
        </w:rPr>
      </w:pPr>
    </w:p>
    <w:p w:rsidR="00E91CBA" w:rsidRPr="00FC1180" w:rsidRDefault="00E91CBA" w:rsidP="002D1018">
      <w:pPr>
        <w:pStyle w:val="Prrafodelista"/>
        <w:numPr>
          <w:ilvl w:val="0"/>
          <w:numId w:val="1"/>
        </w:numPr>
        <w:tabs>
          <w:tab w:val="left" w:pos="284"/>
          <w:tab w:val="left" w:pos="567"/>
        </w:tabs>
        <w:spacing w:line="360" w:lineRule="auto"/>
        <w:ind w:left="0" w:firstLine="0"/>
        <w:jc w:val="both"/>
        <w:rPr>
          <w:rFonts w:ascii="Palatino Linotype" w:hAnsi="Palatino Linotype"/>
          <w:b/>
          <w:bCs/>
          <w:color w:val="000000"/>
          <w:szCs w:val="22"/>
          <w:lang w:val="es-ES"/>
        </w:rPr>
      </w:pPr>
      <w:r w:rsidRPr="00FC1180">
        <w:rPr>
          <w:rFonts w:ascii="Palatino Linotype" w:eastAsia="Calibri" w:hAnsi="Palatino Linotype" w:cs="Arial"/>
          <w:color w:val="000000" w:themeColor="text1"/>
          <w:sz w:val="24"/>
          <w:lang w:val="es-ES"/>
        </w:rPr>
        <w:t xml:space="preserve">En el presente caso, </w:t>
      </w:r>
      <w:r w:rsidRPr="00FC1180">
        <w:rPr>
          <w:rFonts w:ascii="Palatino Linotype" w:hAnsi="Palatino Linotype" w:cs="Arial"/>
          <w:color w:val="000000"/>
          <w:sz w:val="24"/>
          <w:lang w:val="es-ES"/>
        </w:rPr>
        <w:t xml:space="preserve">el Recurrente solicitó </w:t>
      </w:r>
      <w:r w:rsidR="002D1018" w:rsidRPr="00FC1180">
        <w:rPr>
          <w:rFonts w:ascii="Palatino Linotype" w:hAnsi="Palatino Linotype" w:cs="Arial"/>
          <w:color w:val="000000"/>
          <w:sz w:val="24"/>
          <w:lang w:val="es-ES"/>
        </w:rPr>
        <w:t xml:space="preserve">los lineamientos emitidos por el órgano Superior de Fiscalización del Estado de México en materia de inventarios para los Municipios y Organismos Descentralizados vigente, asimismo, solicitó que en caso de existir un procedimientos de reforma de dicho lineamiento, se le proporcione el proyecto, los nombres y corres de los servidores públicos que intervengan en el mismo. </w:t>
      </w:r>
    </w:p>
    <w:p w:rsidR="002D1018" w:rsidRPr="00FC1180" w:rsidRDefault="002D1018" w:rsidP="002D1018">
      <w:pPr>
        <w:pStyle w:val="Prrafodelista"/>
        <w:tabs>
          <w:tab w:val="left" w:pos="284"/>
          <w:tab w:val="left" w:pos="567"/>
        </w:tabs>
        <w:spacing w:line="360" w:lineRule="auto"/>
        <w:ind w:left="0"/>
        <w:jc w:val="both"/>
        <w:rPr>
          <w:rFonts w:ascii="Palatino Linotype" w:hAnsi="Palatino Linotype"/>
          <w:b/>
          <w:bCs/>
          <w:color w:val="000000"/>
          <w:szCs w:val="22"/>
          <w:lang w:val="es-ES"/>
        </w:rPr>
      </w:pPr>
    </w:p>
    <w:p w:rsidR="00E91CBA" w:rsidRPr="00FC1180" w:rsidRDefault="002D1018" w:rsidP="00E91CBA">
      <w:pPr>
        <w:pStyle w:val="Prrafodelista"/>
        <w:numPr>
          <w:ilvl w:val="0"/>
          <w:numId w:val="1"/>
        </w:numPr>
        <w:tabs>
          <w:tab w:val="left" w:pos="284"/>
        </w:tabs>
        <w:spacing w:line="360" w:lineRule="auto"/>
        <w:ind w:left="0" w:firstLine="0"/>
        <w:jc w:val="both"/>
        <w:rPr>
          <w:rFonts w:ascii="Palatino Linotype" w:hAnsi="Palatino Linotype"/>
          <w:sz w:val="24"/>
        </w:rPr>
      </w:pPr>
      <w:r w:rsidRPr="00FC1180">
        <w:rPr>
          <w:rFonts w:ascii="Palatino Linotype" w:hAnsi="Palatino Linotype" w:cs="Arial"/>
          <w:color w:val="000000"/>
          <w:sz w:val="24"/>
          <w:lang w:val="es-ES"/>
        </w:rPr>
        <w:t xml:space="preserve">En respuesta, el Sujeto Obligado adjuntó la liga electrónica y el PDF de los </w:t>
      </w:r>
      <w:r w:rsidRPr="00FC1180">
        <w:rPr>
          <w:rFonts w:ascii="Palatino Linotype" w:hAnsi="Palatino Linotype" w:cs="Arial"/>
          <w:color w:val="000000"/>
          <w:sz w:val="24"/>
        </w:rPr>
        <w:t xml:space="preserve">Lineamientos para el Registro y Control de Inventario y la Conciliación y </w:t>
      </w:r>
      <w:r w:rsidRPr="00FC1180">
        <w:rPr>
          <w:rFonts w:ascii="Palatino Linotype" w:hAnsi="Palatino Linotype" w:cs="Arial"/>
          <w:color w:val="000000"/>
          <w:sz w:val="24"/>
        </w:rPr>
        <w:lastRenderedPageBreak/>
        <w:t xml:space="preserve">Desincorporación de Bienes Muebles e Inmuebles para las Entidades Fiscalizables Municipales del Estado de México, y señaló que se encuentran vigentes. </w:t>
      </w:r>
    </w:p>
    <w:p w:rsidR="002D1018" w:rsidRPr="00FC1180" w:rsidRDefault="002D1018" w:rsidP="002D1018">
      <w:pPr>
        <w:pStyle w:val="Prrafodelista"/>
        <w:tabs>
          <w:tab w:val="left" w:pos="284"/>
        </w:tabs>
        <w:spacing w:line="360" w:lineRule="auto"/>
        <w:ind w:left="0"/>
        <w:jc w:val="both"/>
        <w:rPr>
          <w:rFonts w:ascii="Palatino Linotype" w:hAnsi="Palatino Linotype"/>
          <w:sz w:val="24"/>
        </w:rPr>
      </w:pPr>
    </w:p>
    <w:p w:rsidR="002D1018" w:rsidRPr="00FC1180" w:rsidRDefault="002D1018" w:rsidP="00C078B9">
      <w:pPr>
        <w:pStyle w:val="Prrafodelista"/>
        <w:numPr>
          <w:ilvl w:val="0"/>
          <w:numId w:val="1"/>
        </w:numPr>
        <w:tabs>
          <w:tab w:val="left" w:pos="284"/>
          <w:tab w:val="left" w:pos="567"/>
        </w:tabs>
        <w:spacing w:line="360" w:lineRule="auto"/>
        <w:ind w:left="0" w:firstLine="0"/>
        <w:jc w:val="both"/>
        <w:rPr>
          <w:rFonts w:ascii="Palatino Linotype" w:hAnsi="Palatino Linotype"/>
          <w:b/>
          <w:bCs/>
          <w:color w:val="000000"/>
          <w:szCs w:val="22"/>
          <w:lang w:val="es-ES"/>
        </w:rPr>
      </w:pPr>
      <w:r w:rsidRPr="00FC1180">
        <w:rPr>
          <w:rFonts w:ascii="Palatino Linotype" w:hAnsi="Palatino Linotype" w:cs="Arial"/>
          <w:color w:val="000000"/>
          <w:sz w:val="24"/>
        </w:rPr>
        <w:t xml:space="preserve">Posteriormente, inconforme con la respuesta, el hoy Recurrente interpuso recurso de revisión mediante el cual </w:t>
      </w:r>
      <w:r w:rsidR="00C078B9" w:rsidRPr="00FC1180">
        <w:rPr>
          <w:rFonts w:ascii="Palatino Linotype" w:hAnsi="Palatino Linotype" w:cs="Arial"/>
          <w:color w:val="000000"/>
          <w:sz w:val="24"/>
        </w:rPr>
        <w:t xml:space="preserve">se inconformó, de forma medular, por que el Sujeto Obligado no se pronunció sobre si existía un proceso de reforma de los lineamientos, y de ser así, el </w:t>
      </w:r>
      <w:r w:rsidR="00C078B9" w:rsidRPr="00FC1180">
        <w:rPr>
          <w:rFonts w:ascii="Palatino Linotype" w:hAnsi="Palatino Linotype" w:cs="Arial"/>
          <w:color w:val="000000"/>
          <w:sz w:val="24"/>
          <w:lang w:val="es-ES"/>
        </w:rPr>
        <w:t xml:space="preserve">se le proporcione el proyecto, los nombres y corres de los servidores públicos que intervengan en el mismo. </w:t>
      </w:r>
    </w:p>
    <w:p w:rsidR="00C078B9" w:rsidRPr="00FC1180" w:rsidRDefault="00C078B9" w:rsidP="00C078B9">
      <w:pPr>
        <w:pStyle w:val="Prrafodelista"/>
        <w:tabs>
          <w:tab w:val="left" w:pos="284"/>
          <w:tab w:val="left" w:pos="567"/>
        </w:tabs>
        <w:spacing w:line="360" w:lineRule="auto"/>
        <w:ind w:left="0"/>
        <w:jc w:val="both"/>
        <w:rPr>
          <w:rFonts w:ascii="Palatino Linotype" w:hAnsi="Palatino Linotype"/>
          <w:b/>
          <w:bCs/>
          <w:color w:val="000000"/>
          <w:szCs w:val="22"/>
          <w:lang w:val="es-ES"/>
        </w:rPr>
      </w:pPr>
    </w:p>
    <w:p w:rsidR="00C078B9" w:rsidRPr="00FC1180" w:rsidRDefault="00C078B9" w:rsidP="00C078B9">
      <w:pPr>
        <w:pStyle w:val="Prrafodelista"/>
        <w:numPr>
          <w:ilvl w:val="0"/>
          <w:numId w:val="1"/>
        </w:numPr>
        <w:tabs>
          <w:tab w:val="left" w:pos="284"/>
          <w:tab w:val="left" w:pos="567"/>
        </w:tabs>
        <w:spacing w:line="360" w:lineRule="auto"/>
        <w:ind w:left="0" w:firstLine="0"/>
        <w:jc w:val="both"/>
        <w:rPr>
          <w:rFonts w:ascii="Palatino Linotype" w:hAnsi="Palatino Linotype"/>
          <w:b/>
          <w:bCs/>
          <w:color w:val="000000"/>
          <w:szCs w:val="22"/>
          <w:lang w:val="es-ES"/>
        </w:rPr>
      </w:pPr>
      <w:r w:rsidRPr="00FC1180">
        <w:rPr>
          <w:rFonts w:ascii="Palatino Linotype" w:hAnsi="Palatino Linotype"/>
          <w:bCs/>
          <w:color w:val="000000"/>
          <w:szCs w:val="22"/>
          <w:lang w:val="es-ES"/>
        </w:rPr>
        <w:t xml:space="preserve">En este caso, </w:t>
      </w:r>
      <w:r w:rsidRPr="00FC1180">
        <w:rPr>
          <w:rFonts w:ascii="Palatino Linotype" w:eastAsia="MS Mincho" w:hAnsi="Palatino Linotype" w:cs="Arial"/>
          <w:sz w:val="24"/>
          <w:lang w:eastAsia="es-ES"/>
        </w:rPr>
        <w:t xml:space="preserve">la inconformidad del RECURRENTE radica en que la información remitida es incompleta, es decir, que el particular no se inconformó por las documentales emitidas en respuesta; en este caso,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rsidR="00C078B9" w:rsidRPr="00FC1180" w:rsidRDefault="00C078B9" w:rsidP="00C078B9">
      <w:pPr>
        <w:pStyle w:val="Prrafodelista"/>
        <w:tabs>
          <w:tab w:val="left" w:pos="284"/>
          <w:tab w:val="left" w:pos="567"/>
        </w:tabs>
        <w:spacing w:line="360" w:lineRule="auto"/>
        <w:ind w:left="0"/>
        <w:jc w:val="both"/>
        <w:rPr>
          <w:rFonts w:ascii="Palatino Linotype" w:hAnsi="Palatino Linotype"/>
          <w:b/>
          <w:bCs/>
          <w:color w:val="000000"/>
          <w:szCs w:val="22"/>
          <w:lang w:val="es-ES"/>
        </w:rPr>
      </w:pPr>
    </w:p>
    <w:p w:rsidR="00C078B9" w:rsidRPr="00FC1180" w:rsidRDefault="00C078B9" w:rsidP="00C078B9">
      <w:pPr>
        <w:pStyle w:val="Prrafodelista"/>
        <w:numPr>
          <w:ilvl w:val="0"/>
          <w:numId w:val="1"/>
        </w:numPr>
        <w:tabs>
          <w:tab w:val="left" w:pos="284"/>
          <w:tab w:val="left" w:pos="567"/>
        </w:tabs>
        <w:spacing w:line="360" w:lineRule="auto"/>
        <w:ind w:left="0" w:firstLine="0"/>
        <w:jc w:val="both"/>
        <w:rPr>
          <w:rFonts w:ascii="Palatino Linotype" w:hAnsi="Palatino Linotype"/>
          <w:b/>
          <w:bCs/>
          <w:color w:val="000000"/>
          <w:szCs w:val="22"/>
          <w:lang w:val="es-ES"/>
        </w:rPr>
      </w:pPr>
      <w:r w:rsidRPr="00FC1180">
        <w:rPr>
          <w:rFonts w:ascii="Palatino Linotype" w:eastAsia="MS Mincho" w:hAnsi="Palatino Linotype" w:cs="Arial"/>
          <w:sz w:val="24"/>
          <w:lang w:eastAsia="es-ES"/>
        </w:rPr>
        <w:t>Sirve de sustento, la tesis jurisprudencial número VI.3o.C. J/60, publicada en el Semanario Judicial de la Federación y su Gaceta bajo el número de registro 176,608 que a la letra dice:</w:t>
      </w:r>
    </w:p>
    <w:p w:rsidR="00C078B9" w:rsidRPr="00FC1180" w:rsidRDefault="00C078B9" w:rsidP="00C078B9">
      <w:pPr>
        <w:pStyle w:val="Prrafodelista"/>
        <w:spacing w:before="240" w:after="240" w:line="360" w:lineRule="auto"/>
        <w:ind w:left="0" w:right="48"/>
        <w:jc w:val="both"/>
        <w:rPr>
          <w:rFonts w:ascii="Palatino Linotype" w:eastAsia="MS Mincho" w:hAnsi="Palatino Linotype" w:cs="Arial"/>
          <w:sz w:val="24"/>
          <w:lang w:eastAsia="es-ES"/>
        </w:rPr>
      </w:pPr>
    </w:p>
    <w:p w:rsidR="00C078B9" w:rsidRPr="00FC1180" w:rsidRDefault="00C078B9" w:rsidP="00C078B9">
      <w:pPr>
        <w:pStyle w:val="Prrafodelista"/>
        <w:spacing w:before="240" w:after="240" w:line="360" w:lineRule="auto"/>
        <w:ind w:left="851" w:right="822"/>
        <w:jc w:val="both"/>
        <w:rPr>
          <w:rFonts w:ascii="Palatino Linotype" w:eastAsia="MS Mincho" w:hAnsi="Palatino Linotype" w:cs="Arial"/>
          <w:i/>
          <w:lang w:eastAsia="es-ES"/>
        </w:rPr>
      </w:pPr>
      <w:r w:rsidRPr="00FC1180">
        <w:rPr>
          <w:rFonts w:ascii="Palatino Linotype" w:eastAsia="MS Mincho" w:hAnsi="Palatino Linotype" w:cs="Arial"/>
          <w:i/>
          <w:lang w:eastAsia="es-ES"/>
        </w:rPr>
        <w:t xml:space="preserve">“ACTOS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w:t>
      </w:r>
      <w:r w:rsidRPr="00FC1180">
        <w:rPr>
          <w:rFonts w:ascii="Palatino Linotype" w:eastAsia="MS Mincho" w:hAnsi="Palatino Linotype" w:cs="Arial"/>
          <w:i/>
          <w:lang w:eastAsia="es-ES"/>
        </w:rPr>
        <w:lastRenderedPageBreak/>
        <w:t>producen efectos jurídicos tendientes a revocar, confirmar o modificar el acto reclamado en amparo, lo que significa consentimiento del mismo por falta de impugnación eficaz.”</w:t>
      </w:r>
    </w:p>
    <w:p w:rsidR="00C078B9" w:rsidRPr="00FC1180" w:rsidRDefault="00C078B9" w:rsidP="00C078B9">
      <w:pPr>
        <w:pStyle w:val="Prrafodelista"/>
        <w:spacing w:before="240" w:after="240" w:line="360" w:lineRule="auto"/>
        <w:ind w:left="851" w:right="822"/>
        <w:jc w:val="both"/>
        <w:rPr>
          <w:rFonts w:ascii="Palatino Linotype" w:eastAsia="MS Mincho" w:hAnsi="Palatino Linotype" w:cs="Arial"/>
          <w:i/>
          <w:lang w:eastAsia="es-ES"/>
        </w:rPr>
      </w:pPr>
    </w:p>
    <w:p w:rsidR="00C078B9" w:rsidRPr="00FC1180" w:rsidRDefault="00C078B9" w:rsidP="00C078B9">
      <w:pPr>
        <w:pStyle w:val="Prrafodelista"/>
        <w:numPr>
          <w:ilvl w:val="0"/>
          <w:numId w:val="1"/>
        </w:numPr>
        <w:spacing w:before="240" w:after="240" w:line="360" w:lineRule="auto"/>
        <w:ind w:left="0" w:right="48" w:firstLine="0"/>
        <w:jc w:val="both"/>
        <w:rPr>
          <w:rFonts w:ascii="Palatino Linotype" w:eastAsia="MS Mincho" w:hAnsi="Palatino Linotype" w:cs="Arial"/>
          <w:sz w:val="24"/>
          <w:lang w:eastAsia="es-ES"/>
        </w:rPr>
      </w:pPr>
      <w:r w:rsidRPr="00FC1180">
        <w:rPr>
          <w:rFonts w:ascii="Palatino Linotype" w:eastAsia="MS Mincho" w:hAnsi="Palatino Linotype" w:cs="Arial"/>
          <w:sz w:val="24"/>
          <w:lang w:eastAsia="es-ES"/>
        </w:rPr>
        <w:t xml:space="preserve">Lo anterior es así, debido a que cuando el particular impugnó la respuesta del SUJETO OBLIGADO, y no expresó razón o motivo de inconformidad en contra de lo que se le hizo entrega, por tanto, estos deben declararse atendidos, pues se entiende que EL RECURRENTE está conforme con la respuesta proporcionada por EL SUJETO OBLIGADO, al no contravenir la misma. </w:t>
      </w:r>
    </w:p>
    <w:p w:rsidR="00C078B9" w:rsidRPr="00FC1180" w:rsidRDefault="00C078B9" w:rsidP="00C078B9">
      <w:pPr>
        <w:pStyle w:val="Prrafodelista"/>
        <w:spacing w:before="240" w:after="240" w:line="360" w:lineRule="auto"/>
        <w:ind w:left="0" w:right="48"/>
        <w:jc w:val="both"/>
        <w:rPr>
          <w:rFonts w:ascii="Palatino Linotype" w:eastAsia="MS Mincho" w:hAnsi="Palatino Linotype" w:cs="Arial"/>
          <w:sz w:val="24"/>
          <w:lang w:eastAsia="es-ES"/>
        </w:rPr>
      </w:pPr>
    </w:p>
    <w:p w:rsidR="00C078B9" w:rsidRPr="00FC1180" w:rsidRDefault="00C078B9" w:rsidP="00C078B9">
      <w:pPr>
        <w:pStyle w:val="Prrafodelista"/>
        <w:numPr>
          <w:ilvl w:val="0"/>
          <w:numId w:val="1"/>
        </w:numPr>
        <w:spacing w:before="240" w:after="240" w:line="360" w:lineRule="auto"/>
        <w:ind w:left="0" w:right="48" w:firstLine="0"/>
        <w:jc w:val="both"/>
        <w:rPr>
          <w:rFonts w:ascii="Palatino Linotype" w:eastAsia="MS Mincho" w:hAnsi="Palatino Linotype" w:cs="Arial"/>
          <w:sz w:val="24"/>
          <w:lang w:eastAsia="es-ES"/>
        </w:rPr>
      </w:pPr>
      <w:r w:rsidRPr="00FC1180">
        <w:rPr>
          <w:rFonts w:ascii="Palatino Linotype" w:eastAsia="MS Mincho" w:hAnsi="Palatino Linotype" w:cs="Arial"/>
          <w:sz w:val="24"/>
          <w:lang w:eastAsia="es-ES"/>
        </w:rPr>
        <w:t>Atento a ello, es importante traer a contexto la Tesis Jurisprudencial Número 3ª./J.7/91, Publicada en el Semanario Judicial de la Federación y su Gaceta bajo el número de registro 174,177, que establece lo siguiente:</w:t>
      </w:r>
    </w:p>
    <w:p w:rsidR="00C078B9" w:rsidRPr="00FC1180" w:rsidRDefault="00C078B9" w:rsidP="00C078B9">
      <w:pPr>
        <w:pStyle w:val="Prrafodelista"/>
        <w:spacing w:before="240" w:after="240" w:line="360" w:lineRule="auto"/>
        <w:ind w:left="0" w:right="48"/>
        <w:jc w:val="both"/>
        <w:rPr>
          <w:rFonts w:ascii="Palatino Linotype" w:eastAsia="MS Mincho" w:hAnsi="Palatino Linotype" w:cs="Arial"/>
          <w:sz w:val="24"/>
          <w:lang w:eastAsia="es-ES"/>
        </w:rPr>
      </w:pPr>
    </w:p>
    <w:p w:rsidR="00C078B9" w:rsidRPr="00FC1180" w:rsidRDefault="00C078B9" w:rsidP="00C078B9">
      <w:pPr>
        <w:pStyle w:val="Prrafodelista"/>
        <w:spacing w:before="240" w:after="240" w:line="360" w:lineRule="auto"/>
        <w:ind w:left="851" w:right="822"/>
        <w:jc w:val="both"/>
        <w:rPr>
          <w:rFonts w:ascii="Palatino Linotype" w:eastAsia="MS Mincho" w:hAnsi="Palatino Linotype" w:cs="Arial"/>
          <w:i/>
          <w:lang w:eastAsia="es-ES"/>
        </w:rPr>
      </w:pPr>
      <w:r w:rsidRPr="00FC1180">
        <w:rPr>
          <w:rFonts w:ascii="Palatino Linotype" w:eastAsia="MS Mincho" w:hAnsi="Palatino Linotype" w:cs="Arial"/>
          <w:i/>
          <w:lang w:eastAsia="es-ES"/>
        </w:rPr>
        <w:t>“REVISIÓN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E91CBA" w:rsidRPr="00FC1180" w:rsidRDefault="00E91CBA" w:rsidP="00E91CBA">
      <w:pPr>
        <w:tabs>
          <w:tab w:val="left" w:pos="284"/>
        </w:tabs>
        <w:rPr>
          <w:rFonts w:ascii="Palatino Linotype" w:eastAsia="Calibri" w:hAnsi="Palatino Linotype" w:cs="Arial"/>
          <w:color w:val="000000" w:themeColor="text1"/>
          <w:sz w:val="28"/>
          <w:lang w:val="es-ES"/>
        </w:rPr>
      </w:pPr>
    </w:p>
    <w:p w:rsidR="00C078B9" w:rsidRPr="00FC1180" w:rsidRDefault="00C078B9" w:rsidP="00E77B21">
      <w:pPr>
        <w:pStyle w:val="Prrafodelista"/>
        <w:numPr>
          <w:ilvl w:val="0"/>
          <w:numId w:val="1"/>
        </w:numPr>
        <w:tabs>
          <w:tab w:val="left" w:pos="284"/>
          <w:tab w:val="left" w:pos="567"/>
        </w:tabs>
        <w:spacing w:line="360" w:lineRule="auto"/>
        <w:ind w:left="0" w:firstLine="0"/>
        <w:jc w:val="both"/>
        <w:rPr>
          <w:rFonts w:ascii="Palatino Linotype" w:hAnsi="Palatino Linotype"/>
          <w:b/>
          <w:bCs/>
          <w:color w:val="000000"/>
          <w:szCs w:val="22"/>
          <w:lang w:val="es-ES"/>
        </w:rPr>
      </w:pPr>
      <w:r w:rsidRPr="00FC1180">
        <w:rPr>
          <w:rFonts w:ascii="Palatino Linotype" w:eastAsia="Palatino Linotype" w:hAnsi="Palatino Linotype" w:cs="Palatino Linotype"/>
          <w:sz w:val="24"/>
        </w:rPr>
        <w:lastRenderedPageBreak/>
        <w:t xml:space="preserve">Derivado de lo anteriormente referido, y a efecto de garantizar el efectivo ejercicio del derecho de acceso a la información pública que asiste al particular, resulta conveniente precisar que el presente análisis versará únicamente </w:t>
      </w:r>
      <w:r w:rsidR="00E77B21" w:rsidRPr="00FC1180">
        <w:rPr>
          <w:rFonts w:ascii="Palatino Linotype" w:hAnsi="Palatino Linotype" w:cs="Arial"/>
          <w:color w:val="000000"/>
          <w:sz w:val="24"/>
        </w:rPr>
        <w:t xml:space="preserve">sobre si existe un proceso de reforma de los lineamientos, y de ser así, el </w:t>
      </w:r>
      <w:r w:rsidR="00E77B21" w:rsidRPr="00FC1180">
        <w:rPr>
          <w:rFonts w:ascii="Palatino Linotype" w:hAnsi="Palatino Linotype" w:cs="Arial"/>
          <w:color w:val="000000"/>
          <w:sz w:val="24"/>
          <w:lang w:val="es-ES"/>
        </w:rPr>
        <w:t xml:space="preserve">se le proporcione el proyecto, los nombres y corres de los servidores públicos que intervengan en el mismo. </w:t>
      </w:r>
    </w:p>
    <w:p w:rsidR="00E91CBA" w:rsidRPr="00FC1180" w:rsidRDefault="00E77B21" w:rsidP="004A5635">
      <w:pPr>
        <w:pStyle w:val="Prrafodelista"/>
        <w:numPr>
          <w:ilvl w:val="0"/>
          <w:numId w:val="1"/>
        </w:numPr>
        <w:tabs>
          <w:tab w:val="left" w:pos="284"/>
        </w:tabs>
        <w:spacing w:line="360" w:lineRule="auto"/>
        <w:ind w:left="0" w:firstLine="0"/>
        <w:jc w:val="both"/>
        <w:rPr>
          <w:rFonts w:ascii="Palatino Linotype" w:hAnsi="Palatino Linotype"/>
        </w:rPr>
      </w:pPr>
      <w:r w:rsidRPr="00FC1180">
        <w:rPr>
          <w:rFonts w:ascii="Palatino Linotype" w:eastAsia="Calibri" w:hAnsi="Palatino Linotype" w:cs="Arial"/>
          <w:color w:val="000000" w:themeColor="text1"/>
          <w:sz w:val="24"/>
          <w:lang w:val="es-ES"/>
        </w:rPr>
        <w:t>Ahora bien</w:t>
      </w:r>
      <w:r w:rsidR="00E91CBA" w:rsidRPr="00FC1180">
        <w:rPr>
          <w:rFonts w:ascii="Palatino Linotype" w:eastAsia="Calibri" w:hAnsi="Palatino Linotype" w:cs="Arial"/>
          <w:color w:val="000000" w:themeColor="text1"/>
          <w:sz w:val="24"/>
          <w:lang w:val="es-ES"/>
        </w:rPr>
        <w:t>,</w:t>
      </w:r>
      <w:r w:rsidRPr="00FC1180">
        <w:rPr>
          <w:rFonts w:ascii="Palatino Linotype" w:eastAsia="Calibri" w:hAnsi="Palatino Linotype" w:cs="Arial"/>
          <w:color w:val="000000" w:themeColor="text1"/>
          <w:sz w:val="24"/>
          <w:lang w:val="es-ES"/>
        </w:rPr>
        <w:t xml:space="preserve"> mediante informe justificado</w:t>
      </w:r>
      <w:r w:rsidR="00E91CBA" w:rsidRPr="00FC1180">
        <w:rPr>
          <w:rFonts w:ascii="Palatino Linotype" w:eastAsia="Calibri" w:hAnsi="Palatino Linotype" w:cs="Arial"/>
          <w:color w:val="000000" w:themeColor="text1"/>
          <w:sz w:val="24"/>
          <w:lang w:val="es-ES"/>
        </w:rPr>
        <w:t xml:space="preserve"> el </w:t>
      </w:r>
      <w:r w:rsidR="00E91CBA" w:rsidRPr="00FC1180">
        <w:rPr>
          <w:rFonts w:ascii="Palatino Linotype" w:eastAsia="Calibri" w:hAnsi="Palatino Linotype" w:cs="Arial"/>
          <w:b/>
          <w:bCs/>
          <w:color w:val="000000" w:themeColor="text1"/>
          <w:sz w:val="24"/>
          <w:lang w:val="es-ES"/>
        </w:rPr>
        <w:t>SUJETO OBLIGADO</w:t>
      </w:r>
      <w:r w:rsidRPr="00FC1180">
        <w:rPr>
          <w:rFonts w:ascii="Palatino Linotype" w:eastAsia="Calibri" w:hAnsi="Palatino Linotype" w:cs="Arial"/>
          <w:color w:val="000000" w:themeColor="text1"/>
          <w:sz w:val="24"/>
          <w:lang w:val="es-ES"/>
        </w:rPr>
        <w:t xml:space="preserve"> señaló:</w:t>
      </w:r>
    </w:p>
    <w:p w:rsidR="00E77B21" w:rsidRPr="00FC1180" w:rsidRDefault="00E77B21" w:rsidP="00E77B21">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E77B21" w:rsidRPr="00FC1180" w:rsidRDefault="00E77B21" w:rsidP="00E867F0">
      <w:pPr>
        <w:pStyle w:val="Prrafodelista"/>
        <w:tabs>
          <w:tab w:val="left" w:pos="284"/>
        </w:tabs>
        <w:spacing w:line="360" w:lineRule="auto"/>
        <w:ind w:left="851" w:right="822"/>
        <w:jc w:val="both"/>
        <w:rPr>
          <w:rFonts w:ascii="Palatino Linotype" w:hAnsi="Palatino Linotype"/>
          <w:i/>
          <w:sz w:val="20"/>
        </w:rPr>
      </w:pPr>
      <w:r w:rsidRPr="00FC1180">
        <w:rPr>
          <w:rFonts w:ascii="Palatino Linotype" w:eastAsia="Calibri" w:hAnsi="Palatino Linotype" w:cs="Arial"/>
          <w:i/>
          <w:color w:val="000000" w:themeColor="text1"/>
          <w:lang w:val="es-ES"/>
        </w:rPr>
        <w:t>“</w:t>
      </w:r>
      <w:r w:rsidR="00E867F0" w:rsidRPr="00FC1180">
        <w:rPr>
          <w:rFonts w:ascii="Palatino Linotype" w:eastAsia="Calibri" w:hAnsi="Palatino Linotype" w:cs="Arial"/>
          <w:i/>
          <w:color w:val="000000" w:themeColor="text1"/>
          <w:lang w:val="es-ES"/>
        </w:rPr>
        <w:t>Asimis</w:t>
      </w:r>
      <w:r w:rsidRPr="00FC1180">
        <w:rPr>
          <w:rFonts w:ascii="Palatino Linotype" w:eastAsia="Calibri" w:hAnsi="Palatino Linotype" w:cs="Arial"/>
          <w:i/>
          <w:color w:val="000000" w:themeColor="text1"/>
          <w:lang w:val="es-ES"/>
        </w:rPr>
        <w:t xml:space="preserve">mo, el recurrente hace referencia que, “En caso de existir un proceso de reforma a dicho lineamiento, Solicito me proporcionen el proyecto, los nombres </w:t>
      </w:r>
      <w:r w:rsidR="00E867F0" w:rsidRPr="00FC1180">
        <w:rPr>
          <w:rFonts w:ascii="Palatino Linotype" w:eastAsia="Calibri" w:hAnsi="Palatino Linotype" w:cs="Arial"/>
          <w:i/>
          <w:color w:val="000000" w:themeColor="text1"/>
          <w:lang w:val="es-ES"/>
        </w:rPr>
        <w:t xml:space="preserve">y correos de contacto de los servidores públicos que intervengan en el mismo. Gracias.” En este sentido se manifiesta que dicho ordenamiento se encuentra vigente, por lo que no existe un proyecto de reforma a dicho ordenamiento y por ende, tampoco un listado de servidores públicos que intervengan en el mismo. </w:t>
      </w:r>
    </w:p>
    <w:p w:rsidR="00E91CBA" w:rsidRPr="00FC1180" w:rsidRDefault="00E91CBA" w:rsidP="00E867F0">
      <w:pPr>
        <w:pStyle w:val="Prrafodelista"/>
        <w:tabs>
          <w:tab w:val="left" w:pos="284"/>
        </w:tabs>
        <w:spacing w:line="360" w:lineRule="auto"/>
        <w:ind w:left="0"/>
        <w:jc w:val="both"/>
        <w:rPr>
          <w:rFonts w:ascii="Palatino Linotype" w:hAnsi="Palatino Linotype"/>
        </w:rPr>
      </w:pPr>
    </w:p>
    <w:p w:rsidR="00E91CBA" w:rsidRPr="00FC1180" w:rsidRDefault="00E91CBA" w:rsidP="00E91CBA">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FC1180">
        <w:rPr>
          <w:rFonts w:ascii="Palatino Linotype" w:eastAsia="Calibri" w:hAnsi="Palatino Linotype" w:cs="Arial"/>
          <w:color w:val="000000" w:themeColor="text1"/>
          <w:sz w:val="24"/>
          <w:lang w:val="es-ES"/>
        </w:rPr>
        <w:t xml:space="preserve">En </w:t>
      </w:r>
      <w:r w:rsidRPr="00FC1180">
        <w:rPr>
          <w:rFonts w:ascii="Palatino Linotype" w:eastAsia="MS Mincho" w:hAnsi="Palatino Linotype"/>
          <w:sz w:val="24"/>
        </w:rPr>
        <w:t>tal contexto, como se advierte del informa justificado, el Sujeto Obligado dio respuesta a cada uno de los cuestionamientos del Recurrente.</w:t>
      </w:r>
    </w:p>
    <w:p w:rsidR="00E91CBA" w:rsidRPr="00FC1180" w:rsidRDefault="00E91CBA" w:rsidP="00E91CBA">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E91CBA" w:rsidRPr="00FC1180" w:rsidRDefault="00E91CBA" w:rsidP="00E91CBA">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FC1180">
        <w:rPr>
          <w:rFonts w:ascii="Palatino Linotype" w:eastAsia="Calibri" w:hAnsi="Palatino Linotype" w:cs="Arial"/>
          <w:color w:val="000000" w:themeColor="text1"/>
          <w:sz w:val="24"/>
          <w:lang w:val="es-ES"/>
        </w:rPr>
        <w:t xml:space="preserve">En este sentido, </w:t>
      </w:r>
      <w:r w:rsidRPr="00FC1180">
        <w:rPr>
          <w:rFonts w:ascii="Palatino Linotype" w:hAnsi="Palatino Linotype" w:cs="Arial"/>
          <w:bCs/>
          <w:sz w:val="24"/>
          <w:szCs w:val="22"/>
        </w:rPr>
        <w:t xml:space="preserve">es dable sostener que, al haber existido un pronunciamiento por parte del </w:t>
      </w:r>
      <w:r w:rsidRPr="00FC1180">
        <w:rPr>
          <w:rFonts w:ascii="Palatino Linotype" w:hAnsi="Palatino Linotype" w:cs="Arial"/>
          <w:b/>
          <w:bCs/>
          <w:sz w:val="24"/>
          <w:szCs w:val="22"/>
        </w:rPr>
        <w:t>SUJETO OBLIGADO</w:t>
      </w:r>
      <w:r w:rsidRPr="00FC1180">
        <w:rPr>
          <w:rFonts w:ascii="Palatino Linotype" w:hAnsi="Palatino Linotype" w:cs="Arial"/>
          <w:bCs/>
          <w:sz w:val="24"/>
          <w:szCs w:val="22"/>
        </w:rPr>
        <w:t>, este Instituto no está facultado para manifestarse sobre la veracidad de este, pues no existe precepto legal alguno en la Ley de la materia que lo faculte para que, vía recurso de revisión, pueda pronunciarse al respecto.</w:t>
      </w:r>
    </w:p>
    <w:p w:rsidR="00E91CBA" w:rsidRPr="00FC1180" w:rsidRDefault="00E91CBA" w:rsidP="00E91CBA">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E91CBA" w:rsidRPr="00FC1180" w:rsidRDefault="00E91CBA" w:rsidP="00E91CBA">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FC1180">
        <w:rPr>
          <w:rFonts w:ascii="Palatino Linotype" w:eastAsia="Calibri" w:hAnsi="Palatino Linotype" w:cs="Arial"/>
          <w:color w:val="000000" w:themeColor="text1"/>
          <w:sz w:val="24"/>
          <w:lang w:val="es-ES"/>
        </w:rPr>
        <w:t xml:space="preserve">Sirve </w:t>
      </w:r>
      <w:r w:rsidRPr="00FC1180">
        <w:rPr>
          <w:rFonts w:ascii="Palatino Linotype" w:hAnsi="Palatino Linotype" w:cs="Arial"/>
          <w:bCs/>
          <w:sz w:val="24"/>
          <w:szCs w:val="22"/>
          <w:lang w:val="es-ES"/>
        </w:rPr>
        <w:t xml:space="preserve">de apoyo a lo anterior, </w:t>
      </w:r>
      <w:r w:rsidRPr="00FC1180">
        <w:rPr>
          <w:rFonts w:ascii="Palatino Linotype" w:hAnsi="Palatino Linotype" w:cs="Arial"/>
          <w:bCs/>
          <w:sz w:val="24"/>
          <w:szCs w:val="22"/>
        </w:rPr>
        <w:t xml:space="preserve">por analogía el criterio 31-10 emitido por el entonces Instituto Federal de Acceso a la Información ahora Instituto Nacional de </w:t>
      </w:r>
      <w:r w:rsidRPr="00FC1180">
        <w:rPr>
          <w:rFonts w:ascii="Palatino Linotype" w:hAnsi="Palatino Linotype" w:cs="Arial"/>
          <w:bCs/>
          <w:sz w:val="24"/>
          <w:szCs w:val="22"/>
        </w:rPr>
        <w:lastRenderedPageBreak/>
        <w:t>Transparencia, Acceso a la Información y Protección de Datos Personales (INAI) que a la letra dice:</w:t>
      </w:r>
    </w:p>
    <w:p w:rsidR="00E91CBA" w:rsidRPr="00FC1180" w:rsidRDefault="00E91CBA" w:rsidP="00E91CB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rsidR="00E91CBA" w:rsidRPr="00FC1180" w:rsidRDefault="00E91CBA" w:rsidP="00E91CBA">
      <w:pPr>
        <w:tabs>
          <w:tab w:val="left" w:pos="709"/>
        </w:tabs>
        <w:spacing w:line="360" w:lineRule="auto"/>
        <w:ind w:left="567" w:right="565"/>
        <w:jc w:val="both"/>
        <w:rPr>
          <w:rFonts w:ascii="Palatino Linotype" w:hAnsi="Palatino Linotype" w:cs="Arial"/>
          <w:b/>
          <w:bCs/>
          <w:i/>
          <w:sz w:val="22"/>
          <w:szCs w:val="22"/>
        </w:rPr>
      </w:pPr>
      <w:r w:rsidRPr="00FC1180">
        <w:rPr>
          <w:rFonts w:ascii="Palatino Linotype" w:hAnsi="Palatino Linotype" w:cs="Arial"/>
          <w:b/>
          <w:bCs/>
          <w:i/>
          <w:sz w:val="22"/>
          <w:szCs w:val="22"/>
        </w:rPr>
        <w:t>“El Instituto Federal de Acceso a la Información y Protección de Datos no cuenta con facultades para pronunciarse respecto de la veracidad de los documentos proporcionados por los sujetos obligados</w:t>
      </w:r>
      <w:r w:rsidRPr="00FC1180">
        <w:rPr>
          <w:rFonts w:ascii="Palatino Linotype" w:hAnsi="Palatino Linotype" w:cs="Arial"/>
          <w:bCs/>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FC1180">
        <w:rPr>
          <w:rFonts w:ascii="Palatino Linotype" w:hAnsi="Palatino Linotype" w:cs="Arial"/>
          <w:b/>
          <w:bCs/>
          <w:i/>
          <w:sz w:val="22"/>
          <w:szCs w:val="22"/>
        </w:rPr>
        <w:t>”</w:t>
      </w:r>
    </w:p>
    <w:p w:rsidR="00E91CBA" w:rsidRPr="00FC1180" w:rsidRDefault="00E91CBA" w:rsidP="00E91CBA">
      <w:pPr>
        <w:tabs>
          <w:tab w:val="left" w:pos="709"/>
        </w:tabs>
        <w:ind w:right="565"/>
        <w:jc w:val="both"/>
        <w:rPr>
          <w:rFonts w:ascii="Palatino Linotype" w:hAnsi="Palatino Linotype" w:cs="Arial"/>
          <w:b/>
          <w:bCs/>
          <w:i/>
        </w:rPr>
      </w:pPr>
    </w:p>
    <w:p w:rsidR="00E91CBA" w:rsidRPr="00FC1180" w:rsidRDefault="00E91CBA" w:rsidP="00E91CBA">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FC1180">
        <w:rPr>
          <w:rFonts w:ascii="Palatino Linotype" w:eastAsia="Calibri" w:hAnsi="Palatino Linotype" w:cs="Arial"/>
          <w:color w:val="000000" w:themeColor="text1"/>
          <w:sz w:val="24"/>
          <w:lang w:val="es-ES"/>
        </w:rPr>
        <w:t xml:space="preserve">Así, </w:t>
      </w:r>
      <w:r w:rsidRPr="00FC1180">
        <w:rPr>
          <w:rFonts w:ascii="Palatino Linotype" w:eastAsia="Calibri" w:hAnsi="Palatino Linotype"/>
          <w:sz w:val="24"/>
        </w:rPr>
        <w:t xml:space="preserve">este Pleno advierte que el </w:t>
      </w:r>
      <w:r w:rsidRPr="00FC1180">
        <w:rPr>
          <w:rFonts w:ascii="Palatino Linotype" w:eastAsia="Calibri" w:hAnsi="Palatino Linotype"/>
          <w:b/>
          <w:sz w:val="24"/>
        </w:rPr>
        <w:t>SUJETO OBLIGADO</w:t>
      </w:r>
      <w:r w:rsidRPr="00FC1180">
        <w:rPr>
          <w:rFonts w:ascii="Palatino Linotype" w:eastAsia="Calibri" w:hAnsi="Palatino Linotype"/>
          <w:sz w:val="24"/>
        </w:rPr>
        <w:t xml:space="preserve"> </w:t>
      </w:r>
      <w:r w:rsidRPr="00FC1180">
        <w:rPr>
          <w:rFonts w:ascii="Palatino Linotype" w:eastAsia="Calibri" w:hAnsi="Palatino Linotype"/>
          <w:b/>
          <w:sz w:val="24"/>
        </w:rPr>
        <w:t xml:space="preserve">modificó </w:t>
      </w:r>
      <w:r w:rsidRPr="00FC1180">
        <w:rPr>
          <w:rFonts w:ascii="Palatino Linotype" w:eastAsia="Calibri" w:hAnsi="Palatino Linotype"/>
          <w:sz w:val="24"/>
        </w:rPr>
        <w:t>el acto que le dio origen a los recursos de revisión, lo que trae como consecuencia que el mismo quede sin materia, actualizándose de este modo, la hipótesis jurídica contenida en la fracción III del artículo 192 de la Ley de Transparencia Local.</w:t>
      </w:r>
    </w:p>
    <w:p w:rsidR="00E91CBA" w:rsidRPr="00FC1180" w:rsidRDefault="00E91CBA" w:rsidP="00E91CBA">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E91CBA" w:rsidRPr="00FC1180" w:rsidRDefault="00E91CBA" w:rsidP="00E91CBA">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FC1180">
        <w:rPr>
          <w:rFonts w:ascii="Palatino Linotype" w:eastAsia="Calibri" w:hAnsi="Palatino Linotype" w:cs="Arial"/>
          <w:color w:val="000000" w:themeColor="text1"/>
          <w:sz w:val="24"/>
          <w:lang w:val="es-ES"/>
        </w:rPr>
        <w:t xml:space="preserve">Ahora bien, </w:t>
      </w:r>
      <w:r w:rsidRPr="00FC1180">
        <w:rPr>
          <w:rFonts w:ascii="Palatino Linotype" w:eastAsia="Calibri" w:hAnsi="Palatino Linotype"/>
          <w:sz w:val="24"/>
        </w:rPr>
        <w:t xml:space="preserve">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FC1180">
        <w:rPr>
          <w:rFonts w:ascii="Palatino Linotype" w:eastAsia="Calibri" w:hAnsi="Palatino Linotype"/>
          <w:b/>
          <w:sz w:val="24"/>
        </w:rPr>
        <w:lastRenderedPageBreak/>
        <w:t>SUJETOS OBLIGADOS</w:t>
      </w:r>
      <w:r w:rsidRPr="00FC1180">
        <w:rPr>
          <w:rFonts w:ascii="Palatino Linotype" w:eastAsia="Calibri" w:hAnsi="Palatino Linotype"/>
          <w:sz w:val="24"/>
        </w:rPr>
        <w:t xml:space="preserve"> o la negativa de entrega de esta, derivada de la solicitud de información pública.</w:t>
      </w:r>
    </w:p>
    <w:p w:rsidR="00E91CBA" w:rsidRPr="00FC1180" w:rsidRDefault="00E91CBA" w:rsidP="00E91CBA">
      <w:pPr>
        <w:rPr>
          <w:rFonts w:ascii="Palatino Linotype" w:eastAsia="Calibri" w:hAnsi="Palatino Linotype" w:cs="Arial"/>
          <w:color w:val="000000" w:themeColor="text1"/>
          <w:sz w:val="28"/>
          <w:lang w:val="es-ES"/>
        </w:rPr>
      </w:pPr>
    </w:p>
    <w:p w:rsidR="00E91CBA" w:rsidRPr="00FC1180" w:rsidRDefault="00E91CBA" w:rsidP="00E91CBA">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FC1180">
        <w:rPr>
          <w:rFonts w:ascii="Palatino Linotype" w:eastAsia="Calibri" w:hAnsi="Palatino Linotype" w:cs="Arial"/>
          <w:color w:val="000000" w:themeColor="text1"/>
          <w:sz w:val="24"/>
          <w:lang w:val="es-ES"/>
        </w:rPr>
        <w:t xml:space="preserve">De </w:t>
      </w:r>
      <w:r w:rsidRPr="00FC1180">
        <w:rPr>
          <w:rFonts w:ascii="Palatino Linotype" w:eastAsia="Calibri" w:hAnsi="Palatino Linotype"/>
          <w:sz w:val="24"/>
        </w:rPr>
        <w:t xml:space="preserve">este modo, cuando el </w:t>
      </w:r>
      <w:r w:rsidRPr="00FC1180">
        <w:rPr>
          <w:rFonts w:ascii="Palatino Linotype" w:eastAsia="Calibri" w:hAnsi="Palatino Linotype"/>
          <w:b/>
          <w:sz w:val="24"/>
        </w:rPr>
        <w:t xml:space="preserve">SUJETO OBLIGADO, </w:t>
      </w:r>
      <w:r w:rsidRPr="00FC1180">
        <w:rPr>
          <w:rFonts w:ascii="Palatino Linotype" w:eastAsia="Calibri" w:hAnsi="Palatino Linotype"/>
          <w:sz w:val="24"/>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FC1180">
        <w:rPr>
          <w:rFonts w:ascii="Palatino Linotype" w:eastAsia="Calibri" w:hAnsi="Palatino Linotype"/>
          <w:i/>
          <w:sz w:val="24"/>
        </w:rPr>
        <w:t>litis</w:t>
      </w:r>
      <w:r w:rsidRPr="00FC1180">
        <w:rPr>
          <w:rFonts w:ascii="Palatino Linotype" w:eastAsia="Calibri" w:hAnsi="Palatino Linotype"/>
          <w:sz w:val="24"/>
        </w:rPr>
        <w:t xml:space="preserve"> planteada, debido a que la afectación en su esfera de derechos fue restituida por la propia autoridad que emitió el acto motivo de impugnación.</w:t>
      </w:r>
    </w:p>
    <w:p w:rsidR="00E91CBA" w:rsidRPr="00FC1180" w:rsidRDefault="00E91CBA" w:rsidP="00E91CBA">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E91CBA" w:rsidRPr="00FC1180" w:rsidRDefault="00E91CBA" w:rsidP="00E91CBA">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FC1180">
        <w:rPr>
          <w:rFonts w:ascii="Palatino Linotype" w:eastAsia="Calibri" w:hAnsi="Palatino Linotype" w:cs="Arial"/>
          <w:color w:val="000000" w:themeColor="text1"/>
          <w:sz w:val="24"/>
          <w:lang w:val="es-ES"/>
        </w:rPr>
        <w:t xml:space="preserve">Sirve </w:t>
      </w:r>
      <w:r w:rsidRPr="00FC1180">
        <w:rPr>
          <w:rFonts w:ascii="Palatino Linotype" w:eastAsia="Calibri" w:hAnsi="Palatino Linotype"/>
          <w:sz w:val="24"/>
        </w:rPr>
        <w:t>de sustento a lo anterior la siguiente jurisprudencia por contradicción, cuyo rubro, texto y datos de identificación son los siguientes:</w:t>
      </w:r>
    </w:p>
    <w:p w:rsidR="00E91CBA" w:rsidRPr="00FC1180" w:rsidRDefault="00E91CBA" w:rsidP="00E91CBA">
      <w:pPr>
        <w:rPr>
          <w:rFonts w:ascii="Palatino Linotype" w:eastAsia="Calibri" w:hAnsi="Palatino Linotype" w:cs="Arial"/>
          <w:color w:val="000000" w:themeColor="text1"/>
          <w:lang w:val="es-ES"/>
        </w:rPr>
      </w:pPr>
    </w:p>
    <w:p w:rsidR="00E91CBA" w:rsidRPr="00FC1180" w:rsidRDefault="00E91CBA" w:rsidP="00E91CBA">
      <w:pPr>
        <w:pStyle w:val="Prrafodelista"/>
        <w:tabs>
          <w:tab w:val="left" w:pos="426"/>
          <w:tab w:val="left" w:pos="567"/>
        </w:tabs>
        <w:spacing w:line="360" w:lineRule="auto"/>
        <w:ind w:left="567" w:right="565"/>
        <w:jc w:val="both"/>
        <w:rPr>
          <w:rFonts w:ascii="Palatino Linotype" w:eastAsia="Calibri" w:hAnsi="Palatino Linotype" w:cs="Arial"/>
          <w:color w:val="000000" w:themeColor="text1"/>
          <w:lang w:val="es-ES"/>
        </w:rPr>
      </w:pPr>
      <w:r w:rsidRPr="00FC1180">
        <w:rPr>
          <w:rFonts w:ascii="Palatino Linotype" w:eastAsia="Calibri" w:hAnsi="Palatino Linotype"/>
          <w:b/>
          <w:i/>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FC1180">
        <w:rPr>
          <w:rFonts w:ascii="Palatino Linotype" w:eastAsia="Calibri" w:hAnsi="Palatino Linotype"/>
          <w:i/>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w:t>
      </w:r>
      <w:r w:rsidRPr="00FC1180">
        <w:rPr>
          <w:rFonts w:ascii="Palatino Linotype" w:eastAsia="Calibri" w:hAnsi="Palatino Linotype"/>
          <w:i/>
        </w:rPr>
        <w:lastRenderedPageBreak/>
        <w:t>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E91CBA" w:rsidRPr="00FC1180" w:rsidRDefault="00E91CBA" w:rsidP="00E91CBA">
      <w:pPr>
        <w:rPr>
          <w:rFonts w:ascii="Palatino Linotype" w:eastAsia="Calibri" w:hAnsi="Palatino Linotype" w:cs="Arial"/>
          <w:color w:val="000000" w:themeColor="text1"/>
          <w:lang w:val="es-ES"/>
        </w:rPr>
      </w:pPr>
    </w:p>
    <w:p w:rsidR="00E91CBA" w:rsidRPr="00FC1180" w:rsidRDefault="00E91CBA" w:rsidP="00E91CBA">
      <w:pPr>
        <w:pStyle w:val="Prrafodelista"/>
        <w:numPr>
          <w:ilvl w:val="0"/>
          <w:numId w:val="1"/>
        </w:numPr>
        <w:tabs>
          <w:tab w:val="left" w:pos="284"/>
          <w:tab w:val="left" w:pos="567"/>
        </w:tabs>
        <w:spacing w:line="360" w:lineRule="auto"/>
        <w:ind w:left="0" w:firstLine="0"/>
        <w:jc w:val="both"/>
        <w:rPr>
          <w:rFonts w:ascii="Palatino Linotype" w:eastAsia="Calibri" w:hAnsi="Palatino Linotype" w:cs="Arial"/>
          <w:color w:val="000000" w:themeColor="text1"/>
          <w:sz w:val="24"/>
          <w:lang w:val="es-ES"/>
        </w:rPr>
      </w:pPr>
      <w:r w:rsidRPr="00FC1180">
        <w:rPr>
          <w:rFonts w:ascii="Palatino Linotype" w:eastAsia="Calibri" w:hAnsi="Palatino Linotype" w:cs="Arial"/>
          <w:color w:val="000000" w:themeColor="text1"/>
          <w:sz w:val="24"/>
          <w:lang w:val="es-ES"/>
        </w:rPr>
        <w:t xml:space="preserve">La </w:t>
      </w:r>
      <w:r w:rsidRPr="00FC1180">
        <w:rPr>
          <w:rFonts w:ascii="Palatino Linotype" w:eastAsia="Calibri" w:hAnsi="Palatino Linotype"/>
          <w:sz w:val="24"/>
        </w:rPr>
        <w:t xml:space="preserve">anterior jurisprudencia resulta aplicable al presente asunto, en dos aspectos: </w:t>
      </w:r>
    </w:p>
    <w:p w:rsidR="00E91CBA" w:rsidRPr="00FC1180" w:rsidRDefault="00E91CBA" w:rsidP="00E91CBA">
      <w:pPr>
        <w:pStyle w:val="Prrafodelista"/>
        <w:tabs>
          <w:tab w:val="left" w:pos="426"/>
          <w:tab w:val="left" w:pos="567"/>
        </w:tabs>
        <w:spacing w:line="360" w:lineRule="auto"/>
        <w:ind w:left="0"/>
        <w:jc w:val="both"/>
        <w:rPr>
          <w:rFonts w:ascii="Palatino Linotype" w:eastAsia="Calibri" w:hAnsi="Palatino Linotype"/>
        </w:rPr>
      </w:pPr>
    </w:p>
    <w:p w:rsidR="00E91CBA" w:rsidRPr="00FC1180" w:rsidRDefault="00E91CBA" w:rsidP="00E91CBA">
      <w:pPr>
        <w:numPr>
          <w:ilvl w:val="0"/>
          <w:numId w:val="9"/>
        </w:numPr>
        <w:spacing w:line="360" w:lineRule="auto"/>
        <w:ind w:left="567" w:right="616" w:firstLine="0"/>
        <w:contextualSpacing/>
        <w:jc w:val="both"/>
        <w:rPr>
          <w:rFonts w:ascii="Palatino Linotype" w:eastAsia="Calibri" w:hAnsi="Palatino Linotype"/>
        </w:rPr>
      </w:pPr>
      <w:r w:rsidRPr="00FC1180">
        <w:rPr>
          <w:rFonts w:ascii="Palatino Linotype" w:eastAsia="Calibri" w:hAnsi="Palatino Linotype"/>
          <w:b/>
        </w:rPr>
        <w:t>La cesación de los efectos perniciosos del acto de autoridad:</w:t>
      </w:r>
      <w:r w:rsidRPr="00FC1180">
        <w:rPr>
          <w:rFonts w:ascii="Palatino Linotype" w:eastAsia="Calibri" w:hAnsi="Palatino Linotype"/>
        </w:rPr>
        <w:t xml:space="preserve"> Al respecto, la Ley de Transparencia contempla la figura jurídica del sobreseimiento cuando el </w:t>
      </w:r>
      <w:r w:rsidRPr="00FC1180">
        <w:rPr>
          <w:rFonts w:ascii="Palatino Linotype" w:eastAsia="Calibri" w:hAnsi="Palatino Linotype"/>
          <w:b/>
        </w:rPr>
        <w:t>SUJETO OBLIGADO</w:t>
      </w:r>
      <w:r w:rsidRPr="00FC1180">
        <w:rPr>
          <w:rFonts w:ascii="Palatino Linotype" w:eastAsia="Calibri" w:hAnsi="Palatino Linotype"/>
        </w:rPr>
        <w:t xml:space="preserve"> de </w:t>
      </w:r>
      <w:r w:rsidRPr="00FC1180">
        <w:rPr>
          <w:rFonts w:ascii="Palatino Linotype" w:eastAsia="Calibri" w:hAnsi="Palatino Linotype"/>
          <w:i/>
        </w:rPr>
        <w:t>motu proprio</w:t>
      </w:r>
      <w:r w:rsidRPr="00FC1180">
        <w:rPr>
          <w:rFonts w:ascii="Palatino Linotype" w:eastAsia="Calibri" w:hAnsi="Palatino Linotype"/>
        </w:rPr>
        <w:t xml:space="preserve"> modifica o revoca de tal manera el acto motivo de la impugnación que lo deja sin materia; es decir, cesan los efectos de éste y el derecho de acceso a la información pública se encuentra satisfecho.</w:t>
      </w:r>
    </w:p>
    <w:p w:rsidR="00E91CBA" w:rsidRPr="00FC1180" w:rsidRDefault="00E91CBA" w:rsidP="00E91CBA">
      <w:pPr>
        <w:spacing w:line="360" w:lineRule="auto"/>
        <w:ind w:left="567" w:right="616"/>
        <w:contextualSpacing/>
        <w:rPr>
          <w:rFonts w:ascii="Palatino Linotype" w:eastAsia="Calibri" w:hAnsi="Palatino Linotype"/>
        </w:rPr>
      </w:pPr>
    </w:p>
    <w:p w:rsidR="00E91CBA" w:rsidRPr="00FC1180" w:rsidRDefault="00E91CBA" w:rsidP="00E91CBA">
      <w:pPr>
        <w:numPr>
          <w:ilvl w:val="0"/>
          <w:numId w:val="9"/>
        </w:numPr>
        <w:spacing w:line="360" w:lineRule="auto"/>
        <w:ind w:left="567" w:right="616" w:firstLine="0"/>
        <w:contextualSpacing/>
        <w:jc w:val="both"/>
        <w:rPr>
          <w:rFonts w:ascii="Palatino Linotype" w:eastAsia="Calibri" w:hAnsi="Palatino Linotype"/>
        </w:rPr>
      </w:pPr>
      <w:r w:rsidRPr="00FC1180">
        <w:rPr>
          <w:rFonts w:ascii="Palatino Linotype" w:eastAsia="Calibri" w:hAnsi="Palatino Linotype"/>
          <w:b/>
        </w:rPr>
        <w:t>El momento procesal para modificar el acto impugnado:</w:t>
      </w:r>
      <w:r w:rsidRPr="00FC1180">
        <w:rPr>
          <w:rFonts w:ascii="Palatino Linotype" w:eastAsia="Calibri" w:hAnsi="Palatino Linotype"/>
        </w:rPr>
        <w:t xml:space="preserve"> Para que se actualice el sobreseimiento de un recurso de revisión, el </w:t>
      </w:r>
      <w:r w:rsidRPr="00FC1180">
        <w:rPr>
          <w:rFonts w:ascii="Palatino Linotype" w:eastAsia="Calibri" w:hAnsi="Palatino Linotype"/>
          <w:b/>
        </w:rPr>
        <w:t>SUJETO OBLIGADO</w:t>
      </w:r>
      <w:r w:rsidRPr="00FC1180">
        <w:rPr>
          <w:rFonts w:ascii="Palatino Linotype" w:eastAsia="Calibri" w:hAnsi="Palatino Linotype"/>
        </w:rPr>
        <w:t xml:space="preserve"> puede entregar o completar la información al momento de rendir su informe de justificación o </w:t>
      </w:r>
      <w:r w:rsidRPr="00FC1180">
        <w:rPr>
          <w:rFonts w:ascii="Palatino Linotype" w:eastAsia="Calibri" w:hAnsi="Palatino Linotype"/>
          <w:b/>
          <w:u w:val="single"/>
        </w:rPr>
        <w:t>posteriormente</w:t>
      </w:r>
      <w:r w:rsidRPr="00FC1180">
        <w:rPr>
          <w:rFonts w:ascii="Palatino Linotype" w:eastAsia="Calibri" w:hAnsi="Palatino Linotype"/>
        </w:rPr>
        <w:t xml:space="preserve"> a éste, siempre y cuando el Pleno del Instituto no haya dictado resolución definitiva.</w:t>
      </w:r>
    </w:p>
    <w:p w:rsidR="00E91CBA" w:rsidRPr="00FC1180" w:rsidRDefault="00E91CBA" w:rsidP="00E91CB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rsidR="00E91CBA" w:rsidRPr="00FC1180" w:rsidRDefault="00E91CBA" w:rsidP="00E91CBA">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FC1180">
        <w:rPr>
          <w:rFonts w:ascii="Palatino Linotype" w:eastAsia="Calibri" w:hAnsi="Palatino Linotype" w:cs="Arial"/>
          <w:color w:val="000000" w:themeColor="text1"/>
          <w:sz w:val="24"/>
          <w:lang w:val="es-ES"/>
        </w:rPr>
        <w:t xml:space="preserve">Eduardo Pallares, </w:t>
      </w:r>
      <w:r w:rsidRPr="00FC1180">
        <w:rPr>
          <w:rFonts w:ascii="Palatino Linotype" w:eastAsia="Calibri" w:hAnsi="Palatino Linotype"/>
          <w:sz w:val="24"/>
        </w:rPr>
        <w:t xml:space="preserve">en su artículo </w:t>
      </w:r>
      <w:r w:rsidRPr="00FC1180">
        <w:rPr>
          <w:rFonts w:ascii="Palatino Linotype" w:eastAsia="Calibri" w:hAnsi="Palatino Linotype"/>
          <w:i/>
          <w:sz w:val="24"/>
        </w:rPr>
        <w:t>“La caducidad y el sobreseimiento en el amparo”</w:t>
      </w:r>
      <w:r w:rsidRPr="00FC1180">
        <w:rPr>
          <w:rFonts w:ascii="Palatino Linotype" w:eastAsia="Calibri" w:hAnsi="Palatino Linotype"/>
          <w:sz w:val="24"/>
        </w:rPr>
        <w:t xml:space="preserve">, cita la definición de Aguilera Paz, aduciendo que se </w:t>
      </w:r>
      <w:r w:rsidRPr="00FC1180">
        <w:rPr>
          <w:rFonts w:ascii="Palatino Linotype" w:eastAsia="Calibri" w:hAnsi="Palatino Linotype"/>
          <w:i/>
          <w:sz w:val="24"/>
        </w:rPr>
        <w:t xml:space="preserve">“...entiende por sobreseimiento en el </w:t>
      </w:r>
      <w:r w:rsidRPr="00FC1180">
        <w:rPr>
          <w:rFonts w:ascii="Palatino Linotype" w:eastAsia="Calibri" w:hAnsi="Palatino Linotype"/>
          <w:i/>
          <w:sz w:val="24"/>
        </w:rPr>
        <w:lastRenderedPageBreak/>
        <w:t>tecnicismo forense, el hecho de cesar en el procedimiento o curso de la causa, por no existir méritos bastantes para entrar en un juicio o para entablar la contienda judicial que debe ser objeto del mismo...”</w:t>
      </w:r>
      <w:r w:rsidRPr="00FC1180">
        <w:rPr>
          <w:rFonts w:ascii="Palatino Linotype" w:eastAsia="Calibri" w:hAnsi="Palatino Linotype"/>
          <w:sz w:val="24"/>
        </w:rPr>
        <w:t>. Asimismo, señala que existe el sobreseimiento provisional y el definitivo</w:t>
      </w:r>
      <w:r w:rsidRPr="00FC1180">
        <w:rPr>
          <w:rFonts w:ascii="Palatino Linotype" w:eastAsia="Calibri" w:hAnsi="Palatino Linotype"/>
          <w:i/>
          <w:sz w:val="24"/>
        </w:rPr>
        <w:t>: “...el definitivo es una verdadera sentencia que pone fin al juicio, y que una vez dictada, produce cosa juzgada, mientras que el provisorio tiene por efectos suspender la prosecución de la causa...”</w:t>
      </w:r>
    </w:p>
    <w:p w:rsidR="00E91CBA" w:rsidRPr="00FC1180" w:rsidRDefault="00E91CBA" w:rsidP="00E91CBA">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E91CBA" w:rsidRPr="00FC1180" w:rsidRDefault="00E91CBA" w:rsidP="00E91CBA">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FC1180">
        <w:rPr>
          <w:rFonts w:ascii="Palatino Linotype" w:eastAsia="Calibri" w:hAnsi="Palatino Linotype" w:cs="Arial"/>
          <w:color w:val="000000" w:themeColor="text1"/>
          <w:sz w:val="24"/>
          <w:lang w:val="es-ES"/>
        </w:rPr>
        <w:t xml:space="preserve">Así, </w:t>
      </w:r>
      <w:r w:rsidRPr="00FC1180">
        <w:rPr>
          <w:rFonts w:ascii="Palatino Linotype" w:eastAsia="Calibri" w:hAnsi="Palatino Linotype"/>
          <w:sz w:val="24"/>
        </w:rPr>
        <w:t xml:space="preserve">para la doctrina el sobreseimiento provoca que un procedimiento se suspenda o se resuelva en definitiva </w:t>
      </w:r>
      <w:r w:rsidRPr="00B81E5A">
        <w:rPr>
          <w:rFonts w:ascii="Palatino Linotype" w:eastAsia="Calibri" w:hAnsi="Palatino Linotype"/>
          <w:b/>
          <w:sz w:val="24"/>
        </w:rPr>
        <w:t>sin que se entre al estudio de los agravios o motivos de inconformidad</w:t>
      </w:r>
      <w:r w:rsidRPr="00FC1180">
        <w:rPr>
          <w:rFonts w:ascii="Palatino Linotype" w:eastAsia="Calibri" w:hAnsi="Palatino Linotype"/>
          <w:b/>
          <w:sz w:val="24"/>
          <w:u w:val="single"/>
        </w:rPr>
        <w:t xml:space="preserve">. </w:t>
      </w:r>
      <w:r w:rsidRPr="00FC1180">
        <w:rPr>
          <w:rFonts w:ascii="Palatino Linotype" w:eastAsia="Calibri" w:hAnsi="Palatino Linotype"/>
          <w:sz w:val="24"/>
        </w:rPr>
        <w:t>Este mismo criterio es compartido por el más alto tribunal del país en múltiples jurisprudencias, por lo que a continuación se agrega una de ellas que sirve como orientador en esta resolución:</w:t>
      </w:r>
    </w:p>
    <w:p w:rsidR="00E91CBA" w:rsidRPr="00FC1180" w:rsidRDefault="00E91CBA" w:rsidP="00E91CBA">
      <w:pPr>
        <w:rPr>
          <w:rFonts w:ascii="Palatino Linotype" w:eastAsia="Calibri" w:hAnsi="Palatino Linotype" w:cs="Arial"/>
          <w:color w:val="000000" w:themeColor="text1"/>
          <w:lang w:val="es-ES"/>
        </w:rPr>
      </w:pPr>
    </w:p>
    <w:p w:rsidR="00E91CBA" w:rsidRPr="00FC1180" w:rsidRDefault="00E91CBA" w:rsidP="00E91CBA">
      <w:pPr>
        <w:spacing w:line="360" w:lineRule="auto"/>
        <w:ind w:left="567" w:right="565"/>
        <w:contextualSpacing/>
        <w:jc w:val="both"/>
        <w:rPr>
          <w:rFonts w:ascii="Palatino Linotype" w:eastAsia="Calibri" w:hAnsi="Palatino Linotype"/>
          <w:i/>
          <w:sz w:val="22"/>
          <w:lang w:val="es-AR"/>
        </w:rPr>
      </w:pPr>
      <w:r w:rsidRPr="00FC1180">
        <w:rPr>
          <w:rFonts w:ascii="Palatino Linotype" w:eastAsia="Calibri" w:hAnsi="Palatino Linotype"/>
          <w:b/>
          <w:i/>
          <w:sz w:val="22"/>
          <w:lang w:val="es-AR"/>
        </w:rPr>
        <w:t>SOBRESEIMIENTO EN EL JUICIO DE AMPARO DIRECTO. IMPIDE EL ESTUDIO DE LAS VIOLACIONES PROCESALES PLANTEADAS EN LOS CONCEPTOS DE VIOLACIÓN. El sobreseimiento</w:t>
      </w:r>
      <w:r w:rsidRPr="00FC1180">
        <w:rPr>
          <w:rFonts w:ascii="Palatino Linotype" w:eastAsia="Calibri" w:hAnsi="Palatino Linotype"/>
          <w:i/>
          <w:sz w:val="22"/>
          <w:lang w:val="es-AR"/>
        </w:rPr>
        <w:t xml:space="preserve"> en el juicio de amparo directo </w:t>
      </w:r>
      <w:r w:rsidRPr="00FC1180">
        <w:rPr>
          <w:rFonts w:ascii="Palatino Linotype" w:eastAsia="Calibri" w:hAnsi="Palatino Linotype"/>
          <w:b/>
          <w:i/>
          <w:sz w:val="22"/>
          <w:lang w:val="es-AR"/>
        </w:rPr>
        <w:t>provoca la terminación de la controversia planteada</w:t>
      </w:r>
      <w:r w:rsidRPr="00FC1180">
        <w:rPr>
          <w:rFonts w:ascii="Palatino Linotype" w:eastAsia="Calibri" w:hAnsi="Palatino Linotype"/>
          <w:i/>
          <w:sz w:val="22"/>
          <w:lang w:val="es-AR"/>
        </w:rPr>
        <w:t xml:space="preserve"> por el quejoso en la demanda de amparo</w:t>
      </w:r>
      <w:r w:rsidRPr="00FC1180">
        <w:rPr>
          <w:rFonts w:ascii="Palatino Linotype" w:eastAsia="Calibri" w:hAnsi="Palatino Linotype"/>
          <w:b/>
          <w:i/>
          <w:sz w:val="22"/>
          <w:lang w:val="es-AR"/>
        </w:rPr>
        <w:t>, sin hacer un pronunciamiento de fondo sobre la legalidad o ilegalidad de la sentencia reclamada</w:t>
      </w:r>
      <w:r w:rsidRPr="00FC1180">
        <w:rPr>
          <w:rFonts w:ascii="Palatino Linotype" w:eastAsia="Calibri" w:hAnsi="Palatino Linotype"/>
          <w:i/>
          <w:sz w:val="22"/>
          <w:lang w:val="es-AR"/>
        </w:rPr>
        <w:t xml:space="preserve">. </w:t>
      </w:r>
      <w:r w:rsidRPr="00FC1180">
        <w:rPr>
          <w:rFonts w:ascii="Palatino Linotype" w:eastAsia="Calibri" w:hAnsi="Palatino Linotype"/>
          <w:b/>
          <w:i/>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FC1180">
        <w:rPr>
          <w:rFonts w:ascii="Palatino Linotype" w:eastAsia="Calibri" w:hAnsi="Palatino Linotype"/>
          <w:i/>
          <w:sz w:val="22"/>
          <w:lang w:val="es-AR"/>
        </w:rPr>
        <w:t>.</w:t>
      </w:r>
    </w:p>
    <w:p w:rsidR="00E91CBA" w:rsidRPr="00FC1180" w:rsidRDefault="00E91CBA" w:rsidP="00E91CBA">
      <w:pPr>
        <w:spacing w:line="360" w:lineRule="auto"/>
        <w:ind w:left="567" w:right="565"/>
        <w:contextualSpacing/>
        <w:jc w:val="both"/>
        <w:rPr>
          <w:rFonts w:ascii="Palatino Linotype" w:eastAsia="Calibri" w:hAnsi="Palatino Linotype"/>
          <w:i/>
          <w:sz w:val="22"/>
          <w:lang w:val="es-AR"/>
        </w:rPr>
      </w:pPr>
      <w:r w:rsidRPr="00FC1180">
        <w:rPr>
          <w:rFonts w:ascii="Palatino Linotype" w:eastAsia="Calibri" w:hAnsi="Palatino Linotype"/>
          <w:i/>
          <w:sz w:val="22"/>
          <w:lang w:val="es-AR"/>
        </w:rPr>
        <w:t>SÉPTIMO TRIBUNAL COLEGIADO EN MATERIA CIVIL DEL PRIMER CIRCUITO.</w:t>
      </w:r>
    </w:p>
    <w:p w:rsidR="00E91CBA" w:rsidRPr="00FC1180" w:rsidRDefault="00E91CBA" w:rsidP="00E91CBA">
      <w:pPr>
        <w:spacing w:line="360" w:lineRule="auto"/>
        <w:ind w:left="567" w:right="565"/>
        <w:contextualSpacing/>
        <w:jc w:val="both"/>
        <w:rPr>
          <w:rFonts w:ascii="Palatino Linotype" w:eastAsia="Calibri" w:hAnsi="Palatino Linotype"/>
          <w:b/>
          <w:i/>
          <w:sz w:val="22"/>
          <w:lang w:val="es-AR"/>
        </w:rPr>
      </w:pPr>
      <w:r w:rsidRPr="00FC1180">
        <w:rPr>
          <w:rFonts w:ascii="Palatino Linotype" w:eastAsia="Calibri" w:hAnsi="Palatino Linotype"/>
          <w:i/>
          <w:sz w:val="22"/>
          <w:lang w:val="es-AR"/>
        </w:rPr>
        <w:lastRenderedPageBreak/>
        <w:t>Amparo directo 699/2008. Mariana Leticia González Steele. 13 de noviembre de 2008. Unanimidad de votos. Ponente: Sara Judith Montalvo Trejo. Secretario: Arnulfo Mateos García.</w:t>
      </w:r>
    </w:p>
    <w:p w:rsidR="00E91CBA" w:rsidRPr="00FC1180" w:rsidRDefault="00E91CBA" w:rsidP="00E91CBA">
      <w:pPr>
        <w:spacing w:line="360" w:lineRule="auto"/>
        <w:ind w:right="565"/>
        <w:contextualSpacing/>
        <w:jc w:val="both"/>
        <w:rPr>
          <w:rFonts w:ascii="Palatino Linotype" w:eastAsia="Calibri" w:hAnsi="Palatino Linotype"/>
          <w:b/>
          <w:i/>
          <w:sz w:val="22"/>
          <w:lang w:val="es-AR"/>
        </w:rPr>
      </w:pPr>
    </w:p>
    <w:p w:rsidR="00E91CBA" w:rsidRPr="00FC1180" w:rsidRDefault="00E91CBA" w:rsidP="00E91CBA">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FC1180">
        <w:rPr>
          <w:rFonts w:ascii="Palatino Linotype" w:eastAsia="Calibri" w:hAnsi="Palatino Linotype" w:cs="Arial"/>
          <w:color w:val="000000" w:themeColor="text1"/>
          <w:sz w:val="24"/>
          <w:lang w:val="es-ES"/>
        </w:rPr>
        <w:t xml:space="preserve">Consecuentemente, </w:t>
      </w:r>
      <w:r w:rsidRPr="00FC1180">
        <w:rPr>
          <w:rFonts w:ascii="Palatino Linotype" w:eastAsia="Calibri" w:hAnsi="Palatino Linotype"/>
          <w:sz w:val="24"/>
        </w:rPr>
        <w:t>por lo que hace a los motivos de inconformidad, los mismos devienen inatendibles por actualizarse la figura del sobreseimiento, misma que impide el estudio de los agravios planteados, máxime que se ha dado cumplimiento al derecho de acceso a la información.</w:t>
      </w:r>
    </w:p>
    <w:p w:rsidR="00E91CBA" w:rsidRPr="00FC1180" w:rsidRDefault="00E91CBA" w:rsidP="00E91CBA">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E91CBA" w:rsidRPr="00FC1180" w:rsidRDefault="00E91CBA" w:rsidP="00E91CBA">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FC1180">
        <w:rPr>
          <w:rFonts w:ascii="Palatino Linotype" w:eastAsia="Calibri" w:hAnsi="Palatino Linotype"/>
          <w:sz w:val="24"/>
        </w:rPr>
        <w:t xml:space="preserve">Bajo </w:t>
      </w:r>
      <w:r w:rsidRPr="00FC1180">
        <w:rPr>
          <w:rFonts w:ascii="Palatino Linotype" w:eastAsia="Calibri" w:hAnsi="Palatino Linotype"/>
          <w:sz w:val="24"/>
          <w:lang w:val="es-CO"/>
        </w:rPr>
        <w:t xml:space="preserve">ese tenor y en términos del artículo 186 fracción I este Pleno determina el </w:t>
      </w:r>
      <w:r w:rsidRPr="00FC1180">
        <w:rPr>
          <w:rFonts w:ascii="Palatino Linotype" w:eastAsia="Calibri" w:hAnsi="Palatino Linotype"/>
          <w:b/>
          <w:sz w:val="24"/>
          <w:lang w:val="es-CO"/>
        </w:rPr>
        <w:t xml:space="preserve">SOBRESEIMIENTO </w:t>
      </w:r>
      <w:r w:rsidRPr="00FC1180">
        <w:rPr>
          <w:rFonts w:ascii="Palatino Linotype" w:eastAsia="Calibri" w:hAnsi="Palatino Linotype"/>
          <w:sz w:val="24"/>
          <w:lang w:val="es-CO"/>
        </w:rPr>
        <w:t xml:space="preserve">del recurso de revisión </w:t>
      </w:r>
      <w:r w:rsidR="00E867F0" w:rsidRPr="00FC1180">
        <w:rPr>
          <w:rFonts w:ascii="Palatino Linotype" w:hAnsi="Palatino Linotype" w:cs="Arial"/>
          <w:b/>
          <w:bCs/>
          <w:sz w:val="24"/>
        </w:rPr>
        <w:t>02443</w:t>
      </w:r>
      <w:r w:rsidRPr="00FC1180">
        <w:rPr>
          <w:rFonts w:ascii="Palatino Linotype" w:hAnsi="Palatino Linotype" w:cs="Arial"/>
          <w:b/>
          <w:bCs/>
          <w:sz w:val="24"/>
        </w:rPr>
        <w:t>/INFOEM/IP/RR/2023</w:t>
      </w:r>
      <w:r w:rsidRPr="00FC1180">
        <w:rPr>
          <w:rFonts w:ascii="Palatino Linotype" w:eastAsia="Calibri" w:hAnsi="Palatino Linotype"/>
          <w:sz w:val="24"/>
          <w:lang w:val="es-CO"/>
        </w:rPr>
        <w:t>, toda vez que la afectación al derecho de acceso a la información pública establecido constitucionalmente a favor del Particular ha sido resarcida.</w:t>
      </w:r>
    </w:p>
    <w:p w:rsidR="00E91CBA" w:rsidRPr="00FC1180" w:rsidRDefault="00E91CBA" w:rsidP="00E91CBA">
      <w:pPr>
        <w:pStyle w:val="Prrafodelista"/>
        <w:shd w:val="clear" w:color="auto" w:fill="FFFFFF"/>
        <w:tabs>
          <w:tab w:val="left" w:pos="284"/>
        </w:tabs>
        <w:spacing w:line="360" w:lineRule="auto"/>
        <w:ind w:left="0"/>
        <w:jc w:val="both"/>
        <w:rPr>
          <w:rFonts w:ascii="Palatino Linotype" w:hAnsi="Palatino Linotype" w:cs="Arial"/>
          <w:sz w:val="24"/>
        </w:rPr>
      </w:pPr>
    </w:p>
    <w:p w:rsidR="00E91CBA" w:rsidRPr="00FC1180" w:rsidRDefault="00E91CBA" w:rsidP="00E91CBA">
      <w:pPr>
        <w:pStyle w:val="Sinespaciado"/>
        <w:numPr>
          <w:ilvl w:val="0"/>
          <w:numId w:val="1"/>
        </w:numPr>
        <w:tabs>
          <w:tab w:val="left" w:pos="284"/>
        </w:tabs>
        <w:spacing w:line="360" w:lineRule="auto"/>
        <w:ind w:left="0" w:firstLine="0"/>
        <w:contextualSpacing/>
        <w:jc w:val="both"/>
        <w:rPr>
          <w:rFonts w:ascii="Palatino Linotype" w:eastAsia="Calibri" w:hAnsi="Palatino Linotype"/>
        </w:rPr>
      </w:pPr>
      <w:r w:rsidRPr="00FC1180">
        <w:rPr>
          <w:rFonts w:ascii="Palatino Linotype" w:eastAsia="Calibri" w:hAnsi="Palatino Linotype"/>
        </w:rPr>
        <w:t xml:space="preserve">Por lo anteriormente expuesto y fundado, este </w:t>
      </w:r>
      <w:r w:rsidRPr="00FC1180">
        <w:rPr>
          <w:rFonts w:ascii="Palatino Linotype" w:eastAsia="Calibri" w:hAnsi="Palatino Linotype"/>
          <w:b/>
          <w:bCs/>
        </w:rPr>
        <w:t>ÓRGANO GARANTE</w:t>
      </w:r>
      <w:r w:rsidRPr="00FC1180">
        <w:rPr>
          <w:rFonts w:ascii="Palatino Linotype" w:eastAsia="Calibri" w:hAnsi="Palatino Linotype"/>
        </w:rPr>
        <w:t xml:space="preserve"> emite los siguientes:</w:t>
      </w:r>
      <w:bookmarkEnd w:id="13"/>
      <w:bookmarkEnd w:id="14"/>
      <w:bookmarkEnd w:id="15"/>
      <w:bookmarkEnd w:id="16"/>
    </w:p>
    <w:p w:rsidR="00E91CBA" w:rsidRPr="00FC1180" w:rsidRDefault="00E91CBA" w:rsidP="00E91CBA">
      <w:pPr>
        <w:pStyle w:val="Sinespaciado"/>
        <w:tabs>
          <w:tab w:val="left" w:pos="284"/>
        </w:tabs>
        <w:spacing w:line="360" w:lineRule="auto"/>
        <w:contextualSpacing/>
        <w:jc w:val="both"/>
        <w:rPr>
          <w:rFonts w:ascii="Palatino Linotype" w:eastAsia="Calibri" w:hAnsi="Palatino Linotype"/>
        </w:rPr>
      </w:pPr>
    </w:p>
    <w:p w:rsidR="00E91CBA" w:rsidRPr="00FC1180" w:rsidRDefault="00E91CBA" w:rsidP="00E91CBA">
      <w:pPr>
        <w:spacing w:line="360" w:lineRule="auto"/>
        <w:jc w:val="center"/>
        <w:rPr>
          <w:rFonts w:ascii="Palatino Linotype" w:hAnsi="Palatino Linotype"/>
          <w:b/>
          <w:lang w:val="es-ES"/>
        </w:rPr>
      </w:pPr>
      <w:r w:rsidRPr="00FC1180">
        <w:rPr>
          <w:rFonts w:ascii="Palatino Linotype" w:hAnsi="Palatino Linotype"/>
          <w:b/>
          <w:lang w:val="es-ES"/>
        </w:rPr>
        <w:t>R E S O L U T I V O S</w:t>
      </w:r>
    </w:p>
    <w:p w:rsidR="00E91CBA" w:rsidRPr="00FC1180" w:rsidRDefault="00E91CBA" w:rsidP="00E91CBA">
      <w:pPr>
        <w:pStyle w:val="Sinespaciado"/>
        <w:spacing w:line="360" w:lineRule="auto"/>
        <w:jc w:val="both"/>
        <w:rPr>
          <w:rFonts w:ascii="Palatino Linotype" w:hAnsi="Palatino Linotype"/>
          <w:szCs w:val="20"/>
        </w:rPr>
      </w:pPr>
    </w:p>
    <w:p w:rsidR="00115749" w:rsidRPr="00FC1180" w:rsidRDefault="00E91CBA" w:rsidP="00E91CBA">
      <w:pPr>
        <w:spacing w:line="360" w:lineRule="auto"/>
        <w:jc w:val="both"/>
        <w:rPr>
          <w:rFonts w:ascii="Palatino Linotype" w:eastAsiaTheme="minorHAnsi" w:hAnsi="Palatino Linotype" w:cstheme="minorBidi"/>
          <w:szCs w:val="20"/>
          <w:lang w:eastAsia="en-US"/>
        </w:rPr>
      </w:pPr>
      <w:r w:rsidRPr="00FC1180">
        <w:rPr>
          <w:rFonts w:ascii="Palatino Linotype" w:eastAsiaTheme="minorHAnsi" w:hAnsi="Palatino Linotype" w:cstheme="minorBidi"/>
          <w:b/>
          <w:szCs w:val="20"/>
          <w:lang w:eastAsia="en-US"/>
        </w:rPr>
        <w:t xml:space="preserve">PRIMERO. </w:t>
      </w:r>
      <w:r w:rsidR="00115749" w:rsidRPr="00FC1180">
        <w:rPr>
          <w:rFonts w:ascii="Palatino Linotype" w:eastAsia="MS Mincho" w:hAnsi="Palatino Linotype"/>
          <w:szCs w:val="20"/>
          <w:lang w:val="es-ES_tradnl" w:eastAsia="es-ES"/>
        </w:rPr>
        <w:t xml:space="preserve">Se </w:t>
      </w:r>
      <w:r w:rsidR="00115749" w:rsidRPr="00FC1180">
        <w:rPr>
          <w:rFonts w:ascii="Palatino Linotype" w:eastAsia="MS Mincho" w:hAnsi="Palatino Linotype"/>
          <w:b/>
          <w:szCs w:val="20"/>
          <w:lang w:val="es-ES_tradnl" w:eastAsia="es-ES"/>
        </w:rPr>
        <w:t>SOBRESEE</w:t>
      </w:r>
      <w:r w:rsidR="00115749" w:rsidRPr="00FC1180">
        <w:rPr>
          <w:rFonts w:ascii="Palatino Linotype" w:eastAsia="MS Mincho" w:hAnsi="Palatino Linotype"/>
          <w:szCs w:val="20"/>
          <w:lang w:val="es-ES_tradnl" w:eastAsia="es-ES"/>
        </w:rPr>
        <w:t xml:space="preserve"> el recurso de revisión número </w:t>
      </w:r>
      <w:r w:rsidR="00115749" w:rsidRPr="00FC1180">
        <w:rPr>
          <w:rFonts w:ascii="Palatino Linotype" w:eastAsia="MS Mincho" w:hAnsi="Palatino Linotype"/>
          <w:b/>
          <w:szCs w:val="20"/>
          <w:lang w:val="es-ES_tradnl" w:eastAsia="es-ES"/>
        </w:rPr>
        <w:t>02443/INFOEM/IP/RR/2023</w:t>
      </w:r>
      <w:r w:rsidR="00EA69FB">
        <w:rPr>
          <w:rFonts w:ascii="Palatino Linotype" w:eastAsia="MS Mincho" w:hAnsi="Palatino Linotype"/>
          <w:b/>
          <w:szCs w:val="20"/>
          <w:lang w:val="es-ES_tradnl" w:eastAsia="es-ES"/>
        </w:rPr>
        <w:t>,</w:t>
      </w:r>
      <w:r w:rsidR="00115749" w:rsidRPr="00FC1180">
        <w:rPr>
          <w:rFonts w:ascii="Palatino Linotype" w:eastAsia="MS Mincho" w:hAnsi="Palatino Linotype"/>
          <w:b/>
          <w:szCs w:val="20"/>
          <w:lang w:val="es-ES_tradnl" w:eastAsia="es-ES"/>
        </w:rPr>
        <w:t xml:space="preserve"> </w:t>
      </w:r>
      <w:r w:rsidR="00115749" w:rsidRPr="00FC1180">
        <w:rPr>
          <w:rFonts w:ascii="Palatino Linotype" w:eastAsia="MS Mincho" w:hAnsi="Palatino Linotype"/>
          <w:bCs/>
          <w:szCs w:val="20"/>
          <w:lang w:val="es-ES_tradnl" w:eastAsia="es-ES"/>
        </w:rPr>
        <w:t>conforme al artículo 192 fracción III de la Ley de Transparencia y Acceso a la Información Pública del Estado de México y Municipios,</w:t>
      </w:r>
      <w:r w:rsidR="00115749" w:rsidRPr="00FC1180">
        <w:rPr>
          <w:rFonts w:ascii="Palatino Linotype" w:eastAsia="MS Mincho" w:hAnsi="Palatino Linotype"/>
          <w:szCs w:val="20"/>
          <w:lang w:val="es-ES_tradnl" w:eastAsia="es-ES"/>
        </w:rPr>
        <w:t xml:space="preserve"> porque al </w:t>
      </w:r>
      <w:r w:rsidR="00115749" w:rsidRPr="00FC1180">
        <w:rPr>
          <w:rFonts w:ascii="Palatino Linotype" w:eastAsia="MS Mincho" w:hAnsi="Palatino Linotype"/>
          <w:b/>
          <w:bCs/>
          <w:szCs w:val="20"/>
          <w:lang w:val="es-ES_tradnl" w:eastAsia="es-ES"/>
        </w:rPr>
        <w:t>modificar la respuesta a través del informe justificado y atender lo solicitado</w:t>
      </w:r>
      <w:r w:rsidR="00115749" w:rsidRPr="00FC1180">
        <w:rPr>
          <w:rFonts w:ascii="Palatino Linotype" w:eastAsia="MS Mincho" w:hAnsi="Palatino Linotype"/>
          <w:szCs w:val="20"/>
          <w:lang w:val="es-ES_tradnl" w:eastAsia="es-ES"/>
        </w:rPr>
        <w:t>, el recurso de revisión que</w:t>
      </w:r>
      <w:r w:rsidR="00811CBD">
        <w:rPr>
          <w:rFonts w:ascii="Palatino Linotype" w:eastAsia="MS Mincho" w:hAnsi="Palatino Linotype"/>
          <w:szCs w:val="20"/>
          <w:lang w:val="es-ES_tradnl" w:eastAsia="es-ES"/>
        </w:rPr>
        <w:t>dó sin materia en términos del c</w:t>
      </w:r>
      <w:r w:rsidR="00115749" w:rsidRPr="00FC1180">
        <w:rPr>
          <w:rFonts w:ascii="Palatino Linotype" w:eastAsia="MS Mincho" w:hAnsi="Palatino Linotype"/>
          <w:szCs w:val="20"/>
          <w:lang w:val="es-ES_tradnl" w:eastAsia="es-ES"/>
        </w:rPr>
        <w:t xml:space="preserve">onsiderando </w:t>
      </w:r>
      <w:r w:rsidR="00115749" w:rsidRPr="00FC1180">
        <w:rPr>
          <w:rFonts w:ascii="Palatino Linotype" w:eastAsia="MS Mincho" w:hAnsi="Palatino Linotype"/>
          <w:b/>
          <w:szCs w:val="20"/>
          <w:lang w:val="es-ES_tradnl" w:eastAsia="es-ES"/>
        </w:rPr>
        <w:t>TERCERO</w:t>
      </w:r>
      <w:r w:rsidR="00115749" w:rsidRPr="00FC1180">
        <w:rPr>
          <w:rFonts w:ascii="Palatino Linotype" w:eastAsia="MS Mincho" w:hAnsi="Palatino Linotype"/>
          <w:szCs w:val="20"/>
          <w:lang w:val="es-ES_tradnl" w:eastAsia="es-ES"/>
        </w:rPr>
        <w:t xml:space="preserve"> de la presente resolución.</w:t>
      </w:r>
    </w:p>
    <w:p w:rsidR="00E91CBA" w:rsidRPr="00FC1180" w:rsidRDefault="00E91CBA" w:rsidP="00E91CBA">
      <w:pPr>
        <w:spacing w:line="360" w:lineRule="auto"/>
        <w:jc w:val="both"/>
        <w:rPr>
          <w:rFonts w:ascii="Palatino Linotype" w:eastAsiaTheme="minorHAnsi" w:hAnsi="Palatino Linotype" w:cstheme="minorBidi"/>
          <w:sz w:val="22"/>
          <w:szCs w:val="20"/>
          <w:lang w:eastAsia="en-US"/>
        </w:rPr>
      </w:pPr>
    </w:p>
    <w:p w:rsidR="00E91CBA" w:rsidRPr="00FC1180" w:rsidRDefault="00E91CBA" w:rsidP="00E91CBA">
      <w:pPr>
        <w:spacing w:line="360" w:lineRule="auto"/>
        <w:jc w:val="both"/>
        <w:rPr>
          <w:rFonts w:ascii="Palatino Linotype" w:eastAsia="Calibri" w:hAnsi="Palatino Linotype" w:cs="Arial"/>
          <w:b/>
          <w:bCs/>
          <w:lang w:val="es-ES" w:eastAsia="en-US"/>
        </w:rPr>
      </w:pPr>
      <w:r w:rsidRPr="00FC1180">
        <w:rPr>
          <w:rFonts w:ascii="Palatino Linotype" w:eastAsia="Calibri" w:hAnsi="Palatino Linotype" w:cs="Arial"/>
          <w:b/>
          <w:bCs/>
          <w:lang w:val="es-ES" w:eastAsia="en-US"/>
        </w:rPr>
        <w:t xml:space="preserve">SEGUNDO. REMÍTASE </w:t>
      </w:r>
      <w:r w:rsidRPr="00FC1180">
        <w:rPr>
          <w:rFonts w:ascii="Palatino Linotype" w:eastAsia="Calibri" w:hAnsi="Palatino Linotype" w:cs="Arial"/>
          <w:bCs/>
          <w:lang w:val="es-ES" w:eastAsia="en-US"/>
        </w:rPr>
        <w:t xml:space="preserve">a través del Sistema de Acceso a la Información Mexiquense </w:t>
      </w:r>
      <w:r w:rsidRPr="00FC1180">
        <w:rPr>
          <w:rFonts w:ascii="Palatino Linotype" w:eastAsia="Calibri" w:hAnsi="Palatino Linotype" w:cs="Arial"/>
          <w:b/>
          <w:bCs/>
          <w:lang w:val="es-ES" w:eastAsia="en-US"/>
        </w:rPr>
        <w:t>(SAIMEX)</w:t>
      </w:r>
      <w:r w:rsidR="00811CBD">
        <w:rPr>
          <w:rFonts w:ascii="Palatino Linotype" w:eastAsia="Calibri" w:hAnsi="Palatino Linotype" w:cs="Arial"/>
          <w:b/>
          <w:bCs/>
          <w:lang w:val="es-ES" w:eastAsia="en-US"/>
        </w:rPr>
        <w:t>,</w:t>
      </w:r>
      <w:r w:rsidRPr="00FC1180">
        <w:rPr>
          <w:rFonts w:ascii="Palatino Linotype" w:eastAsia="Calibri" w:hAnsi="Palatino Linotype" w:cs="Arial"/>
          <w:b/>
          <w:bCs/>
          <w:lang w:val="es-ES" w:eastAsia="en-US"/>
        </w:rPr>
        <w:t xml:space="preserve"> </w:t>
      </w:r>
      <w:r w:rsidRPr="00FC1180">
        <w:rPr>
          <w:rFonts w:ascii="Palatino Linotype" w:eastAsia="Calibri" w:hAnsi="Palatino Linotype" w:cs="Arial"/>
          <w:bCs/>
          <w:lang w:val="es-ES" w:eastAsia="en-US"/>
        </w:rPr>
        <w:t>la presente resolución al Titular de la Unidad de Transparencia del</w:t>
      </w:r>
      <w:r w:rsidRPr="00FC1180">
        <w:rPr>
          <w:rFonts w:ascii="Palatino Linotype" w:eastAsia="Calibri" w:hAnsi="Palatino Linotype" w:cs="Arial"/>
          <w:b/>
          <w:bCs/>
          <w:lang w:val="es-ES" w:eastAsia="en-US"/>
        </w:rPr>
        <w:t xml:space="preserve"> SUJETO OBLIGADO. </w:t>
      </w:r>
    </w:p>
    <w:p w:rsidR="00E91CBA" w:rsidRPr="00FC1180" w:rsidRDefault="00E91CBA" w:rsidP="00E91CBA">
      <w:pPr>
        <w:tabs>
          <w:tab w:val="left" w:pos="3263"/>
        </w:tabs>
        <w:spacing w:line="360" w:lineRule="auto"/>
        <w:jc w:val="both"/>
        <w:rPr>
          <w:rFonts w:ascii="Palatino Linotype" w:eastAsia="Palatino Linotype" w:hAnsi="Palatino Linotype" w:cs="Palatino Linotype"/>
          <w:b/>
          <w:lang w:eastAsia="en-US"/>
        </w:rPr>
      </w:pPr>
      <w:r w:rsidRPr="00FC1180">
        <w:rPr>
          <w:rFonts w:ascii="Palatino Linotype" w:eastAsia="Palatino Linotype" w:hAnsi="Palatino Linotype" w:cs="Palatino Linotype"/>
          <w:b/>
          <w:lang w:eastAsia="en-US"/>
        </w:rPr>
        <w:tab/>
      </w:r>
    </w:p>
    <w:p w:rsidR="00E91CBA" w:rsidRPr="00FC1180" w:rsidRDefault="00E91CBA" w:rsidP="00E91CBA">
      <w:pPr>
        <w:spacing w:line="360" w:lineRule="auto"/>
        <w:jc w:val="both"/>
        <w:rPr>
          <w:rFonts w:ascii="Palatino Linotype" w:hAnsi="Palatino Linotype"/>
          <w:color w:val="222222"/>
          <w:lang w:val="es-ES"/>
        </w:rPr>
      </w:pPr>
      <w:r w:rsidRPr="00FC1180">
        <w:rPr>
          <w:rFonts w:ascii="Palatino Linotype" w:hAnsi="Palatino Linotype" w:cs="Arial"/>
          <w:b/>
          <w:lang w:eastAsia="en-US"/>
        </w:rPr>
        <w:t xml:space="preserve">TERCERO. </w:t>
      </w:r>
      <w:r w:rsidRPr="00FC1180">
        <w:rPr>
          <w:rFonts w:ascii="Palatino Linotype" w:hAnsi="Palatino Linotype"/>
          <w:b/>
          <w:bCs/>
          <w:lang w:val="es-ES" w:eastAsia="en-US"/>
        </w:rPr>
        <w:t xml:space="preserve">Notifíquese </w:t>
      </w:r>
      <w:r w:rsidRPr="00FC1180">
        <w:rPr>
          <w:rFonts w:ascii="Palatino Linotype" w:hAnsi="Palatino Linotype"/>
          <w:bCs/>
          <w:lang w:val="es-ES" w:eastAsia="en-US"/>
        </w:rPr>
        <w:t xml:space="preserve">al </w:t>
      </w:r>
      <w:r w:rsidRPr="00FC1180">
        <w:rPr>
          <w:rFonts w:ascii="Palatino Linotype" w:hAnsi="Palatino Linotype"/>
          <w:b/>
          <w:bCs/>
          <w:lang w:val="es-ES" w:eastAsia="en-US"/>
        </w:rPr>
        <w:t>RECURRENTE</w:t>
      </w:r>
      <w:r w:rsidRPr="00FC1180">
        <w:rPr>
          <w:rFonts w:ascii="Palatino Linotype" w:eastAsiaTheme="minorHAnsi" w:hAnsi="Palatino Linotype" w:cstheme="minorBidi"/>
          <w:lang w:eastAsia="en-US"/>
        </w:rPr>
        <w:t xml:space="preserve"> </w:t>
      </w:r>
      <w:r w:rsidRPr="00FC1180">
        <w:rPr>
          <w:rFonts w:ascii="Palatino Linotype" w:hAnsi="Palatino Linotype"/>
          <w:lang w:val="es-ES"/>
        </w:rPr>
        <w:t>la presente resolución</w:t>
      </w:r>
      <w:r w:rsidR="00E867F0" w:rsidRPr="00FC1180">
        <w:rPr>
          <w:rFonts w:ascii="Palatino Linotype" w:hAnsi="Palatino Linotype"/>
          <w:lang w:val="es-ES"/>
        </w:rPr>
        <w:t xml:space="preserve"> vía SAIMEX.</w:t>
      </w:r>
    </w:p>
    <w:p w:rsidR="00E91CBA" w:rsidRPr="00FC1180" w:rsidRDefault="00E91CBA" w:rsidP="00E91CBA">
      <w:pPr>
        <w:spacing w:line="360" w:lineRule="auto"/>
        <w:jc w:val="both"/>
        <w:rPr>
          <w:rFonts w:ascii="Palatino Linotype" w:hAnsi="Palatino Linotype"/>
          <w:color w:val="222222"/>
          <w:lang w:val="es-ES"/>
        </w:rPr>
      </w:pPr>
    </w:p>
    <w:p w:rsidR="00E91CBA" w:rsidRPr="00FC1180" w:rsidRDefault="00E91CBA" w:rsidP="00E91CBA">
      <w:pPr>
        <w:spacing w:line="360" w:lineRule="auto"/>
        <w:jc w:val="both"/>
        <w:rPr>
          <w:rFonts w:ascii="Palatino Linotype" w:eastAsia="MS Mincho" w:hAnsi="Palatino Linotype"/>
          <w:lang w:val="es-ES" w:eastAsia="es-ES"/>
        </w:rPr>
      </w:pPr>
      <w:r w:rsidRPr="00FC1180">
        <w:rPr>
          <w:rFonts w:ascii="Palatino Linotype" w:eastAsia="MS Mincho" w:hAnsi="Palatino Linotype"/>
          <w:b/>
          <w:lang w:eastAsia="es-ES"/>
        </w:rPr>
        <w:t>CUARTO.</w:t>
      </w:r>
      <w:r w:rsidRPr="00FC1180">
        <w:rPr>
          <w:rFonts w:ascii="Palatino Linotype" w:eastAsia="MS Mincho" w:hAnsi="Palatino Linotype"/>
          <w:lang w:eastAsia="es-ES"/>
        </w:rPr>
        <w:t xml:space="preserve"> </w:t>
      </w:r>
      <w:r w:rsidRPr="00FC1180">
        <w:rPr>
          <w:rFonts w:ascii="Palatino Linotype" w:eastAsia="MS Mincho" w:hAnsi="Palatino Linotype"/>
          <w:lang w:val="es-ES" w:eastAsia="es-ES"/>
        </w:rPr>
        <w:t xml:space="preserve">Se hace del conocimiento del </w:t>
      </w:r>
      <w:r w:rsidRPr="00FC1180">
        <w:rPr>
          <w:rFonts w:ascii="Palatino Linotype" w:hAnsi="Palatino Linotype"/>
          <w:b/>
          <w:bCs/>
          <w:lang w:val="es-ES" w:eastAsia="es-ES"/>
        </w:rPr>
        <w:t>RECURRENTE</w:t>
      </w:r>
      <w:r w:rsidRPr="00FC1180">
        <w:rPr>
          <w:rFonts w:ascii="Palatino Linotype" w:eastAsiaTheme="minorEastAsia" w:hAnsi="Palatino Linotype" w:cstheme="minorBidi"/>
          <w:lang w:val="es-ES_tradnl" w:eastAsia="es-ES"/>
        </w:rPr>
        <w:t xml:space="preserve">  </w:t>
      </w:r>
      <w:r w:rsidRPr="00FC1180">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FC1180">
        <w:rPr>
          <w:rFonts w:ascii="Palatino Linotype" w:eastAsia="MS Mincho" w:hAnsi="Palatino Linotype"/>
          <w:bCs/>
          <w:lang w:val="es-ES" w:eastAsia="es-ES"/>
        </w:rPr>
        <w:t>vía juicio de amparo</w:t>
      </w:r>
      <w:r w:rsidRPr="00FC1180">
        <w:rPr>
          <w:rFonts w:ascii="Palatino Linotype" w:eastAsia="MS Mincho" w:hAnsi="Palatino Linotype"/>
          <w:lang w:val="es-ES" w:eastAsia="es-ES"/>
        </w:rPr>
        <w:t> en los términos de las leyes aplicables.</w:t>
      </w:r>
    </w:p>
    <w:p w:rsidR="005931D9" w:rsidRPr="005931D9" w:rsidRDefault="005931D9" w:rsidP="005931D9">
      <w:pPr>
        <w:spacing w:before="240" w:after="240" w:line="360" w:lineRule="auto"/>
        <w:ind w:firstLine="1"/>
        <w:jc w:val="both"/>
        <w:rPr>
          <w:rFonts w:ascii="Palatino Linotype" w:hAnsi="Palatino Linotype"/>
          <w:smallCaps/>
        </w:rPr>
      </w:pPr>
      <w:bookmarkStart w:id="17" w:name="_Hlk129792997"/>
      <w:bookmarkEnd w:id="8"/>
      <w:bookmarkEnd w:id="9"/>
      <w:bookmarkEnd w:id="10"/>
      <w:bookmarkEnd w:id="11"/>
      <w:bookmarkEnd w:id="12"/>
      <w:r w:rsidRPr="005931D9">
        <w:rPr>
          <w:rStyle w:val="Referenciasutil"/>
          <w:rFonts w:ascii="Palatino Linotype" w:eastAsiaTheme="majorEastAsia" w:hAnsi="Palatino Linotype"/>
          <w:color w:val="auto"/>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VEGÉSIMA PRIMERA SESIÓN ORDINARIA CELEBRADA EL SIETE (</w:t>
      </w:r>
      <w:r w:rsidR="00857C64">
        <w:rPr>
          <w:rStyle w:val="Referenciasutil"/>
          <w:rFonts w:ascii="Palatino Linotype" w:eastAsiaTheme="majorEastAsia" w:hAnsi="Palatino Linotype"/>
          <w:color w:val="auto"/>
        </w:rPr>
        <w:t>0</w:t>
      </w:r>
      <w:r w:rsidRPr="005931D9">
        <w:rPr>
          <w:rStyle w:val="Referenciasutil"/>
          <w:rFonts w:ascii="Palatino Linotype" w:eastAsiaTheme="majorEastAsia" w:hAnsi="Palatino Linotype"/>
          <w:color w:val="auto"/>
        </w:rPr>
        <w:t xml:space="preserve">7) DE JUNIO DE DOS MIL VEINTITRÉS, ANTE EL SECRETARIO TÉCNICO DEL PLENO ALEXIS TAPIA RAMÍREZ. </w:t>
      </w:r>
      <w:bookmarkEnd w:id="17"/>
    </w:p>
    <w:p w:rsidR="004E1710" w:rsidRDefault="000C171C"/>
    <w:sectPr w:rsidR="004E1710" w:rsidSect="002C163A">
      <w:headerReference w:type="even" r:id="rId13"/>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71C" w:rsidRDefault="000C171C" w:rsidP="00FA1C67">
      <w:r>
        <w:separator/>
      </w:r>
    </w:p>
  </w:endnote>
  <w:endnote w:type="continuationSeparator" w:id="0">
    <w:p w:rsidR="000C171C" w:rsidRDefault="000C171C" w:rsidP="00FA1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A9E" w:rsidRDefault="003F13CC">
    <w:pPr>
      <w:pStyle w:val="Piedepgina"/>
      <w:jc w:val="right"/>
    </w:pPr>
    <w:r>
      <w:rPr>
        <w:lang w:val="es-ES"/>
      </w:rPr>
      <w:t xml:space="preserve">Página </w:t>
    </w:r>
    <w:r>
      <w:rPr>
        <w:b/>
        <w:bCs/>
      </w:rPr>
      <w:fldChar w:fldCharType="begin"/>
    </w:r>
    <w:r>
      <w:rPr>
        <w:b/>
        <w:bCs/>
      </w:rPr>
      <w:instrText>PAGE</w:instrText>
    </w:r>
    <w:r>
      <w:rPr>
        <w:b/>
        <w:bCs/>
      </w:rPr>
      <w:fldChar w:fldCharType="separate"/>
    </w:r>
    <w:r w:rsidR="002F7418">
      <w:rPr>
        <w:b/>
        <w:bCs/>
        <w:noProof/>
      </w:rPr>
      <w:t>16</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F7418">
      <w:rPr>
        <w:b/>
        <w:bCs/>
        <w:noProof/>
      </w:rPr>
      <w:t>17</w:t>
    </w:r>
    <w:r>
      <w:rPr>
        <w:b/>
        <w:bCs/>
      </w:rPr>
      <w:fldChar w:fldCharType="end"/>
    </w:r>
  </w:p>
  <w:p w:rsidR="00A42A9E" w:rsidRDefault="000C171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A9E" w:rsidRDefault="003F13CC">
    <w:pPr>
      <w:pStyle w:val="Piedepgina"/>
      <w:jc w:val="right"/>
    </w:pPr>
    <w:r>
      <w:rPr>
        <w:lang w:val="es-ES"/>
      </w:rPr>
      <w:t xml:space="preserve">Página </w:t>
    </w:r>
    <w:r>
      <w:rPr>
        <w:b/>
        <w:bCs/>
      </w:rPr>
      <w:fldChar w:fldCharType="begin"/>
    </w:r>
    <w:r>
      <w:rPr>
        <w:b/>
        <w:bCs/>
      </w:rPr>
      <w:instrText>PAGE</w:instrText>
    </w:r>
    <w:r>
      <w:rPr>
        <w:b/>
        <w:bCs/>
      </w:rPr>
      <w:fldChar w:fldCharType="separate"/>
    </w:r>
    <w:r w:rsidR="002F7418">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F7418">
      <w:rPr>
        <w:b/>
        <w:bCs/>
        <w:noProof/>
      </w:rPr>
      <w:t>17</w:t>
    </w:r>
    <w:r>
      <w:rPr>
        <w:b/>
        <w:bCs/>
      </w:rPr>
      <w:fldChar w:fldCharType="end"/>
    </w:r>
  </w:p>
  <w:p w:rsidR="00A42A9E" w:rsidRDefault="000C171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71C" w:rsidRDefault="000C171C" w:rsidP="00FA1C67">
      <w:r>
        <w:separator/>
      </w:r>
    </w:p>
  </w:footnote>
  <w:footnote w:type="continuationSeparator" w:id="0">
    <w:p w:rsidR="000C171C" w:rsidRDefault="000C171C" w:rsidP="00FA1C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A9E" w:rsidRDefault="000C171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A42A9E" w:rsidRPr="005C106F" w:rsidTr="002C163A">
      <w:trPr>
        <w:trHeight w:val="1435"/>
      </w:trPr>
      <w:tc>
        <w:tcPr>
          <w:tcW w:w="2268" w:type="dxa"/>
          <w:shd w:val="clear" w:color="auto" w:fill="auto"/>
        </w:tcPr>
        <w:p w:rsidR="00A42A9E" w:rsidRPr="005C106F" w:rsidRDefault="000C171C" w:rsidP="002C163A">
          <w:pPr>
            <w:tabs>
              <w:tab w:val="right" w:pos="4273"/>
            </w:tabs>
            <w:rPr>
              <w:rFonts w:ascii="Garamond" w:eastAsia="Calibri" w:hAnsi="Garamond"/>
              <w:sz w:val="16"/>
              <w:szCs w:val="16"/>
              <w:lang w:eastAsia="en-US"/>
            </w:rPr>
          </w:pPr>
        </w:p>
      </w:tc>
      <w:tc>
        <w:tcPr>
          <w:tcW w:w="6946" w:type="dxa"/>
          <w:shd w:val="clear" w:color="auto" w:fill="auto"/>
        </w:tcPr>
        <w:p w:rsidR="00A42A9E" w:rsidRDefault="000C171C" w:rsidP="002C163A"/>
        <w:tbl>
          <w:tblPr>
            <w:tblW w:w="6662" w:type="dxa"/>
            <w:tblInd w:w="40" w:type="dxa"/>
            <w:tblLayout w:type="fixed"/>
            <w:tblLook w:val="0420" w:firstRow="1" w:lastRow="0" w:firstColumn="0" w:lastColumn="0" w:noHBand="0" w:noVBand="1"/>
          </w:tblPr>
          <w:tblGrid>
            <w:gridCol w:w="2551"/>
            <w:gridCol w:w="4111"/>
          </w:tblGrid>
          <w:tr w:rsidR="00A42A9E" w:rsidTr="002C163A">
            <w:trPr>
              <w:trHeight w:val="150"/>
            </w:trPr>
            <w:tc>
              <w:tcPr>
                <w:tcW w:w="2551" w:type="dxa"/>
                <w:shd w:val="clear" w:color="auto" w:fill="auto"/>
              </w:tcPr>
              <w:p w:rsidR="00A42A9E" w:rsidRPr="00020E73" w:rsidRDefault="003F13CC"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A42A9E" w:rsidRPr="00020E73" w:rsidRDefault="00FA1C67" w:rsidP="002C163A">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02443</w:t>
                </w:r>
                <w:r w:rsidR="003F13CC">
                  <w:rPr>
                    <w:rFonts w:ascii="Palatino Linotype" w:eastAsia="Calibri" w:hAnsi="Palatino Linotype" w:cs="Tahoma"/>
                    <w:bCs/>
                    <w:sz w:val="22"/>
                    <w:szCs w:val="22"/>
                    <w:lang w:eastAsia="en-US"/>
                  </w:rPr>
                  <w:t>/INFOEM/IP/RR/2023</w:t>
                </w:r>
              </w:p>
            </w:tc>
          </w:tr>
          <w:tr w:rsidR="00A42A9E" w:rsidTr="002C163A">
            <w:trPr>
              <w:trHeight w:val="295"/>
            </w:trPr>
            <w:tc>
              <w:tcPr>
                <w:tcW w:w="2551" w:type="dxa"/>
                <w:shd w:val="clear" w:color="auto" w:fill="auto"/>
              </w:tcPr>
              <w:p w:rsidR="00A42A9E" w:rsidRPr="00020E73" w:rsidRDefault="003F13CC"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A42A9E" w:rsidRPr="001064AE" w:rsidRDefault="00FA1C67" w:rsidP="002C163A">
                <w:pPr>
                  <w:tabs>
                    <w:tab w:val="left" w:pos="2834"/>
                    <w:tab w:val="right" w:pos="8838"/>
                  </w:tabs>
                  <w:ind w:left="-108" w:right="-102"/>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Poder Legislativo</w:t>
                </w:r>
              </w:p>
            </w:tc>
          </w:tr>
          <w:tr w:rsidR="00A42A9E" w:rsidTr="002C163A">
            <w:trPr>
              <w:trHeight w:val="295"/>
            </w:trPr>
            <w:tc>
              <w:tcPr>
                <w:tcW w:w="2551" w:type="dxa"/>
                <w:shd w:val="clear" w:color="auto" w:fill="auto"/>
              </w:tcPr>
              <w:p w:rsidR="00A42A9E" w:rsidRPr="00020E73" w:rsidRDefault="003F13CC" w:rsidP="002C163A">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A42A9E" w:rsidRPr="00020E73" w:rsidRDefault="003F13CC" w:rsidP="002C163A">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A42A9E" w:rsidRPr="00020E73" w:rsidRDefault="000C171C" w:rsidP="002C163A">
                <w:pPr>
                  <w:tabs>
                    <w:tab w:val="right" w:pos="8838"/>
                  </w:tabs>
                  <w:ind w:left="-108" w:right="171"/>
                  <w:jc w:val="both"/>
                  <w:rPr>
                    <w:rFonts w:ascii="Palatino Linotype" w:eastAsia="Calibri" w:hAnsi="Palatino Linotype" w:cs="Tahoma"/>
                    <w:b/>
                    <w:sz w:val="22"/>
                    <w:szCs w:val="22"/>
                    <w:lang w:val="es-ES" w:eastAsia="en-US"/>
                  </w:rPr>
                </w:pPr>
              </w:p>
            </w:tc>
          </w:tr>
        </w:tbl>
        <w:p w:rsidR="00A42A9E" w:rsidRPr="005C106F" w:rsidRDefault="000C171C" w:rsidP="002C163A">
          <w:pPr>
            <w:tabs>
              <w:tab w:val="right" w:pos="8838"/>
            </w:tabs>
            <w:ind w:left="-28"/>
            <w:jc w:val="both"/>
            <w:rPr>
              <w:rFonts w:ascii="Arial" w:eastAsia="Calibri" w:hAnsi="Arial" w:cs="Arial"/>
              <w:b/>
              <w:sz w:val="22"/>
              <w:szCs w:val="22"/>
              <w:lang w:eastAsia="en-US"/>
            </w:rPr>
          </w:pPr>
        </w:p>
      </w:tc>
    </w:tr>
  </w:tbl>
  <w:p w:rsidR="00A42A9E" w:rsidRPr="00443C6B" w:rsidRDefault="000C171C" w:rsidP="002C163A">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A42A9E" w:rsidRPr="00330DA7" w:rsidTr="002C163A">
      <w:trPr>
        <w:trHeight w:val="1435"/>
      </w:trPr>
      <w:tc>
        <w:tcPr>
          <w:tcW w:w="2268" w:type="dxa"/>
          <w:shd w:val="clear" w:color="auto" w:fill="auto"/>
        </w:tcPr>
        <w:p w:rsidR="00A42A9E" w:rsidRPr="00330DA7" w:rsidRDefault="000C171C" w:rsidP="002C163A">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A42A9E" w:rsidRPr="00330DA7" w:rsidTr="002C163A">
            <w:trPr>
              <w:trHeight w:val="144"/>
            </w:trPr>
            <w:tc>
              <w:tcPr>
                <w:tcW w:w="2444" w:type="dxa"/>
                <w:shd w:val="clear" w:color="auto" w:fill="auto"/>
              </w:tcPr>
              <w:p w:rsidR="00A42A9E" w:rsidRPr="00020E73" w:rsidRDefault="003F13CC" w:rsidP="002C163A">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A42A9E" w:rsidRPr="00020E73" w:rsidRDefault="00FA1C67" w:rsidP="002C163A">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02443</w:t>
                </w:r>
                <w:r w:rsidR="003F13CC">
                  <w:rPr>
                    <w:rFonts w:ascii="Palatino Linotype" w:eastAsia="Calibri" w:hAnsi="Palatino Linotype" w:cs="Tahoma"/>
                    <w:sz w:val="22"/>
                    <w:szCs w:val="22"/>
                    <w:lang w:eastAsia="en-US"/>
                  </w:rPr>
                  <w:t>/INFOEM/IP/RR/2023</w:t>
                </w:r>
                <w:r w:rsidR="003F13CC">
                  <w:rPr>
                    <w:rFonts w:ascii="Palatino Linotype" w:eastAsia="Calibri" w:hAnsi="Palatino Linotype" w:cs="Tahoma"/>
                    <w:b/>
                    <w:bCs/>
                    <w:sz w:val="22"/>
                    <w:szCs w:val="22"/>
                    <w:lang w:eastAsia="en-US"/>
                  </w:rPr>
                  <w:t xml:space="preserve"> </w:t>
                </w:r>
              </w:p>
            </w:tc>
          </w:tr>
          <w:tr w:rsidR="00A42A9E" w:rsidRPr="00330DA7" w:rsidTr="002C163A">
            <w:trPr>
              <w:trHeight w:val="144"/>
            </w:trPr>
            <w:tc>
              <w:tcPr>
                <w:tcW w:w="2444" w:type="dxa"/>
                <w:shd w:val="clear" w:color="auto" w:fill="auto"/>
              </w:tcPr>
              <w:p w:rsidR="00A42A9E" w:rsidRPr="00020E73" w:rsidRDefault="003F13CC"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A42A9E" w:rsidRPr="00FA1C67" w:rsidRDefault="002F7418" w:rsidP="002C163A">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 xml:space="preserve">XXX </w:t>
                </w:r>
                <w:proofErr w:type="spellStart"/>
                <w:r>
                  <w:rPr>
                    <w:rFonts w:ascii="Palatino Linotype" w:eastAsia="Calibri" w:hAnsi="Palatino Linotype" w:cs="Tahoma"/>
                    <w:bCs/>
                    <w:sz w:val="22"/>
                    <w:szCs w:val="22"/>
                    <w:lang w:eastAsia="en-US"/>
                  </w:rPr>
                  <w:t>XXX</w:t>
                </w:r>
                <w:proofErr w:type="spellEnd"/>
                <w:r>
                  <w:rPr>
                    <w:rFonts w:ascii="Palatino Linotype" w:eastAsia="Calibri" w:hAnsi="Palatino Linotype" w:cs="Tahoma"/>
                    <w:bCs/>
                    <w:sz w:val="22"/>
                    <w:szCs w:val="22"/>
                    <w:lang w:eastAsia="en-US"/>
                  </w:rPr>
                  <w:t xml:space="preserve"> </w:t>
                </w:r>
                <w:proofErr w:type="spellStart"/>
                <w:r>
                  <w:rPr>
                    <w:rFonts w:ascii="Palatino Linotype" w:eastAsia="Calibri" w:hAnsi="Palatino Linotype" w:cs="Tahoma"/>
                    <w:bCs/>
                    <w:sz w:val="22"/>
                    <w:szCs w:val="22"/>
                    <w:lang w:eastAsia="en-US"/>
                  </w:rPr>
                  <w:t>XXX</w:t>
                </w:r>
                <w:proofErr w:type="spellEnd"/>
              </w:p>
            </w:tc>
          </w:tr>
          <w:tr w:rsidR="00A42A9E" w:rsidRPr="00330DA7" w:rsidTr="002C163A">
            <w:trPr>
              <w:trHeight w:val="283"/>
            </w:trPr>
            <w:tc>
              <w:tcPr>
                <w:tcW w:w="2444" w:type="dxa"/>
                <w:shd w:val="clear" w:color="auto" w:fill="auto"/>
              </w:tcPr>
              <w:p w:rsidR="00A42A9E" w:rsidRPr="00020E73" w:rsidRDefault="003F13CC"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A42A9E" w:rsidRPr="009E7B0A" w:rsidRDefault="00FA1C67" w:rsidP="002C163A">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 xml:space="preserve">Poder Legislativo </w:t>
                </w:r>
              </w:p>
            </w:tc>
          </w:tr>
          <w:tr w:rsidR="00A42A9E" w:rsidRPr="00330DA7" w:rsidTr="002C163A">
            <w:trPr>
              <w:trHeight w:val="283"/>
            </w:trPr>
            <w:tc>
              <w:tcPr>
                <w:tcW w:w="2444" w:type="dxa"/>
                <w:shd w:val="clear" w:color="auto" w:fill="auto"/>
              </w:tcPr>
              <w:p w:rsidR="00A42A9E" w:rsidRPr="00020E73" w:rsidRDefault="003F13CC" w:rsidP="002C163A">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A42A9E" w:rsidRPr="00020E73" w:rsidRDefault="003F13CC" w:rsidP="002C163A">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A42A9E" w:rsidRPr="00020E73" w:rsidRDefault="000C171C" w:rsidP="002C163A">
                <w:pPr>
                  <w:tabs>
                    <w:tab w:val="right" w:pos="8838"/>
                  </w:tabs>
                  <w:ind w:left="-74" w:right="-105"/>
                  <w:jc w:val="both"/>
                  <w:rPr>
                    <w:rFonts w:ascii="Palatino Linotype" w:eastAsia="Calibri" w:hAnsi="Palatino Linotype" w:cs="Tahoma"/>
                    <w:b/>
                    <w:sz w:val="22"/>
                    <w:szCs w:val="22"/>
                    <w:lang w:val="es-ES" w:eastAsia="en-US"/>
                  </w:rPr>
                </w:pPr>
              </w:p>
            </w:tc>
          </w:tr>
        </w:tbl>
        <w:p w:rsidR="00A42A9E" w:rsidRPr="00330DA7" w:rsidRDefault="000C171C" w:rsidP="002C163A">
          <w:pPr>
            <w:tabs>
              <w:tab w:val="right" w:pos="8838"/>
            </w:tabs>
            <w:ind w:left="-28"/>
            <w:jc w:val="both"/>
            <w:rPr>
              <w:rFonts w:ascii="Arial" w:eastAsia="Calibri" w:hAnsi="Arial" w:cs="Arial"/>
              <w:b/>
              <w:sz w:val="22"/>
              <w:szCs w:val="22"/>
              <w:lang w:eastAsia="en-US"/>
            </w:rPr>
          </w:pPr>
        </w:p>
      </w:tc>
    </w:tr>
  </w:tbl>
  <w:p w:rsidR="00A42A9E" w:rsidRPr="00827FA0" w:rsidRDefault="000C171C" w:rsidP="002C163A">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61270"/>
    <w:multiLevelType w:val="hybridMultilevel"/>
    <w:tmpl w:val="C72A4712"/>
    <w:lvl w:ilvl="0" w:tplc="9AE83E36">
      <w:start w:val="1"/>
      <w:numFmt w:val="decimal"/>
      <w:lvlText w:val="%1."/>
      <w:lvlJc w:val="left"/>
      <w:pPr>
        <w:ind w:left="720" w:hanging="360"/>
      </w:pPr>
      <w:rPr>
        <w:rFonts w:eastAsia="Calibri" w:hint="default"/>
        <w:b/>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6CE721A"/>
    <w:multiLevelType w:val="hybridMultilevel"/>
    <w:tmpl w:val="36665406"/>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nsid w:val="2BF7591C"/>
    <w:multiLevelType w:val="hybridMultilevel"/>
    <w:tmpl w:val="F9EC81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34207EAB"/>
    <w:multiLevelType w:val="hybridMultilevel"/>
    <w:tmpl w:val="9BEE7B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4317490"/>
    <w:multiLevelType w:val="hybridMultilevel"/>
    <w:tmpl w:val="23CE1F1E"/>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D577850"/>
    <w:multiLevelType w:val="hybridMultilevel"/>
    <w:tmpl w:val="F48A07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02B190D"/>
    <w:multiLevelType w:val="hybridMultilevel"/>
    <w:tmpl w:val="7DCEAD42"/>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70344E90"/>
    <w:multiLevelType w:val="hybridMultilevel"/>
    <w:tmpl w:val="6B866D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70136A0"/>
    <w:multiLevelType w:val="hybridMultilevel"/>
    <w:tmpl w:val="43601C28"/>
    <w:lvl w:ilvl="0" w:tplc="9216D5FA">
      <w:start w:val="1"/>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6"/>
  </w:num>
  <w:num w:numId="2">
    <w:abstractNumId w:val="3"/>
  </w:num>
  <w:num w:numId="3">
    <w:abstractNumId w:val="2"/>
  </w:num>
  <w:num w:numId="4">
    <w:abstractNumId w:val="1"/>
  </w:num>
  <w:num w:numId="5">
    <w:abstractNumId w:val="9"/>
  </w:num>
  <w:num w:numId="6">
    <w:abstractNumId w:val="7"/>
  </w:num>
  <w:num w:numId="7">
    <w:abstractNumId w:val="10"/>
  </w:num>
  <w:num w:numId="8">
    <w:abstractNumId w:val="11"/>
  </w:num>
  <w:num w:numId="9">
    <w:abstractNumId w:val="4"/>
  </w:num>
  <w:num w:numId="10">
    <w:abstractNumId w:val="5"/>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C67"/>
    <w:rsid w:val="00007A3C"/>
    <w:rsid w:val="000C171C"/>
    <w:rsid w:val="00115749"/>
    <w:rsid w:val="00214EBE"/>
    <w:rsid w:val="002362AB"/>
    <w:rsid w:val="0028475E"/>
    <w:rsid w:val="002D1018"/>
    <w:rsid w:val="002F7418"/>
    <w:rsid w:val="003758C1"/>
    <w:rsid w:val="003F13CC"/>
    <w:rsid w:val="005931D9"/>
    <w:rsid w:val="00600086"/>
    <w:rsid w:val="00620AC0"/>
    <w:rsid w:val="00755E8D"/>
    <w:rsid w:val="0076643E"/>
    <w:rsid w:val="00811CBD"/>
    <w:rsid w:val="008246BF"/>
    <w:rsid w:val="00857C64"/>
    <w:rsid w:val="00B66DDE"/>
    <w:rsid w:val="00B81E5A"/>
    <w:rsid w:val="00BF57DA"/>
    <w:rsid w:val="00C078B9"/>
    <w:rsid w:val="00C62E46"/>
    <w:rsid w:val="00CC5922"/>
    <w:rsid w:val="00D01E7C"/>
    <w:rsid w:val="00D400C5"/>
    <w:rsid w:val="00E27F11"/>
    <w:rsid w:val="00E77B21"/>
    <w:rsid w:val="00E867F0"/>
    <w:rsid w:val="00E91CBA"/>
    <w:rsid w:val="00EA37F6"/>
    <w:rsid w:val="00EA69FB"/>
    <w:rsid w:val="00EC4830"/>
    <w:rsid w:val="00FA1C67"/>
    <w:rsid w:val="00FC11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CDDD12E-3AA3-4C1D-87B4-8180BD616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C67"/>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FA1C6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E91CB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1C67"/>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FA1C67"/>
    <w:pPr>
      <w:tabs>
        <w:tab w:val="center" w:pos="4419"/>
        <w:tab w:val="right" w:pos="8838"/>
      </w:tabs>
    </w:pPr>
  </w:style>
  <w:style w:type="character" w:customStyle="1" w:styleId="EncabezadoCar">
    <w:name w:val="Encabezado Car"/>
    <w:basedOn w:val="Fuentedeprrafopredeter"/>
    <w:link w:val="Encabezado"/>
    <w:uiPriority w:val="99"/>
    <w:rsid w:val="00FA1C67"/>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FA1C67"/>
    <w:pPr>
      <w:tabs>
        <w:tab w:val="center" w:pos="4419"/>
        <w:tab w:val="right" w:pos="8838"/>
      </w:tabs>
    </w:pPr>
  </w:style>
  <w:style w:type="character" w:customStyle="1" w:styleId="PiedepginaCar">
    <w:name w:val="Pie de página Car"/>
    <w:basedOn w:val="Fuentedeprrafopredeter"/>
    <w:link w:val="Piedepgina"/>
    <w:uiPriority w:val="99"/>
    <w:rsid w:val="00FA1C67"/>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A1C67"/>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FA1C67"/>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FA1C67"/>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A1C67"/>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FA1C67"/>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A1C67"/>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FA1C67"/>
    <w:rPr>
      <w:rFonts w:ascii="Times New Roman" w:eastAsia="Times New Roman" w:hAnsi="Times New Roman" w:cs="Times New Roman"/>
      <w:sz w:val="20"/>
      <w:szCs w:val="20"/>
      <w:lang w:val="es-MX" w:eastAsia="es-MX"/>
    </w:rPr>
  </w:style>
  <w:style w:type="paragraph" w:customStyle="1" w:styleId="Default">
    <w:name w:val="Default"/>
    <w:rsid w:val="00FA1C67"/>
    <w:pPr>
      <w:autoSpaceDE w:val="0"/>
      <w:autoSpaceDN w:val="0"/>
      <w:adjustRightInd w:val="0"/>
      <w:spacing w:after="0" w:line="240" w:lineRule="auto"/>
    </w:pPr>
    <w:rPr>
      <w:rFonts w:ascii="Arial" w:hAnsi="Arial" w:cs="Arial"/>
      <w:color w:val="000000"/>
      <w:sz w:val="24"/>
      <w:szCs w:val="24"/>
      <w:lang w:val="es-MX"/>
    </w:rPr>
  </w:style>
  <w:style w:type="character" w:styleId="Hipervnculovisitado">
    <w:name w:val="FollowedHyperlink"/>
    <w:basedOn w:val="Fuentedeprrafopredeter"/>
    <w:uiPriority w:val="99"/>
    <w:semiHidden/>
    <w:unhideWhenUsed/>
    <w:rsid w:val="00B66DDE"/>
    <w:rPr>
      <w:color w:val="954F72" w:themeColor="followedHyperlink"/>
      <w:u w:val="single"/>
    </w:rPr>
  </w:style>
  <w:style w:type="character" w:customStyle="1" w:styleId="Ttulo2Car">
    <w:name w:val="Título 2 Car"/>
    <w:basedOn w:val="Fuentedeprrafopredeter"/>
    <w:link w:val="Ttulo2"/>
    <w:uiPriority w:val="9"/>
    <w:semiHidden/>
    <w:rsid w:val="00E91CBA"/>
    <w:rPr>
      <w:rFonts w:asciiTheme="majorHAnsi" w:eastAsiaTheme="majorEastAsia" w:hAnsiTheme="majorHAnsi" w:cstheme="majorBidi"/>
      <w:color w:val="2E74B5" w:themeColor="accent1" w:themeShade="BF"/>
      <w:sz w:val="26"/>
      <w:szCs w:val="26"/>
      <w:lang w:val="es-MX" w:eastAsia="es-MX"/>
    </w:rPr>
  </w:style>
  <w:style w:type="paragraph" w:styleId="Sinespaciado">
    <w:name w:val="No Spacing"/>
    <w:aliases w:val="Francesa,INAI"/>
    <w:link w:val="SinespaciadoCar"/>
    <w:uiPriority w:val="1"/>
    <w:qFormat/>
    <w:rsid w:val="00E91CBA"/>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E91CBA"/>
    <w:rPr>
      <w:rFonts w:eastAsiaTheme="minorEastAsia"/>
      <w:sz w:val="24"/>
      <w:szCs w:val="24"/>
      <w:lang w:val="es-ES_tradnl" w:eastAsia="es-ES"/>
    </w:rPr>
  </w:style>
  <w:style w:type="character" w:styleId="Referenciasutil">
    <w:name w:val="Subtle Reference"/>
    <w:basedOn w:val="Fuentedeprrafopredeter"/>
    <w:uiPriority w:val="31"/>
    <w:qFormat/>
    <w:rsid w:val="005931D9"/>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5144917">
      <w:bodyDiv w:val="1"/>
      <w:marLeft w:val="0"/>
      <w:marRight w:val="0"/>
      <w:marTop w:val="0"/>
      <w:marBottom w:val="0"/>
      <w:divBdr>
        <w:top w:val="none" w:sz="0" w:space="0" w:color="auto"/>
        <w:left w:val="none" w:sz="0" w:space="0" w:color="auto"/>
        <w:bottom w:val="none" w:sz="0" w:space="0" w:color="auto"/>
        <w:right w:val="none" w:sz="0" w:space="0" w:color="auto"/>
      </w:divBdr>
    </w:div>
    <w:div w:id="159720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ion.edomex.gob.mx/sites/legislacion.edomex.gob.mx/files/files/vigentes/jul113.PDF"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1771257.page" TargetMode="External"/><Relationship Id="rId12" Type="http://schemas.openxmlformats.org/officeDocument/2006/relationships/hyperlink" Target="https://saimex.org.mx/saimex/solicitud/downloadAttach/1786666.pag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786665.pag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aimex.org.mx/saimex/solicitud/downloadAttach/1771504.pag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aimex.org.mx/saimex/solicitud/downloadAttach/1771258.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17</Pages>
  <Words>3902</Words>
  <Characters>21466</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dcterms:created xsi:type="dcterms:W3CDTF">2023-05-31T00:08:00Z</dcterms:created>
  <dcterms:modified xsi:type="dcterms:W3CDTF">2023-06-13T18:57:00Z</dcterms:modified>
</cp:coreProperties>
</file>