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D4973" w14:textId="77777777" w:rsidR="00FE0AC2" w:rsidRPr="00361669" w:rsidRDefault="00C3495C">
      <w:pPr>
        <w:spacing w:before="240" w:after="24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36166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361669">
        <w:rPr>
          <w:rFonts w:ascii="Palatino Linotype" w:eastAsia="Palatino Linotype" w:hAnsi="Palatino Linotype" w:cs="Palatino Linotype"/>
          <w:b/>
        </w:rPr>
        <w:t>diecinueve de abril del dos mil veintitrés.</w:t>
      </w:r>
    </w:p>
    <w:p w14:paraId="3F37BBE3" w14:textId="77777777" w:rsidR="00FE0AC2" w:rsidRPr="00361669" w:rsidRDefault="00C3495C">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361669">
        <w:rPr>
          <w:rFonts w:ascii="Palatino Linotype" w:eastAsia="Palatino Linotype" w:hAnsi="Palatino Linotype" w:cs="Palatino Linotype"/>
          <w:b/>
        </w:rPr>
        <w:t xml:space="preserve">Visto </w:t>
      </w:r>
      <w:r w:rsidRPr="00361669">
        <w:rPr>
          <w:rFonts w:ascii="Palatino Linotype" w:eastAsia="Palatino Linotype" w:hAnsi="Palatino Linotype" w:cs="Palatino Linotype"/>
        </w:rPr>
        <w:t xml:space="preserve">el expediente relativo al recurso de revisión </w:t>
      </w:r>
      <w:r w:rsidRPr="00361669">
        <w:rPr>
          <w:rFonts w:ascii="Palatino Linotype" w:eastAsia="Palatino Linotype" w:hAnsi="Palatino Linotype" w:cs="Palatino Linotype"/>
          <w:b/>
        </w:rPr>
        <w:t>17389/INFOEM/ICR-127/IP/RR/2022</w:t>
      </w:r>
      <w:r w:rsidRPr="00361669">
        <w:rPr>
          <w:rFonts w:ascii="Palatino Linotype" w:eastAsia="Palatino Linotype" w:hAnsi="Palatino Linotype" w:cs="Palatino Linotype"/>
        </w:rPr>
        <w:t xml:space="preserve">, interpuesto por un </w:t>
      </w:r>
      <w:r w:rsidRPr="00361669">
        <w:rPr>
          <w:rFonts w:ascii="Palatino Linotype" w:eastAsia="Palatino Linotype" w:hAnsi="Palatino Linotype" w:cs="Palatino Linotype"/>
          <w:b/>
        </w:rPr>
        <w:t>particular de manera anónima,</w:t>
      </w:r>
      <w:r w:rsidRPr="00361669">
        <w:rPr>
          <w:rFonts w:ascii="Palatino Linotype" w:eastAsia="Palatino Linotype" w:hAnsi="Palatino Linotype" w:cs="Palatino Linotype"/>
        </w:rPr>
        <w:t xml:space="preserve"> en lo sucesivo la </w:t>
      </w:r>
      <w:r w:rsidRPr="00361669">
        <w:rPr>
          <w:rFonts w:ascii="Palatino Linotype" w:eastAsia="Palatino Linotype" w:hAnsi="Palatino Linotype" w:cs="Palatino Linotype"/>
          <w:b/>
        </w:rPr>
        <w:t>parte Recurrente</w:t>
      </w:r>
      <w:r w:rsidRPr="00361669">
        <w:rPr>
          <w:rFonts w:ascii="Palatino Linotype" w:eastAsia="Palatino Linotype" w:hAnsi="Palatino Linotype" w:cs="Palatino Linotype"/>
        </w:rPr>
        <w:t xml:space="preserve">, en contra de la falta de respuesta del </w:t>
      </w:r>
      <w:r w:rsidRPr="00361669">
        <w:rPr>
          <w:rFonts w:ascii="Palatino Linotype" w:eastAsia="Palatino Linotype" w:hAnsi="Palatino Linotype" w:cs="Palatino Linotype"/>
          <w:b/>
        </w:rPr>
        <w:t xml:space="preserve">Ayuntamiento de Zinacantepec, </w:t>
      </w:r>
      <w:r w:rsidRPr="00361669">
        <w:rPr>
          <w:rFonts w:ascii="Palatino Linotype" w:eastAsia="Palatino Linotype" w:hAnsi="Palatino Linotype" w:cs="Palatino Linotype"/>
        </w:rPr>
        <w:t xml:space="preserve">en lo sucesivo el </w:t>
      </w:r>
      <w:r w:rsidRPr="00361669">
        <w:rPr>
          <w:rFonts w:ascii="Palatino Linotype" w:eastAsia="Palatino Linotype" w:hAnsi="Palatino Linotype" w:cs="Palatino Linotype"/>
          <w:b/>
        </w:rPr>
        <w:t xml:space="preserve">Sujeto Obligado, </w:t>
      </w:r>
      <w:r w:rsidRPr="00361669">
        <w:rPr>
          <w:rFonts w:ascii="Palatino Linotype" w:eastAsia="Palatino Linotype" w:hAnsi="Palatino Linotype" w:cs="Palatino Linotype"/>
        </w:rPr>
        <w:t xml:space="preserve">en cumplimiento a la determinación del diverso con número </w:t>
      </w:r>
      <w:r w:rsidRPr="00361669">
        <w:rPr>
          <w:rFonts w:ascii="Palatino Linotype" w:eastAsia="Palatino Linotype" w:hAnsi="Palatino Linotype" w:cs="Palatino Linotype"/>
          <w:b/>
          <w:sz w:val="22"/>
          <w:szCs w:val="22"/>
        </w:rPr>
        <w:t xml:space="preserve">17389/INFOEM/IP/RR/2022  </w:t>
      </w:r>
      <w:r w:rsidRPr="00361669">
        <w:rPr>
          <w:rFonts w:ascii="Palatino Linotype" w:eastAsia="Palatino Linotype" w:hAnsi="Palatino Linotype" w:cs="Palatino Linotype"/>
        </w:rPr>
        <w:t xml:space="preserve">se procede a dictar la presente resolución con base en los siguientes: </w:t>
      </w:r>
    </w:p>
    <w:p w14:paraId="582FB7B9" w14:textId="77777777" w:rsidR="00FE0AC2" w:rsidRPr="00361669" w:rsidRDefault="00C3495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61669">
        <w:rPr>
          <w:rFonts w:ascii="Palatino Linotype" w:eastAsia="Palatino Linotype" w:hAnsi="Palatino Linotype" w:cs="Palatino Linotype"/>
          <w:b/>
        </w:rPr>
        <w:t>I. A N T E C E D E N T E S</w:t>
      </w:r>
    </w:p>
    <w:p w14:paraId="39A82041"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1. Solicitud de acceso a la información.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veinticuatro de noviembre de dos mil veintidós</w:t>
      </w:r>
      <w:r w:rsidRPr="00361669">
        <w:rPr>
          <w:rFonts w:ascii="Palatino Linotype" w:eastAsia="Palatino Linotype" w:hAnsi="Palatino Linotype" w:cs="Palatino Linotype"/>
        </w:rPr>
        <w:t xml:space="preserve">, la </w:t>
      </w:r>
      <w:r w:rsidRPr="00361669">
        <w:rPr>
          <w:rFonts w:ascii="Palatino Linotype" w:eastAsia="Palatino Linotype" w:hAnsi="Palatino Linotype" w:cs="Palatino Linotype"/>
          <w:b/>
        </w:rPr>
        <w:t>parte Recurrente</w:t>
      </w:r>
      <w:r w:rsidRPr="00361669">
        <w:rPr>
          <w:rFonts w:ascii="Palatino Linotype" w:eastAsia="Palatino Linotype" w:hAnsi="Palatino Linotype" w:cs="Palatino Linotype"/>
        </w:rPr>
        <w:t xml:space="preserve"> formuló su solicitud de acceso a información pública al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a través del Sistema de Acceso a la Información Mexiquense, en adelante </w:t>
      </w:r>
      <w:r w:rsidRPr="00361669">
        <w:rPr>
          <w:rFonts w:ascii="Palatino Linotype" w:eastAsia="Palatino Linotype" w:hAnsi="Palatino Linotype" w:cs="Palatino Linotype"/>
          <w:b/>
        </w:rPr>
        <w:t>SAIMEX,</w:t>
      </w:r>
      <w:r w:rsidRPr="00361669">
        <w:rPr>
          <w:rFonts w:ascii="Palatino Linotype" w:eastAsia="Palatino Linotype" w:hAnsi="Palatino Linotype" w:cs="Palatino Linotype"/>
        </w:rPr>
        <w:t xml:space="preserve"> requiriendo lo siguiente:</w:t>
      </w:r>
    </w:p>
    <w:p w14:paraId="01EA349C" w14:textId="77777777" w:rsidR="00FE0AC2" w:rsidRPr="00361669" w:rsidRDefault="00C3495C">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“Solicito el </w:t>
      </w:r>
      <w:r w:rsidRPr="00361669">
        <w:rPr>
          <w:rFonts w:ascii="Palatino Linotype" w:eastAsia="Palatino Linotype" w:hAnsi="Palatino Linotype" w:cs="Palatino Linotype"/>
          <w:b/>
          <w:i/>
          <w:sz w:val="22"/>
          <w:szCs w:val="22"/>
        </w:rPr>
        <w:t>acta entrega recepción de la unidad de transparencia y la presidencia municipal”</w:t>
      </w:r>
      <w:r w:rsidRPr="00361669">
        <w:rPr>
          <w:rFonts w:ascii="Palatino Linotype" w:eastAsia="Palatino Linotype" w:hAnsi="Palatino Linotype" w:cs="Palatino Linotype"/>
          <w:i/>
          <w:sz w:val="22"/>
          <w:szCs w:val="22"/>
        </w:rPr>
        <w:t xml:space="preserve"> (Sic) (Énfasis añadido)</w:t>
      </w:r>
    </w:p>
    <w:p w14:paraId="10F0F3BB"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Modalidad elegida para la entrega de la información: </w:t>
      </w:r>
      <w:r w:rsidRPr="00361669">
        <w:rPr>
          <w:rFonts w:ascii="Palatino Linotype" w:eastAsia="Palatino Linotype" w:hAnsi="Palatino Linotype" w:cs="Palatino Linotype"/>
        </w:rPr>
        <w:t>a través del SAIMEX.</w:t>
      </w:r>
    </w:p>
    <w:p w14:paraId="06C3031D" w14:textId="77777777" w:rsidR="00FE0AC2" w:rsidRPr="00361669" w:rsidRDefault="00C3495C">
      <w:pPr>
        <w:spacing w:before="240" w:after="240"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 xml:space="preserve">2. </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 xml:space="preserve">Respuesta. </w:t>
      </w:r>
      <w:r w:rsidRPr="00361669">
        <w:rPr>
          <w:rFonts w:ascii="Palatino Linotype" w:eastAsia="Palatino Linotype" w:hAnsi="Palatino Linotype" w:cs="Palatino Linotype"/>
        </w:rPr>
        <w:t xml:space="preserve">De las constancias que obran en SAIMEX, se observa que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no emitió respuesta a la solicitud de información formulada por la parte </w:t>
      </w:r>
      <w:r w:rsidRPr="00361669">
        <w:rPr>
          <w:rFonts w:ascii="Palatino Linotype" w:eastAsia="Palatino Linotype" w:hAnsi="Palatino Linotype" w:cs="Palatino Linotype"/>
          <w:b/>
        </w:rPr>
        <w:t>Recurrente.</w:t>
      </w:r>
    </w:p>
    <w:p w14:paraId="025B202B"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lastRenderedPageBreak/>
        <w:t xml:space="preserve">3. Interposición del recurso de revisión. </w:t>
      </w:r>
      <w:r w:rsidRPr="00361669">
        <w:rPr>
          <w:rFonts w:ascii="Palatino Linotype" w:eastAsia="Palatino Linotype" w:hAnsi="Palatino Linotype" w:cs="Palatino Linotype"/>
        </w:rPr>
        <w:t xml:space="preserve">Inconforme la parte solicitante con la falta de respuesta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interpuso recurso de revisión a través de SAIMEX en fecha </w:t>
      </w:r>
      <w:r w:rsidRPr="00361669">
        <w:rPr>
          <w:rFonts w:ascii="Palatino Linotype" w:eastAsia="Palatino Linotype" w:hAnsi="Palatino Linotype" w:cs="Palatino Linotype"/>
          <w:b/>
        </w:rPr>
        <w:t>dieciséis de diciembre de  dos mil veintidós</w:t>
      </w:r>
      <w:r w:rsidRPr="00361669">
        <w:rPr>
          <w:rFonts w:ascii="Palatino Linotype" w:eastAsia="Palatino Linotype" w:hAnsi="Palatino Linotype" w:cs="Palatino Linotype"/>
        </w:rPr>
        <w:t>, expresando lo siguiente:</w:t>
      </w:r>
    </w:p>
    <w:p w14:paraId="7CEDC0AC" w14:textId="77777777" w:rsidR="00FE0AC2" w:rsidRPr="00361669" w:rsidRDefault="00C3495C">
      <w:pPr>
        <w:spacing w:line="360" w:lineRule="auto"/>
        <w:rPr>
          <w:rFonts w:ascii="Palatino Linotype" w:eastAsia="Palatino Linotype" w:hAnsi="Palatino Linotype" w:cs="Palatino Linotype"/>
          <w:b/>
        </w:rPr>
      </w:pPr>
      <w:r w:rsidRPr="00361669">
        <w:rPr>
          <w:rFonts w:ascii="Palatino Linotype" w:eastAsia="Palatino Linotype" w:hAnsi="Palatino Linotype" w:cs="Palatino Linotype"/>
          <w:b/>
        </w:rPr>
        <w:t>a) Acto impugnado.</w:t>
      </w:r>
    </w:p>
    <w:p w14:paraId="48058963" w14:textId="77777777" w:rsidR="00FE0AC2" w:rsidRPr="00361669" w:rsidRDefault="00C3495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“NO ENTREGA INFORMACIÓN” (Sic)</w:t>
      </w:r>
    </w:p>
    <w:p w14:paraId="177471F6" w14:textId="77777777" w:rsidR="00FE0AC2" w:rsidRPr="00361669" w:rsidRDefault="00C3495C">
      <w:pPr>
        <w:spacing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b) Motivos de inconformidad.</w:t>
      </w:r>
    </w:p>
    <w:p w14:paraId="6944996C" w14:textId="77777777" w:rsidR="00FE0AC2" w:rsidRPr="00361669" w:rsidRDefault="00C3495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“NO ENTREGA INFORMACIÓN” (Sic)</w:t>
      </w:r>
    </w:p>
    <w:p w14:paraId="07BEA0C6" w14:textId="77777777" w:rsidR="00FE0AC2" w:rsidRPr="00361669" w:rsidRDefault="00C3495C">
      <w:pPr>
        <w:spacing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4.  Trámite del Recurso de Revisión ante el Instituto.</w:t>
      </w:r>
    </w:p>
    <w:p w14:paraId="372A8BEB" w14:textId="77777777" w:rsidR="00FE0AC2" w:rsidRPr="00361669" w:rsidRDefault="00C3495C">
      <w:pPr>
        <w:spacing w:before="240" w:after="240"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 xml:space="preserve">a. Turno. </w:t>
      </w:r>
      <w:r w:rsidRPr="0036166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361669">
        <w:rPr>
          <w:rFonts w:ascii="Palatino Linotype" w:eastAsia="Palatino Linotype" w:hAnsi="Palatino Linotype" w:cs="Palatino Linotype"/>
          <w:b/>
        </w:rPr>
        <w:t>17389/INFOEM/IP/RR/2022</w:t>
      </w:r>
      <w:r w:rsidRPr="00361669">
        <w:rPr>
          <w:rFonts w:ascii="Palatino Linotype" w:eastAsia="Palatino Linotype" w:hAnsi="Palatino Linotype" w:cs="Palatino Linotype"/>
        </w:rPr>
        <w:t xml:space="preserve"> fue turnado a la Comisionada Ponente </w:t>
      </w:r>
      <w:r w:rsidRPr="00361669">
        <w:rPr>
          <w:rFonts w:ascii="Palatino Linotype" w:eastAsia="Palatino Linotype" w:hAnsi="Palatino Linotype" w:cs="Palatino Linotype"/>
          <w:b/>
        </w:rPr>
        <w:t>Guadalupe Ramírez Peña</w:t>
      </w:r>
      <w:r w:rsidRPr="00361669">
        <w:rPr>
          <w:rFonts w:ascii="Palatino Linotype" w:eastAsia="Palatino Linotype" w:hAnsi="Palatino Linotype" w:cs="Palatino Linotype"/>
        </w:rPr>
        <w:t>; a efecto de presentar al Pleno el proyecto de resolución correspondiente.</w:t>
      </w:r>
    </w:p>
    <w:p w14:paraId="764694DA"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b. Admisión.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veintiuno de diciembre de dos mil veintidós</w:t>
      </w:r>
      <w:r w:rsidRPr="0036166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CC97146"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c. Manifestaciones. </w:t>
      </w:r>
      <w:r w:rsidRPr="00361669">
        <w:rPr>
          <w:rFonts w:ascii="Palatino Linotype" w:eastAsia="Palatino Linotype" w:hAnsi="Palatino Linotype" w:cs="Palatino Linotype"/>
        </w:rPr>
        <w:t xml:space="preserve">De las constancias que obran en el expediente electrónico del SAIMEX se desprende que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no rindió su informe justificado, del </w:t>
      </w:r>
      <w:r w:rsidRPr="00361669">
        <w:rPr>
          <w:rFonts w:ascii="Palatino Linotype" w:eastAsia="Palatino Linotype" w:hAnsi="Palatino Linotype" w:cs="Palatino Linotype"/>
        </w:rPr>
        <w:lastRenderedPageBreak/>
        <w:t xml:space="preserve">mismo modo </w:t>
      </w:r>
      <w:r w:rsidRPr="00361669">
        <w:rPr>
          <w:rFonts w:ascii="Palatino Linotype" w:eastAsia="Palatino Linotype" w:hAnsi="Palatino Linotype" w:cs="Palatino Linotype"/>
          <w:b/>
        </w:rPr>
        <w:t>la parte</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Recurrente</w:t>
      </w:r>
      <w:r w:rsidRPr="00361669">
        <w:rPr>
          <w:rFonts w:ascii="Palatino Linotype" w:eastAsia="Palatino Linotype" w:hAnsi="Palatino Linotype" w:cs="Palatino Linotype"/>
        </w:rPr>
        <w:t xml:space="preserve"> omitió realizar manifestaciones, como se observa a continuación:</w:t>
      </w:r>
    </w:p>
    <w:p w14:paraId="270B4A7F"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noProof/>
          <w:lang w:eastAsia="es-MX"/>
        </w:rPr>
        <w:drawing>
          <wp:inline distT="0" distB="0" distL="0" distR="0" wp14:anchorId="6AE36F45" wp14:editId="3230966A">
            <wp:extent cx="5581015" cy="1397000"/>
            <wp:effectExtent l="0" t="0" r="0" b="0"/>
            <wp:docPr id="6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581015" cy="1397000"/>
                    </a:xfrm>
                    <a:prstGeom prst="rect">
                      <a:avLst/>
                    </a:prstGeom>
                    <a:ln/>
                  </pic:spPr>
                </pic:pic>
              </a:graphicData>
            </a:graphic>
          </wp:inline>
        </w:drawing>
      </w:r>
    </w:p>
    <w:p w14:paraId="7735A939"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d. Cierre de Instrucción.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diecinueve de enero de dos mil veintitrés</w:t>
      </w:r>
      <w:r w:rsidRPr="0036166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0A9EDA9" w14:textId="77777777" w:rsidR="00FE0AC2" w:rsidRPr="00361669" w:rsidRDefault="00C3495C">
      <w:pPr>
        <w:spacing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 xml:space="preserve">e. Resolución del Recurso de Revisión.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veinticinco de enero de dos mil veintitrés</w:t>
      </w:r>
      <w:r w:rsidRPr="00361669">
        <w:rPr>
          <w:rFonts w:ascii="Palatino Linotype" w:eastAsia="Palatino Linotype" w:hAnsi="Palatino Linotype" w:cs="Palatino Linotype"/>
        </w:rPr>
        <w:t>, el Pleno del Instituto de Transparencia, Accesos la Información Pública y Protección de Datos Personales del Estado de México y Municipios, durante la Tercera Sesión Ordinaria, aprobó por unanimidad de votos, la Resolución del Recurso de Revisión, en la cual se determinó lo siguiente:</w:t>
      </w:r>
    </w:p>
    <w:p w14:paraId="720F5345" w14:textId="77777777" w:rsidR="00FE0AC2" w:rsidRPr="00361669" w:rsidRDefault="00C3495C">
      <w:pPr>
        <w:spacing w:before="240" w:after="240" w:line="276" w:lineRule="auto"/>
        <w:ind w:left="567" w:right="616"/>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r w:rsidRPr="00361669">
        <w:rPr>
          <w:rFonts w:ascii="Palatino Linotype" w:eastAsia="Palatino Linotype" w:hAnsi="Palatino Linotype" w:cs="Palatino Linotype"/>
          <w:b/>
          <w:i/>
          <w:sz w:val="22"/>
          <w:szCs w:val="22"/>
        </w:rPr>
        <w:t xml:space="preserve">Primero. </w:t>
      </w:r>
      <w:r w:rsidRPr="00361669">
        <w:rPr>
          <w:rFonts w:ascii="Palatino Linotype" w:eastAsia="Palatino Linotype" w:hAnsi="Palatino Linotype" w:cs="Palatino Linotype"/>
          <w:i/>
          <w:sz w:val="22"/>
          <w:szCs w:val="22"/>
        </w:rPr>
        <w:t xml:space="preserve">Resultan fundados los motivos de inconformidad de la parte Recurrente, en el recurso de revisión </w:t>
      </w:r>
      <w:r w:rsidRPr="00361669">
        <w:rPr>
          <w:rFonts w:ascii="Palatino Linotype" w:eastAsia="Palatino Linotype" w:hAnsi="Palatino Linotype" w:cs="Palatino Linotype"/>
          <w:b/>
          <w:i/>
          <w:sz w:val="22"/>
          <w:szCs w:val="22"/>
        </w:rPr>
        <w:t>17389/INFOEM/IP/RR/2022</w:t>
      </w:r>
      <w:r w:rsidRPr="00361669">
        <w:rPr>
          <w:rFonts w:ascii="Palatino Linotype" w:eastAsia="Palatino Linotype" w:hAnsi="Palatino Linotype" w:cs="Palatino Linotype"/>
          <w:i/>
          <w:sz w:val="22"/>
          <w:szCs w:val="22"/>
        </w:rPr>
        <w:t>, en términos</w:t>
      </w:r>
      <w:r w:rsidRPr="00361669">
        <w:rPr>
          <w:rFonts w:ascii="Palatino Linotype" w:eastAsia="Palatino Linotype" w:hAnsi="Palatino Linotype" w:cs="Palatino Linotype"/>
          <w:b/>
          <w:i/>
          <w:sz w:val="22"/>
          <w:szCs w:val="22"/>
        </w:rPr>
        <w:t xml:space="preserve"> </w:t>
      </w:r>
      <w:r w:rsidRPr="00361669">
        <w:rPr>
          <w:rFonts w:ascii="Palatino Linotype" w:eastAsia="Palatino Linotype" w:hAnsi="Palatino Linotype" w:cs="Palatino Linotype"/>
          <w:i/>
          <w:sz w:val="22"/>
          <w:szCs w:val="22"/>
        </w:rPr>
        <w:t xml:space="preserve">del Considerando Cuarto de la presente resolución. </w:t>
      </w:r>
    </w:p>
    <w:p w14:paraId="50FA66F7" w14:textId="77777777" w:rsidR="00FE0AC2" w:rsidRPr="00361669" w:rsidRDefault="00C3495C">
      <w:pPr>
        <w:spacing w:before="240" w:after="240" w:line="276" w:lineRule="auto"/>
        <w:ind w:left="567" w:right="616"/>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lastRenderedPageBreak/>
        <w:t xml:space="preserve">Segundo. </w:t>
      </w:r>
      <w:r w:rsidRPr="00361669">
        <w:rPr>
          <w:rFonts w:ascii="Palatino Linotype" w:eastAsia="Palatino Linotype" w:hAnsi="Palatino Linotype" w:cs="Palatino Linotype"/>
          <w:i/>
          <w:sz w:val="22"/>
          <w:szCs w:val="22"/>
        </w:rPr>
        <w:t>Se Ordena al Sujeto Obligado dé trámite, vía Sistema de Acceso a la Información Mexiquense (SAIMEX), a la solicitud de acceso a la información pública</w:t>
      </w:r>
      <w:r w:rsidRPr="00361669">
        <w:rPr>
          <w:rFonts w:ascii="Palatino Linotype" w:eastAsia="Palatino Linotype" w:hAnsi="Palatino Linotype" w:cs="Palatino Linotype"/>
          <w:b/>
          <w:i/>
          <w:sz w:val="22"/>
          <w:szCs w:val="22"/>
        </w:rPr>
        <w:t xml:space="preserve"> 01326/ZINACANT/IP/2022, </w:t>
      </w:r>
      <w:r w:rsidRPr="00361669">
        <w:rPr>
          <w:rFonts w:ascii="Palatino Linotype" w:eastAsia="Palatino Linotype" w:hAnsi="Palatino Linotype" w:cs="Palatino Linotype"/>
          <w:i/>
          <w:sz w:val="22"/>
          <w:szCs w:val="22"/>
        </w:rPr>
        <w:t>que dio origen al recurso de revisión</w:t>
      </w:r>
      <w:r w:rsidRPr="00361669">
        <w:rPr>
          <w:rFonts w:ascii="Palatino Linotype" w:eastAsia="Palatino Linotype" w:hAnsi="Palatino Linotype" w:cs="Palatino Linotype"/>
          <w:b/>
          <w:i/>
          <w:sz w:val="22"/>
          <w:szCs w:val="22"/>
        </w:rPr>
        <w:t xml:space="preserve"> 17389/INFOEM/IP/RR/2022, </w:t>
      </w:r>
      <w:r w:rsidRPr="00361669">
        <w:rPr>
          <w:rFonts w:ascii="Palatino Linotype" w:eastAsia="Palatino Linotype" w:hAnsi="Palatino Linotype" w:cs="Palatino Linotype"/>
          <w:i/>
          <w:sz w:val="22"/>
          <w:szCs w:val="22"/>
        </w:rPr>
        <w:t xml:space="preserve">en términos del Considerando Cuarto de esta resolución y emita respuesta, debiendo observar las excepciones contenidas en la Ley de Transparencia y Acceso a la Información Pública del Estado de México y Municipios.” </w:t>
      </w:r>
    </w:p>
    <w:p w14:paraId="314CF6F6"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g. Notificación de la Resolución del Recurso de Revisión 17389/INFOEM/IP/RR/2022.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treinta de enero</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de dos mil veintitrés</w:t>
      </w:r>
      <w:r w:rsidRPr="00361669">
        <w:rPr>
          <w:rFonts w:ascii="Palatino Linotype" w:eastAsia="Palatino Linotype" w:hAnsi="Palatino Linotype" w:cs="Palatino Linotype"/>
        </w:rPr>
        <w:t xml:space="preserve">, se notificó a las partes la resolución del Medio de Impugnación previamente referido, por medio del Sistema de Acceso a la Información Mexiquense (SAIMEX). </w:t>
      </w:r>
    </w:p>
    <w:p w14:paraId="70AAFE0D" w14:textId="77777777" w:rsidR="00FE0AC2" w:rsidRPr="00361669" w:rsidRDefault="00FE0AC2">
      <w:pPr>
        <w:spacing w:line="360" w:lineRule="auto"/>
        <w:jc w:val="both"/>
        <w:rPr>
          <w:rFonts w:ascii="Palatino Linotype" w:eastAsia="Palatino Linotype" w:hAnsi="Palatino Linotype" w:cs="Palatino Linotype"/>
        </w:rPr>
      </w:pPr>
    </w:p>
    <w:p w14:paraId="6AE12BE3"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h. Acuerdo de Cumplimiento/Incumplimiento del Recurso de Revisión.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 xml:space="preserve">dieciséis </w:t>
      </w:r>
      <w:r w:rsidRPr="00361669">
        <w:rPr>
          <w:rFonts w:ascii="Palatino Linotype" w:eastAsia="Palatino Linotype" w:hAnsi="Palatino Linotype" w:cs="Palatino Linotype"/>
          <w:b/>
          <w:color w:val="000000"/>
        </w:rPr>
        <w:t xml:space="preserve">de febrero </w:t>
      </w:r>
      <w:r w:rsidRPr="00361669">
        <w:rPr>
          <w:rFonts w:ascii="Palatino Linotype" w:eastAsia="Palatino Linotype" w:hAnsi="Palatino Linotype" w:cs="Palatino Linotype"/>
          <w:b/>
        </w:rPr>
        <w:t>de dos mil veintitrés</w:t>
      </w:r>
      <w:r w:rsidRPr="00361669">
        <w:rPr>
          <w:rFonts w:ascii="Palatino Linotype" w:eastAsia="Palatino Linotype" w:hAnsi="Palatino Linotype" w:cs="Palatino Linotype"/>
        </w:rPr>
        <w:t>, la Dirección de Cumplimientos de este Instituto notificó a las partes, el acuerdo de incumplimiento a la resolución del recurso de revisión que se resuelve.</w:t>
      </w:r>
    </w:p>
    <w:p w14:paraId="5B5D8459" w14:textId="77777777" w:rsidR="00FE0AC2" w:rsidRPr="00361669" w:rsidRDefault="00FE0AC2">
      <w:pPr>
        <w:spacing w:line="360" w:lineRule="auto"/>
        <w:jc w:val="both"/>
        <w:rPr>
          <w:rFonts w:ascii="Palatino Linotype" w:eastAsia="Palatino Linotype" w:hAnsi="Palatino Linotype" w:cs="Palatino Linotype"/>
        </w:rPr>
      </w:pPr>
    </w:p>
    <w:p w14:paraId="2DAB1EED" w14:textId="77777777" w:rsidR="00FE0AC2" w:rsidRPr="00361669" w:rsidRDefault="00C3495C">
      <w:pPr>
        <w:ind w:left="567"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quince de febrero de dos mil </w:t>
      </w:r>
      <w:proofErr w:type="spellStart"/>
      <w:r w:rsidRPr="00361669">
        <w:rPr>
          <w:rFonts w:ascii="Palatino Linotype" w:eastAsia="Palatino Linotype" w:hAnsi="Palatino Linotype" w:cs="Palatino Linotype"/>
          <w:i/>
          <w:sz w:val="22"/>
          <w:szCs w:val="22"/>
        </w:rPr>
        <w:t>veintitres</w:t>
      </w:r>
      <w:proofErr w:type="spellEnd"/>
      <w:r w:rsidRPr="00361669">
        <w:rPr>
          <w:rFonts w:ascii="Palatino Linotype" w:eastAsia="Palatino Linotype" w:hAnsi="Palatino Linotype" w:cs="Palatino Linotype"/>
          <w:i/>
          <w:sz w:val="22"/>
          <w:szCs w:val="22"/>
        </w:rPr>
        <w:t xml:space="preserve">, que deriva de la solicitud de información señalada, para su conocimiento y efectos legales procedentes.” (Sic) </w:t>
      </w:r>
    </w:p>
    <w:p w14:paraId="18CE46B6" w14:textId="77777777" w:rsidR="00FE0AC2" w:rsidRPr="00361669" w:rsidRDefault="00FE0AC2">
      <w:pPr>
        <w:spacing w:line="276" w:lineRule="auto"/>
        <w:ind w:left="567" w:right="851"/>
        <w:jc w:val="both"/>
        <w:rPr>
          <w:rFonts w:ascii="Palatino Linotype" w:eastAsia="Palatino Linotype" w:hAnsi="Palatino Linotype" w:cs="Palatino Linotype"/>
          <w:i/>
          <w:sz w:val="22"/>
          <w:szCs w:val="22"/>
        </w:rPr>
      </w:pPr>
    </w:p>
    <w:p w14:paraId="3C7B7B13" w14:textId="77777777" w:rsidR="00FE0AC2" w:rsidRPr="00361669" w:rsidRDefault="00C3495C">
      <w:pPr>
        <w:spacing w:line="276" w:lineRule="auto"/>
        <w:ind w:left="567" w:right="851"/>
        <w:jc w:val="both"/>
        <w:rPr>
          <w:rFonts w:ascii="Palatino Linotype" w:eastAsia="Palatino Linotype" w:hAnsi="Palatino Linotype" w:cs="Palatino Linotype"/>
          <w:b/>
          <w:sz w:val="22"/>
          <w:szCs w:val="22"/>
        </w:rPr>
      </w:pPr>
      <w:r w:rsidRPr="00361669">
        <w:rPr>
          <w:rFonts w:ascii="Palatino Linotype" w:eastAsia="Palatino Linotype" w:hAnsi="Palatino Linotype" w:cs="Palatino Linotype"/>
          <w:b/>
          <w:sz w:val="22"/>
          <w:szCs w:val="22"/>
        </w:rPr>
        <w:t>Archivos adjuntos:</w:t>
      </w:r>
    </w:p>
    <w:p w14:paraId="682D6244" w14:textId="77777777" w:rsidR="00FE0AC2" w:rsidRPr="00361669" w:rsidRDefault="00C3495C">
      <w:pPr>
        <w:spacing w:line="276" w:lineRule="auto"/>
        <w:ind w:left="567" w:right="851"/>
        <w:jc w:val="both"/>
        <w:rPr>
          <w:rFonts w:ascii="Palatino Linotype" w:eastAsia="Palatino Linotype" w:hAnsi="Palatino Linotype" w:cs="Palatino Linotype"/>
        </w:rPr>
      </w:pPr>
      <w:r w:rsidRPr="00361669">
        <w:rPr>
          <w:rFonts w:ascii="Palatino Linotype" w:eastAsia="Palatino Linotype" w:hAnsi="Palatino Linotype" w:cs="Palatino Linotype"/>
          <w:b/>
          <w:i/>
          <w:sz w:val="22"/>
          <w:szCs w:val="22"/>
        </w:rPr>
        <w:t xml:space="preserve">“AI-RR-17389-2022.pdf”: </w:t>
      </w:r>
      <w:r w:rsidRPr="00361669">
        <w:rPr>
          <w:rFonts w:ascii="Palatino Linotype" w:eastAsia="Palatino Linotype" w:hAnsi="Palatino Linotype" w:cs="Palatino Linotype"/>
          <w:sz w:val="22"/>
          <w:szCs w:val="22"/>
        </w:rPr>
        <w:t>Documento de seis fojas que consiste en el acuerdo de incumplimiento.</w:t>
      </w:r>
    </w:p>
    <w:p w14:paraId="301FA6CB" w14:textId="77777777" w:rsidR="00FE0AC2" w:rsidRPr="00361669" w:rsidRDefault="00C3495C">
      <w:pPr>
        <w:spacing w:line="276" w:lineRule="auto"/>
        <w:ind w:left="567" w:right="851"/>
        <w:jc w:val="both"/>
        <w:rPr>
          <w:rFonts w:ascii="Palatino Linotype" w:eastAsia="Palatino Linotype" w:hAnsi="Palatino Linotype" w:cs="Palatino Linotype"/>
        </w:rPr>
      </w:pPr>
      <w:r w:rsidRPr="00361669">
        <w:rPr>
          <w:rFonts w:ascii="Palatino Linotype" w:eastAsia="Palatino Linotype" w:hAnsi="Palatino Linotype" w:cs="Palatino Linotype"/>
          <w:noProof/>
          <w:lang w:eastAsia="es-MX"/>
        </w:rPr>
        <w:lastRenderedPageBreak/>
        <w:drawing>
          <wp:inline distT="0" distB="0" distL="0" distR="0" wp14:anchorId="0D072D2A" wp14:editId="675C50C3">
            <wp:extent cx="4973379" cy="4994882"/>
            <wp:effectExtent l="0" t="0" r="0" b="0"/>
            <wp:docPr id="7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973379" cy="4994882"/>
                    </a:xfrm>
                    <a:prstGeom prst="rect">
                      <a:avLst/>
                    </a:prstGeom>
                    <a:ln/>
                  </pic:spPr>
                </pic:pic>
              </a:graphicData>
            </a:graphic>
          </wp:inline>
        </w:drawing>
      </w:r>
    </w:p>
    <w:p w14:paraId="494E764A" w14:textId="77777777" w:rsidR="00FE0AC2" w:rsidRPr="00361669" w:rsidRDefault="00FE0AC2">
      <w:pPr>
        <w:spacing w:line="276" w:lineRule="auto"/>
        <w:ind w:left="567" w:right="851"/>
        <w:jc w:val="both"/>
        <w:rPr>
          <w:rFonts w:ascii="Palatino Linotype" w:eastAsia="Palatino Linotype" w:hAnsi="Palatino Linotype" w:cs="Palatino Linotype"/>
          <w:b/>
          <w:i/>
          <w:sz w:val="22"/>
          <w:szCs w:val="22"/>
        </w:rPr>
      </w:pPr>
    </w:p>
    <w:p w14:paraId="621CC5BB" w14:textId="77777777" w:rsidR="00FE0AC2" w:rsidRPr="00361669" w:rsidRDefault="00C3495C">
      <w:pPr>
        <w:spacing w:line="276" w:lineRule="auto"/>
        <w:ind w:left="567" w:right="851"/>
        <w:jc w:val="both"/>
        <w:rPr>
          <w:rFonts w:ascii="Palatino Linotype" w:eastAsia="Palatino Linotype" w:hAnsi="Palatino Linotype" w:cs="Palatino Linotype"/>
          <w:sz w:val="22"/>
          <w:szCs w:val="22"/>
        </w:rPr>
      </w:pPr>
      <w:r w:rsidRPr="00361669">
        <w:rPr>
          <w:rFonts w:ascii="Palatino Linotype" w:eastAsia="Palatino Linotype" w:hAnsi="Palatino Linotype" w:cs="Palatino Linotype"/>
          <w:b/>
          <w:i/>
          <w:sz w:val="22"/>
          <w:szCs w:val="22"/>
        </w:rPr>
        <w:t xml:space="preserve">“OFICIO-RR-SJ-17389-2022.pdf”: </w:t>
      </w:r>
      <w:r w:rsidRPr="00361669">
        <w:rPr>
          <w:rFonts w:ascii="Palatino Linotype" w:eastAsia="Palatino Linotype" w:hAnsi="Palatino Linotype" w:cs="Palatino Linotype"/>
          <w:sz w:val="22"/>
          <w:szCs w:val="22"/>
        </w:rPr>
        <w:t>Oficio INFOEM/STP/DC/854/2023, signado por el Director de Cumplimientos, mediante el cual solicita que se notifique al superior jerárquico del responsable de dar cumplimiento a la resolución de mérito, a efecto de que dé cumplimiento a la misma en un periodo no mayor a cinco días hábiles.</w:t>
      </w:r>
    </w:p>
    <w:p w14:paraId="04DA7067" w14:textId="77777777" w:rsidR="00FE0AC2" w:rsidRPr="00361669" w:rsidRDefault="00C3495C">
      <w:pPr>
        <w:spacing w:line="276" w:lineRule="auto"/>
        <w:ind w:left="567" w:right="851"/>
        <w:jc w:val="center"/>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noProof/>
          <w:sz w:val="22"/>
          <w:szCs w:val="22"/>
          <w:lang w:eastAsia="es-MX"/>
        </w:rPr>
        <w:lastRenderedPageBreak/>
        <w:drawing>
          <wp:inline distT="0" distB="0" distL="0" distR="0" wp14:anchorId="5B9344FF" wp14:editId="3BCAC3A7">
            <wp:extent cx="4369644" cy="5136780"/>
            <wp:effectExtent l="0" t="0" r="0" b="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69644" cy="5136780"/>
                    </a:xfrm>
                    <a:prstGeom prst="rect">
                      <a:avLst/>
                    </a:prstGeom>
                    <a:ln/>
                  </pic:spPr>
                </pic:pic>
              </a:graphicData>
            </a:graphic>
          </wp:inline>
        </w:drawing>
      </w:r>
    </w:p>
    <w:p w14:paraId="4B16CE3F"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i. Turno a la Contraloría Interna para Imposición de Medida de Apremio.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 xml:space="preserve">dieciséis </w:t>
      </w:r>
      <w:r w:rsidRPr="00361669">
        <w:rPr>
          <w:rFonts w:ascii="Palatino Linotype" w:eastAsia="Palatino Linotype" w:hAnsi="Palatino Linotype" w:cs="Palatino Linotype"/>
          <w:b/>
          <w:color w:val="000000"/>
        </w:rPr>
        <w:t xml:space="preserve">de febrero de </w:t>
      </w:r>
      <w:r w:rsidRPr="00361669">
        <w:rPr>
          <w:rFonts w:ascii="Palatino Linotype" w:eastAsia="Palatino Linotype" w:hAnsi="Palatino Linotype" w:cs="Palatino Linotype"/>
          <w:b/>
        </w:rPr>
        <w:t>dos mil veintitrés</w:t>
      </w:r>
      <w:r w:rsidRPr="00361669">
        <w:rPr>
          <w:rFonts w:ascii="Palatino Linotype" w:eastAsia="Palatino Linotype" w:hAnsi="Palatino Linotype" w:cs="Palatino Linotype"/>
        </w:rPr>
        <w:t xml:space="preserve">, se notificó al Titular del Órgano de Control Interno, el oficio INFOEM/STP/DC/853/2023, de fecha primero de noviembre de dos mil veintidós, mediante el cual, el Director de Cumplimientos hace del conocimiento del Contralor que se emitió un incumplimiento al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para efecto de que en ejercicio de sus atribuciones, se impongan las medidas de apremio que conforme a derecho procedan.</w:t>
      </w:r>
    </w:p>
    <w:p w14:paraId="44F334E2" w14:textId="77777777" w:rsidR="00FE0AC2" w:rsidRPr="00361669" w:rsidRDefault="00C3495C">
      <w:pPr>
        <w:spacing w:line="360" w:lineRule="auto"/>
        <w:jc w:val="center"/>
        <w:rPr>
          <w:rFonts w:ascii="Palatino Linotype" w:eastAsia="Palatino Linotype" w:hAnsi="Palatino Linotype" w:cs="Palatino Linotype"/>
        </w:rPr>
      </w:pPr>
      <w:r w:rsidRPr="00361669">
        <w:rPr>
          <w:rFonts w:ascii="Palatino Linotype" w:eastAsia="Palatino Linotype" w:hAnsi="Palatino Linotype" w:cs="Palatino Linotype"/>
          <w:noProof/>
          <w:lang w:eastAsia="es-MX"/>
        </w:rPr>
        <w:lastRenderedPageBreak/>
        <w:drawing>
          <wp:inline distT="0" distB="0" distL="0" distR="0" wp14:anchorId="6CC0AF6A" wp14:editId="371655DE">
            <wp:extent cx="5297375" cy="6194837"/>
            <wp:effectExtent l="0" t="0" r="0" b="0"/>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297375" cy="6194837"/>
                    </a:xfrm>
                    <a:prstGeom prst="rect">
                      <a:avLst/>
                    </a:prstGeom>
                    <a:ln/>
                  </pic:spPr>
                </pic:pic>
              </a:graphicData>
            </a:graphic>
          </wp:inline>
        </w:drawing>
      </w:r>
    </w:p>
    <w:p w14:paraId="41408E74" w14:textId="77777777" w:rsidR="00FE0AC2" w:rsidRPr="00361669" w:rsidRDefault="00FE0AC2">
      <w:pPr>
        <w:spacing w:line="360" w:lineRule="auto"/>
        <w:jc w:val="both"/>
        <w:rPr>
          <w:rFonts w:ascii="Palatino Linotype" w:eastAsia="Palatino Linotype" w:hAnsi="Palatino Linotype" w:cs="Palatino Linotype"/>
        </w:rPr>
      </w:pPr>
    </w:p>
    <w:p w14:paraId="64A5D580"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5. Interposición del Segundo Recurso de Revisión </w:t>
      </w:r>
      <w:r w:rsidRPr="00361669">
        <w:rPr>
          <w:rFonts w:ascii="Palatino Linotype" w:eastAsia="Palatino Linotype" w:hAnsi="Palatino Linotype" w:cs="Palatino Linotype"/>
          <w:b/>
          <w:sz w:val="22"/>
          <w:szCs w:val="22"/>
        </w:rPr>
        <w:t>17389/INFOEM/ICR-127/IP/RR/2022</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veinte de febrero de dos mil veintitrés</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la parte</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 xml:space="preserve">Recurrente </w:t>
      </w:r>
      <w:r w:rsidRPr="00361669">
        <w:rPr>
          <w:rFonts w:ascii="Palatino Linotype" w:eastAsia="Palatino Linotype" w:hAnsi="Palatino Linotype" w:cs="Palatino Linotype"/>
        </w:rPr>
        <w:lastRenderedPageBreak/>
        <w:t xml:space="preserve">interpuso Recurso de Revisión en este Instituto, a través del Sistema de Acceso a la Información Mexiquense (SAIMEX), en contra de la falta de respuesta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en cumplimiento a la resolución referida en el antecedente 4, expresando las siguientes manifestaciones:</w:t>
      </w:r>
    </w:p>
    <w:p w14:paraId="48FC75C7" w14:textId="77777777" w:rsidR="00FE0AC2" w:rsidRPr="00361669" w:rsidRDefault="00C3495C">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361669">
        <w:rPr>
          <w:rFonts w:ascii="Palatino Linotype" w:eastAsia="Palatino Linotype" w:hAnsi="Palatino Linotype" w:cs="Palatino Linotype"/>
          <w:b/>
          <w:color w:val="000000"/>
        </w:rPr>
        <w:t>Acto Impugnado</w:t>
      </w:r>
    </w:p>
    <w:p w14:paraId="183F2AD0" w14:textId="77777777" w:rsidR="00FE0AC2" w:rsidRPr="00361669" w:rsidRDefault="00C3495C">
      <w:pPr>
        <w:ind w:left="567" w:right="1013"/>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“NO ENTREGA INFORMACIÓN” (Sic.)</w:t>
      </w:r>
    </w:p>
    <w:p w14:paraId="4A5A2708" w14:textId="77777777" w:rsidR="00FE0AC2" w:rsidRPr="00361669" w:rsidRDefault="00FE0AC2">
      <w:pPr>
        <w:spacing w:line="360" w:lineRule="auto"/>
        <w:ind w:left="567" w:right="567"/>
        <w:jc w:val="both"/>
        <w:rPr>
          <w:rFonts w:ascii="Palatino Linotype" w:eastAsia="Palatino Linotype" w:hAnsi="Palatino Linotype" w:cs="Palatino Linotype"/>
          <w:i/>
        </w:rPr>
      </w:pPr>
    </w:p>
    <w:p w14:paraId="7F9843F4" w14:textId="77777777" w:rsidR="00FE0AC2" w:rsidRPr="00361669" w:rsidRDefault="00C3495C">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rPr>
      </w:pPr>
      <w:r w:rsidRPr="00361669">
        <w:rPr>
          <w:rFonts w:ascii="Palatino Linotype" w:eastAsia="Palatino Linotype" w:hAnsi="Palatino Linotype" w:cs="Palatino Linotype"/>
          <w:b/>
          <w:color w:val="000000"/>
        </w:rPr>
        <w:t>Razones o Motivos de la Inconformidad</w:t>
      </w:r>
    </w:p>
    <w:p w14:paraId="0F73F6FB" w14:textId="77777777" w:rsidR="00FE0AC2" w:rsidRPr="00361669" w:rsidRDefault="00C3495C">
      <w:pPr>
        <w:spacing w:line="276" w:lineRule="auto"/>
        <w:ind w:left="567" w:right="567"/>
        <w:jc w:val="both"/>
        <w:rPr>
          <w:rFonts w:ascii="Palatino Linotype" w:eastAsia="Palatino Linotype" w:hAnsi="Palatino Linotype" w:cs="Palatino Linotype"/>
          <w:sz w:val="22"/>
          <w:szCs w:val="22"/>
        </w:rPr>
      </w:pPr>
      <w:r w:rsidRPr="00361669">
        <w:rPr>
          <w:rFonts w:ascii="Palatino Linotype" w:eastAsia="Palatino Linotype" w:hAnsi="Palatino Linotype" w:cs="Palatino Linotype"/>
          <w:i/>
          <w:sz w:val="22"/>
          <w:szCs w:val="22"/>
        </w:rPr>
        <w:t>“NO ENTREGA INFORMACIÓN” (Sic)</w:t>
      </w:r>
    </w:p>
    <w:p w14:paraId="6ED6C117" w14:textId="77777777" w:rsidR="00FE0AC2" w:rsidRPr="00361669" w:rsidRDefault="00FE0AC2">
      <w:pPr>
        <w:widowControl w:val="0"/>
        <w:spacing w:line="360" w:lineRule="auto"/>
        <w:jc w:val="both"/>
        <w:rPr>
          <w:rFonts w:ascii="Palatino Linotype" w:eastAsia="Palatino Linotype" w:hAnsi="Palatino Linotype" w:cs="Palatino Linotype"/>
          <w:b/>
        </w:rPr>
      </w:pPr>
    </w:p>
    <w:p w14:paraId="3FBA7B41" w14:textId="77777777" w:rsidR="00FE0AC2" w:rsidRPr="00361669" w:rsidRDefault="00C3495C">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b/>
          <w:color w:val="000000"/>
        </w:rPr>
        <w:t xml:space="preserve">6. </w:t>
      </w:r>
      <w:r w:rsidRPr="00361669">
        <w:rPr>
          <w:rFonts w:ascii="Palatino Linotype" w:eastAsia="Palatino Linotype" w:hAnsi="Palatino Linotype" w:cs="Palatino Linotype"/>
          <w:b/>
        </w:rPr>
        <w:t>Trámite del Recurso de Revisión con número 17389/INFOEM/ICR-127/IP/RR/2022 ante el Instituto.</w:t>
      </w:r>
    </w:p>
    <w:p w14:paraId="701735AA" w14:textId="77777777" w:rsidR="00FE0AC2" w:rsidRPr="00361669" w:rsidRDefault="00FE0AC2">
      <w:pPr>
        <w:spacing w:line="360" w:lineRule="auto"/>
        <w:jc w:val="both"/>
        <w:rPr>
          <w:rFonts w:ascii="Palatino Linotype" w:eastAsia="Palatino Linotype" w:hAnsi="Palatino Linotype" w:cs="Palatino Linotype"/>
          <w:b/>
        </w:rPr>
      </w:pPr>
    </w:p>
    <w:p w14:paraId="4572BEC8"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a) Turno del Recurso de Revisión.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veinte de febrero de dos mil veintitrés</w:t>
      </w:r>
      <w:r w:rsidRPr="00361669">
        <w:rPr>
          <w:rFonts w:ascii="Palatino Linotype" w:eastAsia="Palatino Linotype" w:hAnsi="Palatino Linotype" w:cs="Palatino Linotype"/>
        </w:rPr>
        <w:t xml:space="preserve">, el Sistema de Acceso a la Información Mexiquense (SAIMEX), asignó el número de expediente </w:t>
      </w:r>
      <w:r w:rsidRPr="00361669">
        <w:rPr>
          <w:rFonts w:ascii="Palatino Linotype" w:eastAsia="Palatino Linotype" w:hAnsi="Palatino Linotype" w:cs="Palatino Linotype"/>
          <w:b/>
        </w:rPr>
        <w:t xml:space="preserve">17389/INFOEM/ICR-127/IP/RR/2022, </w:t>
      </w:r>
      <w:r w:rsidRPr="00361669">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361669">
        <w:rPr>
          <w:rFonts w:ascii="Palatino Linotype" w:eastAsia="Palatino Linotype" w:hAnsi="Palatino Linotype" w:cs="Palatino Linotype"/>
          <w:b/>
        </w:rPr>
        <w:t>Comisionada Ponente Guadalupe Ramírez Peña</w:t>
      </w:r>
      <w:r w:rsidRPr="00361669">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5E0DDA97" w14:textId="77777777" w:rsidR="00FE0AC2" w:rsidRPr="00361669" w:rsidRDefault="00FE0AC2">
      <w:pPr>
        <w:spacing w:line="360" w:lineRule="auto"/>
        <w:jc w:val="both"/>
        <w:rPr>
          <w:rFonts w:ascii="Palatino Linotype" w:eastAsia="Palatino Linotype" w:hAnsi="Palatino Linotype" w:cs="Palatino Linotype"/>
        </w:rPr>
      </w:pPr>
    </w:p>
    <w:p w14:paraId="5487CE30" w14:textId="77777777" w:rsidR="00FE0AC2" w:rsidRPr="00361669" w:rsidRDefault="00C3495C">
      <w:pPr>
        <w:spacing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 xml:space="preserve">b) Admisión del Recurso de Revisión. </w:t>
      </w:r>
      <w:r w:rsidRPr="00361669">
        <w:rPr>
          <w:rFonts w:ascii="Palatino Linotype" w:eastAsia="Palatino Linotype" w:hAnsi="Palatino Linotype" w:cs="Palatino Linotype"/>
        </w:rPr>
        <w:t xml:space="preserve">El </w:t>
      </w:r>
      <w:r w:rsidRPr="00361669">
        <w:rPr>
          <w:rFonts w:ascii="Palatino Linotype" w:eastAsia="Palatino Linotype" w:hAnsi="Palatino Linotype" w:cs="Palatino Linotype"/>
          <w:b/>
        </w:rPr>
        <w:t>veintitrés de febrero de dos mil veintitrés</w:t>
      </w:r>
      <w:r w:rsidRPr="00361669">
        <w:rPr>
          <w:rFonts w:ascii="Palatino Linotype" w:eastAsia="Palatino Linotype" w:hAnsi="Palatino Linotype" w:cs="Palatino Linotype"/>
        </w:rPr>
        <w:t>, se acordó la admisión del Recurso de Revisión interpuesto por la parte</w:t>
      </w:r>
      <w:r w:rsidRPr="00361669">
        <w:rPr>
          <w:rFonts w:ascii="Palatino Linotype" w:eastAsia="Palatino Linotype" w:hAnsi="Palatino Linotype" w:cs="Palatino Linotype"/>
          <w:b/>
        </w:rPr>
        <w:t xml:space="preserve"> Recurrente</w:t>
      </w:r>
      <w:r w:rsidRPr="00361669">
        <w:rPr>
          <w:rFonts w:ascii="Palatino Linotype" w:eastAsia="Palatino Linotype" w:hAnsi="Palatino Linotype" w:cs="Palatino Linotype"/>
        </w:rPr>
        <w:t xml:space="preserve"> en contra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en términos del artículo 185, fracciones </w:t>
      </w:r>
      <w:r w:rsidRPr="00361669">
        <w:rPr>
          <w:rFonts w:ascii="Palatino Linotype" w:eastAsia="Palatino Linotype" w:hAnsi="Palatino Linotype" w:cs="Palatino Linotype"/>
        </w:rPr>
        <w:lastRenderedPageBreak/>
        <w:t>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361669">
        <w:rPr>
          <w:rFonts w:ascii="Palatino Linotype" w:eastAsia="Palatino Linotype" w:hAnsi="Palatino Linotype" w:cs="Palatino Linotype"/>
          <w:b/>
        </w:rPr>
        <w:t xml:space="preserve"> </w:t>
      </w:r>
    </w:p>
    <w:p w14:paraId="78FDE086" w14:textId="77777777" w:rsidR="00FE0AC2" w:rsidRPr="00361669" w:rsidRDefault="00FE0AC2">
      <w:pPr>
        <w:spacing w:line="360" w:lineRule="auto"/>
        <w:jc w:val="both"/>
        <w:rPr>
          <w:rFonts w:ascii="Palatino Linotype" w:eastAsia="Palatino Linotype" w:hAnsi="Palatino Linotype" w:cs="Palatino Linotype"/>
          <w:b/>
        </w:rPr>
      </w:pPr>
    </w:p>
    <w:p w14:paraId="3E9B73C2" w14:textId="77777777" w:rsidR="00FE0AC2" w:rsidRPr="00361669" w:rsidRDefault="00C3495C">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b/>
        </w:rPr>
        <w:t xml:space="preserve">7. Manifestaciones o Informe Justificado. </w:t>
      </w:r>
      <w:r w:rsidRPr="00361669">
        <w:rPr>
          <w:rFonts w:ascii="Palatino Linotype" w:eastAsia="Palatino Linotype" w:hAnsi="Palatino Linotype" w:cs="Palatino Linotype"/>
        </w:rPr>
        <w:t xml:space="preserve">De las constancias del expediente electrónico del SAIMEX, se observa que las partes fueron omisas para emitir su informe justificado, alegatos o cualquier tipo de manifestaciones que a su derecho conviniera, </w:t>
      </w:r>
      <w:r w:rsidRPr="00361669">
        <w:rPr>
          <w:rFonts w:ascii="Palatino Linotype" w:eastAsia="Palatino Linotype" w:hAnsi="Palatino Linotype" w:cs="Palatino Linotype"/>
          <w:color w:val="000000"/>
        </w:rPr>
        <w:t xml:space="preserve"> por lo que se tiene por precluido su derecho para tal efecto.</w:t>
      </w:r>
    </w:p>
    <w:p w14:paraId="6CB4B5B6"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noProof/>
          <w:lang w:eastAsia="es-MX"/>
        </w:rPr>
        <w:drawing>
          <wp:inline distT="0" distB="0" distL="0" distR="0" wp14:anchorId="6EE8EFE6" wp14:editId="79484AFB">
            <wp:extent cx="5581015" cy="1402080"/>
            <wp:effectExtent l="0" t="0" r="0" b="0"/>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581015" cy="1402080"/>
                    </a:xfrm>
                    <a:prstGeom prst="rect">
                      <a:avLst/>
                    </a:prstGeom>
                    <a:ln/>
                  </pic:spPr>
                </pic:pic>
              </a:graphicData>
            </a:graphic>
          </wp:inline>
        </w:drawing>
      </w:r>
    </w:p>
    <w:p w14:paraId="6BABF7F5"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 </w:t>
      </w:r>
    </w:p>
    <w:p w14:paraId="3F54611F"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8. Cierre de instrucción.</w:t>
      </w:r>
      <w:r w:rsidRPr="00361669">
        <w:rPr>
          <w:rFonts w:ascii="Palatino Linotype" w:eastAsia="Palatino Linotype" w:hAnsi="Palatino Linotype" w:cs="Palatino Linotype"/>
        </w:rPr>
        <w:t xml:space="preserve"> El </w:t>
      </w:r>
      <w:r w:rsidRPr="00361669">
        <w:rPr>
          <w:rFonts w:ascii="Palatino Linotype" w:eastAsia="Palatino Linotype" w:hAnsi="Palatino Linotype" w:cs="Palatino Linotype"/>
          <w:b/>
        </w:rPr>
        <w:t>diez de abril de dos mil veintitrés</w:t>
      </w:r>
      <w:r w:rsidRPr="00361669">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14:paraId="231ECA7D" w14:textId="77777777" w:rsidR="00FE0AC2" w:rsidRPr="00361669" w:rsidRDefault="00C3495C">
      <w:pPr>
        <w:pBdr>
          <w:top w:val="nil"/>
          <w:left w:val="nil"/>
          <w:bottom w:val="nil"/>
          <w:right w:val="nil"/>
          <w:between w:val="nil"/>
        </w:pBdr>
        <w:spacing w:before="240" w:after="240" w:line="360" w:lineRule="auto"/>
        <w:jc w:val="both"/>
      </w:pPr>
      <w:r w:rsidRPr="00361669">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 </w:t>
      </w:r>
    </w:p>
    <w:p w14:paraId="6F4AEA49" w14:textId="77777777" w:rsidR="00FE0AC2" w:rsidRPr="00361669" w:rsidRDefault="00C3495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61669">
        <w:rPr>
          <w:rFonts w:ascii="Palatino Linotype" w:eastAsia="Palatino Linotype" w:hAnsi="Palatino Linotype" w:cs="Palatino Linotype"/>
          <w:b/>
        </w:rPr>
        <w:t>II. C O N S I D E R A N D O S</w:t>
      </w:r>
    </w:p>
    <w:p w14:paraId="280ADA4C"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Primero. Competencia.</w:t>
      </w:r>
      <w:r w:rsidRPr="0036166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61669">
        <w:rPr>
          <w:rFonts w:ascii="Palatino Linotype" w:eastAsia="Palatino Linotype" w:hAnsi="Palatino Linotype" w:cs="Palatino Linotype"/>
          <w:b/>
        </w:rPr>
        <w:t>la parte</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Recurrente</w:t>
      </w:r>
      <w:r w:rsidRPr="00361669">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3655F1D"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Segundo. Oportunidad y Procedibilidad. </w:t>
      </w:r>
      <w:r w:rsidRPr="00361669">
        <w:rPr>
          <w:rFonts w:ascii="Palatino Linotype" w:eastAsia="Palatino Linotype" w:hAnsi="Palatino Linotype" w:cs="Palatino Linotype"/>
        </w:rPr>
        <w:t>Es de precisar que la</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2FEBCA5" w14:textId="77777777" w:rsidR="00FE0AC2" w:rsidRPr="00361669" w:rsidRDefault="00FE0AC2">
      <w:pPr>
        <w:spacing w:line="360" w:lineRule="auto"/>
        <w:jc w:val="both"/>
        <w:rPr>
          <w:rFonts w:ascii="Palatino Linotype" w:eastAsia="Palatino Linotype" w:hAnsi="Palatino Linotype" w:cs="Palatino Linotype"/>
        </w:rPr>
      </w:pPr>
    </w:p>
    <w:p w14:paraId="2197C901" w14:textId="77777777" w:rsidR="00FE0AC2" w:rsidRPr="00361669" w:rsidRDefault="00C3495C">
      <w:pPr>
        <w:spacing w:line="276" w:lineRule="auto"/>
        <w:ind w:left="851" w:right="851"/>
        <w:jc w:val="both"/>
        <w:rPr>
          <w:rFonts w:ascii="Palatino Linotype" w:eastAsia="Palatino Linotype" w:hAnsi="Palatino Linotype" w:cs="Palatino Linotype"/>
          <w:i/>
        </w:rPr>
      </w:pPr>
      <w:r w:rsidRPr="00361669">
        <w:rPr>
          <w:rFonts w:ascii="Palatino Linotype" w:eastAsia="Palatino Linotype" w:hAnsi="Palatino Linotype" w:cs="Palatino Linotype"/>
          <w:i/>
          <w:sz w:val="22"/>
          <w:szCs w:val="22"/>
        </w:rPr>
        <w:t>“</w:t>
      </w:r>
      <w:r w:rsidRPr="00361669">
        <w:rPr>
          <w:rFonts w:ascii="Palatino Linotype" w:eastAsia="Palatino Linotype" w:hAnsi="Palatino Linotype" w:cs="Palatino Linotype"/>
          <w:b/>
          <w:i/>
          <w:sz w:val="22"/>
          <w:szCs w:val="22"/>
        </w:rPr>
        <w:t xml:space="preserve">Artículo 163. </w:t>
      </w:r>
      <w:r w:rsidRPr="0036166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706F4A4" w14:textId="77777777" w:rsidR="00FE0AC2" w:rsidRPr="00361669" w:rsidRDefault="00C3495C">
      <w:pPr>
        <w:spacing w:line="276" w:lineRule="auto"/>
        <w:ind w:left="851" w:right="851"/>
        <w:jc w:val="both"/>
        <w:rPr>
          <w:rFonts w:ascii="Palatino Linotype" w:eastAsia="Palatino Linotype" w:hAnsi="Palatino Linotype" w:cs="Palatino Linotype"/>
          <w:i/>
        </w:rPr>
      </w:pPr>
      <w:r w:rsidRPr="00361669">
        <w:rPr>
          <w:rFonts w:ascii="Palatino Linotype" w:eastAsia="Palatino Linotype" w:hAnsi="Palatino Linotype" w:cs="Palatino Linotype"/>
          <w:i/>
          <w:sz w:val="22"/>
          <w:szCs w:val="22"/>
        </w:rPr>
        <w:lastRenderedPageBreak/>
        <w:t>…</w:t>
      </w:r>
    </w:p>
    <w:p w14:paraId="40E42A25" w14:textId="77777777" w:rsidR="00FE0AC2" w:rsidRPr="00361669" w:rsidRDefault="00C3495C">
      <w:pPr>
        <w:spacing w:line="276" w:lineRule="auto"/>
        <w:ind w:left="851" w:right="851"/>
        <w:jc w:val="both"/>
        <w:rPr>
          <w:rFonts w:ascii="Palatino Linotype" w:eastAsia="Palatino Linotype" w:hAnsi="Palatino Linotype" w:cs="Palatino Linotype"/>
          <w:i/>
        </w:rPr>
      </w:pPr>
      <w:r w:rsidRPr="00361669">
        <w:rPr>
          <w:rFonts w:ascii="Palatino Linotype" w:eastAsia="Palatino Linotype" w:hAnsi="Palatino Linotype" w:cs="Palatino Linotype"/>
          <w:b/>
          <w:i/>
          <w:sz w:val="22"/>
          <w:szCs w:val="22"/>
        </w:rPr>
        <w:t>Artículo 166.</w:t>
      </w:r>
      <w:r w:rsidRPr="00361669">
        <w:rPr>
          <w:rFonts w:ascii="Palatino Linotype" w:eastAsia="Palatino Linotype" w:hAnsi="Palatino Linotype" w:cs="Palatino Linotype"/>
          <w:i/>
          <w:sz w:val="22"/>
          <w:szCs w:val="22"/>
        </w:rPr>
        <w:t xml:space="preserve"> […]</w:t>
      </w:r>
    </w:p>
    <w:p w14:paraId="0C319CDE" w14:textId="77777777" w:rsidR="00FE0AC2" w:rsidRPr="00361669" w:rsidRDefault="00C3495C">
      <w:pPr>
        <w:spacing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65BB8CD" w14:textId="77777777" w:rsidR="00FE0AC2" w:rsidRPr="00361669" w:rsidRDefault="00FE0AC2">
      <w:pPr>
        <w:spacing w:line="276" w:lineRule="auto"/>
        <w:ind w:left="851" w:right="851"/>
        <w:jc w:val="both"/>
        <w:rPr>
          <w:rFonts w:ascii="Palatino Linotype" w:eastAsia="Palatino Linotype" w:hAnsi="Palatino Linotype" w:cs="Palatino Linotype"/>
          <w:i/>
        </w:rPr>
      </w:pPr>
    </w:p>
    <w:p w14:paraId="67CD8D9A"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53BE33D2" w14:textId="77777777" w:rsidR="00FE0AC2" w:rsidRPr="00361669" w:rsidRDefault="00FE0AC2">
      <w:pPr>
        <w:spacing w:line="360" w:lineRule="auto"/>
        <w:jc w:val="both"/>
        <w:rPr>
          <w:rFonts w:ascii="Palatino Linotype" w:eastAsia="Palatino Linotype" w:hAnsi="Palatino Linotype" w:cs="Palatino Linotype"/>
        </w:rPr>
      </w:pPr>
    </w:p>
    <w:p w14:paraId="42D6E830"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9965EAA" w14:textId="77777777" w:rsidR="00FE0AC2" w:rsidRPr="00361669" w:rsidRDefault="00FE0AC2">
      <w:pPr>
        <w:spacing w:line="360" w:lineRule="auto"/>
        <w:jc w:val="both"/>
        <w:rPr>
          <w:rFonts w:ascii="Palatino Linotype" w:eastAsia="Palatino Linotype" w:hAnsi="Palatino Linotype" w:cs="Palatino Linotype"/>
        </w:rPr>
      </w:pPr>
    </w:p>
    <w:p w14:paraId="28BA88CF"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Por su parte, el artículo 178 del citado ordenamiento, establece:</w:t>
      </w:r>
    </w:p>
    <w:p w14:paraId="171F3A01" w14:textId="77777777" w:rsidR="00FE0AC2" w:rsidRPr="00361669" w:rsidRDefault="00FE0AC2">
      <w:pPr>
        <w:spacing w:line="360" w:lineRule="auto"/>
        <w:jc w:val="both"/>
        <w:rPr>
          <w:rFonts w:ascii="Palatino Linotype" w:eastAsia="Palatino Linotype" w:hAnsi="Palatino Linotype" w:cs="Palatino Linotype"/>
          <w:i/>
        </w:rPr>
      </w:pPr>
    </w:p>
    <w:p w14:paraId="2400F2CF" w14:textId="77777777" w:rsidR="00FE0AC2" w:rsidRPr="00361669" w:rsidRDefault="00C3495C">
      <w:pPr>
        <w:spacing w:line="276" w:lineRule="auto"/>
        <w:ind w:left="567" w:right="616"/>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i/>
          <w:sz w:val="22"/>
          <w:szCs w:val="22"/>
        </w:rPr>
        <w:t>“</w:t>
      </w:r>
      <w:r w:rsidRPr="00361669">
        <w:rPr>
          <w:rFonts w:ascii="Palatino Linotype" w:eastAsia="Palatino Linotype" w:hAnsi="Palatino Linotype" w:cs="Palatino Linotype"/>
          <w:b/>
          <w:i/>
          <w:sz w:val="22"/>
          <w:szCs w:val="22"/>
        </w:rPr>
        <w:t xml:space="preserve">Artículo 178. </w:t>
      </w:r>
      <w:r w:rsidRPr="0036166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61669">
        <w:rPr>
          <w:rFonts w:ascii="Palatino Linotype" w:eastAsia="Palatino Linotype" w:hAnsi="Palatino Linotype" w:cs="Palatino Linotype"/>
          <w:b/>
          <w:i/>
          <w:sz w:val="22"/>
          <w:szCs w:val="22"/>
        </w:rPr>
        <w:t>.</w:t>
      </w:r>
    </w:p>
    <w:p w14:paraId="536FBCC0" w14:textId="77777777" w:rsidR="00FE0AC2" w:rsidRPr="00361669" w:rsidRDefault="00FE0AC2">
      <w:pPr>
        <w:spacing w:line="276" w:lineRule="auto"/>
        <w:ind w:left="567" w:right="616"/>
        <w:jc w:val="both"/>
        <w:rPr>
          <w:rFonts w:ascii="Palatino Linotype" w:eastAsia="Palatino Linotype" w:hAnsi="Palatino Linotype" w:cs="Palatino Linotype"/>
          <w:b/>
          <w:i/>
          <w:sz w:val="22"/>
          <w:szCs w:val="22"/>
        </w:rPr>
      </w:pPr>
    </w:p>
    <w:p w14:paraId="00A8EB85" w14:textId="77777777" w:rsidR="00FE0AC2" w:rsidRPr="00361669" w:rsidRDefault="00C3495C">
      <w:pPr>
        <w:spacing w:line="276" w:lineRule="auto"/>
        <w:ind w:left="567" w:right="616"/>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w:t>
      </w:r>
      <w:r w:rsidRPr="00361669">
        <w:t xml:space="preserve"> </w:t>
      </w:r>
      <w:r w:rsidRPr="00361669">
        <w:rPr>
          <w:rFonts w:ascii="Palatino Linotype" w:eastAsia="Palatino Linotype" w:hAnsi="Palatino Linotype" w:cs="Palatino Linotype"/>
          <w:i/>
          <w:sz w:val="22"/>
          <w:szCs w:val="22"/>
        </w:rPr>
        <w:t>acompañado con el documento que pruebe la fecha en que presentó la solicitud</w:t>
      </w:r>
      <w:r w:rsidRPr="00361669">
        <w:rPr>
          <w:rFonts w:ascii="Palatino Linotype" w:eastAsia="Palatino Linotype" w:hAnsi="Palatino Linotype" w:cs="Palatino Linotype"/>
          <w:b/>
          <w:i/>
          <w:sz w:val="22"/>
          <w:szCs w:val="22"/>
        </w:rPr>
        <w:t>.”</w:t>
      </w:r>
    </w:p>
    <w:p w14:paraId="6B5FF1A8" w14:textId="77777777" w:rsidR="00FE0AC2" w:rsidRPr="00361669" w:rsidRDefault="00FE0AC2">
      <w:pPr>
        <w:spacing w:line="360" w:lineRule="auto"/>
        <w:ind w:left="851" w:right="851"/>
        <w:jc w:val="both"/>
        <w:rPr>
          <w:rFonts w:ascii="Palatino Linotype" w:eastAsia="Palatino Linotype" w:hAnsi="Palatino Linotype" w:cs="Palatino Linotype"/>
          <w:i/>
        </w:rPr>
      </w:pPr>
    </w:p>
    <w:p w14:paraId="5AC6978B"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361669">
        <w:rPr>
          <w:rFonts w:ascii="Palatino Linotype" w:eastAsia="Palatino Linotype" w:hAnsi="Palatino Linotype" w:cs="Palatino Linotype"/>
          <w:b/>
        </w:rPr>
        <w:t xml:space="preserve">Sujeto Obligado </w:t>
      </w:r>
      <w:r w:rsidRPr="0036166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61669">
        <w:rPr>
          <w:rFonts w:ascii="Palatino Linotype" w:eastAsia="Palatino Linotype" w:hAnsi="Palatino Linotype" w:cs="Palatino Linotype"/>
          <w:b/>
          <w:u w:val="single"/>
        </w:rPr>
        <w:t>la interposición del recurso de revisión puede ser en cualquier momento.</w:t>
      </w:r>
    </w:p>
    <w:p w14:paraId="0FB088E4" w14:textId="77777777" w:rsidR="00FE0AC2" w:rsidRPr="00361669" w:rsidRDefault="00FE0AC2">
      <w:pPr>
        <w:spacing w:line="360" w:lineRule="auto"/>
        <w:jc w:val="both"/>
        <w:rPr>
          <w:rFonts w:ascii="Palatino Linotype" w:eastAsia="Palatino Linotype" w:hAnsi="Palatino Linotype" w:cs="Palatino Linotype"/>
        </w:rPr>
      </w:pPr>
    </w:p>
    <w:p w14:paraId="02803AB2"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La negativa ficta constituye una presunción legal, en el entendido de que donde no hubo respuesta por parte del </w:t>
      </w:r>
      <w:r w:rsidRPr="00361669">
        <w:rPr>
          <w:rFonts w:ascii="Palatino Linotype" w:eastAsia="Palatino Linotype" w:hAnsi="Palatino Linotype" w:cs="Palatino Linotype"/>
          <w:b/>
        </w:rPr>
        <w:t xml:space="preserve">Sujeto Obligado </w:t>
      </w:r>
      <w:r w:rsidRPr="0036166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C58640F" w14:textId="77777777" w:rsidR="00FE0AC2" w:rsidRPr="00361669" w:rsidRDefault="00FE0AC2">
      <w:pPr>
        <w:spacing w:line="360" w:lineRule="auto"/>
        <w:jc w:val="both"/>
        <w:rPr>
          <w:rFonts w:ascii="Palatino Linotype" w:eastAsia="Palatino Linotype" w:hAnsi="Palatino Linotype" w:cs="Palatino Linotype"/>
        </w:rPr>
      </w:pPr>
    </w:p>
    <w:p w14:paraId="36033911"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w:t>
      </w:r>
      <w:r w:rsidRPr="00361669">
        <w:rPr>
          <w:rFonts w:ascii="Palatino Linotype" w:eastAsia="Palatino Linotype" w:hAnsi="Palatino Linotype" w:cs="Palatino Linotype"/>
        </w:rPr>
        <w:lastRenderedPageBreak/>
        <w:t xml:space="preserve">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61669">
        <w:rPr>
          <w:rFonts w:ascii="Palatino Linotype" w:eastAsia="Palatino Linotype" w:hAnsi="Palatino Linotype" w:cs="Palatino Linotype"/>
        </w:rPr>
        <w:t>desechamiento</w:t>
      </w:r>
      <w:proofErr w:type="spellEnd"/>
      <w:r w:rsidRPr="00361669">
        <w:rPr>
          <w:rFonts w:ascii="Palatino Linotype" w:eastAsia="Palatino Linotype" w:hAnsi="Palatino Linotype" w:cs="Palatino Linotype"/>
        </w:rPr>
        <w:t xml:space="preserve"> del mismo.</w:t>
      </w:r>
    </w:p>
    <w:p w14:paraId="34B112B0" w14:textId="77777777" w:rsidR="00FE0AC2" w:rsidRPr="00361669" w:rsidRDefault="00FE0AC2">
      <w:pPr>
        <w:spacing w:line="360" w:lineRule="auto"/>
        <w:jc w:val="both"/>
        <w:rPr>
          <w:rFonts w:ascii="Palatino Linotype" w:eastAsia="Palatino Linotype" w:hAnsi="Palatino Linotype" w:cs="Palatino Linotype"/>
        </w:rPr>
      </w:pPr>
    </w:p>
    <w:p w14:paraId="0826CC79"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37EEBF6" w14:textId="77777777" w:rsidR="00FE0AC2" w:rsidRPr="00361669" w:rsidRDefault="00FE0AC2">
      <w:pPr>
        <w:spacing w:line="276" w:lineRule="auto"/>
        <w:jc w:val="both"/>
        <w:rPr>
          <w:rFonts w:ascii="Palatino Linotype" w:eastAsia="Palatino Linotype" w:hAnsi="Palatino Linotype" w:cs="Palatino Linotype"/>
          <w:i/>
        </w:rPr>
      </w:pPr>
    </w:p>
    <w:p w14:paraId="472F2A70" w14:textId="77777777" w:rsidR="00FE0AC2" w:rsidRPr="00361669" w:rsidRDefault="00C3495C">
      <w:pPr>
        <w:tabs>
          <w:tab w:val="left" w:pos="1276"/>
        </w:tabs>
        <w:spacing w:line="276" w:lineRule="auto"/>
        <w:ind w:left="567" w:right="616"/>
        <w:jc w:val="both"/>
        <w:rPr>
          <w:rFonts w:ascii="Palatino Linotype" w:eastAsia="Palatino Linotype" w:hAnsi="Palatino Linotype" w:cs="Palatino Linotype"/>
          <w:i/>
        </w:rPr>
      </w:pPr>
      <w:r w:rsidRPr="00361669">
        <w:rPr>
          <w:rFonts w:ascii="Palatino Linotype" w:eastAsia="Palatino Linotype" w:hAnsi="Palatino Linotype" w:cs="Palatino Linotype"/>
          <w:b/>
          <w:i/>
          <w:sz w:val="22"/>
          <w:szCs w:val="22"/>
        </w:rPr>
        <w:t>“CRITERIO 0001-15. NEGATIVA FICTA. PLAZO PARA INTERPONER EL RECURSO DE REVISIÓN TRATÁNDOSE DE</w:t>
      </w:r>
      <w:r w:rsidRPr="0036166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361669">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61669">
        <w:rPr>
          <w:rFonts w:ascii="Palatino Linotype" w:eastAsia="Palatino Linotype" w:hAnsi="Palatino Linotype" w:cs="Palatino Linotype"/>
          <w:i/>
        </w:rPr>
        <w:t xml:space="preserve"> </w:t>
      </w:r>
    </w:p>
    <w:p w14:paraId="777BDE01" w14:textId="77777777" w:rsidR="00FE0AC2" w:rsidRPr="00361669" w:rsidRDefault="00FE0AC2">
      <w:pPr>
        <w:spacing w:line="276" w:lineRule="auto"/>
        <w:ind w:left="851" w:right="851"/>
        <w:jc w:val="both"/>
        <w:rPr>
          <w:rFonts w:ascii="Palatino Linotype" w:eastAsia="Palatino Linotype" w:hAnsi="Palatino Linotype" w:cs="Palatino Linotype"/>
          <w:i/>
        </w:rPr>
      </w:pPr>
    </w:p>
    <w:p w14:paraId="6600CBF7"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79DA975" w14:textId="77777777" w:rsidR="00FE0AC2" w:rsidRPr="00361669" w:rsidRDefault="00C3495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Asimismo, por cuanto hace a la procedibilidad de</w:t>
      </w:r>
      <w:r w:rsidRPr="00361669">
        <w:rPr>
          <w:rFonts w:ascii="Palatino Linotype" w:eastAsia="Palatino Linotype" w:hAnsi="Palatino Linotype" w:cs="Palatino Linotype"/>
        </w:rPr>
        <w:t xml:space="preserve">l </w:t>
      </w:r>
      <w:r w:rsidRPr="00361669">
        <w:rPr>
          <w:rFonts w:ascii="Palatino Linotype" w:eastAsia="Palatino Linotype" w:hAnsi="Palatino Linotype" w:cs="Palatino Linotype"/>
          <w:color w:val="000000"/>
        </w:rPr>
        <w:t xml:space="preserve"> recurso de </w:t>
      </w:r>
      <w:r w:rsidRPr="00361669">
        <w:rPr>
          <w:rFonts w:ascii="Palatino Linotype" w:eastAsia="Palatino Linotype" w:hAnsi="Palatino Linotype" w:cs="Palatino Linotype"/>
        </w:rPr>
        <w:t>revisión</w:t>
      </w:r>
      <w:r w:rsidRPr="00361669">
        <w:rPr>
          <w:rFonts w:ascii="Palatino Linotype" w:eastAsia="Palatino Linotype" w:hAnsi="Palatino Linotype" w:cs="Palatino Linotype"/>
          <w:color w:val="000000"/>
        </w:rPr>
        <w:t xml:space="preserve">, es de suma importancia señalar que </w:t>
      </w:r>
      <w:r w:rsidRPr="00361669">
        <w:rPr>
          <w:rFonts w:ascii="Palatino Linotype" w:eastAsia="Palatino Linotype" w:hAnsi="Palatino Linotype" w:cs="Palatino Linotype"/>
          <w:b/>
          <w:color w:val="000000"/>
        </w:rPr>
        <w:t>la parte Recurrente</w:t>
      </w:r>
      <w:r w:rsidRPr="00361669">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7AC878" w14:textId="77777777" w:rsidR="00FE0AC2" w:rsidRPr="00361669" w:rsidRDefault="00C3495C">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F696AB4" w14:textId="77777777" w:rsidR="00FE0AC2" w:rsidRPr="00361669" w:rsidRDefault="00C3495C">
      <w:pPr>
        <w:pBdr>
          <w:top w:val="nil"/>
          <w:left w:val="nil"/>
          <w:bottom w:val="nil"/>
          <w:right w:val="nil"/>
          <w:between w:val="nil"/>
        </w:pBdr>
        <w:spacing w:line="360" w:lineRule="auto"/>
        <w:jc w:val="both"/>
        <w:rPr>
          <w:color w:val="000000"/>
        </w:rPr>
      </w:pPr>
      <w:r w:rsidRPr="00361669">
        <w:rPr>
          <w:rFonts w:ascii="Palatino Linotype" w:eastAsia="Palatino Linotype" w:hAnsi="Palatino Linotype" w:cs="Palatino Linotype"/>
          <w:b/>
          <w:color w:val="000000"/>
        </w:rPr>
        <w:t xml:space="preserve">Tercero. Del estudio de las causas de improcedencia. </w:t>
      </w:r>
      <w:r w:rsidRPr="00361669">
        <w:rPr>
          <w:rFonts w:ascii="Palatino Linotype" w:eastAsia="Palatino Linotype" w:hAnsi="Palatino Linotype" w:cs="Palatino Linotype"/>
          <w:color w:val="000000"/>
        </w:rPr>
        <w:t xml:space="preserve">El estudio de las causas de improcedencia que se hagan valer por las partes o que se advierta de oficio por este </w:t>
      </w:r>
      <w:r w:rsidRPr="00361669">
        <w:rPr>
          <w:rFonts w:ascii="Palatino Linotype" w:eastAsia="Palatino Linotype" w:hAnsi="Palatino Linotype" w:cs="Palatino Linotype"/>
          <w:color w:val="000000"/>
        </w:rPr>
        <w:lastRenderedPageBreak/>
        <w:t>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A2F3D53" w14:textId="77777777" w:rsidR="00FE0AC2" w:rsidRPr="00361669" w:rsidRDefault="00FE0AC2">
      <w:pPr>
        <w:spacing w:line="360" w:lineRule="auto"/>
        <w:jc w:val="both"/>
        <w:rPr>
          <w:rFonts w:ascii="Palatino Linotype" w:eastAsia="Palatino Linotype" w:hAnsi="Palatino Linotype" w:cs="Palatino Linotype"/>
          <w:b/>
        </w:rPr>
      </w:pPr>
    </w:p>
    <w:p w14:paraId="0150935D"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Cuarto. Estudio del asunto. </w:t>
      </w:r>
      <w:r w:rsidRPr="00361669">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B321428" w14:textId="77777777" w:rsidR="00FE0AC2" w:rsidRPr="00361669" w:rsidRDefault="00FE0AC2">
      <w:pPr>
        <w:spacing w:line="360" w:lineRule="auto"/>
        <w:jc w:val="both"/>
        <w:rPr>
          <w:rFonts w:ascii="Palatino Linotype" w:eastAsia="Palatino Linotype" w:hAnsi="Palatino Linotype" w:cs="Palatino Linotype"/>
        </w:rPr>
      </w:pPr>
    </w:p>
    <w:p w14:paraId="1B3BECF2" w14:textId="77777777" w:rsidR="00FE0AC2" w:rsidRPr="00361669" w:rsidRDefault="00C3495C">
      <w:pPr>
        <w:tabs>
          <w:tab w:val="left" w:pos="709"/>
        </w:tabs>
        <w:ind w:left="851" w:right="85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6166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4FDB78C" w14:textId="77777777" w:rsidR="00FE0AC2" w:rsidRPr="00361669" w:rsidRDefault="00C3495C">
      <w:pPr>
        <w:tabs>
          <w:tab w:val="left" w:pos="709"/>
        </w:tabs>
        <w:ind w:left="851" w:right="850"/>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4775DD2" w14:textId="77777777" w:rsidR="00FE0AC2" w:rsidRPr="00361669" w:rsidRDefault="00C3495C">
      <w:pPr>
        <w:tabs>
          <w:tab w:val="left" w:pos="709"/>
        </w:tabs>
        <w:ind w:left="851" w:right="85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36166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2572F49" w14:textId="77777777" w:rsidR="00FE0AC2" w:rsidRPr="00361669" w:rsidRDefault="00C3495C">
      <w:pPr>
        <w:tabs>
          <w:tab w:val="left" w:pos="709"/>
        </w:tabs>
        <w:ind w:left="851" w:right="85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05BDCFE0" w14:textId="77777777" w:rsidR="00FE0AC2" w:rsidRPr="00361669" w:rsidRDefault="00C3495C">
      <w:pPr>
        <w:ind w:left="851" w:right="90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“Artículo 6o.</w:t>
      </w:r>
    </w:p>
    <w:p w14:paraId="5DDC7B5F" w14:textId="77777777" w:rsidR="00FE0AC2" w:rsidRPr="00361669" w:rsidRDefault="00C3495C">
      <w:pPr>
        <w:ind w:left="851" w:right="90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6E75D1C9"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A. Para el ejercicio del derecho de acceso a la información, la Federación y </w:t>
      </w:r>
      <w:r w:rsidRPr="00361669">
        <w:rPr>
          <w:rFonts w:ascii="Palatino Linotype" w:eastAsia="Palatino Linotype" w:hAnsi="Palatino Linotype" w:cs="Palatino Linotype"/>
          <w:b/>
          <w:i/>
          <w:sz w:val="22"/>
          <w:szCs w:val="22"/>
          <w:u w:val="single"/>
        </w:rPr>
        <w:t>las entidades federativas</w:t>
      </w:r>
      <w:r w:rsidRPr="00361669">
        <w:rPr>
          <w:rFonts w:ascii="Palatino Linotype" w:eastAsia="Palatino Linotype" w:hAnsi="Palatino Linotype" w:cs="Palatino Linotype"/>
          <w:b/>
          <w:i/>
          <w:sz w:val="22"/>
          <w:szCs w:val="22"/>
        </w:rPr>
        <w:t>,</w:t>
      </w:r>
      <w:r w:rsidRPr="00361669">
        <w:rPr>
          <w:rFonts w:ascii="Palatino Linotype" w:eastAsia="Palatino Linotype" w:hAnsi="Palatino Linotype" w:cs="Palatino Linotype"/>
          <w:i/>
          <w:sz w:val="22"/>
          <w:szCs w:val="22"/>
        </w:rPr>
        <w:t xml:space="preserve"> en el ámbito de sus respectivas competencias, se regirán por los siguientes principios y bases:</w:t>
      </w:r>
    </w:p>
    <w:p w14:paraId="38FE09E6"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04CE9C64"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I. </w:t>
      </w:r>
      <w:r w:rsidRPr="0036166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61669">
        <w:rPr>
          <w:rFonts w:ascii="Palatino Linotype" w:eastAsia="Palatino Linotype" w:hAnsi="Palatino Linotype" w:cs="Palatino Linotype"/>
          <w:i/>
          <w:sz w:val="22"/>
          <w:szCs w:val="22"/>
        </w:rPr>
        <w:t xml:space="preserve"> Ejecutivo, Legislativo </w:t>
      </w:r>
      <w:r w:rsidRPr="00361669">
        <w:rPr>
          <w:rFonts w:ascii="Palatino Linotype" w:eastAsia="Palatino Linotype" w:hAnsi="Palatino Linotype" w:cs="Palatino Linotype"/>
          <w:b/>
          <w:i/>
          <w:sz w:val="22"/>
          <w:szCs w:val="22"/>
          <w:u w:val="single"/>
        </w:rPr>
        <w:t>y Judicial</w:t>
      </w:r>
      <w:r w:rsidRPr="0036166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61669">
        <w:rPr>
          <w:rFonts w:ascii="Palatino Linotype" w:eastAsia="Palatino Linotype" w:hAnsi="Palatino Linotype" w:cs="Palatino Linotype"/>
          <w:b/>
          <w:i/>
          <w:sz w:val="22"/>
          <w:szCs w:val="22"/>
        </w:rPr>
        <w:t>es pública y sólo podrá ser reservada temporalmente por razones de interés público y seguridad nacional,</w:t>
      </w:r>
      <w:r w:rsidRPr="0036166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526805"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456D4A6D" w14:textId="77777777" w:rsidR="00FE0AC2" w:rsidRPr="00361669" w:rsidRDefault="00C3495C">
      <w:pPr>
        <w:ind w:left="851"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CCD23CC"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34E307AD"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III. </w:t>
      </w:r>
      <w:r w:rsidRPr="0036166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61669">
        <w:rPr>
          <w:rFonts w:ascii="Palatino Linotype" w:eastAsia="Palatino Linotype" w:hAnsi="Palatino Linotype" w:cs="Palatino Linotype"/>
          <w:i/>
          <w:sz w:val="22"/>
          <w:szCs w:val="22"/>
        </w:rPr>
        <w:t xml:space="preserve"> a sus datos personales o a la rectificación de éstos.</w:t>
      </w:r>
    </w:p>
    <w:p w14:paraId="04AA4507"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1326D478"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IV. </w:t>
      </w:r>
      <w:r w:rsidRPr="0036166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3B1B88A" w14:textId="77777777" w:rsidR="00FE0AC2" w:rsidRPr="00361669" w:rsidRDefault="00FE0AC2">
      <w:pPr>
        <w:ind w:left="851" w:right="851"/>
        <w:jc w:val="both"/>
        <w:rPr>
          <w:rFonts w:ascii="Palatino Linotype" w:eastAsia="Palatino Linotype" w:hAnsi="Palatino Linotype" w:cs="Palatino Linotype"/>
          <w:i/>
          <w:sz w:val="22"/>
          <w:szCs w:val="22"/>
        </w:rPr>
      </w:pPr>
    </w:p>
    <w:p w14:paraId="640161C5"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V. </w:t>
      </w:r>
      <w:r w:rsidRPr="00361669">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361669">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14:paraId="2410A207"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2D24A9C1"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VI. </w:t>
      </w:r>
      <w:r w:rsidRPr="0036166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2912854"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w:t>
      </w:r>
    </w:p>
    <w:p w14:paraId="45C508D7"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VII. </w:t>
      </w:r>
      <w:r w:rsidRPr="0036166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2F0F05B" w14:textId="77777777" w:rsidR="00FE0AC2" w:rsidRPr="00361669" w:rsidRDefault="00FE0AC2">
      <w:pPr>
        <w:ind w:right="851"/>
        <w:jc w:val="both"/>
        <w:rPr>
          <w:rFonts w:ascii="Palatino Linotype" w:eastAsia="Palatino Linotype" w:hAnsi="Palatino Linotype" w:cs="Palatino Linotype"/>
          <w:i/>
          <w:sz w:val="22"/>
          <w:szCs w:val="22"/>
        </w:rPr>
      </w:pPr>
    </w:p>
    <w:p w14:paraId="60419B23" w14:textId="77777777" w:rsidR="00FE0AC2" w:rsidRPr="00361669" w:rsidRDefault="00C3495C">
      <w:pPr>
        <w:tabs>
          <w:tab w:val="left" w:pos="709"/>
        </w:tabs>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FE983E0"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C75135F" w14:textId="77777777" w:rsidR="00FE0AC2" w:rsidRPr="00361669" w:rsidRDefault="00C3495C">
      <w:pPr>
        <w:spacing w:before="240"/>
        <w:ind w:left="709" w:right="76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lastRenderedPageBreak/>
        <w:t>“</w:t>
      </w:r>
      <w:r w:rsidRPr="00361669">
        <w:rPr>
          <w:rFonts w:ascii="Palatino Linotype" w:eastAsia="Palatino Linotype" w:hAnsi="Palatino Linotype" w:cs="Palatino Linotype"/>
          <w:b/>
          <w:i/>
          <w:sz w:val="22"/>
          <w:szCs w:val="22"/>
        </w:rPr>
        <w:t>Artículo 4</w:t>
      </w:r>
      <w:r w:rsidRPr="0036166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750C09" w14:textId="77777777" w:rsidR="00FE0AC2" w:rsidRPr="00361669" w:rsidRDefault="00C3495C">
      <w:pPr>
        <w:ind w:left="709" w:right="760"/>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5B9E06" w14:textId="77777777" w:rsidR="00FE0AC2" w:rsidRPr="00361669" w:rsidRDefault="00C3495C">
      <w:pPr>
        <w:ind w:left="709" w:right="76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18C9FD1C" w14:textId="77777777" w:rsidR="00FE0AC2" w:rsidRPr="00361669" w:rsidRDefault="00FE0AC2">
      <w:pPr>
        <w:spacing w:line="360" w:lineRule="auto"/>
        <w:jc w:val="both"/>
        <w:rPr>
          <w:rFonts w:ascii="Palatino Linotype" w:eastAsia="Palatino Linotype" w:hAnsi="Palatino Linotype" w:cs="Palatino Linotype"/>
        </w:rPr>
      </w:pPr>
    </w:p>
    <w:p w14:paraId="17FFE61A"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361669">
        <w:rPr>
          <w:rFonts w:ascii="Palatino Linotype" w:eastAsia="Palatino Linotype" w:hAnsi="Palatino Linotype" w:cs="Palatino Linotype"/>
          <w:b/>
        </w:rPr>
        <w:t>artículo 12</w:t>
      </w:r>
      <w:r w:rsidRPr="00361669">
        <w:rPr>
          <w:rFonts w:ascii="Palatino Linotype" w:eastAsia="Palatino Linotype" w:hAnsi="Palatino Linotype" w:cs="Palatino Linotype"/>
        </w:rPr>
        <w:t xml:space="preserve"> de la Ley de Transparencia y Acceso a la Información Pública del Estado de México y Municipios, el cual a la letra dice:</w:t>
      </w:r>
    </w:p>
    <w:p w14:paraId="4F2B3F7F" w14:textId="77777777" w:rsidR="00FE0AC2" w:rsidRPr="00361669" w:rsidRDefault="00FE0AC2">
      <w:pPr>
        <w:spacing w:line="360" w:lineRule="auto"/>
        <w:jc w:val="both"/>
        <w:rPr>
          <w:rFonts w:ascii="Palatino Linotype" w:eastAsia="Palatino Linotype" w:hAnsi="Palatino Linotype" w:cs="Palatino Linotype"/>
        </w:rPr>
      </w:pPr>
    </w:p>
    <w:p w14:paraId="492FD2FD"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r w:rsidRPr="00361669">
        <w:rPr>
          <w:rFonts w:ascii="Palatino Linotype" w:eastAsia="Palatino Linotype" w:hAnsi="Palatino Linotype" w:cs="Palatino Linotype"/>
          <w:b/>
          <w:i/>
          <w:sz w:val="22"/>
          <w:szCs w:val="22"/>
        </w:rPr>
        <w:t>Artículo 12</w:t>
      </w:r>
      <w:r w:rsidRPr="0036166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BE044F" w14:textId="77777777" w:rsidR="00FE0AC2" w:rsidRPr="00361669" w:rsidRDefault="00FE0AC2">
      <w:pPr>
        <w:ind w:left="851" w:right="851"/>
        <w:jc w:val="both"/>
        <w:rPr>
          <w:rFonts w:ascii="Palatino Linotype" w:eastAsia="Palatino Linotype" w:hAnsi="Palatino Linotype" w:cs="Palatino Linotype"/>
          <w:i/>
          <w:sz w:val="22"/>
          <w:szCs w:val="22"/>
        </w:rPr>
      </w:pPr>
    </w:p>
    <w:p w14:paraId="76B820B7"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0CBFA67" w14:textId="77777777" w:rsidR="00FE0AC2" w:rsidRPr="00361669" w:rsidRDefault="00FE0AC2">
      <w:pPr>
        <w:spacing w:line="360" w:lineRule="auto"/>
        <w:jc w:val="both"/>
        <w:rPr>
          <w:rFonts w:ascii="Palatino Linotype" w:eastAsia="Palatino Linotype" w:hAnsi="Palatino Linotype" w:cs="Palatino Linotype"/>
        </w:rPr>
      </w:pPr>
    </w:p>
    <w:p w14:paraId="7C5206E0"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361669">
        <w:rPr>
          <w:rFonts w:ascii="Palatino Linotype" w:eastAsia="Palatino Linotype" w:hAnsi="Palatino Linotype" w:cs="Palatino Linotype"/>
          <w:i/>
        </w:rPr>
        <w:t>ad hoc</w:t>
      </w:r>
      <w:r w:rsidRPr="00361669">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71DEA7D3" w14:textId="77777777" w:rsidR="00FE0AC2" w:rsidRPr="00361669" w:rsidRDefault="00FE0AC2">
      <w:pPr>
        <w:ind w:right="851"/>
        <w:jc w:val="both"/>
        <w:rPr>
          <w:rFonts w:ascii="Palatino Linotype" w:eastAsia="Palatino Linotype" w:hAnsi="Palatino Linotype" w:cs="Palatino Linotype"/>
          <w:b/>
          <w:i/>
          <w:sz w:val="22"/>
          <w:szCs w:val="22"/>
        </w:rPr>
      </w:pPr>
    </w:p>
    <w:p w14:paraId="05D92B96" w14:textId="77777777" w:rsidR="00FE0AC2" w:rsidRPr="00361669" w:rsidRDefault="00C3495C">
      <w:pPr>
        <w:ind w:left="851"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03/17</w:t>
      </w:r>
    </w:p>
    <w:p w14:paraId="7769DC8D" w14:textId="77777777" w:rsidR="00FE0AC2" w:rsidRPr="00361669" w:rsidRDefault="00C3495C">
      <w:pPr>
        <w:ind w:left="851"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“NO EXISTE OBLIGACIÓN DE ELABORAR DOCUMENTOS AD HOC PARA ATENDER LAS SOLICITUDES DE ACCESO A LA INFORM ACIÓN.</w:t>
      </w:r>
    </w:p>
    <w:p w14:paraId="333EFCDE"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2779D01" w14:textId="77777777" w:rsidR="00FE0AC2" w:rsidRPr="00361669" w:rsidRDefault="00FE0AC2">
      <w:pPr>
        <w:spacing w:line="360" w:lineRule="auto"/>
        <w:jc w:val="both"/>
        <w:rPr>
          <w:rFonts w:ascii="Palatino Linotype" w:eastAsia="Palatino Linotype" w:hAnsi="Palatino Linotype" w:cs="Palatino Linotype"/>
        </w:rPr>
      </w:pPr>
    </w:p>
    <w:p w14:paraId="11CEE65D"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Por otra parte, conviene mencionar que la Ley de Transparencia vigente en el Estado de México refiere: </w:t>
      </w:r>
    </w:p>
    <w:p w14:paraId="49683DB3" w14:textId="77777777" w:rsidR="00FE0AC2" w:rsidRPr="00361669" w:rsidRDefault="00FE0AC2">
      <w:pPr>
        <w:spacing w:line="360" w:lineRule="auto"/>
        <w:jc w:val="both"/>
        <w:rPr>
          <w:rFonts w:ascii="Palatino Linotype" w:eastAsia="Palatino Linotype" w:hAnsi="Palatino Linotype" w:cs="Palatino Linotype"/>
        </w:rPr>
      </w:pPr>
    </w:p>
    <w:p w14:paraId="3F13D38B"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“Artículo 18.</w:t>
      </w:r>
      <w:r w:rsidRPr="00361669">
        <w:rPr>
          <w:rFonts w:ascii="Palatino Linotype" w:eastAsia="Palatino Linotype" w:hAnsi="Palatino Linotype" w:cs="Palatino Linotype"/>
          <w:i/>
          <w:sz w:val="22"/>
          <w:szCs w:val="22"/>
        </w:rPr>
        <w:t xml:space="preserve"> </w:t>
      </w:r>
      <w:r w:rsidRPr="00361669">
        <w:rPr>
          <w:rFonts w:ascii="Palatino Linotype" w:eastAsia="Palatino Linotype" w:hAnsi="Palatino Linotype" w:cs="Palatino Linotype"/>
          <w:b/>
          <w:i/>
          <w:sz w:val="22"/>
          <w:szCs w:val="22"/>
          <w:u w:val="single"/>
        </w:rPr>
        <w:t xml:space="preserve">Los sujetos obligados deberán documentar todo acto que derive del ejercicio de sus facultades, competencias o funciones, </w:t>
      </w:r>
      <w:r w:rsidRPr="00361669">
        <w:rPr>
          <w:rFonts w:ascii="Palatino Linotype" w:eastAsia="Palatino Linotype" w:hAnsi="Palatino Linotype" w:cs="Palatino Linotype"/>
          <w:b/>
          <w:i/>
          <w:sz w:val="22"/>
          <w:szCs w:val="22"/>
          <w:u w:val="single"/>
        </w:rPr>
        <w:lastRenderedPageBreak/>
        <w:t>considerando desde su origen la eventual publicidad</w:t>
      </w:r>
      <w:r w:rsidRPr="00361669">
        <w:rPr>
          <w:rFonts w:ascii="Palatino Linotype" w:eastAsia="Palatino Linotype" w:hAnsi="Palatino Linotype" w:cs="Palatino Linotype"/>
          <w:i/>
          <w:sz w:val="22"/>
          <w:szCs w:val="22"/>
        </w:rPr>
        <w:t xml:space="preserve"> y reutilización de la información que generen.</w:t>
      </w:r>
    </w:p>
    <w:p w14:paraId="76A75B54" w14:textId="77777777" w:rsidR="00FE0AC2" w:rsidRPr="00361669" w:rsidRDefault="00FE0AC2">
      <w:pPr>
        <w:ind w:left="851" w:right="851"/>
        <w:jc w:val="both"/>
        <w:rPr>
          <w:rFonts w:ascii="Palatino Linotype" w:eastAsia="Palatino Linotype" w:hAnsi="Palatino Linotype" w:cs="Palatino Linotype"/>
          <w:b/>
          <w:i/>
          <w:sz w:val="22"/>
          <w:szCs w:val="22"/>
        </w:rPr>
      </w:pPr>
    </w:p>
    <w:p w14:paraId="0D678B92"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Artículo 19. </w:t>
      </w:r>
      <w:r w:rsidRPr="00361669">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361669">
        <w:rPr>
          <w:rFonts w:ascii="Palatino Linotype" w:eastAsia="Palatino Linotype" w:hAnsi="Palatino Linotype" w:cs="Palatino Linotype"/>
          <w:i/>
          <w:sz w:val="22"/>
          <w:szCs w:val="22"/>
        </w:rPr>
        <w:t>.</w:t>
      </w:r>
    </w:p>
    <w:p w14:paraId="586222CD" w14:textId="77777777" w:rsidR="00FE0AC2" w:rsidRPr="00361669" w:rsidRDefault="00FE0AC2">
      <w:pPr>
        <w:ind w:left="851" w:right="851"/>
        <w:jc w:val="both"/>
        <w:rPr>
          <w:rFonts w:ascii="Palatino Linotype" w:eastAsia="Palatino Linotype" w:hAnsi="Palatino Linotype" w:cs="Palatino Linotype"/>
          <w:i/>
          <w:sz w:val="22"/>
          <w:szCs w:val="22"/>
        </w:rPr>
      </w:pPr>
    </w:p>
    <w:p w14:paraId="47DDE63E"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6D6B536" w14:textId="77777777" w:rsidR="00FE0AC2" w:rsidRPr="00361669" w:rsidRDefault="00FE0AC2">
      <w:pPr>
        <w:ind w:left="851" w:right="851"/>
        <w:jc w:val="both"/>
        <w:rPr>
          <w:rFonts w:ascii="Palatino Linotype" w:eastAsia="Palatino Linotype" w:hAnsi="Palatino Linotype" w:cs="Palatino Linotype"/>
          <w:i/>
          <w:sz w:val="22"/>
          <w:szCs w:val="22"/>
        </w:rPr>
      </w:pPr>
    </w:p>
    <w:p w14:paraId="15F2A68C"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8EBF8BE" w14:textId="77777777" w:rsidR="00FE0AC2" w:rsidRPr="00361669" w:rsidRDefault="00FE0AC2">
      <w:pPr>
        <w:ind w:left="851" w:right="851"/>
        <w:jc w:val="both"/>
        <w:rPr>
          <w:rFonts w:ascii="Palatino Linotype" w:eastAsia="Palatino Linotype" w:hAnsi="Palatino Linotype" w:cs="Palatino Linotype"/>
          <w:i/>
          <w:sz w:val="22"/>
          <w:szCs w:val="22"/>
        </w:rPr>
      </w:pPr>
    </w:p>
    <w:p w14:paraId="2FB2471F" w14:textId="77777777" w:rsidR="00FE0AC2" w:rsidRPr="00361669" w:rsidRDefault="00C3495C">
      <w:pPr>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(Énfasis añadido)</w:t>
      </w:r>
    </w:p>
    <w:p w14:paraId="655F4FA5"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47F4F8D"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361669">
        <w:rPr>
          <w:rFonts w:ascii="Palatino Linotype" w:eastAsia="Palatino Linotype" w:hAnsi="Palatino Linotype" w:cs="Palatino Linotype"/>
        </w:rPr>
        <w:lastRenderedPageBreak/>
        <w:t xml:space="preserve">acuerdos, directivas, directrices, circulares, contratos, convenios, instructivos, notas, memorandos, estadísticas o bien, </w:t>
      </w:r>
      <w:r w:rsidRPr="00361669">
        <w:rPr>
          <w:rFonts w:ascii="Palatino Linotype" w:eastAsia="Palatino Linotype" w:hAnsi="Palatino Linotype" w:cs="Palatino Linotype"/>
          <w:b/>
        </w:rPr>
        <w:t>cualquier otro registro que documente el ejercicio de las facultades, funciones, obligaciones y competencias de los Sujetos Obligados</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los que, podrán estar en cualquier medio</w:t>
      </w:r>
      <w:r w:rsidRPr="00361669">
        <w:rPr>
          <w:rFonts w:ascii="Palatino Linotype" w:eastAsia="Palatino Linotype" w:hAnsi="Palatino Linotype" w:cs="Palatino Linotype"/>
        </w:rPr>
        <w:t xml:space="preserve">, sea escrito, impreso, sonoro, visual, </w:t>
      </w:r>
      <w:r w:rsidRPr="00361669">
        <w:rPr>
          <w:rFonts w:ascii="Palatino Linotype" w:eastAsia="Palatino Linotype" w:hAnsi="Palatino Linotype" w:cs="Palatino Linotype"/>
          <w:b/>
        </w:rPr>
        <w:t>electrónico</w:t>
      </w:r>
      <w:r w:rsidRPr="00361669">
        <w:rPr>
          <w:rFonts w:ascii="Palatino Linotype" w:eastAsia="Palatino Linotype" w:hAnsi="Palatino Linotype" w:cs="Palatino Linotype"/>
        </w:rPr>
        <w:t xml:space="preserve">, informático u holográfico, esto es, </w:t>
      </w:r>
      <w:r w:rsidRPr="00361669">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1B8932" w14:textId="77777777" w:rsidR="00FE0AC2" w:rsidRPr="00361669" w:rsidRDefault="00C3495C">
      <w:pPr>
        <w:spacing w:before="280" w:after="28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De ahí que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61669">
        <w:rPr>
          <w:rFonts w:ascii="Palatino Linotype" w:eastAsia="Palatino Linotype" w:hAnsi="Palatino Linotype" w:cs="Palatino Linotype"/>
          <w:vertAlign w:val="superscript"/>
        </w:rPr>
        <w:footnoteReference w:id="1"/>
      </w:r>
      <w:r w:rsidRPr="0036166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61669">
        <w:rPr>
          <w:rFonts w:ascii="Palatino Linotype" w:eastAsia="Palatino Linotype" w:hAnsi="Palatino Linotype" w:cs="Palatino Linotype"/>
          <w:vertAlign w:val="superscript"/>
        </w:rPr>
        <w:footnoteReference w:id="2"/>
      </w:r>
      <w:r w:rsidRPr="00361669">
        <w:rPr>
          <w:rFonts w:ascii="Palatino Linotype" w:eastAsia="Palatino Linotype" w:hAnsi="Palatino Linotype" w:cs="Palatino Linotype"/>
        </w:rPr>
        <w:t xml:space="preserve">, como pudiera tratarse de </w:t>
      </w:r>
      <w:r w:rsidRPr="00361669">
        <w:rPr>
          <w:rFonts w:ascii="Palatino Linotype" w:eastAsia="Palatino Linotype" w:hAnsi="Palatino Linotype" w:cs="Palatino Linotype"/>
        </w:rPr>
        <w:lastRenderedPageBreak/>
        <w:t>aquella relacionada con las obligaciones de transparencia señaladas en los artículos 92 y 100 de la Ley de la Materia.</w:t>
      </w:r>
    </w:p>
    <w:p w14:paraId="026B2D1E" w14:textId="77777777" w:rsidR="00FE0AC2" w:rsidRPr="00361669" w:rsidRDefault="00C3495C">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FF0000"/>
        </w:rPr>
      </w:pPr>
      <w:r w:rsidRPr="00361669">
        <w:rPr>
          <w:rFonts w:ascii="Palatino Linotype" w:eastAsia="Palatino Linotype" w:hAnsi="Palatino Linotype" w:cs="Palatino Linotype"/>
          <w:color w:val="000000"/>
        </w:rPr>
        <w:t>En este sentido, es conveniente recordar y analizar las constancias que obran en el expediente electrónico para efecto de determinar si hubo una violación al derecho de acceso a la información pública del particular.</w:t>
      </w:r>
    </w:p>
    <w:p w14:paraId="64AE8561" w14:textId="77777777" w:rsidR="00FE0AC2" w:rsidRPr="00361669" w:rsidRDefault="00C3495C">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 xml:space="preserve">Precisado lo anterior, conviene señalar que el particular requirió al </w:t>
      </w:r>
      <w:r w:rsidRPr="00361669">
        <w:rPr>
          <w:rFonts w:ascii="Palatino Linotype" w:eastAsia="Palatino Linotype" w:hAnsi="Palatino Linotype" w:cs="Palatino Linotype"/>
          <w:b/>
          <w:color w:val="000000"/>
        </w:rPr>
        <w:t>Sujeto Obligado</w:t>
      </w:r>
      <w:r w:rsidRPr="00361669">
        <w:rPr>
          <w:rFonts w:ascii="Palatino Linotype" w:eastAsia="Palatino Linotype" w:hAnsi="Palatino Linotype" w:cs="Palatino Linotype"/>
          <w:color w:val="000000"/>
        </w:rPr>
        <w:t>, lo siguiente:</w:t>
      </w:r>
    </w:p>
    <w:p w14:paraId="163FBDE6" w14:textId="77777777" w:rsidR="00FE0AC2" w:rsidRPr="00361669" w:rsidRDefault="00C3495C">
      <w:pPr>
        <w:numPr>
          <w:ilvl w:val="0"/>
          <w:numId w:val="2"/>
        </w:numPr>
        <w:pBdr>
          <w:top w:val="nil"/>
          <w:left w:val="nil"/>
          <w:bottom w:val="nil"/>
          <w:right w:val="nil"/>
          <w:between w:val="nil"/>
        </w:pBdr>
        <w:tabs>
          <w:tab w:val="left" w:pos="426"/>
        </w:tabs>
        <w:spacing w:before="240" w:line="360" w:lineRule="auto"/>
        <w:ind w:left="567" w:right="851" w:hanging="283"/>
        <w:jc w:val="both"/>
        <w:rPr>
          <w:rFonts w:ascii="Palatino Linotype" w:eastAsia="Palatino Linotype" w:hAnsi="Palatino Linotype" w:cs="Palatino Linotype"/>
          <w:b/>
          <w:color w:val="000000"/>
          <w:sz w:val="22"/>
          <w:szCs w:val="22"/>
        </w:rPr>
      </w:pPr>
      <w:r w:rsidRPr="00361669">
        <w:rPr>
          <w:rFonts w:ascii="Palatino Linotype" w:eastAsia="Palatino Linotype" w:hAnsi="Palatino Linotype" w:cs="Palatino Linotype"/>
          <w:b/>
          <w:color w:val="000000"/>
          <w:sz w:val="22"/>
          <w:szCs w:val="22"/>
        </w:rPr>
        <w:t>Acta entrega recepción de la unidad de transparencia y la presidencia municipal</w:t>
      </w:r>
    </w:p>
    <w:p w14:paraId="2664DB00" w14:textId="77777777" w:rsidR="00FE0AC2" w:rsidRPr="00361669" w:rsidRDefault="00FE0AC2">
      <w:pPr>
        <w:tabs>
          <w:tab w:val="left" w:pos="4962"/>
        </w:tabs>
        <w:spacing w:line="360" w:lineRule="auto"/>
        <w:jc w:val="both"/>
        <w:rPr>
          <w:rFonts w:ascii="Palatino Linotype" w:eastAsia="Palatino Linotype" w:hAnsi="Palatino Linotype" w:cs="Palatino Linotype"/>
          <w:color w:val="000000"/>
        </w:rPr>
      </w:pPr>
    </w:p>
    <w:p w14:paraId="06325C8E" w14:textId="77777777" w:rsidR="00FE0AC2" w:rsidRPr="00361669" w:rsidRDefault="00C3495C">
      <w:pPr>
        <w:tabs>
          <w:tab w:val="left" w:pos="4962"/>
        </w:tabs>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Ante la falta de respuesta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la parte</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Recurrente</w:t>
      </w:r>
      <w:r w:rsidRPr="00361669">
        <w:rPr>
          <w:rFonts w:ascii="Palatino Linotype" w:eastAsia="Palatino Linotype" w:hAnsi="Palatino Linotype" w:cs="Palatino Linotype"/>
        </w:rPr>
        <w:t xml:space="preserve">, justamente se inconformó por la negativa de no entregar la información requerida, lo cual actualiza el supuesto previsto en el artículo 179, fracción VII, de la Ley de Transparencia y Acceso a la Información Pública del Estado de México y Municipios. </w:t>
      </w:r>
    </w:p>
    <w:p w14:paraId="551566FC" w14:textId="77777777" w:rsidR="00FE0AC2" w:rsidRPr="00361669" w:rsidRDefault="00FE0AC2">
      <w:pPr>
        <w:tabs>
          <w:tab w:val="left" w:pos="4962"/>
        </w:tabs>
        <w:spacing w:line="360" w:lineRule="auto"/>
        <w:jc w:val="both"/>
        <w:rPr>
          <w:rFonts w:ascii="Palatino Linotype" w:eastAsia="Palatino Linotype" w:hAnsi="Palatino Linotype" w:cs="Palatino Linotype"/>
        </w:rPr>
      </w:pPr>
    </w:p>
    <w:p w14:paraId="311CC29D" w14:textId="77777777" w:rsidR="00FE0AC2" w:rsidRPr="00361669" w:rsidRDefault="00C3495C">
      <w:pPr>
        <w:tabs>
          <w:tab w:val="left" w:pos="4962"/>
        </w:tabs>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Ahora bien, de la consulta al organigrama vigente al interior del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se aprecia que efectivamente la </w:t>
      </w:r>
      <w:r w:rsidRPr="00361669">
        <w:rPr>
          <w:rFonts w:ascii="Palatino Linotype" w:eastAsia="Palatino Linotype" w:hAnsi="Palatino Linotype" w:cs="Palatino Linotype"/>
          <w:b/>
        </w:rPr>
        <w:t xml:space="preserve">Unidad de Transparencia y la Presidencia Municipal </w:t>
      </w:r>
      <w:r w:rsidRPr="00361669">
        <w:rPr>
          <w:rFonts w:ascii="Palatino Linotype" w:eastAsia="Palatino Linotype" w:hAnsi="Palatino Linotype" w:cs="Palatino Linotype"/>
        </w:rPr>
        <w:t xml:space="preserve">existen dentro de la estructura orgánica municipal: </w:t>
      </w:r>
    </w:p>
    <w:p w14:paraId="3762DE8C" w14:textId="77777777" w:rsidR="00FE0AC2" w:rsidRPr="00361669" w:rsidRDefault="00C3495C">
      <w:pPr>
        <w:tabs>
          <w:tab w:val="left" w:pos="4962"/>
        </w:tabs>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noProof/>
          <w:lang w:eastAsia="es-MX"/>
        </w:rPr>
        <w:lastRenderedPageBreak/>
        <w:drawing>
          <wp:inline distT="0" distB="0" distL="0" distR="0" wp14:anchorId="657165E9" wp14:editId="4A5F76AF">
            <wp:extent cx="5581015" cy="2156460"/>
            <wp:effectExtent l="0" t="0" r="0" b="0"/>
            <wp:docPr id="7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581015" cy="2156460"/>
                    </a:xfrm>
                    <a:prstGeom prst="rect">
                      <a:avLst/>
                    </a:prstGeom>
                    <a:ln/>
                  </pic:spPr>
                </pic:pic>
              </a:graphicData>
            </a:graphic>
          </wp:inline>
        </w:drawing>
      </w:r>
      <w:r w:rsidRPr="00361669">
        <w:rPr>
          <w:noProof/>
          <w:lang w:eastAsia="es-MX"/>
        </w:rPr>
        <mc:AlternateContent>
          <mc:Choice Requires="wps">
            <w:drawing>
              <wp:anchor distT="0" distB="0" distL="114300" distR="114300" simplePos="0" relativeHeight="251658240" behindDoc="0" locked="0" layoutInCell="1" hidden="0" allowOverlap="1" wp14:anchorId="4B58E5A6" wp14:editId="2C6EF57C">
                <wp:simplePos x="0" y="0"/>
                <wp:positionH relativeFrom="column">
                  <wp:posOffset>2463800</wp:posOffset>
                </wp:positionH>
                <wp:positionV relativeFrom="paragraph">
                  <wp:posOffset>304800</wp:posOffset>
                </wp:positionV>
                <wp:extent cx="771525" cy="295275"/>
                <wp:effectExtent l="0" t="0" r="0" b="0"/>
                <wp:wrapNone/>
                <wp:docPr id="64" name="Rectángulo redondeado 64"/>
                <wp:cNvGraphicFramePr/>
                <a:graphic xmlns:a="http://schemas.openxmlformats.org/drawingml/2006/main">
                  <a:graphicData uri="http://schemas.microsoft.com/office/word/2010/wordprocessingShape">
                    <wps:wsp>
                      <wps:cNvSpPr/>
                      <wps:spPr>
                        <a:xfrm>
                          <a:off x="4974525" y="3646650"/>
                          <a:ext cx="742950" cy="266700"/>
                        </a:xfrm>
                        <a:prstGeom prst="roundRect">
                          <a:avLst>
                            <a:gd name="adj" fmla="val 16667"/>
                          </a:avLst>
                        </a:prstGeom>
                        <a:noFill/>
                        <a:ln w="28575" cap="flat" cmpd="sng">
                          <a:solidFill>
                            <a:srgbClr val="00B0F0"/>
                          </a:solidFill>
                          <a:prstDash val="solid"/>
                          <a:miter lim="800000"/>
                          <a:headEnd type="none" w="sm" len="sm"/>
                          <a:tailEnd type="none" w="sm" len="sm"/>
                        </a:ln>
                      </wps:spPr>
                      <wps:txbx>
                        <w:txbxContent>
                          <w:p w14:paraId="715E1BF3" w14:textId="77777777" w:rsidR="00FE0AC2" w:rsidRDefault="00FE0AC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6" style="position:absolute;left:0;text-align:left;margin-left:194pt;margin-top:24pt;width:60.7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" filled="f" strokecolor="#00b0f0" strokeweight="2.25pt">
                <v:stroke startarrowwidth="narrow" startarrowlength="short" endarrowwidth="narrow" endarrowlength="short" joinstyle="miter"/>
                <v:textbox inset="2.53958mm,2.53958mm,2.53958mm,2.53958mm">
                  <w:txbxContent>
                    <w:p w:rsidR="00FE0AC2" w:rsidRDefault="00FE0AC2">
                      <w:pPr>
                        <w:textDirection w:val="btLr"/>
                      </w:pPr>
                    </w:p>
                  </w:txbxContent>
                </v:textbox>
              </v:roundrect>
            </w:pict>
          </mc:Fallback>
        </mc:AlternateContent>
      </w:r>
      <w:r w:rsidRPr="00361669">
        <w:rPr>
          <w:noProof/>
          <w:lang w:eastAsia="es-MX"/>
        </w:rPr>
        <mc:AlternateContent>
          <mc:Choice Requires="wps">
            <w:drawing>
              <wp:anchor distT="0" distB="0" distL="114300" distR="114300" simplePos="0" relativeHeight="251659264" behindDoc="0" locked="0" layoutInCell="1" hidden="0" allowOverlap="1" wp14:anchorId="37CC6A44" wp14:editId="381592D6">
                <wp:simplePos x="0" y="0"/>
                <wp:positionH relativeFrom="column">
                  <wp:posOffset>1993900</wp:posOffset>
                </wp:positionH>
                <wp:positionV relativeFrom="paragraph">
                  <wp:posOffset>1371600</wp:posOffset>
                </wp:positionV>
                <wp:extent cx="704850" cy="304800"/>
                <wp:effectExtent l="0" t="0" r="0" b="0"/>
                <wp:wrapNone/>
                <wp:docPr id="65" name="Rectángulo redondeado 65"/>
                <wp:cNvGraphicFramePr/>
                <a:graphic xmlns:a="http://schemas.openxmlformats.org/drawingml/2006/main">
                  <a:graphicData uri="http://schemas.microsoft.com/office/word/2010/wordprocessingShape">
                    <wps:wsp>
                      <wps:cNvSpPr/>
                      <wps:spPr>
                        <a:xfrm>
                          <a:off x="5007863" y="3641888"/>
                          <a:ext cx="676275" cy="276225"/>
                        </a:xfrm>
                        <a:prstGeom prst="roundRect">
                          <a:avLst>
                            <a:gd name="adj" fmla="val 16667"/>
                          </a:avLst>
                        </a:prstGeom>
                        <a:noFill/>
                        <a:ln w="28575" cap="flat" cmpd="sng">
                          <a:solidFill>
                            <a:srgbClr val="00B0F0"/>
                          </a:solidFill>
                          <a:prstDash val="solid"/>
                          <a:miter lim="800000"/>
                          <a:headEnd type="none" w="sm" len="sm"/>
                          <a:tailEnd type="none" w="sm" len="sm"/>
                        </a:ln>
                      </wps:spPr>
                      <wps:txbx>
                        <w:txbxContent>
                          <w:p w14:paraId="6F346862" w14:textId="77777777" w:rsidR="00FE0AC2" w:rsidRDefault="00FE0AC2">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7" style="position:absolute;left:0;text-align:left;margin-left:157pt;margin-top:108pt;width:55.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" filled="f" strokecolor="#00b0f0" strokeweight="2.25pt">
                <v:stroke startarrowwidth="narrow" startarrowlength="short" endarrowwidth="narrow" endarrowlength="short" joinstyle="miter"/>
                <v:textbox inset="2.53958mm,2.53958mm,2.53958mm,2.53958mm">
                  <w:txbxContent>
                    <w:p w:rsidR="00FE0AC2" w:rsidRDefault="00FE0AC2">
                      <w:pPr>
                        <w:textDirection w:val="btLr"/>
                      </w:pPr>
                    </w:p>
                  </w:txbxContent>
                </v:textbox>
              </v:roundrect>
            </w:pict>
          </mc:Fallback>
        </mc:AlternateContent>
      </w:r>
    </w:p>
    <w:p w14:paraId="67006EB5" w14:textId="77777777" w:rsidR="00FE0AC2" w:rsidRPr="00361669" w:rsidRDefault="00FE0AC2">
      <w:pPr>
        <w:tabs>
          <w:tab w:val="left" w:pos="4962"/>
        </w:tabs>
        <w:spacing w:line="360" w:lineRule="auto"/>
        <w:jc w:val="both"/>
        <w:rPr>
          <w:rFonts w:ascii="Palatino Linotype" w:eastAsia="Palatino Linotype" w:hAnsi="Palatino Linotype" w:cs="Palatino Linotype"/>
        </w:rPr>
      </w:pPr>
    </w:p>
    <w:p w14:paraId="16A40B65" w14:textId="77777777" w:rsidR="00FE0AC2" w:rsidRPr="00361669" w:rsidRDefault="00C3495C">
      <w:pPr>
        <w:tabs>
          <w:tab w:val="left" w:pos="0"/>
          <w:tab w:val="left" w:pos="426"/>
        </w:tabs>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Acotado lo anterior, es necesario referir que el Órgano Superior de Fiscalización del Estado de México (OSFEM), con apego al artículo 19 de la Ley Orgánica Municipal, emite lineamientos, términos, instructivos, formatos, cédulas y demás documentación, con la finalidad de que los servidores públicos al concluir el periodo de su encargo, inicien con la entrega-recepción de manera ordenada, puntual, objetiva, transparente, ordenada y confiable, garantizando la continuidad en el servicio público, así como en los asuntos, proyectos y programas de los cuales se hará cargo la nueva administración. Información que es recabada por el Órgano </w:t>
      </w:r>
      <w:r w:rsidRPr="00361669">
        <w:rPr>
          <w:rFonts w:ascii="Palatino Linotype" w:eastAsia="Palatino Linotype" w:hAnsi="Palatino Linotype" w:cs="Palatino Linotype"/>
          <w:color w:val="000000" w:themeColor="text1"/>
        </w:rPr>
        <w:t>Superio</w:t>
      </w:r>
      <w:r w:rsidR="003D7759" w:rsidRPr="00361669">
        <w:rPr>
          <w:rFonts w:ascii="Palatino Linotype" w:eastAsia="Palatino Linotype" w:hAnsi="Palatino Linotype" w:cs="Palatino Linotype"/>
          <w:color w:val="000000" w:themeColor="text1"/>
        </w:rPr>
        <w:t>r de Fiscalización del Estado de México.</w:t>
      </w:r>
    </w:p>
    <w:p w14:paraId="2E55DBE9" w14:textId="77777777" w:rsidR="00FE0AC2" w:rsidRPr="00361669" w:rsidRDefault="00FE0AC2">
      <w:pPr>
        <w:tabs>
          <w:tab w:val="left" w:pos="0"/>
          <w:tab w:val="left" w:pos="426"/>
        </w:tabs>
        <w:spacing w:line="360" w:lineRule="auto"/>
        <w:jc w:val="both"/>
        <w:rPr>
          <w:rFonts w:ascii="Palatino Linotype" w:eastAsia="Palatino Linotype" w:hAnsi="Palatino Linotype" w:cs="Palatino Linotype"/>
          <w:i/>
        </w:rPr>
      </w:pPr>
    </w:p>
    <w:p w14:paraId="2EE258A8" w14:textId="77777777" w:rsidR="00FE0AC2" w:rsidRPr="00361669" w:rsidRDefault="00C3495C">
      <w:pPr>
        <w:tabs>
          <w:tab w:val="left" w:pos="0"/>
          <w:tab w:val="left" w:pos="426"/>
        </w:tabs>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Luego entonces el Órgano Superior de Fiscalización del Estado de México emite los </w:t>
      </w:r>
      <w:r w:rsidRPr="00361669">
        <w:rPr>
          <w:rFonts w:ascii="Palatino Linotype" w:eastAsia="Palatino Linotype" w:hAnsi="Palatino Linotype" w:cs="Palatino Linotype"/>
          <w:color w:val="000000"/>
        </w:rPr>
        <w:t xml:space="preserve">Lineamientos que norman la </w:t>
      </w:r>
      <w:r w:rsidRPr="00361669">
        <w:rPr>
          <w:rFonts w:ascii="Palatino Linotype" w:eastAsia="Palatino Linotype" w:hAnsi="Palatino Linotype" w:cs="Palatino Linotype"/>
        </w:rPr>
        <w:t>Entrega Recepción</w:t>
      </w:r>
      <w:r w:rsidRPr="00361669">
        <w:rPr>
          <w:rFonts w:ascii="Palatino Linotype" w:eastAsia="Palatino Linotype" w:hAnsi="Palatino Linotype" w:cs="Palatino Linotype"/>
          <w:color w:val="000000"/>
        </w:rPr>
        <w:t xml:space="preserve"> de los Ayuntamientos, sus Dependencias y Organismos Descentralizados Municipales del Estado De México</w:t>
      </w:r>
      <w:r w:rsidRPr="00361669">
        <w:rPr>
          <w:rFonts w:ascii="Palatino Linotype" w:eastAsia="Palatino Linotype" w:hAnsi="Palatino Linotype" w:cs="Palatino Linotype"/>
        </w:rPr>
        <w:t xml:space="preserve">, en la cual se deberá asentar información de la unidad administrativa que se entrega, en temas como: información de la oficina que se entrega, información de evaluación </w:t>
      </w:r>
      <w:r w:rsidRPr="00361669">
        <w:rPr>
          <w:rFonts w:ascii="Palatino Linotype" w:eastAsia="Palatino Linotype" w:hAnsi="Palatino Linotype" w:cs="Palatino Linotype"/>
        </w:rPr>
        <w:lastRenderedPageBreak/>
        <w:t>programática, administrativa, financiera, laboral, catastral, de obras públicas, general, patrimonial, entre otra.</w:t>
      </w:r>
    </w:p>
    <w:p w14:paraId="3C6FE4CC"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“Artículo 2. Para los efectos de estos lineamientos se entenderá por</w:t>
      </w:r>
    </w:p>
    <w:p w14:paraId="2BA92FB1"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14975B04"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III. Acta de entrega-recepción: Al instrumento jurídico que formaliza el acto de entrega-recepción, en el que se establecen los datos de los participantes, la relación de la información y el soporte documental de la gestión municipal, observaciones, firmas y anexos;</w:t>
      </w:r>
    </w:p>
    <w:p w14:paraId="0D8B6765"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w:t>
      </w:r>
    </w:p>
    <w:p w14:paraId="380A5759"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Artículo 4.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7FC5BA02"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5F7DE645"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 xml:space="preserve">Artículo 11. Los servidores públicos que participan en el procedimiento administrativo de entrega-recepción son: </w:t>
      </w:r>
    </w:p>
    <w:p w14:paraId="7BF7D588"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 xml:space="preserve">I. El servidor público entrante; </w:t>
      </w:r>
    </w:p>
    <w:p w14:paraId="6DC7B4E5"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 xml:space="preserve">II. El servidor público saliente o el servidor público que presenta la información; </w:t>
      </w:r>
    </w:p>
    <w:p w14:paraId="2173A403"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III. La persona titular del Órgano Interno de Control o Síndico o, en su caso, Representante;</w:t>
      </w:r>
    </w:p>
    <w:p w14:paraId="6C67D370"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 IV. El testigo del servidor público entrante, y </w:t>
      </w:r>
    </w:p>
    <w:p w14:paraId="66277369"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i/>
          <w:sz w:val="22"/>
          <w:szCs w:val="22"/>
        </w:rPr>
        <w:lastRenderedPageBreak/>
        <w:t>V. El testigo del servidor público saliente o el testigo del servidor público que presenta la información.</w:t>
      </w:r>
    </w:p>
    <w:p w14:paraId="12836993"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w:t>
      </w:r>
    </w:p>
    <w:p w14:paraId="5675EB7E"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 xml:space="preserve">Artículo 12. Los participantes del acto de entrega-recepción deben exhibir en original y entregar en copia simple o certificada la documentación siguiente, la cual se agregará al acta de entrega-recepción correspondiente: </w:t>
      </w:r>
    </w:p>
    <w:p w14:paraId="04D8185E"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 Servidor público entrante: Documento que acredite el empleo, cargo o comisión indicando la fecha de inicio del mismo, que debe ser la misma o anterior al acto de entrega-recepción, pero de ninguna manera posterior; identificación oficial; comprobante de domicilio no mayor a dos meses de antigüedad; certificación de competencia laboral en los casos requeridos por las disposiciones legales aplicables, expedida por las instancias correspondientes; </w:t>
      </w:r>
    </w:p>
    <w:p w14:paraId="712B8E96"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 Servidor público saliente: Documento que acredite el empleo, cargo o comisión, indicando la fecha de inicio del mismo; identificación oficial; comprobante de domicilio no mayor a dos meses de antigüedad; documento que avale la separación del empleo, cargo o comisión, y constancias de no adeudo; </w:t>
      </w:r>
    </w:p>
    <w:p w14:paraId="2F09F26D"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III. Servidor público que presenta la información: Documento que lo faculta para recabar y presentar la información en el acto de entrega-recepción; identificación oficial, y comprobante de domicilio no mayor a dos meses de antigüedad;</w:t>
      </w:r>
    </w:p>
    <w:p w14:paraId="2BA602A9" w14:textId="77777777" w:rsidR="00FE0AC2" w:rsidRPr="00361669" w:rsidRDefault="00C3495C">
      <w:pPr>
        <w:spacing w:before="240" w:after="240" w:line="276" w:lineRule="auto"/>
        <w:ind w:left="720"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 IV. Persona titular del Órgano Interno de Control o Síndico o su Representante, según sea el caso: Identificación oficial y, cuando aplique, oficio de acreditación del Representante, y </w:t>
      </w:r>
    </w:p>
    <w:p w14:paraId="1AC0D6AD" w14:textId="77777777" w:rsidR="00FE0AC2" w:rsidRPr="00361669" w:rsidRDefault="00C3495C">
      <w:pPr>
        <w:spacing w:before="240" w:after="240" w:line="276" w:lineRule="auto"/>
        <w:ind w:left="720" w:right="851"/>
        <w:jc w:val="both"/>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i/>
          <w:sz w:val="22"/>
          <w:szCs w:val="22"/>
        </w:rPr>
        <w:t>V. Testigos: Identificación oficial.” (Sic)</w:t>
      </w:r>
    </w:p>
    <w:p w14:paraId="72F8770C" w14:textId="77777777" w:rsidR="00FE0AC2" w:rsidRPr="00361669" w:rsidRDefault="00C3495C">
      <w:pPr>
        <w:spacing w:before="240" w:after="240" w:line="360" w:lineRule="auto"/>
        <w:ind w:right="49"/>
        <w:jc w:val="both"/>
        <w:rPr>
          <w:rFonts w:ascii="Palatino Linotype" w:eastAsia="Palatino Linotype" w:hAnsi="Palatino Linotype" w:cs="Palatino Linotype"/>
        </w:rPr>
      </w:pPr>
      <w:r w:rsidRPr="00361669">
        <w:rPr>
          <w:rFonts w:ascii="Palatino Linotype" w:eastAsia="Palatino Linotype" w:hAnsi="Palatino Linotype" w:cs="Palatino Linotype"/>
        </w:rPr>
        <w:t>De lo transcrito</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queda en evidencia que el acta de entrega-recepción es el instrumento jurídico que formaliza el acto de entrega-recepción, en el que se establecen los datos de los participantes, la relación de la información y el soporte documental de la gestión municipal, observaciones, firmas y anexos.</w:t>
      </w:r>
    </w:p>
    <w:p w14:paraId="40FBFD26"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lastRenderedPageBreak/>
        <w:t xml:space="preserve">Además, el artículo 4, fracción III, inciso a, de los Lineamientos citados, establece que los servidores públicos entrantes y salientes de unidades administrativas, entre las cuales se encuentra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deben generar el procedimiento administrativo de entrega-recepción. Por su parte el artículo 6, fracciones I y II de los Lineamientos, el Síndico participará en la entrega-recepción de la persona titular del Órgano Interno de Control Municipal; mientras que la persona titular del Órgano Interno de Control Municipal participará en la entrega-recepción de los servidores públicos titulares o encargados de despacho de las dependencias y de los servidores públicos del municipio que, por la naturaleza e importancia de sus funciones, deban realizar el acto de entrega recepción, asimismo, el artículo 9 de los lineamientos establece que las personas titulares de los Órganos Internos de Control deben resguardar toda la documentación e información que se genere con motivo de los actos de entrega recepción y/o actas administrativas, en términos de la Ley General de Archivos y demás disposiciones legales aplicables. Mientras que el artículo 13, de los Lineamientos que regulan la entrega-recepción de la Administración Pública Municipal del Estado de México, precisa que el procedimiento administrativo de entrega-recepción, se realizará cuando el servidor público culmine con el periodo constitucional municipal, o cuando se ausente o separe del empleo, cargo o comisión.</w:t>
      </w:r>
    </w:p>
    <w:p w14:paraId="1E2B62F7" w14:textId="77777777" w:rsidR="00FE0AC2" w:rsidRPr="00361669" w:rsidRDefault="00FE0AC2">
      <w:pPr>
        <w:spacing w:line="360" w:lineRule="auto"/>
        <w:jc w:val="both"/>
        <w:rPr>
          <w:rFonts w:ascii="Palatino Linotype" w:eastAsia="Palatino Linotype" w:hAnsi="Palatino Linotype" w:cs="Palatino Linotype"/>
        </w:rPr>
      </w:pPr>
    </w:p>
    <w:p w14:paraId="01804E23"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De igual forma, es oportuno mencionar que el acta de entrega recepción describe los siguientes rubros:</w:t>
      </w:r>
    </w:p>
    <w:p w14:paraId="3242553B" w14:textId="77777777" w:rsidR="00FE0AC2" w:rsidRPr="00361669" w:rsidRDefault="00FE0AC2">
      <w:pPr>
        <w:spacing w:line="360" w:lineRule="auto"/>
        <w:jc w:val="both"/>
        <w:rPr>
          <w:rFonts w:ascii="Palatino Linotype" w:eastAsia="Palatino Linotype" w:hAnsi="Palatino Linotype" w:cs="Palatino Linotype"/>
        </w:rPr>
      </w:pPr>
    </w:p>
    <w:p w14:paraId="35CC7AF9"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“Artículo 20. El acta de entrega-recepción describe los rubros siguientes: </w:t>
      </w:r>
    </w:p>
    <w:p w14:paraId="00966CD4"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lastRenderedPageBreak/>
        <w:t xml:space="preserve">I. Información de la oficina que se entrega; </w:t>
      </w:r>
    </w:p>
    <w:p w14:paraId="25D9AC07"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II. Información de evaluación programática;</w:t>
      </w:r>
    </w:p>
    <w:p w14:paraId="2AA94610"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III. Información administrativa; </w:t>
      </w:r>
    </w:p>
    <w:p w14:paraId="3AF197A9"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IV. Información financiera; </w:t>
      </w:r>
    </w:p>
    <w:p w14:paraId="6154074C"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 Información laboral; </w:t>
      </w:r>
    </w:p>
    <w:p w14:paraId="6FA8C91F"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VI. Información catastral; </w:t>
      </w:r>
    </w:p>
    <w:p w14:paraId="39389449"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VII. Información de obras públicas; </w:t>
      </w:r>
    </w:p>
    <w:p w14:paraId="4A9D8F42"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VIII. Información general de la entidad fiscalizable; </w:t>
      </w:r>
    </w:p>
    <w:p w14:paraId="198DAF8B" w14:textId="77777777" w:rsidR="00FE0AC2" w:rsidRPr="00361669" w:rsidRDefault="00C3495C">
      <w:pPr>
        <w:spacing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IX. Información patrimonial de la entidad fiscalizable, e </w:t>
      </w:r>
    </w:p>
    <w:p w14:paraId="6B9435CB" w14:textId="77777777" w:rsidR="00FE0AC2" w:rsidRPr="00361669" w:rsidRDefault="00C3495C">
      <w:pPr>
        <w:spacing w:after="80" w:line="360" w:lineRule="auto"/>
        <w:ind w:left="851"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X. </w:t>
      </w:r>
      <w:proofErr w:type="spellStart"/>
      <w:r w:rsidRPr="00361669">
        <w:rPr>
          <w:rFonts w:ascii="Palatino Linotype" w:eastAsia="Palatino Linotype" w:hAnsi="Palatino Linotype" w:cs="Palatino Linotype"/>
          <w:i/>
          <w:sz w:val="22"/>
          <w:szCs w:val="22"/>
        </w:rPr>
        <w:t>Información</w:t>
      </w:r>
      <w:proofErr w:type="spellEnd"/>
      <w:r w:rsidRPr="00361669">
        <w:rPr>
          <w:rFonts w:ascii="Palatino Linotype" w:eastAsia="Palatino Linotype" w:hAnsi="Palatino Linotype" w:cs="Palatino Linotype"/>
          <w:i/>
          <w:sz w:val="22"/>
          <w:szCs w:val="22"/>
        </w:rPr>
        <w:t xml:space="preserve"> adicional.” </w:t>
      </w:r>
    </w:p>
    <w:p w14:paraId="2FE0A5D5" w14:textId="77777777" w:rsidR="00FE0AC2" w:rsidRPr="00361669" w:rsidRDefault="00C3495C">
      <w:pPr>
        <w:spacing w:before="80" w:after="240" w:line="360" w:lineRule="auto"/>
        <w:ind w:right="49"/>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Es por lo anteriormente analizado que se colige que están obligados a observar esos lineamientos los servidores públicos entrantes y salientes, de la Administración Pública Municipal, </w:t>
      </w:r>
      <w:r w:rsidRPr="00361669">
        <w:rPr>
          <w:rFonts w:ascii="Palatino Linotype" w:eastAsia="Palatino Linotype" w:hAnsi="Palatino Linotype" w:cs="Palatino Linotype"/>
          <w:b/>
        </w:rPr>
        <w:t>desde el Presidente Municipal</w:t>
      </w:r>
      <w:r w:rsidRPr="00361669">
        <w:rPr>
          <w:rFonts w:ascii="Palatino Linotype" w:eastAsia="Palatino Linotype" w:hAnsi="Palatino Linotype" w:cs="Palatino Linotype"/>
        </w:rPr>
        <w:t xml:space="preserve">, Síndicos y Regidores, </w:t>
      </w:r>
      <w:r w:rsidRPr="00361669">
        <w:rPr>
          <w:rFonts w:ascii="Palatino Linotype" w:eastAsia="Palatino Linotype" w:hAnsi="Palatino Linotype" w:cs="Palatino Linotype"/>
          <w:b/>
        </w:rPr>
        <w:t>titulares de dependencias</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y unidades administrativas, hasta el nivel jerárquico correspondiente a jefes de departamento o sus equivalentes</w:t>
      </w:r>
      <w:r w:rsidRPr="00361669">
        <w:rPr>
          <w:rFonts w:ascii="Palatino Linotype" w:eastAsia="Palatino Linotype" w:hAnsi="Palatino Linotype" w:cs="Palatino Linotype"/>
        </w:rPr>
        <w:t>, y a los demás servidores públicos que, por la naturaleza e importancia de sus funciones, deban realizar el acto de entrega-recepción.</w:t>
      </w:r>
    </w:p>
    <w:p w14:paraId="5846A43C" w14:textId="77777777" w:rsidR="00FE0AC2" w:rsidRPr="00361669" w:rsidRDefault="00C3495C">
      <w:pPr>
        <w:spacing w:before="240" w:after="240" w:line="360" w:lineRule="auto"/>
        <w:ind w:right="49"/>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Por lo anterior, queda clara la obligación que le constriñe al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de conocer de las documentales que el particular les está requiriendo; esto es, el acta de entrega recepción de la</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 xml:space="preserve">Presidencia Municipal y la Unidad de Transparencia. </w:t>
      </w:r>
    </w:p>
    <w:p w14:paraId="2917730E"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Teniendo estas premisas en cuenta, se reitera que al no turnarse las solicitudes a los servidores públicos habilitados, no se satisfizo en su totalidad el derecho de acceso el derecho de acceso a la información pública del ahora </w:t>
      </w:r>
      <w:r w:rsidRPr="00361669">
        <w:rPr>
          <w:rFonts w:ascii="Palatino Linotype" w:eastAsia="Palatino Linotype" w:hAnsi="Palatino Linotype" w:cs="Palatino Linotype"/>
          <w:b/>
        </w:rPr>
        <w:t>Recurrente</w:t>
      </w:r>
      <w:r w:rsidRPr="00361669">
        <w:rPr>
          <w:rFonts w:ascii="Palatino Linotype" w:eastAsia="Palatino Linotype" w:hAnsi="Palatino Linotype" w:cs="Palatino Linotype"/>
        </w:rPr>
        <w:t xml:space="preserve">, toda vez que se </w:t>
      </w:r>
      <w:r w:rsidRPr="00361669">
        <w:rPr>
          <w:rFonts w:ascii="Palatino Linotype" w:eastAsia="Palatino Linotype" w:hAnsi="Palatino Linotype" w:cs="Palatino Linotype"/>
        </w:rPr>
        <w:lastRenderedPageBreak/>
        <w:t xml:space="preserve">incumplió con el principio de exhaustividad, pues se reitera que no existe una correcta búsqueda exhaustiva y razonable de la información solicitada por la Particular, lo anterior es así, en razón de que como se verá en las próximas líneas argumentativas, para otorgar mayor certeza jurídica al particular de que se realizaron las gestiones necesarias para obtener la información, dichos requerimientos debieron turnarse a su vez a los servidores públicos habilitados competentes, en ese sentido, concierne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03A5B116"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6875A09"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1195B1DC"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36D50D4E"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lastRenderedPageBreak/>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66C2EA6"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F464A75" w14:textId="77777777" w:rsidR="00FE0AC2" w:rsidRPr="00361669" w:rsidRDefault="00C3495C">
      <w:pPr>
        <w:spacing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6A32E2A" w14:textId="77777777" w:rsidR="00FE0AC2" w:rsidRPr="00361669" w:rsidRDefault="00C3495C">
      <w:pPr>
        <w:shd w:val="clear" w:color="auto" w:fill="FFFFFF"/>
        <w:spacing w:before="240" w:after="240" w:line="360" w:lineRule="auto"/>
        <w:jc w:val="both"/>
        <w:rPr>
          <w:rFonts w:ascii="Palatino Linotype" w:eastAsia="Palatino Linotype" w:hAnsi="Palatino Linotype" w:cs="Palatino Linotype"/>
          <w:b/>
          <w:color w:val="000000"/>
        </w:rPr>
      </w:pPr>
      <w:r w:rsidRPr="00361669">
        <w:rPr>
          <w:rFonts w:ascii="Palatino Linotype" w:eastAsia="Palatino Linotype" w:hAnsi="Palatino Linotype" w:cs="Palatino Linotype"/>
        </w:rPr>
        <w:t xml:space="preserve">En este orden de ideas, se reitera que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debió turnar la solicitud a las áreas competentes para conocer de la solicitud de información para efecto de que emitieran su respuesta dentro de los plazos establecidos por la legislación.</w:t>
      </w:r>
    </w:p>
    <w:p w14:paraId="1D2EDBEC" w14:textId="77777777" w:rsidR="00FE0AC2" w:rsidRPr="00361669" w:rsidRDefault="00C3495C">
      <w:pPr>
        <w:spacing w:before="240" w:after="240" w:line="360" w:lineRule="auto"/>
        <w:ind w:right="49"/>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rPr>
        <w:t xml:space="preserve">Acotado lo anterior, resulta importante destacar que en efecto,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no garantizó el derecho de acceso a la información del particular, toda vez que dentro de los plazos establecidos por la legislación, no otorgó respuesta, aunado al </w:t>
      </w:r>
      <w:r w:rsidRPr="00361669">
        <w:rPr>
          <w:rFonts w:ascii="Palatino Linotype" w:eastAsia="Palatino Linotype" w:hAnsi="Palatino Linotype" w:cs="Palatino Linotype"/>
        </w:rPr>
        <w:lastRenderedPageBreak/>
        <w:t xml:space="preserve">hecho de que ya hubo una primera resolución que no fue atendida, por lo que en términos del marco normativo planteado, el </w:t>
      </w:r>
      <w:r w:rsidRPr="00361669">
        <w:rPr>
          <w:rFonts w:ascii="Palatino Linotype" w:eastAsia="Palatino Linotype" w:hAnsi="Palatino Linotype" w:cs="Palatino Linotype"/>
          <w:b/>
        </w:rPr>
        <w:t>Ayuntamiento de Zinacantepec</w:t>
      </w:r>
      <w:r w:rsidRPr="00361669">
        <w:rPr>
          <w:rFonts w:ascii="Palatino Linotype" w:eastAsia="Palatino Linotype" w:hAnsi="Palatino Linotype" w:cs="Palatino Linotype"/>
        </w:rPr>
        <w:t xml:space="preserve"> puede generar, poseer o administrar los oficios materia de la solicitud, y en consecuencia, resulta pertinente ordenar la entrega de las últimas actas de entrega –recepción generadas por la unidad de transparencia y presidencia municipal</w:t>
      </w:r>
      <w:r w:rsidRPr="00361669">
        <w:rPr>
          <w:rFonts w:ascii="Palatino Linotype" w:eastAsia="Palatino Linotype" w:hAnsi="Palatino Linotype" w:cs="Palatino Linotype"/>
          <w:color w:val="000000"/>
        </w:rPr>
        <w:t>, en versión pública de ser procedente, ello conforme al siguiente considerando.</w:t>
      </w:r>
    </w:p>
    <w:p w14:paraId="29B7BE55"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Quinto. Versión Pública. </w:t>
      </w:r>
      <w:r w:rsidRPr="00361669">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90D954E" w14:textId="77777777" w:rsidR="00FE0AC2" w:rsidRPr="00361669" w:rsidRDefault="00C3495C">
      <w:pPr>
        <w:spacing w:before="240" w:after="240" w:line="360" w:lineRule="auto"/>
        <w:ind w:right="50"/>
        <w:jc w:val="both"/>
        <w:rPr>
          <w:rFonts w:ascii="Palatino Linotype" w:eastAsia="Palatino Linotype" w:hAnsi="Palatino Linotype" w:cs="Palatino Linotype"/>
        </w:rPr>
      </w:pPr>
      <w:r w:rsidRPr="00361669">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69257D51"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r w:rsidRPr="00361669">
        <w:rPr>
          <w:rFonts w:ascii="Palatino Linotype" w:eastAsia="Palatino Linotype" w:hAnsi="Palatino Linotype" w:cs="Palatino Linotype"/>
          <w:b/>
          <w:i/>
          <w:sz w:val="22"/>
          <w:szCs w:val="22"/>
        </w:rPr>
        <w:t>Artículo 3</w:t>
      </w:r>
      <w:r w:rsidRPr="00361669">
        <w:rPr>
          <w:rFonts w:ascii="Palatino Linotype" w:eastAsia="Palatino Linotype" w:hAnsi="Palatino Linotype" w:cs="Palatino Linotype"/>
          <w:i/>
          <w:sz w:val="22"/>
          <w:szCs w:val="22"/>
        </w:rPr>
        <w:t>. Para los efectos de la presente Ley se entenderá por:</w:t>
      </w:r>
    </w:p>
    <w:p w14:paraId="5E457E2A"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2B06071F"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lastRenderedPageBreak/>
        <w:t>IX. Datos personales:</w:t>
      </w:r>
      <w:r w:rsidRPr="0036166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14BFF63"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XX. Información clasificada</w:t>
      </w:r>
      <w:r w:rsidRPr="00361669">
        <w:rPr>
          <w:rFonts w:ascii="Palatino Linotype" w:eastAsia="Palatino Linotype" w:hAnsi="Palatino Linotype" w:cs="Palatino Linotype"/>
          <w:i/>
          <w:sz w:val="22"/>
          <w:szCs w:val="22"/>
        </w:rPr>
        <w:t>: Aquella considerada por la presente Ley como reservada o confidencial;</w:t>
      </w:r>
    </w:p>
    <w:p w14:paraId="7B914B9C"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XXI. Información confidencial:</w:t>
      </w:r>
      <w:r w:rsidRPr="0036166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0E86ED"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XLV. Versión pública:</w:t>
      </w:r>
      <w:r w:rsidRPr="0036166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85AF144"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73E675E6"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Artículo 91. </w:t>
      </w:r>
      <w:r w:rsidRPr="0036166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45DB3C"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 xml:space="preserve">Artículo 132. </w:t>
      </w:r>
      <w:r w:rsidRPr="00361669">
        <w:rPr>
          <w:rFonts w:ascii="Palatino Linotype" w:eastAsia="Palatino Linotype" w:hAnsi="Palatino Linotype" w:cs="Palatino Linotype"/>
          <w:i/>
          <w:sz w:val="22"/>
          <w:szCs w:val="22"/>
        </w:rPr>
        <w:t>La clasificación de la información se llevará a cabo en el momento en que:</w:t>
      </w:r>
    </w:p>
    <w:p w14:paraId="71F86F2D"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w:t>
      </w:r>
      <w:r w:rsidRPr="00361669">
        <w:rPr>
          <w:rFonts w:ascii="Palatino Linotype" w:eastAsia="Palatino Linotype" w:hAnsi="Palatino Linotype" w:cs="Palatino Linotype"/>
          <w:i/>
          <w:sz w:val="22"/>
          <w:szCs w:val="22"/>
        </w:rPr>
        <w:t>. Se reciba una solicitud de acceso a la información;</w:t>
      </w:r>
    </w:p>
    <w:p w14:paraId="62CDFE37"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II</w:t>
      </w:r>
      <w:r w:rsidRPr="00361669">
        <w:rPr>
          <w:rFonts w:ascii="Palatino Linotype" w:eastAsia="Palatino Linotype" w:hAnsi="Palatino Linotype" w:cs="Palatino Linotype"/>
          <w:i/>
          <w:sz w:val="22"/>
          <w:szCs w:val="22"/>
        </w:rPr>
        <w:t>. Se determine mediante resolución de autoridad competente; o</w:t>
      </w:r>
    </w:p>
    <w:p w14:paraId="139E8157"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III</w:t>
      </w:r>
      <w:r w:rsidRPr="00361669">
        <w:rPr>
          <w:rFonts w:ascii="Palatino Linotype" w:eastAsia="Palatino Linotype" w:hAnsi="Palatino Linotype" w:cs="Palatino Linotype"/>
          <w:i/>
          <w:sz w:val="22"/>
          <w:szCs w:val="22"/>
        </w:rPr>
        <w:t>. Se generen versiones públicas para dar cumplimiento a las obligaciones de transparencia previstas en esta Ley.</w:t>
      </w:r>
    </w:p>
    <w:p w14:paraId="42D495A9"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w:t>
      </w:r>
    </w:p>
    <w:p w14:paraId="707E50EE"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Artículo 143</w:t>
      </w:r>
      <w:r w:rsidRPr="0036166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F3A0D0"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w:t>
      </w:r>
      <w:r w:rsidRPr="0036166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56D2A32"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II.</w:t>
      </w:r>
      <w:r w:rsidRPr="0036166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7F8A9CF"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III</w:t>
      </w:r>
      <w:r w:rsidRPr="00361669">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9976EE6"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1863B67" w14:textId="77777777" w:rsidR="00FE0AC2" w:rsidRPr="00361669" w:rsidRDefault="00C3495C">
      <w:pPr>
        <w:spacing w:before="120" w:after="120"/>
        <w:ind w:left="567" w:right="902"/>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5A1D40D"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C50FDAB"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Entorno a lo que aquí nos interesa,</w:t>
      </w:r>
      <w:r w:rsidRPr="00361669">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361669">
        <w:rPr>
          <w:rFonts w:ascii="Palatino Linotype" w:eastAsia="Palatino Linotype" w:hAnsi="Palatino Linotype" w:cs="Palatino Linotype"/>
        </w:rPr>
        <w:t xml:space="preserve"> señalan las formalidades que deberá llevar el acuerdo de clasificación que deberá emitir el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siendo estas las siguientes:</w:t>
      </w:r>
    </w:p>
    <w:p w14:paraId="2A206835" w14:textId="77777777" w:rsidR="00FE0AC2" w:rsidRPr="00361669" w:rsidRDefault="00FE0AC2">
      <w:pPr>
        <w:spacing w:line="360" w:lineRule="auto"/>
        <w:jc w:val="both"/>
        <w:rPr>
          <w:rFonts w:ascii="Palatino Linotype" w:eastAsia="Palatino Linotype" w:hAnsi="Palatino Linotype" w:cs="Palatino Linotype"/>
        </w:rPr>
      </w:pPr>
    </w:p>
    <w:p w14:paraId="384A7FFD" w14:textId="77777777" w:rsidR="00FE0AC2" w:rsidRPr="00361669" w:rsidRDefault="00C3495C">
      <w:pPr>
        <w:spacing w:line="276" w:lineRule="auto"/>
        <w:ind w:left="567"/>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“CAPÍTULO VIII </w:t>
      </w:r>
    </w:p>
    <w:p w14:paraId="1D1CD25F" w14:textId="77777777" w:rsidR="00FE0AC2" w:rsidRPr="00361669" w:rsidRDefault="00C3495C">
      <w:pPr>
        <w:spacing w:line="276" w:lineRule="auto"/>
        <w:ind w:left="567"/>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DE LOS ELEMENTOS PARA LA CLASIFICACIÓN </w:t>
      </w:r>
    </w:p>
    <w:p w14:paraId="75BF4898" w14:textId="77777777" w:rsidR="00FE0AC2" w:rsidRPr="00361669" w:rsidRDefault="00C3495C">
      <w:pPr>
        <w:spacing w:line="276" w:lineRule="auto"/>
        <w:ind w:left="567"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Quincuagésimo.</w:t>
      </w:r>
      <w:r w:rsidRPr="0036166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650F75D" w14:textId="77777777" w:rsidR="00FE0AC2" w:rsidRPr="00361669" w:rsidRDefault="00C3495C">
      <w:pPr>
        <w:spacing w:line="276" w:lineRule="auto"/>
        <w:ind w:left="567" w:right="900"/>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b/>
          <w:i/>
          <w:sz w:val="22"/>
          <w:szCs w:val="22"/>
        </w:rPr>
        <w:t>Quincuagésimo primero.</w:t>
      </w:r>
      <w:r w:rsidRPr="00361669">
        <w:rPr>
          <w:rFonts w:ascii="Palatino Linotype" w:eastAsia="Palatino Linotype" w:hAnsi="Palatino Linotype" w:cs="Palatino Linotype"/>
          <w:i/>
          <w:sz w:val="22"/>
          <w:szCs w:val="22"/>
        </w:rPr>
        <w:t xml:space="preserve"> Toda acta del Comité de Transparencia deberá contener: </w:t>
      </w:r>
    </w:p>
    <w:p w14:paraId="2B2E8646" w14:textId="77777777" w:rsidR="00FE0AC2" w:rsidRPr="00361669" w:rsidRDefault="00C3495C">
      <w:pPr>
        <w:numPr>
          <w:ilvl w:val="1"/>
          <w:numId w:val="1"/>
        </w:num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El número de sesión y fecha; </w:t>
      </w:r>
    </w:p>
    <w:p w14:paraId="32E1FCF4" w14:textId="77777777" w:rsidR="00FE0AC2" w:rsidRPr="00361669" w:rsidRDefault="00C3495C">
      <w:pPr>
        <w:numPr>
          <w:ilvl w:val="1"/>
          <w:numId w:val="1"/>
        </w:num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lastRenderedPageBreak/>
        <w:t xml:space="preserve">El nombre del área que solicitó la clasificación de información; </w:t>
      </w:r>
    </w:p>
    <w:p w14:paraId="22B1E818" w14:textId="77777777" w:rsidR="00FE0AC2" w:rsidRPr="00361669" w:rsidRDefault="00C3495C">
      <w:pPr>
        <w:numPr>
          <w:ilvl w:val="1"/>
          <w:numId w:val="1"/>
        </w:num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La fundamentación legal y motivación correspondiente; </w:t>
      </w:r>
    </w:p>
    <w:p w14:paraId="1E21B730" w14:textId="77777777" w:rsidR="00FE0AC2" w:rsidRPr="00361669" w:rsidRDefault="00C3495C">
      <w:pPr>
        <w:numPr>
          <w:ilvl w:val="1"/>
          <w:numId w:val="1"/>
        </w:num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La resolución o resoluciones aprobadas; y </w:t>
      </w:r>
    </w:p>
    <w:p w14:paraId="0E7D7772" w14:textId="77777777" w:rsidR="00FE0AC2" w:rsidRPr="00361669" w:rsidRDefault="00C3495C">
      <w:pPr>
        <w:numPr>
          <w:ilvl w:val="1"/>
          <w:numId w:val="1"/>
        </w:num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La rúbrica o firma digital de cada integrante del Comité de Transparencia. </w:t>
      </w:r>
    </w:p>
    <w:p w14:paraId="7E5BFD11"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2A087F45"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23074AEB"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II. Descripción de las partes o secciones reservadas, en caso de clasificación parcial; </w:t>
      </w:r>
    </w:p>
    <w:p w14:paraId="69D1CC78"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III. El periodo por el que mantendrá su clasificación y fecha de expiración; y </w:t>
      </w:r>
    </w:p>
    <w:p w14:paraId="309E1327"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3B5186CD"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41AD32D3"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61669">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C83A604"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b/>
          <w:i/>
          <w:color w:val="000000"/>
          <w:sz w:val="22"/>
          <w:szCs w:val="22"/>
        </w:rPr>
        <w:t xml:space="preserve">Quincuagésimo segundo. </w:t>
      </w:r>
      <w:r w:rsidRPr="00361669">
        <w:rPr>
          <w:rFonts w:ascii="Palatino Linotype" w:eastAsia="Palatino Linotype" w:hAnsi="Palatino Linotype" w:cs="Palatino Linotype"/>
          <w:i/>
          <w:color w:val="000000"/>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184A75E"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691598AA"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I. Fijar la fecha en que se elaboró la versión pública y la fecha en la cual el Comité de</w:t>
      </w:r>
    </w:p>
    <w:p w14:paraId="7C8E9196"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Transparencia confirmó dicha versión;</w:t>
      </w:r>
    </w:p>
    <w:p w14:paraId="047433E9"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78F83467"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III. Señalar las personas o instancias autorizadas a acceder a la información clasificada.</w:t>
      </w:r>
    </w:p>
    <w:p w14:paraId="64FF4D8D"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lastRenderedPageBreak/>
        <w:t>En los documentos de difusión electrónica, señalar en la primera hoja y en el nombre del archivo, que la versión pública corresponde a un documento que contiene información confidencial.</w:t>
      </w:r>
      <w:r w:rsidRPr="00361669">
        <w:rPr>
          <w:noProof/>
          <w:lang w:eastAsia="es-MX"/>
        </w:rPr>
        <w:drawing>
          <wp:anchor distT="0" distB="0" distL="114300" distR="114300" simplePos="0" relativeHeight="251660288" behindDoc="0" locked="0" layoutInCell="1" hidden="0" allowOverlap="1" wp14:anchorId="2EAEF74E" wp14:editId="095243D4">
            <wp:simplePos x="0" y="0"/>
            <wp:positionH relativeFrom="column">
              <wp:posOffset>377190</wp:posOffset>
            </wp:positionH>
            <wp:positionV relativeFrom="paragraph">
              <wp:posOffset>798830</wp:posOffset>
            </wp:positionV>
            <wp:extent cx="4568190" cy="330200"/>
            <wp:effectExtent l="0" t="0" r="0" b="0"/>
            <wp:wrapTopAndBottom distT="0" distB="0"/>
            <wp:docPr id="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p>
    <w:p w14:paraId="314EF70F"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361669">
        <w:rPr>
          <w:rFonts w:ascii="Palatino Linotype" w:eastAsia="Palatino Linotype" w:hAnsi="Palatino Linotype" w:cs="Palatino Linotype"/>
          <w:b/>
          <w:i/>
          <w:noProof/>
          <w:color w:val="000000"/>
          <w:sz w:val="22"/>
          <w:szCs w:val="22"/>
          <w:lang w:eastAsia="es-MX"/>
        </w:rPr>
        <w:drawing>
          <wp:inline distT="0" distB="0" distL="0" distR="0" wp14:anchorId="3400E359" wp14:editId="211EA42D">
            <wp:extent cx="4576404" cy="5139653"/>
            <wp:effectExtent l="0" t="0" r="0" b="0"/>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3D68D650" w14:textId="77777777" w:rsidR="00FE0AC2" w:rsidRPr="00361669" w:rsidRDefault="00FE0AC2">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79F2890F"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b/>
          <w:i/>
          <w:color w:val="000000"/>
          <w:sz w:val="22"/>
          <w:szCs w:val="22"/>
        </w:rPr>
        <w:t xml:space="preserve">Quincuagésimo cuarto. </w:t>
      </w:r>
      <w:r w:rsidRPr="00361669">
        <w:rPr>
          <w:rFonts w:ascii="Palatino Linotype" w:eastAsia="Palatino Linotype" w:hAnsi="Palatino Linotype" w:cs="Palatino Linotype"/>
          <w:i/>
          <w:color w:val="000000"/>
          <w:sz w:val="22"/>
          <w:szCs w:val="22"/>
        </w:rPr>
        <w:t xml:space="preserve">Cuando el Comité de Transparencia confirme la clasificación de documentos reservados y/o confidenciales, sea total o parcialmente; se deberá anexar al expediente la resolución que determinó la clasificación o, en su </w:t>
      </w:r>
      <w:r w:rsidRPr="00361669">
        <w:rPr>
          <w:rFonts w:ascii="Palatino Linotype" w:eastAsia="Palatino Linotype" w:hAnsi="Palatino Linotype" w:cs="Palatino Linotype"/>
          <w:i/>
          <w:color w:val="000000"/>
          <w:sz w:val="22"/>
          <w:szCs w:val="22"/>
        </w:rPr>
        <w:lastRenderedPageBreak/>
        <w:t>defecto, identificar en la carátula del expediente del cual formen parte, la fecha y sesión del Comité de Transparencia en la que se confirmó dicha clasificación.</w:t>
      </w:r>
    </w:p>
    <w:p w14:paraId="68810805" w14:textId="77777777" w:rsidR="00FE0AC2" w:rsidRPr="00361669" w:rsidRDefault="00FE0AC2">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391DA685" w14:textId="77777777" w:rsidR="00FE0AC2" w:rsidRPr="00361669" w:rsidRDefault="00C3495C">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b/>
          <w:i/>
          <w:color w:val="000000"/>
          <w:sz w:val="22"/>
          <w:szCs w:val="22"/>
        </w:rPr>
        <w:t xml:space="preserve">Quincuagésimo quinto. </w:t>
      </w:r>
      <w:r w:rsidRPr="00361669">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361669">
        <w:rPr>
          <w:rFonts w:ascii="Palatino Linotype" w:eastAsia="Palatino Linotype" w:hAnsi="Palatino Linotype" w:cs="Palatino Linotype"/>
          <w:i/>
          <w:color w:val="000000"/>
          <w:sz w:val="22"/>
          <w:szCs w:val="22"/>
        </w:rPr>
        <w:t>testado</w:t>
      </w:r>
      <w:proofErr w:type="spellEnd"/>
      <w:r w:rsidRPr="00361669">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418A1C13"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61669">
        <w:rPr>
          <w:rFonts w:ascii="Palatino Linotype" w:eastAsia="Palatino Linotype" w:hAnsi="Palatino Linotype" w:cs="Palatino Linotype"/>
          <w:b/>
        </w:rPr>
        <w:t>Sujeto Obligado</w:t>
      </w:r>
      <w:r w:rsidRPr="0036166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63E3FC" w14:textId="77777777" w:rsidR="006646A8" w:rsidRPr="00361669" w:rsidRDefault="006646A8" w:rsidP="00C3495C">
      <w:p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Ahora bien, con relación a las</w:t>
      </w:r>
      <w:r w:rsidR="00744A98" w:rsidRPr="00361669">
        <w:rPr>
          <w:rFonts w:ascii="Palatino Linotype" w:eastAsia="Palatino Linotype" w:hAnsi="Palatino Linotype" w:cs="Palatino Linotype"/>
        </w:rPr>
        <w:t xml:space="preserve"> observaciones de las</w:t>
      </w:r>
      <w:r w:rsidRPr="00361669">
        <w:rPr>
          <w:rFonts w:ascii="Palatino Linotype" w:eastAsia="Palatino Linotype" w:hAnsi="Palatino Linotype" w:cs="Palatino Linotype"/>
        </w:rPr>
        <w:t xml:space="preserve"> actas de entrega-recepción que serán materia de cumplimiento se destaca que</w:t>
      </w:r>
      <w:r w:rsidR="00744A98" w:rsidRPr="00361669">
        <w:rPr>
          <w:rFonts w:ascii="Palatino Linotype" w:eastAsia="Palatino Linotype" w:hAnsi="Palatino Linotype" w:cs="Palatino Linotype"/>
        </w:rPr>
        <w:t xml:space="preserve"> para el caso de que derivado de dichas observaciones</w:t>
      </w:r>
      <w:r w:rsidRPr="00361669">
        <w:rPr>
          <w:rFonts w:ascii="Palatino Linotype" w:eastAsia="Palatino Linotype" w:hAnsi="Palatino Linotype" w:cs="Palatino Linotype"/>
        </w:rPr>
        <w:t xml:space="preserve"> </w:t>
      </w:r>
      <w:r w:rsidR="00C3495C" w:rsidRPr="00361669">
        <w:rPr>
          <w:rFonts w:ascii="Palatino Linotype" w:eastAsia="Palatino Linotype" w:hAnsi="Palatino Linotype" w:cs="Palatino Linotype"/>
        </w:rPr>
        <w:t xml:space="preserve">se encuentre </w:t>
      </w:r>
      <w:r w:rsidR="00744A98" w:rsidRPr="00361669">
        <w:rPr>
          <w:rFonts w:ascii="Palatino Linotype" w:eastAsia="Palatino Linotype" w:hAnsi="Palatino Linotype" w:cs="Palatino Linotype"/>
        </w:rPr>
        <w:t xml:space="preserve">en trámite </w:t>
      </w:r>
      <w:r w:rsidR="00C3495C" w:rsidRPr="00361669">
        <w:rPr>
          <w:rFonts w:ascii="Palatino Linotype" w:eastAsia="Palatino Linotype" w:hAnsi="Palatino Linotype" w:cs="Palatino Linotype"/>
        </w:rPr>
        <w:t>algún tipo de</w:t>
      </w:r>
      <w:r w:rsidR="00744A98" w:rsidRPr="00361669">
        <w:rPr>
          <w:rFonts w:ascii="Palatino Linotype" w:eastAsia="Palatino Linotype" w:hAnsi="Palatino Linotype" w:cs="Palatino Linotype"/>
        </w:rPr>
        <w:t xml:space="preserve"> procedimiento de</w:t>
      </w:r>
      <w:r w:rsidR="00C3495C" w:rsidRPr="00361669">
        <w:rPr>
          <w:rFonts w:ascii="Palatino Linotype" w:eastAsia="Palatino Linotype" w:hAnsi="Palatino Linotype" w:cs="Palatino Linotype"/>
        </w:rPr>
        <w:t xml:space="preserve"> responsabilidad administra</w:t>
      </w:r>
      <w:r w:rsidR="00744A98" w:rsidRPr="00361669">
        <w:rPr>
          <w:rFonts w:ascii="Palatino Linotype" w:eastAsia="Palatino Linotype" w:hAnsi="Palatino Linotype" w:cs="Palatino Linotype"/>
        </w:rPr>
        <w:t>tiva</w:t>
      </w:r>
      <w:r w:rsidR="00C3495C" w:rsidRPr="00361669">
        <w:rPr>
          <w:rFonts w:ascii="Palatino Linotype" w:eastAsia="Palatino Linotype" w:hAnsi="Palatino Linotype" w:cs="Palatino Linotype"/>
        </w:rPr>
        <w:t xml:space="preserve">, el </w:t>
      </w:r>
      <w:r w:rsidR="00C3495C" w:rsidRPr="00361669">
        <w:rPr>
          <w:rFonts w:ascii="Palatino Linotype" w:eastAsia="Palatino Linotype" w:hAnsi="Palatino Linotype" w:cs="Palatino Linotype"/>
          <w:b/>
        </w:rPr>
        <w:t>Sujeto Obligado</w:t>
      </w:r>
      <w:r w:rsidR="00C3495C" w:rsidRPr="00361669">
        <w:rPr>
          <w:rFonts w:ascii="Palatino Linotype" w:eastAsia="Palatino Linotype" w:hAnsi="Palatino Linotype" w:cs="Palatino Linotype"/>
        </w:rPr>
        <w:t xml:space="preserve"> deberá emitir el Acuerdo del Comité de Transparencia, donde clasifique de manera fundada y motivada estos soportes documentales, ello en términos de los artículos 49, fracciones II y VIII, 140, </w:t>
      </w:r>
      <w:r w:rsidR="00C3495C" w:rsidRPr="00361669">
        <w:rPr>
          <w:rFonts w:ascii="Palatino Linotype" w:eastAsia="Palatino Linotype" w:hAnsi="Palatino Linotype" w:cs="Palatino Linotype"/>
        </w:rPr>
        <w:lastRenderedPageBreak/>
        <w:t>fracción VIII y 141 de la Ley de Transparencia y Acceso a la Información Pública del Estado de México y Municipios.</w:t>
      </w:r>
    </w:p>
    <w:p w14:paraId="152E27A5" w14:textId="77777777" w:rsidR="006646A8" w:rsidRPr="00361669" w:rsidRDefault="006646A8" w:rsidP="006646A8">
      <w:p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Bajo este contexto, se considera que en el supuesto de que la información se encuentre en alguno de los supuestos antes establecidos, el </w:t>
      </w:r>
      <w:r w:rsidRPr="00361669">
        <w:rPr>
          <w:rFonts w:ascii="Palatino Linotype" w:eastAsia="Palatino Linotype" w:hAnsi="Palatino Linotype" w:cs="Palatino Linotype"/>
          <w:b/>
        </w:rPr>
        <w:t>Sujeto Obligado</w:t>
      </w:r>
      <w:r w:rsidR="00BF48A7" w:rsidRPr="00361669">
        <w:rPr>
          <w:rFonts w:ascii="Palatino Linotype" w:eastAsia="Palatino Linotype" w:hAnsi="Palatino Linotype" w:cs="Palatino Linotype"/>
        </w:rPr>
        <w:t xml:space="preserve"> deberá clasificar las observaciones</w:t>
      </w:r>
      <w:r w:rsidRPr="00361669">
        <w:rPr>
          <w:rFonts w:ascii="Palatino Linotype" w:eastAsia="Palatino Linotype" w:hAnsi="Palatino Linotype" w:cs="Palatino Linotype"/>
        </w:rPr>
        <w:t>, emitiendo en su caso el acuerdo correspondiente</w:t>
      </w:r>
      <w:r w:rsidRPr="00361669">
        <w:rPr>
          <w:rFonts w:ascii="Palatino Linotype" w:eastAsia="Palatino Linotype" w:hAnsi="Palatino Linotype" w:cs="Palatino Linotype"/>
          <w:b/>
        </w:rPr>
        <w:t>,</w:t>
      </w:r>
      <w:r w:rsidRPr="00361669">
        <w:rPr>
          <w:rFonts w:ascii="Palatino Linotype" w:eastAsia="Palatino Linotype" w:hAnsi="Palatino Linotype" w:cs="Palatino Linotype"/>
        </w:rPr>
        <w:t xml:space="preserve"> luego entonces, para realizar la reserva de la información, no basta con invocar alguna de las causales previstas en la Ley de transparencia local. En sentido contrario, dicha valoración debe realizarse a través de lo que se conoce como </w:t>
      </w:r>
      <w:r w:rsidRPr="00361669">
        <w:rPr>
          <w:rFonts w:ascii="Palatino Linotype" w:eastAsia="Palatino Linotype" w:hAnsi="Palatino Linotype" w:cs="Palatino Linotype"/>
          <w:b/>
          <w:i/>
        </w:rPr>
        <w:t xml:space="preserve">“prueba de daño”, </w:t>
      </w:r>
      <w:r w:rsidRPr="00361669">
        <w:rPr>
          <w:rFonts w:ascii="Palatino Linotype" w:eastAsia="Palatino Linotype" w:hAnsi="Palatino Linotype" w:cs="Palatino Linotype"/>
        </w:rPr>
        <w:t>que consiste en exponer los argumentos y razones, basados en elementos objetivos o verificables, a partir de los cuales se derive que la divulgación de información, en particular, puede afectar, poner en riesgo o dañar el interés protegido</w:t>
      </w:r>
      <w:r w:rsidRPr="00361669">
        <w:rPr>
          <w:vertAlign w:val="superscript"/>
        </w:rPr>
        <w:footnoteReference w:id="3"/>
      </w:r>
      <w:r w:rsidRPr="00361669">
        <w:rPr>
          <w:rFonts w:ascii="Palatino Linotype" w:eastAsia="Palatino Linotype" w:hAnsi="Palatino Linotype" w:cs="Palatino Linotype"/>
        </w:rPr>
        <w:t>. Asimismo, ésta no debe basarse en meras especulaciones o suposiciones, sino en elementos objetivos que deban evaluar que existe un riego actual e inminente</w:t>
      </w:r>
      <w:r w:rsidRPr="00361669">
        <w:rPr>
          <w:vertAlign w:val="superscript"/>
        </w:rPr>
        <w:footnoteReference w:id="4"/>
      </w:r>
      <w:r w:rsidRPr="00361669">
        <w:rPr>
          <w:rFonts w:ascii="Palatino Linotype" w:eastAsia="Palatino Linotype" w:hAnsi="Palatino Linotype" w:cs="Palatino Linotype"/>
        </w:rPr>
        <w:t>.</w:t>
      </w:r>
    </w:p>
    <w:p w14:paraId="26B3AA67" w14:textId="77777777" w:rsidR="006646A8" w:rsidRPr="00361669" w:rsidRDefault="006646A8" w:rsidP="006646A8">
      <w:pPr>
        <w:spacing w:line="360" w:lineRule="auto"/>
        <w:jc w:val="both"/>
        <w:rPr>
          <w:rFonts w:ascii="Palatino Linotype" w:eastAsia="Palatino Linotype" w:hAnsi="Palatino Linotype" w:cs="Palatino Linotype"/>
          <w:b/>
        </w:rPr>
      </w:pPr>
    </w:p>
    <w:p w14:paraId="559CF381" w14:textId="77777777" w:rsidR="006646A8" w:rsidRPr="00361669" w:rsidRDefault="006646A8" w:rsidP="006646A8">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w:t>
      </w:r>
      <w:r w:rsidRPr="00361669">
        <w:rPr>
          <w:rFonts w:ascii="Palatino Linotype" w:eastAsia="Palatino Linotype" w:hAnsi="Palatino Linotype" w:cs="Palatino Linotype"/>
          <w:color w:val="000000"/>
        </w:rPr>
        <w:lastRenderedPageBreak/>
        <w:t xml:space="preserve">debe aplicarse caso por caso, esto es, no se puede hacer una prueba de daño de un expediente completo, </w:t>
      </w:r>
      <w:r w:rsidRPr="00361669">
        <w:rPr>
          <w:rFonts w:ascii="Palatino Linotype" w:eastAsia="Palatino Linotype" w:hAnsi="Palatino Linotype" w:cs="Palatino Linotype"/>
          <w:b/>
          <w:color w:val="000000"/>
          <w:u w:val="single"/>
        </w:rPr>
        <w:t>sino de cada uno de los documentos que lo integran</w:t>
      </w:r>
      <w:r w:rsidRPr="00361669">
        <w:rPr>
          <w:rFonts w:ascii="Palatino Linotype" w:eastAsia="Palatino Linotype" w:hAnsi="Palatino Linotype" w:cs="Palatino Linotype"/>
          <w:color w:val="000000"/>
        </w:rPr>
        <w:t>.</w:t>
      </w:r>
    </w:p>
    <w:p w14:paraId="01367DA6" w14:textId="77777777" w:rsidR="00BF48A7" w:rsidRPr="00361669" w:rsidRDefault="00BF48A7" w:rsidP="006646A8">
      <w:pPr>
        <w:spacing w:line="360" w:lineRule="auto"/>
        <w:jc w:val="both"/>
        <w:rPr>
          <w:rFonts w:ascii="Palatino Linotype" w:eastAsia="Palatino Linotype" w:hAnsi="Palatino Linotype" w:cs="Palatino Linotype"/>
          <w:color w:val="000000"/>
        </w:rPr>
      </w:pPr>
    </w:p>
    <w:p w14:paraId="227EFE5B" w14:textId="77777777" w:rsidR="006646A8" w:rsidRPr="00361669" w:rsidRDefault="006646A8" w:rsidP="006646A8">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Para aplicar la prueba de daño, se deberán de precisar las razones objetivas por las que la apertura genera una afectación, acreditando que:</w:t>
      </w:r>
    </w:p>
    <w:p w14:paraId="7CF0B39C" w14:textId="77777777" w:rsidR="00BF48A7" w:rsidRPr="00361669" w:rsidRDefault="00BF48A7" w:rsidP="006646A8">
      <w:pPr>
        <w:spacing w:line="360" w:lineRule="auto"/>
        <w:jc w:val="both"/>
        <w:rPr>
          <w:rFonts w:ascii="Palatino Linotype" w:eastAsia="Palatino Linotype" w:hAnsi="Palatino Linotype" w:cs="Palatino Linotype"/>
          <w:color w:val="000000"/>
        </w:rPr>
      </w:pPr>
    </w:p>
    <w:p w14:paraId="3927691C" w14:textId="77777777" w:rsidR="006646A8" w:rsidRPr="00361669" w:rsidRDefault="006646A8" w:rsidP="006646A8">
      <w:pPr>
        <w:widowControl w:val="0"/>
        <w:spacing w:after="240" w:line="360" w:lineRule="auto"/>
        <w:ind w:left="567" w:right="851"/>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 xml:space="preserve">I. La divulgación de la información representa un riesgo real, demostrable e identificable del perjuicio significativo al interés público o a la seguridad pública; </w:t>
      </w:r>
    </w:p>
    <w:p w14:paraId="37F83BF4" w14:textId="77777777" w:rsidR="006646A8" w:rsidRPr="00361669" w:rsidRDefault="006646A8" w:rsidP="006646A8">
      <w:pPr>
        <w:widowControl w:val="0"/>
        <w:spacing w:after="240" w:line="360" w:lineRule="auto"/>
        <w:ind w:left="567" w:right="851"/>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 xml:space="preserve">II. El riesgo de perjuicio que supondría la divulgación supera el interés público general de que se difunda; y </w:t>
      </w:r>
    </w:p>
    <w:p w14:paraId="4920BEE1" w14:textId="77777777" w:rsidR="006646A8" w:rsidRPr="00361669" w:rsidRDefault="006646A8" w:rsidP="006646A8">
      <w:pPr>
        <w:widowControl w:val="0"/>
        <w:spacing w:after="240" w:line="360" w:lineRule="auto"/>
        <w:ind w:left="567" w:right="851"/>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 xml:space="preserve">III. La limitación se adecua al principio de proporcionalidad y representa el medio menos restrictivo disponible para evitar el perjuicio. </w:t>
      </w:r>
    </w:p>
    <w:p w14:paraId="0847A345" w14:textId="77777777" w:rsidR="006646A8" w:rsidRPr="00361669" w:rsidRDefault="006646A8" w:rsidP="006646A8">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F4F4643" w14:textId="77777777" w:rsidR="00BF48A7" w:rsidRPr="00361669" w:rsidRDefault="00BF48A7" w:rsidP="006646A8">
      <w:pPr>
        <w:spacing w:line="360" w:lineRule="auto"/>
        <w:jc w:val="both"/>
        <w:rPr>
          <w:rFonts w:ascii="Palatino Linotype" w:eastAsia="Palatino Linotype" w:hAnsi="Palatino Linotype" w:cs="Palatino Linotype"/>
          <w:color w:val="000000"/>
        </w:rPr>
      </w:pPr>
    </w:p>
    <w:p w14:paraId="5F475B05" w14:textId="77777777" w:rsidR="006646A8" w:rsidRPr="00361669" w:rsidRDefault="006646A8" w:rsidP="006646A8">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lastRenderedPageBreak/>
        <w:t xml:space="preserve">Identificado ese riesgo, se debe demostrar que el mismo supera el interés público general porque se difunda dicha información. </w:t>
      </w:r>
    </w:p>
    <w:p w14:paraId="4F7BB11F" w14:textId="77777777" w:rsidR="00BF48A7" w:rsidRPr="00361669" w:rsidRDefault="00BF48A7" w:rsidP="006646A8">
      <w:pPr>
        <w:spacing w:line="360" w:lineRule="auto"/>
        <w:jc w:val="both"/>
        <w:rPr>
          <w:rFonts w:ascii="Palatino Linotype" w:eastAsia="Palatino Linotype" w:hAnsi="Palatino Linotype" w:cs="Palatino Linotype"/>
          <w:color w:val="000000"/>
        </w:rPr>
      </w:pPr>
    </w:p>
    <w:p w14:paraId="5746D817" w14:textId="77777777" w:rsidR="006646A8" w:rsidRPr="00361669" w:rsidRDefault="006646A8" w:rsidP="006646A8">
      <w:pPr>
        <w:spacing w:line="360" w:lineRule="auto"/>
        <w:jc w:val="both"/>
        <w:rPr>
          <w:rFonts w:ascii="Palatino Linotype" w:eastAsia="Palatino Linotype" w:hAnsi="Palatino Linotype" w:cs="Palatino Linotype"/>
          <w:color w:val="000000"/>
        </w:rPr>
      </w:pPr>
      <w:r w:rsidRPr="00361669">
        <w:rPr>
          <w:rFonts w:ascii="Palatino Linotype" w:eastAsia="Palatino Linotype" w:hAnsi="Palatino Linotype" w:cs="Palatino Linotype"/>
          <w:color w:val="000000"/>
        </w:rPr>
        <w:t>Y, por último,  que la limitación es acorde con el principio de proporcionalidad, para ello, se sugiere emplear los tres juicios propuestos por la Corte Constitucional Colombiana</w:t>
      </w:r>
      <w:r w:rsidRPr="00361669">
        <w:rPr>
          <w:rFonts w:ascii="Palatino Linotype" w:eastAsia="Palatino Linotype" w:hAnsi="Palatino Linotype" w:cs="Palatino Linotype"/>
          <w:color w:val="000000"/>
          <w:vertAlign w:val="superscript"/>
        </w:rPr>
        <w:footnoteReference w:id="5"/>
      </w:r>
      <w:r w:rsidRPr="00361669">
        <w:rPr>
          <w:rFonts w:ascii="Palatino Linotype" w:eastAsia="Palatino Linotype" w:hAnsi="Palatino Linotype" w:cs="Palatino Linotype"/>
          <w:color w:val="000000"/>
        </w:rPr>
        <w:t>, siguiendo el principio de ponderación propuesto por el Tribunal Constitucional Alemán,</w:t>
      </w:r>
      <w:r w:rsidRPr="00361669">
        <w:rPr>
          <w:rFonts w:ascii="Palatino Linotype" w:eastAsia="Palatino Linotype" w:hAnsi="Palatino Linotype" w:cs="Palatino Linotype"/>
          <w:color w:val="000000"/>
          <w:vertAlign w:val="superscript"/>
        </w:rPr>
        <w:footnoteReference w:id="6"/>
      </w:r>
      <w:r w:rsidRPr="00361669">
        <w:rPr>
          <w:rFonts w:ascii="Palatino Linotype" w:eastAsia="Palatino Linotype" w:hAnsi="Palatino Linotype" w:cs="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3DCBE6D" w14:textId="77777777" w:rsidR="006646A8" w:rsidRPr="00361669" w:rsidRDefault="006646A8" w:rsidP="006646A8">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color w:val="000000"/>
        </w:rPr>
        <w:lastRenderedPageBreak/>
        <w:t xml:space="preserve">Es así, que al configurarse tales requisitos, se otorga certidumbre jurídica y se protege la esfera más íntima del derecho humano constitucional y convencionalmente reconocido. </w:t>
      </w:r>
    </w:p>
    <w:p w14:paraId="56822DCB" w14:textId="77777777" w:rsidR="006646A8" w:rsidRPr="00361669" w:rsidRDefault="006646A8" w:rsidP="006646A8">
      <w:p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En virtud de lo anterior, se desprende que los Acuerdos de Reserva deberán de cumplir los siguientes parámetros de forma y fondo:</w:t>
      </w:r>
    </w:p>
    <w:p w14:paraId="5B23A88D"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Número de folio de la solicitud</w:t>
      </w:r>
    </w:p>
    <w:p w14:paraId="020600F8"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Referencia a la información solicitada</w:t>
      </w:r>
    </w:p>
    <w:p w14:paraId="3B5FD21B"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Causal aplicable del artículo 113 de la Ley General, vinculándola con el Lineamiento específico del presente ordenamiento y, cuando corresponda, el supuesto normativo que expresamente le otorga el carácter de información reservada</w:t>
      </w:r>
    </w:p>
    <w:p w14:paraId="660C2F80"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Fundamento y motivación legal</w:t>
      </w:r>
    </w:p>
    <w:p w14:paraId="7C871C3C"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Conexión entre los fundamentos y motivos que dieron origen a la reserva de la información</w:t>
      </w:r>
    </w:p>
    <w:p w14:paraId="665328B9" w14:textId="77777777" w:rsidR="006646A8" w:rsidRPr="00361669" w:rsidRDefault="006646A8" w:rsidP="006646A8">
      <w:pPr>
        <w:spacing w:before="240" w:line="360" w:lineRule="auto"/>
        <w:jc w:val="both"/>
        <w:rPr>
          <w:rFonts w:ascii="Palatino Linotype" w:eastAsia="Palatino Linotype" w:hAnsi="Palatino Linotype" w:cs="Palatino Linotype"/>
          <w:b/>
        </w:rPr>
      </w:pPr>
      <w:r w:rsidRPr="00361669">
        <w:rPr>
          <w:rFonts w:ascii="Palatino Linotype" w:eastAsia="Palatino Linotype" w:hAnsi="Palatino Linotype" w:cs="Palatino Linotype"/>
          <w:b/>
        </w:rPr>
        <w:t xml:space="preserve">Prueba de daño </w:t>
      </w:r>
    </w:p>
    <w:p w14:paraId="1F4E3606"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Riesgo real, demostrable e identificable (modo, tiempo y lugar)</w:t>
      </w:r>
    </w:p>
    <w:p w14:paraId="167B3E7A"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Temporalidad de la reserva de la información</w:t>
      </w:r>
    </w:p>
    <w:p w14:paraId="11188DF0" w14:textId="77777777" w:rsidR="006646A8" w:rsidRPr="00361669" w:rsidRDefault="006646A8" w:rsidP="006646A8">
      <w:pPr>
        <w:numPr>
          <w:ilvl w:val="0"/>
          <w:numId w:val="4"/>
        </w:num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Autoridades competentes </w:t>
      </w:r>
    </w:p>
    <w:p w14:paraId="7609EBD4" w14:textId="77777777" w:rsidR="006646A8" w:rsidRPr="00361669" w:rsidRDefault="006646A8" w:rsidP="006646A8">
      <w:p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lastRenderedPageBreak/>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75A91455" w14:textId="77777777" w:rsidR="006646A8" w:rsidRPr="00361669" w:rsidRDefault="006646A8" w:rsidP="006646A8">
      <w:pPr>
        <w:spacing w:before="240" w:after="160" w:line="276" w:lineRule="auto"/>
        <w:ind w:left="851" w:right="851"/>
        <w:jc w:val="center"/>
        <w:rPr>
          <w:rFonts w:ascii="Palatino Linotype" w:eastAsia="Palatino Linotype" w:hAnsi="Palatino Linotype" w:cs="Palatino Linotype"/>
          <w:b/>
          <w:i/>
          <w:sz w:val="22"/>
          <w:szCs w:val="22"/>
        </w:rPr>
      </w:pPr>
      <w:r w:rsidRPr="00361669">
        <w:rPr>
          <w:rFonts w:ascii="Palatino Linotype" w:eastAsia="Palatino Linotype" w:hAnsi="Palatino Linotype" w:cs="Palatino Linotype"/>
          <w:b/>
          <w:i/>
          <w:sz w:val="22"/>
          <w:szCs w:val="22"/>
        </w:rPr>
        <w:t xml:space="preserve">Ley de Transparencia y Acceso a la Información Pública del Estado de México y Municipios </w:t>
      </w:r>
    </w:p>
    <w:p w14:paraId="727DE581"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62DA83F7"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 Comprometa la seguridad pública y cuente con un propósito genuino y un efecto demostrable; </w:t>
      </w:r>
    </w:p>
    <w:p w14:paraId="74058F8A"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 Pueda menoscabar la conducción de las negociaciones y relaciones internacionales; </w:t>
      </w:r>
    </w:p>
    <w:p w14:paraId="1460A828"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B1FC64B"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IV. Ponga en riesgo la vida, la seguridad o la salud de una persona física; </w:t>
      </w:r>
    </w:p>
    <w:p w14:paraId="6D071B30"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b/>
          <w:i/>
          <w:sz w:val="22"/>
          <w:szCs w:val="22"/>
          <w:u w:val="single"/>
        </w:rPr>
      </w:pPr>
      <w:r w:rsidRPr="00361669">
        <w:rPr>
          <w:rFonts w:ascii="Palatino Linotype" w:eastAsia="Palatino Linotype" w:hAnsi="Palatino Linotype" w:cs="Palatino Linotype"/>
          <w:b/>
          <w:i/>
          <w:sz w:val="22"/>
          <w:szCs w:val="22"/>
          <w:u w:val="single"/>
        </w:rPr>
        <w:t xml:space="preserve">V. Aquella cuya divulgación obstruya o pueda causar un serio perjuicio a: </w:t>
      </w:r>
    </w:p>
    <w:p w14:paraId="44AAE883"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b/>
          <w:i/>
          <w:sz w:val="22"/>
          <w:szCs w:val="22"/>
          <w:u w:val="single"/>
        </w:rPr>
      </w:pPr>
      <w:r w:rsidRPr="00361669">
        <w:rPr>
          <w:rFonts w:ascii="Palatino Linotype" w:eastAsia="Palatino Linotype" w:hAnsi="Palatino Linotype" w:cs="Palatino Linotype"/>
          <w:b/>
          <w:i/>
          <w:sz w:val="22"/>
          <w:szCs w:val="22"/>
          <w:u w:val="single"/>
        </w:rPr>
        <w:t xml:space="preserve">1. Las actividades de fiscalización, verificación, inspección, comprobación y auditoría sobre el cumplimiento de las Leyes; o </w:t>
      </w:r>
    </w:p>
    <w:p w14:paraId="6BA6CEF7"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2. La recaudación de las contribuciones. </w:t>
      </w:r>
    </w:p>
    <w:p w14:paraId="795ED0B7"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579E767"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70AF3C0C"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0D9F8C34"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14:paraId="3CD25379"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BD925B7"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488D8BE"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rPr>
      </w:pPr>
      <w:r w:rsidRPr="00361669">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 (Sic)</w:t>
      </w:r>
    </w:p>
    <w:p w14:paraId="10EF9CDC" w14:textId="77777777" w:rsidR="006646A8" w:rsidRPr="00361669" w:rsidRDefault="006646A8" w:rsidP="006646A8">
      <w:pPr>
        <w:spacing w:before="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 xml:space="preserve">En virtud de lo anterior, resulta competencia del </w:t>
      </w:r>
      <w:r w:rsidRPr="00361669">
        <w:rPr>
          <w:rFonts w:ascii="Palatino Linotype" w:eastAsia="Palatino Linotype" w:hAnsi="Palatino Linotype" w:cs="Palatino Linotype"/>
          <w:b/>
        </w:rPr>
        <w:t xml:space="preserve">Sujeto Obligado </w:t>
      </w:r>
      <w:r w:rsidRPr="00361669">
        <w:rPr>
          <w:rFonts w:ascii="Palatino Linotype" w:eastAsia="Palatino Linotype" w:hAnsi="Palatino Linotype" w:cs="Palatino Linotype"/>
        </w:rPr>
        <w:t xml:space="preserve">apreciar el contenido de la información en cita, a efecto de valorar la posible actualización de </w:t>
      </w:r>
      <w:r w:rsidRPr="00361669">
        <w:rPr>
          <w:rFonts w:ascii="Palatino Linotype" w:eastAsia="Palatino Linotype" w:hAnsi="Palatino Linotype" w:cs="Palatino Linotype"/>
        </w:rPr>
        <w:lastRenderedPageBreak/>
        <w:t>una causal de reserva, y en consecuencia, proceder conforme a la pauta metodológica referida con anterioridad. Restricción que en términos del numeral 142 de la Ley de Transparencia local no podrá invocarse bajo los siguientes supuestos normativos:</w:t>
      </w:r>
    </w:p>
    <w:p w14:paraId="5361615D"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“Artículo 142. Bajo ninguna circunstancia podrá invocarse el carácter de reservado cuando:</w:t>
      </w:r>
    </w:p>
    <w:p w14:paraId="59E10486"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 I. Se trate de violaciones graves de derechos humanos, calificada así por autoridad competente; </w:t>
      </w:r>
    </w:p>
    <w:p w14:paraId="28777D6B"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0B134B90"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i/>
          <w:sz w:val="22"/>
          <w:szCs w:val="22"/>
        </w:rPr>
      </w:pPr>
      <w:r w:rsidRPr="00361669">
        <w:rPr>
          <w:rFonts w:ascii="Palatino Linotype" w:eastAsia="Palatino Linotype" w:hAnsi="Palatino Linotype" w:cs="Palatino Linotype"/>
          <w:i/>
          <w:sz w:val="22"/>
          <w:szCs w:val="22"/>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E46970B" w14:textId="77777777" w:rsidR="006646A8" w:rsidRPr="00361669" w:rsidRDefault="006646A8" w:rsidP="006646A8">
      <w:pPr>
        <w:spacing w:before="240" w:after="160" w:line="276" w:lineRule="auto"/>
        <w:ind w:left="851" w:right="851"/>
        <w:jc w:val="both"/>
        <w:rPr>
          <w:rFonts w:ascii="Palatino Linotype" w:eastAsia="Palatino Linotype" w:hAnsi="Palatino Linotype" w:cs="Palatino Linotype"/>
          <w:b/>
          <w:i/>
        </w:rPr>
      </w:pPr>
      <w:r w:rsidRPr="00361669">
        <w:rPr>
          <w:rFonts w:ascii="Palatino Linotype" w:eastAsia="Palatino Linotype" w:hAnsi="Palatino Linotype" w:cs="Palatino Linotype"/>
          <w:i/>
          <w:sz w:val="22"/>
          <w:szCs w:val="22"/>
        </w:rPr>
        <w:t xml:space="preserve">IV. Se trate de información relacionada con actos de corrupción de conformidad con las disposiciones jurídicas aplicables.” </w:t>
      </w:r>
      <w:r w:rsidRPr="00361669">
        <w:rPr>
          <w:rFonts w:ascii="Palatino Linotype" w:eastAsia="Palatino Linotype" w:hAnsi="Palatino Linotype" w:cs="Palatino Linotype"/>
          <w:b/>
          <w:i/>
          <w:sz w:val="22"/>
          <w:szCs w:val="22"/>
        </w:rPr>
        <w:t>(Sic)</w:t>
      </w:r>
    </w:p>
    <w:p w14:paraId="751D88FD"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rPr>
        <w:t>Así, con fundamento en lo prescrito en los</w:t>
      </w:r>
      <w:r w:rsidRPr="00361669">
        <w:t xml:space="preserve"> </w:t>
      </w:r>
      <w:r w:rsidRPr="0036166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91D45D4" w14:textId="77777777" w:rsidR="00FE0AC2" w:rsidRPr="00361669" w:rsidRDefault="00C3495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61669">
        <w:rPr>
          <w:rFonts w:ascii="Palatino Linotype" w:eastAsia="Palatino Linotype" w:hAnsi="Palatino Linotype" w:cs="Palatino Linotype"/>
          <w:b/>
        </w:rPr>
        <w:t>III. R E S U E L V E</w:t>
      </w:r>
    </w:p>
    <w:p w14:paraId="430C897E" w14:textId="77777777" w:rsidR="00FE0AC2" w:rsidRPr="00361669" w:rsidRDefault="00C3495C">
      <w:pPr>
        <w:spacing w:line="360" w:lineRule="auto"/>
        <w:ind w:right="49"/>
        <w:jc w:val="both"/>
        <w:rPr>
          <w:rFonts w:ascii="Palatino Linotype" w:eastAsia="Palatino Linotype" w:hAnsi="Palatino Linotype" w:cs="Palatino Linotype"/>
        </w:rPr>
      </w:pPr>
      <w:bookmarkStart w:id="3" w:name="_heading=h.3znysh7" w:colFirst="0" w:colLast="0"/>
      <w:bookmarkEnd w:id="3"/>
      <w:r w:rsidRPr="00361669">
        <w:rPr>
          <w:rFonts w:ascii="Palatino Linotype" w:eastAsia="Palatino Linotype" w:hAnsi="Palatino Linotype" w:cs="Palatino Linotype"/>
          <w:b/>
        </w:rPr>
        <w:lastRenderedPageBreak/>
        <w:t>Primero.</w:t>
      </w:r>
      <w:r w:rsidRPr="00361669">
        <w:rPr>
          <w:rFonts w:ascii="Palatino Linotype" w:eastAsia="Palatino Linotype" w:hAnsi="Palatino Linotype" w:cs="Palatino Linotype"/>
          <w:sz w:val="22"/>
          <w:szCs w:val="22"/>
        </w:rPr>
        <w:t xml:space="preserve"> </w:t>
      </w:r>
      <w:r w:rsidRPr="00361669">
        <w:rPr>
          <w:rFonts w:ascii="Palatino Linotype" w:eastAsia="Palatino Linotype" w:hAnsi="Palatino Linotype" w:cs="Palatino Linotype"/>
        </w:rPr>
        <w:t xml:space="preserve">Resultan </w:t>
      </w:r>
      <w:r w:rsidRPr="00361669">
        <w:rPr>
          <w:rFonts w:ascii="Palatino Linotype" w:eastAsia="Palatino Linotype" w:hAnsi="Palatino Linotype" w:cs="Palatino Linotype"/>
          <w:b/>
        </w:rPr>
        <w:t>fundadas</w:t>
      </w:r>
      <w:r w:rsidRPr="00361669">
        <w:rPr>
          <w:rFonts w:ascii="Palatino Linotype" w:eastAsia="Palatino Linotype" w:hAnsi="Palatino Linotype" w:cs="Palatino Linotype"/>
        </w:rPr>
        <w:t xml:space="preserve"> las razones o motivos de inconformidad hechos valer por </w:t>
      </w:r>
      <w:r w:rsidRPr="00361669">
        <w:rPr>
          <w:rFonts w:ascii="Palatino Linotype" w:eastAsia="Palatino Linotype" w:hAnsi="Palatino Linotype" w:cs="Palatino Linotype"/>
          <w:b/>
        </w:rPr>
        <w:t xml:space="preserve">la parte Recurrente, </w:t>
      </w:r>
      <w:r w:rsidRPr="00361669">
        <w:rPr>
          <w:rFonts w:ascii="Palatino Linotype" w:eastAsia="Palatino Linotype" w:hAnsi="Palatino Linotype" w:cs="Palatino Linotype"/>
        </w:rPr>
        <w:t>en el recurso de revisión</w:t>
      </w:r>
      <w:r w:rsidRPr="00361669">
        <w:rPr>
          <w:rFonts w:ascii="Palatino Linotype" w:eastAsia="Palatino Linotype" w:hAnsi="Palatino Linotype" w:cs="Palatino Linotype"/>
          <w:b/>
        </w:rPr>
        <w:t xml:space="preserve"> 17389/INFOEM/ICR-127/IP/RR/2022, </w:t>
      </w:r>
      <w:r w:rsidRPr="00361669">
        <w:rPr>
          <w:rFonts w:ascii="Palatino Linotype" w:eastAsia="Palatino Linotype" w:hAnsi="Palatino Linotype" w:cs="Palatino Linotype"/>
        </w:rPr>
        <w:t xml:space="preserve">en términos del </w:t>
      </w:r>
      <w:r w:rsidRPr="00361669">
        <w:rPr>
          <w:rFonts w:ascii="Palatino Linotype" w:eastAsia="Palatino Linotype" w:hAnsi="Palatino Linotype" w:cs="Palatino Linotype"/>
          <w:b/>
        </w:rPr>
        <w:t>Considerando</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 xml:space="preserve">Cuarto </w:t>
      </w:r>
      <w:r w:rsidRPr="00361669">
        <w:rPr>
          <w:rFonts w:ascii="Palatino Linotype" w:eastAsia="Palatino Linotype" w:hAnsi="Palatino Linotype" w:cs="Palatino Linotype"/>
        </w:rPr>
        <w:t>de la presente resolución.</w:t>
      </w:r>
    </w:p>
    <w:p w14:paraId="53037872" w14:textId="77777777" w:rsidR="00FE0AC2" w:rsidRPr="00361669" w:rsidRDefault="00FE0AC2">
      <w:pPr>
        <w:spacing w:line="360" w:lineRule="auto"/>
        <w:jc w:val="both"/>
        <w:rPr>
          <w:rFonts w:ascii="Palatino Linotype" w:eastAsia="Palatino Linotype" w:hAnsi="Palatino Linotype" w:cs="Palatino Linotype"/>
          <w:b/>
        </w:rPr>
      </w:pPr>
    </w:p>
    <w:p w14:paraId="473086CE" w14:textId="77777777" w:rsidR="00FE0AC2" w:rsidRPr="00361669" w:rsidRDefault="00C3495C">
      <w:pPr>
        <w:spacing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Segundo</w:t>
      </w:r>
      <w:r w:rsidRPr="00361669">
        <w:rPr>
          <w:rFonts w:ascii="Palatino Linotype" w:eastAsia="Palatino Linotype" w:hAnsi="Palatino Linotype" w:cs="Palatino Linotype"/>
        </w:rPr>
        <w:t>. Se</w:t>
      </w:r>
      <w:r w:rsidRPr="00361669">
        <w:rPr>
          <w:rFonts w:ascii="Palatino Linotype" w:eastAsia="Palatino Linotype" w:hAnsi="Palatino Linotype" w:cs="Palatino Linotype"/>
          <w:b/>
        </w:rPr>
        <w:t> ORDENA </w:t>
      </w:r>
      <w:r w:rsidRPr="00361669">
        <w:rPr>
          <w:rFonts w:ascii="Palatino Linotype" w:eastAsia="Palatino Linotype" w:hAnsi="Palatino Linotype" w:cs="Palatino Linotype"/>
        </w:rPr>
        <w:t xml:space="preserve">al </w:t>
      </w:r>
      <w:r w:rsidRPr="00361669">
        <w:rPr>
          <w:rFonts w:ascii="Palatino Linotype" w:eastAsia="Palatino Linotype" w:hAnsi="Palatino Linotype" w:cs="Palatino Linotype"/>
          <w:b/>
        </w:rPr>
        <w:t xml:space="preserve">Sujeto Obligado, </w:t>
      </w:r>
      <w:r w:rsidRPr="00361669">
        <w:rPr>
          <w:rFonts w:ascii="Palatino Linotype" w:eastAsia="Palatino Linotype" w:hAnsi="Palatino Linotype" w:cs="Palatino Linotype"/>
        </w:rPr>
        <w:t xml:space="preserve">que en términos de los </w:t>
      </w:r>
      <w:r w:rsidRPr="00361669">
        <w:rPr>
          <w:rFonts w:ascii="Palatino Linotype" w:eastAsia="Palatino Linotype" w:hAnsi="Palatino Linotype" w:cs="Palatino Linotype"/>
          <w:b/>
        </w:rPr>
        <w:t>Considerandos</w:t>
      </w:r>
      <w:r w:rsidRPr="00361669">
        <w:rPr>
          <w:rFonts w:ascii="Palatino Linotype" w:eastAsia="Palatino Linotype" w:hAnsi="Palatino Linotype" w:cs="Palatino Linotype"/>
        </w:rPr>
        <w:t xml:space="preserve"> </w:t>
      </w:r>
      <w:r w:rsidRPr="00361669">
        <w:rPr>
          <w:rFonts w:ascii="Palatino Linotype" w:eastAsia="Palatino Linotype" w:hAnsi="Palatino Linotype" w:cs="Palatino Linotype"/>
          <w:b/>
        </w:rPr>
        <w:t xml:space="preserve">Cuarto y Quinto </w:t>
      </w:r>
      <w:r w:rsidRPr="00361669">
        <w:rPr>
          <w:rFonts w:ascii="Palatino Linotype" w:eastAsia="Palatino Linotype" w:hAnsi="Palatino Linotype" w:cs="Palatino Linotype"/>
        </w:rPr>
        <w:t xml:space="preserve">de esta resolución, entregue a la parte </w:t>
      </w:r>
      <w:r w:rsidRPr="00361669">
        <w:rPr>
          <w:rFonts w:ascii="Palatino Linotype" w:eastAsia="Palatino Linotype" w:hAnsi="Palatino Linotype" w:cs="Palatino Linotype"/>
          <w:b/>
        </w:rPr>
        <w:t>Recurrente,</w:t>
      </w:r>
      <w:r w:rsidRPr="00361669">
        <w:rPr>
          <w:rFonts w:ascii="Palatino Linotype" w:eastAsia="Palatino Linotype" w:hAnsi="Palatino Linotype" w:cs="Palatino Linotype"/>
        </w:rPr>
        <w:t xml:space="preserve">  vía Sistema de Acceso a la Información Mexiquense (SAIMEX), </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 xml:space="preserve">previa búsqueda exhaustiva y razonable, en </w:t>
      </w:r>
      <w:r w:rsidRPr="00361669">
        <w:rPr>
          <w:rFonts w:ascii="Palatino Linotype" w:eastAsia="Palatino Linotype" w:hAnsi="Palatino Linotype" w:cs="Palatino Linotype"/>
          <w:b/>
        </w:rPr>
        <w:t>versión pública</w:t>
      </w:r>
      <w:r w:rsidRPr="00361669">
        <w:rPr>
          <w:rFonts w:ascii="Palatino Linotype" w:eastAsia="Palatino Linotype" w:hAnsi="Palatino Linotype" w:cs="Palatino Linotype"/>
        </w:rPr>
        <w:t>, de</w:t>
      </w:r>
      <w:r w:rsidRPr="00361669">
        <w:rPr>
          <w:rFonts w:ascii="Palatino Linotype" w:eastAsia="Palatino Linotype" w:hAnsi="Palatino Linotype" w:cs="Palatino Linotype"/>
          <w:b/>
        </w:rPr>
        <w:t xml:space="preserve"> </w:t>
      </w:r>
      <w:r w:rsidRPr="00361669">
        <w:rPr>
          <w:rFonts w:ascii="Palatino Linotype" w:eastAsia="Palatino Linotype" w:hAnsi="Palatino Linotype" w:cs="Palatino Linotype"/>
        </w:rPr>
        <w:t>lo siguiente:</w:t>
      </w:r>
    </w:p>
    <w:p w14:paraId="2BB05B10" w14:textId="77777777" w:rsidR="00FE0AC2" w:rsidRPr="00361669" w:rsidRDefault="00FE0AC2">
      <w:pPr>
        <w:spacing w:line="360" w:lineRule="auto"/>
        <w:jc w:val="both"/>
        <w:rPr>
          <w:rFonts w:ascii="Palatino Linotype" w:eastAsia="Palatino Linotype" w:hAnsi="Palatino Linotype" w:cs="Palatino Linotype"/>
        </w:rPr>
      </w:pPr>
    </w:p>
    <w:p w14:paraId="27A24091" w14:textId="77777777" w:rsidR="00FE0AC2" w:rsidRPr="00361669" w:rsidRDefault="00C3495C">
      <w:pPr>
        <w:widowControl w:val="0"/>
        <w:numPr>
          <w:ilvl w:val="0"/>
          <w:numId w:val="2"/>
        </w:numPr>
        <w:pBdr>
          <w:top w:val="nil"/>
          <w:left w:val="nil"/>
          <w:bottom w:val="nil"/>
          <w:right w:val="nil"/>
          <w:between w:val="nil"/>
        </w:pBdr>
        <w:spacing w:line="276" w:lineRule="auto"/>
        <w:ind w:left="567" w:right="851" w:hanging="141"/>
        <w:jc w:val="both"/>
        <w:rPr>
          <w:rFonts w:ascii="Palatino Linotype" w:eastAsia="Palatino Linotype" w:hAnsi="Palatino Linotype" w:cs="Palatino Linotype"/>
          <w:b/>
          <w:i/>
          <w:color w:val="000000"/>
          <w:sz w:val="22"/>
          <w:szCs w:val="22"/>
        </w:rPr>
      </w:pPr>
      <w:r w:rsidRPr="00361669">
        <w:rPr>
          <w:rFonts w:ascii="Palatino Linotype" w:eastAsia="Palatino Linotype" w:hAnsi="Palatino Linotype" w:cs="Palatino Linotype"/>
          <w:b/>
          <w:i/>
          <w:color w:val="000000"/>
          <w:sz w:val="22"/>
          <w:szCs w:val="22"/>
        </w:rPr>
        <w:t>Las últimas actas de entrega–recepción, correspondientes a la unidad de transparencia y presidencia municipal, generadas al veinticuatro de noviembre de dos mil veintidós.</w:t>
      </w:r>
    </w:p>
    <w:p w14:paraId="1693C6A8" w14:textId="77777777" w:rsidR="00FE0AC2" w:rsidRPr="00361669" w:rsidRDefault="00C3495C">
      <w:pPr>
        <w:spacing w:before="120" w:after="120"/>
        <w:ind w:left="567" w:right="851"/>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Recurrente.</w:t>
      </w:r>
    </w:p>
    <w:p w14:paraId="3E38D58D" w14:textId="77777777" w:rsidR="00A428A6" w:rsidRPr="00361669" w:rsidRDefault="00A428A6">
      <w:pPr>
        <w:spacing w:before="120" w:after="120"/>
        <w:ind w:left="567" w:right="851"/>
        <w:jc w:val="both"/>
        <w:rPr>
          <w:rFonts w:ascii="Palatino Linotype" w:eastAsia="Palatino Linotype" w:hAnsi="Palatino Linotype" w:cs="Palatino Linotype"/>
          <w:i/>
          <w:color w:val="000000"/>
          <w:sz w:val="22"/>
          <w:szCs w:val="22"/>
        </w:rPr>
      </w:pPr>
      <w:r w:rsidRPr="00361669">
        <w:rPr>
          <w:rFonts w:ascii="Palatino Linotype" w:eastAsia="Palatino Linotype" w:hAnsi="Palatino Linotype" w:cs="Palatino Linotype"/>
          <w:i/>
          <w:color w:val="000000"/>
          <w:sz w:val="22"/>
          <w:szCs w:val="22"/>
        </w:rPr>
        <w:t>Respecto de la información que se ordena, en caso de que las observaciones señaladas en las Actas Entrega-Recepción deriven en un procedimiento administrativo, el Sujeto Obligado deberá de hacerlo del conocimiento del particular, remitiendo el Acta de Comité de Transparencia donde funde y motive la reserva de la información</w:t>
      </w:r>
    </w:p>
    <w:p w14:paraId="256556BE" w14:textId="77777777" w:rsidR="00FE0AC2" w:rsidRPr="00361669" w:rsidRDefault="00FE0AC2">
      <w:pPr>
        <w:spacing w:line="276" w:lineRule="auto"/>
        <w:ind w:left="567" w:right="851"/>
        <w:jc w:val="both"/>
        <w:rPr>
          <w:rFonts w:ascii="Palatino Linotype" w:eastAsia="Palatino Linotype" w:hAnsi="Palatino Linotype" w:cs="Palatino Linotype"/>
          <w:i/>
          <w:sz w:val="22"/>
          <w:szCs w:val="22"/>
        </w:rPr>
      </w:pPr>
    </w:p>
    <w:p w14:paraId="3BBD8CAB" w14:textId="77777777" w:rsidR="006846A2" w:rsidRPr="00361669" w:rsidRDefault="006846A2" w:rsidP="006846A2">
      <w:pPr>
        <w:spacing w:before="240" w:after="240" w:line="360" w:lineRule="auto"/>
        <w:jc w:val="both"/>
        <w:rPr>
          <w:rFonts w:ascii="Palatino Linotype" w:eastAsia="Palatino Linotype" w:hAnsi="Palatino Linotype" w:cs="Palatino Linotype"/>
          <w:lang w:val="es-ES" w:eastAsia="es-MX"/>
        </w:rPr>
      </w:pPr>
      <w:bookmarkStart w:id="4" w:name="_heading=h.2et92p0" w:colFirst="0" w:colLast="0"/>
      <w:bookmarkEnd w:id="4"/>
      <w:r w:rsidRPr="00361669">
        <w:rPr>
          <w:rFonts w:ascii="Palatino Linotype" w:eastAsia="Palatino Linotype" w:hAnsi="Palatino Linotype" w:cs="Palatino Linotype"/>
          <w:b/>
          <w:lang w:val="es-ES" w:eastAsia="es-MX"/>
        </w:rPr>
        <w:t>Tercero</w:t>
      </w:r>
      <w:r w:rsidRPr="00361669">
        <w:rPr>
          <w:rFonts w:ascii="Palatino Linotype" w:eastAsia="Palatino Linotype" w:hAnsi="Palatino Linotype" w:cs="Palatino Linotype"/>
          <w:b/>
          <w:sz w:val="28"/>
          <w:szCs w:val="28"/>
          <w:lang w:val="es-ES" w:eastAsia="es-MX"/>
        </w:rPr>
        <w:t xml:space="preserve">.  </w:t>
      </w:r>
      <w:r w:rsidRPr="00361669">
        <w:rPr>
          <w:rFonts w:ascii="Palatino Linotype" w:eastAsia="Palatino Linotype" w:hAnsi="Palatino Linotype" w:cs="Palatino Linotype"/>
          <w:b/>
          <w:lang w:val="es-ES" w:eastAsia="es-MX"/>
        </w:rPr>
        <w:t>Notifíquese vía SAIMEX,</w:t>
      </w:r>
      <w:r w:rsidRPr="00361669">
        <w:rPr>
          <w:rFonts w:ascii="Palatino Linotype" w:eastAsia="Palatino Linotype" w:hAnsi="Palatino Linotype" w:cs="Palatino Linotype"/>
          <w:b/>
          <w:sz w:val="28"/>
          <w:szCs w:val="28"/>
          <w:lang w:val="es-ES" w:eastAsia="es-MX"/>
        </w:rPr>
        <w:t xml:space="preserve"> </w:t>
      </w:r>
      <w:r w:rsidRPr="00361669">
        <w:rPr>
          <w:rFonts w:ascii="Palatino Linotype" w:eastAsia="Palatino Linotype" w:hAnsi="Palatino Linotype" w:cs="Palatino Linotype"/>
          <w:lang w:val="es-ES"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w:t>
      </w:r>
      <w:r w:rsidRPr="00361669">
        <w:rPr>
          <w:rFonts w:ascii="Palatino Linotype" w:eastAsia="Palatino Linotype" w:hAnsi="Palatino Linotype" w:cs="Palatino Linotype"/>
          <w:lang w:val="es-ES" w:eastAsia="es-MX"/>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CA4732" w14:textId="77777777" w:rsidR="00FE0AC2" w:rsidRPr="00361669" w:rsidRDefault="00C3495C">
      <w:pPr>
        <w:spacing w:before="240" w:after="240" w:line="360" w:lineRule="auto"/>
        <w:jc w:val="both"/>
        <w:rPr>
          <w:rFonts w:ascii="Palatino Linotype" w:eastAsia="Palatino Linotype" w:hAnsi="Palatino Linotype" w:cs="Palatino Linotype"/>
        </w:rPr>
      </w:pPr>
      <w:r w:rsidRPr="00361669">
        <w:rPr>
          <w:rFonts w:ascii="Palatino Linotype" w:eastAsia="Palatino Linotype" w:hAnsi="Palatino Linotype" w:cs="Palatino Linotype"/>
          <w:b/>
        </w:rPr>
        <w:t xml:space="preserve">Cuarto. Notifíquese </w:t>
      </w:r>
      <w:r w:rsidRPr="00361669">
        <w:rPr>
          <w:rFonts w:ascii="Palatino Linotype" w:eastAsia="Palatino Linotype" w:hAnsi="Palatino Linotype" w:cs="Palatino Linotype"/>
        </w:rPr>
        <w:t>la presente resolución al</w:t>
      </w:r>
      <w:r w:rsidRPr="00361669">
        <w:rPr>
          <w:rFonts w:ascii="Palatino Linotype" w:eastAsia="Palatino Linotype" w:hAnsi="Palatino Linotype" w:cs="Palatino Linotype"/>
          <w:b/>
        </w:rPr>
        <w:t xml:space="preserve"> Recurrente</w:t>
      </w:r>
      <w:r w:rsidRPr="00361669">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 </w:t>
      </w:r>
    </w:p>
    <w:p w14:paraId="781A4983" w14:textId="77777777" w:rsidR="00FE0AC2" w:rsidRDefault="00C3495C">
      <w:pPr>
        <w:spacing w:line="360" w:lineRule="auto"/>
        <w:ind w:right="49"/>
        <w:jc w:val="both"/>
        <w:rPr>
          <w:rFonts w:ascii="Palatino Linotype" w:eastAsia="Palatino Linotype" w:hAnsi="Palatino Linotype" w:cs="Palatino Linotype"/>
        </w:rPr>
        <w:sectPr w:rsidR="00FE0AC2">
          <w:headerReference w:type="default" r:id="rId16"/>
          <w:footerReference w:type="default" r:id="rId17"/>
          <w:headerReference w:type="first" r:id="rId18"/>
          <w:footerReference w:type="first" r:id="rId19"/>
          <w:pgSz w:w="12240" w:h="15840"/>
          <w:pgMar w:top="1985" w:right="1750" w:bottom="1701" w:left="1701" w:header="709" w:footer="709" w:gutter="0"/>
          <w:pgNumType w:start="1"/>
          <w:cols w:space="720"/>
          <w:titlePg/>
        </w:sectPr>
      </w:pPr>
      <w:r w:rsidRPr="0036166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7759" w:rsidRPr="00361669">
        <w:rPr>
          <w:rFonts w:ascii="Palatino Linotype" w:eastAsia="Palatino Linotype" w:hAnsi="Palatino Linotype" w:cs="Palatino Linotype"/>
        </w:rPr>
        <w:t>; EMITIENDO VOTO PARTICULAR</w:t>
      </w:r>
      <w:r w:rsidRPr="00361669">
        <w:rPr>
          <w:rFonts w:ascii="Palatino Linotype" w:eastAsia="Palatino Linotype" w:hAnsi="Palatino Linotype" w:cs="Palatino Linotype"/>
        </w:rPr>
        <w:t xml:space="preserve"> Y GUADALUPE RAMÍREZ PEÑA; EN LA DÉCIMA CUARTA SESIÓN ORDINARIA CELEBRADA EL DIECINUEVE DE ABRIL DE DOS MIL VEINTITRÉS, ANTE EL SECRETARIO TÉCNICO DEL PLENO ALEXIS TAPIA RAMÍREZ.</w:t>
      </w:r>
    </w:p>
    <w:p w14:paraId="23832CA3" w14:textId="77777777" w:rsidR="00FE0AC2" w:rsidRDefault="00FE0AC2">
      <w:pPr>
        <w:tabs>
          <w:tab w:val="left" w:pos="709"/>
        </w:tabs>
        <w:spacing w:before="240" w:after="240" w:line="360" w:lineRule="auto"/>
        <w:jc w:val="both"/>
        <w:rPr>
          <w:rFonts w:ascii="Palatino Linotype" w:eastAsia="Palatino Linotype" w:hAnsi="Palatino Linotype" w:cs="Palatino Linotype"/>
        </w:rPr>
      </w:pPr>
    </w:p>
    <w:p w14:paraId="7A544167" w14:textId="77777777" w:rsidR="00FE0AC2" w:rsidRDefault="00FE0AC2"/>
    <w:p w14:paraId="0D5E049B" w14:textId="77777777" w:rsidR="00FE0AC2" w:rsidRDefault="00FE0AC2"/>
    <w:sectPr w:rsidR="00FE0AC2">
      <w:headerReference w:type="first" r:id="rId20"/>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7963" w14:textId="77777777" w:rsidR="00391B71" w:rsidRDefault="00391B71">
      <w:r>
        <w:separator/>
      </w:r>
    </w:p>
  </w:endnote>
  <w:endnote w:type="continuationSeparator" w:id="0">
    <w:p w14:paraId="2F2F4992" w14:textId="77777777" w:rsidR="00391B71" w:rsidRDefault="0039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18E7" w14:textId="77777777" w:rsidR="00FE0AC2" w:rsidRDefault="00C349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77F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77F1">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7E732171" w14:textId="77777777" w:rsidR="00FE0AC2" w:rsidRDefault="00FE0AC2">
    <w:pPr>
      <w:pBdr>
        <w:top w:val="nil"/>
        <w:left w:val="nil"/>
        <w:bottom w:val="nil"/>
        <w:right w:val="nil"/>
        <w:between w:val="nil"/>
      </w:pBdr>
      <w:tabs>
        <w:tab w:val="center" w:pos="4252"/>
        <w:tab w:val="right" w:pos="8504"/>
      </w:tabs>
      <w:rPr>
        <w:color w:val="000000"/>
      </w:rPr>
    </w:pPr>
  </w:p>
  <w:p w14:paraId="21D6EFDA" w14:textId="77777777" w:rsidR="00FE0AC2" w:rsidRDefault="00FE0AC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71B3D" w14:textId="77777777" w:rsidR="00FE0AC2" w:rsidRDefault="00C349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77F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77F1">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503CD7B7" w14:textId="77777777" w:rsidR="00FE0AC2" w:rsidRDefault="00FE0AC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B18D9" w14:textId="77777777" w:rsidR="00391B71" w:rsidRDefault="00391B71">
      <w:r>
        <w:separator/>
      </w:r>
    </w:p>
  </w:footnote>
  <w:footnote w:type="continuationSeparator" w:id="0">
    <w:p w14:paraId="231D1FE0" w14:textId="77777777" w:rsidR="00391B71" w:rsidRDefault="00391B71">
      <w:r>
        <w:continuationSeparator/>
      </w:r>
    </w:p>
  </w:footnote>
  <w:footnote w:id="1">
    <w:p w14:paraId="2079EF16" w14:textId="77777777" w:rsidR="00FE0AC2" w:rsidRDefault="00C3495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0D5EF22" w14:textId="77777777" w:rsidR="00FE0AC2" w:rsidRDefault="00C349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A4395CD" w14:textId="77777777" w:rsidR="006646A8" w:rsidRDefault="006646A8" w:rsidP="006646A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14:paraId="7DD69C45" w14:textId="77777777" w:rsidR="006646A8" w:rsidRDefault="006646A8" w:rsidP="006646A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Sergio López Ayllón y Alejandro Posadas. “Las pruebas de Daño e Interés Público en materia de acceso a la información. Una perspectiva comparada” en Derecho comparada de la Información, enero-junio de 2007.</w:t>
      </w:r>
    </w:p>
  </w:footnote>
  <w:footnote w:id="5">
    <w:p w14:paraId="2D35F901" w14:textId="77777777" w:rsidR="006646A8" w:rsidRDefault="006646A8" w:rsidP="006646A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14:paraId="0A9E719C" w14:textId="77777777" w:rsidR="006646A8" w:rsidRDefault="006646A8" w:rsidP="006646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2238" w14:textId="77777777" w:rsidR="00FE0AC2" w:rsidRDefault="00C3495C">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29EA6369" wp14:editId="1FF47648">
          <wp:simplePos x="0" y="0"/>
          <wp:positionH relativeFrom="column">
            <wp:posOffset>-1017902</wp:posOffset>
          </wp:positionH>
          <wp:positionV relativeFrom="paragraph">
            <wp:posOffset>-325026</wp:posOffset>
          </wp:positionV>
          <wp:extent cx="7635163" cy="9944100"/>
          <wp:effectExtent l="0" t="0" r="0" b="0"/>
          <wp:wrapNone/>
          <wp:docPr id="6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095" w:type="dxa"/>
      <w:tblInd w:w="3261" w:type="dxa"/>
      <w:tblLayout w:type="fixed"/>
      <w:tblLook w:val="0400" w:firstRow="0" w:lastRow="0" w:firstColumn="0" w:lastColumn="0" w:noHBand="0" w:noVBand="1"/>
    </w:tblPr>
    <w:tblGrid>
      <w:gridCol w:w="2552"/>
      <w:gridCol w:w="3543"/>
    </w:tblGrid>
    <w:tr w:rsidR="00FE0AC2" w14:paraId="030703C4" w14:textId="77777777">
      <w:tc>
        <w:tcPr>
          <w:tcW w:w="2552" w:type="dxa"/>
          <w:vAlign w:val="center"/>
        </w:tcPr>
        <w:p w14:paraId="21019783"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551E35E9" w14:textId="77777777" w:rsidR="00FE0AC2" w:rsidRDefault="00C349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17389/INFOEM/ICR-127/IP/RR/2022</w:t>
          </w:r>
        </w:p>
      </w:tc>
    </w:tr>
    <w:tr w:rsidR="00FE0AC2" w14:paraId="6AF2195C" w14:textId="77777777">
      <w:trPr>
        <w:trHeight w:val="228"/>
      </w:trPr>
      <w:tc>
        <w:tcPr>
          <w:tcW w:w="2552" w:type="dxa"/>
          <w:vAlign w:val="center"/>
        </w:tcPr>
        <w:p w14:paraId="3F281AB2"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0094E3C1" w14:textId="77777777" w:rsidR="00FE0AC2" w:rsidRDefault="00C349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E0AC2" w14:paraId="3CC7C802" w14:textId="77777777">
      <w:tc>
        <w:tcPr>
          <w:tcW w:w="2552" w:type="dxa"/>
          <w:vAlign w:val="center"/>
        </w:tcPr>
        <w:p w14:paraId="64C3CBBE"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466C1E00" w14:textId="77777777" w:rsidR="00FE0AC2" w:rsidRDefault="00C349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50BEAE" w14:textId="77777777" w:rsidR="00FE0AC2" w:rsidRDefault="00C3495C">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5C388" w14:textId="77777777" w:rsidR="00FE0AC2" w:rsidRDefault="00C3495C">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006A7869" wp14:editId="0F99F5DE">
          <wp:simplePos x="0" y="0"/>
          <wp:positionH relativeFrom="column">
            <wp:posOffset>-1010916</wp:posOffset>
          </wp:positionH>
          <wp:positionV relativeFrom="paragraph">
            <wp:posOffset>-276221</wp:posOffset>
          </wp:positionV>
          <wp:extent cx="7635240" cy="9942830"/>
          <wp:effectExtent l="0" t="0" r="0" b="0"/>
          <wp:wrapNone/>
          <wp:docPr id="6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460" w:type="dxa"/>
      <w:tblInd w:w="2612" w:type="dxa"/>
      <w:tblLayout w:type="fixed"/>
      <w:tblLook w:val="0400" w:firstRow="0" w:lastRow="0" w:firstColumn="0" w:lastColumn="0" w:noHBand="0" w:noVBand="1"/>
    </w:tblPr>
    <w:tblGrid>
      <w:gridCol w:w="2551"/>
      <w:gridCol w:w="3909"/>
    </w:tblGrid>
    <w:tr w:rsidR="00FE0AC2" w14:paraId="35CFCC0F" w14:textId="77777777">
      <w:tc>
        <w:tcPr>
          <w:tcW w:w="2551" w:type="dxa"/>
          <w:vAlign w:val="center"/>
        </w:tcPr>
        <w:p w14:paraId="3A1B147E"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9" w:type="dxa"/>
          <w:vAlign w:val="center"/>
        </w:tcPr>
        <w:p w14:paraId="3BEE08AE" w14:textId="77777777" w:rsidR="00FE0AC2" w:rsidRDefault="00C349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17389/INFOEM/ICR-127/IP/RR/2022</w:t>
          </w:r>
        </w:p>
      </w:tc>
    </w:tr>
    <w:tr w:rsidR="00FE0AC2" w14:paraId="6B9FF498" w14:textId="77777777">
      <w:tc>
        <w:tcPr>
          <w:tcW w:w="2551" w:type="dxa"/>
          <w:vAlign w:val="center"/>
        </w:tcPr>
        <w:p w14:paraId="7FD434E9" w14:textId="77777777" w:rsidR="00FE0AC2" w:rsidRDefault="00C3495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9" w:type="dxa"/>
          <w:vAlign w:val="center"/>
        </w:tcPr>
        <w:p w14:paraId="0AFECA34" w14:textId="77777777" w:rsidR="00FE0AC2" w:rsidRDefault="00FE0AC2">
          <w:pPr>
            <w:ind w:left="-45"/>
            <w:jc w:val="both"/>
            <w:rPr>
              <w:rFonts w:ascii="Palatino Linotype" w:eastAsia="Palatino Linotype" w:hAnsi="Palatino Linotype" w:cs="Palatino Linotype"/>
              <w:b/>
              <w:sz w:val="22"/>
              <w:szCs w:val="22"/>
            </w:rPr>
          </w:pPr>
        </w:p>
      </w:tc>
    </w:tr>
    <w:tr w:rsidR="00FE0AC2" w14:paraId="278CA442" w14:textId="77777777">
      <w:trPr>
        <w:trHeight w:val="228"/>
      </w:trPr>
      <w:tc>
        <w:tcPr>
          <w:tcW w:w="2551" w:type="dxa"/>
          <w:vAlign w:val="center"/>
        </w:tcPr>
        <w:p w14:paraId="727764E6"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9" w:type="dxa"/>
          <w:vAlign w:val="center"/>
        </w:tcPr>
        <w:p w14:paraId="6966CB28" w14:textId="77777777" w:rsidR="00FE0AC2" w:rsidRDefault="00C3495C">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FE0AC2" w14:paraId="60C14B54" w14:textId="77777777">
      <w:tc>
        <w:tcPr>
          <w:tcW w:w="2551" w:type="dxa"/>
          <w:vAlign w:val="center"/>
        </w:tcPr>
        <w:p w14:paraId="598652F0" w14:textId="77777777" w:rsidR="00FE0AC2" w:rsidRDefault="00C349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9" w:type="dxa"/>
          <w:vAlign w:val="center"/>
        </w:tcPr>
        <w:p w14:paraId="1128AEA9" w14:textId="77777777" w:rsidR="00FE0AC2" w:rsidRDefault="00C349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73CFB9" w14:textId="77777777" w:rsidR="00FE0AC2" w:rsidRDefault="00FE0AC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A83D" w14:textId="77777777" w:rsidR="00FE0AC2" w:rsidRDefault="00C349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6260999" w14:textId="77777777" w:rsidR="00FE0AC2" w:rsidRDefault="00FE0AC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3FF"/>
    <w:multiLevelType w:val="multilevel"/>
    <w:tmpl w:val="5D0ADA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B671C93"/>
    <w:multiLevelType w:val="multilevel"/>
    <w:tmpl w:val="C9C647B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5CE61F65"/>
    <w:multiLevelType w:val="multilevel"/>
    <w:tmpl w:val="4DE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6E92D74"/>
    <w:multiLevelType w:val="multilevel"/>
    <w:tmpl w:val="11983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2"/>
    <w:rsid w:val="000677F1"/>
    <w:rsid w:val="00355561"/>
    <w:rsid w:val="00361669"/>
    <w:rsid w:val="00391B71"/>
    <w:rsid w:val="003D7759"/>
    <w:rsid w:val="006646A8"/>
    <w:rsid w:val="006846A2"/>
    <w:rsid w:val="00744A98"/>
    <w:rsid w:val="00A428A6"/>
    <w:rsid w:val="00B0360B"/>
    <w:rsid w:val="00BF48A7"/>
    <w:rsid w:val="00C3495C"/>
    <w:rsid w:val="00CA571B"/>
    <w:rsid w:val="00FE0AC2"/>
    <w:rsid w:val="00FF3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5E1C"/>
  <w15:docId w15:val="{72786D1D-EA6D-4DD0-905A-5A1066E2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ovsOQmHAP8IN/zDnVq6+GlngYA==">AMUW2mWKGLrbMRYv3d+PrPWZURqKWl11D8H7xcXi3DB1xqYjodpOw2Qdjw1JfYudm68v5XrC2A8uHi08th9Vh9JFnMnXURsD2SN4cl/jJHW3Q9SJg1EdhD8R4ga71sx0rOWX9yeo3QJAF9qzDXf2RjFFx7WXHIE9azwtLY0RGWT37UYop04puapZkxi5O6GmkbGt2qWMPn3U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9871</Words>
  <Characters>54296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2023-04-20T19:49:00Z</cp:lastPrinted>
  <dcterms:created xsi:type="dcterms:W3CDTF">2023-05-03T17:29:00Z</dcterms:created>
  <dcterms:modified xsi:type="dcterms:W3CDTF">2023-05-03T17:29:00Z</dcterms:modified>
</cp:coreProperties>
</file>