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D190B" w14:textId="33D2AC8A" w:rsidR="00E63E1A" w:rsidRPr="00667998" w:rsidRDefault="00E63E1A" w:rsidP="00E63E1A">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6106DC" w:rsidRPr="00667998">
        <w:rPr>
          <w:rFonts w:ascii="Palatino Linotype" w:eastAsia="Times New Roman" w:hAnsi="Palatino Linotype" w:cs="Arial"/>
          <w:color w:val="000000"/>
          <w:sz w:val="24"/>
          <w:szCs w:val="24"/>
          <w:lang w:eastAsia="es-MX"/>
        </w:rPr>
        <w:t xml:space="preserve">a </w:t>
      </w:r>
      <w:r w:rsidR="006106DC">
        <w:rPr>
          <w:rFonts w:ascii="Palatino Linotype" w:eastAsia="Times New Roman" w:hAnsi="Palatino Linotype" w:cs="Arial"/>
          <w:color w:val="000000"/>
          <w:sz w:val="24"/>
          <w:szCs w:val="24"/>
          <w:lang w:eastAsia="es-MX"/>
        </w:rPr>
        <w:t>veinticuatro</w:t>
      </w:r>
      <w:r w:rsidR="009F3836">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de 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w:t>
      </w:r>
      <w:r w:rsidR="00C039CD">
        <w:rPr>
          <w:rFonts w:ascii="Palatino Linotype" w:eastAsia="Times New Roman" w:hAnsi="Palatino Linotype" w:cs="Arial"/>
          <w:color w:val="000000"/>
          <w:sz w:val="24"/>
          <w:szCs w:val="24"/>
          <w:lang w:eastAsia="es-MX"/>
        </w:rPr>
        <w:t>trés</w:t>
      </w:r>
      <w:r w:rsidRPr="00667998">
        <w:rPr>
          <w:rFonts w:ascii="Palatino Linotype" w:eastAsia="Times New Roman" w:hAnsi="Palatino Linotype" w:cs="Arial"/>
          <w:color w:val="000000"/>
          <w:sz w:val="24"/>
          <w:szCs w:val="24"/>
          <w:lang w:eastAsia="es-MX"/>
        </w:rPr>
        <w:t>.</w:t>
      </w:r>
    </w:p>
    <w:p w14:paraId="14A66BB4" w14:textId="77777777" w:rsidR="00E63E1A" w:rsidRPr="00667998" w:rsidRDefault="00E63E1A" w:rsidP="00E63E1A">
      <w:pPr>
        <w:shd w:val="clear" w:color="auto" w:fill="FFFFFF"/>
        <w:spacing w:after="0" w:line="360" w:lineRule="auto"/>
        <w:jc w:val="both"/>
        <w:rPr>
          <w:rFonts w:ascii="Palatino Linotype" w:eastAsia="Times New Roman" w:hAnsi="Palatino Linotype" w:cs="Arial"/>
          <w:color w:val="000000"/>
          <w:sz w:val="2"/>
          <w:szCs w:val="24"/>
          <w:lang w:eastAsia="es-MX"/>
        </w:rPr>
      </w:pPr>
    </w:p>
    <w:p w14:paraId="4F7E8E6A" w14:textId="77777777" w:rsidR="00E63E1A" w:rsidRPr="00667998" w:rsidRDefault="00E63E1A" w:rsidP="00E63E1A">
      <w:pPr>
        <w:tabs>
          <w:tab w:val="left" w:pos="1701"/>
        </w:tabs>
        <w:spacing w:after="0" w:line="360" w:lineRule="auto"/>
        <w:jc w:val="both"/>
        <w:rPr>
          <w:rFonts w:ascii="Palatino Linotype" w:hAnsi="Palatino Linotype" w:cs="Arial"/>
          <w:b/>
          <w:sz w:val="24"/>
        </w:rPr>
      </w:pPr>
      <w:bookmarkStart w:id="0" w:name="_GoBack"/>
      <w:bookmarkEnd w:id="0"/>
    </w:p>
    <w:p w14:paraId="452A50EC" w14:textId="7254A91C" w:rsidR="00E63E1A" w:rsidRPr="00667998" w:rsidRDefault="00E63E1A" w:rsidP="00E63E1A">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C039CD">
        <w:rPr>
          <w:rFonts w:ascii="Palatino Linotype" w:hAnsi="Palatino Linotype" w:cs="Arial"/>
          <w:b/>
          <w:bCs/>
          <w:sz w:val="24"/>
          <w:lang w:eastAsia="es-MX"/>
        </w:rPr>
        <w:t>17385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00D262A8">
        <w:rPr>
          <w:rFonts w:ascii="Palatino Linotype" w:hAnsi="Palatino Linotype" w:cs="Arial"/>
          <w:b/>
          <w:bCs/>
          <w:sz w:val="24"/>
          <w:szCs w:val="24"/>
        </w:rPr>
        <w:t>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C039CD" w:rsidRPr="00C039CD">
        <w:rPr>
          <w:rFonts w:ascii="Palatino Linotype" w:hAnsi="Palatino Linotype" w:cs="Arial"/>
          <w:b/>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en contra de la respuesta de</w:t>
      </w:r>
      <w:r w:rsidR="00C039CD">
        <w:rPr>
          <w:rFonts w:ascii="Palatino Linotype" w:hAnsi="Palatino Linotype" w:cs="Arial"/>
          <w:sz w:val="24"/>
          <w:szCs w:val="24"/>
        </w:rPr>
        <w:t xml:space="preserve"> </w:t>
      </w:r>
      <w:r w:rsidRPr="00667998">
        <w:rPr>
          <w:rFonts w:ascii="Palatino Linotype" w:hAnsi="Palatino Linotype" w:cs="Arial"/>
          <w:sz w:val="24"/>
          <w:szCs w:val="24"/>
        </w:rPr>
        <w:t>l</w:t>
      </w:r>
      <w:r w:rsidR="00C039CD">
        <w:rPr>
          <w:rFonts w:ascii="Palatino Linotype" w:hAnsi="Palatino Linotype" w:cs="Arial"/>
          <w:sz w:val="24"/>
          <w:szCs w:val="24"/>
        </w:rPr>
        <w:t>a</w:t>
      </w:r>
      <w:r w:rsidRPr="00667998">
        <w:rPr>
          <w:rFonts w:ascii="Palatino Linotype" w:hAnsi="Palatino Linotype" w:cs="Arial"/>
          <w:sz w:val="24"/>
          <w:szCs w:val="24"/>
        </w:rPr>
        <w:t xml:space="preserve"> </w:t>
      </w:r>
      <w:r w:rsidR="00C039CD">
        <w:rPr>
          <w:rFonts w:ascii="Palatino Linotype" w:hAnsi="Palatino Linotype" w:cs="Arial"/>
          <w:b/>
          <w:sz w:val="24"/>
          <w:szCs w:val="24"/>
        </w:rPr>
        <w:t>Secretaría de Finanzas</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36F5477" w14:textId="77777777" w:rsidR="00E63E1A" w:rsidRPr="004A1460" w:rsidRDefault="00E63E1A" w:rsidP="00E63E1A">
      <w:pPr>
        <w:tabs>
          <w:tab w:val="left" w:pos="1701"/>
        </w:tabs>
        <w:spacing w:after="0" w:line="360" w:lineRule="auto"/>
        <w:jc w:val="both"/>
        <w:rPr>
          <w:rFonts w:ascii="Palatino Linotype" w:hAnsi="Palatino Linotype" w:cs="Arial"/>
          <w:sz w:val="24"/>
        </w:rPr>
      </w:pPr>
    </w:p>
    <w:p w14:paraId="61080DD4" w14:textId="77777777" w:rsidR="00E63E1A" w:rsidRPr="00667998" w:rsidRDefault="00E63E1A" w:rsidP="00E63E1A">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D076B7D" w14:textId="77777777" w:rsidR="00E63E1A" w:rsidRPr="00667998" w:rsidRDefault="00E63E1A" w:rsidP="00E63E1A">
      <w:pPr>
        <w:spacing w:after="0" w:line="360" w:lineRule="auto"/>
        <w:jc w:val="center"/>
        <w:rPr>
          <w:rFonts w:ascii="Palatino Linotype" w:hAnsi="Palatino Linotype"/>
          <w:b/>
          <w:sz w:val="24"/>
        </w:rPr>
      </w:pPr>
    </w:p>
    <w:p w14:paraId="70B35C58" w14:textId="77777777" w:rsidR="00E63E1A" w:rsidRPr="00667998" w:rsidRDefault="00E63E1A" w:rsidP="00E63E1A">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BEA962E" w14:textId="77777777" w:rsidR="00E63E1A" w:rsidRDefault="00E63E1A" w:rsidP="00E63E1A">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C039CD">
        <w:rPr>
          <w:rFonts w:ascii="Palatino Linotype" w:hAnsi="Palatino Linotype" w:cs="Arial"/>
          <w:sz w:val="24"/>
        </w:rPr>
        <w:t>nueve</w:t>
      </w:r>
      <w:r>
        <w:rPr>
          <w:rFonts w:ascii="Palatino Linotype" w:hAnsi="Palatino Linotype" w:cs="Arial"/>
          <w:sz w:val="24"/>
        </w:rPr>
        <w:t xml:space="preserve"> </w:t>
      </w:r>
      <w:r w:rsidRPr="00667998">
        <w:rPr>
          <w:rFonts w:ascii="Palatino Linotype" w:hAnsi="Palatino Linotype" w:cs="Arial"/>
          <w:sz w:val="24"/>
        </w:rPr>
        <w:t xml:space="preserve">de </w:t>
      </w:r>
      <w:r w:rsidR="00C039CD">
        <w:rPr>
          <w:rFonts w:ascii="Palatino Linotype" w:hAnsi="Palatino Linotype" w:cs="Arial"/>
          <w:sz w:val="24"/>
        </w:rPr>
        <w:t>noviembre</w:t>
      </w:r>
      <w:r>
        <w:rPr>
          <w:rFonts w:ascii="Palatino Linotype" w:hAnsi="Palatino Linotype" w:cs="Arial"/>
          <w:sz w:val="24"/>
        </w:rPr>
        <w:t xml:space="preserve"> </w:t>
      </w:r>
      <w:r w:rsidRPr="00667998">
        <w:rPr>
          <w:rFonts w:ascii="Palatino Linotype" w:hAnsi="Palatino Linotype" w:cs="Arial"/>
          <w:sz w:val="24"/>
        </w:rPr>
        <w:t>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e</w:t>
      </w:r>
      <w:r w:rsidR="00C039CD">
        <w:rPr>
          <w:rFonts w:ascii="Palatino Linotype" w:hAnsi="Palatino Linotype" w:cs="Arial"/>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3A6D5A">
        <w:rPr>
          <w:rFonts w:ascii="Palatino Linotype" w:hAnsi="Palatino Linotype" w:cs="Arial"/>
          <w:b/>
          <w:sz w:val="24"/>
        </w:rPr>
        <w:t>00</w:t>
      </w:r>
      <w:r w:rsidR="00C039CD">
        <w:rPr>
          <w:rFonts w:ascii="Palatino Linotype" w:hAnsi="Palatino Linotype" w:cs="Arial"/>
          <w:b/>
          <w:sz w:val="24"/>
        </w:rPr>
        <w:t>517</w:t>
      </w:r>
      <w:r w:rsidRPr="003A6D5A">
        <w:rPr>
          <w:rFonts w:ascii="Palatino Linotype" w:hAnsi="Palatino Linotype" w:cs="Arial"/>
          <w:b/>
          <w:sz w:val="24"/>
        </w:rPr>
        <w:t>/</w:t>
      </w:r>
      <w:r w:rsidR="00C039CD">
        <w:rPr>
          <w:rFonts w:ascii="Palatino Linotype" w:hAnsi="Palatino Linotype" w:cs="Arial"/>
          <w:b/>
          <w:sz w:val="24"/>
        </w:rPr>
        <w:t>SF</w:t>
      </w:r>
      <w:r w:rsidRPr="003A6D5A">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61902013" w14:textId="77777777" w:rsidR="00E63E1A" w:rsidRPr="00667998" w:rsidRDefault="00E63E1A" w:rsidP="00E63E1A">
      <w:pPr>
        <w:spacing w:after="0" w:line="360" w:lineRule="auto"/>
        <w:jc w:val="both"/>
        <w:rPr>
          <w:rFonts w:ascii="Palatino Linotype" w:hAnsi="Palatino Linotype" w:cs="Arial"/>
          <w:sz w:val="24"/>
        </w:rPr>
      </w:pPr>
    </w:p>
    <w:p w14:paraId="712B7009" w14:textId="77777777" w:rsidR="00E63E1A" w:rsidRDefault="00E63E1A" w:rsidP="00E63E1A">
      <w:pPr>
        <w:spacing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00C039CD" w:rsidRPr="00C039CD">
        <w:rPr>
          <w:rFonts w:ascii="Palatino Linotype" w:hAnsi="Palatino Linotype" w:cs="Arial"/>
          <w:i/>
          <w:sz w:val="24"/>
        </w:rPr>
        <w:t>Quiero se me informe cuantas personas se tienen por contrato en las distintas áreas de la Subsecretaria de Planeación y Presupuesto asi como la descripción de los vehículos que utilizan el Subsecretario de y Planeación y Presupuesto, Director General de Planeación y Gasto Publico y de la unidad de seguimiento de programas y apoyo administrativo y cuantos choferes hay</w:t>
      </w:r>
      <w:r w:rsidRPr="00667998">
        <w:rPr>
          <w:rFonts w:ascii="Palatino Linotype" w:hAnsi="Palatino Linotype" w:cs="Arial"/>
          <w:i/>
          <w:sz w:val="24"/>
        </w:rPr>
        <w:t>” (Sic).</w:t>
      </w:r>
    </w:p>
    <w:bookmarkEnd w:id="1"/>
    <w:p w14:paraId="2A760221" w14:textId="77777777" w:rsidR="00E63E1A" w:rsidRDefault="00E63E1A" w:rsidP="00E63E1A">
      <w:pPr>
        <w:spacing w:after="0" w:line="360" w:lineRule="auto"/>
        <w:ind w:right="850"/>
        <w:jc w:val="both"/>
        <w:rPr>
          <w:rFonts w:ascii="Palatino Linotype" w:hAnsi="Palatino Linotype" w:cs="Arial"/>
          <w:b/>
          <w:sz w:val="2"/>
        </w:rPr>
      </w:pPr>
    </w:p>
    <w:p w14:paraId="0C3C8562" w14:textId="77777777" w:rsidR="00E63E1A" w:rsidRDefault="00E63E1A" w:rsidP="00E63E1A">
      <w:pPr>
        <w:spacing w:after="0" w:line="360" w:lineRule="auto"/>
        <w:ind w:right="850"/>
        <w:jc w:val="both"/>
        <w:rPr>
          <w:rFonts w:ascii="Palatino Linotype" w:hAnsi="Palatino Linotype" w:cs="Arial"/>
          <w:b/>
          <w:sz w:val="2"/>
        </w:rPr>
      </w:pPr>
    </w:p>
    <w:p w14:paraId="08D5A878" w14:textId="77777777" w:rsidR="00E63E1A" w:rsidRDefault="00E63E1A" w:rsidP="00E63E1A">
      <w:pPr>
        <w:spacing w:after="0" w:line="360" w:lineRule="auto"/>
        <w:ind w:right="850"/>
        <w:jc w:val="both"/>
        <w:rPr>
          <w:rFonts w:ascii="Palatino Linotype" w:hAnsi="Palatino Linotype" w:cs="Arial"/>
          <w:b/>
          <w:sz w:val="2"/>
        </w:rPr>
      </w:pPr>
    </w:p>
    <w:p w14:paraId="07ACA8FD" w14:textId="77777777" w:rsidR="00E63E1A" w:rsidRDefault="00E63E1A" w:rsidP="00E63E1A">
      <w:pPr>
        <w:spacing w:after="0" w:line="360" w:lineRule="auto"/>
        <w:ind w:right="850"/>
        <w:jc w:val="both"/>
        <w:rPr>
          <w:rFonts w:ascii="Palatino Linotype" w:hAnsi="Palatino Linotype" w:cs="Arial"/>
          <w:b/>
          <w:sz w:val="2"/>
        </w:rPr>
      </w:pPr>
    </w:p>
    <w:p w14:paraId="05DB9787" w14:textId="77777777" w:rsidR="00E63E1A" w:rsidRDefault="00E63E1A" w:rsidP="00E63E1A">
      <w:pPr>
        <w:spacing w:after="0" w:line="360" w:lineRule="auto"/>
        <w:ind w:right="850"/>
        <w:jc w:val="both"/>
        <w:rPr>
          <w:rFonts w:ascii="Palatino Linotype" w:hAnsi="Palatino Linotype" w:cs="Arial"/>
          <w:b/>
          <w:sz w:val="2"/>
        </w:rPr>
      </w:pPr>
    </w:p>
    <w:p w14:paraId="5450D090" w14:textId="77777777" w:rsidR="00E63E1A" w:rsidRDefault="00E63E1A" w:rsidP="00E63E1A">
      <w:pPr>
        <w:spacing w:after="0" w:line="360" w:lineRule="auto"/>
        <w:ind w:right="850"/>
        <w:jc w:val="both"/>
        <w:rPr>
          <w:rFonts w:ascii="Palatino Linotype" w:hAnsi="Palatino Linotype" w:cs="Arial"/>
          <w:b/>
          <w:sz w:val="2"/>
        </w:rPr>
      </w:pPr>
    </w:p>
    <w:p w14:paraId="3B5DF8D5" w14:textId="77777777" w:rsidR="00E63E1A" w:rsidRPr="00667998" w:rsidRDefault="00E63E1A" w:rsidP="00E63E1A">
      <w:pPr>
        <w:spacing w:after="0" w:line="360" w:lineRule="auto"/>
        <w:ind w:right="850"/>
        <w:jc w:val="both"/>
        <w:rPr>
          <w:rFonts w:ascii="Palatino Linotype" w:hAnsi="Palatino Linotype" w:cs="Arial"/>
          <w:b/>
          <w:sz w:val="2"/>
        </w:rPr>
      </w:pPr>
    </w:p>
    <w:p w14:paraId="1F1FD906" w14:textId="77777777" w:rsidR="00C039CD" w:rsidRDefault="00C039CD" w:rsidP="00E63E1A">
      <w:pPr>
        <w:spacing w:after="0" w:line="360" w:lineRule="auto"/>
        <w:jc w:val="both"/>
        <w:rPr>
          <w:rFonts w:ascii="Palatino Linotype" w:hAnsi="Palatino Linotype" w:cs="Arial"/>
          <w:b/>
          <w:sz w:val="24"/>
        </w:rPr>
      </w:pPr>
    </w:p>
    <w:p w14:paraId="23D58643" w14:textId="77777777" w:rsidR="00E63E1A" w:rsidRDefault="00E63E1A" w:rsidP="00E63E1A">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518C6BF7" w14:textId="77777777" w:rsidR="00E63E1A" w:rsidRPr="00667998" w:rsidRDefault="00E63E1A" w:rsidP="00E63E1A">
      <w:pPr>
        <w:spacing w:after="0" w:line="360" w:lineRule="auto"/>
        <w:jc w:val="both"/>
        <w:rPr>
          <w:rFonts w:ascii="Palatino Linotype" w:hAnsi="Palatino Linotype" w:cs="Arial"/>
          <w:b/>
          <w:sz w:val="24"/>
        </w:rPr>
      </w:pPr>
    </w:p>
    <w:p w14:paraId="1316C258" w14:textId="77777777" w:rsidR="00063609" w:rsidRPr="000256D8" w:rsidRDefault="00063609" w:rsidP="00063609">
      <w:pPr>
        <w:spacing w:after="0"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w:t>
      </w:r>
      <w:r w:rsidRPr="000256D8">
        <w:rPr>
          <w:rFonts w:ascii="Palatino Linotype" w:hAnsi="Palatino Linotype" w:cs="Arial"/>
          <w:b/>
          <w:sz w:val="28"/>
          <w:szCs w:val="20"/>
        </w:rPr>
        <w:t xml:space="preserve">De la </w:t>
      </w:r>
      <w:r>
        <w:rPr>
          <w:rFonts w:ascii="Palatino Linotype" w:hAnsi="Palatino Linotype" w:cs="Arial"/>
          <w:b/>
          <w:sz w:val="28"/>
          <w:szCs w:val="20"/>
        </w:rPr>
        <w:t xml:space="preserve">prórroga y la </w:t>
      </w:r>
      <w:r w:rsidRPr="000256D8">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0256D8">
        <w:rPr>
          <w:rFonts w:ascii="Palatino Linotype" w:hAnsi="Palatino Linotype" w:cs="Arial"/>
          <w:b/>
          <w:sz w:val="28"/>
          <w:szCs w:val="20"/>
        </w:rPr>
        <w:t>.</w:t>
      </w:r>
    </w:p>
    <w:p w14:paraId="6B2A54C0" w14:textId="77777777" w:rsidR="00063609" w:rsidRPr="00B9794C" w:rsidRDefault="00063609" w:rsidP="00063609">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en fecha primero de diciembre</w:t>
      </w:r>
      <w:r w:rsidRPr="00B9794C">
        <w:rPr>
          <w:rFonts w:ascii="Palatino Linotype" w:hAnsi="Palatino Linotype" w:cs="Arial"/>
        </w:rPr>
        <w:t xml:space="preserve"> de dos mil veintidós el Sujeto Obligado solicito una prórroga para poder atender la solicitud de información.</w:t>
      </w:r>
    </w:p>
    <w:p w14:paraId="52023F16" w14:textId="77777777" w:rsidR="00063609" w:rsidRPr="00063609" w:rsidRDefault="00063609" w:rsidP="00063609">
      <w:pPr>
        <w:pStyle w:val="Sinespaciado"/>
        <w:spacing w:line="360" w:lineRule="auto"/>
        <w:jc w:val="both"/>
        <w:rPr>
          <w:rFonts w:ascii="Palatino Linotype" w:hAnsi="Palatino Linotype"/>
        </w:rPr>
      </w:pPr>
    </w:p>
    <w:p w14:paraId="3B3B1A37" w14:textId="77777777" w:rsidR="00063609" w:rsidRPr="00063609" w:rsidRDefault="00063609" w:rsidP="00063609">
      <w:pPr>
        <w:spacing w:after="0" w:line="360" w:lineRule="auto"/>
        <w:jc w:val="both"/>
        <w:rPr>
          <w:rFonts w:ascii="Palatino Linotype" w:hAnsi="Palatino Linotype" w:cs="Arial"/>
          <w:sz w:val="24"/>
        </w:rPr>
      </w:pPr>
      <w:r w:rsidRPr="00063609">
        <w:rPr>
          <w:rFonts w:ascii="Palatino Linotype" w:hAnsi="Palatino Linotype"/>
          <w:sz w:val="24"/>
        </w:rPr>
        <w:t>En fecha</w:t>
      </w:r>
      <w:r w:rsidRPr="00063609">
        <w:rPr>
          <w:rFonts w:ascii="Palatino Linotype" w:hAnsi="Palatino Linotype" w:cs="Arial"/>
          <w:sz w:val="24"/>
        </w:rPr>
        <w:t xml:space="preserve"> do</w:t>
      </w:r>
      <w:r>
        <w:rPr>
          <w:rFonts w:ascii="Palatino Linotype" w:hAnsi="Palatino Linotype" w:cs="Arial"/>
          <w:sz w:val="24"/>
        </w:rPr>
        <w:t>ce</w:t>
      </w:r>
      <w:r w:rsidRPr="00063609">
        <w:rPr>
          <w:rFonts w:ascii="Palatino Linotype" w:hAnsi="Palatino Linotype" w:cs="Arial"/>
          <w:sz w:val="24"/>
        </w:rPr>
        <w:t xml:space="preserve"> de </w:t>
      </w:r>
      <w:r>
        <w:rPr>
          <w:rFonts w:ascii="Palatino Linotype" w:hAnsi="Palatino Linotype" w:cs="Arial"/>
          <w:sz w:val="24"/>
        </w:rPr>
        <w:t>dic</w:t>
      </w:r>
      <w:r w:rsidRPr="00063609">
        <w:rPr>
          <w:rFonts w:ascii="Palatino Linotype" w:hAnsi="Palatino Linotype" w:cs="Arial"/>
          <w:sz w:val="24"/>
        </w:rPr>
        <w:t xml:space="preserve">iembre de dos mil veintidós el </w:t>
      </w:r>
      <w:r w:rsidRPr="00063609">
        <w:rPr>
          <w:rFonts w:ascii="Palatino Linotype" w:hAnsi="Palatino Linotype" w:cs="Arial"/>
          <w:b/>
          <w:sz w:val="24"/>
        </w:rPr>
        <w:t>Sujeto Obligado</w:t>
      </w:r>
      <w:r w:rsidRPr="00063609">
        <w:rPr>
          <w:rFonts w:ascii="Palatino Linotype" w:hAnsi="Palatino Linotype" w:cs="Arial"/>
          <w:sz w:val="24"/>
        </w:rPr>
        <w:t xml:space="preserve"> dio respuesta a través del SAIMEX a la solicitud de información en los siguientes términos:</w:t>
      </w:r>
    </w:p>
    <w:p w14:paraId="6569870C" w14:textId="77777777" w:rsidR="00E63E1A" w:rsidRDefault="00E63E1A" w:rsidP="00E63E1A">
      <w:pPr>
        <w:pStyle w:val="Sinespaciado"/>
        <w:spacing w:line="360" w:lineRule="auto"/>
        <w:jc w:val="both"/>
        <w:rPr>
          <w:rFonts w:ascii="Palatino Linotype" w:hAnsi="Palatino Linotype" w:cs="Arial"/>
        </w:rPr>
      </w:pPr>
    </w:p>
    <w:p w14:paraId="1C6EB3C0" w14:textId="77777777" w:rsidR="00063609" w:rsidRPr="00063609" w:rsidRDefault="00E63E1A" w:rsidP="00063609">
      <w:pPr>
        <w:pStyle w:val="Sinespaciado"/>
        <w:ind w:left="567" w:right="567"/>
        <w:jc w:val="both"/>
        <w:rPr>
          <w:rFonts w:ascii="Palatino Linotype" w:hAnsi="Palatino Linotype" w:cs="Arial"/>
          <w:i/>
          <w:sz w:val="22"/>
        </w:rPr>
      </w:pPr>
      <w:r>
        <w:rPr>
          <w:rFonts w:ascii="Palatino Linotype" w:hAnsi="Palatino Linotype" w:cs="Arial"/>
          <w:i/>
          <w:sz w:val="22"/>
        </w:rPr>
        <w:t>“</w:t>
      </w:r>
      <w:r w:rsidR="00063609" w:rsidRPr="0006360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F27ECD" w14:textId="77777777" w:rsidR="00063609" w:rsidRPr="00063609" w:rsidRDefault="00063609" w:rsidP="00063609">
      <w:pPr>
        <w:pStyle w:val="Sinespaciado"/>
        <w:ind w:left="567" w:right="567"/>
        <w:jc w:val="both"/>
        <w:rPr>
          <w:rFonts w:ascii="Palatino Linotype" w:hAnsi="Palatino Linotype" w:cs="Arial"/>
          <w:i/>
          <w:sz w:val="22"/>
        </w:rPr>
      </w:pPr>
      <w:r w:rsidRPr="00063609">
        <w:rPr>
          <w:rFonts w:ascii="Palatino Linotype" w:hAnsi="Palatino Linotype" w:cs="Arial"/>
          <w:i/>
          <w:sz w:val="22"/>
        </w:rPr>
        <w:t>Sobre el particular, sírvase encontrar en archivo adjunto copia del oficio de notificación número 20700004S/UT-2109/2022 mediante el cual se detalla lo referente a su solicitud.</w:t>
      </w:r>
    </w:p>
    <w:p w14:paraId="3AF76533" w14:textId="77777777" w:rsidR="00063609" w:rsidRPr="00063609" w:rsidRDefault="00063609" w:rsidP="00063609">
      <w:pPr>
        <w:pStyle w:val="Sinespaciado"/>
        <w:ind w:left="567" w:right="567"/>
        <w:jc w:val="both"/>
        <w:rPr>
          <w:rFonts w:ascii="Palatino Linotype" w:hAnsi="Palatino Linotype" w:cs="Arial"/>
          <w:i/>
          <w:sz w:val="22"/>
        </w:rPr>
      </w:pPr>
      <w:r w:rsidRPr="00063609">
        <w:rPr>
          <w:rFonts w:ascii="Palatino Linotype" w:hAnsi="Palatino Linotype" w:cs="Arial"/>
          <w:i/>
          <w:sz w:val="22"/>
        </w:rPr>
        <w:t>ATENTAMENTE</w:t>
      </w:r>
    </w:p>
    <w:p w14:paraId="3FF2307E" w14:textId="77777777" w:rsidR="00E63E1A" w:rsidRDefault="00063609" w:rsidP="00063609">
      <w:pPr>
        <w:pStyle w:val="Sinespaciado"/>
        <w:ind w:left="567" w:right="567"/>
        <w:jc w:val="both"/>
        <w:rPr>
          <w:rFonts w:ascii="Palatino Linotype" w:hAnsi="Palatino Linotype" w:cs="Arial"/>
          <w:i/>
        </w:rPr>
      </w:pPr>
      <w:r w:rsidRPr="00063609">
        <w:rPr>
          <w:rFonts w:ascii="Palatino Linotype" w:hAnsi="Palatino Linotype" w:cs="Arial"/>
          <w:i/>
          <w:sz w:val="22"/>
        </w:rPr>
        <w:t xml:space="preserve">Lic. Rodolfo Esteban Rivadeneyra Hernández </w:t>
      </w:r>
      <w:r w:rsidR="00E63E1A" w:rsidRPr="00667998">
        <w:rPr>
          <w:rFonts w:ascii="Palatino Linotype" w:hAnsi="Palatino Linotype" w:cs="Arial"/>
          <w:i/>
        </w:rPr>
        <w:t>“(Sic).</w:t>
      </w:r>
    </w:p>
    <w:p w14:paraId="493B18E1" w14:textId="77777777" w:rsidR="00E63E1A" w:rsidRPr="00063609" w:rsidRDefault="00E63E1A" w:rsidP="00E63E1A">
      <w:pPr>
        <w:pStyle w:val="Sinespaciado"/>
        <w:ind w:right="567"/>
        <w:jc w:val="both"/>
        <w:rPr>
          <w:rFonts w:ascii="Palatino Linotype" w:hAnsi="Palatino Linotype" w:cs="Arial"/>
        </w:rPr>
      </w:pPr>
    </w:p>
    <w:p w14:paraId="7B365809" w14:textId="77777777" w:rsidR="00E63E1A" w:rsidRDefault="00E63E1A" w:rsidP="00384D59">
      <w:pPr>
        <w:pStyle w:val="Sinespaciado"/>
        <w:spacing w:line="360" w:lineRule="auto"/>
        <w:jc w:val="both"/>
        <w:rPr>
          <w:rFonts w:ascii="Palatino Linotype" w:hAnsi="Palatino Linotype" w:cs="Arial"/>
        </w:rPr>
      </w:pPr>
      <w:r>
        <w:rPr>
          <w:rFonts w:ascii="Palatino Linotype" w:hAnsi="Palatino Linotype" w:cs="Arial"/>
          <w:sz w:val="22"/>
        </w:rPr>
        <w:t>El Sujeto Obligado adjuntó l</w:t>
      </w:r>
      <w:r w:rsidR="00384D59">
        <w:rPr>
          <w:rFonts w:ascii="Palatino Linotype" w:hAnsi="Palatino Linotype" w:cs="Arial"/>
          <w:sz w:val="22"/>
        </w:rPr>
        <w:t>os</w:t>
      </w:r>
      <w:r>
        <w:rPr>
          <w:rFonts w:ascii="Palatino Linotype" w:hAnsi="Palatino Linotype" w:cs="Arial"/>
          <w:sz w:val="22"/>
        </w:rPr>
        <w:t xml:space="preserve"> archivo</w:t>
      </w:r>
      <w:r w:rsidR="00384D59">
        <w:rPr>
          <w:rFonts w:ascii="Palatino Linotype" w:hAnsi="Palatino Linotype" w:cs="Arial"/>
          <w:sz w:val="22"/>
        </w:rPr>
        <w:t>s</w:t>
      </w:r>
      <w:r>
        <w:rPr>
          <w:rFonts w:ascii="Palatino Linotype" w:hAnsi="Palatino Linotype" w:cs="Arial"/>
          <w:sz w:val="22"/>
        </w:rPr>
        <w:t xml:space="preserve"> electrónico</w:t>
      </w:r>
      <w:r w:rsidR="00384D59">
        <w:rPr>
          <w:rFonts w:ascii="Palatino Linotype" w:hAnsi="Palatino Linotype" w:cs="Arial"/>
          <w:sz w:val="22"/>
        </w:rPr>
        <w:t>s</w:t>
      </w:r>
      <w:r>
        <w:rPr>
          <w:rFonts w:ascii="Palatino Linotype" w:hAnsi="Palatino Linotype" w:cs="Arial"/>
          <w:sz w:val="22"/>
        </w:rPr>
        <w:t xml:space="preserve"> denominado</w:t>
      </w:r>
      <w:r w:rsidR="00384D59">
        <w:rPr>
          <w:rFonts w:ascii="Palatino Linotype" w:hAnsi="Palatino Linotype" w:cs="Arial"/>
          <w:sz w:val="22"/>
        </w:rPr>
        <w:t>s</w:t>
      </w:r>
      <w:r>
        <w:rPr>
          <w:rFonts w:ascii="Palatino Linotype" w:hAnsi="Palatino Linotype" w:cs="Arial"/>
          <w:sz w:val="22"/>
        </w:rPr>
        <w:t xml:space="preserve"> </w:t>
      </w:r>
      <w:r>
        <w:rPr>
          <w:rFonts w:ascii="Palatino Linotype" w:hAnsi="Palatino Linotype" w:cs="Arial"/>
          <w:i/>
        </w:rPr>
        <w:t>“</w:t>
      </w:r>
      <w:r w:rsidR="00063609" w:rsidRPr="00063609">
        <w:rPr>
          <w:rFonts w:ascii="Palatino Linotype" w:hAnsi="Palatino Linotype" w:cs="Arial"/>
          <w:i/>
        </w:rPr>
        <w:t>Resp. Sol. 517.pdf</w:t>
      </w:r>
      <w:r w:rsidR="00063609">
        <w:rPr>
          <w:rFonts w:ascii="Palatino Linotype" w:hAnsi="Palatino Linotype" w:cs="Arial"/>
          <w:i/>
        </w:rPr>
        <w:t>”, “</w:t>
      </w:r>
      <w:r w:rsidR="00063609" w:rsidRPr="00063609">
        <w:rPr>
          <w:rFonts w:ascii="Palatino Linotype" w:hAnsi="Palatino Linotype" w:cs="Arial"/>
          <w:i/>
        </w:rPr>
        <w:t>UIPPE 517.pdf</w:t>
      </w:r>
      <w:r w:rsidR="00063609">
        <w:rPr>
          <w:rFonts w:ascii="Palatino Linotype" w:hAnsi="Palatino Linotype" w:cs="Arial"/>
          <w:i/>
        </w:rPr>
        <w:t>” y “</w:t>
      </w:r>
      <w:r w:rsidR="00063609" w:rsidRPr="00063609">
        <w:rPr>
          <w:rFonts w:ascii="Palatino Linotype" w:hAnsi="Palatino Linotype" w:cs="Arial"/>
          <w:i/>
        </w:rPr>
        <w:t>519 DG Plan y GP.pdf</w:t>
      </w:r>
      <w:r w:rsidR="00063609">
        <w:rPr>
          <w:rFonts w:ascii="Palatino Linotype" w:hAnsi="Palatino Linotype" w:cs="Arial"/>
          <w:i/>
        </w:rPr>
        <w:t>”</w:t>
      </w:r>
      <w:r>
        <w:rPr>
          <w:rFonts w:ascii="Palatino Linotype" w:hAnsi="Palatino Linotype" w:cs="Arial"/>
          <w:i/>
        </w:rPr>
        <w:t xml:space="preserve">, </w:t>
      </w:r>
      <w:r w:rsidRPr="006F3258">
        <w:rPr>
          <w:rFonts w:ascii="Palatino Linotype" w:hAnsi="Palatino Linotype" w:cs="Arial"/>
        </w:rPr>
        <w:t>mismo</w:t>
      </w:r>
      <w:r w:rsidR="00384D59">
        <w:rPr>
          <w:rFonts w:ascii="Palatino Linotype" w:hAnsi="Palatino Linotype" w:cs="Arial"/>
        </w:rPr>
        <w:t>s</w:t>
      </w:r>
      <w:r w:rsidRPr="006F3258">
        <w:rPr>
          <w:rFonts w:ascii="Palatino Linotype" w:hAnsi="Palatino Linotype" w:cs="Arial"/>
        </w:rPr>
        <w:t xml:space="preserve"> que no se reproduce</w:t>
      </w:r>
      <w:r w:rsidR="00384D59">
        <w:rPr>
          <w:rFonts w:ascii="Palatino Linotype" w:hAnsi="Palatino Linotype" w:cs="Arial"/>
        </w:rPr>
        <w:t>n</w:t>
      </w:r>
      <w:r w:rsidRPr="006F3258">
        <w:rPr>
          <w:rFonts w:ascii="Palatino Linotype" w:hAnsi="Palatino Linotype" w:cs="Arial"/>
        </w:rPr>
        <w:t xml:space="preserve"> por ser del conocimiento de las partes, sin embargo, será materia de estudio en el </w:t>
      </w:r>
      <w:r w:rsidRPr="006F3258">
        <w:rPr>
          <w:rFonts w:ascii="Palatino Linotype" w:hAnsi="Palatino Linotype" w:cs="Arial"/>
          <w:b/>
        </w:rPr>
        <w:t>CONSIDERADO</w:t>
      </w:r>
      <w:r w:rsidRPr="006F3258">
        <w:rPr>
          <w:rFonts w:ascii="Palatino Linotype" w:hAnsi="Palatino Linotype" w:cs="Arial"/>
        </w:rPr>
        <w:t xml:space="preserve"> respectivo.</w:t>
      </w:r>
    </w:p>
    <w:p w14:paraId="6EDC4B7A" w14:textId="77777777" w:rsidR="00E63E1A" w:rsidRDefault="00E63E1A" w:rsidP="00E63E1A">
      <w:pPr>
        <w:spacing w:after="0" w:line="360" w:lineRule="auto"/>
        <w:jc w:val="both"/>
        <w:rPr>
          <w:rFonts w:ascii="Palatino Linotype" w:hAnsi="Palatino Linotype" w:cs="Arial"/>
          <w:b/>
          <w:sz w:val="28"/>
        </w:rPr>
      </w:pPr>
    </w:p>
    <w:p w14:paraId="14486B0E" w14:textId="77777777" w:rsidR="00384D59" w:rsidRDefault="00384D59" w:rsidP="00E63E1A">
      <w:pPr>
        <w:spacing w:after="0" w:line="360" w:lineRule="auto"/>
        <w:jc w:val="both"/>
        <w:rPr>
          <w:rFonts w:ascii="Palatino Linotype" w:hAnsi="Palatino Linotype" w:cs="Arial"/>
          <w:b/>
          <w:sz w:val="28"/>
        </w:rPr>
      </w:pPr>
    </w:p>
    <w:p w14:paraId="393FA292" w14:textId="77777777" w:rsidR="00384D59" w:rsidRDefault="00384D59" w:rsidP="00E63E1A">
      <w:pPr>
        <w:spacing w:after="0" w:line="360" w:lineRule="auto"/>
        <w:jc w:val="both"/>
        <w:rPr>
          <w:rFonts w:ascii="Palatino Linotype" w:hAnsi="Palatino Linotype" w:cs="Arial"/>
          <w:b/>
          <w:sz w:val="28"/>
        </w:rPr>
      </w:pPr>
    </w:p>
    <w:p w14:paraId="594C9481" w14:textId="77777777" w:rsidR="00E63E1A" w:rsidRPr="00667998" w:rsidRDefault="00E63E1A" w:rsidP="00E63E1A">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69E9EE0E" w14:textId="77777777" w:rsidR="00E63E1A" w:rsidRDefault="00E63E1A" w:rsidP="00E63E1A">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C47444">
        <w:rPr>
          <w:rFonts w:ascii="Palatino Linotype" w:hAnsi="Palatino Linotype" w:cs="Arial"/>
          <w:sz w:val="24"/>
          <w:szCs w:val="24"/>
        </w:rPr>
        <w:t>quince</w:t>
      </w:r>
      <w:r>
        <w:rPr>
          <w:rFonts w:ascii="Palatino Linotype" w:hAnsi="Palatino Linotype" w:cs="Arial"/>
          <w:sz w:val="24"/>
          <w:szCs w:val="24"/>
        </w:rPr>
        <w:t xml:space="preserve"> de </w:t>
      </w:r>
      <w:r w:rsidR="00C47444">
        <w:rPr>
          <w:rFonts w:ascii="Palatino Linotype" w:hAnsi="Palatino Linotype" w:cs="Arial"/>
          <w:sz w:val="24"/>
          <w:szCs w:val="24"/>
        </w:rPr>
        <w:t>diciembre</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C47444" w:rsidRPr="00C47444">
        <w:rPr>
          <w:rFonts w:ascii="Palatino Linotype" w:hAnsi="Palatino Linotype" w:cs="Arial"/>
          <w:b/>
          <w:sz w:val="24"/>
          <w:szCs w:val="24"/>
        </w:rPr>
        <w:t>17</w:t>
      </w:r>
      <w:r w:rsidRPr="00C47444">
        <w:rPr>
          <w:rFonts w:ascii="Palatino Linotype" w:hAnsi="Palatino Linotype" w:cs="Arial"/>
          <w:b/>
          <w:bCs/>
          <w:sz w:val="24"/>
          <w:szCs w:val="24"/>
          <w:lang w:eastAsia="es-MX"/>
        </w:rPr>
        <w:t>3</w:t>
      </w:r>
      <w:r w:rsidR="00C47444" w:rsidRPr="00C47444">
        <w:rPr>
          <w:rFonts w:ascii="Palatino Linotype" w:hAnsi="Palatino Linotype" w:cs="Arial"/>
          <w:b/>
          <w:bCs/>
          <w:sz w:val="24"/>
          <w:szCs w:val="24"/>
          <w:lang w:eastAsia="es-MX"/>
        </w:rPr>
        <w:t>8</w:t>
      </w:r>
      <w:r w:rsidRPr="00C47444">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E5E7D15" w14:textId="77777777" w:rsidR="00E63E1A" w:rsidRDefault="00E63E1A" w:rsidP="00E63E1A">
      <w:pPr>
        <w:spacing w:after="0" w:line="360" w:lineRule="auto"/>
        <w:jc w:val="both"/>
        <w:rPr>
          <w:rFonts w:ascii="Palatino Linotype" w:hAnsi="Palatino Linotype" w:cs="Arial"/>
          <w:sz w:val="24"/>
        </w:rPr>
      </w:pPr>
    </w:p>
    <w:p w14:paraId="19F15AFC" w14:textId="77777777" w:rsidR="00E63E1A" w:rsidRPr="00667998" w:rsidRDefault="00E63E1A" w:rsidP="00E63E1A">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B3C2C8B" w14:textId="77777777" w:rsidR="00E63E1A" w:rsidRDefault="00E63E1A" w:rsidP="00E63E1A">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C47444" w:rsidRPr="00C47444">
        <w:rPr>
          <w:rFonts w:ascii="Palatino Linotype" w:hAnsi="Palatino Linotype" w:cs="Arial"/>
          <w:i/>
        </w:rPr>
        <w:t>Solicito que se haga la aclaración en lo siguiente, se requirió mediante la solicitud 00517/SF/IP/2022 entre otras ¨Quiero se me informe cuantas personas se tienen por contrato en las distintas áreas de la Subsecretaria de Planeación y Presupuesto¨, contestando: ¨la plantilla del personal de contrato por tiempo determinado de la Subsecretaria de Planeación y Presupuesto es de 156 servidores públicos¨, sin embargo en la solicitud 00427/SF/IP/2022, ¨cuantas personas se tienen por contrato y las funciones que desarrollan¨, contestaron: ¨la plantilla del personal de contrato adscrito a las Unidades Administrativas de la Subsecretaria de Planeación y Presupuesto que gestiona la Unidad de Seguimiento de Programas y Apoyo Administrativo es de 346 servidores públicos,¨ sin embargo es de resaltar que en el recurso de revisión numero 15430/INFOEM /RR/2022, se presento un informe justificado por el servidor publico habilitado de la Subsecretaria de Planeación y Presupuesto el que comenta lo siguiente: ¨Así mismo se precisa que la plantilla del personal adscrito a las Unidades Administrativas de la Subsecretaria de Planeación y Presupuesto es de 346 servidores públicos no habiendo ningún servidor publico por contrato, por lo que el número de personas que se tienen por contrato es igual a 0¨. Comentando que ese asunto se dio por concluido al no presentar alegatos, el cual sirve como antecedente, al no haber congruencia en las cantidades que se mencionan de servidores públicos por contrato de la Subsecretaria de Planeación y Presupuesto ya que dicen 346 servidores por contrato; en el informe justificado 346 servidores públicos y no habiendo ningún servidor público por contrato es igual a 0 y finalmente dicen la plantilla del personal de contrato por tiempo determinado de la Subsecretaria de Planeación y Presupuesto es de 156. Finalmente no se tiene claro por parte del servidor publico habilitado el numero de personas por contrato. Por otra parte referente a los vehículos que se describen se pidió cuales son los que utilizan el Subsecretario de Planeación y Presupuesto, Director General de Planeación y Gasto Publico y Unidad de Seguimiento de Programas y Apoyo Administrativo, no los que utilizan las unidades administrativas mencionadas y si fuera el caso que esos vehículos los tienen asignados de manera directa para el desarrollo de sus funciones cuales son.</w:t>
      </w:r>
      <w:r w:rsidRPr="00667998">
        <w:rPr>
          <w:rFonts w:ascii="Palatino Linotype" w:hAnsi="Palatino Linotype" w:cs="Arial"/>
          <w:i/>
        </w:rPr>
        <w:t>” [Sic].</w:t>
      </w:r>
    </w:p>
    <w:p w14:paraId="2E85B6C6" w14:textId="77777777" w:rsidR="00E63E1A" w:rsidRDefault="00E63E1A" w:rsidP="00E63E1A">
      <w:pPr>
        <w:spacing w:after="0" w:line="240" w:lineRule="auto"/>
        <w:ind w:left="851" w:right="851"/>
        <w:jc w:val="both"/>
        <w:rPr>
          <w:rFonts w:ascii="Palatino Linotype" w:hAnsi="Palatino Linotype" w:cs="Arial"/>
          <w:i/>
          <w:sz w:val="24"/>
        </w:rPr>
      </w:pPr>
    </w:p>
    <w:p w14:paraId="5AC1A172" w14:textId="77777777" w:rsidR="00E63E1A" w:rsidRPr="00FD749E" w:rsidRDefault="00E63E1A" w:rsidP="00E63E1A">
      <w:pPr>
        <w:spacing w:after="0" w:line="240" w:lineRule="auto"/>
        <w:ind w:left="851" w:right="851"/>
        <w:jc w:val="both"/>
        <w:rPr>
          <w:rFonts w:ascii="Palatino Linotype" w:hAnsi="Palatino Linotype" w:cs="Arial"/>
          <w:i/>
          <w:sz w:val="24"/>
        </w:rPr>
      </w:pPr>
    </w:p>
    <w:p w14:paraId="515B723F" w14:textId="77777777" w:rsidR="00E63E1A" w:rsidRPr="00667998" w:rsidRDefault="00E63E1A" w:rsidP="00E63E1A">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C3AC0F1" w14:textId="77777777" w:rsidR="00E63E1A" w:rsidRPr="00667998" w:rsidRDefault="00E63E1A" w:rsidP="00E63E1A">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C47444" w:rsidRPr="00C47444">
        <w:rPr>
          <w:rFonts w:ascii="Palatino Linotype" w:hAnsi="Palatino Linotype" w:cs="Arial"/>
          <w:i/>
        </w:rPr>
        <w:t>No se es claro con la respuesta respecto a lo solicitado</w:t>
      </w:r>
      <w:r w:rsidRPr="00667998">
        <w:rPr>
          <w:rFonts w:ascii="Palatino Linotype" w:hAnsi="Palatino Linotype" w:cs="Arial"/>
          <w:i/>
        </w:rPr>
        <w:t>” [Sic].</w:t>
      </w:r>
    </w:p>
    <w:p w14:paraId="3508A02A" w14:textId="77777777" w:rsidR="00E63E1A" w:rsidRDefault="00E63E1A" w:rsidP="00E63E1A">
      <w:pPr>
        <w:pStyle w:val="Sinespaciado"/>
      </w:pPr>
    </w:p>
    <w:p w14:paraId="26F53118" w14:textId="77777777" w:rsidR="00E63E1A" w:rsidRPr="00F303BC" w:rsidRDefault="00E63E1A" w:rsidP="00E63E1A">
      <w:pPr>
        <w:pStyle w:val="Sinespaciado"/>
        <w:rPr>
          <w:rFonts w:ascii="Palatino Linotype" w:hAnsi="Palatino Linotype"/>
        </w:rPr>
      </w:pPr>
    </w:p>
    <w:p w14:paraId="27692449" w14:textId="77777777" w:rsidR="00E63E1A" w:rsidRPr="00667998" w:rsidRDefault="00E63E1A" w:rsidP="00E63E1A">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7A1D1B3" w14:textId="77777777" w:rsidR="00E63E1A" w:rsidRPr="00667998" w:rsidRDefault="00E63E1A" w:rsidP="00E63E1A">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C47444">
        <w:rPr>
          <w:rFonts w:ascii="Palatino Linotype" w:hAnsi="Palatino Linotype" w:cs="Arial"/>
          <w:sz w:val="24"/>
          <w:szCs w:val="24"/>
        </w:rPr>
        <w:t>veintiuno</w:t>
      </w:r>
      <w:r w:rsidRPr="00141144">
        <w:rPr>
          <w:rFonts w:ascii="Palatino Linotype" w:hAnsi="Palatino Linotype" w:cs="Arial"/>
          <w:sz w:val="24"/>
          <w:szCs w:val="24"/>
        </w:rPr>
        <w:t xml:space="preserve"> de </w:t>
      </w:r>
      <w:r w:rsidR="00C47444">
        <w:rPr>
          <w:rFonts w:ascii="Palatino Linotype" w:hAnsi="Palatino Linotype" w:cs="Arial"/>
          <w:sz w:val="24"/>
          <w:szCs w:val="24"/>
        </w:rPr>
        <w:t>diciembre</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5F676F3" w14:textId="77777777" w:rsidR="00E63E1A" w:rsidRPr="00667998" w:rsidRDefault="00E63E1A" w:rsidP="00E63E1A">
      <w:pPr>
        <w:spacing w:after="0" w:line="360" w:lineRule="auto"/>
        <w:jc w:val="both"/>
        <w:rPr>
          <w:rFonts w:ascii="Palatino Linotype" w:hAnsi="Palatino Linotype" w:cs="Arial"/>
          <w:sz w:val="24"/>
          <w:szCs w:val="24"/>
        </w:rPr>
      </w:pPr>
    </w:p>
    <w:p w14:paraId="3B3E2796" w14:textId="77777777" w:rsidR="00E63E1A" w:rsidRPr="00667998" w:rsidRDefault="00E63E1A" w:rsidP="00E63E1A">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5A818121" w14:textId="77777777" w:rsidR="00E63E1A" w:rsidRDefault="00E63E1A" w:rsidP="00E63E1A">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w:t>
      </w:r>
      <w:r w:rsidR="00C47444">
        <w:rPr>
          <w:rFonts w:ascii="Palatino Linotype" w:hAnsi="Palatino Linotype" w:cs="Arial"/>
          <w:sz w:val="24"/>
          <w:szCs w:val="24"/>
        </w:rPr>
        <w:t>dos</w:t>
      </w:r>
      <w:r>
        <w:rPr>
          <w:rFonts w:ascii="Palatino Linotype" w:hAnsi="Palatino Linotype" w:cs="Arial"/>
          <w:sz w:val="24"/>
          <w:szCs w:val="24"/>
        </w:rPr>
        <w:t xml:space="preserve"> archivo</w:t>
      </w:r>
      <w:r w:rsidR="00C47444">
        <w:rPr>
          <w:rFonts w:ascii="Palatino Linotype" w:hAnsi="Palatino Linotype" w:cs="Arial"/>
          <w:sz w:val="24"/>
          <w:szCs w:val="24"/>
        </w:rPr>
        <w:t>s</w:t>
      </w:r>
      <w:r>
        <w:rPr>
          <w:rFonts w:ascii="Palatino Linotype" w:hAnsi="Palatino Linotype" w:cs="Arial"/>
          <w:sz w:val="24"/>
          <w:szCs w:val="24"/>
        </w:rPr>
        <w:t xml:space="preserve"> electrónico</w:t>
      </w:r>
      <w:r w:rsidR="00C47444">
        <w:rPr>
          <w:rFonts w:ascii="Palatino Linotype" w:hAnsi="Palatino Linotype" w:cs="Arial"/>
          <w:sz w:val="24"/>
          <w:szCs w:val="24"/>
        </w:rPr>
        <w:t>s</w:t>
      </w:r>
      <w:r>
        <w:rPr>
          <w:rFonts w:ascii="Palatino Linotype" w:hAnsi="Palatino Linotype" w:cs="Arial"/>
          <w:sz w:val="24"/>
          <w:szCs w:val="24"/>
        </w:rPr>
        <w:t xml:space="preserve"> denominado</w:t>
      </w:r>
      <w:r w:rsidR="00C47444">
        <w:rPr>
          <w:rFonts w:ascii="Palatino Linotype" w:hAnsi="Palatino Linotype" w:cs="Arial"/>
          <w:sz w:val="24"/>
          <w:szCs w:val="24"/>
        </w:rPr>
        <w:t>s</w:t>
      </w:r>
      <w:r>
        <w:rPr>
          <w:rFonts w:ascii="Palatino Linotype" w:hAnsi="Palatino Linotype" w:cs="Arial"/>
          <w:sz w:val="24"/>
          <w:szCs w:val="24"/>
        </w:rPr>
        <w:t xml:space="preserve"> “</w:t>
      </w:r>
      <w:r w:rsidR="00C47444" w:rsidRPr="00C47444">
        <w:rPr>
          <w:rFonts w:ascii="Palatino Linotype" w:hAnsi="Palatino Linotype" w:cs="Arial"/>
          <w:sz w:val="24"/>
          <w:szCs w:val="24"/>
        </w:rPr>
        <w:t>RR 17385-2022 SPP.pdf</w:t>
      </w:r>
      <w:r>
        <w:rPr>
          <w:rFonts w:ascii="Palatino Linotype" w:hAnsi="Palatino Linotype" w:cs="Arial"/>
          <w:sz w:val="24"/>
          <w:szCs w:val="24"/>
        </w:rPr>
        <w:t>”</w:t>
      </w:r>
      <w:r w:rsidR="00C47444">
        <w:rPr>
          <w:rFonts w:ascii="Palatino Linotype" w:hAnsi="Palatino Linotype" w:cs="Arial"/>
          <w:sz w:val="24"/>
          <w:szCs w:val="24"/>
        </w:rPr>
        <w:t xml:space="preserve"> y “</w:t>
      </w:r>
      <w:r w:rsidR="00C47444" w:rsidRPr="00C47444">
        <w:rPr>
          <w:rFonts w:ascii="Palatino Linotype" w:hAnsi="Palatino Linotype" w:cs="Arial"/>
          <w:sz w:val="24"/>
          <w:szCs w:val="24"/>
        </w:rPr>
        <w:t>RR 17385-2022 Informe Justificado.pdf</w:t>
      </w:r>
      <w:r w:rsidR="00C47444">
        <w:rPr>
          <w:rFonts w:ascii="Palatino Linotype" w:hAnsi="Palatino Linotype" w:cs="Arial"/>
          <w:sz w:val="24"/>
          <w:szCs w:val="24"/>
        </w:rPr>
        <w:t>”,</w:t>
      </w:r>
      <w:r>
        <w:rPr>
          <w:rFonts w:ascii="Palatino Linotype" w:hAnsi="Palatino Linotype" w:cs="Arial"/>
          <w:sz w:val="24"/>
          <w:szCs w:val="24"/>
        </w:rPr>
        <w:t xml:space="preserve"> en fecha </w:t>
      </w:r>
      <w:r w:rsidR="00C47444">
        <w:rPr>
          <w:rFonts w:ascii="Palatino Linotype" w:hAnsi="Palatino Linotype" w:cs="Arial"/>
          <w:sz w:val="24"/>
          <w:szCs w:val="24"/>
        </w:rPr>
        <w:t>dieciséis</w:t>
      </w:r>
      <w:r>
        <w:rPr>
          <w:rFonts w:ascii="Palatino Linotype" w:hAnsi="Palatino Linotype" w:cs="Arial"/>
          <w:sz w:val="24"/>
          <w:szCs w:val="24"/>
        </w:rPr>
        <w:t xml:space="preserve"> de </w:t>
      </w:r>
      <w:r w:rsidR="00C47444">
        <w:rPr>
          <w:rFonts w:ascii="Palatino Linotype" w:hAnsi="Palatino Linotype" w:cs="Arial"/>
          <w:sz w:val="24"/>
          <w:szCs w:val="24"/>
        </w:rPr>
        <w:t>enero del año dos mil veintitré</w:t>
      </w:r>
      <w:r>
        <w:rPr>
          <w:rFonts w:ascii="Palatino Linotype" w:hAnsi="Palatino Linotype" w:cs="Arial"/>
          <w:sz w:val="24"/>
          <w:szCs w:val="24"/>
        </w:rPr>
        <w:t>s, a través de</w:t>
      </w:r>
      <w:r w:rsidR="00C47444">
        <w:rPr>
          <w:rFonts w:ascii="Palatino Linotype" w:hAnsi="Palatino Linotype" w:cs="Arial"/>
          <w:sz w:val="24"/>
          <w:szCs w:val="24"/>
        </w:rPr>
        <w:t xml:space="preserve"> </w:t>
      </w:r>
      <w:r>
        <w:rPr>
          <w:rFonts w:ascii="Palatino Linotype" w:hAnsi="Palatino Linotype" w:cs="Arial"/>
          <w:sz w:val="24"/>
          <w:szCs w:val="24"/>
        </w:rPr>
        <w:t>l</w:t>
      </w:r>
      <w:r w:rsidR="00C47444">
        <w:rPr>
          <w:rFonts w:ascii="Palatino Linotype" w:hAnsi="Palatino Linotype" w:cs="Arial"/>
          <w:sz w:val="24"/>
          <w:szCs w:val="24"/>
        </w:rPr>
        <w:t>os</w:t>
      </w:r>
      <w:r>
        <w:rPr>
          <w:rFonts w:ascii="Palatino Linotype" w:hAnsi="Palatino Linotype" w:cs="Arial"/>
          <w:sz w:val="24"/>
          <w:szCs w:val="24"/>
        </w:rPr>
        <w:t xml:space="preserve"> cual</w:t>
      </w:r>
      <w:r w:rsidR="00C47444">
        <w:rPr>
          <w:rFonts w:ascii="Palatino Linotype" w:hAnsi="Palatino Linotype" w:cs="Arial"/>
          <w:sz w:val="24"/>
          <w:szCs w:val="24"/>
        </w:rPr>
        <w:t>es</w:t>
      </w:r>
      <w:r>
        <w:rPr>
          <w:rFonts w:ascii="Palatino Linotype" w:hAnsi="Palatino Linotype" w:cs="Arial"/>
          <w:sz w:val="24"/>
          <w:szCs w:val="24"/>
        </w:rPr>
        <w:t xml:space="preserve"> ratifica su respuesta primigenia, mismo que fue puesto a la vista de la Recurrente en fecha veinticinco de marzo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3543AE73" w14:textId="77777777" w:rsidR="00E63E1A" w:rsidRDefault="00E63E1A" w:rsidP="00E63E1A">
      <w:pPr>
        <w:tabs>
          <w:tab w:val="left" w:pos="8505"/>
        </w:tabs>
        <w:spacing w:after="0" w:line="360" w:lineRule="auto"/>
        <w:ind w:right="709"/>
        <w:rPr>
          <w:noProof/>
        </w:rPr>
      </w:pPr>
    </w:p>
    <w:p w14:paraId="008834FE" w14:textId="77777777" w:rsidR="00E63E1A" w:rsidRPr="00C220D0" w:rsidRDefault="00E63E1A" w:rsidP="00E63E1A">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465A521" w14:textId="77777777" w:rsidR="00E63E1A" w:rsidRDefault="00E63E1A" w:rsidP="00E63E1A">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D037B2">
        <w:rPr>
          <w:rFonts w:ascii="Palatino Linotype" w:hAnsi="Palatino Linotype" w:cs="Arial"/>
          <w:sz w:val="24"/>
          <w:szCs w:val="24"/>
        </w:rPr>
        <w:t>veintitrés</w:t>
      </w:r>
      <w:r>
        <w:rPr>
          <w:rFonts w:ascii="Palatino Linotype" w:hAnsi="Palatino Linotype" w:cs="Arial"/>
          <w:sz w:val="24"/>
          <w:szCs w:val="24"/>
        </w:rPr>
        <w:t xml:space="preserve"> de </w:t>
      </w:r>
      <w:r w:rsidR="00D037B2">
        <w:rPr>
          <w:rFonts w:ascii="Palatino Linotype" w:hAnsi="Palatino Linotype" w:cs="Arial"/>
          <w:sz w:val="24"/>
          <w:szCs w:val="24"/>
        </w:rPr>
        <w:t>ener</w:t>
      </w:r>
      <w:r>
        <w:rPr>
          <w:rFonts w:ascii="Palatino Linotype" w:hAnsi="Palatino Linotype" w:cs="Arial"/>
          <w:sz w:val="24"/>
          <w:szCs w:val="24"/>
        </w:rPr>
        <w:t>o de dos mil veinti</w:t>
      </w:r>
      <w:r w:rsidR="00D037B2">
        <w:rPr>
          <w:rFonts w:ascii="Palatino Linotype" w:hAnsi="Palatino Linotype" w:cs="Arial"/>
          <w:sz w:val="24"/>
          <w:szCs w:val="24"/>
        </w:rPr>
        <w:t>tré</w:t>
      </w:r>
      <w:r>
        <w:rPr>
          <w:rFonts w:ascii="Palatino Linotype" w:hAnsi="Palatino Linotype" w:cs="Arial"/>
          <w:sz w:val="24"/>
          <w:szCs w:val="24"/>
        </w:rPr>
        <w:t>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4A7CA6F3" w14:textId="77777777" w:rsidR="00E63E1A" w:rsidRDefault="00E63E1A" w:rsidP="00E63E1A">
      <w:pPr>
        <w:spacing w:after="0" w:line="360" w:lineRule="auto"/>
        <w:jc w:val="both"/>
        <w:rPr>
          <w:rFonts w:ascii="Palatino Linotype" w:hAnsi="Palatino Linotype" w:cs="Arial"/>
          <w:sz w:val="24"/>
          <w:szCs w:val="24"/>
        </w:rPr>
      </w:pPr>
    </w:p>
    <w:p w14:paraId="2B1D93F3" w14:textId="77777777" w:rsidR="00E63E1A" w:rsidRPr="00C220D0" w:rsidRDefault="00E63E1A" w:rsidP="00E63E1A">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28C1996F" w14:textId="77777777" w:rsidR="00E63E1A" w:rsidRPr="00667998" w:rsidRDefault="00E63E1A" w:rsidP="00E63E1A">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D037B2">
        <w:rPr>
          <w:rFonts w:ascii="Palatino Linotype" w:hAnsi="Palatino Linotype" w:cs="Arial"/>
          <w:sz w:val="24"/>
          <w:szCs w:val="24"/>
        </w:rPr>
        <w:t>veinte</w:t>
      </w:r>
      <w:r>
        <w:rPr>
          <w:rFonts w:ascii="Palatino Linotype" w:hAnsi="Palatino Linotype" w:cs="Arial"/>
          <w:sz w:val="24"/>
          <w:szCs w:val="24"/>
        </w:rPr>
        <w:t xml:space="preserve"> de </w:t>
      </w:r>
      <w:r w:rsidR="00D037B2">
        <w:rPr>
          <w:rFonts w:ascii="Palatino Linotype" w:hAnsi="Palatino Linotype" w:cs="Arial"/>
          <w:sz w:val="24"/>
          <w:szCs w:val="24"/>
        </w:rPr>
        <w:t>febrer</w:t>
      </w:r>
      <w:r>
        <w:rPr>
          <w:rFonts w:ascii="Palatino Linotype" w:hAnsi="Palatino Linotype" w:cs="Arial"/>
          <w:sz w:val="24"/>
          <w:szCs w:val="24"/>
        </w:rPr>
        <w: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6280E18" w14:textId="77777777" w:rsidR="00E63E1A" w:rsidRDefault="00E63E1A" w:rsidP="00D037B2">
      <w:pPr>
        <w:spacing w:after="0" w:line="360" w:lineRule="auto"/>
        <w:rPr>
          <w:rFonts w:ascii="Palatino Linotype" w:hAnsi="Palatino Linotype" w:cs="Arial"/>
          <w:b/>
          <w:sz w:val="24"/>
        </w:rPr>
      </w:pPr>
    </w:p>
    <w:p w14:paraId="69B16F3B"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051355" w14:textId="77777777" w:rsidR="00D037B2"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8C3891B"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6FB9DD"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939F9DF"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33CEC2"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E8FB93F"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C29EBE"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750DEC7" w14:textId="77777777" w:rsidR="00D037B2"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047F4686" w14:textId="77777777" w:rsidR="00D037B2" w:rsidRDefault="00D037B2" w:rsidP="00D037B2">
      <w:pPr>
        <w:spacing w:after="0" w:line="360" w:lineRule="auto"/>
        <w:jc w:val="both"/>
        <w:rPr>
          <w:rFonts w:ascii="Palatino Linotype" w:hAnsi="Palatino Linotype"/>
          <w:sz w:val="24"/>
          <w:szCs w:val="24"/>
        </w:rPr>
      </w:pPr>
    </w:p>
    <w:p w14:paraId="21C12812" w14:textId="77777777" w:rsidR="00D037B2" w:rsidRPr="000A7EB9" w:rsidRDefault="00D037B2" w:rsidP="00D037B2">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0A2B0685" w14:textId="77777777" w:rsidR="00D037B2" w:rsidRPr="000A7EB9" w:rsidRDefault="00D037B2" w:rsidP="00D037B2">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2FA5D6D6" w14:textId="77777777" w:rsidR="00D037B2" w:rsidRPr="000A7EB9" w:rsidRDefault="00D037B2" w:rsidP="00D037B2">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082FA444" w14:textId="77777777" w:rsidR="00D037B2" w:rsidRPr="000A7EB9" w:rsidRDefault="00D037B2" w:rsidP="00D037B2">
      <w:pPr>
        <w:pStyle w:val="Prrafodelista"/>
        <w:numPr>
          <w:ilvl w:val="0"/>
          <w:numId w:val="5"/>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26BD73FC" w14:textId="77777777" w:rsidR="00D037B2" w:rsidRPr="000A7EB9" w:rsidRDefault="00D037B2" w:rsidP="00D037B2">
      <w:pPr>
        <w:spacing w:after="0" w:line="360" w:lineRule="auto"/>
        <w:jc w:val="both"/>
        <w:rPr>
          <w:rFonts w:ascii="Palatino Linotype" w:hAnsi="Palatino Linotype"/>
          <w:sz w:val="24"/>
          <w:szCs w:val="24"/>
        </w:rPr>
      </w:pPr>
    </w:p>
    <w:p w14:paraId="4D1755A0" w14:textId="77777777" w:rsidR="00D037B2"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33CB51E" w14:textId="77777777" w:rsidR="00D037B2" w:rsidRDefault="00D037B2" w:rsidP="00D037B2">
      <w:pPr>
        <w:spacing w:after="0" w:line="360" w:lineRule="auto"/>
        <w:jc w:val="both"/>
        <w:rPr>
          <w:rFonts w:ascii="Palatino Linotype" w:hAnsi="Palatino Linotype"/>
          <w:sz w:val="24"/>
          <w:szCs w:val="24"/>
        </w:rPr>
      </w:pPr>
    </w:p>
    <w:p w14:paraId="1AFCF925"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EED196" w14:textId="77777777" w:rsidR="00D037B2"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5EB5CD4"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551C3E"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929273B"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D2B876" w14:textId="77777777" w:rsidR="00D037B2" w:rsidRPr="000A7EB9" w:rsidRDefault="00D037B2" w:rsidP="00D037B2">
      <w:pPr>
        <w:spacing w:after="0" w:line="360" w:lineRule="auto"/>
        <w:jc w:val="both"/>
        <w:rPr>
          <w:rFonts w:ascii="Palatino Linotype" w:hAnsi="Palatino Linotype"/>
          <w:sz w:val="24"/>
          <w:szCs w:val="24"/>
        </w:rPr>
      </w:pPr>
    </w:p>
    <w:p w14:paraId="50FB38EB" w14:textId="77777777" w:rsidR="00D037B2" w:rsidRDefault="00D037B2" w:rsidP="00D037B2">
      <w:pPr>
        <w:spacing w:after="0" w:line="360" w:lineRule="auto"/>
        <w:jc w:val="both"/>
        <w:rPr>
          <w:rFonts w:ascii="Palatino Linotype" w:hAnsi="Palatino Linotype"/>
          <w:sz w:val="24"/>
          <w:szCs w:val="24"/>
        </w:rPr>
      </w:pPr>
    </w:p>
    <w:p w14:paraId="50C37619"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596780B" w14:textId="77777777" w:rsidR="00D037B2" w:rsidRDefault="00D037B2" w:rsidP="00D037B2">
      <w:pPr>
        <w:spacing w:after="0" w:line="360" w:lineRule="auto"/>
        <w:jc w:val="both"/>
        <w:rPr>
          <w:rFonts w:ascii="Palatino Linotype" w:hAnsi="Palatino Linotype"/>
          <w:sz w:val="24"/>
          <w:szCs w:val="24"/>
        </w:rPr>
      </w:pPr>
    </w:p>
    <w:p w14:paraId="28882B78"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AF85C9C"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505811E" w14:textId="77777777" w:rsidR="00D037B2" w:rsidRPr="000A7EB9"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6F3761CB" w14:textId="77777777" w:rsidR="00D037B2" w:rsidRPr="000A7EB9" w:rsidRDefault="00D037B2" w:rsidP="00D037B2">
      <w:pPr>
        <w:spacing w:after="0" w:line="360" w:lineRule="auto"/>
        <w:jc w:val="both"/>
        <w:rPr>
          <w:rFonts w:ascii="Palatino Linotype" w:hAnsi="Palatino Linotype"/>
          <w:sz w:val="24"/>
          <w:szCs w:val="24"/>
        </w:rPr>
      </w:pPr>
    </w:p>
    <w:p w14:paraId="3AAF995D" w14:textId="77777777" w:rsidR="00D037B2" w:rsidRDefault="00D037B2" w:rsidP="00D037B2">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D9B5EEC" w14:textId="77777777" w:rsidR="00D037B2" w:rsidRPr="00D037B2" w:rsidRDefault="00D037B2" w:rsidP="00D037B2">
      <w:pPr>
        <w:spacing w:after="0" w:line="360" w:lineRule="auto"/>
        <w:rPr>
          <w:rFonts w:ascii="Palatino Linotype" w:hAnsi="Palatino Linotype" w:cs="Arial"/>
          <w:b/>
          <w:sz w:val="24"/>
        </w:rPr>
      </w:pPr>
    </w:p>
    <w:p w14:paraId="4C957147" w14:textId="77777777" w:rsidR="00E63E1A" w:rsidRPr="00667998" w:rsidRDefault="00E63E1A" w:rsidP="00E63E1A">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C27A037" w14:textId="77777777" w:rsidR="00E63E1A" w:rsidRPr="00C220D0" w:rsidRDefault="00E63E1A" w:rsidP="00E63E1A">
      <w:pPr>
        <w:pStyle w:val="Sinespaciado"/>
        <w:rPr>
          <w:rFonts w:ascii="Palatino Linotype" w:hAnsi="Palatino Linotype"/>
        </w:rPr>
      </w:pPr>
    </w:p>
    <w:p w14:paraId="373A1547" w14:textId="77777777" w:rsidR="00E63E1A" w:rsidRPr="00667998" w:rsidRDefault="00E63E1A" w:rsidP="00E63E1A">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A4F2094" w14:textId="77777777" w:rsidR="00E63E1A" w:rsidRPr="00667998" w:rsidRDefault="00E63E1A" w:rsidP="00E63E1A">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8A1BB29" w14:textId="77777777" w:rsidR="00E63E1A" w:rsidRDefault="00E63E1A" w:rsidP="00E63E1A">
      <w:pPr>
        <w:pStyle w:val="Prrafodelista"/>
        <w:autoSpaceDE w:val="0"/>
        <w:autoSpaceDN w:val="0"/>
        <w:adjustRightInd w:val="0"/>
        <w:spacing w:line="360" w:lineRule="auto"/>
        <w:ind w:left="0"/>
        <w:jc w:val="both"/>
        <w:rPr>
          <w:rFonts w:ascii="Palatino Linotype" w:hAnsi="Palatino Linotype" w:cs="Arial"/>
          <w:b/>
          <w:sz w:val="28"/>
        </w:rPr>
      </w:pPr>
    </w:p>
    <w:p w14:paraId="4F95F53A" w14:textId="77777777" w:rsidR="00E63E1A" w:rsidRPr="00667998" w:rsidRDefault="00E63E1A" w:rsidP="00E63E1A">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6ED8A09" w14:textId="77777777" w:rsidR="00E63E1A" w:rsidRDefault="00E63E1A" w:rsidP="00E63E1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1D55E8D" w14:textId="77777777" w:rsidR="00E63E1A" w:rsidRDefault="00E63E1A" w:rsidP="00E63E1A">
      <w:pPr>
        <w:pStyle w:val="Prrafodelista"/>
        <w:autoSpaceDE w:val="0"/>
        <w:autoSpaceDN w:val="0"/>
        <w:adjustRightInd w:val="0"/>
        <w:spacing w:line="360" w:lineRule="auto"/>
        <w:ind w:left="0"/>
        <w:jc w:val="both"/>
        <w:rPr>
          <w:rFonts w:ascii="Palatino Linotype" w:hAnsi="Palatino Linotype" w:cs="Arial"/>
          <w:b/>
        </w:rPr>
      </w:pPr>
    </w:p>
    <w:p w14:paraId="1199148D" w14:textId="77777777" w:rsidR="00E63E1A" w:rsidRDefault="00E63E1A" w:rsidP="00E63E1A">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w:t>
      </w:r>
      <w:r w:rsidRPr="00667998">
        <w:rPr>
          <w:rFonts w:ascii="Palatino Linotype" w:hAnsi="Palatino Linotype" w:cs="Arial"/>
          <w:b/>
          <w:sz w:val="28"/>
        </w:rPr>
        <w:t xml:space="preserve"> </w:t>
      </w:r>
      <w:r>
        <w:rPr>
          <w:rFonts w:ascii="Palatino Linotype" w:hAnsi="Palatino Linotype" w:cs="Arial"/>
          <w:b/>
          <w:sz w:val="28"/>
        </w:rPr>
        <w:t>De estudio de las causas de improcedencia y sobreseimiento.</w:t>
      </w:r>
    </w:p>
    <w:p w14:paraId="38B62A15" w14:textId="77777777" w:rsidR="00E63E1A" w:rsidRDefault="00E63E1A" w:rsidP="00E63E1A">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w:t>
      </w:r>
      <w:r>
        <w:rPr>
          <w:rFonts w:ascii="Palatino Linotype" w:eastAsiaTheme="minorEastAsia" w:hAnsi="Palatino Linotype" w:cs="Arial"/>
          <w:sz w:val="24"/>
          <w:szCs w:val="24"/>
          <w:lang w:val="es-ES_tradnl" w:eastAsia="es-ES"/>
        </w:rPr>
        <w:t>lo actuado ante este Organismo G</w:t>
      </w:r>
      <w:r w:rsidRPr="00E40877">
        <w:rPr>
          <w:rFonts w:ascii="Palatino Linotype" w:eastAsiaTheme="minorEastAsia" w:hAnsi="Palatino Linotype" w:cs="Arial"/>
          <w:sz w:val="24"/>
          <w:szCs w:val="24"/>
          <w:lang w:val="es-ES_tradnl" w:eastAsia="es-ES"/>
        </w:rPr>
        <w:t>arante.</w:t>
      </w:r>
    </w:p>
    <w:p w14:paraId="3F793EB2" w14:textId="77777777" w:rsidR="00E63E1A" w:rsidRDefault="00E63E1A" w:rsidP="00E63E1A">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29670F0D" w14:textId="77777777" w:rsidR="00E63E1A" w:rsidRDefault="00E63E1A" w:rsidP="00E63E1A">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Correlativo a ello, como lo establece </w:t>
      </w:r>
      <w:r w:rsidRPr="004F745D">
        <w:rPr>
          <w:rFonts w:ascii="Palatino Linotype" w:eastAsiaTheme="minorEastAsia" w:hAnsi="Palatino Linotype" w:cs="Arial"/>
          <w:sz w:val="24"/>
          <w:szCs w:val="24"/>
          <w:lang w:val="es-ES_tradnl" w:eastAsia="es-ES"/>
        </w:rPr>
        <w:t>el artículo 62 de la Ley de Amparo, Reglamentaria de los Artículos 103 y 107 de la Constitución Política de los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Estados Unidos Mexicanos, las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causas de improcedencia se analizarán de oficio, lo aleguen</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o no las partes, por ser una cuestión de orden público y</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estudio preferente; además, con base en la jurisprudencia</w:t>
      </w:r>
      <w:r>
        <w:rPr>
          <w:rFonts w:ascii="Palatino Linotype" w:eastAsiaTheme="minorEastAsia" w:hAnsi="Palatino Linotype" w:cs="Arial"/>
          <w:sz w:val="24"/>
          <w:szCs w:val="24"/>
          <w:lang w:val="es-ES_tradnl" w:eastAsia="es-ES"/>
        </w:rPr>
        <w:t xml:space="preserve"> por reiteración con número de registro digital </w:t>
      </w:r>
      <w:r w:rsidRPr="004F745D">
        <w:rPr>
          <w:rFonts w:ascii="Palatino Linotype" w:eastAsiaTheme="minorEastAsia" w:hAnsi="Palatino Linotype" w:cs="Arial"/>
          <w:sz w:val="24"/>
          <w:szCs w:val="24"/>
          <w:lang w:val="es-ES_tradnl" w:eastAsia="es-ES"/>
        </w:rPr>
        <w:t>222780</w:t>
      </w:r>
      <w:r>
        <w:rPr>
          <w:rFonts w:ascii="Palatino Linotype" w:eastAsiaTheme="minorEastAsia" w:hAnsi="Palatino Linotype" w:cs="Arial"/>
          <w:sz w:val="24"/>
          <w:szCs w:val="24"/>
          <w:lang w:val="es-ES_tradnl" w:eastAsia="es-ES"/>
        </w:rPr>
        <w:t>, de rubro y texto:</w:t>
      </w:r>
    </w:p>
    <w:p w14:paraId="71B93E23" w14:textId="77777777" w:rsidR="00E63E1A" w:rsidRPr="004F745D" w:rsidRDefault="00E63E1A" w:rsidP="00E63E1A">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A91AB70" w14:textId="77777777" w:rsidR="00E63E1A" w:rsidRPr="004F745D" w:rsidRDefault="00E63E1A" w:rsidP="00E63E1A">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4F745D">
        <w:rPr>
          <w:rFonts w:ascii="Palatino Linotype" w:eastAsiaTheme="minorEastAsia" w:hAnsi="Palatino Linotype" w:cs="Arial"/>
          <w:i/>
          <w:sz w:val="24"/>
          <w:szCs w:val="24"/>
          <w:lang w:val="es-ES_tradnl" w:eastAsia="es-ES"/>
        </w:rPr>
        <w:t>“</w:t>
      </w:r>
      <w:r w:rsidRPr="004F745D">
        <w:rPr>
          <w:rFonts w:ascii="Palatino Linotype" w:eastAsiaTheme="minorEastAsia" w:hAnsi="Palatino Linotype" w:cs="Arial"/>
          <w:b/>
          <w:i/>
          <w:sz w:val="24"/>
          <w:szCs w:val="24"/>
          <w:lang w:val="es-ES_tradnl" w:eastAsia="es-ES"/>
        </w:rPr>
        <w:t>IMPROCEDENCIA, CAUSALES DE. EN EL JUICIO DE AMPARO.</w:t>
      </w:r>
      <w:r w:rsidRPr="004F745D">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716AE916" w14:textId="77777777" w:rsidR="00E63E1A" w:rsidRPr="00E40877" w:rsidRDefault="00E63E1A" w:rsidP="00E63E1A">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2D7CE56F" w14:textId="77777777" w:rsidR="00E63E1A" w:rsidRDefault="00E63E1A" w:rsidP="00E63E1A">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E40877">
        <w:rPr>
          <w:rFonts w:ascii="Palatino Linotype" w:eastAsiaTheme="minorEastAsia" w:hAnsi="Palatino Linotype" w:cs="Arial"/>
          <w:sz w:val="24"/>
          <w:szCs w:val="24"/>
          <w:vertAlign w:val="superscript"/>
          <w:lang w:val="es-ES_tradnl" w:eastAsia="es-ES"/>
        </w:rPr>
        <w:footnoteReference w:id="1"/>
      </w:r>
      <w:r w:rsidRPr="00E40877">
        <w:rPr>
          <w:rFonts w:ascii="Palatino Linotype" w:eastAsiaTheme="minorEastAsia" w:hAnsi="Palatino Linotype" w:cs="Arial"/>
          <w:sz w:val="24"/>
          <w:szCs w:val="24"/>
          <w:lang w:val="es-ES_tradnl" w:eastAsia="es-ES"/>
        </w:rPr>
        <w:t>.</w:t>
      </w:r>
    </w:p>
    <w:p w14:paraId="2B7A914B" w14:textId="77777777" w:rsidR="00E63E1A" w:rsidRPr="00E40877" w:rsidRDefault="00E63E1A" w:rsidP="00E63E1A">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1824A60B" w14:textId="77777777" w:rsidR="00E63E1A" w:rsidRPr="00E40877" w:rsidRDefault="00E63E1A" w:rsidP="00E63E1A">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5102A586" w14:textId="77777777" w:rsidR="00E63E1A" w:rsidRPr="00E40877" w:rsidRDefault="00E63E1A" w:rsidP="00E63E1A">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6D94E1FD" w14:textId="77777777" w:rsidR="00E63E1A" w:rsidRPr="00E40877" w:rsidRDefault="00E63E1A" w:rsidP="00E63E1A">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E40877">
        <w:rPr>
          <w:rFonts w:ascii="Palatino Linotype" w:eastAsiaTheme="minorEastAsia" w:hAnsi="Palatino Linotype" w:cs="Arial"/>
          <w:b/>
          <w:sz w:val="24"/>
          <w:szCs w:val="24"/>
          <w:lang w:val="es-ES_tradnl" w:eastAsia="es-ES"/>
        </w:rPr>
        <w:t>Recurrente</w:t>
      </w:r>
      <w:r w:rsidRPr="00E40877">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03AE9EB9" w14:textId="77777777" w:rsidR="00630376" w:rsidRDefault="00630376" w:rsidP="00E63E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0BE3C4" w14:textId="77777777" w:rsidR="00E63E1A" w:rsidRDefault="00E63E1A" w:rsidP="00E63E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 xml:space="preserve">la solicitud de información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objetivamente, lo siguiente:</w:t>
      </w:r>
    </w:p>
    <w:p w14:paraId="2C2DB7C3" w14:textId="77777777" w:rsidR="00630376" w:rsidRDefault="00630376" w:rsidP="00630376">
      <w:pPr>
        <w:pStyle w:val="Prrafodelista"/>
        <w:numPr>
          <w:ilvl w:val="0"/>
          <w:numId w:val="2"/>
        </w:numPr>
        <w:spacing w:line="360" w:lineRule="auto"/>
        <w:jc w:val="both"/>
        <w:rPr>
          <w:rFonts w:ascii="Palatino Linotype" w:hAnsi="Palatino Linotype"/>
        </w:rPr>
      </w:pPr>
      <w:r>
        <w:rPr>
          <w:rFonts w:ascii="Palatino Linotype" w:hAnsi="Palatino Linotype"/>
        </w:rPr>
        <w:t>Cuá</w:t>
      </w:r>
      <w:r w:rsidRPr="00630376">
        <w:rPr>
          <w:rFonts w:ascii="Palatino Linotype" w:hAnsi="Palatino Linotype"/>
        </w:rPr>
        <w:t>ntas personas se tienen por contrato en las distintas áreas de la Subsecretaria de Planeación y Presupuesto</w:t>
      </w:r>
      <w:r>
        <w:rPr>
          <w:rFonts w:ascii="Palatino Linotype" w:hAnsi="Palatino Linotype"/>
        </w:rPr>
        <w:t>;</w:t>
      </w:r>
      <w:r w:rsidRPr="00630376">
        <w:rPr>
          <w:rFonts w:ascii="Palatino Linotype" w:hAnsi="Palatino Linotype"/>
        </w:rPr>
        <w:t xml:space="preserve"> </w:t>
      </w:r>
    </w:p>
    <w:p w14:paraId="70EF7A58" w14:textId="11C2366B" w:rsidR="00630376" w:rsidRDefault="00630376" w:rsidP="00630376">
      <w:pPr>
        <w:pStyle w:val="Prrafodelista"/>
        <w:numPr>
          <w:ilvl w:val="0"/>
          <w:numId w:val="2"/>
        </w:numPr>
        <w:spacing w:line="360" w:lineRule="auto"/>
        <w:jc w:val="both"/>
        <w:rPr>
          <w:rFonts w:ascii="Palatino Linotype" w:hAnsi="Palatino Linotype"/>
        </w:rPr>
      </w:pPr>
      <w:r>
        <w:rPr>
          <w:rFonts w:ascii="Palatino Linotype" w:hAnsi="Palatino Linotype"/>
        </w:rPr>
        <w:t>D</w:t>
      </w:r>
      <w:r w:rsidRPr="00630376">
        <w:rPr>
          <w:rFonts w:ascii="Palatino Linotype" w:hAnsi="Palatino Linotype"/>
        </w:rPr>
        <w:t>escripción de los vehículos que utilizan el Subsecretario de y Planeación y Presupuesto, Director General de Plan</w:t>
      </w:r>
      <w:r w:rsidR="008B41DD">
        <w:rPr>
          <w:rFonts w:ascii="Palatino Linotype" w:hAnsi="Palatino Linotype"/>
        </w:rPr>
        <w:t>eación y Gasto Publico y de la U</w:t>
      </w:r>
      <w:r w:rsidRPr="00630376">
        <w:rPr>
          <w:rFonts w:ascii="Palatino Linotype" w:hAnsi="Palatino Linotype"/>
        </w:rPr>
        <w:t>nidad de seguimiento de programas y apoyo administrativo</w:t>
      </w:r>
      <w:r>
        <w:rPr>
          <w:rFonts w:ascii="Palatino Linotype" w:hAnsi="Palatino Linotype"/>
        </w:rPr>
        <w:t>;</w:t>
      </w:r>
      <w:r w:rsidRPr="00630376">
        <w:rPr>
          <w:rFonts w:ascii="Palatino Linotype" w:hAnsi="Palatino Linotype"/>
        </w:rPr>
        <w:t xml:space="preserve"> y </w:t>
      </w:r>
    </w:p>
    <w:p w14:paraId="2E357F40" w14:textId="77777777" w:rsidR="00E63E1A" w:rsidRPr="00630376" w:rsidRDefault="00630376" w:rsidP="00630376">
      <w:pPr>
        <w:pStyle w:val="Prrafodelista"/>
        <w:numPr>
          <w:ilvl w:val="0"/>
          <w:numId w:val="2"/>
        </w:numPr>
        <w:spacing w:line="360" w:lineRule="auto"/>
        <w:jc w:val="both"/>
        <w:rPr>
          <w:rFonts w:ascii="Palatino Linotype" w:hAnsi="Palatino Linotype"/>
        </w:rPr>
      </w:pPr>
      <w:r>
        <w:rPr>
          <w:rFonts w:ascii="Palatino Linotype" w:hAnsi="Palatino Linotype"/>
        </w:rPr>
        <w:t>Cuá</w:t>
      </w:r>
      <w:r w:rsidRPr="00630376">
        <w:rPr>
          <w:rFonts w:ascii="Palatino Linotype" w:hAnsi="Palatino Linotype"/>
        </w:rPr>
        <w:t>ntos choferes hay</w:t>
      </w:r>
      <w:r>
        <w:rPr>
          <w:rFonts w:ascii="Palatino Linotype" w:hAnsi="Palatino Linotype"/>
        </w:rPr>
        <w:t>.</w:t>
      </w:r>
    </w:p>
    <w:p w14:paraId="555F88B3" w14:textId="77777777" w:rsidR="00E63E1A" w:rsidRDefault="00E63E1A" w:rsidP="00E63E1A">
      <w:pPr>
        <w:spacing w:after="0" w:line="360" w:lineRule="auto"/>
        <w:jc w:val="both"/>
        <w:rPr>
          <w:rFonts w:ascii="Palatino Linotype" w:hAnsi="Palatino Linotype"/>
          <w:sz w:val="24"/>
          <w:szCs w:val="24"/>
        </w:rPr>
      </w:pPr>
    </w:p>
    <w:p w14:paraId="4D0C1BAF" w14:textId="77777777" w:rsidR="00E63E1A" w:rsidRDefault="00E63E1A" w:rsidP="00D45956">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sidRPr="00CF4795">
        <w:rPr>
          <w:rFonts w:ascii="Palatino Linotype" w:eastAsia="Arial Unicode MS" w:hAnsi="Palatino Linotype" w:cs="Arial"/>
          <w:sz w:val="24"/>
          <w:szCs w:val="24"/>
        </w:rPr>
        <w:t xml:space="preserve">Así, 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los archivos electrónicos denominados</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D45956" w:rsidRPr="00D45956">
        <w:rPr>
          <w:rFonts w:ascii="Palatino Linotype" w:hAnsi="Palatino Linotype" w:cs="Arial"/>
          <w:i/>
          <w:sz w:val="24"/>
          <w:szCs w:val="24"/>
        </w:rPr>
        <w:t>Resp. Sol. 517.pdf</w:t>
      </w:r>
      <w:r w:rsidR="00D45956">
        <w:rPr>
          <w:rFonts w:ascii="Palatino Linotype" w:hAnsi="Palatino Linotype" w:cs="Arial"/>
          <w:i/>
          <w:sz w:val="24"/>
          <w:szCs w:val="24"/>
        </w:rPr>
        <w:t>”, “</w:t>
      </w:r>
      <w:r w:rsidR="00D45956" w:rsidRPr="00D45956">
        <w:rPr>
          <w:rFonts w:ascii="Palatino Linotype" w:hAnsi="Palatino Linotype" w:cs="Arial"/>
          <w:i/>
          <w:sz w:val="24"/>
          <w:szCs w:val="24"/>
        </w:rPr>
        <w:t>UIPPE 517.pdf</w:t>
      </w:r>
      <w:r w:rsidR="00D45956">
        <w:rPr>
          <w:rFonts w:ascii="Palatino Linotype" w:hAnsi="Palatino Linotype" w:cs="Arial"/>
          <w:i/>
          <w:sz w:val="24"/>
          <w:szCs w:val="24"/>
        </w:rPr>
        <w:t>” y “</w:t>
      </w:r>
      <w:r w:rsidR="00D45956" w:rsidRPr="00D45956">
        <w:rPr>
          <w:rFonts w:ascii="Palatino Linotype" w:hAnsi="Palatino Linotype" w:cs="Arial"/>
          <w:i/>
          <w:sz w:val="24"/>
          <w:szCs w:val="24"/>
        </w:rPr>
        <w:t>519 DG Plan y GP.pdf</w:t>
      </w:r>
      <w:r>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mismos que se describen a continuación:</w:t>
      </w:r>
    </w:p>
    <w:p w14:paraId="648EEE8D" w14:textId="77777777" w:rsidR="00E63E1A" w:rsidRDefault="00E63E1A" w:rsidP="00E63E1A">
      <w:pPr>
        <w:spacing w:after="0" w:line="360" w:lineRule="auto"/>
        <w:jc w:val="both"/>
        <w:rPr>
          <w:rFonts w:ascii="Palatino Linotype" w:eastAsia="Arial Unicode MS" w:hAnsi="Palatino Linotype" w:cs="Arial"/>
          <w:sz w:val="24"/>
          <w:szCs w:val="24"/>
        </w:rPr>
      </w:pPr>
    </w:p>
    <w:p w14:paraId="5A62793A" w14:textId="14F556DA" w:rsidR="00E63E1A" w:rsidRPr="00D45956" w:rsidRDefault="00D45956" w:rsidP="00D45956">
      <w:pPr>
        <w:pStyle w:val="Prrafodelista"/>
        <w:numPr>
          <w:ilvl w:val="0"/>
          <w:numId w:val="3"/>
        </w:numPr>
        <w:spacing w:line="360" w:lineRule="auto"/>
        <w:jc w:val="both"/>
        <w:rPr>
          <w:rFonts w:ascii="Palatino Linotype" w:hAnsi="Palatino Linotype" w:cs="Arial"/>
          <w:b/>
          <w:bCs/>
        </w:rPr>
      </w:pPr>
      <w:r w:rsidRPr="00D45956">
        <w:rPr>
          <w:rFonts w:ascii="Palatino Linotype" w:hAnsi="Palatino Linotype" w:cs="Arial"/>
          <w:b/>
          <w:bCs/>
        </w:rPr>
        <w:t>Resp. Sol. 517.pdf</w:t>
      </w:r>
      <w:r w:rsidR="00E63E1A" w:rsidRPr="00AA598F">
        <w:rPr>
          <w:rFonts w:ascii="Palatino Linotype" w:hAnsi="Palatino Linotype" w:cs="Arial"/>
          <w:b/>
          <w:bCs/>
        </w:rPr>
        <w:t xml:space="preserve">: </w:t>
      </w:r>
      <w:r>
        <w:rPr>
          <w:rFonts w:ascii="Palatino Linotype" w:hAnsi="Palatino Linotype" w:cs="Arial"/>
          <w:bCs/>
        </w:rPr>
        <w:t>Documento consistente en una</w:t>
      </w:r>
      <w:r w:rsidR="00E63E1A" w:rsidRPr="00AA598F">
        <w:rPr>
          <w:rFonts w:ascii="Palatino Linotype" w:hAnsi="Palatino Linotype" w:cs="Arial"/>
          <w:bCs/>
        </w:rPr>
        <w:t xml:space="preserve"> (</w:t>
      </w:r>
      <w:r>
        <w:rPr>
          <w:rFonts w:ascii="Palatino Linotype" w:hAnsi="Palatino Linotype" w:cs="Arial"/>
          <w:bCs/>
        </w:rPr>
        <w:t>1</w:t>
      </w:r>
      <w:r w:rsidR="00E63E1A" w:rsidRPr="00AA598F">
        <w:rPr>
          <w:rFonts w:ascii="Palatino Linotype" w:hAnsi="Palatino Linotype" w:cs="Arial"/>
          <w:bCs/>
        </w:rPr>
        <w:t>) foja</w:t>
      </w:r>
      <w:r w:rsidR="00E63E1A">
        <w:rPr>
          <w:rFonts w:ascii="Palatino Linotype" w:hAnsi="Palatino Linotype" w:cs="Arial"/>
          <w:bCs/>
        </w:rPr>
        <w:t>, el</w:t>
      </w:r>
      <w:r w:rsidR="00E63E1A">
        <w:rPr>
          <w:rFonts w:ascii="Palatino Linotype" w:hAnsi="Palatino Linotype" w:cs="Arial"/>
          <w:b/>
          <w:bCs/>
        </w:rPr>
        <w:t xml:space="preserve"> </w:t>
      </w:r>
      <w:r w:rsidR="00E63E1A" w:rsidRPr="00AA598F">
        <w:rPr>
          <w:rFonts w:ascii="Palatino Linotype" w:hAnsi="Palatino Linotype" w:cs="Arial"/>
          <w:bCs/>
        </w:rPr>
        <w:t xml:space="preserve">cual contiene </w:t>
      </w:r>
      <w:r>
        <w:rPr>
          <w:rFonts w:ascii="Palatino Linotype" w:hAnsi="Palatino Linotype" w:cs="Arial"/>
          <w:bCs/>
        </w:rPr>
        <w:t>número de oficio 20704000020000S/260/2022</w:t>
      </w:r>
      <w:r w:rsidR="00E63E1A" w:rsidRPr="00AA598F">
        <w:rPr>
          <w:rFonts w:ascii="Palatino Linotype" w:hAnsi="Palatino Linotype" w:cs="Arial"/>
          <w:bCs/>
        </w:rPr>
        <w:t xml:space="preserve">, a través del cual </w:t>
      </w:r>
      <w:r w:rsidR="00E13E54">
        <w:rPr>
          <w:rFonts w:ascii="Palatino Linotype" w:hAnsi="Palatino Linotype" w:cs="Arial"/>
          <w:bCs/>
        </w:rPr>
        <w:t xml:space="preserve">el </w:t>
      </w:r>
      <w:r>
        <w:rPr>
          <w:rFonts w:ascii="Palatino Linotype" w:hAnsi="Palatino Linotype" w:cs="Arial"/>
          <w:bCs/>
        </w:rPr>
        <w:t xml:space="preserve">Servidor Público Habilitado Suplente de la Secretaría de Planeación y Presupuesto, </w:t>
      </w:r>
      <w:r w:rsidRPr="008F79DD">
        <w:rPr>
          <w:rFonts w:ascii="Palatino Linotype" w:hAnsi="Palatino Linotype" w:cs="Arial"/>
          <w:b/>
          <w:bCs/>
        </w:rPr>
        <w:t>señaló que la plantilla del personal de contrato por tiempo determinando de la Subsecretaria de Planeación y Presupuesto es de ciento cincuenta y seis (156) servidores públicos</w:t>
      </w:r>
      <w:r w:rsidR="008F79DD">
        <w:rPr>
          <w:rFonts w:ascii="Palatino Linotype" w:hAnsi="Palatino Linotype" w:cs="Arial"/>
          <w:b/>
          <w:bCs/>
        </w:rPr>
        <w:t>,</w:t>
      </w:r>
      <w:r w:rsidRPr="008F79DD">
        <w:rPr>
          <w:rFonts w:ascii="Palatino Linotype" w:hAnsi="Palatino Linotype" w:cs="Arial"/>
          <w:b/>
          <w:bCs/>
        </w:rPr>
        <w:t xml:space="preserve"> así mismo señaló la descripción de los vehículos que utilizan la unidades administrativas requeridas por el particular,</w:t>
      </w:r>
      <w:r w:rsidR="003A5B81" w:rsidRPr="008F79DD">
        <w:rPr>
          <w:rFonts w:ascii="Palatino Linotype" w:hAnsi="Palatino Linotype" w:cs="Arial"/>
          <w:b/>
          <w:bCs/>
        </w:rPr>
        <w:t xml:space="preserve"> </w:t>
      </w:r>
      <w:r w:rsidR="008F79DD" w:rsidRPr="008F79DD">
        <w:rPr>
          <w:rFonts w:ascii="Palatino Linotype" w:hAnsi="Palatino Linotype" w:cs="Arial"/>
          <w:b/>
          <w:bCs/>
        </w:rPr>
        <w:t>además</w:t>
      </w:r>
      <w:r w:rsidR="003A5B81" w:rsidRPr="008F79DD">
        <w:rPr>
          <w:rFonts w:ascii="Palatino Linotype" w:hAnsi="Palatino Linotype" w:cs="Arial"/>
          <w:b/>
          <w:bCs/>
        </w:rPr>
        <w:t xml:space="preserve"> señaló que se cuenta con una plaza de “choferesa, chofer”, la cual se encuentra adscrita a la Dirección de General de Planeación y Gasto Público</w:t>
      </w:r>
      <w:r w:rsidR="005F3383">
        <w:rPr>
          <w:rFonts w:ascii="Palatino Linotype" w:hAnsi="Palatino Linotype" w:cs="Arial"/>
          <w:bCs/>
        </w:rPr>
        <w:t>,</w:t>
      </w:r>
      <w:r>
        <w:rPr>
          <w:rFonts w:ascii="Palatino Linotype" w:hAnsi="Palatino Linotype" w:cs="Arial"/>
          <w:bCs/>
        </w:rPr>
        <w:t xml:space="preserve"> tal y como se advierte a continuación:</w:t>
      </w:r>
    </w:p>
    <w:p w14:paraId="0ED19664" w14:textId="77777777" w:rsidR="003A5B81" w:rsidRDefault="003A5B81" w:rsidP="00D45956">
      <w:pPr>
        <w:pStyle w:val="Prrafodelista"/>
        <w:spacing w:line="360" w:lineRule="auto"/>
        <w:ind w:left="720"/>
        <w:jc w:val="both"/>
        <w:rPr>
          <w:rFonts w:ascii="Palatino Linotype" w:hAnsi="Palatino Linotype" w:cs="Arial"/>
          <w:b/>
          <w:bCs/>
        </w:rPr>
      </w:pPr>
    </w:p>
    <w:p w14:paraId="19833885" w14:textId="77777777" w:rsidR="00D45956" w:rsidRPr="00CF65B7" w:rsidRDefault="003A5B81" w:rsidP="003A5B81">
      <w:pPr>
        <w:pStyle w:val="Prrafodelista"/>
        <w:spacing w:line="360" w:lineRule="auto"/>
        <w:ind w:left="720"/>
        <w:jc w:val="center"/>
        <w:rPr>
          <w:rFonts w:ascii="Palatino Linotype" w:hAnsi="Palatino Linotype" w:cs="Arial"/>
          <w:b/>
          <w:bCs/>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2587E8F" wp14:editId="57FC1714">
                <wp:simplePos x="0" y="0"/>
                <wp:positionH relativeFrom="margin">
                  <wp:posOffset>1352854</wp:posOffset>
                </wp:positionH>
                <wp:positionV relativeFrom="paragraph">
                  <wp:posOffset>1944867</wp:posOffset>
                </wp:positionV>
                <wp:extent cx="3641698" cy="1741336"/>
                <wp:effectExtent l="19050" t="19050" r="16510" b="11430"/>
                <wp:wrapNone/>
                <wp:docPr id="34" name="Rectángulo 34"/>
                <wp:cNvGraphicFramePr/>
                <a:graphic xmlns:a="http://schemas.openxmlformats.org/drawingml/2006/main">
                  <a:graphicData uri="http://schemas.microsoft.com/office/word/2010/wordprocessingShape">
                    <wps:wsp>
                      <wps:cNvSpPr/>
                      <wps:spPr>
                        <a:xfrm>
                          <a:off x="0" y="0"/>
                          <a:ext cx="3641698" cy="174133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ECE08" id="Rectángulo 34" o:spid="_x0000_s1026" style="position:absolute;margin-left:106.5pt;margin-top:153.15pt;width:286.75pt;height:13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" filled="f" strokecolor="red" strokeweight="2.25pt">
                <w10:wrap anchorx="margin"/>
              </v:rect>
            </w:pict>
          </mc:Fallback>
        </mc:AlternateContent>
      </w:r>
      <w:r w:rsidR="00D45956">
        <w:rPr>
          <w:noProof/>
          <w:lang w:val="es-MX" w:eastAsia="es-MX"/>
        </w:rPr>
        <w:drawing>
          <wp:inline distT="0" distB="0" distL="0" distR="0" wp14:anchorId="7D0E4004" wp14:editId="26BACCEB">
            <wp:extent cx="4007458" cy="4973497"/>
            <wp:effectExtent l="95250" t="114300" r="88900" b="1130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942" t="13531" r="6360" b="5502"/>
                    <a:stretch/>
                  </pic:blipFill>
                  <pic:spPr bwMode="auto">
                    <a:xfrm>
                      <a:off x="0" y="0"/>
                      <a:ext cx="4027227" cy="499803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A1C1703" w14:textId="77777777" w:rsidR="00E63E1A" w:rsidRDefault="00E63E1A" w:rsidP="003A5B81">
      <w:pPr>
        <w:pStyle w:val="Prrafodelista"/>
        <w:spacing w:line="360" w:lineRule="auto"/>
        <w:ind w:left="720"/>
        <w:rPr>
          <w:rFonts w:ascii="Palatino Linotype" w:hAnsi="Palatino Linotype" w:cs="Arial"/>
          <w:b/>
          <w:bCs/>
        </w:rPr>
      </w:pPr>
    </w:p>
    <w:p w14:paraId="02ABBFFC" w14:textId="2238BAF0" w:rsidR="00A64A5A" w:rsidRPr="00A64A5A" w:rsidRDefault="00985F89" w:rsidP="00985F89">
      <w:pPr>
        <w:pStyle w:val="Prrafodelista"/>
        <w:numPr>
          <w:ilvl w:val="0"/>
          <w:numId w:val="3"/>
        </w:numPr>
        <w:spacing w:line="360" w:lineRule="auto"/>
        <w:jc w:val="both"/>
        <w:rPr>
          <w:rFonts w:ascii="Palatino Linotype" w:hAnsi="Palatino Linotype" w:cs="Arial"/>
          <w:b/>
          <w:bCs/>
        </w:rPr>
      </w:pPr>
      <w:r w:rsidRPr="00985F89">
        <w:rPr>
          <w:rFonts w:ascii="Palatino Linotype" w:hAnsi="Palatino Linotype" w:cs="Arial"/>
          <w:b/>
          <w:bCs/>
        </w:rPr>
        <w:t>UIPPE 517.pdf</w:t>
      </w:r>
      <w:r w:rsidR="003A5B81" w:rsidRPr="00AA598F">
        <w:rPr>
          <w:rFonts w:ascii="Palatino Linotype" w:hAnsi="Palatino Linotype" w:cs="Arial"/>
          <w:b/>
          <w:bCs/>
        </w:rPr>
        <w:t xml:space="preserve">: </w:t>
      </w:r>
      <w:r w:rsidR="003A5B81">
        <w:rPr>
          <w:rFonts w:ascii="Palatino Linotype" w:hAnsi="Palatino Linotype" w:cs="Arial"/>
          <w:bCs/>
        </w:rPr>
        <w:t>Documento consistente en una</w:t>
      </w:r>
      <w:r w:rsidR="003A5B81" w:rsidRPr="00AA598F">
        <w:rPr>
          <w:rFonts w:ascii="Palatino Linotype" w:hAnsi="Palatino Linotype" w:cs="Arial"/>
          <w:bCs/>
        </w:rPr>
        <w:t xml:space="preserve"> (</w:t>
      </w:r>
      <w:r w:rsidR="003A5B81">
        <w:rPr>
          <w:rFonts w:ascii="Palatino Linotype" w:hAnsi="Palatino Linotype" w:cs="Arial"/>
          <w:bCs/>
        </w:rPr>
        <w:t>1</w:t>
      </w:r>
      <w:r w:rsidR="003A5B81" w:rsidRPr="00AA598F">
        <w:rPr>
          <w:rFonts w:ascii="Palatino Linotype" w:hAnsi="Palatino Linotype" w:cs="Arial"/>
          <w:bCs/>
        </w:rPr>
        <w:t>) foja</w:t>
      </w:r>
      <w:r w:rsidR="003A5B81">
        <w:rPr>
          <w:rFonts w:ascii="Palatino Linotype" w:hAnsi="Palatino Linotype" w:cs="Arial"/>
          <w:bCs/>
        </w:rPr>
        <w:t>, el</w:t>
      </w:r>
      <w:r w:rsidR="003A5B81">
        <w:rPr>
          <w:rFonts w:ascii="Palatino Linotype" w:hAnsi="Palatino Linotype" w:cs="Arial"/>
          <w:b/>
          <w:bCs/>
        </w:rPr>
        <w:t xml:space="preserve"> </w:t>
      </w:r>
      <w:r w:rsidR="003A5B81" w:rsidRPr="00AA598F">
        <w:rPr>
          <w:rFonts w:ascii="Palatino Linotype" w:hAnsi="Palatino Linotype" w:cs="Arial"/>
          <w:bCs/>
        </w:rPr>
        <w:t xml:space="preserve">cual contiene </w:t>
      </w:r>
      <w:r w:rsidR="003A5B81">
        <w:rPr>
          <w:rFonts w:ascii="Palatino Linotype" w:hAnsi="Palatino Linotype" w:cs="Arial"/>
          <w:bCs/>
        </w:rPr>
        <w:t>número de oficio 2070000</w:t>
      </w:r>
      <w:r w:rsidR="00852E6C">
        <w:rPr>
          <w:rFonts w:ascii="Palatino Linotype" w:hAnsi="Palatino Linotype" w:cs="Arial"/>
          <w:bCs/>
        </w:rPr>
        <w:t>4</w:t>
      </w:r>
      <w:r w:rsidR="003A5B81">
        <w:rPr>
          <w:rFonts w:ascii="Palatino Linotype" w:hAnsi="Palatino Linotype" w:cs="Arial"/>
          <w:bCs/>
        </w:rPr>
        <w:t>S/</w:t>
      </w:r>
      <w:r w:rsidR="00852E6C">
        <w:rPr>
          <w:rFonts w:ascii="Palatino Linotype" w:hAnsi="Palatino Linotype" w:cs="Arial"/>
          <w:bCs/>
        </w:rPr>
        <w:t>UT-21</w:t>
      </w:r>
      <w:r w:rsidR="003A5B81">
        <w:rPr>
          <w:rFonts w:ascii="Palatino Linotype" w:hAnsi="Palatino Linotype" w:cs="Arial"/>
          <w:bCs/>
        </w:rPr>
        <w:t>0</w:t>
      </w:r>
      <w:r w:rsidR="00852E6C">
        <w:rPr>
          <w:rFonts w:ascii="Palatino Linotype" w:hAnsi="Palatino Linotype" w:cs="Arial"/>
          <w:bCs/>
        </w:rPr>
        <w:t>9</w:t>
      </w:r>
      <w:r w:rsidR="003A5B81">
        <w:rPr>
          <w:rFonts w:ascii="Palatino Linotype" w:hAnsi="Palatino Linotype" w:cs="Arial"/>
          <w:bCs/>
        </w:rPr>
        <w:t>/2022</w:t>
      </w:r>
      <w:r w:rsidR="003A5B81" w:rsidRPr="00AA598F">
        <w:rPr>
          <w:rFonts w:ascii="Palatino Linotype" w:hAnsi="Palatino Linotype" w:cs="Arial"/>
          <w:bCs/>
        </w:rPr>
        <w:t xml:space="preserve">, a través del cual </w:t>
      </w:r>
      <w:r w:rsidR="00A64A5A">
        <w:rPr>
          <w:rFonts w:ascii="Palatino Linotype" w:hAnsi="Palatino Linotype" w:cs="Arial"/>
          <w:bCs/>
        </w:rPr>
        <w:t xml:space="preserve">el Jefe de la UIPPE y Titular de la Unidad de la Unidad de Transparencia, </w:t>
      </w:r>
      <w:r w:rsidR="00B82EFA">
        <w:rPr>
          <w:rFonts w:ascii="Palatino Linotype" w:hAnsi="Palatino Linotype" w:cs="Arial"/>
          <w:bCs/>
        </w:rPr>
        <w:t>informan</w:t>
      </w:r>
      <w:r w:rsidR="00A64A5A">
        <w:rPr>
          <w:rFonts w:ascii="Palatino Linotype" w:hAnsi="Palatino Linotype" w:cs="Arial"/>
          <w:bCs/>
        </w:rPr>
        <w:t xml:space="preserve"> al solicitante que en atención a la solicitud de información se adjunta la respuesta emitida por las Servidoras Públicas Habilitadas de la Subsecretaría de Planeación y Presupuesto y de la Dirección General de Planeación y Gasto Público.</w:t>
      </w:r>
    </w:p>
    <w:p w14:paraId="11F0DD9F" w14:textId="77777777" w:rsidR="00E63E1A" w:rsidRDefault="00E63E1A" w:rsidP="00E63E1A">
      <w:pPr>
        <w:pStyle w:val="Prrafodelista"/>
        <w:spacing w:line="360" w:lineRule="auto"/>
        <w:ind w:left="567"/>
        <w:jc w:val="center"/>
        <w:rPr>
          <w:rFonts w:ascii="Palatino Linotype" w:eastAsia="Arial Unicode MS" w:hAnsi="Palatino Linotype" w:cs="Arial"/>
        </w:rPr>
      </w:pPr>
    </w:p>
    <w:p w14:paraId="6072E3A5" w14:textId="77777777" w:rsidR="00E63E1A" w:rsidRPr="00E25441" w:rsidRDefault="00A64A5A" w:rsidP="00960F94">
      <w:pPr>
        <w:pStyle w:val="Prrafodelista"/>
        <w:numPr>
          <w:ilvl w:val="0"/>
          <w:numId w:val="3"/>
        </w:numPr>
        <w:spacing w:line="360" w:lineRule="auto"/>
        <w:jc w:val="both"/>
        <w:rPr>
          <w:rFonts w:ascii="Palatino Linotype" w:eastAsia="Arial Unicode MS" w:hAnsi="Palatino Linotype" w:cs="Arial"/>
        </w:rPr>
      </w:pPr>
      <w:r w:rsidRPr="00E25441">
        <w:rPr>
          <w:rFonts w:ascii="Palatino Linotype" w:hAnsi="Palatino Linotype" w:cs="Arial"/>
          <w:b/>
          <w:bCs/>
        </w:rPr>
        <w:t>519 DG Plan y GP.pdf</w:t>
      </w:r>
      <w:r w:rsidR="00E63E1A" w:rsidRPr="00E25441">
        <w:rPr>
          <w:rFonts w:ascii="Palatino Linotype" w:eastAsia="Arial Unicode MS" w:hAnsi="Palatino Linotype" w:cs="Arial"/>
          <w:b/>
          <w:bCs/>
        </w:rPr>
        <w:t>:</w:t>
      </w:r>
      <w:r w:rsidR="00E63E1A" w:rsidRPr="00E25441">
        <w:rPr>
          <w:rFonts w:ascii="Palatino Linotype" w:eastAsia="Arial Unicode MS" w:hAnsi="Palatino Linotype" w:cs="Arial"/>
        </w:rPr>
        <w:t xml:space="preserve"> Documento en formato Pdf, consistente en dos (2) fojas, </w:t>
      </w:r>
      <w:r w:rsidRPr="00E25441">
        <w:rPr>
          <w:rFonts w:ascii="Palatino Linotype" w:eastAsia="Arial Unicode MS" w:hAnsi="Palatino Linotype" w:cs="Arial"/>
        </w:rPr>
        <w:t xml:space="preserve">con número de oficio 20704001L/2677/2022, a través del cual la Directora General </w:t>
      </w:r>
      <w:r w:rsidR="00E63E1A" w:rsidRPr="00E25441">
        <w:rPr>
          <w:rFonts w:ascii="Palatino Linotype" w:eastAsia="Arial Unicode MS" w:hAnsi="Palatino Linotype" w:cs="Arial"/>
        </w:rPr>
        <w:t xml:space="preserve">informó </w:t>
      </w:r>
      <w:r w:rsidR="00E25441" w:rsidRPr="00E25441">
        <w:rPr>
          <w:rFonts w:ascii="Palatino Linotype" w:eastAsia="Arial Unicode MS" w:hAnsi="Palatino Linotype" w:cs="Arial"/>
        </w:rPr>
        <w:t xml:space="preserve">al Jefe de </w:t>
      </w:r>
      <w:r w:rsidR="00E25441" w:rsidRPr="00E25441">
        <w:rPr>
          <w:rFonts w:ascii="Palatino Linotype" w:hAnsi="Palatino Linotype" w:cs="Arial"/>
          <w:bCs/>
        </w:rPr>
        <w:t>la UIPPE y Titular de la Unidad de la Unidad de Transparencia</w:t>
      </w:r>
      <w:r w:rsidR="00E25441">
        <w:rPr>
          <w:rFonts w:ascii="Palatino Linotype" w:hAnsi="Palatino Linotype" w:cs="Arial"/>
          <w:bCs/>
        </w:rPr>
        <w:t>, que en relación a lo requerido por el solicitante y de acuerdo al artículo 20 del Reglamento Interior de la Secretaría de Finanzas, no tiene asignadas funciones en materia de recursos humanos y materiales, por lo que sugiere reconducir su petición a las áreas de la Subsecretaría de Planeación y Presupuesto</w:t>
      </w:r>
      <w:r w:rsidR="00B74371">
        <w:rPr>
          <w:rFonts w:ascii="Palatino Linotype" w:hAnsi="Palatino Linotype" w:cs="Arial"/>
          <w:bCs/>
        </w:rPr>
        <w:t>; Asimismo señaló que en lo que respecta a la Dirección General se asignó un vehículo para el cumplimiento de las actividades inherentes al cargo conferido y en relación a cuantos choferes hay, se tiene autorizada una plaza con “Titulo de Puesto” denominado “Choferesa, chofer de Servidora, or Pública o Superior or”, misma que se encuentra vacante.</w:t>
      </w:r>
    </w:p>
    <w:p w14:paraId="32941B57" w14:textId="76F916E7" w:rsidR="00E25441" w:rsidRDefault="00E25441" w:rsidP="00960F94">
      <w:pPr>
        <w:spacing w:after="0" w:line="360" w:lineRule="auto"/>
        <w:jc w:val="both"/>
        <w:rPr>
          <w:rFonts w:ascii="Palatino Linotype" w:eastAsia="Arial Unicode MS" w:hAnsi="Palatino Linotype" w:cs="Arial"/>
        </w:rPr>
      </w:pPr>
    </w:p>
    <w:p w14:paraId="6C2A9D55" w14:textId="77777777" w:rsidR="00960F94" w:rsidRDefault="00960F94" w:rsidP="00960F94">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39E2C39C" w14:textId="77777777" w:rsidR="00960F94" w:rsidRDefault="00960F94" w:rsidP="00960F94">
      <w:pPr>
        <w:pStyle w:val="Sinespaciado"/>
        <w:ind w:left="567" w:right="567"/>
        <w:jc w:val="both"/>
        <w:rPr>
          <w:rFonts w:ascii="Palatino Linotype" w:hAnsi="Palatino Linotype"/>
          <w:i/>
          <w:sz w:val="22"/>
        </w:rPr>
      </w:pPr>
    </w:p>
    <w:p w14:paraId="4B7709B8" w14:textId="77777777" w:rsidR="00960F94" w:rsidRPr="00307C48" w:rsidRDefault="00960F94" w:rsidP="00960F94">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4CF0972D" w14:textId="77777777" w:rsidR="00960F94" w:rsidRPr="00E25441" w:rsidRDefault="00960F94" w:rsidP="00E25441">
      <w:pPr>
        <w:spacing w:line="360" w:lineRule="auto"/>
        <w:jc w:val="both"/>
        <w:rPr>
          <w:rFonts w:ascii="Palatino Linotype" w:eastAsia="Arial Unicode MS" w:hAnsi="Palatino Linotype" w:cs="Arial"/>
        </w:rPr>
      </w:pPr>
    </w:p>
    <w:bookmarkEnd w:id="2"/>
    <w:p w14:paraId="76E9AFBE" w14:textId="77777777" w:rsidR="00E63E1A" w:rsidRDefault="00E63E1A" w:rsidP="00E63E1A">
      <w:pPr>
        <w:spacing w:after="0" w:line="360" w:lineRule="auto"/>
        <w:ind w:right="141"/>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D</w:t>
      </w:r>
      <w:r w:rsidRPr="00E1591D">
        <w:rPr>
          <w:rFonts w:ascii="Palatino Linotype" w:eastAsia="Calibri" w:hAnsi="Palatino Linotype" w:cs="Times New Roman"/>
          <w:sz w:val="24"/>
          <w:szCs w:val="24"/>
          <w:lang w:val="es-ES_tradnl" w:eastAsia="es-ES"/>
        </w:rPr>
        <w:t>el contenido de</w:t>
      </w:r>
      <w:r>
        <w:rPr>
          <w:rFonts w:ascii="Palatino Linotype" w:eastAsia="Calibri" w:hAnsi="Palatino Linotype" w:cs="Times New Roman"/>
          <w:sz w:val="24"/>
          <w:szCs w:val="24"/>
          <w:lang w:val="es-ES_tradnl" w:eastAsia="es-ES"/>
        </w:rPr>
        <w:t xml:space="preserve"> los archivos proporcionados en respuestas </w:t>
      </w:r>
      <w:r w:rsidRPr="00E1591D">
        <w:rPr>
          <w:rFonts w:ascii="Palatino Linotype" w:eastAsia="Calibri" w:hAnsi="Palatino Linotype" w:cs="Times New Roman"/>
          <w:sz w:val="24"/>
          <w:szCs w:val="24"/>
          <w:lang w:val="es-ES_tradnl" w:eastAsia="es-ES"/>
        </w:rPr>
        <w:t xml:space="preserve">por el </w:t>
      </w:r>
      <w:r w:rsidRPr="00E1591D">
        <w:rPr>
          <w:rFonts w:ascii="Palatino Linotype" w:eastAsia="Calibri" w:hAnsi="Palatino Linotype" w:cs="Times New Roman"/>
          <w:b/>
          <w:sz w:val="24"/>
          <w:szCs w:val="24"/>
          <w:lang w:val="es-ES_tradnl" w:eastAsia="es-ES"/>
        </w:rPr>
        <w:t>Sujeto Obligado</w:t>
      </w:r>
      <w:r w:rsidRPr="00E1591D">
        <w:rPr>
          <w:rFonts w:ascii="Palatino Linotype" w:eastAsia="Calibri" w:hAnsi="Palatino Linotype" w:cs="Times New Roman"/>
          <w:sz w:val="24"/>
          <w:szCs w:val="24"/>
          <w:lang w:val="es-ES_tradnl" w:eastAsia="es-ES"/>
        </w:rPr>
        <w:t>, se puede acreditar que reconoce tener en sus archivos la información peticionada,</w:t>
      </w:r>
      <w:r>
        <w:rPr>
          <w:rFonts w:ascii="Palatino Linotype" w:eastAsia="Calibri" w:hAnsi="Palatino Linotype" w:cs="Times New Roman"/>
          <w:sz w:val="24"/>
          <w:szCs w:val="24"/>
          <w:lang w:val="es-ES_tradnl" w:eastAsia="es-ES"/>
        </w:rPr>
        <w:t xml:space="preserve"> al hacer entrega de esta, circunstancias que acreditan </w:t>
      </w:r>
      <w:r w:rsidRPr="00E1591D">
        <w:rPr>
          <w:rFonts w:ascii="Palatino Linotype" w:eastAsia="Calibri" w:hAnsi="Palatino Linotype" w:cs="Times New Roman"/>
          <w:sz w:val="24"/>
          <w:szCs w:val="24"/>
          <w:lang w:val="es-ES_tradnl" w:eastAsia="es-ES"/>
        </w:rPr>
        <w:t xml:space="preserve">tácitamente que posee y administra la información requerida, por lo tanto se obvia el estudio de la naturaleza de la información, toda vez que está aceptando contar con ella, de hecho el estudio de la fuente obligacional que constriñe al </w:t>
      </w:r>
      <w:r w:rsidRPr="00E1591D">
        <w:rPr>
          <w:rFonts w:ascii="Palatino Linotype" w:eastAsia="Calibri" w:hAnsi="Palatino Linotype" w:cs="Times New Roman"/>
          <w:b/>
          <w:sz w:val="24"/>
          <w:szCs w:val="24"/>
          <w:lang w:val="es-ES_tradnl" w:eastAsia="es-ES"/>
        </w:rPr>
        <w:t>Sujeto Obligado</w:t>
      </w:r>
      <w:r w:rsidRPr="00E1591D">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7E0815BD" w14:textId="77777777" w:rsidR="00E63E1A" w:rsidRDefault="00E63E1A" w:rsidP="00E63E1A">
      <w:pPr>
        <w:spacing w:after="0" w:line="360" w:lineRule="auto"/>
        <w:ind w:right="141"/>
        <w:jc w:val="both"/>
        <w:rPr>
          <w:rFonts w:ascii="Palatino Linotype" w:eastAsia="Calibri" w:hAnsi="Palatino Linotype" w:cs="Times New Roman"/>
          <w:sz w:val="24"/>
          <w:szCs w:val="24"/>
          <w:lang w:val="es-ES_tradnl" w:eastAsia="es-ES"/>
        </w:rPr>
      </w:pPr>
    </w:p>
    <w:p w14:paraId="1736EE78" w14:textId="77777777" w:rsidR="00E63E1A" w:rsidRDefault="00E63E1A" w:rsidP="00E63E1A">
      <w:pPr>
        <w:spacing w:after="0" w:line="360" w:lineRule="auto"/>
        <w:jc w:val="both"/>
        <w:rPr>
          <w:rFonts w:ascii="Palatino Linotype" w:hAnsi="Palatino Linotype" w:cs="Arial"/>
          <w:sz w:val="24"/>
          <w:lang w:val="es-ES"/>
        </w:rPr>
      </w:pPr>
      <w:r>
        <w:rPr>
          <w:rFonts w:ascii="Palatino Linotype" w:hAnsi="Palatino Linotype" w:cs="Arial"/>
          <w:sz w:val="24"/>
          <w:lang w:val="es-ES"/>
        </w:rPr>
        <w:t>Inconforme con la respuesta</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e</w:t>
      </w:r>
      <w:r w:rsidR="005229B5">
        <w:rPr>
          <w:rFonts w:ascii="Palatino Linotype" w:hAnsi="Palatino Linotype" w:cs="Arial"/>
          <w:b/>
          <w:sz w:val="24"/>
          <w:szCs w:val="24"/>
        </w:rPr>
        <w:t>l</w:t>
      </w:r>
      <w:r>
        <w:rPr>
          <w:rFonts w:ascii="Palatino Linotype" w:hAnsi="Palatino Linotype" w:cs="Arial"/>
          <w:bCs/>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interpo</w:t>
      </w:r>
      <w:r>
        <w:rPr>
          <w:rFonts w:ascii="Palatino Linotype" w:hAnsi="Palatino Linotype" w:cs="Arial"/>
          <w:bCs/>
          <w:sz w:val="24"/>
          <w:szCs w:val="24"/>
        </w:rPr>
        <w:t>ne</w:t>
      </w:r>
      <w:r w:rsidRPr="00481D99">
        <w:rPr>
          <w:rFonts w:ascii="Palatino Linotype" w:hAnsi="Palatino Linotype" w:cs="Arial"/>
          <w:bCs/>
          <w:sz w:val="24"/>
          <w:szCs w:val="24"/>
        </w:rPr>
        <w:t xml:space="preserve"> el presente recurso de revisión, señalando</w:t>
      </w:r>
      <w:r>
        <w:rPr>
          <w:rFonts w:ascii="Palatino Linotype" w:hAnsi="Palatino Linotype" w:cs="Arial"/>
          <w:bCs/>
          <w:sz w:val="24"/>
          <w:szCs w:val="24"/>
        </w:rPr>
        <w:t xml:space="preserve">: </w:t>
      </w:r>
      <w:r w:rsidR="005229B5">
        <w:rPr>
          <w:rFonts w:ascii="Palatino Linotype" w:hAnsi="Palatino Linotype" w:cs="Arial"/>
          <w:bCs/>
          <w:sz w:val="24"/>
          <w:szCs w:val="24"/>
        </w:rPr>
        <w:t>…</w:t>
      </w:r>
      <w:r w:rsidR="005229B5" w:rsidRPr="005229B5">
        <w:rPr>
          <w:rFonts w:ascii="Palatino Linotype" w:eastAsia="Arial Unicode MS" w:hAnsi="Palatino Linotype" w:cs="Arial"/>
          <w:i/>
          <w:sz w:val="24"/>
          <w:szCs w:val="24"/>
        </w:rPr>
        <w:t xml:space="preserve">Finalmente no se tiene claro por parte del servidor publico habilitado el numero de personas por contrato. Por otra parte referente a los vehículos que se describen se pidió cuales son los que utilizan el Subsecretario de Planeación y Presupuesto, Director General de Planeación y Gasto Publico y Unidad de Seguimiento de Programas y Apoyo Administrativo, no los que utilizan las unidades administrativas mencionadas </w:t>
      </w:r>
      <w:r w:rsidR="005229B5" w:rsidRPr="005229B5">
        <w:rPr>
          <w:rFonts w:ascii="Palatino Linotype" w:eastAsia="Arial Unicode MS" w:hAnsi="Palatino Linotype" w:cs="Arial"/>
          <w:b/>
          <w:i/>
          <w:sz w:val="24"/>
          <w:szCs w:val="24"/>
          <w:u w:val="single"/>
        </w:rPr>
        <w:t>y si fuera el caso que esos vehículos los tienen asignados de manera directa para el desarrollo de sus funciones cuales son</w:t>
      </w:r>
      <w:r w:rsidRPr="00BB2638">
        <w:rPr>
          <w:rFonts w:ascii="Palatino Linotype" w:eastAsia="Arial Unicode MS" w:hAnsi="Palatino Linotype" w:cs="Arial"/>
          <w:i/>
          <w:sz w:val="24"/>
          <w:szCs w:val="24"/>
        </w:rPr>
        <w:t>.</w:t>
      </w:r>
      <w:r w:rsidRPr="0013154D">
        <w:rPr>
          <w:rFonts w:ascii="Palatino Linotype" w:hAnsi="Palatino Linotype" w:cs="Arial"/>
          <w:i/>
          <w:sz w:val="24"/>
        </w:rPr>
        <w:t>”</w:t>
      </w:r>
      <w:bookmarkEnd w:id="3"/>
      <w:bookmarkEnd w:id="4"/>
      <w:r>
        <w:rPr>
          <w:rFonts w:ascii="Palatino Linotype" w:hAnsi="Palatino Linotype" w:cs="Arial"/>
          <w:i/>
          <w:sz w:val="24"/>
        </w:rPr>
        <w:t>,</w:t>
      </w:r>
      <w:r w:rsidRPr="00FC7930">
        <w:rPr>
          <w:rFonts w:ascii="Palatino Linotype" w:hAnsi="Palatino Linotype" w:cs="Arial"/>
          <w:sz w:val="24"/>
          <w:lang w:val="es-ES"/>
        </w:rPr>
        <w:t xml:space="preserve"> </w:t>
      </w:r>
      <w:r>
        <w:rPr>
          <w:rFonts w:ascii="Palatino Linotype" w:hAnsi="Palatino Linotype" w:cs="Arial"/>
          <w:sz w:val="24"/>
          <w:lang w:val="es-ES"/>
        </w:rPr>
        <w:t xml:space="preserve">razones o motivos de inconformidad que no encuadran en alguno de los supuestos de procedencia del recurso de revisión, consagrados en </w:t>
      </w:r>
      <w:r w:rsidRPr="00C91D37">
        <w:rPr>
          <w:rFonts w:ascii="Palatino Linotype" w:hAnsi="Palatino Linotype" w:cs="Arial"/>
          <w:sz w:val="24"/>
          <w:lang w:val="es-ES"/>
        </w:rPr>
        <w:t>el</w:t>
      </w:r>
      <w:r>
        <w:rPr>
          <w:rFonts w:ascii="Palatino Linotype" w:hAnsi="Palatino Linotype" w:cs="Arial"/>
          <w:sz w:val="24"/>
          <w:lang w:val="es-ES"/>
        </w:rPr>
        <w:t xml:space="preserve"> artículo 179 de la </w:t>
      </w:r>
      <w:r w:rsidRPr="00E40877">
        <w:rPr>
          <w:rFonts w:ascii="Palatino Linotype" w:hAnsi="Palatino Linotype" w:cs="Arial"/>
          <w:sz w:val="24"/>
          <w:lang w:val="es-ES"/>
        </w:rPr>
        <w:t>Ley de Transparencia y Acceso a la Información</w:t>
      </w:r>
      <w:r>
        <w:rPr>
          <w:rFonts w:ascii="Palatino Linotype" w:hAnsi="Palatino Linotype" w:cs="Arial"/>
          <w:sz w:val="24"/>
          <w:lang w:val="es-ES"/>
        </w:rPr>
        <w:t xml:space="preserve"> </w:t>
      </w:r>
      <w:r w:rsidRPr="00E40877">
        <w:rPr>
          <w:rFonts w:ascii="Palatino Linotype" w:hAnsi="Palatino Linotype" w:cs="Arial"/>
          <w:sz w:val="24"/>
          <w:lang w:val="es-ES"/>
        </w:rPr>
        <w:t>Pública del Estado de México y</w:t>
      </w:r>
      <w:r>
        <w:rPr>
          <w:rFonts w:ascii="Palatino Linotype" w:hAnsi="Palatino Linotype" w:cs="Arial"/>
          <w:sz w:val="24"/>
          <w:lang w:val="es-ES"/>
        </w:rPr>
        <w:t xml:space="preserve"> Municipios, el cual se cita a continuación para mayor referencia:</w:t>
      </w:r>
    </w:p>
    <w:p w14:paraId="31674058" w14:textId="77777777" w:rsidR="00E63E1A" w:rsidRDefault="00E63E1A" w:rsidP="00E63E1A">
      <w:pPr>
        <w:spacing w:after="0" w:line="360" w:lineRule="auto"/>
        <w:jc w:val="both"/>
        <w:rPr>
          <w:rFonts w:ascii="Palatino Linotype" w:hAnsi="Palatino Linotype" w:cs="Arial"/>
          <w:sz w:val="24"/>
          <w:lang w:val="es-ES"/>
        </w:rPr>
      </w:pPr>
    </w:p>
    <w:p w14:paraId="611C4622" w14:textId="77777777" w:rsidR="00E63E1A" w:rsidRPr="00E40877" w:rsidRDefault="00E63E1A" w:rsidP="00E63E1A">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E40877">
        <w:rPr>
          <w:rFonts w:ascii="Palatino Linotype" w:hAnsi="Palatino Linotype" w:cs="Arial"/>
          <w:b/>
          <w:i/>
          <w:lang w:val="es-ES"/>
        </w:rPr>
        <w:t>Artículo 179.</w:t>
      </w:r>
      <w:r w:rsidRPr="00E40877">
        <w:rPr>
          <w:rFonts w:ascii="Palatino Linotype" w:hAnsi="Palatino Linotype" w:cs="Arial"/>
          <w:i/>
          <w:lang w:val="es-ES"/>
        </w:rPr>
        <w:t xml:space="preserve"> El recurso de revisión es un medio de protección que la Ley otorga a los particulares,</w:t>
      </w:r>
      <w:r>
        <w:rPr>
          <w:rFonts w:ascii="Palatino Linotype" w:hAnsi="Palatino Linotype" w:cs="Arial"/>
          <w:i/>
          <w:lang w:val="es-ES"/>
        </w:rPr>
        <w:t xml:space="preserve"> </w:t>
      </w:r>
      <w:r w:rsidRPr="00E40877">
        <w:rPr>
          <w:rFonts w:ascii="Palatino Linotype" w:hAnsi="Palatino Linotype" w:cs="Arial"/>
          <w:i/>
          <w:lang w:val="es-ES"/>
        </w:rPr>
        <w:t xml:space="preserve">para hacer valer su derecho de acceso a la información pública, y </w:t>
      </w:r>
      <w:r w:rsidRPr="00E40877">
        <w:rPr>
          <w:rFonts w:ascii="Palatino Linotype" w:hAnsi="Palatino Linotype" w:cs="Arial"/>
          <w:i/>
          <w:u w:val="single"/>
          <w:lang w:val="es-ES"/>
        </w:rPr>
        <w:t>procederá en contra de las siguientes causas</w:t>
      </w:r>
      <w:r w:rsidRPr="00E40877">
        <w:rPr>
          <w:rFonts w:ascii="Palatino Linotype" w:hAnsi="Palatino Linotype" w:cs="Arial"/>
          <w:i/>
          <w:lang w:val="es-ES"/>
        </w:rPr>
        <w:t>:</w:t>
      </w:r>
    </w:p>
    <w:p w14:paraId="14BB8236" w14:textId="77777777" w:rsidR="00E63E1A"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 xml:space="preserve">I. </w:t>
      </w:r>
      <w:r w:rsidRPr="00E40877">
        <w:rPr>
          <w:rFonts w:ascii="Palatino Linotype" w:hAnsi="Palatino Linotype" w:cs="Arial"/>
          <w:i/>
          <w:lang w:val="es-ES"/>
        </w:rPr>
        <w:t>La negativa a la información solicitada;</w:t>
      </w:r>
    </w:p>
    <w:p w14:paraId="787F0EC1"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II.</w:t>
      </w:r>
      <w:r w:rsidRPr="00E40877">
        <w:rPr>
          <w:rFonts w:ascii="Palatino Linotype" w:hAnsi="Palatino Linotype" w:cs="Arial"/>
          <w:i/>
          <w:lang w:val="es-ES"/>
        </w:rPr>
        <w:t xml:space="preserve"> La clasificación de la información;</w:t>
      </w:r>
    </w:p>
    <w:p w14:paraId="3D660AB5"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III.</w:t>
      </w:r>
      <w:r w:rsidRPr="00E40877">
        <w:rPr>
          <w:rFonts w:ascii="Palatino Linotype" w:hAnsi="Palatino Linotype" w:cs="Arial"/>
          <w:i/>
          <w:lang w:val="es-ES"/>
        </w:rPr>
        <w:t xml:space="preserve"> La declaración de inexistencia de la información;</w:t>
      </w:r>
    </w:p>
    <w:p w14:paraId="0EB5A0B1"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IV.</w:t>
      </w:r>
      <w:r w:rsidRPr="00E40877">
        <w:rPr>
          <w:rFonts w:ascii="Palatino Linotype" w:hAnsi="Palatino Linotype" w:cs="Arial"/>
          <w:i/>
          <w:lang w:val="es-ES"/>
        </w:rPr>
        <w:t xml:space="preserve"> La declaración de incompetencia por el sujeto obligado;</w:t>
      </w:r>
    </w:p>
    <w:p w14:paraId="68E25F18"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 xml:space="preserve">V. </w:t>
      </w:r>
      <w:r w:rsidRPr="00E40877">
        <w:rPr>
          <w:rFonts w:ascii="Palatino Linotype" w:hAnsi="Palatino Linotype" w:cs="Arial"/>
          <w:i/>
          <w:lang w:val="es-ES"/>
        </w:rPr>
        <w:t>La entrega de información incompleta;</w:t>
      </w:r>
    </w:p>
    <w:p w14:paraId="4F670FC8"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w:t>
      </w:r>
      <w:r w:rsidRPr="00E40877">
        <w:rPr>
          <w:rFonts w:ascii="Palatino Linotype" w:hAnsi="Palatino Linotype" w:cs="Arial"/>
          <w:i/>
          <w:lang w:val="es-ES"/>
        </w:rPr>
        <w:t xml:space="preserve"> La entrega de información que no corresponda con lo solicitado;</w:t>
      </w:r>
    </w:p>
    <w:p w14:paraId="3FD5535B"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VII.</w:t>
      </w:r>
      <w:r w:rsidRPr="00E40877">
        <w:rPr>
          <w:rFonts w:ascii="Palatino Linotype" w:hAnsi="Palatino Linotype" w:cs="Arial"/>
          <w:i/>
          <w:lang w:val="es-ES"/>
        </w:rPr>
        <w:t xml:space="preserve"> La falta de respuesta a una solicitud de acceso a la información;</w:t>
      </w:r>
    </w:p>
    <w:p w14:paraId="75EBB2E1"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VIII.</w:t>
      </w:r>
      <w:r w:rsidRPr="00E40877">
        <w:rPr>
          <w:rFonts w:ascii="Palatino Linotype" w:hAnsi="Palatino Linotype" w:cs="Arial"/>
          <w:i/>
          <w:lang w:val="es-ES"/>
        </w:rPr>
        <w:t xml:space="preserve"> La notificación, entrega o puesta a disposición de información en una modalidad o formato distinto</w:t>
      </w:r>
      <w:r>
        <w:rPr>
          <w:rFonts w:ascii="Palatino Linotype" w:hAnsi="Palatino Linotype" w:cs="Arial"/>
          <w:i/>
          <w:lang w:val="es-ES"/>
        </w:rPr>
        <w:t xml:space="preserve"> </w:t>
      </w:r>
      <w:r w:rsidRPr="00E40877">
        <w:rPr>
          <w:rFonts w:ascii="Palatino Linotype" w:hAnsi="Palatino Linotype" w:cs="Arial"/>
          <w:i/>
          <w:lang w:val="es-ES"/>
        </w:rPr>
        <w:t>al solicitado;</w:t>
      </w:r>
    </w:p>
    <w:p w14:paraId="6E3A665C"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IX.</w:t>
      </w:r>
      <w:r w:rsidRPr="00E40877">
        <w:rPr>
          <w:rFonts w:ascii="Palatino Linotype" w:hAnsi="Palatino Linotype" w:cs="Arial"/>
          <w:i/>
          <w:lang w:val="es-ES"/>
        </w:rPr>
        <w:t xml:space="preserve"> La entrega o puesta a disposición de información en un formato incomprensible y/o no accesible</w:t>
      </w:r>
      <w:r>
        <w:rPr>
          <w:rFonts w:ascii="Palatino Linotype" w:hAnsi="Palatino Linotype" w:cs="Arial"/>
          <w:i/>
          <w:lang w:val="es-ES"/>
        </w:rPr>
        <w:t xml:space="preserve"> </w:t>
      </w:r>
      <w:r w:rsidRPr="00E40877">
        <w:rPr>
          <w:rFonts w:ascii="Palatino Linotype" w:hAnsi="Palatino Linotype" w:cs="Arial"/>
          <w:i/>
          <w:lang w:val="es-ES"/>
        </w:rPr>
        <w:t>para el solicitante;</w:t>
      </w:r>
    </w:p>
    <w:p w14:paraId="5175C4BE"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w:t>
      </w:r>
      <w:r w:rsidRPr="00E40877">
        <w:rPr>
          <w:rFonts w:ascii="Palatino Linotype" w:hAnsi="Palatino Linotype" w:cs="Arial"/>
          <w:i/>
          <w:lang w:val="es-ES"/>
        </w:rPr>
        <w:t>. Los costos o tiempos de entrega de la información;</w:t>
      </w:r>
    </w:p>
    <w:p w14:paraId="2E098777"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w:t>
      </w:r>
      <w:r w:rsidRPr="00E40877">
        <w:rPr>
          <w:rFonts w:ascii="Palatino Linotype" w:hAnsi="Palatino Linotype" w:cs="Arial"/>
          <w:i/>
          <w:lang w:val="es-ES"/>
        </w:rPr>
        <w:t xml:space="preserve"> La falta de trámite a una solicitud;</w:t>
      </w:r>
    </w:p>
    <w:p w14:paraId="3E9E9CEC"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XII.</w:t>
      </w:r>
      <w:r w:rsidRPr="00E40877">
        <w:rPr>
          <w:rFonts w:ascii="Palatino Linotype" w:hAnsi="Palatino Linotype" w:cs="Arial"/>
          <w:i/>
          <w:lang w:val="es-ES"/>
        </w:rPr>
        <w:t xml:space="preserve"> La negativa a permitir la consulta directa de la información;</w:t>
      </w:r>
    </w:p>
    <w:p w14:paraId="65F6E884"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XIII.</w:t>
      </w:r>
      <w:r w:rsidRPr="00E40877">
        <w:rPr>
          <w:rFonts w:ascii="Palatino Linotype" w:hAnsi="Palatino Linotype" w:cs="Arial"/>
          <w:i/>
          <w:lang w:val="es-ES"/>
        </w:rPr>
        <w:t xml:space="preserve"> La falta, deficiencia o insuficiencia de la fundamentación y/o motivación en la respuesta; y</w:t>
      </w:r>
    </w:p>
    <w:p w14:paraId="4C43078A"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XIV.</w:t>
      </w:r>
      <w:r w:rsidRPr="00E40877">
        <w:rPr>
          <w:rFonts w:ascii="Palatino Linotype" w:hAnsi="Palatino Linotype" w:cs="Arial"/>
          <w:i/>
          <w:lang w:val="es-ES"/>
        </w:rPr>
        <w:t xml:space="preserve"> La orientación a un trámite específico.</w:t>
      </w:r>
    </w:p>
    <w:p w14:paraId="42850F13" w14:textId="77777777" w:rsidR="00E63E1A" w:rsidRPr="00E40877" w:rsidRDefault="00E63E1A" w:rsidP="00E63E1A">
      <w:pPr>
        <w:spacing w:after="0" w:line="240" w:lineRule="auto"/>
        <w:ind w:left="567" w:right="567"/>
        <w:jc w:val="both"/>
        <w:rPr>
          <w:rFonts w:ascii="Palatino Linotype" w:hAnsi="Palatino Linotype" w:cs="Arial"/>
          <w:i/>
          <w:lang w:val="es-ES"/>
        </w:rPr>
      </w:pPr>
      <w:r w:rsidRPr="00E40877">
        <w:rPr>
          <w:rFonts w:ascii="Palatino Linotype" w:hAnsi="Palatino Linotype" w:cs="Arial"/>
          <w:i/>
          <w:lang w:val="es-ES"/>
        </w:rPr>
        <w:t>La respuesta que den los sujetos obligados derivada de la resolución a un recurso de revisión que</w:t>
      </w:r>
      <w:r>
        <w:rPr>
          <w:rFonts w:ascii="Palatino Linotype" w:hAnsi="Palatino Linotype" w:cs="Arial"/>
          <w:i/>
          <w:lang w:val="es-ES"/>
        </w:rPr>
        <w:t xml:space="preserve"> </w:t>
      </w:r>
      <w:r w:rsidRPr="00E40877">
        <w:rPr>
          <w:rFonts w:ascii="Palatino Linotype" w:hAnsi="Palatino Linotype" w:cs="Arial"/>
          <w:i/>
          <w:lang w:val="es-ES"/>
        </w:rPr>
        <w:t>proceda por las causales señaladas en las fracciones IV, VII, IX, X, XI y XII es susceptible de ser</w:t>
      </w:r>
      <w:r>
        <w:rPr>
          <w:rFonts w:ascii="Palatino Linotype" w:hAnsi="Palatino Linotype" w:cs="Arial"/>
          <w:i/>
          <w:lang w:val="es-ES"/>
        </w:rPr>
        <w:t xml:space="preserve"> </w:t>
      </w:r>
      <w:r w:rsidRPr="00E40877">
        <w:rPr>
          <w:rFonts w:ascii="Palatino Linotype" w:hAnsi="Palatino Linotype" w:cs="Arial"/>
          <w:i/>
          <w:lang w:val="es-ES"/>
        </w:rPr>
        <w:t>impugnada de nueva cuenta, mediante recurso de revisión, ante el Instituto.</w:t>
      </w:r>
      <w:r>
        <w:rPr>
          <w:rFonts w:ascii="Palatino Linotype" w:hAnsi="Palatino Linotype" w:cs="Arial"/>
          <w:i/>
          <w:lang w:val="es-ES"/>
        </w:rPr>
        <w:t>”</w:t>
      </w:r>
    </w:p>
    <w:p w14:paraId="05A032DC" w14:textId="77777777" w:rsidR="00E63E1A" w:rsidRDefault="00E63E1A" w:rsidP="00E63E1A">
      <w:pPr>
        <w:spacing w:after="0" w:line="360" w:lineRule="auto"/>
        <w:jc w:val="both"/>
        <w:rPr>
          <w:rFonts w:ascii="Palatino Linotype" w:hAnsi="Palatino Linotype" w:cs="Arial"/>
          <w:sz w:val="24"/>
          <w:lang w:val="es-ES"/>
        </w:rPr>
      </w:pPr>
    </w:p>
    <w:p w14:paraId="7C74EF2F" w14:textId="77777777" w:rsidR="00623D1A" w:rsidRDefault="00623D1A" w:rsidP="00E63E1A">
      <w:pPr>
        <w:spacing w:after="0" w:line="360" w:lineRule="auto"/>
        <w:jc w:val="both"/>
        <w:rPr>
          <w:rFonts w:ascii="Palatino Linotype" w:hAnsi="Palatino Linotype" w:cs="Arial"/>
          <w:sz w:val="24"/>
          <w:lang w:val="es-ES"/>
        </w:rPr>
      </w:pPr>
    </w:p>
    <w:p w14:paraId="6DCBC510" w14:textId="1C3370A3" w:rsidR="00E63E1A" w:rsidRDefault="00E63E1A" w:rsidP="00E63E1A">
      <w:pPr>
        <w:spacing w:after="0" w:line="360" w:lineRule="auto"/>
        <w:jc w:val="both"/>
        <w:rPr>
          <w:rFonts w:ascii="Palatino Linotype" w:hAnsi="Palatino Linotype" w:cs="Arial"/>
          <w:sz w:val="24"/>
          <w:lang w:val="es-ES"/>
        </w:rPr>
      </w:pPr>
      <w:r>
        <w:rPr>
          <w:rFonts w:ascii="Palatino Linotype" w:hAnsi="Palatino Linotype" w:cs="Arial"/>
          <w:sz w:val="24"/>
          <w:lang w:val="es-ES"/>
        </w:rPr>
        <w:t>Ahora bien, como se observa en párrafos precedentes, e</w:t>
      </w:r>
      <w:r w:rsidR="005229B5">
        <w:rPr>
          <w:rFonts w:ascii="Palatino Linotype" w:hAnsi="Palatino Linotype" w:cs="Arial"/>
          <w:sz w:val="24"/>
          <w:lang w:val="es-ES"/>
        </w:rPr>
        <w:t>l</w:t>
      </w:r>
      <w:r>
        <w:rPr>
          <w:rFonts w:ascii="Palatino Linotype" w:hAnsi="Palatino Linotype" w:cs="Arial"/>
          <w:sz w:val="24"/>
          <w:lang w:val="es-ES"/>
        </w:rPr>
        <w:t xml:space="preserve"> </w:t>
      </w:r>
      <w:r w:rsidRPr="005D164B">
        <w:rPr>
          <w:rFonts w:ascii="Palatino Linotype" w:hAnsi="Palatino Linotype" w:cs="Arial"/>
          <w:b/>
          <w:sz w:val="24"/>
          <w:lang w:val="es-ES"/>
        </w:rPr>
        <w:t>Recurrente</w:t>
      </w:r>
      <w:r>
        <w:rPr>
          <w:rFonts w:ascii="Palatino Linotype" w:hAnsi="Palatino Linotype" w:cs="Arial"/>
          <w:sz w:val="24"/>
          <w:lang w:val="es-ES"/>
        </w:rPr>
        <w:t xml:space="preserve"> peticionó</w:t>
      </w:r>
      <w:r w:rsidR="005229B5">
        <w:rPr>
          <w:rFonts w:ascii="Palatino Linotype" w:hAnsi="Palatino Linotype" w:cs="Arial"/>
          <w:sz w:val="24"/>
          <w:lang w:val="es-ES"/>
        </w:rPr>
        <w:t>,</w:t>
      </w:r>
      <w:r>
        <w:rPr>
          <w:rFonts w:ascii="Palatino Linotype" w:hAnsi="Palatino Linotype" w:cs="Arial"/>
          <w:sz w:val="24"/>
          <w:lang w:val="es-ES"/>
        </w:rPr>
        <w:t xml:space="preserve"> </w:t>
      </w:r>
      <w:r w:rsidR="005229B5" w:rsidRPr="005229B5">
        <w:rPr>
          <w:rFonts w:ascii="Palatino Linotype" w:hAnsi="Palatino Linotype" w:cs="Arial"/>
          <w:sz w:val="24"/>
          <w:lang w:val="es-ES"/>
        </w:rPr>
        <w:t>cuantas personas se tienen por contrato en las distintas áreas de la Subsecretaria de Planeación y Presupuesto</w:t>
      </w:r>
      <w:r w:rsidR="005F3383">
        <w:rPr>
          <w:rFonts w:ascii="Palatino Linotype" w:hAnsi="Palatino Linotype" w:cs="Arial"/>
          <w:sz w:val="24"/>
          <w:lang w:val="es-ES"/>
        </w:rPr>
        <w:t xml:space="preserve">, </w:t>
      </w:r>
      <w:r w:rsidR="005229B5" w:rsidRPr="005229B5">
        <w:rPr>
          <w:rFonts w:ascii="Palatino Linotype" w:hAnsi="Palatino Linotype" w:cs="Arial"/>
          <w:sz w:val="24"/>
          <w:lang w:val="es-ES"/>
        </w:rPr>
        <w:t>la descripción de los vehículos que utilizan el Subsecretario de y Planeación y Presupuesto, Director General de Planeación y Gasto Publico y de la unidad de seguimiento de programas y apoyo administrativo y cuantos choferes hay</w:t>
      </w:r>
      <w:r w:rsidR="005F3383">
        <w:rPr>
          <w:rFonts w:ascii="Palatino Linotype" w:hAnsi="Palatino Linotype" w:cs="Arial"/>
          <w:sz w:val="24"/>
          <w:lang w:val="es-ES"/>
        </w:rPr>
        <w:t>;</w:t>
      </w:r>
      <w:r w:rsidR="005229B5" w:rsidRPr="005229B5">
        <w:rPr>
          <w:rFonts w:ascii="Palatino Linotype" w:hAnsi="Palatino Linotype" w:cs="Arial"/>
          <w:sz w:val="24"/>
          <w:lang w:val="es-ES"/>
        </w:rPr>
        <w:t xml:space="preserve"> </w:t>
      </w:r>
      <w:r>
        <w:rPr>
          <w:rFonts w:ascii="Palatino Linotype" w:hAnsi="Palatino Linotype" w:cs="Arial"/>
          <w:sz w:val="24"/>
          <w:lang w:val="es-ES"/>
        </w:rPr>
        <w:t xml:space="preserve">el </w:t>
      </w:r>
      <w:r w:rsidRPr="005D164B">
        <w:rPr>
          <w:rFonts w:ascii="Palatino Linotype" w:hAnsi="Palatino Linotype" w:cs="Arial"/>
          <w:b/>
          <w:sz w:val="24"/>
          <w:lang w:val="es-ES"/>
        </w:rPr>
        <w:t>Sujeto Obligado</w:t>
      </w:r>
      <w:r>
        <w:rPr>
          <w:rFonts w:ascii="Palatino Linotype" w:hAnsi="Palatino Linotype" w:cs="Arial"/>
          <w:sz w:val="24"/>
          <w:lang w:val="es-ES"/>
        </w:rPr>
        <w:t xml:space="preserve"> hizo del conocimiento del Recurrente </w:t>
      </w:r>
      <w:r w:rsidR="005F3383">
        <w:rPr>
          <w:rFonts w:ascii="Palatino Linotype" w:hAnsi="Palatino Linotype" w:cs="Arial"/>
          <w:sz w:val="24"/>
          <w:lang w:val="es-ES"/>
        </w:rPr>
        <w:t>qu</w:t>
      </w:r>
      <w:r>
        <w:rPr>
          <w:rFonts w:ascii="Palatino Linotype" w:hAnsi="Palatino Linotype" w:cs="Arial"/>
          <w:sz w:val="24"/>
          <w:lang w:val="es-ES"/>
        </w:rPr>
        <w:t xml:space="preserve">e la </w:t>
      </w:r>
      <w:r w:rsidR="005F3383" w:rsidRPr="005F3383">
        <w:rPr>
          <w:rFonts w:ascii="Palatino Linotype" w:hAnsi="Palatino Linotype" w:cs="Arial"/>
          <w:sz w:val="24"/>
          <w:lang w:val="es-ES"/>
        </w:rPr>
        <w:t>plantilla del personal de contrato por tiempo determinando de la Subsecretaria de Planeación y Presupuesto es de ciento cincuenta y seis (156) servidores públicos</w:t>
      </w:r>
      <w:r w:rsidR="005F3383">
        <w:rPr>
          <w:rFonts w:ascii="Palatino Linotype" w:hAnsi="Palatino Linotype" w:cs="Arial"/>
          <w:sz w:val="24"/>
          <w:lang w:val="es-ES"/>
        </w:rPr>
        <w:t>,</w:t>
      </w:r>
      <w:r w:rsidR="005F3383" w:rsidRPr="005F3383">
        <w:rPr>
          <w:rFonts w:ascii="Palatino Linotype" w:hAnsi="Palatino Linotype" w:cs="Arial"/>
          <w:sz w:val="24"/>
          <w:lang w:val="es-ES"/>
        </w:rPr>
        <w:t xml:space="preserve"> así mismo señaló la descripción de </w:t>
      </w:r>
      <w:r w:rsidR="005F3383">
        <w:rPr>
          <w:rFonts w:ascii="Palatino Linotype" w:hAnsi="Palatino Linotype" w:cs="Arial"/>
          <w:sz w:val="24"/>
          <w:lang w:val="es-ES"/>
        </w:rPr>
        <w:t>cuatro (4)</w:t>
      </w:r>
      <w:r w:rsidR="005F3383" w:rsidRPr="005F3383">
        <w:rPr>
          <w:rFonts w:ascii="Palatino Linotype" w:hAnsi="Palatino Linotype" w:cs="Arial"/>
          <w:sz w:val="24"/>
          <w:lang w:val="es-ES"/>
        </w:rPr>
        <w:t xml:space="preserve"> vehículos que utilizan la unidades administrativas, asimismo señaló que se cuenta con una plaza de “choferesa, chofer”, la cual se encuentra adscrita a la Dirección de General de Planeación y Gasto Público</w:t>
      </w:r>
      <w:r w:rsidR="00960F94">
        <w:rPr>
          <w:rFonts w:ascii="Palatino Linotype" w:hAnsi="Palatino Linotype" w:cs="Arial"/>
          <w:sz w:val="24"/>
          <w:lang w:val="es-ES"/>
        </w:rPr>
        <w:t>; circunstancia de la cual el particular duda de la veracidad del Sujeto Obligado</w:t>
      </w:r>
      <w:r>
        <w:rPr>
          <w:rFonts w:ascii="Palatino Linotype" w:hAnsi="Palatino Linotype" w:cs="Arial"/>
          <w:sz w:val="24"/>
          <w:lang w:val="es-ES"/>
        </w:rPr>
        <w:t>.</w:t>
      </w:r>
    </w:p>
    <w:p w14:paraId="3D53D7EC" w14:textId="77777777" w:rsidR="00E63E1A" w:rsidRDefault="00E63E1A" w:rsidP="00E63E1A">
      <w:pPr>
        <w:spacing w:after="0" w:line="360" w:lineRule="auto"/>
        <w:jc w:val="both"/>
        <w:rPr>
          <w:rFonts w:ascii="Palatino Linotype" w:hAnsi="Palatino Linotype" w:cs="Arial"/>
          <w:sz w:val="24"/>
          <w:lang w:val="es-ES"/>
        </w:rPr>
      </w:pPr>
    </w:p>
    <w:p w14:paraId="548F3BCB" w14:textId="77777777" w:rsidR="00E63E1A" w:rsidRPr="00C0597F" w:rsidRDefault="00E63E1A" w:rsidP="00E63E1A">
      <w:pPr>
        <w:spacing w:after="0" w:line="360" w:lineRule="auto"/>
        <w:jc w:val="both"/>
        <w:rPr>
          <w:rFonts w:ascii="Palatino Linotype" w:hAnsi="Palatino Linotype" w:cs="Arial"/>
          <w:sz w:val="24"/>
        </w:rPr>
      </w:pPr>
      <w:r>
        <w:rPr>
          <w:rFonts w:ascii="Palatino Linotype" w:hAnsi="Palatino Linotype" w:cs="Arial"/>
          <w:sz w:val="24"/>
          <w:lang w:val="es-ES"/>
        </w:rPr>
        <w:t xml:space="preserve">En lo que corresponde a </w:t>
      </w:r>
      <w:r w:rsidR="005129BA">
        <w:rPr>
          <w:rFonts w:ascii="Palatino Linotype" w:hAnsi="Palatino Linotype" w:cs="Arial"/>
          <w:sz w:val="24"/>
          <w:lang w:val="es-ES"/>
        </w:rPr>
        <w:t xml:space="preserve">el acto impugnado y </w:t>
      </w:r>
      <w:r>
        <w:rPr>
          <w:rFonts w:ascii="Palatino Linotype" w:hAnsi="Palatino Linotype" w:cs="Arial"/>
          <w:sz w:val="24"/>
          <w:lang w:val="es-ES"/>
        </w:rPr>
        <w:t xml:space="preserve">las razones o motivos de inconformidad, objetivamente se centran </w:t>
      </w:r>
      <w:r w:rsidRPr="005129BA">
        <w:rPr>
          <w:rFonts w:ascii="Palatino Linotype" w:hAnsi="Palatino Linotype" w:cs="Arial"/>
          <w:sz w:val="24"/>
          <w:u w:val="single"/>
          <w:lang w:val="es-ES"/>
        </w:rPr>
        <w:t xml:space="preserve">en </w:t>
      </w:r>
      <w:r w:rsidR="005129BA" w:rsidRPr="005129BA">
        <w:rPr>
          <w:rFonts w:ascii="Palatino Linotype" w:hAnsi="Palatino Linotype" w:cs="Arial"/>
          <w:sz w:val="24"/>
          <w:u w:val="single"/>
          <w:lang w:val="es-ES"/>
        </w:rPr>
        <w:t>requerir las funciones que realizan para tener asignados los vehículos que describen</w:t>
      </w:r>
      <w:r>
        <w:rPr>
          <w:rFonts w:ascii="Palatino Linotype" w:hAnsi="Palatino Linotype" w:cs="Arial"/>
          <w:sz w:val="24"/>
          <w:lang w:val="es-ES"/>
        </w:rPr>
        <w:t xml:space="preserve">, manifestaciones que en estricto sentido constituyen un </w:t>
      </w:r>
      <w:r w:rsidRPr="004F745D">
        <w:rPr>
          <w:rFonts w:ascii="Palatino Linotype" w:hAnsi="Palatino Linotype" w:cs="Arial"/>
          <w:i/>
          <w:sz w:val="24"/>
          <w:lang w:val="es-ES"/>
        </w:rPr>
        <w:t>plus petitio</w:t>
      </w:r>
      <w:r>
        <w:rPr>
          <w:rFonts w:ascii="Palatino Linotype" w:hAnsi="Palatino Linotype" w:cs="Arial"/>
          <w:sz w:val="24"/>
          <w:lang w:val="es-ES"/>
        </w:rPr>
        <w:t xml:space="preserve">, toda vez que </w:t>
      </w:r>
      <w:r>
        <w:rPr>
          <w:rFonts w:ascii="Palatino Linotype" w:hAnsi="Palatino Linotype" w:cs="Arial"/>
          <w:sz w:val="24"/>
        </w:rPr>
        <w:t>e</w:t>
      </w:r>
      <w:r w:rsidR="005129BA">
        <w:rPr>
          <w:rFonts w:ascii="Palatino Linotype" w:hAnsi="Palatino Linotype" w:cs="Arial"/>
          <w:sz w:val="24"/>
        </w:rPr>
        <w:t>l</w:t>
      </w:r>
      <w:r>
        <w:rPr>
          <w:rFonts w:ascii="Palatino Linotype" w:hAnsi="Palatino Linotype" w:cs="Arial"/>
          <w:sz w:val="24"/>
        </w:rPr>
        <w:t xml:space="preserve"> </w:t>
      </w:r>
      <w:r w:rsidRPr="00D67700">
        <w:rPr>
          <w:rFonts w:ascii="Palatino Linotype" w:hAnsi="Palatino Linotype" w:cs="Arial"/>
          <w:b/>
          <w:sz w:val="24"/>
        </w:rPr>
        <w:t>Recurrente</w:t>
      </w:r>
      <w:r>
        <w:rPr>
          <w:rFonts w:ascii="Palatino Linotype" w:hAnsi="Palatino Linotype" w:cs="Arial"/>
          <w:sz w:val="24"/>
        </w:rPr>
        <w:t xml:space="preserve"> pretende</w:t>
      </w:r>
      <w:r w:rsidRPr="00BB4C7D">
        <w:rPr>
          <w:rFonts w:ascii="Palatino Linotype" w:hAnsi="Palatino Linotype" w:cs="Arial"/>
          <w:color w:val="000000"/>
          <w:sz w:val="24"/>
          <w:szCs w:val="24"/>
        </w:rPr>
        <w:t xml:space="preserve"> </w:t>
      </w:r>
      <w:r>
        <w:rPr>
          <w:rFonts w:ascii="Palatino Linotype" w:hAnsi="Palatino Linotype" w:cs="Arial"/>
          <w:color w:val="000000"/>
          <w:sz w:val="24"/>
          <w:szCs w:val="24"/>
        </w:rPr>
        <w:t>ampliar sus requerimientos mediante recurso de revisión,</w:t>
      </w:r>
      <w:r w:rsidRPr="00BB4C7D">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inconformándose con nuevos requerimientos, </w:t>
      </w:r>
      <w:r w:rsidRPr="00BB4C7D">
        <w:rPr>
          <w:rFonts w:ascii="Palatino Linotype" w:hAnsi="Palatino Linotype" w:cs="Arial"/>
          <w:color w:val="000000"/>
          <w:sz w:val="24"/>
          <w:szCs w:val="24"/>
        </w:rPr>
        <w:t>respecto a lo requerido originalmente, por lo que, dichas razones y motivos de inconformidad son inoperantes.</w:t>
      </w:r>
    </w:p>
    <w:p w14:paraId="15F5CA64" w14:textId="77777777" w:rsidR="00E63E1A" w:rsidRPr="00BB4C7D" w:rsidRDefault="00E63E1A" w:rsidP="00E63E1A">
      <w:pPr>
        <w:spacing w:after="0" w:line="360" w:lineRule="auto"/>
        <w:jc w:val="both"/>
        <w:rPr>
          <w:rFonts w:ascii="Palatino Linotype" w:hAnsi="Palatino Linotype" w:cs="Arial"/>
          <w:color w:val="000000"/>
          <w:sz w:val="24"/>
          <w:szCs w:val="24"/>
        </w:rPr>
      </w:pPr>
    </w:p>
    <w:p w14:paraId="4900F3A5" w14:textId="77777777" w:rsidR="00623D1A" w:rsidRDefault="00623D1A" w:rsidP="00E63E1A">
      <w:pPr>
        <w:spacing w:after="0" w:line="360" w:lineRule="auto"/>
        <w:jc w:val="both"/>
        <w:rPr>
          <w:rFonts w:ascii="Palatino Linotype" w:hAnsi="Palatino Linotype" w:cs="Arial"/>
          <w:color w:val="000000"/>
          <w:sz w:val="24"/>
          <w:szCs w:val="24"/>
        </w:rPr>
      </w:pPr>
    </w:p>
    <w:p w14:paraId="0F258FB3" w14:textId="77777777" w:rsidR="00623D1A" w:rsidRDefault="00623D1A" w:rsidP="00E63E1A">
      <w:pPr>
        <w:spacing w:after="0" w:line="360" w:lineRule="auto"/>
        <w:jc w:val="both"/>
        <w:rPr>
          <w:rFonts w:ascii="Palatino Linotype" w:hAnsi="Palatino Linotype" w:cs="Arial"/>
          <w:color w:val="000000"/>
          <w:sz w:val="24"/>
          <w:szCs w:val="24"/>
        </w:rPr>
      </w:pPr>
    </w:p>
    <w:p w14:paraId="6195C69F" w14:textId="77777777" w:rsidR="00623D1A" w:rsidRDefault="00623D1A" w:rsidP="00E63E1A">
      <w:pPr>
        <w:spacing w:after="0" w:line="360" w:lineRule="auto"/>
        <w:jc w:val="both"/>
        <w:rPr>
          <w:rFonts w:ascii="Palatino Linotype" w:hAnsi="Palatino Linotype" w:cs="Arial"/>
          <w:color w:val="000000"/>
          <w:sz w:val="24"/>
          <w:szCs w:val="24"/>
        </w:rPr>
      </w:pPr>
    </w:p>
    <w:p w14:paraId="11622A89" w14:textId="24B57D54" w:rsidR="00E63E1A" w:rsidRDefault="00E63E1A" w:rsidP="00E63E1A">
      <w:pPr>
        <w:spacing w:after="0" w:line="360" w:lineRule="auto"/>
        <w:jc w:val="both"/>
        <w:rPr>
          <w:rFonts w:ascii="Palatino Linotype" w:hAnsi="Palatino Linotype" w:cs="Arial"/>
          <w:color w:val="000000"/>
          <w:sz w:val="24"/>
          <w:szCs w:val="24"/>
        </w:rPr>
      </w:pPr>
      <w:r w:rsidRPr="00BB4C7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7E0672D4" w14:textId="77777777" w:rsidR="005129BA" w:rsidRDefault="005129BA" w:rsidP="00E63E1A">
      <w:pPr>
        <w:spacing w:after="0" w:line="360" w:lineRule="auto"/>
        <w:jc w:val="both"/>
        <w:rPr>
          <w:rFonts w:ascii="Palatino Linotype" w:hAnsi="Palatino Linotype" w:cs="Arial"/>
          <w:color w:val="000000"/>
          <w:sz w:val="24"/>
          <w:szCs w:val="24"/>
        </w:rPr>
      </w:pPr>
    </w:p>
    <w:p w14:paraId="58701D89" w14:textId="77777777" w:rsidR="00E63E1A" w:rsidRPr="00404360" w:rsidRDefault="00E63E1A" w:rsidP="005129BA">
      <w:pPr>
        <w:spacing w:after="0" w:line="240" w:lineRule="auto"/>
        <w:ind w:left="567" w:right="567"/>
        <w:jc w:val="both"/>
        <w:rPr>
          <w:rFonts w:ascii="Palatino Linotype" w:hAnsi="Palatino Linotype" w:cs="Arial"/>
          <w:color w:val="000000"/>
        </w:rPr>
      </w:pPr>
      <w:r w:rsidRPr="00404360">
        <w:rPr>
          <w:rFonts w:ascii="Palatino Linotype" w:hAnsi="Palatino Linotype" w:cs="Arial"/>
          <w:b/>
          <w:color w:val="000000"/>
        </w:rPr>
        <w:t>"</w:t>
      </w:r>
      <w:r w:rsidRPr="004C1B92">
        <w:rPr>
          <w:rFonts w:ascii="Palatino Linotype" w:hAnsi="Palatino Linotype" w:cs="Arial"/>
          <w:b/>
          <w:i/>
          <w:color w:val="000000"/>
        </w:rPr>
        <w:t>AGRAVIOS EN LA REVISION. DEBEN ESTAR EN RELACION DIRECTA CON LOS FUNDAMENTOS Y CONSIDERACIONES DE LA SENTENCIA.-</w:t>
      </w:r>
      <w:r w:rsidRPr="00404360">
        <w:rPr>
          <w:rFonts w:ascii="Palatino Linotype" w:hAnsi="Palatino Linotype" w:cs="Arial"/>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404360">
        <w:rPr>
          <w:rFonts w:ascii="Palatino Linotype" w:hAnsi="Palatino Linotype" w:cs="Arial"/>
          <w:b/>
          <w:color w:val="000000"/>
        </w:rPr>
        <w:t>"</w:t>
      </w:r>
    </w:p>
    <w:p w14:paraId="6029E79C" w14:textId="5B05D23F" w:rsidR="00E63E1A" w:rsidRDefault="00E63E1A" w:rsidP="00960F94">
      <w:pPr>
        <w:spacing w:after="0" w:line="360" w:lineRule="auto"/>
        <w:jc w:val="both"/>
        <w:rPr>
          <w:rFonts w:ascii="Palatino Linotype" w:eastAsia="Times New Roman" w:hAnsi="Palatino Linotype" w:cs="Times New Roman"/>
          <w:sz w:val="24"/>
          <w:szCs w:val="24"/>
          <w:lang w:eastAsia="es-MX"/>
        </w:rPr>
      </w:pPr>
    </w:p>
    <w:p w14:paraId="50D60528" w14:textId="6CB3A441" w:rsidR="00EA4961" w:rsidRDefault="00EA4961" w:rsidP="00960F94">
      <w:pPr>
        <w:spacing w:after="0" w:line="360" w:lineRule="auto"/>
        <w:rPr>
          <w:rFonts w:ascii="Palatino Linotype" w:eastAsia="Times New Roman" w:hAnsi="Palatino Linotype" w:cs="Times New Roman"/>
          <w:sz w:val="24"/>
          <w:szCs w:val="24"/>
          <w:lang w:eastAsia="es-MX"/>
        </w:rPr>
      </w:pPr>
      <w:r w:rsidRPr="00EA4961">
        <w:rPr>
          <w:rFonts w:ascii="Palatino Linotype" w:eastAsia="Times New Roman" w:hAnsi="Palatino Linotype" w:cs="Times New Roman"/>
          <w:sz w:val="24"/>
          <w:szCs w:val="24"/>
          <w:lang w:eastAsia="es-MX"/>
        </w:rPr>
        <w:t>Ahora bien, como fue mencio</w:t>
      </w:r>
      <w:r w:rsidR="00960F94">
        <w:rPr>
          <w:rFonts w:ascii="Palatino Linotype" w:eastAsia="Times New Roman" w:hAnsi="Palatino Linotype" w:cs="Times New Roman"/>
          <w:sz w:val="24"/>
          <w:szCs w:val="24"/>
          <w:lang w:eastAsia="es-MX"/>
        </w:rPr>
        <w:t>nado en el antecedente quinto, e</w:t>
      </w:r>
      <w:r w:rsidRPr="00EA4961">
        <w:rPr>
          <w:rFonts w:ascii="Palatino Linotype" w:eastAsia="Times New Roman" w:hAnsi="Palatino Linotype" w:cs="Times New Roman"/>
          <w:sz w:val="24"/>
          <w:szCs w:val="24"/>
          <w:lang w:eastAsia="es-MX"/>
        </w:rPr>
        <w:t>l Sujeto Obligado rindió su informe justificado en los siguientes términos:</w:t>
      </w:r>
    </w:p>
    <w:p w14:paraId="11C4C89E" w14:textId="77777777" w:rsidR="00A55D14" w:rsidRDefault="00A55D14" w:rsidP="00960F94">
      <w:pPr>
        <w:spacing w:after="0" w:line="360" w:lineRule="auto"/>
        <w:rPr>
          <w:rFonts w:ascii="Palatino Linotype" w:eastAsia="Times New Roman" w:hAnsi="Palatino Linotype" w:cs="Times New Roman"/>
          <w:sz w:val="24"/>
          <w:szCs w:val="24"/>
          <w:lang w:eastAsia="es-MX"/>
        </w:rPr>
      </w:pPr>
    </w:p>
    <w:p w14:paraId="1FD4C9A6" w14:textId="73EA0AE5" w:rsidR="00956FC2" w:rsidRDefault="00A55D14" w:rsidP="00956FC2">
      <w:pPr>
        <w:pStyle w:val="Prrafodelista"/>
        <w:numPr>
          <w:ilvl w:val="0"/>
          <w:numId w:val="7"/>
        </w:numPr>
        <w:spacing w:line="360" w:lineRule="auto"/>
        <w:jc w:val="both"/>
        <w:rPr>
          <w:rFonts w:ascii="Palatino Linotype" w:hAnsi="Palatino Linotype"/>
          <w:lang w:eastAsia="es-MX"/>
        </w:rPr>
      </w:pPr>
      <w:r w:rsidRPr="00956FC2">
        <w:rPr>
          <w:rFonts w:ascii="Palatino Linotype" w:hAnsi="Palatino Linotype" w:cs="Arial"/>
        </w:rPr>
        <w:t xml:space="preserve"> </w:t>
      </w:r>
      <w:r w:rsidR="00956FC2" w:rsidRPr="00A55D14">
        <w:rPr>
          <w:rFonts w:ascii="Palatino Linotype" w:hAnsi="Palatino Linotype" w:cs="Arial"/>
          <w:b/>
        </w:rPr>
        <w:t>RR 17385-2022 SPP.pdf</w:t>
      </w:r>
      <w:r w:rsidR="00EA4961" w:rsidRPr="00A55D14">
        <w:rPr>
          <w:rFonts w:ascii="Palatino Linotype" w:hAnsi="Palatino Linotype"/>
          <w:b/>
          <w:lang w:eastAsia="es-MX"/>
        </w:rPr>
        <w:t>:</w:t>
      </w:r>
      <w:r w:rsidR="00EA4961" w:rsidRPr="00956FC2">
        <w:rPr>
          <w:rFonts w:ascii="Palatino Linotype" w:hAnsi="Palatino Linotype"/>
          <w:lang w:eastAsia="es-MX"/>
        </w:rPr>
        <w:t xml:space="preserve"> Oficio número 2070</w:t>
      </w:r>
      <w:r w:rsidR="00956FC2">
        <w:rPr>
          <w:rFonts w:ascii="Palatino Linotype" w:hAnsi="Palatino Linotype"/>
          <w:lang w:eastAsia="es-MX"/>
        </w:rPr>
        <w:t>4</w:t>
      </w:r>
      <w:r w:rsidR="00EA4961" w:rsidRPr="00956FC2">
        <w:rPr>
          <w:rFonts w:ascii="Palatino Linotype" w:hAnsi="Palatino Linotype"/>
          <w:lang w:eastAsia="es-MX"/>
        </w:rPr>
        <w:t>0000</w:t>
      </w:r>
      <w:r w:rsidR="00956FC2">
        <w:rPr>
          <w:rFonts w:ascii="Palatino Linotype" w:hAnsi="Palatino Linotype"/>
          <w:lang w:eastAsia="es-MX"/>
        </w:rPr>
        <w:t>20000</w:t>
      </w:r>
      <w:r w:rsidR="00EA4961" w:rsidRPr="00956FC2">
        <w:rPr>
          <w:rFonts w:ascii="Palatino Linotype" w:hAnsi="Palatino Linotype"/>
          <w:lang w:eastAsia="es-MX"/>
        </w:rPr>
        <w:t>S/</w:t>
      </w:r>
      <w:r w:rsidR="00956FC2">
        <w:rPr>
          <w:rFonts w:ascii="Palatino Linotype" w:hAnsi="Palatino Linotype"/>
          <w:lang w:eastAsia="es-MX"/>
        </w:rPr>
        <w:t>001/2023 signado por el Servidor Público Habilitado Suplente de la Secretaría de Planeación y Presupuesto dirigido al Jefe de UIPPE</w:t>
      </w:r>
      <w:r w:rsidR="00EA4961" w:rsidRPr="00956FC2">
        <w:rPr>
          <w:rFonts w:ascii="Palatino Linotype" w:hAnsi="Palatino Linotype"/>
          <w:lang w:eastAsia="es-MX"/>
        </w:rPr>
        <w:t xml:space="preserve"> </w:t>
      </w:r>
      <w:r w:rsidR="00956FC2">
        <w:rPr>
          <w:rFonts w:ascii="Palatino Linotype" w:hAnsi="Palatino Linotype"/>
          <w:lang w:eastAsia="es-MX"/>
        </w:rPr>
        <w:t xml:space="preserve">y </w:t>
      </w:r>
      <w:r w:rsidR="00EA4961" w:rsidRPr="00956FC2">
        <w:rPr>
          <w:rFonts w:ascii="Palatino Linotype" w:hAnsi="Palatino Linotype"/>
          <w:lang w:eastAsia="es-MX"/>
        </w:rPr>
        <w:t xml:space="preserve">Titular de la Unidad de Transparencia y dirigido al comisionado ponente, de fecha </w:t>
      </w:r>
      <w:r w:rsidR="00956FC2">
        <w:rPr>
          <w:rFonts w:ascii="Palatino Linotype" w:hAnsi="Palatino Linotype"/>
          <w:lang w:eastAsia="es-MX"/>
        </w:rPr>
        <w:t>cinco</w:t>
      </w:r>
      <w:r w:rsidR="00EA4961" w:rsidRPr="00956FC2">
        <w:rPr>
          <w:rFonts w:ascii="Palatino Linotype" w:hAnsi="Palatino Linotype"/>
          <w:lang w:eastAsia="es-MX"/>
        </w:rPr>
        <w:t xml:space="preserve"> de </w:t>
      </w:r>
      <w:r w:rsidR="00956FC2">
        <w:rPr>
          <w:rFonts w:ascii="Palatino Linotype" w:hAnsi="Palatino Linotype"/>
          <w:lang w:eastAsia="es-MX"/>
        </w:rPr>
        <w:t>enero</w:t>
      </w:r>
      <w:r w:rsidR="00EA4961" w:rsidRPr="00956FC2">
        <w:rPr>
          <w:rFonts w:ascii="Palatino Linotype" w:hAnsi="Palatino Linotype"/>
          <w:lang w:eastAsia="es-MX"/>
        </w:rPr>
        <w:t xml:space="preserve"> del presente, en síntesis, expone los siguientes argumentos:</w:t>
      </w:r>
    </w:p>
    <w:p w14:paraId="74B0EF6B" w14:textId="77777777" w:rsidR="00A55D14" w:rsidRDefault="00A55D14" w:rsidP="00A55D14">
      <w:pPr>
        <w:pStyle w:val="Prrafodelista"/>
        <w:spacing w:line="360" w:lineRule="auto"/>
        <w:ind w:left="720"/>
        <w:jc w:val="both"/>
        <w:rPr>
          <w:rFonts w:ascii="Palatino Linotype" w:hAnsi="Palatino Linotype"/>
          <w:lang w:eastAsia="es-MX"/>
        </w:rPr>
      </w:pPr>
    </w:p>
    <w:p w14:paraId="20F48AC9" w14:textId="07B9EB96" w:rsidR="00956FC2" w:rsidRDefault="00EA4961" w:rsidP="00956FC2">
      <w:pPr>
        <w:pStyle w:val="Prrafodelista"/>
        <w:numPr>
          <w:ilvl w:val="0"/>
          <w:numId w:val="3"/>
        </w:numPr>
        <w:spacing w:line="360" w:lineRule="auto"/>
        <w:jc w:val="both"/>
        <w:rPr>
          <w:rFonts w:ascii="Palatino Linotype" w:hAnsi="Palatino Linotype"/>
          <w:lang w:eastAsia="es-MX"/>
        </w:rPr>
      </w:pPr>
      <w:r w:rsidRPr="00956FC2">
        <w:rPr>
          <w:rFonts w:ascii="Palatino Linotype" w:hAnsi="Palatino Linotype"/>
          <w:lang w:eastAsia="es-MX"/>
        </w:rPr>
        <w:t xml:space="preserve">Que </w:t>
      </w:r>
      <w:r w:rsidR="00956FC2">
        <w:rPr>
          <w:rFonts w:ascii="Palatino Linotype" w:hAnsi="Palatino Linotype"/>
          <w:lang w:eastAsia="es-MX"/>
        </w:rPr>
        <w:t>es improcedente ampliar las solicitudes de información, a través de la interposición del recurso de revisión.</w:t>
      </w:r>
    </w:p>
    <w:p w14:paraId="028F8554" w14:textId="12813815" w:rsidR="00A55D14" w:rsidRDefault="00A55D14" w:rsidP="00A55D14">
      <w:pPr>
        <w:pStyle w:val="Prrafodelista"/>
        <w:spacing w:line="360" w:lineRule="auto"/>
        <w:ind w:left="720"/>
        <w:jc w:val="both"/>
        <w:rPr>
          <w:rFonts w:ascii="Palatino Linotype" w:hAnsi="Palatino Linotype"/>
          <w:lang w:eastAsia="es-MX"/>
        </w:rPr>
      </w:pPr>
    </w:p>
    <w:p w14:paraId="02513A7A" w14:textId="01F62F19" w:rsidR="00623D1A" w:rsidRDefault="00623D1A" w:rsidP="00A55D14">
      <w:pPr>
        <w:pStyle w:val="Prrafodelista"/>
        <w:spacing w:line="360" w:lineRule="auto"/>
        <w:ind w:left="720"/>
        <w:jc w:val="both"/>
        <w:rPr>
          <w:rFonts w:ascii="Palatino Linotype" w:hAnsi="Palatino Linotype"/>
          <w:lang w:eastAsia="es-MX"/>
        </w:rPr>
      </w:pPr>
    </w:p>
    <w:p w14:paraId="5C797B4B" w14:textId="77777777" w:rsidR="00623D1A" w:rsidRDefault="00623D1A" w:rsidP="00A55D14">
      <w:pPr>
        <w:pStyle w:val="Prrafodelista"/>
        <w:spacing w:line="360" w:lineRule="auto"/>
        <w:ind w:left="720"/>
        <w:jc w:val="both"/>
        <w:rPr>
          <w:rFonts w:ascii="Palatino Linotype" w:hAnsi="Palatino Linotype"/>
          <w:lang w:eastAsia="es-MX"/>
        </w:rPr>
      </w:pPr>
    </w:p>
    <w:p w14:paraId="35593406" w14:textId="7DA4DAE4" w:rsidR="00A55D14" w:rsidRDefault="00956FC2" w:rsidP="00EA4961">
      <w:pPr>
        <w:pStyle w:val="Prrafodelista"/>
        <w:numPr>
          <w:ilvl w:val="0"/>
          <w:numId w:val="3"/>
        </w:numPr>
        <w:spacing w:line="360" w:lineRule="auto"/>
        <w:jc w:val="both"/>
        <w:rPr>
          <w:rFonts w:ascii="Palatino Linotype" w:hAnsi="Palatino Linotype"/>
          <w:lang w:eastAsia="es-MX"/>
        </w:rPr>
      </w:pPr>
      <w:r>
        <w:rPr>
          <w:rFonts w:ascii="Palatino Linotype" w:hAnsi="Palatino Linotype"/>
          <w:lang w:eastAsia="es-MX"/>
        </w:rPr>
        <w:t>Que del contenido señalado en la parte final del acto impugnado</w:t>
      </w:r>
      <w:r w:rsidR="00EA4961" w:rsidRPr="00956FC2">
        <w:rPr>
          <w:rFonts w:ascii="Palatino Linotype" w:hAnsi="Palatino Linotype"/>
          <w:lang w:eastAsia="es-MX"/>
        </w:rPr>
        <w:t xml:space="preserve"> </w:t>
      </w:r>
      <w:r w:rsidR="00A55D14">
        <w:rPr>
          <w:rFonts w:ascii="Palatino Linotype" w:hAnsi="Palatino Linotype"/>
          <w:lang w:eastAsia="es-MX"/>
        </w:rPr>
        <w:t xml:space="preserve">en el formato del Recurso de Revisión mencionó: </w:t>
      </w:r>
      <w:r w:rsidR="00A55D14" w:rsidRPr="00A55D14">
        <w:rPr>
          <w:rFonts w:ascii="Palatino Linotype" w:hAnsi="Palatino Linotype"/>
          <w:i/>
          <w:lang w:eastAsia="es-MX"/>
        </w:rPr>
        <w:t>“… y si fuera el caso que esos vehículos los tienen asignados de manera directa para el desarrollo de sus funciones cuales son.”</w:t>
      </w:r>
      <w:r w:rsidR="00A55D14">
        <w:rPr>
          <w:rFonts w:ascii="Palatino Linotype" w:hAnsi="Palatino Linotype"/>
          <w:lang w:eastAsia="es-MX"/>
        </w:rPr>
        <w:t xml:space="preserve">, </w:t>
      </w:r>
      <w:r w:rsidR="00960F94">
        <w:rPr>
          <w:rFonts w:ascii="Palatino Linotype" w:hAnsi="Palatino Linotype"/>
          <w:lang w:eastAsia="es-MX"/>
        </w:rPr>
        <w:t xml:space="preserve">por lo que </w:t>
      </w:r>
      <w:r w:rsidR="00A55D14">
        <w:rPr>
          <w:rFonts w:ascii="Palatino Linotype" w:hAnsi="Palatino Linotype"/>
          <w:lang w:eastAsia="es-MX"/>
        </w:rPr>
        <w:t>dichos planteamientos no fueron formulados en la solicitud de información pública inicial.</w:t>
      </w:r>
    </w:p>
    <w:p w14:paraId="514A29B8" w14:textId="77777777" w:rsidR="00960F94" w:rsidRPr="00960F94" w:rsidRDefault="00960F94" w:rsidP="00960F94">
      <w:pPr>
        <w:pStyle w:val="Prrafodelista"/>
        <w:rPr>
          <w:rFonts w:ascii="Palatino Linotype" w:hAnsi="Palatino Linotype"/>
          <w:lang w:eastAsia="es-MX"/>
        </w:rPr>
      </w:pPr>
    </w:p>
    <w:p w14:paraId="774309AF" w14:textId="3DAAA2F3" w:rsidR="00A55D14" w:rsidRDefault="00EA4961" w:rsidP="00960F94">
      <w:pPr>
        <w:pStyle w:val="Prrafodelista"/>
        <w:numPr>
          <w:ilvl w:val="0"/>
          <w:numId w:val="3"/>
        </w:numPr>
        <w:spacing w:line="360" w:lineRule="auto"/>
        <w:jc w:val="both"/>
        <w:rPr>
          <w:rFonts w:ascii="Palatino Linotype" w:hAnsi="Palatino Linotype"/>
          <w:lang w:eastAsia="es-MX"/>
        </w:rPr>
      </w:pPr>
      <w:r w:rsidRPr="00A55D14">
        <w:rPr>
          <w:rFonts w:ascii="Palatino Linotype" w:hAnsi="Palatino Linotype"/>
          <w:lang w:eastAsia="es-MX"/>
        </w:rPr>
        <w:t>Que, la información requerida</w:t>
      </w:r>
      <w:r w:rsidR="00A55D14" w:rsidRPr="00A55D14">
        <w:rPr>
          <w:rFonts w:ascii="Palatino Linotype" w:hAnsi="Palatino Linotype"/>
          <w:lang w:eastAsia="es-MX"/>
        </w:rPr>
        <w:t xml:space="preserve"> se atendió en tiempo y forma a través del oficio número 20704000020000S/260/2022.</w:t>
      </w:r>
    </w:p>
    <w:p w14:paraId="563A0EAE" w14:textId="71AC2235" w:rsidR="00960F94" w:rsidRPr="00960F94" w:rsidRDefault="00960F94" w:rsidP="00960F94">
      <w:pPr>
        <w:spacing w:after="0" w:line="360" w:lineRule="auto"/>
        <w:jc w:val="both"/>
        <w:rPr>
          <w:rFonts w:ascii="Palatino Linotype" w:hAnsi="Palatino Linotype"/>
          <w:lang w:eastAsia="es-MX"/>
        </w:rPr>
      </w:pPr>
    </w:p>
    <w:p w14:paraId="6FED04CA" w14:textId="20F878E7" w:rsidR="00E63E1A" w:rsidRPr="00A55D14" w:rsidRDefault="00EA4961" w:rsidP="00960F94">
      <w:pPr>
        <w:pStyle w:val="Prrafodelista"/>
        <w:numPr>
          <w:ilvl w:val="0"/>
          <w:numId w:val="3"/>
        </w:numPr>
        <w:spacing w:line="360" w:lineRule="auto"/>
        <w:jc w:val="both"/>
        <w:rPr>
          <w:rFonts w:ascii="Palatino Linotype" w:hAnsi="Palatino Linotype"/>
          <w:lang w:eastAsia="es-MX"/>
        </w:rPr>
      </w:pPr>
      <w:r w:rsidRPr="00A55D14">
        <w:rPr>
          <w:rFonts w:ascii="Palatino Linotype" w:hAnsi="Palatino Linotype"/>
          <w:lang w:eastAsia="es-MX"/>
        </w:rPr>
        <w:t xml:space="preserve">Que </w:t>
      </w:r>
      <w:r w:rsidR="00A55D14" w:rsidRPr="00A55D14">
        <w:rPr>
          <w:rFonts w:ascii="Palatino Linotype" w:hAnsi="Palatino Linotype"/>
          <w:lang w:eastAsia="es-MX"/>
        </w:rPr>
        <w:t>deberá considerarse la</w:t>
      </w:r>
      <w:r w:rsidRPr="00A55D14">
        <w:rPr>
          <w:rFonts w:ascii="Palatino Linotype" w:hAnsi="Palatino Linotype"/>
          <w:lang w:eastAsia="es-MX"/>
        </w:rPr>
        <w:t xml:space="preserve"> improcedencia</w:t>
      </w:r>
      <w:r w:rsidR="00A55D14" w:rsidRPr="00A55D14">
        <w:rPr>
          <w:rFonts w:ascii="Palatino Linotype" w:hAnsi="Palatino Linotype"/>
          <w:lang w:eastAsia="es-MX"/>
        </w:rPr>
        <w:t xml:space="preserve"> del recurso de revisión</w:t>
      </w:r>
      <w:r w:rsidRPr="00A55D14">
        <w:rPr>
          <w:rFonts w:ascii="Palatino Linotype" w:hAnsi="Palatino Linotype"/>
          <w:lang w:eastAsia="es-MX"/>
        </w:rPr>
        <w:t xml:space="preserve">.  </w:t>
      </w:r>
    </w:p>
    <w:p w14:paraId="69DD4CD7" w14:textId="3AC8C140" w:rsidR="00C429B1" w:rsidRDefault="00C429B1" w:rsidP="00960F94">
      <w:pPr>
        <w:spacing w:after="0" w:line="240" w:lineRule="auto"/>
        <w:ind w:right="616"/>
        <w:rPr>
          <w:rFonts w:ascii="Palatino Linotype" w:eastAsia="Times New Roman" w:hAnsi="Palatino Linotype" w:cs="Times New Roman"/>
          <w:bCs/>
          <w:szCs w:val="24"/>
          <w:lang w:val="es-ES" w:eastAsia="es-ES"/>
        </w:rPr>
      </w:pPr>
    </w:p>
    <w:p w14:paraId="4FD38081" w14:textId="34841CC5" w:rsidR="000A222B" w:rsidRDefault="000A222B" w:rsidP="000A222B">
      <w:pPr>
        <w:spacing w:after="0" w:line="360" w:lineRule="auto"/>
        <w:jc w:val="both"/>
        <w:rPr>
          <w:rFonts w:ascii="Palatino Linotype" w:eastAsia="Times New Roman" w:hAnsi="Palatino Linotype" w:cs="Times New Roman"/>
          <w:bCs/>
          <w:sz w:val="24"/>
          <w:szCs w:val="24"/>
          <w:lang w:val="es-ES" w:eastAsia="es-ES"/>
        </w:rPr>
      </w:pPr>
      <w:r w:rsidRPr="000A222B">
        <w:rPr>
          <w:rFonts w:ascii="Palatino Linotype" w:eastAsia="Times New Roman" w:hAnsi="Palatino Linotype" w:cs="Times New Roman"/>
          <w:bCs/>
          <w:sz w:val="24"/>
          <w:szCs w:val="24"/>
          <w:lang w:val="es-ES" w:eastAsia="es-ES"/>
        </w:rPr>
        <w:t xml:space="preserve">Luego entonces, las manifestaciones esgrimidas por </w:t>
      </w:r>
      <w:r>
        <w:rPr>
          <w:rFonts w:ascii="Palatino Linotype" w:eastAsia="Times New Roman" w:hAnsi="Palatino Linotype" w:cs="Times New Roman"/>
          <w:bCs/>
          <w:sz w:val="24"/>
          <w:szCs w:val="24"/>
          <w:lang w:val="es-ES" w:eastAsia="es-ES"/>
        </w:rPr>
        <w:t>el</w:t>
      </w:r>
      <w:r w:rsidRPr="000A222B">
        <w:rPr>
          <w:rFonts w:ascii="Palatino Linotype" w:eastAsia="Times New Roman" w:hAnsi="Palatino Linotype" w:cs="Times New Roman"/>
          <w:bCs/>
          <w:sz w:val="24"/>
          <w:szCs w:val="24"/>
          <w:lang w:val="es-ES" w:eastAsia="es-ES"/>
        </w:rPr>
        <w:t xml:space="preserve"> particular encuadran dentro de los parámetros de la subjetividad, por ello, denotan una clara desvinculación con el derecho de acceso a la información, el cual, en síntesis, estriba en acceder a la información generada, poseída o administrada por los sujetos obligados. </w:t>
      </w:r>
    </w:p>
    <w:p w14:paraId="4B50900D" w14:textId="77777777" w:rsidR="000A222B" w:rsidRPr="000A222B" w:rsidRDefault="000A222B" w:rsidP="000A222B">
      <w:pPr>
        <w:spacing w:after="0" w:line="360" w:lineRule="auto"/>
        <w:jc w:val="both"/>
        <w:rPr>
          <w:rFonts w:ascii="Palatino Linotype" w:eastAsia="Times New Roman" w:hAnsi="Palatino Linotype" w:cs="Times New Roman"/>
          <w:bCs/>
          <w:sz w:val="24"/>
          <w:szCs w:val="24"/>
          <w:lang w:val="es-ES" w:eastAsia="es-ES"/>
        </w:rPr>
      </w:pPr>
    </w:p>
    <w:p w14:paraId="42AA8180" w14:textId="5915F0E8" w:rsidR="00A55D14" w:rsidRDefault="000A222B" w:rsidP="000A222B">
      <w:pPr>
        <w:spacing w:after="0" w:line="360" w:lineRule="auto"/>
        <w:jc w:val="both"/>
        <w:rPr>
          <w:rFonts w:ascii="Palatino Linotype" w:eastAsia="Times New Roman" w:hAnsi="Palatino Linotype" w:cs="Times New Roman"/>
          <w:bCs/>
          <w:sz w:val="24"/>
          <w:szCs w:val="24"/>
          <w:lang w:val="es-ES" w:eastAsia="es-ES"/>
        </w:rPr>
      </w:pPr>
      <w:r w:rsidRPr="000A222B">
        <w:rPr>
          <w:rFonts w:ascii="Palatino Linotype" w:eastAsia="Times New Roman" w:hAnsi="Palatino Linotype" w:cs="Times New Roman"/>
          <w:bCs/>
          <w:sz w:val="24"/>
          <w:szCs w:val="24"/>
          <w:lang w:val="es-ES" w:eastAsia="es-ES"/>
        </w:rPr>
        <w:t>Sirven de sustento los artículos 3 fracciones XI y XXII, 4 y 11 de la Ley de Transparencia local, que disponen a la literalidad lo siguiente:</w:t>
      </w:r>
    </w:p>
    <w:p w14:paraId="39C7DD2E" w14:textId="77777777" w:rsidR="000A222B" w:rsidRPr="000A222B" w:rsidRDefault="000A222B" w:rsidP="000A222B">
      <w:pPr>
        <w:spacing w:after="0" w:line="360" w:lineRule="auto"/>
        <w:jc w:val="both"/>
        <w:rPr>
          <w:rFonts w:ascii="Palatino Linotype" w:eastAsia="Times New Roman" w:hAnsi="Palatino Linotype" w:cs="Times New Roman"/>
          <w:bCs/>
          <w:sz w:val="24"/>
          <w:szCs w:val="24"/>
          <w:lang w:val="es-ES" w:eastAsia="es-ES"/>
        </w:rPr>
      </w:pPr>
    </w:p>
    <w:p w14:paraId="2D7F2254" w14:textId="763AC6F2" w:rsid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0A222B">
        <w:rPr>
          <w:rFonts w:ascii="Palatino Linotype" w:eastAsia="Times New Roman" w:hAnsi="Palatino Linotype" w:cs="Times New Roman"/>
          <w:bCs/>
          <w:i/>
          <w:szCs w:val="24"/>
          <w:lang w:val="es-ES" w:eastAsia="es-ES"/>
        </w:rPr>
        <w:t>“</w:t>
      </w:r>
      <w:r w:rsidRPr="000A222B">
        <w:rPr>
          <w:rFonts w:ascii="Palatino Linotype" w:eastAsia="Times New Roman" w:hAnsi="Palatino Linotype" w:cs="Times New Roman"/>
          <w:b/>
          <w:bCs/>
          <w:i/>
          <w:szCs w:val="24"/>
          <w:lang w:val="es-ES" w:eastAsia="es-ES"/>
        </w:rPr>
        <w:t>Artículo 3.</w:t>
      </w:r>
      <w:r w:rsidRPr="000A222B">
        <w:rPr>
          <w:rFonts w:ascii="Palatino Linotype" w:eastAsia="Times New Roman" w:hAnsi="Palatino Linotype" w:cs="Times New Roman"/>
          <w:bCs/>
          <w:i/>
          <w:szCs w:val="24"/>
          <w:lang w:val="es-ES" w:eastAsia="es-ES"/>
        </w:rPr>
        <w:t xml:space="preserve"> Para los efectos de la presente Ley se entenderá por:</w:t>
      </w:r>
    </w:p>
    <w:p w14:paraId="47EF32CA" w14:textId="77777777" w:rsidR="000A222B" w:rsidRP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p>
    <w:p w14:paraId="0154B90D" w14:textId="77777777" w:rsidR="000A222B" w:rsidRP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0A222B">
        <w:rPr>
          <w:rFonts w:ascii="Palatino Linotype" w:eastAsia="Times New Roman" w:hAnsi="Palatino Linotype" w:cs="Times New Roman"/>
          <w:bCs/>
          <w:i/>
          <w:szCs w:val="24"/>
          <w:lang w:val="es-ES" w:eastAsia="es-ES"/>
        </w:rPr>
        <w:t>(…)</w:t>
      </w:r>
    </w:p>
    <w:p w14:paraId="2A4BD49B" w14:textId="77777777" w:rsidR="000A222B" w:rsidRP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907D6C">
        <w:rPr>
          <w:rFonts w:ascii="Palatino Linotype" w:eastAsia="Times New Roman" w:hAnsi="Palatino Linotype" w:cs="Times New Roman"/>
          <w:b/>
          <w:bCs/>
          <w:i/>
          <w:szCs w:val="24"/>
          <w:lang w:val="es-ES" w:eastAsia="es-ES"/>
        </w:rPr>
        <w:t>XI. Documento:</w:t>
      </w:r>
      <w:r w:rsidRPr="000A222B">
        <w:rPr>
          <w:rFonts w:ascii="Palatino Linotype" w:eastAsia="Times New Roman" w:hAnsi="Palatino Linotype" w:cs="Times New Roman"/>
          <w:bCs/>
          <w:i/>
          <w:szCs w:val="24"/>
          <w:lang w:val="es-ES"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281095" w14:textId="77777777" w:rsidR="000A222B" w:rsidRP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0A222B">
        <w:rPr>
          <w:rFonts w:ascii="Palatino Linotype" w:eastAsia="Times New Roman" w:hAnsi="Palatino Linotype" w:cs="Times New Roman"/>
          <w:bCs/>
          <w:i/>
          <w:szCs w:val="24"/>
          <w:lang w:val="es-ES" w:eastAsia="es-ES"/>
        </w:rPr>
        <w:t>(…)</w:t>
      </w:r>
    </w:p>
    <w:p w14:paraId="0E623CBC" w14:textId="77777777" w:rsid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p>
    <w:p w14:paraId="2E10F40B" w14:textId="62450F20" w:rsidR="000A222B" w:rsidRP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907D6C">
        <w:rPr>
          <w:rFonts w:ascii="Palatino Linotype" w:eastAsia="Times New Roman" w:hAnsi="Palatino Linotype" w:cs="Times New Roman"/>
          <w:b/>
          <w:bCs/>
          <w:i/>
          <w:szCs w:val="24"/>
          <w:lang w:val="es-ES" w:eastAsia="es-ES"/>
        </w:rPr>
        <w:t>XXII.</w:t>
      </w:r>
      <w:r w:rsidRPr="000A222B">
        <w:rPr>
          <w:rFonts w:ascii="Palatino Linotype" w:eastAsia="Times New Roman" w:hAnsi="Palatino Linotype" w:cs="Times New Roman"/>
          <w:bCs/>
          <w:i/>
          <w:szCs w:val="24"/>
          <w:lang w:val="es-ES" w:eastAsia="es-ES"/>
        </w:rPr>
        <w:t xml:space="preserve"> </w:t>
      </w:r>
      <w:r w:rsidRPr="00907D6C">
        <w:rPr>
          <w:rFonts w:ascii="Palatino Linotype" w:eastAsia="Times New Roman" w:hAnsi="Palatino Linotype" w:cs="Times New Roman"/>
          <w:b/>
          <w:bCs/>
          <w:i/>
          <w:szCs w:val="24"/>
          <w:lang w:val="es-ES" w:eastAsia="es-ES"/>
        </w:rPr>
        <w:t>Información de interés público</w:t>
      </w:r>
      <w:r w:rsidRPr="000A222B">
        <w:rPr>
          <w:rFonts w:ascii="Palatino Linotype" w:eastAsia="Times New Roman" w:hAnsi="Palatino Linotype" w:cs="Times New Roman"/>
          <w:bCs/>
          <w:i/>
          <w:szCs w:val="24"/>
          <w:lang w:val="es-ES" w:eastAsia="es-ES"/>
        </w:rPr>
        <w:t>: Se refiere a la información que resulta relevante o beneficiosa para la sociedad y no simplemente de interés individual, cuya divulgación resulta útil para que el público comprenda las actividades que llevan a cabo los sujetos obligados;</w:t>
      </w:r>
    </w:p>
    <w:p w14:paraId="5B6F05F0" w14:textId="119B25E6" w:rsid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0A222B">
        <w:rPr>
          <w:rFonts w:ascii="Palatino Linotype" w:eastAsia="Times New Roman" w:hAnsi="Palatino Linotype" w:cs="Times New Roman"/>
          <w:bCs/>
          <w:i/>
          <w:szCs w:val="24"/>
          <w:lang w:val="es-ES" w:eastAsia="es-ES"/>
        </w:rPr>
        <w:t>(…)</w:t>
      </w:r>
    </w:p>
    <w:p w14:paraId="0809A2DA" w14:textId="77777777" w:rsidR="000A222B" w:rsidRP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p>
    <w:p w14:paraId="25C01C0E" w14:textId="77777777" w:rsidR="00960F94" w:rsidRDefault="00960F94" w:rsidP="000A222B">
      <w:pPr>
        <w:spacing w:after="0" w:line="240" w:lineRule="auto"/>
        <w:ind w:left="567" w:right="567"/>
        <w:jc w:val="both"/>
        <w:rPr>
          <w:rFonts w:ascii="Palatino Linotype" w:eastAsia="Times New Roman" w:hAnsi="Palatino Linotype" w:cs="Times New Roman"/>
          <w:b/>
          <w:bCs/>
          <w:i/>
          <w:szCs w:val="24"/>
          <w:lang w:val="es-ES" w:eastAsia="es-ES"/>
        </w:rPr>
      </w:pPr>
    </w:p>
    <w:p w14:paraId="54217266" w14:textId="77777777" w:rsidR="00960F94" w:rsidRDefault="00960F94" w:rsidP="000A222B">
      <w:pPr>
        <w:spacing w:after="0" w:line="240" w:lineRule="auto"/>
        <w:ind w:left="567" w:right="567"/>
        <w:jc w:val="both"/>
        <w:rPr>
          <w:rFonts w:ascii="Palatino Linotype" w:eastAsia="Times New Roman" w:hAnsi="Palatino Linotype" w:cs="Times New Roman"/>
          <w:b/>
          <w:bCs/>
          <w:i/>
          <w:szCs w:val="24"/>
          <w:lang w:val="es-ES" w:eastAsia="es-ES"/>
        </w:rPr>
      </w:pPr>
    </w:p>
    <w:p w14:paraId="4D43AE04" w14:textId="567B52B9" w:rsid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0A222B">
        <w:rPr>
          <w:rFonts w:ascii="Palatino Linotype" w:eastAsia="Times New Roman" w:hAnsi="Palatino Linotype" w:cs="Times New Roman"/>
          <w:b/>
          <w:bCs/>
          <w:i/>
          <w:szCs w:val="24"/>
          <w:lang w:val="es-ES" w:eastAsia="es-ES"/>
        </w:rPr>
        <w:t>Artículo 4.</w:t>
      </w:r>
      <w:r w:rsidRPr="000A222B">
        <w:rPr>
          <w:rFonts w:ascii="Palatino Linotype" w:eastAsia="Times New Roman" w:hAnsi="Palatino Linotype" w:cs="Times New Roman"/>
          <w:bCs/>
          <w:i/>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46F972" w14:textId="77777777" w:rsidR="00907D6C" w:rsidRPr="000A222B" w:rsidRDefault="00907D6C" w:rsidP="000A222B">
      <w:pPr>
        <w:spacing w:after="0" w:line="240" w:lineRule="auto"/>
        <w:ind w:left="567" w:right="567"/>
        <w:jc w:val="both"/>
        <w:rPr>
          <w:rFonts w:ascii="Palatino Linotype" w:eastAsia="Times New Roman" w:hAnsi="Palatino Linotype" w:cs="Times New Roman"/>
          <w:bCs/>
          <w:i/>
          <w:szCs w:val="24"/>
          <w:lang w:val="es-ES" w:eastAsia="es-ES"/>
        </w:rPr>
      </w:pPr>
    </w:p>
    <w:p w14:paraId="3877A386" w14:textId="29C3BF8F" w:rsid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0A222B">
        <w:rPr>
          <w:rFonts w:ascii="Palatino Linotype" w:eastAsia="Times New Roman" w:hAnsi="Palatino Linotype" w:cs="Times New Roman"/>
          <w:bCs/>
          <w:i/>
          <w:szCs w:val="24"/>
          <w:lang w:val="es-ES"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598AA0A" w14:textId="77777777" w:rsidR="000A222B" w:rsidRP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p>
    <w:p w14:paraId="60C91DE0" w14:textId="382A68F6" w:rsid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0A222B">
        <w:rPr>
          <w:rFonts w:ascii="Palatino Linotype" w:eastAsia="Times New Roman" w:hAnsi="Palatino Linotype" w:cs="Times New Roman"/>
          <w:bCs/>
          <w:i/>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4E09746A" w14:textId="77777777" w:rsidR="000A222B" w:rsidRP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p>
    <w:p w14:paraId="1E8BFE2F" w14:textId="60FC67F0" w:rsid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0A222B">
        <w:rPr>
          <w:rFonts w:ascii="Palatino Linotype" w:eastAsia="Times New Roman" w:hAnsi="Palatino Linotype" w:cs="Times New Roman"/>
          <w:b/>
          <w:bCs/>
          <w:i/>
          <w:szCs w:val="24"/>
          <w:lang w:val="es-ES" w:eastAsia="es-ES"/>
        </w:rPr>
        <w:t>Artículo 11.</w:t>
      </w:r>
      <w:r w:rsidRPr="000A222B">
        <w:rPr>
          <w:rFonts w:ascii="Palatino Linotype" w:eastAsia="Times New Roman" w:hAnsi="Palatino Linotype" w:cs="Times New Roman"/>
          <w:bCs/>
          <w:i/>
          <w:szCs w:val="24"/>
          <w:lang w:val="es-ES"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E2C4B16" w14:textId="77777777" w:rsidR="000A222B" w:rsidRP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p>
    <w:p w14:paraId="09CF2493" w14:textId="7BA30273" w:rsidR="00A55D14" w:rsidRPr="000A222B" w:rsidRDefault="000A222B" w:rsidP="000A222B">
      <w:pPr>
        <w:spacing w:after="0" w:line="240" w:lineRule="auto"/>
        <w:ind w:left="567" w:right="567"/>
        <w:jc w:val="both"/>
        <w:rPr>
          <w:rFonts w:ascii="Palatino Linotype" w:eastAsia="Times New Roman" w:hAnsi="Palatino Linotype" w:cs="Times New Roman"/>
          <w:bCs/>
          <w:i/>
          <w:szCs w:val="24"/>
          <w:lang w:val="es-ES" w:eastAsia="es-ES"/>
        </w:rPr>
      </w:pPr>
      <w:r w:rsidRPr="000A222B">
        <w:rPr>
          <w:rFonts w:ascii="Palatino Linotype" w:eastAsia="Times New Roman" w:hAnsi="Palatino Linotype" w:cs="Times New Roman"/>
          <w:bCs/>
          <w:i/>
          <w:szCs w:val="24"/>
          <w:lang w:val="es-ES" w:eastAsia="es-ES"/>
        </w:rPr>
        <w:t>Los sujetos obligados buscarán en todo momento que la información generada tenga un lenguaje sencillo para cualquier persona y se procurará, en la medida de lo posible, traducción a lenguas indígenas, principalmente de aquellas con que se cuenta en el Estado de México.” [Sic]</w:t>
      </w:r>
    </w:p>
    <w:p w14:paraId="364DC61D" w14:textId="15D5795C" w:rsidR="00A55D14" w:rsidRDefault="00A55D14" w:rsidP="00C429B1">
      <w:pPr>
        <w:spacing w:after="0" w:line="240" w:lineRule="auto"/>
        <w:ind w:right="616"/>
        <w:rPr>
          <w:rFonts w:ascii="Palatino Linotype" w:eastAsia="Times New Roman" w:hAnsi="Palatino Linotype" w:cs="Times New Roman"/>
          <w:bCs/>
          <w:szCs w:val="24"/>
          <w:lang w:val="es-ES" w:eastAsia="es-ES"/>
        </w:rPr>
      </w:pPr>
    </w:p>
    <w:p w14:paraId="33E85454" w14:textId="77777777" w:rsidR="00623D1A" w:rsidRDefault="00623D1A" w:rsidP="00A65002">
      <w:pPr>
        <w:spacing w:after="0" w:line="360" w:lineRule="auto"/>
        <w:jc w:val="both"/>
        <w:rPr>
          <w:rFonts w:ascii="Palatino Linotype" w:eastAsia="Times New Roman" w:hAnsi="Palatino Linotype" w:cs="Times New Roman"/>
          <w:bCs/>
          <w:sz w:val="24"/>
          <w:szCs w:val="24"/>
          <w:lang w:val="es-ES" w:eastAsia="es-ES"/>
        </w:rPr>
      </w:pPr>
    </w:p>
    <w:p w14:paraId="48D32DE0" w14:textId="09844F71" w:rsidR="00A65002" w:rsidRPr="00623D1A" w:rsidRDefault="00A65002" w:rsidP="00A65002">
      <w:pPr>
        <w:spacing w:after="0" w:line="360" w:lineRule="auto"/>
        <w:jc w:val="both"/>
        <w:rPr>
          <w:rFonts w:ascii="Palatino Linotype" w:eastAsia="Times New Roman" w:hAnsi="Palatino Linotype" w:cs="Times New Roman"/>
          <w:bCs/>
          <w:sz w:val="24"/>
          <w:szCs w:val="24"/>
          <w:lang w:val="es-ES" w:eastAsia="es-ES"/>
        </w:rPr>
      </w:pPr>
      <w:r w:rsidRPr="00623D1A">
        <w:rPr>
          <w:rFonts w:ascii="Palatino Linotype" w:eastAsia="Times New Roman" w:hAnsi="Palatino Linotype" w:cs="Times New Roman"/>
          <w:bCs/>
          <w:sz w:val="24"/>
          <w:szCs w:val="24"/>
          <w:lang w:val="es-ES" w:eastAsia="es-ES"/>
        </w:rPr>
        <w:t xml:space="preserve">Por lo que hace a las causas de sobreseimiento contenidas en el </w:t>
      </w:r>
      <w:r w:rsidRPr="00623D1A">
        <w:rPr>
          <w:rFonts w:ascii="Palatino Linotype" w:eastAsia="Times New Roman" w:hAnsi="Palatino Linotype" w:cs="Times New Roman"/>
          <w:b/>
          <w:bCs/>
          <w:sz w:val="24"/>
          <w:szCs w:val="24"/>
          <w:lang w:val="es-ES" w:eastAsia="es-ES"/>
        </w:rPr>
        <w:t>artículo 192</w:t>
      </w:r>
      <w:r w:rsidRPr="00623D1A">
        <w:rPr>
          <w:rFonts w:ascii="Palatino Linotype" w:eastAsia="Times New Roman" w:hAnsi="Palatino Linotype" w:cs="Times New Roman"/>
          <w:bCs/>
          <w:sz w:val="24"/>
          <w:szCs w:val="24"/>
          <w:lang w:val="es-ES" w:eastAsia="es-ES"/>
        </w:rPr>
        <w:t xml:space="preserve"> </w:t>
      </w:r>
      <w:r w:rsidRPr="00623D1A">
        <w:rPr>
          <w:rFonts w:ascii="Palatino Linotype" w:eastAsia="Times New Roman" w:hAnsi="Palatino Linotype" w:cs="Times New Roman"/>
          <w:b/>
          <w:bCs/>
          <w:sz w:val="24"/>
          <w:szCs w:val="24"/>
          <w:lang w:val="es-ES" w:eastAsia="es-ES"/>
        </w:rPr>
        <w:t>de la Ley de Transparencia y Acceso a la Información Pública del Estado de México y Municipios</w:t>
      </w:r>
      <w:r w:rsidRPr="00623D1A">
        <w:rPr>
          <w:rFonts w:ascii="Palatino Linotype" w:eastAsia="Times New Roman" w:hAnsi="Palatino Linotype" w:cs="Times New Roman"/>
          <w:bCs/>
          <w:sz w:val="24"/>
          <w:szCs w:val="24"/>
          <w:lang w:val="es-ES" w:eastAsia="es-ES"/>
        </w:rPr>
        <w:t xml:space="preserve">, es oportuno señalar que estos requisitos privilegian la existencia de elementos de fondo, tales como el desistimiento o fallecimiento del Recurrente, que el Sujeto Obligado modifique el acto, o que admitido el recurso de revisión, aparezca alguna causal de improcedencia en los términos de la ley, de ahí que la actualización de alguno de éstos trae como consecuencia que el medio de impugnación se concluya sin que se analice el objeto de estudio planteado, es decir se sobresea. </w:t>
      </w:r>
    </w:p>
    <w:p w14:paraId="64FC313A" w14:textId="77777777" w:rsidR="00A65002" w:rsidRDefault="00A65002" w:rsidP="00A65002">
      <w:pPr>
        <w:spacing w:after="0" w:line="360" w:lineRule="auto"/>
        <w:jc w:val="both"/>
        <w:rPr>
          <w:rFonts w:ascii="Palatino Linotype" w:eastAsia="Times New Roman" w:hAnsi="Palatino Linotype" w:cs="Times New Roman"/>
          <w:bCs/>
          <w:szCs w:val="24"/>
          <w:lang w:val="es-ES" w:eastAsia="es-ES"/>
        </w:rPr>
      </w:pPr>
    </w:p>
    <w:p w14:paraId="399D7C9D" w14:textId="608B8F10" w:rsidR="00A65002" w:rsidRPr="00623D1A" w:rsidRDefault="00A65002" w:rsidP="00A65002">
      <w:pPr>
        <w:spacing w:after="0" w:line="360" w:lineRule="auto"/>
        <w:jc w:val="both"/>
        <w:rPr>
          <w:rFonts w:ascii="Palatino Linotype" w:eastAsia="Times New Roman" w:hAnsi="Palatino Linotype" w:cs="Times New Roman"/>
          <w:bCs/>
          <w:sz w:val="24"/>
          <w:szCs w:val="24"/>
          <w:lang w:val="es-ES" w:eastAsia="es-ES"/>
        </w:rPr>
      </w:pPr>
      <w:r w:rsidRPr="00623D1A">
        <w:rPr>
          <w:rFonts w:ascii="Palatino Linotype" w:eastAsia="Times New Roman" w:hAnsi="Palatino Linotype" w:cs="Times New Roman"/>
          <w:bCs/>
          <w:sz w:val="24"/>
          <w:szCs w:val="24"/>
          <w:lang w:val="es-ES" w:eastAsia="es-ES"/>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33A025F" w14:textId="45DDA15D" w:rsidR="00A65002" w:rsidRDefault="00A65002" w:rsidP="00A65002">
      <w:pPr>
        <w:spacing w:after="0" w:line="240" w:lineRule="auto"/>
        <w:ind w:right="616"/>
        <w:rPr>
          <w:rFonts w:ascii="Palatino Linotype" w:eastAsia="Times New Roman" w:hAnsi="Palatino Linotype" w:cs="Times New Roman"/>
          <w:bCs/>
          <w:szCs w:val="24"/>
          <w:lang w:val="es-ES" w:eastAsia="es-ES"/>
        </w:rPr>
      </w:pPr>
    </w:p>
    <w:p w14:paraId="0BEFA8CA" w14:textId="337E9F84" w:rsidR="00A65002" w:rsidRDefault="00A65002" w:rsidP="00A65002">
      <w:pPr>
        <w:spacing w:after="0" w:line="240" w:lineRule="auto"/>
        <w:ind w:left="567" w:right="567"/>
        <w:jc w:val="both"/>
        <w:rPr>
          <w:rFonts w:ascii="Palatino Linotype" w:eastAsia="Times New Roman" w:hAnsi="Palatino Linotype" w:cs="Times New Roman"/>
          <w:b/>
          <w:bCs/>
          <w:i/>
          <w:szCs w:val="24"/>
          <w:lang w:val="es-ES" w:eastAsia="es-ES"/>
        </w:rPr>
      </w:pPr>
      <w:r w:rsidRPr="00A65002">
        <w:rPr>
          <w:rFonts w:ascii="Palatino Linotype" w:eastAsia="Times New Roman" w:hAnsi="Palatino Linotype" w:cs="Times New Roman"/>
          <w:bCs/>
          <w:i/>
          <w:szCs w:val="24"/>
          <w:lang w:val="es-ES" w:eastAsia="es-ES"/>
        </w:rPr>
        <w:t>“</w:t>
      </w:r>
      <w:r w:rsidRPr="00A65002">
        <w:rPr>
          <w:rFonts w:ascii="Palatino Linotype" w:eastAsia="Times New Roman" w:hAnsi="Palatino Linotype" w:cs="Times New Roman"/>
          <w:b/>
          <w:bCs/>
          <w:i/>
          <w:szCs w:val="24"/>
          <w:lang w:val="es-ES" w:eastAsia="es-ES"/>
        </w:rPr>
        <w:t>SOBRESEIMIENTO EN EL JUICIO DE AMPARO DIRECTO. IMPIDE EL ESTUDIO DE LAS VIOLACIONES PROCESALES PLANTEADAS EN LOS CONCEPTOS DE VIOLACIÓN.</w:t>
      </w:r>
    </w:p>
    <w:p w14:paraId="1BBA5908" w14:textId="77777777" w:rsidR="00A65002" w:rsidRPr="00A65002" w:rsidRDefault="00A65002" w:rsidP="00A65002">
      <w:pPr>
        <w:spacing w:after="0" w:line="240" w:lineRule="auto"/>
        <w:ind w:left="567" w:right="567"/>
        <w:jc w:val="both"/>
        <w:rPr>
          <w:rFonts w:ascii="Palatino Linotype" w:eastAsia="Times New Roman" w:hAnsi="Palatino Linotype" w:cs="Times New Roman"/>
          <w:bCs/>
          <w:i/>
          <w:szCs w:val="24"/>
          <w:lang w:val="es-ES" w:eastAsia="es-ES"/>
        </w:rPr>
      </w:pPr>
    </w:p>
    <w:p w14:paraId="56ABD684" w14:textId="77777777" w:rsidR="00A65002" w:rsidRDefault="00A65002" w:rsidP="00A65002">
      <w:pPr>
        <w:spacing w:after="0" w:line="240" w:lineRule="auto"/>
        <w:ind w:left="567" w:right="567"/>
        <w:jc w:val="both"/>
        <w:rPr>
          <w:rFonts w:ascii="Palatino Linotype" w:eastAsia="Times New Roman" w:hAnsi="Palatino Linotype" w:cs="Times New Roman"/>
          <w:bCs/>
          <w:i/>
          <w:szCs w:val="24"/>
          <w:lang w:val="es-ES" w:eastAsia="es-ES"/>
        </w:rPr>
      </w:pPr>
      <w:r w:rsidRPr="00A65002">
        <w:rPr>
          <w:rFonts w:ascii="Palatino Linotype" w:eastAsia="Times New Roman" w:hAnsi="Palatino Linotype" w:cs="Times New Roman"/>
          <w:bCs/>
          <w:i/>
          <w:szCs w:val="24"/>
          <w:lang w:val="es-ES" w:eastAsia="es-ES"/>
        </w:rPr>
        <w:t xml:space="preserve">El sobreseimiento en el juicio de amparo directo provoca la terminación de la controversia planteada por el quejoso en la demanda de amparo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 </w:t>
      </w:r>
    </w:p>
    <w:p w14:paraId="042AF194" w14:textId="6A9AFB69" w:rsidR="00A65002" w:rsidRPr="00A65002" w:rsidRDefault="00A65002" w:rsidP="00A65002">
      <w:pPr>
        <w:spacing w:after="0" w:line="240" w:lineRule="auto"/>
        <w:ind w:left="567" w:right="567"/>
        <w:jc w:val="both"/>
        <w:rPr>
          <w:rFonts w:ascii="Palatino Linotype" w:eastAsia="Times New Roman" w:hAnsi="Palatino Linotype" w:cs="Times New Roman"/>
          <w:bCs/>
          <w:i/>
          <w:szCs w:val="24"/>
          <w:lang w:val="es-ES" w:eastAsia="es-ES"/>
        </w:rPr>
      </w:pPr>
      <w:r w:rsidRPr="00A65002">
        <w:rPr>
          <w:rFonts w:ascii="Palatino Linotype" w:eastAsia="Times New Roman" w:hAnsi="Palatino Linotype" w:cs="Times New Roman"/>
          <w:bCs/>
          <w:i/>
          <w:szCs w:val="24"/>
          <w:lang w:val="es-ES" w:eastAsia="es-ES"/>
        </w:rPr>
        <w:t xml:space="preserve"> </w:t>
      </w:r>
    </w:p>
    <w:p w14:paraId="7E8263F9" w14:textId="0BF6996B" w:rsidR="00A65002" w:rsidRDefault="00A65002" w:rsidP="00A65002">
      <w:pPr>
        <w:spacing w:after="0" w:line="240" w:lineRule="auto"/>
        <w:ind w:left="567" w:right="567"/>
        <w:jc w:val="both"/>
        <w:rPr>
          <w:rFonts w:ascii="Palatino Linotype" w:eastAsia="Times New Roman" w:hAnsi="Palatino Linotype" w:cs="Times New Roman"/>
          <w:bCs/>
          <w:i/>
          <w:szCs w:val="24"/>
          <w:lang w:val="es-ES" w:eastAsia="es-ES"/>
        </w:rPr>
      </w:pPr>
      <w:r w:rsidRPr="00A65002">
        <w:rPr>
          <w:rFonts w:ascii="Palatino Linotype" w:eastAsia="Times New Roman" w:hAnsi="Palatino Linotype" w:cs="Times New Roman"/>
          <w:b/>
          <w:bCs/>
          <w:i/>
          <w:szCs w:val="24"/>
          <w:lang w:val="es-ES" w:eastAsia="es-ES"/>
        </w:rPr>
        <w:t>SÉPTIMO TRIBUNAL COLEGIADO EN MATERIA CIVIL DEL PRIMER CIRCUITO</w:t>
      </w:r>
      <w:r w:rsidRPr="00A65002">
        <w:rPr>
          <w:rFonts w:ascii="Palatino Linotype" w:eastAsia="Times New Roman" w:hAnsi="Palatino Linotype" w:cs="Times New Roman"/>
          <w:bCs/>
          <w:i/>
          <w:szCs w:val="24"/>
          <w:lang w:val="es-ES" w:eastAsia="es-ES"/>
        </w:rPr>
        <w:t>.</w:t>
      </w:r>
    </w:p>
    <w:p w14:paraId="0E6863A2" w14:textId="77777777" w:rsidR="00A65002" w:rsidRPr="00A65002" w:rsidRDefault="00A65002" w:rsidP="00A65002">
      <w:pPr>
        <w:spacing w:after="0" w:line="240" w:lineRule="auto"/>
        <w:ind w:left="567" w:right="567"/>
        <w:jc w:val="both"/>
        <w:rPr>
          <w:rFonts w:ascii="Palatino Linotype" w:eastAsia="Times New Roman" w:hAnsi="Palatino Linotype" w:cs="Times New Roman"/>
          <w:bCs/>
          <w:i/>
          <w:szCs w:val="24"/>
          <w:lang w:val="es-ES" w:eastAsia="es-ES"/>
        </w:rPr>
      </w:pPr>
    </w:p>
    <w:p w14:paraId="628443B3" w14:textId="6B4243E9" w:rsidR="00A65002" w:rsidRPr="00A65002" w:rsidRDefault="00A65002" w:rsidP="00A65002">
      <w:pPr>
        <w:spacing w:after="0" w:line="240" w:lineRule="auto"/>
        <w:ind w:left="567" w:right="567"/>
        <w:jc w:val="both"/>
        <w:rPr>
          <w:rFonts w:ascii="Palatino Linotype" w:eastAsia="Times New Roman" w:hAnsi="Palatino Linotype" w:cs="Times New Roman"/>
          <w:bCs/>
          <w:i/>
          <w:szCs w:val="24"/>
          <w:lang w:val="es-ES" w:eastAsia="es-ES"/>
        </w:rPr>
      </w:pPr>
      <w:r w:rsidRPr="00A65002">
        <w:rPr>
          <w:rFonts w:ascii="Palatino Linotype" w:eastAsia="Times New Roman" w:hAnsi="Palatino Linotype" w:cs="Times New Roman"/>
          <w:bCs/>
          <w:i/>
          <w:szCs w:val="24"/>
          <w:lang w:val="es-ES" w:eastAsia="es-ES"/>
        </w:rPr>
        <w:t>Amparo directo 699/2008. Mariana Leticia González Steele. 13 de noviembre de 2008. Unanimidad de votos. Ponente: Sara Judith Montalvo Trejo. Secretario: Arnulfo Mateos García.” [Sic]</w:t>
      </w:r>
    </w:p>
    <w:p w14:paraId="0E00A5B7" w14:textId="2438516E" w:rsidR="00A65002" w:rsidRDefault="00A65002" w:rsidP="00A65002">
      <w:pPr>
        <w:spacing w:after="0" w:line="240" w:lineRule="auto"/>
        <w:ind w:left="567" w:right="567"/>
        <w:rPr>
          <w:rFonts w:ascii="Palatino Linotype" w:eastAsia="Times New Roman" w:hAnsi="Palatino Linotype" w:cs="Times New Roman"/>
          <w:bCs/>
          <w:szCs w:val="24"/>
          <w:lang w:val="es-ES" w:eastAsia="es-ES"/>
        </w:rPr>
      </w:pPr>
    </w:p>
    <w:p w14:paraId="1F98AF05" w14:textId="0F9131A9" w:rsidR="00A65002" w:rsidRDefault="00A65002" w:rsidP="00A65002">
      <w:pPr>
        <w:spacing w:after="0" w:line="240" w:lineRule="auto"/>
        <w:ind w:right="616"/>
        <w:rPr>
          <w:rFonts w:ascii="Palatino Linotype" w:eastAsia="Times New Roman" w:hAnsi="Palatino Linotype" w:cs="Times New Roman"/>
          <w:bCs/>
          <w:szCs w:val="24"/>
          <w:lang w:val="es-ES" w:eastAsia="es-ES"/>
        </w:rPr>
      </w:pPr>
    </w:p>
    <w:p w14:paraId="369D8689" w14:textId="77DB0464" w:rsidR="00073653" w:rsidRDefault="00073653" w:rsidP="00073653">
      <w:pPr>
        <w:spacing w:after="0" w:line="360" w:lineRule="auto"/>
        <w:jc w:val="both"/>
        <w:rPr>
          <w:rFonts w:ascii="Palatino Linotype" w:eastAsia="Times New Roman" w:hAnsi="Palatino Linotype" w:cs="Times New Roman"/>
          <w:bCs/>
          <w:sz w:val="24"/>
          <w:szCs w:val="24"/>
          <w:lang w:val="es-ES" w:eastAsia="es-ES"/>
        </w:rPr>
      </w:pPr>
      <w:r w:rsidRPr="00073653">
        <w:rPr>
          <w:rFonts w:ascii="Palatino Linotype" w:eastAsia="Times New Roman" w:hAnsi="Palatino Linotype" w:cs="Times New Roman"/>
          <w:bCs/>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73653">
        <w:rPr>
          <w:rFonts w:ascii="Palatino Linotype" w:eastAsia="Times New Roman" w:hAnsi="Palatino Linotype" w:cs="Times New Roman"/>
          <w:b/>
          <w:bCs/>
          <w:sz w:val="24"/>
          <w:szCs w:val="24"/>
          <w:lang w:val="es-ES" w:eastAsia="es-ES"/>
        </w:rPr>
        <w:t>artículo 192 de la Ley de Transparencia y Acceso a la Información Pública del Estado de México y Municipios</w:t>
      </w:r>
      <w:r w:rsidRPr="00073653">
        <w:rPr>
          <w:rFonts w:ascii="Palatino Linotype" w:eastAsia="Times New Roman" w:hAnsi="Palatino Linotype" w:cs="Times New Roman"/>
          <w:bCs/>
          <w:sz w:val="24"/>
          <w:szCs w:val="24"/>
          <w:lang w:val="es-ES" w:eastAsia="es-ES"/>
        </w:rPr>
        <w:t xml:space="preserve">, nos encontramos ante un sobreseimiento definitivo toda vez que pone fin al procedimiento sin entrar al estudio de fondo del mismo. </w:t>
      </w:r>
    </w:p>
    <w:p w14:paraId="28445C4D" w14:textId="77777777" w:rsidR="00073653" w:rsidRPr="00073653" w:rsidRDefault="00073653" w:rsidP="00073653">
      <w:pPr>
        <w:spacing w:after="0" w:line="360" w:lineRule="auto"/>
        <w:jc w:val="both"/>
        <w:rPr>
          <w:rFonts w:ascii="Palatino Linotype" w:eastAsia="Times New Roman" w:hAnsi="Palatino Linotype" w:cs="Times New Roman"/>
          <w:bCs/>
          <w:sz w:val="24"/>
          <w:szCs w:val="24"/>
          <w:lang w:val="es-ES" w:eastAsia="es-ES"/>
        </w:rPr>
      </w:pPr>
    </w:p>
    <w:p w14:paraId="543EF3F6" w14:textId="4ADC2750" w:rsidR="00073653" w:rsidRPr="00073653" w:rsidRDefault="00073653" w:rsidP="00073653">
      <w:pPr>
        <w:spacing w:after="0" w:line="360" w:lineRule="auto"/>
        <w:jc w:val="both"/>
        <w:rPr>
          <w:rFonts w:ascii="Palatino Linotype" w:eastAsia="Times New Roman" w:hAnsi="Palatino Linotype" w:cs="Times New Roman"/>
          <w:b/>
          <w:bCs/>
          <w:sz w:val="24"/>
          <w:szCs w:val="24"/>
          <w:lang w:val="es-ES" w:eastAsia="es-ES"/>
        </w:rPr>
      </w:pPr>
      <w:r w:rsidRPr="00073653">
        <w:rPr>
          <w:rFonts w:ascii="Palatino Linotype" w:eastAsia="Times New Roman" w:hAnsi="Palatino Linotype" w:cs="Times New Roman"/>
          <w:b/>
          <w:bCs/>
          <w:sz w:val="24"/>
          <w:szCs w:val="24"/>
          <w:lang w:val="es-ES" w:eastAsia="es-ES"/>
        </w:rPr>
        <w:t>Para los efectos de esta resolución, resulta oportuno precisar la improcedencia del recurso por no actualizar alguno de los supuestos previstos en la ley de transparencia, por impugnar la veracidad, y por tratarse de una consulta (Artículo 191, fracciones III, V y VI y 192, fracción IV de la Ley de Transparencia local)</w:t>
      </w:r>
    </w:p>
    <w:p w14:paraId="7ADD042F" w14:textId="77777777" w:rsidR="00073653" w:rsidRPr="00073653" w:rsidRDefault="00073653" w:rsidP="00073653">
      <w:pPr>
        <w:spacing w:after="0" w:line="360" w:lineRule="auto"/>
        <w:jc w:val="both"/>
        <w:rPr>
          <w:rFonts w:ascii="Palatino Linotype" w:eastAsia="Times New Roman" w:hAnsi="Palatino Linotype" w:cs="Times New Roman"/>
          <w:bCs/>
          <w:sz w:val="24"/>
          <w:szCs w:val="24"/>
          <w:lang w:val="es-ES" w:eastAsia="es-ES"/>
        </w:rPr>
      </w:pPr>
    </w:p>
    <w:p w14:paraId="502ADDC3" w14:textId="6D1BBB86" w:rsidR="00A65002" w:rsidRDefault="00073653" w:rsidP="00073653">
      <w:pPr>
        <w:spacing w:after="0" w:line="360" w:lineRule="auto"/>
        <w:jc w:val="both"/>
        <w:rPr>
          <w:rFonts w:ascii="Palatino Linotype" w:eastAsia="Times New Roman" w:hAnsi="Palatino Linotype" w:cs="Times New Roman"/>
          <w:bCs/>
          <w:sz w:val="24"/>
          <w:szCs w:val="24"/>
          <w:lang w:val="es-ES" w:eastAsia="es-ES"/>
        </w:rPr>
      </w:pPr>
      <w:r w:rsidRPr="00073653">
        <w:rPr>
          <w:rFonts w:ascii="Palatino Linotype" w:eastAsia="Times New Roman" w:hAnsi="Palatino Linotype" w:cs="Times New Roman"/>
          <w:bCs/>
          <w:sz w:val="24"/>
          <w:szCs w:val="24"/>
          <w:lang w:val="es-ES" w:eastAsia="es-ES"/>
        </w:rPr>
        <w:t xml:space="preserve">Bajo este contexto, cobra particular relevancia la corriente que emana de la Segunda Sala de la Suprema Corte de Justicia de la Nación, a través de la jurisprudencia con número de registro digital </w:t>
      </w:r>
      <w:r w:rsidRPr="00073653">
        <w:rPr>
          <w:rFonts w:ascii="Palatino Linotype" w:eastAsia="Times New Roman" w:hAnsi="Palatino Linotype" w:cs="Times New Roman"/>
          <w:b/>
          <w:bCs/>
          <w:sz w:val="24"/>
          <w:szCs w:val="24"/>
          <w:lang w:val="es-ES" w:eastAsia="es-ES"/>
        </w:rPr>
        <w:t>195744</w:t>
      </w:r>
      <w:r w:rsidRPr="00073653">
        <w:rPr>
          <w:rFonts w:ascii="Palatino Linotype" w:eastAsia="Times New Roman" w:hAnsi="Palatino Linotype" w:cs="Times New Roman"/>
          <w:bCs/>
          <w:sz w:val="24"/>
          <w:szCs w:val="24"/>
          <w:lang w:val="es-ES" w:eastAsia="es-ES"/>
        </w:rPr>
        <w:t xml:space="preserve"> de la Novena Época, visible en el Semanario Judicial de la Federación y su Gaceta, Tomo VIII, de agosto de 1998, tesis 2a/J. 54/98 en materia común, en la que se establece lo siguiente:</w:t>
      </w:r>
    </w:p>
    <w:p w14:paraId="5BF5F9FD" w14:textId="77777777" w:rsidR="00073653" w:rsidRPr="00073653" w:rsidRDefault="00073653" w:rsidP="00073653">
      <w:pPr>
        <w:spacing w:after="0" w:line="360" w:lineRule="auto"/>
        <w:jc w:val="both"/>
        <w:rPr>
          <w:rFonts w:ascii="Palatino Linotype" w:eastAsia="Times New Roman" w:hAnsi="Palatino Linotype" w:cs="Times New Roman"/>
          <w:bCs/>
          <w:sz w:val="24"/>
          <w:szCs w:val="24"/>
          <w:lang w:val="es-ES" w:eastAsia="es-ES"/>
        </w:rPr>
      </w:pPr>
    </w:p>
    <w:p w14:paraId="390F7F2F" w14:textId="2E04F7D0" w:rsid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r w:rsidRPr="00073653">
        <w:rPr>
          <w:rFonts w:ascii="Palatino Linotype" w:eastAsia="Times New Roman" w:hAnsi="Palatino Linotype" w:cs="Times New Roman"/>
          <w:bCs/>
          <w:i/>
          <w:szCs w:val="24"/>
          <w:lang w:val="es-ES" w:eastAsia="es-ES"/>
        </w:rPr>
        <w:t>“</w:t>
      </w:r>
      <w:r w:rsidRPr="00073653">
        <w:rPr>
          <w:rFonts w:ascii="Palatino Linotype" w:eastAsia="Times New Roman" w:hAnsi="Palatino Linotype" w:cs="Times New Roman"/>
          <w:b/>
          <w:bCs/>
          <w:i/>
          <w:szCs w:val="24"/>
          <w:lang w:val="es-ES" w:eastAsia="es-ES"/>
        </w:rPr>
        <w:t>SOBRESEIMIENTO. BASTA EL ESTUDIO DE UNA SOLA CAUSAL DE IMPROCEDENCIA.</w:t>
      </w:r>
    </w:p>
    <w:p w14:paraId="0FA3A73B" w14:textId="77777777" w:rsidR="00073653" w:rsidRP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p>
    <w:p w14:paraId="228EEED0" w14:textId="77777777" w:rsidR="00073653" w:rsidRP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r w:rsidRPr="00073653">
        <w:rPr>
          <w:rFonts w:ascii="Palatino Linotype" w:eastAsia="Times New Roman" w:hAnsi="Palatino Linotype" w:cs="Times New Roman"/>
          <w:bCs/>
          <w:i/>
          <w:szCs w:val="24"/>
          <w:lang w:val="es-ES" w:eastAsia="es-ES"/>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606C7901" w14:textId="05C59B4A" w:rsid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r w:rsidRPr="00073653">
        <w:rPr>
          <w:rFonts w:ascii="Palatino Linotype" w:eastAsia="Times New Roman" w:hAnsi="Palatino Linotype" w:cs="Times New Roman"/>
          <w:bCs/>
          <w:i/>
          <w:szCs w:val="24"/>
          <w:lang w:val="es-ES" w:eastAsia="es-ES"/>
        </w:rPr>
        <w:t>Amparo en revisión 7488/81. Maximino Juárez Miguel (Poblado de San Francisco Jaltepetongo, Municipio del mismo nombre, Estado de Oaxaca. Acumulados). 29 de noviembre de 1982. Cinco votos. Ponente: Carlos del Río Rodríguez. Secretario: Wilfrido Castañón León.</w:t>
      </w:r>
    </w:p>
    <w:p w14:paraId="08E325A7" w14:textId="77777777" w:rsidR="00073653" w:rsidRP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p>
    <w:p w14:paraId="3C6AF43B" w14:textId="1F633F0D" w:rsid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r w:rsidRPr="00073653">
        <w:rPr>
          <w:rFonts w:ascii="Palatino Linotype" w:eastAsia="Times New Roman" w:hAnsi="Palatino Linotype" w:cs="Times New Roman"/>
          <w:bCs/>
          <w:i/>
          <w:szCs w:val="24"/>
          <w:lang w:val="es-ES" w:eastAsia="es-ES"/>
        </w:rPr>
        <w:t>Amparo en revisión 540/97. Bancomer, S.A., Institución de Banca Múltiple y Grupo Financiero. 30 de enero de 1998. Cinco votos. Ponente: Sergio Salvador Aguirre Anguiano. Secretaria: Alma Delia Aguilar Chávez Nava.</w:t>
      </w:r>
    </w:p>
    <w:p w14:paraId="3D768993" w14:textId="25BFB622" w:rsid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p>
    <w:p w14:paraId="46BB0B18" w14:textId="77777777" w:rsidR="00073653" w:rsidRP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p>
    <w:p w14:paraId="6E283F3E" w14:textId="5435CA15" w:rsid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r w:rsidRPr="00073653">
        <w:rPr>
          <w:rFonts w:ascii="Palatino Linotype" w:eastAsia="Times New Roman" w:hAnsi="Palatino Linotype" w:cs="Times New Roman"/>
          <w:bCs/>
          <w:i/>
          <w:szCs w:val="24"/>
          <w:lang w:val="es-ES" w:eastAsia="es-ES"/>
        </w:rPr>
        <w:t>Amparo en revisión 3059/97. Francisco Cañedo Zavaleta. 30 de enero de 1998. Cinco votos. Ponente: Sergio Salvador Aguirre Anguiano. Secretaria: Adela Domínguez Salazar.</w:t>
      </w:r>
    </w:p>
    <w:p w14:paraId="2E9671CE" w14:textId="77777777" w:rsidR="00073653" w:rsidRP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p>
    <w:p w14:paraId="190F1620" w14:textId="6792A2AA" w:rsid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r w:rsidRPr="00073653">
        <w:rPr>
          <w:rFonts w:ascii="Palatino Linotype" w:eastAsia="Times New Roman" w:hAnsi="Palatino Linotype" w:cs="Times New Roman"/>
          <w:bCs/>
          <w:i/>
          <w:szCs w:val="24"/>
          <w:lang w:val="es-ES" w:eastAsia="es-ES"/>
        </w:rPr>
        <w:t>Amparo en revisión 1634/96. Arturo Veana Espinosa. 20 de febrero de 1998. Cinco votos. Ponente: Sergio Salvador Aguirre Anguiano. Secretaria: Adela Domínguez Salazar.</w:t>
      </w:r>
    </w:p>
    <w:p w14:paraId="7F774A37" w14:textId="77777777" w:rsidR="00073653" w:rsidRP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p>
    <w:p w14:paraId="72D092FA" w14:textId="40E0E216" w:rsid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r w:rsidRPr="00073653">
        <w:rPr>
          <w:rFonts w:ascii="Palatino Linotype" w:eastAsia="Times New Roman" w:hAnsi="Palatino Linotype" w:cs="Times New Roman"/>
          <w:bCs/>
          <w:i/>
          <w:szCs w:val="24"/>
          <w:lang w:val="es-ES" w:eastAsia="es-ES"/>
        </w:rPr>
        <w:t>Amparo en revisión 2204/97. De Raffaelo, S.A. de C.V. 27 de mayo de 1998. Cinco votos. Ponente: Juan Díaz Romero. Secretario: Aristeo Martínez Cruz.</w:t>
      </w:r>
    </w:p>
    <w:p w14:paraId="0E4E4A66" w14:textId="77777777" w:rsidR="00073653" w:rsidRP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p>
    <w:p w14:paraId="78B6BDBB" w14:textId="46A37A5B" w:rsidR="00073653" w:rsidRPr="00073653" w:rsidRDefault="00073653" w:rsidP="00073653">
      <w:pPr>
        <w:spacing w:after="0" w:line="240" w:lineRule="auto"/>
        <w:ind w:left="567" w:right="567"/>
        <w:jc w:val="both"/>
        <w:rPr>
          <w:rFonts w:ascii="Palatino Linotype" w:eastAsia="Times New Roman" w:hAnsi="Palatino Linotype" w:cs="Times New Roman"/>
          <w:bCs/>
          <w:i/>
          <w:szCs w:val="24"/>
          <w:lang w:val="es-ES" w:eastAsia="es-ES"/>
        </w:rPr>
      </w:pPr>
      <w:r w:rsidRPr="00073653">
        <w:rPr>
          <w:rFonts w:ascii="Palatino Linotype" w:eastAsia="Times New Roman" w:hAnsi="Palatino Linotype" w:cs="Times New Roman"/>
          <w:bCs/>
          <w:i/>
          <w:szCs w:val="24"/>
          <w:lang w:val="es-ES" w:eastAsia="es-ES"/>
        </w:rPr>
        <w:t>Tesis de jurisprudencia 54/98. Aprobada por la Segunda Sala de este Alto Tribunal, en sesión privada del veintiséis de junio de mil novecientos noventa y ocho.</w:t>
      </w:r>
      <w:r w:rsidRPr="00073653">
        <w:rPr>
          <w:rFonts w:ascii="Palatino Linotype" w:eastAsia="Times New Roman" w:hAnsi="Palatino Linotype" w:cs="Times New Roman"/>
          <w:b/>
          <w:bCs/>
          <w:i/>
          <w:szCs w:val="24"/>
          <w:lang w:val="es-ES" w:eastAsia="es-ES"/>
        </w:rPr>
        <w:t>” [Sic]</w:t>
      </w:r>
    </w:p>
    <w:p w14:paraId="34C39160" w14:textId="3CE86844" w:rsidR="00073653" w:rsidRDefault="00073653" w:rsidP="00073653">
      <w:pPr>
        <w:spacing w:after="0" w:line="240" w:lineRule="auto"/>
        <w:ind w:right="616"/>
        <w:rPr>
          <w:rFonts w:ascii="Palatino Linotype" w:eastAsia="Times New Roman" w:hAnsi="Palatino Linotype" w:cs="Times New Roman"/>
          <w:bCs/>
          <w:szCs w:val="24"/>
          <w:lang w:val="es-ES" w:eastAsia="es-ES"/>
        </w:rPr>
      </w:pPr>
    </w:p>
    <w:p w14:paraId="76D21EC4" w14:textId="4233B3F3" w:rsidR="00BC48A8" w:rsidRDefault="00BC48A8" w:rsidP="00BC48A8">
      <w:pPr>
        <w:spacing w:after="0" w:line="360" w:lineRule="auto"/>
        <w:jc w:val="both"/>
        <w:rPr>
          <w:rFonts w:ascii="Palatino Linotype" w:eastAsia="Times New Roman" w:hAnsi="Palatino Linotype" w:cs="Times New Roman"/>
          <w:bCs/>
          <w:sz w:val="24"/>
          <w:szCs w:val="24"/>
          <w:lang w:val="es-ES" w:eastAsia="es-ES"/>
        </w:rPr>
      </w:pPr>
      <w:r w:rsidRPr="00BC48A8">
        <w:rPr>
          <w:rFonts w:ascii="Palatino Linotype" w:eastAsia="Times New Roman" w:hAnsi="Palatino Linotype" w:cs="Times New Roman"/>
          <w:bCs/>
          <w:sz w:val="24"/>
          <w:szCs w:val="24"/>
          <w:lang w:val="es-ES" w:eastAsia="es-ES"/>
        </w:rPr>
        <w:t>De manera complementaria, para delimitar los alcances jurídicos de la fracción III del artículo 191 de la Ley de Transparencia local procede el sobreseimiento del recurso de revisión cuando:</w:t>
      </w:r>
    </w:p>
    <w:p w14:paraId="548B4DD0" w14:textId="77777777" w:rsidR="00BC48A8" w:rsidRDefault="00BC48A8" w:rsidP="00BC48A8">
      <w:pPr>
        <w:spacing w:after="0" w:line="360" w:lineRule="auto"/>
        <w:jc w:val="both"/>
        <w:rPr>
          <w:rFonts w:ascii="Palatino Linotype" w:eastAsia="Times New Roman" w:hAnsi="Palatino Linotype" w:cs="Times New Roman"/>
          <w:bCs/>
          <w:sz w:val="24"/>
          <w:szCs w:val="24"/>
          <w:lang w:val="es-ES" w:eastAsia="es-ES"/>
        </w:rPr>
      </w:pPr>
    </w:p>
    <w:p w14:paraId="75F3366B" w14:textId="4BC1542D" w:rsidR="00BC48A8" w:rsidRPr="00BC48A8" w:rsidRDefault="00BC48A8" w:rsidP="00BC48A8">
      <w:pPr>
        <w:spacing w:after="0" w:line="360" w:lineRule="auto"/>
        <w:ind w:left="567" w:right="567"/>
        <w:jc w:val="both"/>
        <w:rPr>
          <w:rFonts w:ascii="Palatino Linotype" w:eastAsia="Times New Roman" w:hAnsi="Palatino Linotype" w:cs="Times New Roman"/>
          <w:bCs/>
          <w:sz w:val="24"/>
          <w:szCs w:val="24"/>
          <w:lang w:val="es-ES" w:eastAsia="es-ES"/>
        </w:rPr>
      </w:pPr>
      <w:r w:rsidRPr="00BC48A8">
        <w:rPr>
          <w:rFonts w:ascii="Palatino Linotype" w:eastAsia="Times New Roman" w:hAnsi="Palatino Linotype" w:cs="Times New Roman"/>
          <w:b/>
          <w:bCs/>
          <w:sz w:val="24"/>
          <w:szCs w:val="24"/>
          <w:u w:val="single"/>
          <w:lang w:val="es-ES" w:eastAsia="es-ES"/>
        </w:rPr>
        <w:t>a) Admitido el recurso de revisión:</w:t>
      </w:r>
      <w:r w:rsidRPr="00BC48A8">
        <w:rPr>
          <w:rFonts w:ascii="Palatino Linotype" w:eastAsia="Times New Roman" w:hAnsi="Palatino Linotype" w:cs="Times New Roman"/>
          <w:bCs/>
          <w:sz w:val="24"/>
          <w:szCs w:val="24"/>
          <w:lang w:val="es-ES" w:eastAsia="es-ES"/>
        </w:rPr>
        <w:t xml:space="preserve"> El primer elemento normativo en el caso en concreto que se resuelve se actualiza, ya que el presente recurso de revisión fue admitido en fecha dieciocho de abril de dos mil veintitrés, es decir, ya aconteció el presupuesto primario que prevé la hipótesis legal, para que está opere.</w:t>
      </w:r>
    </w:p>
    <w:p w14:paraId="0E7B9266" w14:textId="440D2CBD" w:rsidR="00BC48A8" w:rsidRPr="00BC48A8" w:rsidRDefault="00BC48A8" w:rsidP="00BC48A8">
      <w:pPr>
        <w:spacing w:after="0" w:line="360" w:lineRule="auto"/>
        <w:ind w:left="567" w:right="567"/>
        <w:jc w:val="both"/>
        <w:rPr>
          <w:rFonts w:ascii="Palatino Linotype" w:eastAsia="Times New Roman" w:hAnsi="Palatino Linotype" w:cs="Times New Roman"/>
          <w:bCs/>
          <w:sz w:val="24"/>
          <w:szCs w:val="24"/>
          <w:lang w:val="es-ES" w:eastAsia="es-ES"/>
        </w:rPr>
      </w:pPr>
      <w:r w:rsidRPr="00BC48A8">
        <w:rPr>
          <w:rFonts w:ascii="Palatino Linotype" w:eastAsia="Times New Roman" w:hAnsi="Palatino Linotype" w:cs="Times New Roman"/>
          <w:b/>
          <w:bCs/>
          <w:sz w:val="24"/>
          <w:szCs w:val="24"/>
          <w:u w:val="single"/>
          <w:lang w:val="es-ES" w:eastAsia="es-ES"/>
        </w:rPr>
        <w:t xml:space="preserve">b) Aparezca alguna causal de improcedencia: </w:t>
      </w:r>
      <w:r w:rsidRPr="00BC48A8">
        <w:rPr>
          <w:rFonts w:ascii="Palatino Linotype" w:eastAsia="Times New Roman" w:hAnsi="Palatino Linotype" w:cs="Times New Roman"/>
          <w:bCs/>
          <w:sz w:val="24"/>
          <w:szCs w:val="24"/>
          <w:lang w:val="es-ES" w:eastAsia="es-ES"/>
        </w:rPr>
        <w:t xml:space="preserve">En el presente asunto se actualiza tal circunstancia ya que del análisis del expediente en que se actúa se cae en la cuenta de que existe, apareció o estamos ante la presencia de una notoria causal de improcedencia, ya que la garantía secundaria no actualiza alguno de los supuestos de procedencia previstos en la normatividad aplicable. </w:t>
      </w:r>
    </w:p>
    <w:p w14:paraId="35ABF958" w14:textId="754ECA36" w:rsidR="00BC48A8" w:rsidRPr="00BC48A8" w:rsidRDefault="00BC48A8" w:rsidP="00BC48A8">
      <w:pPr>
        <w:spacing w:after="0" w:line="360" w:lineRule="auto"/>
        <w:ind w:left="567" w:right="567"/>
        <w:jc w:val="both"/>
        <w:rPr>
          <w:rFonts w:ascii="Palatino Linotype" w:eastAsia="Times New Roman" w:hAnsi="Palatino Linotype" w:cs="Times New Roman"/>
          <w:bCs/>
          <w:sz w:val="24"/>
          <w:szCs w:val="24"/>
          <w:lang w:val="es-ES" w:eastAsia="es-ES"/>
        </w:rPr>
      </w:pPr>
      <w:r w:rsidRPr="00BC48A8">
        <w:rPr>
          <w:rFonts w:ascii="Palatino Linotype" w:eastAsia="Times New Roman" w:hAnsi="Palatino Linotype" w:cs="Times New Roman"/>
          <w:b/>
          <w:bCs/>
          <w:sz w:val="24"/>
          <w:szCs w:val="24"/>
          <w:u w:val="single"/>
          <w:lang w:val="es-ES" w:eastAsia="es-ES"/>
        </w:rPr>
        <w:t>c) En  los términos de la presente ley:</w:t>
      </w:r>
      <w:r w:rsidRPr="00BC48A8">
        <w:rPr>
          <w:rFonts w:ascii="Palatino Linotype" w:eastAsia="Times New Roman" w:hAnsi="Palatino Linotype" w:cs="Times New Roman"/>
          <w:bCs/>
          <w:sz w:val="24"/>
          <w:szCs w:val="24"/>
          <w:lang w:val="es-ES" w:eastAsia="es-ES"/>
        </w:rPr>
        <w:t xml:space="preserve"> Se considera que también se actualiza dicho elemento normativo en el presente caso, ya que las causales de improcedencia y de sobreseimiento de las que se ha hecho mención en el cuerpo de la presente resolución, de forma muy clara se establecen en la Ley en la materia, sin que se tomaran elementos o requisitos no contempladas en ella, en tal sentido es que en el presente recurso de revisión se actualizaron los elementos normativos que contempla la hipótesis jurídica a continuación inserta.</w:t>
      </w:r>
    </w:p>
    <w:p w14:paraId="218977D7" w14:textId="77777777" w:rsidR="00BC48A8" w:rsidRPr="00BC48A8" w:rsidRDefault="00BC48A8" w:rsidP="00BC48A8">
      <w:pPr>
        <w:spacing w:after="0" w:line="360" w:lineRule="auto"/>
        <w:jc w:val="both"/>
        <w:rPr>
          <w:rFonts w:ascii="Palatino Linotype" w:eastAsia="Times New Roman" w:hAnsi="Palatino Linotype" w:cs="Times New Roman"/>
          <w:bCs/>
          <w:sz w:val="24"/>
          <w:szCs w:val="24"/>
          <w:lang w:val="es-ES" w:eastAsia="es-ES"/>
        </w:rPr>
      </w:pPr>
    </w:p>
    <w:p w14:paraId="3AF4DA69" w14:textId="31C748E6" w:rsidR="00073653" w:rsidRPr="00BC48A8" w:rsidRDefault="00BC48A8" w:rsidP="00BC48A8">
      <w:pPr>
        <w:spacing w:after="0" w:line="360" w:lineRule="auto"/>
        <w:jc w:val="both"/>
        <w:rPr>
          <w:rFonts w:ascii="Palatino Linotype" w:eastAsia="Times New Roman" w:hAnsi="Palatino Linotype" w:cs="Times New Roman"/>
          <w:bCs/>
          <w:sz w:val="24"/>
          <w:szCs w:val="24"/>
          <w:lang w:val="es-ES" w:eastAsia="es-ES"/>
        </w:rPr>
      </w:pPr>
      <w:r w:rsidRPr="00BC48A8">
        <w:rPr>
          <w:rFonts w:ascii="Palatino Linotype" w:eastAsia="Times New Roman" w:hAnsi="Palatino Linotype" w:cs="Times New Roman"/>
          <w:bCs/>
          <w:sz w:val="24"/>
          <w:szCs w:val="24"/>
          <w:lang w:val="es-ES" w:eastAsia="es-ES"/>
        </w:rPr>
        <w:t xml:space="preserve">Podemos concluir entonces, que, en el presente asunto, se actualiza la causal de sobreseimiento prevista en los </w:t>
      </w:r>
      <w:r w:rsidRPr="00623D1A">
        <w:rPr>
          <w:rFonts w:ascii="Palatino Linotype" w:eastAsia="Times New Roman" w:hAnsi="Palatino Linotype" w:cs="Times New Roman"/>
          <w:b/>
          <w:bCs/>
          <w:sz w:val="24"/>
          <w:szCs w:val="24"/>
          <w:lang w:val="es-ES" w:eastAsia="es-ES"/>
        </w:rPr>
        <w:t>artículos 191 fracción III y 192, fracción IV de la Ley de Transparencia y Acceso a información Pública del Estado de México y Municipios,</w:t>
      </w:r>
      <w:r w:rsidRPr="00BC48A8">
        <w:rPr>
          <w:rFonts w:ascii="Palatino Linotype" w:eastAsia="Times New Roman" w:hAnsi="Palatino Linotype" w:cs="Times New Roman"/>
          <w:bCs/>
          <w:sz w:val="24"/>
          <w:szCs w:val="24"/>
          <w:lang w:val="es-ES" w:eastAsia="es-ES"/>
        </w:rPr>
        <w:t xml:space="preserve"> que disponen lo siguiente:</w:t>
      </w:r>
    </w:p>
    <w:p w14:paraId="291B72A2" w14:textId="7FECAB56" w:rsidR="00073653" w:rsidRDefault="00073653" w:rsidP="00073653">
      <w:pPr>
        <w:spacing w:after="0" w:line="240" w:lineRule="auto"/>
        <w:ind w:right="616"/>
        <w:rPr>
          <w:rFonts w:ascii="Palatino Linotype" w:eastAsia="Times New Roman" w:hAnsi="Palatino Linotype" w:cs="Times New Roman"/>
          <w:bCs/>
          <w:szCs w:val="24"/>
          <w:lang w:val="es-ES" w:eastAsia="es-ES"/>
        </w:rPr>
      </w:pPr>
    </w:p>
    <w:p w14:paraId="0FAD2D4F" w14:textId="77777777" w:rsidR="00BC48A8" w:rsidRPr="00BC48A8" w:rsidRDefault="00BC48A8" w:rsidP="00BC48A8">
      <w:pPr>
        <w:spacing w:after="0" w:line="360" w:lineRule="auto"/>
        <w:ind w:left="567" w:right="567"/>
        <w:rPr>
          <w:rFonts w:ascii="Palatino Linotype" w:eastAsia="Times New Roman" w:hAnsi="Palatino Linotype" w:cs="Times New Roman"/>
          <w:bCs/>
          <w:i/>
          <w:szCs w:val="24"/>
          <w:lang w:val="es-ES" w:eastAsia="es-ES"/>
        </w:rPr>
      </w:pPr>
      <w:r w:rsidRPr="00BC48A8">
        <w:rPr>
          <w:rFonts w:ascii="Palatino Linotype" w:eastAsia="Times New Roman" w:hAnsi="Palatino Linotype" w:cs="Times New Roman"/>
          <w:bCs/>
          <w:i/>
          <w:szCs w:val="24"/>
          <w:lang w:val="es-ES" w:eastAsia="es-ES"/>
        </w:rPr>
        <w:t>“</w:t>
      </w:r>
      <w:r w:rsidRPr="00BC48A8">
        <w:rPr>
          <w:rFonts w:ascii="Palatino Linotype" w:eastAsia="Times New Roman" w:hAnsi="Palatino Linotype" w:cs="Times New Roman"/>
          <w:b/>
          <w:bCs/>
          <w:i/>
          <w:szCs w:val="24"/>
          <w:lang w:val="es-ES" w:eastAsia="es-ES"/>
        </w:rPr>
        <w:t>Artículo 191.</w:t>
      </w:r>
      <w:r w:rsidRPr="00BC48A8">
        <w:rPr>
          <w:rFonts w:ascii="Palatino Linotype" w:eastAsia="Times New Roman" w:hAnsi="Palatino Linotype" w:cs="Times New Roman"/>
          <w:bCs/>
          <w:i/>
          <w:szCs w:val="24"/>
          <w:lang w:val="es-ES" w:eastAsia="es-ES"/>
        </w:rPr>
        <w:t xml:space="preserve"> El recurso será desechado por improcedente cuando:</w:t>
      </w:r>
    </w:p>
    <w:p w14:paraId="01AFF889" w14:textId="77777777" w:rsidR="00BC48A8" w:rsidRPr="00BC48A8" w:rsidRDefault="00BC48A8" w:rsidP="00BC48A8">
      <w:pPr>
        <w:spacing w:after="0" w:line="360" w:lineRule="auto"/>
        <w:ind w:left="567" w:right="567"/>
        <w:rPr>
          <w:rFonts w:ascii="Palatino Linotype" w:eastAsia="Times New Roman" w:hAnsi="Palatino Linotype" w:cs="Times New Roman"/>
          <w:bCs/>
          <w:i/>
          <w:szCs w:val="24"/>
          <w:lang w:val="es-ES" w:eastAsia="es-ES"/>
        </w:rPr>
      </w:pPr>
      <w:r w:rsidRPr="00BC48A8">
        <w:rPr>
          <w:rFonts w:ascii="Palatino Linotype" w:eastAsia="Times New Roman" w:hAnsi="Palatino Linotype" w:cs="Times New Roman"/>
          <w:bCs/>
          <w:i/>
          <w:szCs w:val="24"/>
          <w:lang w:val="es-ES" w:eastAsia="es-ES"/>
        </w:rPr>
        <w:t>(…)</w:t>
      </w:r>
    </w:p>
    <w:p w14:paraId="56DE4229" w14:textId="77777777" w:rsidR="00BC48A8" w:rsidRPr="00BC48A8" w:rsidRDefault="00BC48A8" w:rsidP="00BC48A8">
      <w:pPr>
        <w:spacing w:after="0" w:line="360" w:lineRule="auto"/>
        <w:ind w:left="567" w:right="567"/>
        <w:rPr>
          <w:rFonts w:ascii="Palatino Linotype" w:eastAsia="Times New Roman" w:hAnsi="Palatino Linotype" w:cs="Times New Roman"/>
          <w:bCs/>
          <w:i/>
          <w:szCs w:val="24"/>
          <w:lang w:val="es-ES" w:eastAsia="es-ES"/>
        </w:rPr>
      </w:pPr>
      <w:r w:rsidRPr="00BC48A8">
        <w:rPr>
          <w:rFonts w:ascii="Palatino Linotype" w:eastAsia="Times New Roman" w:hAnsi="Palatino Linotype" w:cs="Times New Roman"/>
          <w:bCs/>
          <w:i/>
          <w:szCs w:val="24"/>
          <w:lang w:val="es-ES" w:eastAsia="es-ES"/>
        </w:rPr>
        <w:t>III. No actualice alguno de los supuestos previstos en la presente Ley;</w:t>
      </w:r>
    </w:p>
    <w:p w14:paraId="279D070D" w14:textId="5D4297DE" w:rsidR="00BC48A8" w:rsidRDefault="00BC48A8" w:rsidP="00623D1A">
      <w:pPr>
        <w:spacing w:after="0" w:line="360" w:lineRule="auto"/>
        <w:ind w:left="567" w:right="567"/>
        <w:rPr>
          <w:rFonts w:ascii="Palatino Linotype" w:eastAsia="Times New Roman" w:hAnsi="Palatino Linotype" w:cs="Times New Roman"/>
          <w:bCs/>
          <w:i/>
          <w:szCs w:val="24"/>
          <w:lang w:val="es-ES" w:eastAsia="es-ES"/>
        </w:rPr>
      </w:pPr>
      <w:r w:rsidRPr="00BC48A8">
        <w:rPr>
          <w:rFonts w:ascii="Palatino Linotype" w:eastAsia="Times New Roman" w:hAnsi="Palatino Linotype" w:cs="Times New Roman"/>
          <w:bCs/>
          <w:i/>
          <w:szCs w:val="24"/>
          <w:lang w:val="es-ES" w:eastAsia="es-ES"/>
        </w:rPr>
        <w:t>(…)</w:t>
      </w:r>
    </w:p>
    <w:p w14:paraId="5EC90C98" w14:textId="77777777" w:rsidR="00BC48A8" w:rsidRPr="00BC48A8" w:rsidRDefault="00BC48A8" w:rsidP="00623D1A">
      <w:pPr>
        <w:spacing w:after="0" w:line="360" w:lineRule="auto"/>
        <w:ind w:left="567" w:right="567"/>
        <w:rPr>
          <w:rFonts w:ascii="Palatino Linotype" w:eastAsia="Times New Roman" w:hAnsi="Palatino Linotype" w:cs="Times New Roman"/>
          <w:bCs/>
          <w:i/>
          <w:szCs w:val="24"/>
          <w:lang w:val="es-ES" w:eastAsia="es-ES"/>
        </w:rPr>
      </w:pPr>
    </w:p>
    <w:p w14:paraId="4E243445" w14:textId="77777777" w:rsidR="00BC48A8" w:rsidRPr="00BC48A8" w:rsidRDefault="00BC48A8" w:rsidP="00623D1A">
      <w:pPr>
        <w:spacing w:after="0" w:line="360" w:lineRule="auto"/>
        <w:ind w:left="567" w:right="567"/>
        <w:rPr>
          <w:rFonts w:ascii="Palatino Linotype" w:eastAsia="Times New Roman" w:hAnsi="Palatino Linotype" w:cs="Times New Roman"/>
          <w:bCs/>
          <w:i/>
          <w:szCs w:val="24"/>
          <w:lang w:val="es-ES" w:eastAsia="es-ES"/>
        </w:rPr>
      </w:pPr>
      <w:r w:rsidRPr="00BC48A8">
        <w:rPr>
          <w:rFonts w:ascii="Palatino Linotype" w:eastAsia="Times New Roman" w:hAnsi="Palatino Linotype" w:cs="Times New Roman"/>
          <w:b/>
          <w:bCs/>
          <w:i/>
          <w:szCs w:val="24"/>
          <w:lang w:val="es-ES" w:eastAsia="es-ES"/>
        </w:rPr>
        <w:t>Artículo 192.</w:t>
      </w:r>
      <w:r w:rsidRPr="00BC48A8">
        <w:rPr>
          <w:rFonts w:ascii="Palatino Linotype" w:eastAsia="Times New Roman" w:hAnsi="Palatino Linotype" w:cs="Times New Roman"/>
          <w:bCs/>
          <w:i/>
          <w:szCs w:val="24"/>
          <w:lang w:val="es-ES" w:eastAsia="es-ES"/>
        </w:rPr>
        <w:t xml:space="preserve"> El recurso será sobreseído, en todo o en parte, cuando una vez admitido, se actualicen alguno de los siguientes supuestos:</w:t>
      </w:r>
    </w:p>
    <w:p w14:paraId="5DF61DE5" w14:textId="77777777" w:rsidR="00BC48A8" w:rsidRPr="00BC48A8" w:rsidRDefault="00BC48A8" w:rsidP="00623D1A">
      <w:pPr>
        <w:spacing w:after="0" w:line="360" w:lineRule="auto"/>
        <w:ind w:left="567" w:right="567"/>
        <w:rPr>
          <w:rFonts w:ascii="Palatino Linotype" w:eastAsia="Times New Roman" w:hAnsi="Palatino Linotype" w:cs="Times New Roman"/>
          <w:bCs/>
          <w:i/>
          <w:szCs w:val="24"/>
          <w:lang w:val="es-ES" w:eastAsia="es-ES"/>
        </w:rPr>
      </w:pPr>
      <w:r w:rsidRPr="00BC48A8">
        <w:rPr>
          <w:rFonts w:ascii="Palatino Linotype" w:eastAsia="Times New Roman" w:hAnsi="Palatino Linotype" w:cs="Times New Roman"/>
          <w:bCs/>
          <w:i/>
          <w:szCs w:val="24"/>
          <w:lang w:val="es-ES" w:eastAsia="es-ES"/>
        </w:rPr>
        <w:t>(…)</w:t>
      </w:r>
    </w:p>
    <w:p w14:paraId="45E5CA6F" w14:textId="77777777" w:rsidR="00BC48A8" w:rsidRPr="00BC48A8" w:rsidRDefault="00BC48A8" w:rsidP="00623D1A">
      <w:pPr>
        <w:spacing w:after="0" w:line="360" w:lineRule="auto"/>
        <w:ind w:left="567" w:right="567"/>
        <w:rPr>
          <w:rFonts w:ascii="Palatino Linotype" w:eastAsia="Times New Roman" w:hAnsi="Palatino Linotype" w:cs="Times New Roman"/>
          <w:bCs/>
          <w:i/>
          <w:szCs w:val="24"/>
          <w:lang w:val="es-ES" w:eastAsia="es-ES"/>
        </w:rPr>
      </w:pPr>
      <w:r w:rsidRPr="00BC48A8">
        <w:rPr>
          <w:rFonts w:ascii="Palatino Linotype" w:eastAsia="Times New Roman" w:hAnsi="Palatino Linotype" w:cs="Times New Roman"/>
          <w:bCs/>
          <w:i/>
          <w:szCs w:val="24"/>
          <w:lang w:val="es-ES" w:eastAsia="es-ES"/>
        </w:rPr>
        <w:t>IV. Admitido el recurso de revisión, aparezca alguna causal de improcedencia en los términos de la presente Ley; y</w:t>
      </w:r>
    </w:p>
    <w:p w14:paraId="3575EC44" w14:textId="1B93E1EA" w:rsidR="00BC48A8" w:rsidRPr="00BC48A8" w:rsidRDefault="00BC48A8" w:rsidP="00623D1A">
      <w:pPr>
        <w:spacing w:after="0" w:line="360" w:lineRule="auto"/>
        <w:ind w:left="567" w:right="567"/>
        <w:rPr>
          <w:rFonts w:ascii="Palatino Linotype" w:eastAsia="Times New Roman" w:hAnsi="Palatino Linotype" w:cs="Times New Roman"/>
          <w:bCs/>
          <w:i/>
          <w:szCs w:val="24"/>
          <w:lang w:val="es-ES" w:eastAsia="es-ES"/>
        </w:rPr>
      </w:pPr>
      <w:r w:rsidRPr="00BC48A8">
        <w:rPr>
          <w:rFonts w:ascii="Palatino Linotype" w:eastAsia="Times New Roman" w:hAnsi="Palatino Linotype" w:cs="Times New Roman"/>
          <w:bCs/>
          <w:i/>
          <w:szCs w:val="24"/>
          <w:lang w:val="es-ES" w:eastAsia="es-ES"/>
        </w:rPr>
        <w:t>(…)” [Sic]</w:t>
      </w:r>
    </w:p>
    <w:p w14:paraId="5AE4F4E1" w14:textId="77777777" w:rsidR="00BC48A8" w:rsidRDefault="00BC48A8" w:rsidP="00623D1A">
      <w:pPr>
        <w:spacing w:after="0" w:line="360" w:lineRule="auto"/>
        <w:jc w:val="both"/>
        <w:rPr>
          <w:rFonts w:ascii="Palatino Linotype" w:eastAsia="Times New Roman" w:hAnsi="Palatino Linotype" w:cs="Times New Roman"/>
          <w:bCs/>
          <w:sz w:val="24"/>
          <w:szCs w:val="24"/>
          <w:lang w:val="es-ES" w:eastAsia="es-ES"/>
        </w:rPr>
      </w:pPr>
    </w:p>
    <w:p w14:paraId="72DDB05E" w14:textId="7F6182D4" w:rsidR="00E63E1A" w:rsidRPr="005D164B" w:rsidRDefault="00E63E1A" w:rsidP="00623D1A">
      <w:pPr>
        <w:spacing w:after="0" w:line="360" w:lineRule="auto"/>
        <w:jc w:val="both"/>
        <w:rPr>
          <w:rFonts w:ascii="Palatino Linotype" w:eastAsiaTheme="minorEastAsia" w:hAnsi="Palatino Linotype" w:cs="Times New Roman"/>
          <w:sz w:val="24"/>
          <w:szCs w:val="24"/>
          <w:lang w:val="es-ES_tradnl" w:eastAsia="es-ES"/>
        </w:rPr>
      </w:pPr>
      <w:r w:rsidRPr="005D164B">
        <w:rPr>
          <w:rFonts w:ascii="Palatino Linotype" w:eastAsia="Times New Roman" w:hAnsi="Palatino Linotype" w:cs="Times New Roman"/>
          <w:bCs/>
          <w:sz w:val="24"/>
          <w:szCs w:val="24"/>
          <w:lang w:val="es-ES" w:eastAsia="es-ES"/>
        </w:rPr>
        <w:t xml:space="preserve">Por lo que </w:t>
      </w:r>
      <w:r w:rsidRPr="005D164B">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5D164B">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5D164B">
        <w:rPr>
          <w:rFonts w:ascii="Palatino Linotype" w:eastAsiaTheme="minorEastAsia" w:hAnsi="Palatino Linotype" w:cs="Arial"/>
          <w:b/>
          <w:sz w:val="24"/>
          <w:szCs w:val="24"/>
          <w:lang w:val="es-ES_tradnl" w:eastAsia="es-ES"/>
        </w:rPr>
        <w:t xml:space="preserve">SOBRESEE </w:t>
      </w:r>
      <w:r w:rsidRPr="005D164B">
        <w:rPr>
          <w:rFonts w:ascii="Palatino Linotype" w:eastAsiaTheme="minorEastAsia" w:hAnsi="Palatino Linotype" w:cs="Arial"/>
          <w:sz w:val="24"/>
          <w:szCs w:val="24"/>
          <w:lang w:val="es-ES_tradnl" w:eastAsia="es-ES"/>
        </w:rPr>
        <w:t xml:space="preserve">el recurso de revisión </w:t>
      </w:r>
      <w:r w:rsidR="005129BA" w:rsidRPr="005129BA">
        <w:rPr>
          <w:rFonts w:ascii="Palatino Linotype" w:eastAsiaTheme="minorEastAsia" w:hAnsi="Palatino Linotype" w:cs="Arial"/>
          <w:b/>
          <w:sz w:val="24"/>
          <w:szCs w:val="24"/>
          <w:lang w:val="es-ES_tradnl" w:eastAsia="es-ES"/>
        </w:rPr>
        <w:t>17</w:t>
      </w:r>
      <w:r w:rsidRPr="005129BA">
        <w:rPr>
          <w:rFonts w:ascii="Palatino Linotype" w:eastAsia="Times New Roman" w:hAnsi="Palatino Linotype" w:cs="Times New Roman"/>
          <w:b/>
          <w:bCs/>
          <w:sz w:val="24"/>
          <w:szCs w:val="24"/>
          <w:lang w:val="es-ES" w:eastAsia="es-ES"/>
        </w:rPr>
        <w:t>3</w:t>
      </w:r>
      <w:r w:rsidR="005129BA" w:rsidRPr="005129BA">
        <w:rPr>
          <w:rFonts w:ascii="Palatino Linotype" w:eastAsia="Times New Roman" w:hAnsi="Palatino Linotype" w:cs="Times New Roman"/>
          <w:b/>
          <w:bCs/>
          <w:sz w:val="24"/>
          <w:szCs w:val="24"/>
          <w:lang w:val="es-ES" w:eastAsia="es-ES"/>
        </w:rPr>
        <w:t>8</w:t>
      </w:r>
      <w:r w:rsidRPr="005129BA">
        <w:rPr>
          <w:rFonts w:ascii="Palatino Linotype" w:eastAsia="Times New Roman" w:hAnsi="Palatino Linotype" w:cs="Times New Roman"/>
          <w:b/>
          <w:bCs/>
          <w:sz w:val="24"/>
          <w:szCs w:val="24"/>
          <w:lang w:val="es-ES" w:eastAsia="es-ES"/>
        </w:rPr>
        <w:t>5</w:t>
      </w:r>
      <w:r w:rsidRPr="005D164B">
        <w:rPr>
          <w:rFonts w:ascii="Palatino Linotype" w:eastAsia="Times New Roman" w:hAnsi="Palatino Linotype" w:cs="Times New Roman"/>
          <w:b/>
          <w:bCs/>
          <w:sz w:val="24"/>
          <w:szCs w:val="24"/>
          <w:lang w:val="es-ES" w:eastAsia="es-ES"/>
        </w:rPr>
        <w:t>/INFOEM/IP/RR/202</w:t>
      </w:r>
      <w:r>
        <w:rPr>
          <w:rFonts w:ascii="Palatino Linotype" w:eastAsia="Times New Roman" w:hAnsi="Palatino Linotype" w:cs="Times New Roman"/>
          <w:b/>
          <w:bCs/>
          <w:sz w:val="24"/>
          <w:szCs w:val="24"/>
          <w:lang w:val="es-ES" w:eastAsia="es-ES"/>
        </w:rPr>
        <w:t>2</w:t>
      </w:r>
      <w:r w:rsidRPr="005D164B">
        <w:rPr>
          <w:rFonts w:ascii="Palatino Linotype" w:eastAsiaTheme="minorEastAsia" w:hAnsi="Palatino Linotype" w:cs="Arial"/>
          <w:sz w:val="24"/>
          <w:szCs w:val="24"/>
          <w:lang w:val="es-ES_tradnl" w:eastAsia="es-ES"/>
        </w:rPr>
        <w:t>,</w:t>
      </w:r>
      <w:r w:rsidRPr="005D164B">
        <w:rPr>
          <w:rFonts w:ascii="Palatino Linotype" w:eastAsiaTheme="minorEastAsia" w:hAnsi="Palatino Linotype" w:cs="Times New Roman"/>
          <w:sz w:val="24"/>
          <w:szCs w:val="24"/>
          <w:lang w:val="es-ES_tradnl" w:eastAsia="es-ES"/>
        </w:rPr>
        <w:t xml:space="preserve"> que ha sido materia del presente fallo.</w:t>
      </w:r>
    </w:p>
    <w:p w14:paraId="2104212C" w14:textId="77777777" w:rsidR="00E63E1A" w:rsidRDefault="00E63E1A" w:rsidP="00E63E1A">
      <w:pPr>
        <w:spacing w:after="0" w:line="360" w:lineRule="auto"/>
        <w:jc w:val="both"/>
        <w:rPr>
          <w:rFonts w:ascii="Palatino Linotype" w:eastAsia="Times New Roman" w:hAnsi="Palatino Linotype" w:cs="Times New Roman"/>
          <w:sz w:val="24"/>
          <w:szCs w:val="24"/>
          <w:lang w:val="es-ES" w:eastAsia="es-ES"/>
        </w:rPr>
      </w:pPr>
    </w:p>
    <w:p w14:paraId="36796276" w14:textId="77777777" w:rsidR="00E63E1A" w:rsidRPr="005D164B" w:rsidRDefault="00E63E1A" w:rsidP="00E63E1A">
      <w:pPr>
        <w:spacing w:after="0" w:line="360" w:lineRule="auto"/>
        <w:jc w:val="both"/>
        <w:rPr>
          <w:rFonts w:ascii="Palatino Linotype" w:eastAsia="Times New Roman" w:hAnsi="Palatino Linotype" w:cs="Times New Roman"/>
          <w:sz w:val="24"/>
          <w:szCs w:val="24"/>
          <w:lang w:val="es-ES" w:eastAsia="es-ES"/>
        </w:rPr>
      </w:pPr>
      <w:r w:rsidRPr="005D164B">
        <w:rPr>
          <w:rFonts w:ascii="Palatino Linotype" w:eastAsia="Times New Roman" w:hAnsi="Palatino Linotype" w:cs="Times New Roman"/>
          <w:sz w:val="24"/>
          <w:szCs w:val="24"/>
          <w:lang w:val="es-ES" w:eastAsia="es-ES"/>
        </w:rPr>
        <w:t>Por lo antes expuesto y fundado es de resolverse y,</w:t>
      </w:r>
    </w:p>
    <w:p w14:paraId="69C31BA9" w14:textId="77777777" w:rsidR="00E63E1A" w:rsidRPr="005D164B" w:rsidRDefault="00E63E1A" w:rsidP="00E63E1A">
      <w:pPr>
        <w:spacing w:after="0" w:line="360" w:lineRule="auto"/>
        <w:jc w:val="both"/>
        <w:rPr>
          <w:rFonts w:ascii="Palatino Linotype" w:eastAsia="Times New Roman" w:hAnsi="Palatino Linotype" w:cs="Times New Roman"/>
          <w:sz w:val="24"/>
          <w:szCs w:val="24"/>
          <w:lang w:val="es-ES" w:eastAsia="es-ES"/>
        </w:rPr>
      </w:pPr>
    </w:p>
    <w:p w14:paraId="7D091794" w14:textId="77777777" w:rsidR="00E63E1A" w:rsidRDefault="00E63E1A" w:rsidP="00E63E1A">
      <w:pPr>
        <w:spacing w:after="0" w:line="360" w:lineRule="auto"/>
        <w:jc w:val="center"/>
        <w:rPr>
          <w:rFonts w:ascii="Palatino Linotype" w:eastAsia="Times New Roman" w:hAnsi="Palatino Linotype" w:cs="Times New Roman"/>
          <w:b/>
          <w:bCs/>
          <w:spacing w:val="60"/>
          <w:sz w:val="28"/>
          <w:szCs w:val="24"/>
          <w:lang w:val="es-ES_tradnl" w:eastAsia="es-ES"/>
        </w:rPr>
      </w:pPr>
      <w:r w:rsidRPr="005D164B">
        <w:rPr>
          <w:rFonts w:ascii="Palatino Linotype" w:eastAsia="Times New Roman" w:hAnsi="Palatino Linotype" w:cs="Times New Roman"/>
          <w:b/>
          <w:bCs/>
          <w:spacing w:val="60"/>
          <w:sz w:val="28"/>
          <w:szCs w:val="24"/>
          <w:lang w:val="es-ES_tradnl" w:eastAsia="es-ES"/>
        </w:rPr>
        <w:t>SE    RESUELVE</w:t>
      </w:r>
    </w:p>
    <w:p w14:paraId="60DA8C43" w14:textId="77777777" w:rsidR="00E63E1A" w:rsidRPr="005D164B" w:rsidRDefault="00E63E1A" w:rsidP="00E63E1A">
      <w:pPr>
        <w:spacing w:after="0" w:line="360" w:lineRule="auto"/>
        <w:jc w:val="center"/>
        <w:rPr>
          <w:rFonts w:ascii="Palatino Linotype" w:eastAsia="Times New Roman" w:hAnsi="Palatino Linotype" w:cs="Times New Roman"/>
          <w:bCs/>
          <w:spacing w:val="60"/>
          <w:sz w:val="24"/>
          <w:szCs w:val="24"/>
          <w:lang w:val="es-ES_tradnl" w:eastAsia="es-ES"/>
        </w:rPr>
      </w:pPr>
    </w:p>
    <w:p w14:paraId="3B43DE27" w14:textId="77777777" w:rsidR="00E63E1A" w:rsidRPr="005D164B" w:rsidRDefault="00E63E1A" w:rsidP="00E63E1A">
      <w:pPr>
        <w:tabs>
          <w:tab w:val="left" w:pos="8647"/>
        </w:tabs>
        <w:spacing w:after="0" w:line="360" w:lineRule="auto"/>
        <w:ind w:right="51"/>
        <w:jc w:val="both"/>
        <w:rPr>
          <w:rFonts w:ascii="Palatino Linotype" w:eastAsiaTheme="minorEastAsia" w:hAnsi="Palatino Linotype" w:cs="Arial"/>
          <w:sz w:val="24"/>
          <w:szCs w:val="24"/>
          <w:lang w:eastAsia="es-ES"/>
        </w:rPr>
      </w:pPr>
      <w:r w:rsidRPr="005D164B">
        <w:rPr>
          <w:rFonts w:ascii="Palatino Linotype" w:eastAsiaTheme="minorEastAsia" w:hAnsi="Palatino Linotype" w:cs="Arial"/>
          <w:b/>
          <w:sz w:val="28"/>
          <w:szCs w:val="24"/>
          <w:lang w:val="es-ES_tradnl" w:eastAsia="es-ES"/>
        </w:rPr>
        <w:t>PRIMERO.</w:t>
      </w:r>
      <w:r w:rsidRPr="005D164B">
        <w:rPr>
          <w:rFonts w:ascii="Palatino Linotype" w:eastAsiaTheme="minorEastAsia" w:hAnsi="Palatino Linotype" w:cs="Arial"/>
          <w:sz w:val="24"/>
          <w:szCs w:val="24"/>
          <w:lang w:val="es-ES_tradnl" w:eastAsia="es-ES"/>
        </w:rPr>
        <w:t xml:space="preserve"> Se </w:t>
      </w:r>
      <w:r w:rsidRPr="005D164B">
        <w:rPr>
          <w:rFonts w:ascii="Palatino Linotype" w:eastAsiaTheme="minorEastAsia" w:hAnsi="Palatino Linotype" w:cs="Arial"/>
          <w:b/>
          <w:sz w:val="24"/>
          <w:szCs w:val="24"/>
          <w:lang w:val="es-ES_tradnl" w:eastAsia="es-ES"/>
        </w:rPr>
        <w:t>SOBRESEE</w:t>
      </w:r>
      <w:r w:rsidRPr="005D164B">
        <w:rPr>
          <w:rFonts w:ascii="Palatino Linotype" w:eastAsiaTheme="minorEastAsia" w:hAnsi="Palatino Linotype" w:cs="Arial"/>
          <w:sz w:val="24"/>
          <w:szCs w:val="24"/>
          <w:lang w:val="es-ES_tradnl" w:eastAsia="es-ES"/>
        </w:rPr>
        <w:t xml:space="preserve"> el recurso de revisión </w:t>
      </w:r>
      <w:r w:rsidR="005129BA" w:rsidRPr="005129BA">
        <w:rPr>
          <w:rFonts w:ascii="Palatino Linotype" w:eastAsiaTheme="minorEastAsia" w:hAnsi="Palatino Linotype" w:cs="Arial"/>
          <w:b/>
          <w:sz w:val="24"/>
          <w:szCs w:val="24"/>
          <w:lang w:val="es-ES_tradnl" w:eastAsia="es-ES"/>
        </w:rPr>
        <w:t>17</w:t>
      </w:r>
      <w:r w:rsidR="005129BA" w:rsidRPr="005129BA">
        <w:rPr>
          <w:rFonts w:ascii="Palatino Linotype" w:eastAsia="Times New Roman" w:hAnsi="Palatino Linotype" w:cs="Times New Roman"/>
          <w:b/>
          <w:bCs/>
          <w:sz w:val="24"/>
          <w:szCs w:val="24"/>
          <w:lang w:val="es-ES" w:eastAsia="es-ES"/>
        </w:rPr>
        <w:t>385</w:t>
      </w:r>
      <w:r w:rsidRPr="005D164B">
        <w:rPr>
          <w:rFonts w:ascii="Palatino Linotype" w:eastAsiaTheme="minorEastAsia" w:hAnsi="Palatino Linotype" w:cs="Arial"/>
          <w:b/>
          <w:sz w:val="24"/>
          <w:szCs w:val="24"/>
          <w:lang w:val="es-ES_tradnl" w:eastAsia="es-ES"/>
        </w:rPr>
        <w:t>/INFOEM/IP/RR/202</w:t>
      </w:r>
      <w:r>
        <w:rPr>
          <w:rFonts w:ascii="Palatino Linotype" w:eastAsiaTheme="minorEastAsia" w:hAnsi="Palatino Linotype" w:cs="Arial"/>
          <w:b/>
          <w:sz w:val="24"/>
          <w:szCs w:val="24"/>
          <w:lang w:val="es-ES_tradnl" w:eastAsia="es-ES"/>
        </w:rPr>
        <w:t>2</w:t>
      </w:r>
      <w:r w:rsidRPr="005D164B">
        <w:rPr>
          <w:rFonts w:ascii="Palatino Linotype" w:eastAsiaTheme="minorEastAsia" w:hAnsi="Palatino Linotype" w:cs="Arial"/>
          <w:sz w:val="24"/>
          <w:szCs w:val="24"/>
          <w:lang w:val="es-ES_tradnl" w:eastAsia="es-ES"/>
        </w:rPr>
        <w:t xml:space="preserve">, </w:t>
      </w:r>
      <w:r w:rsidRPr="006A48D2">
        <w:rPr>
          <w:rFonts w:ascii="Palatino Linotype" w:eastAsiaTheme="minorEastAsia" w:hAnsi="Palatino Linotype" w:cs="Arial"/>
          <w:sz w:val="24"/>
          <w:szCs w:val="24"/>
          <w:lang w:val="es-ES_tradnl" w:eastAsia="es-ES"/>
        </w:rPr>
        <w:t>por actualizarse la</w:t>
      </w:r>
      <w:r>
        <w:rPr>
          <w:rFonts w:ascii="Palatino Linotype" w:eastAsiaTheme="minorEastAsia" w:hAnsi="Palatino Linotype" w:cs="Arial"/>
          <w:sz w:val="24"/>
          <w:szCs w:val="24"/>
          <w:lang w:val="es-ES_tradnl" w:eastAsia="es-ES"/>
        </w:rPr>
        <w:t>s</w:t>
      </w:r>
      <w:r w:rsidRPr="006A48D2">
        <w:rPr>
          <w:rFonts w:ascii="Palatino Linotype" w:eastAsiaTheme="minorEastAsia" w:hAnsi="Palatino Linotype" w:cs="Arial"/>
          <w:sz w:val="24"/>
          <w:szCs w:val="24"/>
          <w:lang w:val="es-ES_tradnl" w:eastAsia="es-ES"/>
        </w:rPr>
        <w:t xml:space="preserve"> causal</w:t>
      </w:r>
      <w:r>
        <w:rPr>
          <w:rFonts w:ascii="Palatino Linotype" w:eastAsiaTheme="minorEastAsia" w:hAnsi="Palatino Linotype" w:cs="Arial"/>
          <w:sz w:val="24"/>
          <w:szCs w:val="24"/>
          <w:lang w:val="es-ES_tradnl" w:eastAsia="es-ES"/>
        </w:rPr>
        <w:t>es</w:t>
      </w:r>
      <w:r w:rsidRPr="006A48D2">
        <w:rPr>
          <w:rFonts w:ascii="Palatino Linotype" w:eastAsiaTheme="minorEastAsia" w:hAnsi="Palatino Linotype" w:cs="Arial"/>
          <w:sz w:val="24"/>
          <w:szCs w:val="24"/>
          <w:lang w:val="es-ES_tradnl" w:eastAsia="es-ES"/>
        </w:rPr>
        <w:t xml:space="preserve"> de improcedencia inmersa</w:t>
      </w:r>
      <w:r>
        <w:rPr>
          <w:rFonts w:ascii="Palatino Linotype" w:eastAsiaTheme="minorEastAsia" w:hAnsi="Palatino Linotype" w:cs="Arial"/>
          <w:sz w:val="24"/>
          <w:szCs w:val="24"/>
          <w:lang w:val="es-ES_tradnl" w:eastAsia="es-ES"/>
        </w:rPr>
        <w:t>s</w:t>
      </w:r>
      <w:r w:rsidRPr="006A48D2">
        <w:rPr>
          <w:rFonts w:ascii="Palatino Linotype" w:eastAsiaTheme="minorEastAsia" w:hAnsi="Palatino Linotype" w:cs="Arial"/>
          <w:sz w:val="24"/>
          <w:szCs w:val="24"/>
          <w:lang w:val="es-ES_tradnl" w:eastAsia="es-ES"/>
        </w:rPr>
        <w:t xml:space="preserve"> en la</w:t>
      </w:r>
      <w:r>
        <w:rPr>
          <w:rFonts w:ascii="Palatino Linotype" w:eastAsiaTheme="minorEastAsia" w:hAnsi="Palatino Linotype" w:cs="Arial"/>
          <w:sz w:val="24"/>
          <w:szCs w:val="24"/>
          <w:lang w:val="es-ES_tradnl" w:eastAsia="es-ES"/>
        </w:rPr>
        <w:t>s</w:t>
      </w:r>
      <w:r w:rsidRPr="006A48D2">
        <w:rPr>
          <w:rFonts w:ascii="Palatino Linotype" w:eastAsiaTheme="minorEastAsia" w:hAnsi="Palatino Linotype" w:cs="Arial"/>
          <w:sz w:val="24"/>
          <w:szCs w:val="24"/>
          <w:lang w:val="es-ES_tradnl" w:eastAsia="es-ES"/>
        </w:rPr>
        <w:t xml:space="preserve"> fracci</w:t>
      </w:r>
      <w:r>
        <w:rPr>
          <w:rFonts w:ascii="Palatino Linotype" w:eastAsiaTheme="minorEastAsia" w:hAnsi="Palatino Linotype" w:cs="Arial"/>
          <w:sz w:val="24"/>
          <w:szCs w:val="24"/>
          <w:lang w:val="es-ES_tradnl" w:eastAsia="es-ES"/>
        </w:rPr>
        <w:t>ones III y VII</w:t>
      </w:r>
      <w:r w:rsidRPr="006A48D2">
        <w:rPr>
          <w:rFonts w:ascii="Palatino Linotype" w:eastAsiaTheme="minorEastAsia" w:hAnsi="Palatino Linotype" w:cs="Arial"/>
          <w:sz w:val="24"/>
          <w:szCs w:val="24"/>
          <w:lang w:val="es-ES_tradnl" w:eastAsia="es-ES"/>
        </w:rPr>
        <w:t xml:space="preserve"> del artículo 191, de la ley de transparencia vigente en la entidad, en términos del </w:t>
      </w:r>
      <w:r w:rsidRPr="00B529F5">
        <w:rPr>
          <w:rFonts w:ascii="Palatino Linotype" w:eastAsiaTheme="minorEastAsia" w:hAnsi="Palatino Linotype" w:cs="Arial"/>
          <w:b/>
          <w:sz w:val="24"/>
          <w:szCs w:val="24"/>
          <w:lang w:val="es-ES_tradnl" w:eastAsia="es-ES"/>
        </w:rPr>
        <w:t>Considerando TERCERO</w:t>
      </w:r>
      <w:r w:rsidRPr="006A48D2">
        <w:rPr>
          <w:rFonts w:ascii="Palatino Linotype" w:eastAsiaTheme="minorEastAsia" w:hAnsi="Palatino Linotype" w:cs="Arial"/>
          <w:sz w:val="24"/>
          <w:szCs w:val="24"/>
          <w:lang w:val="es-ES_tradnl" w:eastAsia="es-ES"/>
        </w:rPr>
        <w:t xml:space="preserve"> de la presente resolución.</w:t>
      </w:r>
    </w:p>
    <w:p w14:paraId="35AE42A7" w14:textId="77777777" w:rsidR="00E63E1A" w:rsidRPr="005D164B" w:rsidRDefault="00E63E1A" w:rsidP="00E63E1A">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32759C0F" w14:textId="77777777" w:rsidR="008F7C0C" w:rsidRDefault="008F7C0C" w:rsidP="00E63E1A">
      <w:pPr>
        <w:tabs>
          <w:tab w:val="left" w:pos="8647"/>
        </w:tabs>
        <w:spacing w:after="0" w:line="360" w:lineRule="auto"/>
        <w:ind w:right="51"/>
        <w:jc w:val="both"/>
        <w:rPr>
          <w:rFonts w:ascii="Palatino Linotype" w:eastAsiaTheme="minorEastAsia" w:hAnsi="Palatino Linotype" w:cs="Arial"/>
          <w:b/>
          <w:sz w:val="28"/>
          <w:szCs w:val="24"/>
          <w:lang w:val="es-ES_tradnl" w:eastAsia="es-ES"/>
        </w:rPr>
      </w:pPr>
    </w:p>
    <w:p w14:paraId="01BF713A" w14:textId="77777777" w:rsidR="008F7C0C" w:rsidRDefault="008F7C0C" w:rsidP="00E63E1A">
      <w:pPr>
        <w:tabs>
          <w:tab w:val="left" w:pos="8647"/>
        </w:tabs>
        <w:spacing w:after="0" w:line="360" w:lineRule="auto"/>
        <w:ind w:right="51"/>
        <w:jc w:val="both"/>
        <w:rPr>
          <w:rFonts w:ascii="Palatino Linotype" w:eastAsiaTheme="minorEastAsia" w:hAnsi="Palatino Linotype" w:cs="Arial"/>
          <w:b/>
          <w:sz w:val="28"/>
          <w:szCs w:val="24"/>
          <w:lang w:val="es-ES_tradnl" w:eastAsia="es-ES"/>
        </w:rPr>
      </w:pPr>
    </w:p>
    <w:p w14:paraId="793FDB41" w14:textId="64F0B793" w:rsidR="00E63E1A" w:rsidRPr="005D164B" w:rsidRDefault="00E63E1A" w:rsidP="00E63E1A">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5D164B">
        <w:rPr>
          <w:rFonts w:ascii="Palatino Linotype" w:eastAsiaTheme="minorEastAsia" w:hAnsi="Palatino Linotype" w:cs="Arial"/>
          <w:b/>
          <w:sz w:val="28"/>
          <w:szCs w:val="24"/>
          <w:lang w:val="es-ES_tradnl" w:eastAsia="es-ES"/>
        </w:rPr>
        <w:t>SEGUNDO</w:t>
      </w:r>
      <w:r w:rsidRPr="005D164B">
        <w:rPr>
          <w:rFonts w:ascii="Palatino Linotype" w:eastAsiaTheme="minorEastAsia" w:hAnsi="Palatino Linotype" w:cs="Arial"/>
          <w:b/>
          <w:sz w:val="24"/>
          <w:szCs w:val="24"/>
          <w:lang w:val="es-ES_tradnl" w:eastAsia="es-ES"/>
        </w:rPr>
        <w:t>.</w:t>
      </w:r>
      <w:r w:rsidRPr="005D164B">
        <w:rPr>
          <w:rFonts w:ascii="Palatino Linotype" w:eastAsiaTheme="minorEastAsia" w:hAnsi="Palatino Linotype" w:cs="Arial"/>
          <w:sz w:val="24"/>
          <w:szCs w:val="24"/>
          <w:lang w:val="es-ES_tradnl" w:eastAsia="es-ES"/>
        </w:rPr>
        <w:t xml:space="preserve"> </w:t>
      </w:r>
      <w:r w:rsidRPr="005D164B">
        <w:rPr>
          <w:rFonts w:ascii="Palatino Linotype" w:eastAsiaTheme="minorEastAsia" w:hAnsi="Palatino Linotype" w:cs="Arial"/>
          <w:b/>
          <w:sz w:val="24"/>
          <w:szCs w:val="24"/>
          <w:lang w:val="es-ES_tradnl" w:eastAsia="es-ES"/>
        </w:rPr>
        <w:t>Notifíquese</w:t>
      </w:r>
      <w:r w:rsidRPr="005D164B">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5D164B">
        <w:rPr>
          <w:rFonts w:ascii="Palatino Linotype" w:eastAsiaTheme="minorEastAsia" w:hAnsi="Palatino Linotype" w:cs="Arial"/>
          <w:b/>
          <w:sz w:val="24"/>
          <w:szCs w:val="24"/>
          <w:lang w:val="es-ES_tradnl" w:eastAsia="es-ES"/>
        </w:rPr>
        <w:t>Sujeto Obligado</w:t>
      </w:r>
      <w:r w:rsidRPr="005D164B">
        <w:rPr>
          <w:rFonts w:ascii="Palatino Linotype" w:eastAsiaTheme="minorEastAsia" w:hAnsi="Palatino Linotype" w:cs="Arial"/>
          <w:sz w:val="24"/>
          <w:szCs w:val="24"/>
          <w:lang w:val="es-ES_tradnl" w:eastAsia="es-ES"/>
        </w:rPr>
        <w:t>.</w:t>
      </w:r>
    </w:p>
    <w:p w14:paraId="21CB3D9B" w14:textId="77777777" w:rsidR="00E63E1A" w:rsidRDefault="00E63E1A" w:rsidP="00E63E1A">
      <w:pPr>
        <w:spacing w:after="0" w:line="360" w:lineRule="auto"/>
        <w:jc w:val="both"/>
        <w:rPr>
          <w:rFonts w:ascii="Palatino Linotype" w:eastAsia="Times New Roman" w:hAnsi="Palatino Linotype" w:cs="Arial"/>
          <w:b/>
          <w:sz w:val="28"/>
          <w:szCs w:val="24"/>
          <w:lang w:val="es-ES" w:eastAsia="es-ES"/>
        </w:rPr>
      </w:pPr>
    </w:p>
    <w:p w14:paraId="0D0739DB" w14:textId="77777777" w:rsidR="00E63E1A" w:rsidRPr="005D164B" w:rsidRDefault="00E63E1A" w:rsidP="00E63E1A">
      <w:pPr>
        <w:spacing w:after="0" w:line="360" w:lineRule="auto"/>
        <w:jc w:val="both"/>
        <w:rPr>
          <w:rFonts w:ascii="Palatino Linotype" w:eastAsia="Times New Roman" w:hAnsi="Palatino Linotype" w:cs="Arial"/>
          <w:sz w:val="24"/>
          <w:szCs w:val="24"/>
          <w:lang w:val="es-ES" w:eastAsia="es-ES"/>
        </w:rPr>
      </w:pPr>
      <w:r w:rsidRPr="005D164B">
        <w:rPr>
          <w:rFonts w:ascii="Palatino Linotype" w:eastAsia="Times New Roman" w:hAnsi="Palatino Linotype" w:cs="Arial"/>
          <w:b/>
          <w:sz w:val="28"/>
          <w:szCs w:val="24"/>
          <w:lang w:val="es-ES" w:eastAsia="es-ES"/>
        </w:rPr>
        <w:t>TERCERO</w:t>
      </w:r>
      <w:r w:rsidRPr="005D164B">
        <w:rPr>
          <w:rFonts w:ascii="Palatino Linotype" w:eastAsia="Times New Roman" w:hAnsi="Palatino Linotype" w:cs="Arial"/>
          <w:b/>
          <w:sz w:val="24"/>
          <w:szCs w:val="24"/>
          <w:lang w:val="es-ES" w:eastAsia="es-ES"/>
        </w:rPr>
        <w:t>.</w:t>
      </w:r>
      <w:r w:rsidRPr="005D164B">
        <w:rPr>
          <w:rFonts w:ascii="Palatino Linotype" w:eastAsia="Times New Roman" w:hAnsi="Palatino Linotype" w:cs="Arial"/>
          <w:sz w:val="24"/>
          <w:szCs w:val="24"/>
          <w:lang w:val="es-ES" w:eastAsia="es-ES"/>
        </w:rPr>
        <w:t xml:space="preserve"> </w:t>
      </w:r>
      <w:r w:rsidRPr="005D164B">
        <w:rPr>
          <w:rFonts w:ascii="Palatino Linotype" w:eastAsia="Times New Roman" w:hAnsi="Palatino Linotype" w:cs="Arial"/>
          <w:b/>
          <w:sz w:val="24"/>
          <w:szCs w:val="24"/>
          <w:lang w:val="es-ES" w:eastAsia="es-ES"/>
        </w:rPr>
        <w:t>NOTIFÍQUESE</w:t>
      </w:r>
      <w:r w:rsidRPr="005D164B">
        <w:rPr>
          <w:rFonts w:ascii="Palatino Linotype" w:eastAsia="Times New Roman" w:hAnsi="Palatino Linotype" w:cs="Arial"/>
          <w:sz w:val="24"/>
          <w:szCs w:val="24"/>
          <w:lang w:val="es-ES" w:eastAsia="es-ES"/>
        </w:rPr>
        <w:t xml:space="preserve"> a través del</w:t>
      </w:r>
      <w:r w:rsidRPr="005D164B">
        <w:rPr>
          <w:rFonts w:ascii="Palatino Linotype" w:eastAsia="Times New Roman" w:hAnsi="Palatino Linotype" w:cs="Times New Roman"/>
          <w:sz w:val="24"/>
          <w:szCs w:val="24"/>
          <w:lang w:val="es-ES" w:eastAsia="es-ES"/>
        </w:rPr>
        <w:t xml:space="preserve"> Sistema de Acceso a la Información Mexiquense (SAIMEX)</w:t>
      </w:r>
      <w:r w:rsidRPr="005D164B">
        <w:rPr>
          <w:rFonts w:ascii="Palatino Linotype" w:eastAsia="Times New Roman" w:hAnsi="Palatino Linotype" w:cs="Arial"/>
          <w:sz w:val="24"/>
          <w:szCs w:val="24"/>
          <w:lang w:val="es-ES" w:eastAsia="es-ES"/>
        </w:rPr>
        <w:t xml:space="preserve">, al </w:t>
      </w:r>
      <w:r w:rsidRPr="005D164B">
        <w:rPr>
          <w:rFonts w:ascii="Palatino Linotype" w:eastAsia="Times New Roman" w:hAnsi="Palatino Linotype" w:cs="Arial"/>
          <w:b/>
          <w:sz w:val="24"/>
          <w:szCs w:val="24"/>
          <w:lang w:val="es-ES" w:eastAsia="es-ES"/>
        </w:rPr>
        <w:t xml:space="preserve">Recurrente </w:t>
      </w:r>
      <w:r w:rsidRPr="005D164B">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943322A" w14:textId="77777777" w:rsidR="00E63E1A" w:rsidRDefault="00E63E1A" w:rsidP="00E63E1A">
      <w:pPr>
        <w:spacing w:after="0" w:line="360" w:lineRule="auto"/>
        <w:ind w:right="141"/>
        <w:jc w:val="both"/>
        <w:rPr>
          <w:rFonts w:ascii="Palatino Linotype" w:eastAsiaTheme="minorEastAsia" w:hAnsi="Palatino Linotype"/>
          <w:color w:val="000000" w:themeColor="text1"/>
          <w:sz w:val="24"/>
          <w:szCs w:val="24"/>
          <w:lang w:val="es-ES_tradnl" w:eastAsia="es-ES"/>
        </w:rPr>
      </w:pPr>
    </w:p>
    <w:p w14:paraId="51E86A85" w14:textId="286763FC" w:rsidR="00E63E1A" w:rsidRPr="005129BA" w:rsidRDefault="00E63E1A" w:rsidP="005129B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NOVENA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VEINTIC</w:t>
      </w:r>
      <w:r w:rsidR="005129BA">
        <w:rPr>
          <w:rFonts w:ascii="Palatino Linotype" w:eastAsiaTheme="minorEastAsia" w:hAnsi="Palatino Linotype"/>
          <w:color w:val="000000" w:themeColor="text1"/>
          <w:sz w:val="24"/>
          <w:szCs w:val="24"/>
          <w:lang w:val="es-ES_tradnl" w:eastAsia="es-ES"/>
        </w:rPr>
        <w:t>UATRO</w:t>
      </w:r>
      <w:r>
        <w:rPr>
          <w:rFonts w:ascii="Palatino Linotype" w:eastAsiaTheme="minorEastAsia" w:hAnsi="Palatino Linotype"/>
          <w:color w:val="000000" w:themeColor="text1"/>
          <w:sz w:val="24"/>
          <w:szCs w:val="24"/>
          <w:lang w:val="es-ES_tradnl" w:eastAsia="es-ES"/>
        </w:rPr>
        <w:t xml:space="preserve"> DE MAYO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w:t>
      </w:r>
      <w:r w:rsidR="005129BA">
        <w:rPr>
          <w:rFonts w:ascii="Palatino Linotype" w:eastAsiaTheme="minorEastAsia" w:hAnsi="Palatino Linotype"/>
          <w:color w:val="000000" w:themeColor="text1"/>
          <w:sz w:val="24"/>
          <w:szCs w:val="24"/>
          <w:lang w:val="es-ES_tradnl" w:eastAsia="es-ES"/>
        </w:rPr>
        <w:t>TRÉ</w:t>
      </w:r>
      <w:r>
        <w:rPr>
          <w:rFonts w:ascii="Palatino Linotype" w:eastAsiaTheme="minorEastAsia" w:hAnsi="Palatino Linotype"/>
          <w:color w:val="000000" w:themeColor="text1"/>
          <w:sz w:val="24"/>
          <w:szCs w:val="24"/>
          <w:lang w:val="es-ES_tradnl" w:eastAsia="es-ES"/>
        </w:rPr>
        <w:t>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216787">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p>
    <w:p w14:paraId="5C4B546B" w14:textId="2B020849" w:rsidR="00E63E1A" w:rsidRPr="00EB66ED" w:rsidRDefault="00E63E1A" w:rsidP="00E63E1A">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8F7C0C">
        <w:rPr>
          <w:rFonts w:ascii="Palatino Linotype" w:hAnsi="Palatino Linotype"/>
          <w:sz w:val="16"/>
          <w:szCs w:val="18"/>
        </w:rPr>
        <w:t>bpac</w:t>
      </w:r>
    </w:p>
    <w:p w14:paraId="50F2807C" w14:textId="77777777" w:rsidR="00E63E1A" w:rsidRDefault="00E63E1A" w:rsidP="00E63E1A"/>
    <w:p w14:paraId="0237F94E" w14:textId="77777777" w:rsidR="00E63E1A" w:rsidRDefault="00E63E1A" w:rsidP="00E63E1A"/>
    <w:p w14:paraId="3863DA29" w14:textId="77777777" w:rsidR="00E63E1A" w:rsidRDefault="00E63E1A" w:rsidP="00E63E1A"/>
    <w:p w14:paraId="69B532E8" w14:textId="77777777" w:rsidR="00E63E1A" w:rsidRDefault="00E63E1A" w:rsidP="00E63E1A"/>
    <w:p w14:paraId="676EE138" w14:textId="77777777" w:rsidR="00E63E1A" w:rsidRDefault="00E63E1A" w:rsidP="00E63E1A"/>
    <w:p w14:paraId="23C3139D" w14:textId="77777777" w:rsidR="00E63E1A" w:rsidRDefault="00E63E1A" w:rsidP="00E63E1A"/>
    <w:p w14:paraId="0DD42197" w14:textId="77777777" w:rsidR="00E63E1A" w:rsidRDefault="00E63E1A" w:rsidP="00E63E1A"/>
    <w:p w14:paraId="1E195022" w14:textId="77777777" w:rsidR="00E63E1A" w:rsidRDefault="00E63E1A" w:rsidP="00E63E1A"/>
    <w:p w14:paraId="4C23FD9F" w14:textId="77777777" w:rsidR="00E63E1A" w:rsidRDefault="00E63E1A" w:rsidP="00E63E1A"/>
    <w:p w14:paraId="1BC58B5D" w14:textId="77777777" w:rsidR="00E63E1A" w:rsidRDefault="00E63E1A" w:rsidP="00E63E1A"/>
    <w:p w14:paraId="04803705" w14:textId="77777777" w:rsidR="00E63E1A" w:rsidRDefault="00E63E1A" w:rsidP="00E63E1A"/>
    <w:p w14:paraId="45CB7230" w14:textId="77777777" w:rsidR="00E63E1A" w:rsidRDefault="00E63E1A" w:rsidP="00E63E1A"/>
    <w:p w14:paraId="28E87E32" w14:textId="77777777" w:rsidR="00E63E1A" w:rsidRDefault="00E63E1A" w:rsidP="00E63E1A"/>
    <w:p w14:paraId="7A3E0712" w14:textId="77777777" w:rsidR="00E63E1A" w:rsidRDefault="00E63E1A" w:rsidP="00E63E1A"/>
    <w:p w14:paraId="38A2459C" w14:textId="77777777" w:rsidR="00E63E1A" w:rsidRDefault="00E63E1A" w:rsidP="00E63E1A"/>
    <w:p w14:paraId="4455461E" w14:textId="77777777" w:rsidR="00E63E1A" w:rsidRDefault="00E63E1A" w:rsidP="00E63E1A"/>
    <w:p w14:paraId="166FBB93" w14:textId="77777777" w:rsidR="00E63E1A" w:rsidRDefault="00E63E1A" w:rsidP="00E63E1A"/>
    <w:p w14:paraId="577BC59A" w14:textId="77777777" w:rsidR="002935AA" w:rsidRDefault="002935AA"/>
    <w:sectPr w:rsidR="002935AA" w:rsidSect="00D262A8">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73ECF" w14:textId="77777777" w:rsidR="00E63E1A" w:rsidRDefault="00E63E1A" w:rsidP="00E63E1A">
      <w:pPr>
        <w:spacing w:after="0" w:line="240" w:lineRule="auto"/>
      </w:pPr>
      <w:r>
        <w:separator/>
      </w:r>
    </w:p>
  </w:endnote>
  <w:endnote w:type="continuationSeparator" w:id="0">
    <w:p w14:paraId="0F1ACB6B" w14:textId="77777777" w:rsidR="00E63E1A" w:rsidRDefault="00E63E1A" w:rsidP="00E6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D1E78" w14:textId="515A60B8" w:rsidR="00D262A8" w:rsidRPr="000B69FA" w:rsidRDefault="00384D59" w:rsidP="00D262A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3099">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3099">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133CC" w14:textId="32F39E85" w:rsidR="00D262A8" w:rsidRPr="000B69FA" w:rsidRDefault="00384D59" w:rsidP="00D262A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309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3099">
      <w:rPr>
        <w:rFonts w:ascii="Palatino Linotype" w:hAnsi="Palatino Linotype"/>
        <w:bCs/>
        <w:noProof/>
        <w:sz w:val="20"/>
      </w:rPr>
      <w:t>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429C3" w14:textId="77777777" w:rsidR="00E63E1A" w:rsidRDefault="00E63E1A" w:rsidP="00E63E1A">
      <w:pPr>
        <w:spacing w:after="0" w:line="240" w:lineRule="auto"/>
      </w:pPr>
      <w:r>
        <w:separator/>
      </w:r>
    </w:p>
  </w:footnote>
  <w:footnote w:type="continuationSeparator" w:id="0">
    <w:p w14:paraId="14EFE34E" w14:textId="77777777" w:rsidR="00E63E1A" w:rsidRDefault="00E63E1A" w:rsidP="00E63E1A">
      <w:pPr>
        <w:spacing w:after="0" w:line="240" w:lineRule="auto"/>
      </w:pPr>
      <w:r>
        <w:continuationSeparator/>
      </w:r>
    </w:p>
  </w:footnote>
  <w:footnote w:id="1">
    <w:p w14:paraId="37A7A8E6" w14:textId="77777777" w:rsidR="00E63E1A" w:rsidRPr="009535FD" w:rsidRDefault="00E63E1A" w:rsidP="00E63E1A">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36075114" w14:textId="77777777" w:rsidR="00E63E1A" w:rsidRPr="009535FD" w:rsidRDefault="00E63E1A" w:rsidP="00E63E1A">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78AF" w14:textId="77777777" w:rsidR="00D262A8" w:rsidRDefault="00D262A8">
    <w:pPr>
      <w:pStyle w:val="Encabezado"/>
    </w:pPr>
    <w:r>
      <w:rPr>
        <w:noProof/>
      </w:rPr>
      <w:pict w14:anchorId="3BA39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19B5" w14:textId="77777777" w:rsidR="00D262A8" w:rsidRDefault="00D262A8">
    <w:pPr>
      <w:pStyle w:val="Encabezado"/>
    </w:pPr>
    <w:r>
      <w:rPr>
        <w:noProof/>
      </w:rPr>
      <w:pict w14:anchorId="0E561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262A8" w14:paraId="32B0A1EE" w14:textId="77777777" w:rsidTr="00D262A8">
      <w:trPr>
        <w:trHeight w:val="227"/>
      </w:trPr>
      <w:tc>
        <w:tcPr>
          <w:tcW w:w="5949" w:type="dxa"/>
          <w:hideMark/>
        </w:tcPr>
        <w:p w14:paraId="2EE8E190" w14:textId="77777777" w:rsidR="00D262A8" w:rsidRDefault="00384D59" w:rsidP="00D262A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37221C9E" w14:textId="77777777" w:rsidR="00D262A8" w:rsidRPr="00B4142F" w:rsidRDefault="00C039CD" w:rsidP="00D262A8">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17385</w:t>
          </w:r>
          <w:r w:rsidR="00384D59">
            <w:rPr>
              <w:rFonts w:ascii="Palatino Linotype" w:hAnsi="Palatino Linotype" w:cs="Arial"/>
              <w:bCs/>
              <w:sz w:val="24"/>
              <w:lang w:eastAsia="es-MX"/>
            </w:rPr>
            <w:t>/INFOEM/IP/RR/2022</w:t>
          </w:r>
        </w:p>
      </w:tc>
    </w:tr>
    <w:tr w:rsidR="00D262A8" w14:paraId="7D1304F3" w14:textId="77777777" w:rsidTr="00D262A8">
      <w:trPr>
        <w:trHeight w:val="242"/>
      </w:trPr>
      <w:tc>
        <w:tcPr>
          <w:tcW w:w="5949" w:type="dxa"/>
          <w:hideMark/>
        </w:tcPr>
        <w:p w14:paraId="3D40FAB5" w14:textId="77777777" w:rsidR="00D262A8" w:rsidRDefault="00384D59" w:rsidP="00D262A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0DEC408" w14:textId="77777777" w:rsidR="00D262A8" w:rsidRPr="00F06FED" w:rsidRDefault="00C039CD" w:rsidP="00D262A8">
          <w:pPr>
            <w:spacing w:after="120" w:line="256" w:lineRule="auto"/>
            <w:ind w:right="214"/>
            <w:jc w:val="right"/>
            <w:rPr>
              <w:rFonts w:ascii="Palatino Linotype" w:hAnsi="Palatino Linotype" w:cs="Arial"/>
            </w:rPr>
          </w:pPr>
          <w:r>
            <w:rPr>
              <w:rFonts w:ascii="Palatino Linotype" w:hAnsi="Palatino Linotype" w:cs="Arial"/>
            </w:rPr>
            <w:t>Secretaría de Finanzas</w:t>
          </w:r>
        </w:p>
      </w:tc>
    </w:tr>
    <w:tr w:rsidR="00D262A8" w14:paraId="5D68619B" w14:textId="77777777" w:rsidTr="00D262A8">
      <w:trPr>
        <w:trHeight w:val="342"/>
      </w:trPr>
      <w:tc>
        <w:tcPr>
          <w:tcW w:w="5949" w:type="dxa"/>
          <w:hideMark/>
        </w:tcPr>
        <w:p w14:paraId="5DB1D843" w14:textId="77777777" w:rsidR="00D262A8" w:rsidRDefault="00384D59" w:rsidP="00D262A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AC25CA2" w14:textId="77777777" w:rsidR="00D262A8" w:rsidRDefault="00384D59" w:rsidP="00D262A8">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8755E57" w14:textId="77777777" w:rsidR="00D262A8" w:rsidRDefault="00D262A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262A8" w14:paraId="6038F024" w14:textId="77777777" w:rsidTr="00D262A8">
      <w:trPr>
        <w:trHeight w:val="227"/>
      </w:trPr>
      <w:tc>
        <w:tcPr>
          <w:tcW w:w="6091" w:type="dxa"/>
          <w:hideMark/>
        </w:tcPr>
        <w:p w14:paraId="1215E9AB" w14:textId="77777777" w:rsidR="00D262A8" w:rsidRDefault="00384D59" w:rsidP="00D262A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DB1FCB7" w14:textId="77777777" w:rsidR="00D262A8" w:rsidRPr="00B4142F" w:rsidRDefault="00C039CD" w:rsidP="00D262A8">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17385</w:t>
          </w:r>
          <w:r w:rsidR="00384D59">
            <w:rPr>
              <w:rFonts w:ascii="Palatino Linotype" w:hAnsi="Palatino Linotype" w:cs="Arial"/>
              <w:bCs/>
              <w:sz w:val="24"/>
              <w:lang w:eastAsia="es-MX"/>
            </w:rPr>
            <w:t>/INFOEM/IP/RR/2022</w:t>
          </w:r>
        </w:p>
      </w:tc>
    </w:tr>
    <w:tr w:rsidR="00D262A8" w14:paraId="5C1A81CB" w14:textId="77777777" w:rsidTr="00D262A8">
      <w:trPr>
        <w:trHeight w:val="196"/>
      </w:trPr>
      <w:tc>
        <w:tcPr>
          <w:tcW w:w="6091" w:type="dxa"/>
          <w:hideMark/>
        </w:tcPr>
        <w:p w14:paraId="03617211" w14:textId="77777777" w:rsidR="00D262A8" w:rsidRDefault="00384D59" w:rsidP="00D262A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C61B99C" w14:textId="772B4331" w:rsidR="00D262A8" w:rsidRPr="00F06FED" w:rsidRDefault="00D262A8" w:rsidP="00D262A8">
          <w:pPr>
            <w:spacing w:after="120" w:line="256" w:lineRule="auto"/>
            <w:ind w:right="214"/>
            <w:jc w:val="right"/>
            <w:rPr>
              <w:rFonts w:ascii="Palatino Linotype" w:hAnsi="Palatino Linotype" w:cs="Arial"/>
            </w:rPr>
          </w:pPr>
          <w:r>
            <w:rPr>
              <w:rFonts w:ascii="Palatino Linotype" w:hAnsi="Palatino Linotype" w:cs="Arial"/>
            </w:rPr>
            <w:t>XXXXXXXXXXX</w:t>
          </w:r>
        </w:p>
      </w:tc>
    </w:tr>
    <w:tr w:rsidR="00D262A8" w14:paraId="7B8532B5" w14:textId="77777777" w:rsidTr="00D262A8">
      <w:trPr>
        <w:trHeight w:val="242"/>
      </w:trPr>
      <w:tc>
        <w:tcPr>
          <w:tcW w:w="6091" w:type="dxa"/>
          <w:hideMark/>
        </w:tcPr>
        <w:p w14:paraId="7FF226B4" w14:textId="77777777" w:rsidR="00D262A8" w:rsidRDefault="00384D59" w:rsidP="00D262A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7C3BF0E" w14:textId="77777777" w:rsidR="00D262A8" w:rsidRDefault="00C039CD" w:rsidP="00D262A8">
          <w:pPr>
            <w:spacing w:after="120" w:line="256" w:lineRule="auto"/>
            <w:ind w:right="214"/>
            <w:jc w:val="right"/>
            <w:rPr>
              <w:rFonts w:ascii="Palatino Linotype" w:hAnsi="Palatino Linotype" w:cs="Arial"/>
              <w:szCs w:val="20"/>
            </w:rPr>
          </w:pPr>
          <w:r>
            <w:rPr>
              <w:rFonts w:ascii="Palatino Linotype" w:hAnsi="Palatino Linotype" w:cs="Arial"/>
              <w:szCs w:val="20"/>
            </w:rPr>
            <w:t>Secretaría de Finanzas</w:t>
          </w:r>
        </w:p>
      </w:tc>
    </w:tr>
    <w:tr w:rsidR="00D262A8" w14:paraId="4B24D1EE" w14:textId="77777777" w:rsidTr="00D262A8">
      <w:trPr>
        <w:trHeight w:val="342"/>
      </w:trPr>
      <w:tc>
        <w:tcPr>
          <w:tcW w:w="6091" w:type="dxa"/>
          <w:hideMark/>
        </w:tcPr>
        <w:p w14:paraId="3FF7338E" w14:textId="77777777" w:rsidR="00D262A8" w:rsidRDefault="00384D59" w:rsidP="00D262A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9819459" w14:textId="77777777" w:rsidR="00D262A8" w:rsidRDefault="00384D59" w:rsidP="00D262A8">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E9668C2" w14:textId="77777777" w:rsidR="00D262A8" w:rsidRDefault="00D262A8">
    <w:pPr>
      <w:pStyle w:val="Encabezado"/>
    </w:pPr>
    <w:r>
      <w:rPr>
        <w:noProof/>
      </w:rPr>
      <w:pict w14:anchorId="17C33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54D53"/>
    <w:multiLevelType w:val="hybridMultilevel"/>
    <w:tmpl w:val="1FBCBD72"/>
    <w:lvl w:ilvl="0" w:tplc="EBB4EAAA">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F50F43"/>
    <w:multiLevelType w:val="hybridMultilevel"/>
    <w:tmpl w:val="990844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59857E1D"/>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hdrShapeDefaults>
    <o:shapedefaults v:ext="edit" spidmax="409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1A"/>
    <w:rsid w:val="00063609"/>
    <w:rsid w:val="00073653"/>
    <w:rsid w:val="000A222B"/>
    <w:rsid w:val="002935AA"/>
    <w:rsid w:val="00384D59"/>
    <w:rsid w:val="003A5B81"/>
    <w:rsid w:val="003F4611"/>
    <w:rsid w:val="005129BA"/>
    <w:rsid w:val="005229B5"/>
    <w:rsid w:val="005F3383"/>
    <w:rsid w:val="006106DC"/>
    <w:rsid w:val="00623D1A"/>
    <w:rsid w:val="00630376"/>
    <w:rsid w:val="006865C7"/>
    <w:rsid w:val="00703099"/>
    <w:rsid w:val="00852E6C"/>
    <w:rsid w:val="008B41DD"/>
    <w:rsid w:val="008F79DD"/>
    <w:rsid w:val="008F7C0C"/>
    <w:rsid w:val="00907D6C"/>
    <w:rsid w:val="00956FC2"/>
    <w:rsid w:val="00960F94"/>
    <w:rsid w:val="00970537"/>
    <w:rsid w:val="00985F89"/>
    <w:rsid w:val="009F3836"/>
    <w:rsid w:val="00A55D14"/>
    <w:rsid w:val="00A64A5A"/>
    <w:rsid w:val="00A65002"/>
    <w:rsid w:val="00B74371"/>
    <w:rsid w:val="00B82EFA"/>
    <w:rsid w:val="00BC48A8"/>
    <w:rsid w:val="00C039CD"/>
    <w:rsid w:val="00C429B1"/>
    <w:rsid w:val="00C47444"/>
    <w:rsid w:val="00D037B2"/>
    <w:rsid w:val="00D262A8"/>
    <w:rsid w:val="00D45956"/>
    <w:rsid w:val="00E13E54"/>
    <w:rsid w:val="00E25441"/>
    <w:rsid w:val="00E63E1A"/>
    <w:rsid w:val="00EA49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1E511C11"/>
  <w15:chartTrackingRefBased/>
  <w15:docId w15:val="{F21976C8-7D22-4ABA-95D7-9F8BACFD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E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3E1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63E1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63E1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63E1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63E1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63E1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63E1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63E1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63E1A"/>
    <w:rPr>
      <w:color w:val="0563C1" w:themeColor="hyperlink"/>
      <w:u w:val="single"/>
    </w:rPr>
  </w:style>
  <w:style w:type="paragraph" w:styleId="Sinespaciado">
    <w:name w:val="No Spacing"/>
    <w:aliases w:val="Francesa,INAI"/>
    <w:link w:val="SinespaciadoCar"/>
    <w:uiPriority w:val="1"/>
    <w:qFormat/>
    <w:rsid w:val="00E63E1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63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63E1A"/>
    <w:pPr>
      <w:spacing w:after="120"/>
    </w:pPr>
  </w:style>
  <w:style w:type="character" w:customStyle="1" w:styleId="TextoindependienteCar">
    <w:name w:val="Texto independiente Car"/>
    <w:basedOn w:val="Fuentedeprrafopredeter"/>
    <w:link w:val="Textoindependiente"/>
    <w:uiPriority w:val="99"/>
    <w:rsid w:val="00E6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9435">
      <w:bodyDiv w:val="1"/>
      <w:marLeft w:val="0"/>
      <w:marRight w:val="0"/>
      <w:marTop w:val="0"/>
      <w:marBottom w:val="0"/>
      <w:divBdr>
        <w:top w:val="none" w:sz="0" w:space="0" w:color="auto"/>
        <w:left w:val="none" w:sz="0" w:space="0" w:color="auto"/>
        <w:bottom w:val="none" w:sz="0" w:space="0" w:color="auto"/>
        <w:right w:val="none" w:sz="0" w:space="0" w:color="auto"/>
      </w:divBdr>
    </w:div>
    <w:div w:id="119153671">
      <w:bodyDiv w:val="1"/>
      <w:marLeft w:val="0"/>
      <w:marRight w:val="0"/>
      <w:marTop w:val="0"/>
      <w:marBottom w:val="0"/>
      <w:divBdr>
        <w:top w:val="none" w:sz="0" w:space="0" w:color="auto"/>
        <w:left w:val="none" w:sz="0" w:space="0" w:color="auto"/>
        <w:bottom w:val="none" w:sz="0" w:space="0" w:color="auto"/>
        <w:right w:val="none" w:sz="0" w:space="0" w:color="auto"/>
      </w:divBdr>
    </w:div>
    <w:div w:id="445318169">
      <w:bodyDiv w:val="1"/>
      <w:marLeft w:val="0"/>
      <w:marRight w:val="0"/>
      <w:marTop w:val="0"/>
      <w:marBottom w:val="0"/>
      <w:divBdr>
        <w:top w:val="none" w:sz="0" w:space="0" w:color="auto"/>
        <w:left w:val="none" w:sz="0" w:space="0" w:color="auto"/>
        <w:bottom w:val="none" w:sz="0" w:space="0" w:color="auto"/>
        <w:right w:val="none" w:sz="0" w:space="0" w:color="auto"/>
      </w:divBdr>
    </w:div>
    <w:div w:id="488905320">
      <w:bodyDiv w:val="1"/>
      <w:marLeft w:val="0"/>
      <w:marRight w:val="0"/>
      <w:marTop w:val="0"/>
      <w:marBottom w:val="0"/>
      <w:divBdr>
        <w:top w:val="none" w:sz="0" w:space="0" w:color="auto"/>
        <w:left w:val="none" w:sz="0" w:space="0" w:color="auto"/>
        <w:bottom w:val="none" w:sz="0" w:space="0" w:color="auto"/>
        <w:right w:val="none" w:sz="0" w:space="0" w:color="auto"/>
      </w:divBdr>
    </w:div>
    <w:div w:id="971638797">
      <w:bodyDiv w:val="1"/>
      <w:marLeft w:val="0"/>
      <w:marRight w:val="0"/>
      <w:marTop w:val="0"/>
      <w:marBottom w:val="0"/>
      <w:divBdr>
        <w:top w:val="none" w:sz="0" w:space="0" w:color="auto"/>
        <w:left w:val="none" w:sz="0" w:space="0" w:color="auto"/>
        <w:bottom w:val="none" w:sz="0" w:space="0" w:color="auto"/>
        <w:right w:val="none" w:sz="0" w:space="0" w:color="auto"/>
      </w:divBdr>
    </w:div>
    <w:div w:id="1537890824">
      <w:bodyDiv w:val="1"/>
      <w:marLeft w:val="0"/>
      <w:marRight w:val="0"/>
      <w:marTop w:val="0"/>
      <w:marBottom w:val="0"/>
      <w:divBdr>
        <w:top w:val="none" w:sz="0" w:space="0" w:color="auto"/>
        <w:left w:val="none" w:sz="0" w:space="0" w:color="auto"/>
        <w:bottom w:val="none" w:sz="0" w:space="0" w:color="auto"/>
        <w:right w:val="none" w:sz="0" w:space="0" w:color="auto"/>
      </w:divBdr>
    </w:div>
    <w:div w:id="1576015734">
      <w:bodyDiv w:val="1"/>
      <w:marLeft w:val="0"/>
      <w:marRight w:val="0"/>
      <w:marTop w:val="0"/>
      <w:marBottom w:val="0"/>
      <w:divBdr>
        <w:top w:val="none" w:sz="0" w:space="0" w:color="auto"/>
        <w:left w:val="none" w:sz="0" w:space="0" w:color="auto"/>
        <w:bottom w:val="none" w:sz="0" w:space="0" w:color="auto"/>
        <w:right w:val="none" w:sz="0" w:space="0" w:color="auto"/>
      </w:divBdr>
      <w:divsChild>
        <w:div w:id="2110008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27</Pages>
  <Words>6396</Words>
  <Characters>35179</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cp:revision>
  <dcterms:created xsi:type="dcterms:W3CDTF">2023-05-09T00:09:00Z</dcterms:created>
  <dcterms:modified xsi:type="dcterms:W3CDTF">2023-06-06T22:36:00Z</dcterms:modified>
</cp:coreProperties>
</file>