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6FE23B" w14:textId="43A0D0CC" w:rsidR="00051642" w:rsidRPr="00507A3E" w:rsidRDefault="00051642" w:rsidP="008567E8">
      <w:pPr>
        <w:tabs>
          <w:tab w:val="left" w:pos="8931"/>
        </w:tabs>
        <w:spacing w:after="0" w:line="360" w:lineRule="auto"/>
        <w:rPr>
          <w:rFonts w:eastAsia="Calibri" w:cs="Tahoma"/>
          <w:lang w:val="es-ES"/>
        </w:rPr>
      </w:pPr>
      <w:r w:rsidRPr="00507A3E">
        <w:rPr>
          <w:rFonts w:cs="Tahoma"/>
          <w:bCs/>
        </w:rPr>
        <w:t xml:space="preserve">Resolución del Pleno del Instituto de Transparencia, Acceso a la Información Pública y Protección de Datos Personales del Estado de México y Municipios, con domicilio en Metepec, </w:t>
      </w:r>
      <w:r w:rsidRPr="00507A3E">
        <w:rPr>
          <w:rFonts w:eastAsia="Calibri" w:cs="Tahoma"/>
          <w:lang w:val="es-ES"/>
        </w:rPr>
        <w:t xml:space="preserve">Estado de México, de fecha </w:t>
      </w:r>
      <w:r w:rsidR="00F23FAC">
        <w:rPr>
          <w:rFonts w:cs="Tahoma"/>
          <w:bCs/>
        </w:rPr>
        <w:t>veintidós</w:t>
      </w:r>
      <w:r w:rsidR="00F23FAC" w:rsidRPr="00966C54">
        <w:rPr>
          <w:rFonts w:cs="Tahoma"/>
          <w:bCs/>
        </w:rPr>
        <w:t xml:space="preserve"> de marzo de dos mil veintitrés</w:t>
      </w:r>
      <w:r w:rsidR="008626CE" w:rsidRPr="00507A3E">
        <w:rPr>
          <w:rFonts w:eastAsia="Calibri" w:cs="Tahoma"/>
          <w:lang w:val="es-ES"/>
        </w:rPr>
        <w:t>.</w:t>
      </w:r>
    </w:p>
    <w:p w14:paraId="6246E0DA" w14:textId="77777777" w:rsidR="00051642" w:rsidRPr="00507A3E" w:rsidRDefault="00051642" w:rsidP="008567E8">
      <w:pPr>
        <w:spacing w:after="0" w:line="360" w:lineRule="auto"/>
        <w:rPr>
          <w:rFonts w:eastAsia="Calibri" w:cs="Tahoma"/>
          <w:b/>
          <w:bCs/>
          <w:lang w:val="es-ES"/>
        </w:rPr>
      </w:pPr>
    </w:p>
    <w:p w14:paraId="542CE8DB" w14:textId="27FCE9E0" w:rsidR="00051642" w:rsidRPr="00507A3E" w:rsidRDefault="00051642" w:rsidP="008567E8">
      <w:pPr>
        <w:spacing w:after="0" w:line="360" w:lineRule="auto"/>
        <w:rPr>
          <w:rFonts w:cs="Tahoma"/>
          <w:bCs/>
          <w:color w:val="0D0D0D" w:themeColor="text1" w:themeTint="F2"/>
        </w:rPr>
      </w:pPr>
      <w:r w:rsidRPr="00507A3E">
        <w:rPr>
          <w:rFonts w:eastAsia="Calibri" w:cs="Tahoma"/>
          <w:b/>
          <w:bCs/>
          <w:lang w:val="es-ES"/>
        </w:rPr>
        <w:t xml:space="preserve">VISTO </w:t>
      </w:r>
      <w:r w:rsidRPr="00507A3E">
        <w:rPr>
          <w:rFonts w:eastAsia="Calibri" w:cs="Tahoma"/>
          <w:lang w:val="es-ES"/>
        </w:rPr>
        <w:t>el expediente conformado con motivo de</w:t>
      </w:r>
      <w:r w:rsidR="008567E8" w:rsidRPr="00507A3E">
        <w:rPr>
          <w:rFonts w:eastAsia="Calibri" w:cs="Tahoma"/>
          <w:lang w:val="es-ES"/>
        </w:rPr>
        <w:t xml:space="preserve"> </w:t>
      </w:r>
      <w:r w:rsidRPr="00507A3E">
        <w:rPr>
          <w:rFonts w:eastAsia="Calibri" w:cs="Tahoma"/>
          <w:lang w:val="es-ES"/>
        </w:rPr>
        <w:t>l</w:t>
      </w:r>
      <w:r w:rsidR="008567E8" w:rsidRPr="00507A3E">
        <w:rPr>
          <w:rFonts w:eastAsia="Calibri" w:cs="Tahoma"/>
          <w:lang w:val="es-ES"/>
        </w:rPr>
        <w:t>os</w:t>
      </w:r>
      <w:r w:rsidRPr="00507A3E">
        <w:rPr>
          <w:rFonts w:eastAsia="Calibri" w:cs="Tahoma"/>
          <w:lang w:val="es-ES"/>
        </w:rPr>
        <w:t xml:space="preserve"> Recurso</w:t>
      </w:r>
      <w:r w:rsidR="008567E8" w:rsidRPr="00507A3E">
        <w:rPr>
          <w:rFonts w:eastAsia="Calibri" w:cs="Tahoma"/>
          <w:lang w:val="es-ES"/>
        </w:rPr>
        <w:t>s</w:t>
      </w:r>
      <w:r w:rsidRPr="00507A3E">
        <w:rPr>
          <w:rFonts w:eastAsia="Calibri" w:cs="Tahoma"/>
          <w:lang w:val="es-ES"/>
        </w:rPr>
        <w:t xml:space="preserve"> de Revisión </w:t>
      </w:r>
      <w:bookmarkStart w:id="0" w:name="_Hlk129727155"/>
      <w:r w:rsidR="001B7A7E" w:rsidRPr="00507A3E">
        <w:rPr>
          <w:rFonts w:eastAsia="Calibri" w:cs="Tahoma"/>
          <w:b/>
        </w:rPr>
        <w:t>17126/INFOEM/IP/RR/2022</w:t>
      </w:r>
      <w:bookmarkEnd w:id="0"/>
      <w:r w:rsidRPr="00507A3E">
        <w:rPr>
          <w:rFonts w:eastAsia="Calibri" w:cs="Tahoma"/>
          <w:b/>
        </w:rPr>
        <w:t>,</w:t>
      </w:r>
      <w:r w:rsidRPr="00507A3E">
        <w:rPr>
          <w:rFonts w:eastAsia="Calibri" w:cs="Tahoma"/>
        </w:rPr>
        <w:t xml:space="preserve"> interpuesto</w:t>
      </w:r>
      <w:r w:rsidR="008567E8" w:rsidRPr="00507A3E">
        <w:rPr>
          <w:rFonts w:eastAsia="Calibri" w:cs="Tahoma"/>
        </w:rPr>
        <w:t>s</w:t>
      </w:r>
      <w:r w:rsidRPr="00507A3E">
        <w:rPr>
          <w:rFonts w:eastAsia="Calibri" w:cs="Tahoma"/>
        </w:rPr>
        <w:t xml:space="preserve"> </w:t>
      </w:r>
      <w:r w:rsidR="008626CE" w:rsidRPr="00507A3E">
        <w:rPr>
          <w:rFonts w:eastAsia="Calibri" w:cs="Tahoma"/>
        </w:rPr>
        <w:t xml:space="preserve">por </w:t>
      </w:r>
      <w:r w:rsidR="00D679B6" w:rsidRPr="00507A3E">
        <w:rPr>
          <w:rFonts w:eastAsia="Calibri" w:cs="Tahoma"/>
        </w:rPr>
        <w:t xml:space="preserve">el </w:t>
      </w:r>
      <w:r w:rsidRPr="00507A3E">
        <w:rPr>
          <w:rFonts w:cs="Tahoma"/>
          <w:color w:val="0D0D0D" w:themeColor="text1" w:themeTint="F2"/>
        </w:rPr>
        <w:t xml:space="preserve">Recurrente o Particular, en contra de la falta de respuesta del Sujeto Obligado, </w:t>
      </w:r>
      <w:r w:rsidR="008626CE" w:rsidRPr="00507A3E">
        <w:rPr>
          <w:rFonts w:cs="Tahoma"/>
          <w:color w:val="0D0D0D" w:themeColor="text1" w:themeTint="F2"/>
        </w:rPr>
        <w:t>Ayuntamiento de Zinacantepec</w:t>
      </w:r>
      <w:r w:rsidRPr="00507A3E">
        <w:rPr>
          <w:rFonts w:cs="Tahoma"/>
          <w:color w:val="0D0D0D" w:themeColor="text1" w:themeTint="F2"/>
        </w:rPr>
        <w:t xml:space="preserve">, a la solicitud de acceso a la información pública </w:t>
      </w:r>
      <w:r w:rsidR="001B7A7E" w:rsidRPr="00507A3E">
        <w:rPr>
          <w:rFonts w:cs="Tahoma"/>
          <w:color w:val="0D0D0D" w:themeColor="text1" w:themeTint="F2"/>
        </w:rPr>
        <w:t>01159/ZINACANT/IP/2022</w:t>
      </w:r>
      <w:r w:rsidRPr="00507A3E">
        <w:rPr>
          <w:rFonts w:cs="Tahoma"/>
          <w:iCs/>
          <w:color w:val="0D0D0D" w:themeColor="text1" w:themeTint="F2"/>
        </w:rPr>
        <w:t>,</w:t>
      </w:r>
      <w:r w:rsidRPr="00507A3E">
        <w:rPr>
          <w:rFonts w:cs="Tahoma"/>
          <w:color w:val="0D0D0D" w:themeColor="text1" w:themeTint="F2"/>
        </w:rPr>
        <w:t xml:space="preserve"> se emite</w:t>
      </w:r>
      <w:r w:rsidRPr="00507A3E">
        <w:rPr>
          <w:rFonts w:cs="Tahoma"/>
          <w:bCs/>
          <w:color w:val="0D0D0D" w:themeColor="text1" w:themeTint="F2"/>
        </w:rPr>
        <w:t xml:space="preserve"> la presente Resolución, con base en los Antecedentes y Considerandos que se exponen a continuación:</w:t>
      </w:r>
    </w:p>
    <w:p w14:paraId="5A1C6FC2" w14:textId="77777777" w:rsidR="005369D0" w:rsidRPr="00507A3E" w:rsidRDefault="005369D0" w:rsidP="008567E8">
      <w:pPr>
        <w:spacing w:after="0" w:line="360" w:lineRule="auto"/>
        <w:rPr>
          <w:rFonts w:cs="Tahoma"/>
          <w:color w:val="0D0D0D" w:themeColor="text1" w:themeTint="F2"/>
        </w:rPr>
      </w:pPr>
    </w:p>
    <w:p w14:paraId="18EA1E5E" w14:textId="77777777" w:rsidR="00051642" w:rsidRPr="00507A3E" w:rsidRDefault="00051642" w:rsidP="008567E8">
      <w:pPr>
        <w:spacing w:after="0" w:line="360" w:lineRule="auto"/>
        <w:jc w:val="center"/>
        <w:rPr>
          <w:rFonts w:eastAsia="Calibri" w:cs="Tahoma"/>
          <w:b/>
          <w:bCs/>
          <w:lang w:val="es-ES"/>
        </w:rPr>
      </w:pPr>
      <w:r w:rsidRPr="00507A3E">
        <w:rPr>
          <w:rFonts w:eastAsia="Calibri" w:cs="Tahoma"/>
          <w:b/>
          <w:bCs/>
          <w:lang w:val="es-ES"/>
        </w:rPr>
        <w:t>A N T E C E D E N T E S:</w:t>
      </w:r>
    </w:p>
    <w:p w14:paraId="689BB71D" w14:textId="77777777" w:rsidR="00051642" w:rsidRPr="00507A3E" w:rsidRDefault="00051642" w:rsidP="008567E8">
      <w:pPr>
        <w:spacing w:after="0" w:line="360" w:lineRule="auto"/>
        <w:rPr>
          <w:lang w:val="es-ES"/>
        </w:rPr>
      </w:pPr>
    </w:p>
    <w:p w14:paraId="38CCD1DD" w14:textId="6B66828B" w:rsidR="00051642" w:rsidRPr="00507A3E" w:rsidRDefault="00051642" w:rsidP="008567E8">
      <w:pPr>
        <w:spacing w:after="0" w:line="360" w:lineRule="auto"/>
        <w:rPr>
          <w:rFonts w:eastAsia="Calibri" w:cs="Tahoma"/>
          <w:b/>
          <w:bCs/>
          <w:lang w:val="es-ES"/>
        </w:rPr>
      </w:pPr>
      <w:r w:rsidRPr="00507A3E">
        <w:rPr>
          <w:rFonts w:eastAsia="Calibri" w:cs="Tahoma"/>
          <w:b/>
          <w:bCs/>
          <w:lang w:val="es-ES"/>
        </w:rPr>
        <w:t>I. Presentación de la solicitud de información.</w:t>
      </w:r>
    </w:p>
    <w:p w14:paraId="249BEE91" w14:textId="77777777" w:rsidR="00051642" w:rsidRPr="00507A3E" w:rsidRDefault="00051642" w:rsidP="008567E8">
      <w:pPr>
        <w:spacing w:after="0" w:line="360" w:lineRule="auto"/>
        <w:rPr>
          <w:rFonts w:eastAsia="Calibri" w:cs="Tahoma"/>
          <w:b/>
          <w:bCs/>
          <w:lang w:val="es-ES"/>
        </w:rPr>
      </w:pPr>
    </w:p>
    <w:p w14:paraId="6DD77042" w14:textId="28D8F6EE" w:rsidR="005369D0" w:rsidRPr="00507A3E" w:rsidRDefault="005369D0" w:rsidP="008567E8">
      <w:pPr>
        <w:autoSpaceDE w:val="0"/>
        <w:autoSpaceDN w:val="0"/>
        <w:adjustRightInd w:val="0"/>
        <w:spacing w:after="0" w:line="360" w:lineRule="auto"/>
        <w:rPr>
          <w:rFonts w:cs="Tahoma"/>
          <w:bCs/>
        </w:rPr>
      </w:pPr>
      <w:r w:rsidRPr="00507A3E">
        <w:rPr>
          <w:rFonts w:cs="Tahoma"/>
        </w:rPr>
        <w:t xml:space="preserve">Con fecha </w:t>
      </w:r>
      <w:r w:rsidR="001B7A7E" w:rsidRPr="00507A3E">
        <w:rPr>
          <w:rFonts w:cs="Tahoma"/>
        </w:rPr>
        <w:t>treinta y uno</w:t>
      </w:r>
      <w:r w:rsidR="007A16A9" w:rsidRPr="00507A3E">
        <w:rPr>
          <w:rFonts w:cs="Tahoma"/>
        </w:rPr>
        <w:t xml:space="preserve"> de </w:t>
      </w:r>
      <w:r w:rsidR="001B7A7E" w:rsidRPr="00507A3E">
        <w:rPr>
          <w:rFonts w:cs="Tahoma"/>
        </w:rPr>
        <w:t>octubre</w:t>
      </w:r>
      <w:r w:rsidR="00040084" w:rsidRPr="00507A3E">
        <w:rPr>
          <w:rFonts w:cs="Tahoma"/>
        </w:rPr>
        <w:t xml:space="preserve"> de dos mil veintidós</w:t>
      </w:r>
      <w:r w:rsidRPr="00507A3E">
        <w:rPr>
          <w:rFonts w:cs="Tahoma"/>
        </w:rPr>
        <w:t xml:space="preserve">, el Particular presentó </w:t>
      </w:r>
      <w:r w:rsidR="003B58AA" w:rsidRPr="00507A3E">
        <w:rPr>
          <w:rFonts w:cs="Tahoma"/>
        </w:rPr>
        <w:t xml:space="preserve">una </w:t>
      </w:r>
      <w:r w:rsidR="008567E8" w:rsidRPr="00507A3E">
        <w:rPr>
          <w:rFonts w:cs="Tahoma"/>
        </w:rPr>
        <w:t>solicitu</w:t>
      </w:r>
      <w:r w:rsidR="003B58AA" w:rsidRPr="00507A3E">
        <w:rPr>
          <w:rFonts w:cs="Tahoma"/>
        </w:rPr>
        <w:t>d</w:t>
      </w:r>
      <w:r w:rsidRPr="00507A3E">
        <w:rPr>
          <w:rFonts w:cs="Tahoma"/>
        </w:rPr>
        <w:t xml:space="preserve"> de acceso a la información pública, a través del Sistema de Acceso a la Información Mexiquense (SAIMEX), ante </w:t>
      </w:r>
      <w:r w:rsidR="00D679B6" w:rsidRPr="00507A3E">
        <w:rPr>
          <w:rFonts w:cs="Tahoma"/>
        </w:rPr>
        <w:t>el</w:t>
      </w:r>
      <w:r w:rsidRPr="00507A3E">
        <w:rPr>
          <w:rFonts w:cs="Tahoma"/>
        </w:rPr>
        <w:t xml:space="preserve"> </w:t>
      </w:r>
      <w:bookmarkStart w:id="1" w:name="_Hlk85623687"/>
      <w:r w:rsidR="00D679B6" w:rsidRPr="00507A3E">
        <w:rPr>
          <w:rFonts w:cs="Tahoma"/>
          <w:bCs/>
        </w:rPr>
        <w:t xml:space="preserve">Ayuntamiento de </w:t>
      </w:r>
      <w:bookmarkEnd w:id="1"/>
      <w:r w:rsidR="00040084" w:rsidRPr="00507A3E">
        <w:rPr>
          <w:rFonts w:cs="Tahoma"/>
          <w:bCs/>
        </w:rPr>
        <w:t>Zinacantepec</w:t>
      </w:r>
      <w:r w:rsidRPr="00507A3E">
        <w:rPr>
          <w:rFonts w:cs="Tahoma"/>
          <w:bCs/>
        </w:rPr>
        <w:t>, en los siguientes términos:</w:t>
      </w:r>
    </w:p>
    <w:p w14:paraId="7E3755BC" w14:textId="77777777" w:rsidR="003B58AA" w:rsidRPr="00507A3E" w:rsidRDefault="003B58AA" w:rsidP="008567E8">
      <w:pPr>
        <w:autoSpaceDE w:val="0"/>
        <w:autoSpaceDN w:val="0"/>
        <w:adjustRightInd w:val="0"/>
        <w:spacing w:after="0" w:line="360" w:lineRule="auto"/>
        <w:rPr>
          <w:rFonts w:cs="Tahoma"/>
          <w:bCs/>
        </w:rPr>
      </w:pPr>
    </w:p>
    <w:p w14:paraId="553643A9" w14:textId="0C4E7079" w:rsidR="002A2C08" w:rsidRPr="00507A3E" w:rsidRDefault="001D70CD" w:rsidP="008567E8">
      <w:pPr>
        <w:tabs>
          <w:tab w:val="left" w:pos="4667"/>
        </w:tabs>
        <w:spacing w:after="0" w:line="360" w:lineRule="auto"/>
        <w:ind w:left="567" w:right="567"/>
        <w:rPr>
          <w:rFonts w:cs="Tahoma"/>
          <w:b/>
          <w:bCs/>
          <w:i/>
          <w:sz w:val="20"/>
          <w:szCs w:val="20"/>
        </w:rPr>
      </w:pPr>
      <w:r w:rsidRPr="00507A3E">
        <w:rPr>
          <w:rFonts w:cs="Tahoma"/>
          <w:b/>
          <w:bCs/>
          <w:i/>
          <w:sz w:val="20"/>
          <w:szCs w:val="20"/>
        </w:rPr>
        <w:t>“</w:t>
      </w:r>
      <w:r w:rsidR="002A2C08" w:rsidRPr="00507A3E">
        <w:rPr>
          <w:rFonts w:cs="Tahoma"/>
          <w:b/>
          <w:bCs/>
          <w:i/>
          <w:sz w:val="20"/>
          <w:szCs w:val="20"/>
        </w:rPr>
        <w:t>DESCRIPCIÓN CLARA Y PRECISA DE LA INFORMACIÓN SOLICITADA</w:t>
      </w:r>
    </w:p>
    <w:p w14:paraId="1DCE85F6" w14:textId="5EB6991D" w:rsidR="002A2C08" w:rsidRPr="00507A3E" w:rsidRDefault="001B7A7E" w:rsidP="008567E8">
      <w:pPr>
        <w:tabs>
          <w:tab w:val="left" w:pos="4667"/>
        </w:tabs>
        <w:spacing w:after="0" w:line="360" w:lineRule="auto"/>
        <w:ind w:left="567" w:right="567"/>
        <w:rPr>
          <w:rFonts w:cs="Tahoma"/>
          <w:bCs/>
          <w:i/>
          <w:sz w:val="20"/>
          <w:szCs w:val="20"/>
        </w:rPr>
      </w:pPr>
      <w:r w:rsidRPr="00507A3E">
        <w:rPr>
          <w:rFonts w:cs="Tahoma"/>
          <w:bCs/>
          <w:i/>
          <w:sz w:val="20"/>
          <w:szCs w:val="20"/>
        </w:rPr>
        <w:t xml:space="preserve">solicito de la manera </w:t>
      </w:r>
      <w:proofErr w:type="spellStart"/>
      <w:r w:rsidRPr="00507A3E">
        <w:rPr>
          <w:rFonts w:cs="Tahoma"/>
          <w:bCs/>
          <w:i/>
          <w:sz w:val="20"/>
          <w:szCs w:val="20"/>
        </w:rPr>
        <w:t>mas</w:t>
      </w:r>
      <w:proofErr w:type="spellEnd"/>
      <w:r w:rsidRPr="00507A3E">
        <w:rPr>
          <w:rFonts w:cs="Tahoma"/>
          <w:bCs/>
          <w:i/>
          <w:sz w:val="20"/>
          <w:szCs w:val="20"/>
        </w:rPr>
        <w:t xml:space="preserve"> atenta la </w:t>
      </w:r>
      <w:proofErr w:type="spellStart"/>
      <w:r w:rsidRPr="00507A3E">
        <w:rPr>
          <w:rFonts w:cs="Tahoma"/>
          <w:bCs/>
          <w:i/>
          <w:sz w:val="20"/>
          <w:szCs w:val="20"/>
        </w:rPr>
        <w:t>renuncio</w:t>
      </w:r>
      <w:proofErr w:type="spellEnd"/>
      <w:r w:rsidRPr="00507A3E">
        <w:rPr>
          <w:rFonts w:cs="Tahoma"/>
          <w:bCs/>
          <w:i/>
          <w:sz w:val="20"/>
          <w:szCs w:val="20"/>
        </w:rPr>
        <w:t xml:space="preserve"> y recibos de </w:t>
      </w:r>
      <w:proofErr w:type="spellStart"/>
      <w:r w:rsidRPr="00507A3E">
        <w:rPr>
          <w:rFonts w:cs="Tahoma"/>
          <w:bCs/>
          <w:i/>
          <w:sz w:val="20"/>
          <w:szCs w:val="20"/>
        </w:rPr>
        <w:t>nomina</w:t>
      </w:r>
      <w:proofErr w:type="spellEnd"/>
      <w:r w:rsidRPr="00507A3E">
        <w:rPr>
          <w:rFonts w:cs="Tahoma"/>
          <w:bCs/>
          <w:i/>
          <w:sz w:val="20"/>
          <w:szCs w:val="20"/>
        </w:rPr>
        <w:t xml:space="preserve"> de la ciudadana josefina </w:t>
      </w:r>
      <w:proofErr w:type="spellStart"/>
      <w:r w:rsidRPr="00507A3E">
        <w:rPr>
          <w:rFonts w:cs="Tahoma"/>
          <w:bCs/>
          <w:i/>
          <w:sz w:val="20"/>
          <w:szCs w:val="20"/>
        </w:rPr>
        <w:t>aide</w:t>
      </w:r>
      <w:proofErr w:type="spellEnd"/>
      <w:r w:rsidRPr="00507A3E">
        <w:rPr>
          <w:rFonts w:cs="Tahoma"/>
          <w:bCs/>
          <w:i/>
          <w:sz w:val="20"/>
          <w:szCs w:val="20"/>
        </w:rPr>
        <w:t xml:space="preserve"> flores que se </w:t>
      </w:r>
      <w:proofErr w:type="spellStart"/>
      <w:r w:rsidRPr="00507A3E">
        <w:rPr>
          <w:rFonts w:cs="Tahoma"/>
          <w:bCs/>
          <w:i/>
          <w:sz w:val="20"/>
          <w:szCs w:val="20"/>
        </w:rPr>
        <w:t>desempeño</w:t>
      </w:r>
      <w:proofErr w:type="spellEnd"/>
      <w:r w:rsidRPr="00507A3E">
        <w:rPr>
          <w:rFonts w:cs="Tahoma"/>
          <w:bCs/>
          <w:i/>
          <w:sz w:val="20"/>
          <w:szCs w:val="20"/>
        </w:rPr>
        <w:t xml:space="preserve"> como servidora </w:t>
      </w:r>
      <w:proofErr w:type="spellStart"/>
      <w:r w:rsidRPr="00507A3E">
        <w:rPr>
          <w:rFonts w:cs="Tahoma"/>
          <w:bCs/>
          <w:i/>
          <w:sz w:val="20"/>
          <w:szCs w:val="20"/>
        </w:rPr>
        <w:t>publica</w:t>
      </w:r>
      <w:proofErr w:type="spellEnd"/>
      <w:r w:rsidRPr="00507A3E">
        <w:rPr>
          <w:rFonts w:cs="Tahoma"/>
          <w:bCs/>
          <w:i/>
          <w:sz w:val="20"/>
          <w:szCs w:val="20"/>
        </w:rPr>
        <w:t xml:space="preserve"> de ese municipio en esta </w:t>
      </w:r>
      <w:proofErr w:type="spellStart"/>
      <w:r w:rsidRPr="00507A3E">
        <w:rPr>
          <w:rFonts w:cs="Tahoma"/>
          <w:bCs/>
          <w:i/>
          <w:sz w:val="20"/>
          <w:szCs w:val="20"/>
        </w:rPr>
        <w:t>administracion</w:t>
      </w:r>
      <w:proofErr w:type="spellEnd"/>
      <w:r w:rsidRPr="00507A3E">
        <w:rPr>
          <w:rFonts w:cs="Tahoma"/>
          <w:bCs/>
          <w:i/>
          <w:sz w:val="20"/>
          <w:szCs w:val="20"/>
        </w:rPr>
        <w:t xml:space="preserve"> de igual forma recibos de </w:t>
      </w:r>
      <w:proofErr w:type="spellStart"/>
      <w:r w:rsidRPr="00507A3E">
        <w:rPr>
          <w:rFonts w:cs="Tahoma"/>
          <w:bCs/>
          <w:i/>
          <w:sz w:val="20"/>
          <w:szCs w:val="20"/>
        </w:rPr>
        <w:t>nomina</w:t>
      </w:r>
      <w:proofErr w:type="spellEnd"/>
      <w:r w:rsidRPr="00507A3E">
        <w:rPr>
          <w:rFonts w:cs="Tahoma"/>
          <w:bCs/>
          <w:i/>
          <w:sz w:val="20"/>
          <w:szCs w:val="20"/>
        </w:rPr>
        <w:t xml:space="preserve"> del regidor su esposo </w:t>
      </w:r>
      <w:proofErr w:type="spellStart"/>
      <w:r w:rsidRPr="00507A3E">
        <w:rPr>
          <w:rFonts w:cs="Tahoma"/>
          <w:bCs/>
          <w:i/>
          <w:sz w:val="20"/>
          <w:szCs w:val="20"/>
        </w:rPr>
        <w:t>jose</w:t>
      </w:r>
      <w:proofErr w:type="spellEnd"/>
      <w:r w:rsidRPr="00507A3E">
        <w:rPr>
          <w:rFonts w:cs="Tahoma"/>
          <w:bCs/>
          <w:i/>
          <w:sz w:val="20"/>
          <w:szCs w:val="20"/>
        </w:rPr>
        <w:t xml:space="preserve"> </w:t>
      </w:r>
      <w:proofErr w:type="spellStart"/>
      <w:r w:rsidRPr="00507A3E">
        <w:rPr>
          <w:rFonts w:cs="Tahoma"/>
          <w:bCs/>
          <w:i/>
          <w:sz w:val="20"/>
          <w:szCs w:val="20"/>
        </w:rPr>
        <w:t>alfredo</w:t>
      </w:r>
      <w:proofErr w:type="spellEnd"/>
      <w:r w:rsidRPr="00507A3E">
        <w:rPr>
          <w:rFonts w:cs="Tahoma"/>
          <w:bCs/>
          <w:i/>
          <w:sz w:val="20"/>
          <w:szCs w:val="20"/>
        </w:rPr>
        <w:t xml:space="preserve"> </w:t>
      </w:r>
      <w:proofErr w:type="spellStart"/>
      <w:r w:rsidRPr="00507A3E">
        <w:rPr>
          <w:rFonts w:cs="Tahoma"/>
          <w:bCs/>
          <w:i/>
          <w:sz w:val="20"/>
          <w:szCs w:val="20"/>
        </w:rPr>
        <w:t>guizar</w:t>
      </w:r>
      <w:proofErr w:type="spellEnd"/>
      <w:r w:rsidRPr="00507A3E">
        <w:rPr>
          <w:rFonts w:cs="Tahoma"/>
          <w:bCs/>
          <w:i/>
          <w:sz w:val="20"/>
          <w:szCs w:val="20"/>
        </w:rPr>
        <w:t xml:space="preserve"> </w:t>
      </w:r>
      <w:proofErr w:type="spellStart"/>
      <w:r w:rsidRPr="00507A3E">
        <w:rPr>
          <w:rFonts w:cs="Tahoma"/>
          <w:bCs/>
          <w:i/>
          <w:sz w:val="20"/>
          <w:szCs w:val="20"/>
        </w:rPr>
        <w:t>arreola</w:t>
      </w:r>
      <w:proofErr w:type="spellEnd"/>
      <w:r w:rsidRPr="00507A3E">
        <w:rPr>
          <w:rFonts w:cs="Tahoma"/>
          <w:bCs/>
          <w:i/>
          <w:sz w:val="20"/>
          <w:szCs w:val="20"/>
        </w:rPr>
        <w:t xml:space="preserve"> regidor de ese mismo municipio del regidor sus recibos de lo que va del año 2022 y de ella del tiempo que presto servicios, de la señora los recibos hasta abril misma </w:t>
      </w:r>
      <w:proofErr w:type="spellStart"/>
      <w:r w:rsidRPr="00507A3E">
        <w:rPr>
          <w:rFonts w:cs="Tahoma"/>
          <w:bCs/>
          <w:i/>
          <w:sz w:val="20"/>
          <w:szCs w:val="20"/>
        </w:rPr>
        <w:t>informacion</w:t>
      </w:r>
      <w:proofErr w:type="spellEnd"/>
      <w:r w:rsidRPr="00507A3E">
        <w:rPr>
          <w:rFonts w:cs="Tahoma"/>
          <w:bCs/>
          <w:i/>
          <w:sz w:val="20"/>
          <w:szCs w:val="20"/>
        </w:rPr>
        <w:t xml:space="preserve"> que en sus redes sociales le hizo saber a la </w:t>
      </w:r>
      <w:proofErr w:type="spellStart"/>
      <w:r w:rsidRPr="00507A3E">
        <w:rPr>
          <w:rFonts w:cs="Tahoma"/>
          <w:bCs/>
          <w:i/>
          <w:sz w:val="20"/>
          <w:szCs w:val="20"/>
        </w:rPr>
        <w:t>ciudadania</w:t>
      </w:r>
      <w:proofErr w:type="spellEnd"/>
      <w:r w:rsidRPr="00507A3E">
        <w:rPr>
          <w:rFonts w:cs="Tahoma"/>
          <w:bCs/>
          <w:i/>
          <w:sz w:val="20"/>
          <w:szCs w:val="20"/>
        </w:rPr>
        <w:t>.</w:t>
      </w:r>
      <w:r w:rsidR="001D70CD" w:rsidRPr="00507A3E">
        <w:rPr>
          <w:rFonts w:cs="Tahoma"/>
          <w:bCs/>
          <w:i/>
          <w:sz w:val="20"/>
          <w:szCs w:val="20"/>
        </w:rPr>
        <w:t>”</w:t>
      </w:r>
      <w:r w:rsidR="003B58AA" w:rsidRPr="00507A3E">
        <w:rPr>
          <w:rFonts w:cs="Tahoma"/>
          <w:bCs/>
          <w:i/>
          <w:sz w:val="20"/>
          <w:szCs w:val="20"/>
        </w:rPr>
        <w:t xml:space="preserve"> </w:t>
      </w:r>
      <w:r w:rsidR="002A2C08" w:rsidRPr="00507A3E">
        <w:rPr>
          <w:rFonts w:cs="Tahoma"/>
          <w:bCs/>
          <w:i/>
          <w:sz w:val="20"/>
          <w:szCs w:val="20"/>
        </w:rPr>
        <w:t>(Sic.)</w:t>
      </w:r>
    </w:p>
    <w:p w14:paraId="77E32122" w14:textId="6026FAAD" w:rsidR="002A2C08" w:rsidRPr="00507A3E" w:rsidRDefault="002A2C08" w:rsidP="008567E8">
      <w:pPr>
        <w:spacing w:after="0" w:line="360" w:lineRule="auto"/>
        <w:ind w:left="567" w:right="567"/>
        <w:rPr>
          <w:rFonts w:cs="Tahoma"/>
          <w:b/>
          <w:bCs/>
        </w:rPr>
      </w:pPr>
    </w:p>
    <w:p w14:paraId="77B1EC9F" w14:textId="77777777" w:rsidR="009A0396" w:rsidRPr="00507A3E" w:rsidRDefault="009A0396" w:rsidP="008567E8">
      <w:pPr>
        <w:spacing w:after="0" w:line="360" w:lineRule="auto"/>
        <w:ind w:left="567" w:right="567"/>
        <w:rPr>
          <w:rFonts w:cs="Tahoma"/>
          <w:b/>
          <w:bCs/>
        </w:rPr>
      </w:pPr>
    </w:p>
    <w:p w14:paraId="38245033" w14:textId="6C679B37" w:rsidR="002A2C08" w:rsidRPr="00507A3E" w:rsidRDefault="001D70CD" w:rsidP="008567E8">
      <w:pPr>
        <w:tabs>
          <w:tab w:val="left" w:pos="4667"/>
        </w:tabs>
        <w:spacing w:after="0" w:line="360" w:lineRule="auto"/>
        <w:ind w:left="567" w:right="567"/>
        <w:rPr>
          <w:rFonts w:eastAsia="Times New Roman" w:cs="Tahoma"/>
          <w:b/>
          <w:bCs/>
          <w:i/>
          <w:iCs/>
          <w:color w:val="auto"/>
          <w:sz w:val="20"/>
          <w:lang w:eastAsia="es-ES"/>
        </w:rPr>
      </w:pPr>
      <w:r w:rsidRPr="00507A3E">
        <w:rPr>
          <w:rFonts w:eastAsia="Times New Roman" w:cs="Tahoma"/>
          <w:b/>
          <w:bCs/>
          <w:i/>
          <w:iCs/>
          <w:color w:val="auto"/>
          <w:sz w:val="20"/>
          <w:lang w:eastAsia="es-ES"/>
        </w:rPr>
        <w:lastRenderedPageBreak/>
        <w:t>“</w:t>
      </w:r>
      <w:r w:rsidR="002A2C08" w:rsidRPr="00507A3E">
        <w:rPr>
          <w:rFonts w:eastAsia="Times New Roman" w:cs="Tahoma"/>
          <w:b/>
          <w:bCs/>
          <w:i/>
          <w:iCs/>
          <w:color w:val="auto"/>
          <w:sz w:val="20"/>
          <w:lang w:eastAsia="es-ES"/>
        </w:rPr>
        <w:t>MODALIDAD DE ENTREGA</w:t>
      </w:r>
    </w:p>
    <w:p w14:paraId="526BA7E5" w14:textId="5B8AF76A" w:rsidR="002A2C08" w:rsidRPr="00507A3E" w:rsidRDefault="002A2C08" w:rsidP="008567E8">
      <w:pPr>
        <w:spacing w:after="0" w:line="360" w:lineRule="auto"/>
        <w:ind w:left="567" w:right="567"/>
        <w:rPr>
          <w:rFonts w:eastAsia="Times New Roman" w:cs="Arial"/>
          <w:bCs/>
          <w:i/>
          <w:iCs/>
          <w:color w:val="auto"/>
          <w:sz w:val="20"/>
          <w:lang w:eastAsia="es-ES"/>
        </w:rPr>
      </w:pPr>
      <w:r w:rsidRPr="00507A3E">
        <w:rPr>
          <w:rFonts w:eastAsia="Times New Roman" w:cs="Arial"/>
          <w:bCs/>
          <w:i/>
          <w:iCs/>
          <w:color w:val="auto"/>
          <w:sz w:val="20"/>
          <w:lang w:eastAsia="es-ES"/>
        </w:rPr>
        <w:t>A través del SAIMEX.</w:t>
      </w:r>
      <w:r w:rsidR="001D70CD" w:rsidRPr="00507A3E">
        <w:rPr>
          <w:rFonts w:eastAsia="Times New Roman" w:cs="Arial"/>
          <w:bCs/>
          <w:i/>
          <w:iCs/>
          <w:color w:val="auto"/>
          <w:sz w:val="20"/>
          <w:lang w:eastAsia="es-ES"/>
        </w:rPr>
        <w:t>”</w:t>
      </w:r>
      <w:r w:rsidRPr="00507A3E">
        <w:rPr>
          <w:rFonts w:eastAsia="Times New Roman" w:cs="Arial"/>
          <w:bCs/>
          <w:i/>
          <w:iCs/>
          <w:color w:val="auto"/>
          <w:sz w:val="20"/>
          <w:lang w:eastAsia="es-ES"/>
        </w:rPr>
        <w:t xml:space="preserve"> (Sic)</w:t>
      </w:r>
    </w:p>
    <w:p w14:paraId="2889BC0E" w14:textId="77777777" w:rsidR="007A16A9" w:rsidRPr="00507A3E" w:rsidRDefault="007A16A9" w:rsidP="007A16A9">
      <w:pPr>
        <w:pStyle w:val="paragraph"/>
        <w:spacing w:before="0" w:beforeAutospacing="0" w:after="0" w:afterAutospacing="0" w:line="360" w:lineRule="auto"/>
        <w:contextualSpacing/>
        <w:jc w:val="both"/>
        <w:textAlignment w:val="baseline"/>
        <w:rPr>
          <w:rStyle w:val="normaltextrun"/>
          <w:rFonts w:ascii="Palatino Linotype" w:hAnsi="Palatino Linotype" w:cs="Segoe UI"/>
          <w:b/>
          <w:bCs/>
          <w:sz w:val="22"/>
          <w:szCs w:val="22"/>
          <w:lang w:val="es-MX"/>
        </w:rPr>
      </w:pPr>
    </w:p>
    <w:p w14:paraId="22AF34BE" w14:textId="4F988095" w:rsidR="007A16A9" w:rsidRPr="00507A3E" w:rsidRDefault="007A16A9" w:rsidP="007A16A9">
      <w:pPr>
        <w:pStyle w:val="paragraph"/>
        <w:spacing w:before="0" w:beforeAutospacing="0" w:after="0" w:afterAutospacing="0" w:line="360" w:lineRule="auto"/>
        <w:contextualSpacing/>
        <w:jc w:val="both"/>
        <w:textAlignment w:val="baseline"/>
        <w:rPr>
          <w:rStyle w:val="eop"/>
          <w:rFonts w:ascii="Palatino Linotype" w:hAnsi="Palatino Linotype" w:cs="Segoe UI"/>
          <w:sz w:val="22"/>
          <w:szCs w:val="22"/>
          <w:lang w:val="es-MX"/>
        </w:rPr>
      </w:pPr>
      <w:r w:rsidRPr="00507A3E">
        <w:rPr>
          <w:rStyle w:val="normaltextrun"/>
          <w:rFonts w:ascii="Palatino Linotype" w:hAnsi="Palatino Linotype" w:cs="Segoe UI"/>
          <w:b/>
          <w:bCs/>
          <w:sz w:val="22"/>
          <w:szCs w:val="22"/>
          <w:lang w:val="es-MX"/>
        </w:rPr>
        <w:t>II. Requerimiento de aclaración a la solicitud de acceso a la información.</w:t>
      </w:r>
      <w:r w:rsidRPr="00507A3E">
        <w:rPr>
          <w:rStyle w:val="eop"/>
          <w:rFonts w:ascii="Palatino Linotype" w:hAnsi="Palatino Linotype" w:cs="Segoe UI"/>
          <w:sz w:val="22"/>
          <w:szCs w:val="22"/>
          <w:lang w:val="es-MX"/>
        </w:rPr>
        <w:t> </w:t>
      </w:r>
    </w:p>
    <w:p w14:paraId="368726C1" w14:textId="77777777" w:rsidR="007A16A9" w:rsidRPr="00507A3E" w:rsidRDefault="007A16A9" w:rsidP="007A16A9">
      <w:pPr>
        <w:pStyle w:val="paragraph"/>
        <w:spacing w:before="0" w:beforeAutospacing="0" w:after="0" w:afterAutospacing="0" w:line="360" w:lineRule="auto"/>
        <w:contextualSpacing/>
        <w:jc w:val="both"/>
        <w:textAlignment w:val="baseline"/>
        <w:rPr>
          <w:rFonts w:ascii="Palatino Linotype" w:hAnsi="Palatino Linotype" w:cs="Segoe UI"/>
          <w:sz w:val="18"/>
          <w:szCs w:val="18"/>
          <w:lang w:val="es-MX"/>
        </w:rPr>
      </w:pPr>
    </w:p>
    <w:p w14:paraId="79E689C2" w14:textId="1FA2423F" w:rsidR="007A16A9" w:rsidRPr="00507A3E" w:rsidRDefault="007A16A9" w:rsidP="007A16A9">
      <w:pPr>
        <w:pStyle w:val="paragraph"/>
        <w:spacing w:before="0" w:beforeAutospacing="0" w:after="0" w:afterAutospacing="0" w:line="360" w:lineRule="auto"/>
        <w:contextualSpacing/>
        <w:jc w:val="both"/>
        <w:textAlignment w:val="baseline"/>
        <w:rPr>
          <w:rFonts w:ascii="Palatino Linotype" w:hAnsi="Palatino Linotype" w:cs="Segoe UI"/>
          <w:sz w:val="18"/>
          <w:szCs w:val="18"/>
          <w:lang w:val="es-MX"/>
        </w:rPr>
      </w:pPr>
      <w:r w:rsidRPr="00507A3E">
        <w:rPr>
          <w:rStyle w:val="normaltextrun"/>
          <w:rFonts w:ascii="Palatino Linotype" w:hAnsi="Palatino Linotype" w:cs="Segoe UI"/>
          <w:sz w:val="22"/>
          <w:szCs w:val="22"/>
          <w:lang w:val="es-MX"/>
        </w:rPr>
        <w:t xml:space="preserve">Con fecha </w:t>
      </w:r>
      <w:r w:rsidR="001B7A7E" w:rsidRPr="00507A3E">
        <w:rPr>
          <w:rStyle w:val="normaltextrun"/>
          <w:rFonts w:ascii="Palatino Linotype" w:hAnsi="Palatino Linotype" w:cs="Segoe UI"/>
          <w:sz w:val="22"/>
          <w:szCs w:val="22"/>
          <w:lang w:val="es-MX"/>
        </w:rPr>
        <w:t>ocho</w:t>
      </w:r>
      <w:r w:rsidRPr="00507A3E">
        <w:rPr>
          <w:rStyle w:val="normaltextrun"/>
          <w:rFonts w:ascii="Palatino Linotype" w:hAnsi="Palatino Linotype" w:cs="Segoe UI"/>
          <w:sz w:val="22"/>
          <w:szCs w:val="22"/>
          <w:lang w:val="es-MX"/>
        </w:rPr>
        <w:t xml:space="preserve"> de </w:t>
      </w:r>
      <w:r w:rsidR="001B7A7E" w:rsidRPr="00507A3E">
        <w:rPr>
          <w:rStyle w:val="normaltextrun"/>
          <w:rFonts w:ascii="Palatino Linotype" w:hAnsi="Palatino Linotype" w:cs="Segoe UI"/>
          <w:sz w:val="22"/>
          <w:szCs w:val="22"/>
          <w:lang w:val="es-MX"/>
        </w:rPr>
        <w:t>noviembre</w:t>
      </w:r>
      <w:r w:rsidRPr="00507A3E">
        <w:rPr>
          <w:rStyle w:val="normaltextrun"/>
          <w:rFonts w:ascii="Palatino Linotype" w:hAnsi="Palatino Linotype" w:cs="Segoe UI"/>
          <w:sz w:val="22"/>
          <w:szCs w:val="22"/>
          <w:lang w:val="es-MX"/>
        </w:rPr>
        <w:t xml:space="preserve"> de dos mil veintidós, la Unidad de Transparencia del Ayuntamiento de Zinacantepec, notificó al Particular, mediante el Sistema de Acceso a la Información Mexiquense (SAIMEX), un requerimiento de información adicional a la solicitud de información previamente referida, en los siguientes términos:</w:t>
      </w:r>
      <w:r w:rsidRPr="00507A3E">
        <w:rPr>
          <w:rStyle w:val="eop"/>
          <w:rFonts w:ascii="Palatino Linotype" w:hAnsi="Palatino Linotype" w:cs="Segoe UI"/>
          <w:sz w:val="22"/>
          <w:szCs w:val="22"/>
          <w:lang w:val="es-MX"/>
        </w:rPr>
        <w:t> </w:t>
      </w:r>
    </w:p>
    <w:p w14:paraId="1C3FDAE7" w14:textId="77777777" w:rsidR="007A16A9" w:rsidRPr="00507A3E" w:rsidRDefault="007A16A9" w:rsidP="007A16A9">
      <w:pPr>
        <w:pStyle w:val="paragraph"/>
        <w:spacing w:before="0" w:beforeAutospacing="0" w:after="0" w:afterAutospacing="0" w:line="360" w:lineRule="auto"/>
        <w:contextualSpacing/>
        <w:jc w:val="both"/>
        <w:textAlignment w:val="baseline"/>
        <w:rPr>
          <w:rFonts w:ascii="Palatino Linotype" w:hAnsi="Palatino Linotype" w:cs="Segoe UI"/>
          <w:sz w:val="18"/>
          <w:szCs w:val="18"/>
          <w:lang w:val="es-MX"/>
        </w:rPr>
      </w:pPr>
      <w:r w:rsidRPr="00507A3E">
        <w:rPr>
          <w:rStyle w:val="eop"/>
          <w:rFonts w:ascii="Palatino Linotype" w:hAnsi="Palatino Linotype" w:cs="Segoe UI"/>
          <w:sz w:val="22"/>
          <w:szCs w:val="22"/>
          <w:lang w:val="es-MX"/>
        </w:rPr>
        <w:t> </w:t>
      </w:r>
    </w:p>
    <w:p w14:paraId="58BD9A78" w14:textId="77777777" w:rsidR="007A16A9" w:rsidRPr="00507A3E" w:rsidRDefault="007A16A9" w:rsidP="007A16A9">
      <w:pPr>
        <w:pStyle w:val="paragraph"/>
        <w:spacing w:before="0" w:beforeAutospacing="0" w:after="0" w:afterAutospacing="0" w:line="360" w:lineRule="auto"/>
        <w:ind w:left="555" w:right="555"/>
        <w:contextualSpacing/>
        <w:jc w:val="both"/>
        <w:textAlignment w:val="baseline"/>
        <w:rPr>
          <w:rFonts w:ascii="Palatino Linotype" w:hAnsi="Palatino Linotype" w:cs="Segoe UI"/>
          <w:sz w:val="18"/>
          <w:szCs w:val="18"/>
          <w:lang w:val="es-MX"/>
        </w:rPr>
      </w:pPr>
      <w:r w:rsidRPr="00507A3E">
        <w:rPr>
          <w:rStyle w:val="normaltextrun"/>
          <w:rFonts w:ascii="Palatino Linotype" w:hAnsi="Palatino Linotype" w:cs="Segoe UI"/>
          <w:i/>
          <w:iCs/>
          <w:sz w:val="20"/>
          <w:szCs w:val="20"/>
          <w:lang w:val="es-MX"/>
        </w:rPr>
        <w:t>“…</w:t>
      </w:r>
      <w:r w:rsidRPr="00507A3E">
        <w:rPr>
          <w:rStyle w:val="eop"/>
          <w:rFonts w:ascii="Palatino Linotype" w:hAnsi="Palatino Linotype" w:cs="Segoe UI"/>
          <w:sz w:val="20"/>
          <w:szCs w:val="20"/>
          <w:lang w:val="es-MX"/>
        </w:rPr>
        <w:t> </w:t>
      </w:r>
    </w:p>
    <w:p w14:paraId="5A41DD30" w14:textId="4DE66230" w:rsidR="001B7A7E" w:rsidRPr="00507A3E" w:rsidRDefault="001B7A7E" w:rsidP="001B7A7E">
      <w:pPr>
        <w:pStyle w:val="paragraph"/>
        <w:spacing w:after="0" w:line="360" w:lineRule="auto"/>
        <w:ind w:left="555" w:right="555"/>
        <w:contextualSpacing/>
        <w:jc w:val="both"/>
        <w:textAlignment w:val="baseline"/>
        <w:rPr>
          <w:rFonts w:ascii="Palatino Linotype" w:hAnsi="Palatino Linotype"/>
          <w:i/>
          <w:iCs/>
          <w:color w:val="000000"/>
          <w:sz w:val="20"/>
          <w:szCs w:val="20"/>
          <w:lang w:val="es-MX"/>
        </w:rPr>
      </w:pPr>
      <w:r w:rsidRPr="00507A3E">
        <w:rPr>
          <w:rFonts w:ascii="Palatino Linotype" w:hAnsi="Palatino Linotype"/>
          <w:i/>
          <w:iCs/>
          <w:color w:val="000000"/>
          <w:sz w:val="20"/>
          <w:szCs w:val="20"/>
          <w:lang w:val="es-MX"/>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1A5197F1" w14:textId="77777777" w:rsidR="001B7A7E" w:rsidRPr="00507A3E" w:rsidRDefault="001B7A7E" w:rsidP="001B7A7E">
      <w:pPr>
        <w:pStyle w:val="paragraph"/>
        <w:spacing w:after="0" w:line="360" w:lineRule="auto"/>
        <w:ind w:left="555" w:right="555"/>
        <w:contextualSpacing/>
        <w:jc w:val="both"/>
        <w:textAlignment w:val="baseline"/>
        <w:rPr>
          <w:rFonts w:ascii="Palatino Linotype" w:hAnsi="Palatino Linotype"/>
          <w:i/>
          <w:iCs/>
          <w:color w:val="000000"/>
          <w:sz w:val="20"/>
          <w:szCs w:val="20"/>
          <w:lang w:val="es-MX"/>
        </w:rPr>
      </w:pPr>
    </w:p>
    <w:p w14:paraId="2097331A" w14:textId="2BCF61C4" w:rsidR="007A16A9" w:rsidRPr="00507A3E" w:rsidRDefault="001B7A7E" w:rsidP="001B7A7E">
      <w:pPr>
        <w:pStyle w:val="paragraph"/>
        <w:spacing w:before="0" w:beforeAutospacing="0" w:after="0" w:afterAutospacing="0" w:line="360" w:lineRule="auto"/>
        <w:ind w:left="555" w:right="555"/>
        <w:contextualSpacing/>
        <w:jc w:val="both"/>
        <w:textAlignment w:val="baseline"/>
        <w:rPr>
          <w:rFonts w:ascii="Palatino Linotype" w:hAnsi="Palatino Linotype"/>
          <w:i/>
          <w:iCs/>
          <w:color w:val="000000"/>
          <w:sz w:val="20"/>
          <w:szCs w:val="20"/>
          <w:lang w:val="es-MX"/>
        </w:rPr>
      </w:pPr>
      <w:r w:rsidRPr="00507A3E">
        <w:rPr>
          <w:rFonts w:ascii="Palatino Linotype" w:hAnsi="Palatino Linotype"/>
          <w:i/>
          <w:iCs/>
          <w:color w:val="000000"/>
          <w:sz w:val="20"/>
          <w:szCs w:val="20"/>
          <w:lang w:val="es-MX"/>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r w:rsidR="007A16A9" w:rsidRPr="00507A3E">
        <w:rPr>
          <w:rFonts w:ascii="Palatino Linotype" w:hAnsi="Palatino Linotype"/>
          <w:i/>
          <w:iCs/>
          <w:color w:val="000000"/>
          <w:sz w:val="20"/>
          <w:szCs w:val="20"/>
          <w:lang w:val="es-MX"/>
        </w:rPr>
        <w:t>.</w:t>
      </w:r>
    </w:p>
    <w:p w14:paraId="639034AD" w14:textId="77777777" w:rsidR="007A16A9" w:rsidRPr="00507A3E" w:rsidRDefault="007A16A9" w:rsidP="007A16A9">
      <w:pPr>
        <w:pStyle w:val="paragraph"/>
        <w:spacing w:before="0" w:beforeAutospacing="0" w:after="0" w:afterAutospacing="0" w:line="360" w:lineRule="auto"/>
        <w:ind w:left="555" w:right="555"/>
        <w:contextualSpacing/>
        <w:jc w:val="both"/>
        <w:textAlignment w:val="baseline"/>
        <w:rPr>
          <w:rFonts w:ascii="Palatino Linotype" w:hAnsi="Palatino Linotype" w:cs="Segoe UI"/>
          <w:sz w:val="18"/>
          <w:szCs w:val="18"/>
          <w:lang w:val="es-MX"/>
        </w:rPr>
      </w:pPr>
      <w:r w:rsidRPr="00507A3E">
        <w:rPr>
          <w:rStyle w:val="normaltextrun"/>
          <w:rFonts w:ascii="Palatino Linotype" w:hAnsi="Palatino Linotype" w:cs="Segoe UI"/>
          <w:i/>
          <w:iCs/>
          <w:sz w:val="20"/>
          <w:szCs w:val="20"/>
          <w:lang w:val="es-MX"/>
        </w:rPr>
        <w:t>…” (Sic.)</w:t>
      </w:r>
      <w:r w:rsidRPr="00507A3E">
        <w:rPr>
          <w:rStyle w:val="eop"/>
          <w:rFonts w:ascii="Palatino Linotype" w:hAnsi="Palatino Linotype" w:cs="Segoe UI"/>
          <w:sz w:val="20"/>
          <w:szCs w:val="20"/>
          <w:lang w:val="es-MX"/>
        </w:rPr>
        <w:t> </w:t>
      </w:r>
    </w:p>
    <w:p w14:paraId="2E41AE96" w14:textId="77777777" w:rsidR="007A16A9" w:rsidRPr="00507A3E" w:rsidRDefault="007A16A9" w:rsidP="007A16A9">
      <w:pPr>
        <w:pStyle w:val="paragraph"/>
        <w:spacing w:before="0" w:beforeAutospacing="0" w:after="0" w:afterAutospacing="0" w:line="360" w:lineRule="auto"/>
        <w:contextualSpacing/>
        <w:jc w:val="both"/>
        <w:textAlignment w:val="baseline"/>
        <w:rPr>
          <w:rFonts w:ascii="Palatino Linotype" w:hAnsi="Palatino Linotype" w:cs="Segoe UI"/>
          <w:sz w:val="18"/>
          <w:szCs w:val="18"/>
          <w:lang w:val="es-MX"/>
        </w:rPr>
      </w:pPr>
      <w:r w:rsidRPr="00507A3E">
        <w:rPr>
          <w:rStyle w:val="eop"/>
          <w:rFonts w:ascii="Palatino Linotype" w:hAnsi="Palatino Linotype" w:cs="Segoe UI"/>
          <w:sz w:val="20"/>
          <w:szCs w:val="20"/>
          <w:lang w:val="es-MX"/>
        </w:rPr>
        <w:t> </w:t>
      </w:r>
    </w:p>
    <w:p w14:paraId="28D36CE3" w14:textId="77777777" w:rsidR="007A16A9" w:rsidRPr="00507A3E" w:rsidRDefault="007A16A9" w:rsidP="007A16A9">
      <w:pPr>
        <w:pStyle w:val="paragraph"/>
        <w:spacing w:before="0" w:beforeAutospacing="0" w:after="0" w:afterAutospacing="0" w:line="360" w:lineRule="auto"/>
        <w:contextualSpacing/>
        <w:jc w:val="both"/>
        <w:textAlignment w:val="baseline"/>
        <w:rPr>
          <w:rFonts w:ascii="Palatino Linotype" w:hAnsi="Palatino Linotype" w:cs="Segoe UI"/>
          <w:sz w:val="18"/>
          <w:szCs w:val="18"/>
          <w:lang w:val="es-MX"/>
        </w:rPr>
      </w:pPr>
      <w:r w:rsidRPr="00507A3E">
        <w:rPr>
          <w:rStyle w:val="normaltextrun"/>
          <w:rFonts w:ascii="Palatino Linotype" w:hAnsi="Palatino Linotype" w:cs="Segoe UI"/>
          <w:b/>
          <w:bCs/>
          <w:sz w:val="20"/>
          <w:szCs w:val="20"/>
          <w:lang w:val="es-MX"/>
        </w:rPr>
        <w:t xml:space="preserve">III. </w:t>
      </w:r>
      <w:r w:rsidRPr="00507A3E">
        <w:rPr>
          <w:rStyle w:val="normaltextrun"/>
          <w:rFonts w:ascii="Palatino Linotype" w:hAnsi="Palatino Linotype" w:cs="Segoe UI"/>
          <w:b/>
          <w:bCs/>
          <w:sz w:val="22"/>
          <w:szCs w:val="22"/>
          <w:lang w:val="es-MX"/>
        </w:rPr>
        <w:t>Contestación al requerimiento de aclaración.</w:t>
      </w:r>
      <w:r w:rsidRPr="00507A3E">
        <w:rPr>
          <w:rStyle w:val="eop"/>
          <w:rFonts w:ascii="Palatino Linotype" w:hAnsi="Palatino Linotype" w:cs="Segoe UI"/>
          <w:sz w:val="22"/>
          <w:szCs w:val="22"/>
          <w:lang w:val="es-MX"/>
        </w:rPr>
        <w:t> </w:t>
      </w:r>
    </w:p>
    <w:p w14:paraId="52050360" w14:textId="77777777" w:rsidR="007A16A9" w:rsidRPr="00507A3E" w:rsidRDefault="007A16A9" w:rsidP="007A16A9">
      <w:pPr>
        <w:pStyle w:val="paragraph"/>
        <w:spacing w:before="0" w:beforeAutospacing="0" w:after="0" w:afterAutospacing="0" w:line="360" w:lineRule="auto"/>
        <w:contextualSpacing/>
        <w:jc w:val="both"/>
        <w:textAlignment w:val="baseline"/>
        <w:rPr>
          <w:rFonts w:ascii="Palatino Linotype" w:hAnsi="Palatino Linotype" w:cs="Segoe UI"/>
          <w:sz w:val="18"/>
          <w:szCs w:val="18"/>
          <w:lang w:val="es-MX"/>
        </w:rPr>
      </w:pPr>
      <w:r w:rsidRPr="00507A3E">
        <w:rPr>
          <w:rStyle w:val="eop"/>
          <w:rFonts w:ascii="Palatino Linotype" w:hAnsi="Palatino Linotype" w:cs="Segoe UI"/>
          <w:sz w:val="22"/>
          <w:szCs w:val="22"/>
          <w:lang w:val="es-MX"/>
        </w:rPr>
        <w:t> </w:t>
      </w:r>
    </w:p>
    <w:p w14:paraId="255F5B95" w14:textId="18DC4004" w:rsidR="007A16A9" w:rsidRPr="00507A3E" w:rsidRDefault="007A16A9" w:rsidP="007A16A9">
      <w:pPr>
        <w:pStyle w:val="paragraph"/>
        <w:spacing w:before="0" w:beforeAutospacing="0" w:after="0" w:afterAutospacing="0" w:line="360" w:lineRule="auto"/>
        <w:contextualSpacing/>
        <w:jc w:val="both"/>
        <w:textAlignment w:val="baseline"/>
        <w:rPr>
          <w:rFonts w:ascii="Palatino Linotype" w:hAnsi="Palatino Linotype" w:cs="Segoe UI"/>
          <w:sz w:val="18"/>
          <w:szCs w:val="18"/>
          <w:lang w:val="es-MX"/>
        </w:rPr>
      </w:pPr>
      <w:r w:rsidRPr="00507A3E">
        <w:rPr>
          <w:rStyle w:val="normaltextrun"/>
          <w:rFonts w:ascii="Palatino Linotype" w:hAnsi="Palatino Linotype" w:cs="Segoe UI"/>
          <w:sz w:val="22"/>
          <w:szCs w:val="22"/>
          <w:lang w:val="es-MX"/>
        </w:rPr>
        <w:lastRenderedPageBreak/>
        <w:t xml:space="preserve">Con fecha </w:t>
      </w:r>
      <w:r w:rsidR="00FA215B" w:rsidRPr="00507A3E">
        <w:rPr>
          <w:rStyle w:val="normaltextrun"/>
          <w:rFonts w:ascii="Palatino Linotype" w:hAnsi="Palatino Linotype" w:cs="Segoe UI"/>
          <w:sz w:val="22"/>
          <w:szCs w:val="22"/>
          <w:lang w:val="es-MX"/>
        </w:rPr>
        <w:t>diez</w:t>
      </w:r>
      <w:r w:rsidRPr="00507A3E">
        <w:rPr>
          <w:rStyle w:val="normaltextrun"/>
          <w:rFonts w:ascii="Palatino Linotype" w:hAnsi="Palatino Linotype" w:cs="Segoe UI"/>
          <w:sz w:val="22"/>
          <w:szCs w:val="22"/>
          <w:lang w:val="es-MX"/>
        </w:rPr>
        <w:t xml:space="preserve"> de </w:t>
      </w:r>
      <w:r w:rsidR="00FA215B" w:rsidRPr="00507A3E">
        <w:rPr>
          <w:rStyle w:val="normaltextrun"/>
          <w:rFonts w:ascii="Palatino Linotype" w:hAnsi="Palatino Linotype" w:cs="Segoe UI"/>
          <w:sz w:val="22"/>
          <w:szCs w:val="22"/>
          <w:lang w:val="es-MX"/>
        </w:rPr>
        <w:t>noviembre</w:t>
      </w:r>
      <w:r w:rsidRPr="00507A3E">
        <w:rPr>
          <w:rStyle w:val="normaltextrun"/>
          <w:rFonts w:ascii="Palatino Linotype" w:hAnsi="Palatino Linotype" w:cs="Segoe UI"/>
          <w:sz w:val="22"/>
          <w:szCs w:val="22"/>
          <w:lang w:val="es-MX"/>
        </w:rPr>
        <w:t xml:space="preserve"> de dos mil veintidós, el Particular respondió al requerimiento de aclaración referido, mediante el Sistema de Acceso a la Información Mexiquense (SAIMEX), en los términos siguientes:</w:t>
      </w:r>
      <w:r w:rsidRPr="00507A3E">
        <w:rPr>
          <w:rStyle w:val="eop"/>
          <w:rFonts w:ascii="Palatino Linotype" w:hAnsi="Palatino Linotype" w:cs="Segoe UI"/>
          <w:sz w:val="22"/>
          <w:szCs w:val="22"/>
          <w:lang w:val="es-MX"/>
        </w:rPr>
        <w:t> </w:t>
      </w:r>
    </w:p>
    <w:p w14:paraId="56493792" w14:textId="77777777" w:rsidR="007A16A9" w:rsidRPr="00507A3E" w:rsidRDefault="007A16A9" w:rsidP="007A16A9">
      <w:pPr>
        <w:pStyle w:val="paragraph"/>
        <w:spacing w:before="0" w:beforeAutospacing="0" w:after="0" w:afterAutospacing="0" w:line="360" w:lineRule="auto"/>
        <w:contextualSpacing/>
        <w:jc w:val="both"/>
        <w:textAlignment w:val="baseline"/>
        <w:rPr>
          <w:rFonts w:ascii="Palatino Linotype" w:hAnsi="Palatino Linotype" w:cs="Segoe UI"/>
          <w:sz w:val="18"/>
          <w:szCs w:val="18"/>
          <w:lang w:val="es-MX"/>
        </w:rPr>
      </w:pPr>
      <w:r w:rsidRPr="00507A3E">
        <w:rPr>
          <w:rStyle w:val="eop"/>
          <w:rFonts w:ascii="Palatino Linotype" w:hAnsi="Palatino Linotype" w:cs="Segoe UI"/>
          <w:sz w:val="22"/>
          <w:szCs w:val="22"/>
          <w:lang w:val="es-MX"/>
        </w:rPr>
        <w:t> </w:t>
      </w:r>
    </w:p>
    <w:p w14:paraId="51E5D114" w14:textId="77777777" w:rsidR="007A16A9" w:rsidRPr="00507A3E" w:rsidRDefault="007A16A9" w:rsidP="007A16A9">
      <w:pPr>
        <w:pStyle w:val="paragraph"/>
        <w:spacing w:before="0" w:beforeAutospacing="0" w:after="0" w:afterAutospacing="0" w:line="360" w:lineRule="auto"/>
        <w:ind w:left="555" w:right="555"/>
        <w:contextualSpacing/>
        <w:jc w:val="both"/>
        <w:textAlignment w:val="baseline"/>
        <w:rPr>
          <w:rFonts w:ascii="Palatino Linotype" w:hAnsi="Palatino Linotype" w:cs="Segoe UI"/>
          <w:sz w:val="18"/>
          <w:szCs w:val="18"/>
          <w:lang w:val="es-MX"/>
        </w:rPr>
      </w:pPr>
      <w:r w:rsidRPr="00507A3E">
        <w:rPr>
          <w:rStyle w:val="normaltextrun"/>
          <w:rFonts w:ascii="Palatino Linotype" w:hAnsi="Palatino Linotype" w:cs="Segoe UI"/>
          <w:b/>
          <w:bCs/>
          <w:i/>
          <w:iCs/>
          <w:sz w:val="20"/>
          <w:szCs w:val="20"/>
          <w:lang w:val="es-MX"/>
        </w:rPr>
        <w:t> “DATOS A COMPLETAR, CORREGIR, AMPLIAR O ACLARAR</w:t>
      </w:r>
      <w:r w:rsidRPr="00507A3E">
        <w:rPr>
          <w:rStyle w:val="eop"/>
          <w:rFonts w:ascii="Palatino Linotype" w:hAnsi="Palatino Linotype" w:cs="Segoe UI"/>
          <w:sz w:val="20"/>
          <w:szCs w:val="20"/>
          <w:lang w:val="es-MX"/>
        </w:rPr>
        <w:t> </w:t>
      </w:r>
    </w:p>
    <w:p w14:paraId="7892BB76" w14:textId="1BEE8E72" w:rsidR="007A16A9" w:rsidRPr="00507A3E" w:rsidRDefault="00FA215B" w:rsidP="007A16A9">
      <w:pPr>
        <w:pStyle w:val="paragraph"/>
        <w:spacing w:before="0" w:beforeAutospacing="0" w:after="0" w:afterAutospacing="0" w:line="360" w:lineRule="auto"/>
        <w:ind w:left="555" w:right="555"/>
        <w:contextualSpacing/>
        <w:jc w:val="both"/>
        <w:textAlignment w:val="baseline"/>
        <w:rPr>
          <w:rFonts w:ascii="Palatino Linotype" w:hAnsi="Palatino Linotype" w:cs="Segoe UI"/>
          <w:sz w:val="18"/>
          <w:szCs w:val="18"/>
          <w:lang w:val="es-MX"/>
        </w:rPr>
      </w:pPr>
      <w:r w:rsidRPr="00507A3E">
        <w:rPr>
          <w:rFonts w:ascii="Palatino Linotype" w:hAnsi="Palatino Linotype"/>
          <w:i/>
          <w:iCs/>
          <w:color w:val="000000"/>
          <w:sz w:val="20"/>
          <w:szCs w:val="20"/>
          <w:lang w:val="es-MX"/>
        </w:rPr>
        <w:t xml:space="preserve">ya que no se </w:t>
      </w:r>
      <w:proofErr w:type="spellStart"/>
      <w:r w:rsidRPr="00507A3E">
        <w:rPr>
          <w:rFonts w:ascii="Palatino Linotype" w:hAnsi="Palatino Linotype"/>
          <w:i/>
          <w:iCs/>
          <w:color w:val="000000"/>
          <w:sz w:val="20"/>
          <w:szCs w:val="20"/>
          <w:lang w:val="es-MX"/>
        </w:rPr>
        <w:t>entendio</w:t>
      </w:r>
      <w:proofErr w:type="spellEnd"/>
      <w:r w:rsidRPr="00507A3E">
        <w:rPr>
          <w:rFonts w:ascii="Palatino Linotype" w:hAnsi="Palatino Linotype"/>
          <w:i/>
          <w:iCs/>
          <w:color w:val="000000"/>
          <w:sz w:val="20"/>
          <w:szCs w:val="20"/>
          <w:lang w:val="es-MX"/>
        </w:rPr>
        <w:t xml:space="preserve"> solicito lo mismo pero numerado solicito de la manera </w:t>
      </w:r>
      <w:proofErr w:type="spellStart"/>
      <w:r w:rsidRPr="00507A3E">
        <w:rPr>
          <w:rFonts w:ascii="Palatino Linotype" w:hAnsi="Palatino Linotype"/>
          <w:i/>
          <w:iCs/>
          <w:color w:val="000000"/>
          <w:sz w:val="20"/>
          <w:szCs w:val="20"/>
          <w:lang w:val="es-MX"/>
        </w:rPr>
        <w:t>mas</w:t>
      </w:r>
      <w:proofErr w:type="spellEnd"/>
      <w:r w:rsidRPr="00507A3E">
        <w:rPr>
          <w:rFonts w:ascii="Palatino Linotype" w:hAnsi="Palatino Linotype"/>
          <w:i/>
          <w:iCs/>
          <w:color w:val="000000"/>
          <w:sz w:val="20"/>
          <w:szCs w:val="20"/>
          <w:lang w:val="es-MX"/>
        </w:rPr>
        <w:t xml:space="preserve"> atenta 1.- la renuncia de Josefina </w:t>
      </w:r>
      <w:proofErr w:type="spellStart"/>
      <w:r w:rsidRPr="00507A3E">
        <w:rPr>
          <w:rFonts w:ascii="Palatino Linotype" w:hAnsi="Palatino Linotype"/>
          <w:i/>
          <w:iCs/>
          <w:color w:val="000000"/>
          <w:sz w:val="20"/>
          <w:szCs w:val="20"/>
          <w:lang w:val="es-MX"/>
        </w:rPr>
        <w:t>Aide</w:t>
      </w:r>
      <w:proofErr w:type="spellEnd"/>
      <w:r w:rsidRPr="00507A3E">
        <w:rPr>
          <w:rFonts w:ascii="Palatino Linotype" w:hAnsi="Palatino Linotype"/>
          <w:i/>
          <w:iCs/>
          <w:color w:val="000000"/>
          <w:sz w:val="20"/>
          <w:szCs w:val="20"/>
          <w:lang w:val="es-MX"/>
        </w:rPr>
        <w:t xml:space="preserve"> Flores servidora pública que laboró o labora 2.- recibos de nómina de Josefina </w:t>
      </w:r>
      <w:proofErr w:type="spellStart"/>
      <w:r w:rsidRPr="00507A3E">
        <w:rPr>
          <w:rFonts w:ascii="Palatino Linotype" w:hAnsi="Palatino Linotype"/>
          <w:i/>
          <w:iCs/>
          <w:color w:val="000000"/>
          <w:sz w:val="20"/>
          <w:szCs w:val="20"/>
          <w:lang w:val="es-MX"/>
        </w:rPr>
        <w:t>Aide</w:t>
      </w:r>
      <w:proofErr w:type="spellEnd"/>
      <w:r w:rsidRPr="00507A3E">
        <w:rPr>
          <w:rFonts w:ascii="Palatino Linotype" w:hAnsi="Palatino Linotype"/>
          <w:i/>
          <w:iCs/>
          <w:color w:val="000000"/>
          <w:sz w:val="20"/>
          <w:szCs w:val="20"/>
          <w:lang w:val="es-MX"/>
        </w:rPr>
        <w:t xml:space="preserve"> Flores de la fecha de inicio hasta que prestó sus servicios 3.- recibos de nómina o dietas José Alfredo </w:t>
      </w:r>
      <w:proofErr w:type="spellStart"/>
      <w:r w:rsidRPr="00507A3E">
        <w:rPr>
          <w:rFonts w:ascii="Palatino Linotype" w:hAnsi="Palatino Linotype"/>
          <w:i/>
          <w:iCs/>
          <w:color w:val="000000"/>
          <w:sz w:val="20"/>
          <w:szCs w:val="20"/>
          <w:lang w:val="es-MX"/>
        </w:rPr>
        <w:t>guizar</w:t>
      </w:r>
      <w:proofErr w:type="spellEnd"/>
      <w:r w:rsidRPr="00507A3E">
        <w:rPr>
          <w:rFonts w:ascii="Palatino Linotype" w:hAnsi="Palatino Linotype"/>
          <w:i/>
          <w:iCs/>
          <w:color w:val="000000"/>
          <w:sz w:val="20"/>
          <w:szCs w:val="20"/>
          <w:lang w:val="es-MX"/>
        </w:rPr>
        <w:t xml:space="preserve"> </w:t>
      </w:r>
      <w:proofErr w:type="spellStart"/>
      <w:r w:rsidRPr="00507A3E">
        <w:rPr>
          <w:rFonts w:ascii="Palatino Linotype" w:hAnsi="Palatino Linotype"/>
          <w:i/>
          <w:iCs/>
          <w:color w:val="000000"/>
          <w:sz w:val="20"/>
          <w:szCs w:val="20"/>
          <w:lang w:val="es-MX"/>
        </w:rPr>
        <w:t>arreola</w:t>
      </w:r>
      <w:proofErr w:type="spellEnd"/>
      <w:r w:rsidRPr="00507A3E">
        <w:rPr>
          <w:rFonts w:ascii="Palatino Linotype" w:hAnsi="Palatino Linotype"/>
          <w:i/>
          <w:iCs/>
          <w:color w:val="000000"/>
          <w:sz w:val="20"/>
          <w:szCs w:val="20"/>
          <w:lang w:val="es-MX"/>
        </w:rPr>
        <w:t xml:space="preserve"> regidor de lo que va del año De esta administración vigente del ayuntamiento de </w:t>
      </w:r>
      <w:proofErr w:type="spellStart"/>
      <w:r w:rsidRPr="00507A3E">
        <w:rPr>
          <w:rFonts w:ascii="Palatino Linotype" w:hAnsi="Palatino Linotype"/>
          <w:i/>
          <w:iCs/>
          <w:color w:val="000000"/>
          <w:sz w:val="20"/>
          <w:szCs w:val="20"/>
          <w:lang w:val="es-MX"/>
        </w:rPr>
        <w:t>zinacantepec</w:t>
      </w:r>
      <w:proofErr w:type="spellEnd"/>
      <w:r w:rsidR="007A16A9" w:rsidRPr="00507A3E">
        <w:rPr>
          <w:rStyle w:val="normaltextrun"/>
          <w:rFonts w:ascii="Palatino Linotype" w:hAnsi="Palatino Linotype" w:cs="Segoe UI"/>
          <w:i/>
          <w:iCs/>
          <w:sz w:val="20"/>
          <w:szCs w:val="20"/>
          <w:lang w:val="es-MX"/>
        </w:rPr>
        <w:t>” (Sic.)</w:t>
      </w:r>
    </w:p>
    <w:p w14:paraId="18F8D61D" w14:textId="77777777" w:rsidR="00F90DE8" w:rsidRPr="00507A3E" w:rsidRDefault="00F90DE8" w:rsidP="008567E8">
      <w:pPr>
        <w:spacing w:after="0" w:line="360" w:lineRule="auto"/>
        <w:rPr>
          <w:rFonts w:eastAsia="Calibri" w:cs="Tahoma"/>
          <w:b/>
          <w:bCs/>
        </w:rPr>
      </w:pPr>
    </w:p>
    <w:p w14:paraId="3B1DF5B3" w14:textId="77777777" w:rsidR="007A16A9" w:rsidRPr="00507A3E" w:rsidRDefault="007A16A9" w:rsidP="007A16A9">
      <w:pPr>
        <w:tabs>
          <w:tab w:val="left" w:pos="4667"/>
        </w:tabs>
        <w:spacing w:after="0" w:line="360" w:lineRule="auto"/>
        <w:ind w:right="567"/>
        <w:contextualSpacing/>
        <w:rPr>
          <w:rFonts w:eastAsia="Times New Roman" w:cs="Tahoma"/>
          <w:b/>
          <w:bCs/>
          <w:color w:val="auto"/>
          <w:szCs w:val="24"/>
          <w:lang w:eastAsia="es-ES"/>
        </w:rPr>
      </w:pPr>
      <w:r w:rsidRPr="00507A3E">
        <w:rPr>
          <w:rFonts w:eastAsia="Times New Roman" w:cs="Tahoma"/>
          <w:b/>
          <w:bCs/>
          <w:color w:val="auto"/>
          <w:szCs w:val="24"/>
          <w:lang w:eastAsia="es-ES"/>
        </w:rPr>
        <w:t xml:space="preserve">IV. </w:t>
      </w:r>
      <w:r w:rsidRPr="00507A3E">
        <w:rPr>
          <w:rFonts w:eastAsia="Times New Roman" w:cs="Tahoma"/>
          <w:b/>
          <w:color w:val="auto"/>
          <w:szCs w:val="24"/>
          <w:lang w:eastAsia="es-ES"/>
        </w:rPr>
        <w:t>Respuesta</w:t>
      </w:r>
      <w:r w:rsidRPr="00507A3E">
        <w:rPr>
          <w:rFonts w:eastAsia="Times New Roman" w:cs="Tahoma"/>
          <w:b/>
          <w:bCs/>
          <w:color w:val="auto"/>
          <w:szCs w:val="24"/>
          <w:lang w:eastAsia="es-ES"/>
        </w:rPr>
        <w:t xml:space="preserve"> del Sujeto Obligado.</w:t>
      </w:r>
    </w:p>
    <w:p w14:paraId="07679F90" w14:textId="77777777" w:rsidR="007A16A9" w:rsidRPr="00507A3E" w:rsidRDefault="007A16A9" w:rsidP="007A16A9">
      <w:pPr>
        <w:spacing w:after="0" w:line="360" w:lineRule="auto"/>
        <w:contextualSpacing/>
        <w:rPr>
          <w:rFonts w:eastAsia="Calibri" w:cs="Tahoma"/>
          <w:b/>
          <w:bCs/>
        </w:rPr>
      </w:pPr>
    </w:p>
    <w:p w14:paraId="2D60FF07" w14:textId="77777777" w:rsidR="007A16A9" w:rsidRPr="00507A3E" w:rsidRDefault="007A16A9" w:rsidP="007A16A9">
      <w:pPr>
        <w:autoSpaceDE w:val="0"/>
        <w:autoSpaceDN w:val="0"/>
        <w:adjustRightInd w:val="0"/>
        <w:spacing w:after="0" w:line="360" w:lineRule="auto"/>
        <w:contextualSpacing/>
        <w:rPr>
          <w:rFonts w:eastAsia="Calibri" w:cs="Tahoma"/>
          <w:color w:val="000000"/>
          <w:lang w:val="es-ES"/>
        </w:rPr>
      </w:pPr>
      <w:r w:rsidRPr="00507A3E">
        <w:rPr>
          <w:rFonts w:eastAsia="Calibri" w:cs="Tahoma"/>
          <w:color w:val="000000"/>
        </w:rPr>
        <w:t xml:space="preserve">De conformidad con el artículo 163, párrafo primero de la Ley de Transparencia y Acceso a la Información Pública del Estado de México y Municipios, el Sujeto Obligado debió dar contestación a la solicitud de acceso a la información; sin embargo, de las constancias que obran en el expediente electrónico del </w:t>
      </w:r>
      <w:r w:rsidRPr="00507A3E">
        <w:rPr>
          <w:rFonts w:eastAsia="Calibri" w:cs="Tahoma"/>
          <w:color w:val="000000"/>
          <w:lang w:val="es-ES"/>
        </w:rPr>
        <w:t xml:space="preserve">Sistema de Acceso a la Información Mexiquense (SAIMEX), se advierte que el </w:t>
      </w:r>
      <w:r w:rsidRPr="00507A3E">
        <w:rPr>
          <w:color w:val="000000"/>
        </w:rPr>
        <w:t>Ayuntamiento de Zinacantepec</w:t>
      </w:r>
      <w:r w:rsidRPr="00507A3E">
        <w:rPr>
          <w:rFonts w:eastAsia="Calibri" w:cs="Tahoma"/>
          <w:color w:val="000000"/>
        </w:rPr>
        <w:t>,</w:t>
      </w:r>
      <w:r w:rsidRPr="00507A3E">
        <w:rPr>
          <w:rFonts w:eastAsia="Calibri" w:cs="Tahoma"/>
          <w:bCs/>
          <w:color w:val="000000"/>
        </w:rPr>
        <w:t xml:space="preserve"> omitió dar respuesta a la solicitud de información, por lo que </w:t>
      </w:r>
      <w:r w:rsidRPr="00507A3E">
        <w:rPr>
          <w:rFonts w:eastAsia="Calibri" w:cs="Tahoma"/>
          <w:b/>
          <w:color w:val="000000"/>
        </w:rPr>
        <w:t xml:space="preserve">se configura la </w:t>
      </w:r>
      <w:r w:rsidRPr="00507A3E">
        <w:rPr>
          <w:rFonts w:eastAsia="Calibri" w:cs="Tahoma"/>
          <w:b/>
          <w:color w:val="000000"/>
          <w:lang w:val="es-ES"/>
        </w:rPr>
        <w:t>negativa ficta</w:t>
      </w:r>
      <w:r w:rsidRPr="00507A3E">
        <w:rPr>
          <w:rFonts w:eastAsia="Calibri" w:cs="Tahoma"/>
          <w:color w:val="000000"/>
          <w:lang w:val="es-ES"/>
        </w:rPr>
        <w:t xml:space="preserve"> a entregar información, prevista en los artículos 166, párrafo cuarto y 178, párrafo segundo, de la Ley de Transparencia y Acceso a la Información Pública del Estado de México y Municipios.</w:t>
      </w:r>
    </w:p>
    <w:p w14:paraId="7D246D5B" w14:textId="77777777" w:rsidR="007A16A9" w:rsidRPr="00507A3E" w:rsidRDefault="007A16A9" w:rsidP="007A16A9">
      <w:pPr>
        <w:autoSpaceDE w:val="0"/>
        <w:autoSpaceDN w:val="0"/>
        <w:adjustRightInd w:val="0"/>
        <w:spacing w:after="0" w:line="360" w:lineRule="auto"/>
        <w:contextualSpacing/>
        <w:rPr>
          <w:rFonts w:eastAsia="Calibri" w:cs="Tahoma"/>
          <w:color w:val="000000"/>
          <w:lang w:val="es-ES"/>
        </w:rPr>
      </w:pPr>
    </w:p>
    <w:p w14:paraId="798436A3" w14:textId="77777777" w:rsidR="007A16A9" w:rsidRPr="00507A3E" w:rsidRDefault="007A16A9" w:rsidP="007A16A9">
      <w:pPr>
        <w:autoSpaceDE w:val="0"/>
        <w:autoSpaceDN w:val="0"/>
        <w:adjustRightInd w:val="0"/>
        <w:spacing w:after="0" w:line="360" w:lineRule="auto"/>
        <w:contextualSpacing/>
        <w:rPr>
          <w:rFonts w:eastAsia="Calibri" w:cs="Tahoma"/>
          <w:b/>
          <w:color w:val="000000"/>
        </w:rPr>
      </w:pPr>
      <w:r w:rsidRPr="00507A3E">
        <w:rPr>
          <w:rFonts w:eastAsia="Calibri" w:cs="Tahoma"/>
          <w:b/>
          <w:color w:val="000000"/>
        </w:rPr>
        <w:t xml:space="preserve">V. Interposición del Recurso de Revisión. </w:t>
      </w:r>
    </w:p>
    <w:p w14:paraId="33AFFBED" w14:textId="77777777" w:rsidR="00E7170C" w:rsidRPr="00507A3E" w:rsidRDefault="00E7170C" w:rsidP="008567E8">
      <w:pPr>
        <w:autoSpaceDE w:val="0"/>
        <w:autoSpaceDN w:val="0"/>
        <w:adjustRightInd w:val="0"/>
        <w:spacing w:after="0" w:line="360" w:lineRule="auto"/>
        <w:rPr>
          <w:rFonts w:eastAsia="Calibri" w:cs="Tahoma"/>
          <w:color w:val="000000"/>
          <w:lang w:val="es-ES"/>
        </w:rPr>
      </w:pPr>
    </w:p>
    <w:p w14:paraId="33C458E5" w14:textId="3B55DFFE" w:rsidR="00051642" w:rsidRPr="00507A3E" w:rsidRDefault="00051642" w:rsidP="008567E8">
      <w:pPr>
        <w:spacing w:after="0" w:line="360" w:lineRule="auto"/>
        <w:rPr>
          <w:rFonts w:eastAsia="Times New Roman" w:cs="Tahoma"/>
          <w:bCs/>
          <w:color w:val="auto"/>
          <w:lang w:val="es-ES" w:eastAsia="es-ES"/>
        </w:rPr>
      </w:pPr>
      <w:r w:rsidRPr="00507A3E">
        <w:rPr>
          <w:rFonts w:eastAsia="Times New Roman" w:cs="Tahoma"/>
          <w:bCs/>
          <w:color w:val="auto"/>
          <w:lang w:val="es-ES" w:eastAsia="es-ES"/>
        </w:rPr>
        <w:t xml:space="preserve">Con fecha </w:t>
      </w:r>
      <w:r w:rsidR="00FA215B" w:rsidRPr="00507A3E">
        <w:rPr>
          <w:rFonts w:eastAsia="Times New Roman" w:cs="Tahoma"/>
          <w:bCs/>
          <w:color w:val="auto"/>
          <w:lang w:val="es-ES" w:eastAsia="es-ES"/>
        </w:rPr>
        <w:t>cinco</w:t>
      </w:r>
      <w:r w:rsidR="007A16A9" w:rsidRPr="00507A3E">
        <w:rPr>
          <w:rFonts w:eastAsia="Times New Roman" w:cs="Tahoma"/>
          <w:bCs/>
          <w:color w:val="auto"/>
          <w:lang w:val="es-ES" w:eastAsia="es-ES"/>
        </w:rPr>
        <w:t xml:space="preserve"> de </w:t>
      </w:r>
      <w:r w:rsidR="00FA215B" w:rsidRPr="00507A3E">
        <w:rPr>
          <w:rFonts w:eastAsia="Times New Roman" w:cs="Tahoma"/>
          <w:bCs/>
          <w:color w:val="auto"/>
          <w:lang w:val="es-ES" w:eastAsia="es-ES"/>
        </w:rPr>
        <w:t>diciembre</w:t>
      </w:r>
      <w:r w:rsidR="007A16A9" w:rsidRPr="00507A3E">
        <w:rPr>
          <w:rFonts w:eastAsia="Times New Roman" w:cs="Tahoma"/>
          <w:bCs/>
          <w:color w:val="auto"/>
          <w:lang w:val="es-ES" w:eastAsia="es-ES"/>
        </w:rPr>
        <w:t xml:space="preserve"> de dos mil veinti</w:t>
      </w:r>
      <w:r w:rsidR="00FA215B" w:rsidRPr="00507A3E">
        <w:rPr>
          <w:rFonts w:eastAsia="Times New Roman" w:cs="Tahoma"/>
          <w:bCs/>
          <w:color w:val="auto"/>
          <w:lang w:val="es-ES" w:eastAsia="es-ES"/>
        </w:rPr>
        <w:t>dós</w:t>
      </w:r>
      <w:r w:rsidR="008567E8" w:rsidRPr="00507A3E">
        <w:rPr>
          <w:rFonts w:eastAsia="Times New Roman" w:cs="Tahoma"/>
          <w:bCs/>
          <w:color w:val="auto"/>
          <w:lang w:val="es-ES" w:eastAsia="es-ES"/>
        </w:rPr>
        <w:t>,</w:t>
      </w:r>
      <w:r w:rsidRPr="00507A3E">
        <w:rPr>
          <w:rFonts w:eastAsia="Times New Roman" w:cs="Tahoma"/>
          <w:bCs/>
          <w:color w:val="auto"/>
          <w:lang w:val="es-ES" w:eastAsia="es-ES"/>
        </w:rPr>
        <w:t xml:space="preserve"> </w:t>
      </w:r>
      <w:r w:rsidRPr="00507A3E">
        <w:rPr>
          <w:rFonts w:eastAsia="Times New Roman" w:cs="Tahoma"/>
          <w:bCs/>
          <w:color w:val="auto"/>
          <w:lang w:eastAsia="es-ES"/>
        </w:rPr>
        <w:t xml:space="preserve">se recibió en este Instituto, a través del </w:t>
      </w:r>
      <w:r w:rsidRPr="00507A3E">
        <w:rPr>
          <w:rFonts w:eastAsia="Times New Roman" w:cs="Tahoma"/>
          <w:bCs/>
          <w:color w:val="auto"/>
          <w:lang w:val="es-ES" w:eastAsia="es-ES"/>
        </w:rPr>
        <w:t>Sistema de Acceso a la Información Mexiquense (SAIMEX)</w:t>
      </w:r>
      <w:r w:rsidRPr="00507A3E">
        <w:rPr>
          <w:rFonts w:eastAsia="Times New Roman" w:cs="Tahoma"/>
          <w:bCs/>
          <w:color w:val="auto"/>
          <w:lang w:eastAsia="es-ES"/>
        </w:rPr>
        <w:t xml:space="preserve">, </w:t>
      </w:r>
      <w:r w:rsidR="001D70CD" w:rsidRPr="00507A3E">
        <w:rPr>
          <w:rFonts w:eastAsia="Times New Roman" w:cs="Tahoma"/>
          <w:bCs/>
          <w:color w:val="auto"/>
          <w:lang w:eastAsia="es-ES"/>
        </w:rPr>
        <w:t>R</w:t>
      </w:r>
      <w:r w:rsidRPr="00507A3E">
        <w:rPr>
          <w:rFonts w:eastAsia="Times New Roman" w:cs="Tahoma"/>
          <w:bCs/>
          <w:color w:val="auto"/>
          <w:lang w:eastAsia="es-ES"/>
        </w:rPr>
        <w:t xml:space="preserve">ecurso de Revisión interpuesto </w:t>
      </w:r>
      <w:r w:rsidRPr="00507A3E">
        <w:rPr>
          <w:rFonts w:eastAsia="Times New Roman" w:cs="Tahoma"/>
          <w:bCs/>
          <w:color w:val="auto"/>
          <w:lang w:eastAsia="es-ES"/>
        </w:rPr>
        <w:lastRenderedPageBreak/>
        <w:t>por la parte Recurrente</w:t>
      </w:r>
      <w:r w:rsidR="005369D0" w:rsidRPr="00507A3E">
        <w:rPr>
          <w:rFonts w:eastAsia="Times New Roman" w:cs="Tahoma"/>
          <w:bCs/>
          <w:color w:val="auto"/>
          <w:lang w:eastAsia="es-ES"/>
        </w:rPr>
        <w:t>,</w:t>
      </w:r>
      <w:r w:rsidRPr="00507A3E">
        <w:rPr>
          <w:rFonts w:eastAsia="Times New Roman" w:cs="Tahoma"/>
          <w:bCs/>
          <w:color w:val="auto"/>
          <w:lang w:eastAsia="es-ES"/>
        </w:rPr>
        <w:t xml:space="preserve"> en contra de la falta de respuesta del Sujeto Obligad</w:t>
      </w:r>
      <w:r w:rsidR="00BC7AC2" w:rsidRPr="00507A3E">
        <w:rPr>
          <w:rFonts w:eastAsia="Times New Roman" w:cs="Tahoma"/>
          <w:bCs/>
          <w:color w:val="auto"/>
          <w:lang w:eastAsia="es-ES"/>
        </w:rPr>
        <w:t xml:space="preserve">o; </w:t>
      </w:r>
      <w:r w:rsidRPr="00507A3E">
        <w:rPr>
          <w:rFonts w:eastAsia="Times New Roman" w:cs="Tahoma"/>
          <w:bCs/>
          <w:color w:val="auto"/>
          <w:lang w:eastAsia="es-ES"/>
        </w:rPr>
        <w:t>en los siguientes términos:</w:t>
      </w:r>
    </w:p>
    <w:p w14:paraId="0E930B82" w14:textId="77777777" w:rsidR="00051642" w:rsidRPr="00507A3E" w:rsidRDefault="00051642" w:rsidP="008567E8">
      <w:pPr>
        <w:spacing w:after="0" w:line="360" w:lineRule="auto"/>
        <w:rPr>
          <w:rFonts w:eastAsia="Times New Roman" w:cs="Tahoma"/>
          <w:bCs/>
          <w:color w:val="auto"/>
          <w:lang w:eastAsia="es-ES"/>
        </w:rPr>
      </w:pPr>
    </w:p>
    <w:p w14:paraId="14508806" w14:textId="7FFA1F8B" w:rsidR="002A2C08" w:rsidRPr="00507A3E" w:rsidRDefault="007A16A9" w:rsidP="008567E8">
      <w:pPr>
        <w:spacing w:after="0" w:line="360" w:lineRule="auto"/>
        <w:ind w:left="567" w:right="567"/>
        <w:rPr>
          <w:rFonts w:eastAsia="Times New Roman" w:cs="Tahoma"/>
          <w:b/>
          <w:bCs/>
          <w:i/>
          <w:color w:val="auto"/>
          <w:sz w:val="20"/>
          <w:szCs w:val="20"/>
          <w:lang w:eastAsia="es-ES"/>
        </w:rPr>
      </w:pPr>
      <w:r w:rsidRPr="00507A3E">
        <w:rPr>
          <w:rFonts w:eastAsia="Times New Roman" w:cs="Tahoma"/>
          <w:b/>
          <w:bCs/>
          <w:i/>
          <w:color w:val="auto"/>
          <w:sz w:val="20"/>
          <w:szCs w:val="20"/>
          <w:lang w:eastAsia="es-ES"/>
        </w:rPr>
        <w:t>“</w:t>
      </w:r>
      <w:r w:rsidR="002A2C08" w:rsidRPr="00507A3E">
        <w:rPr>
          <w:rFonts w:eastAsia="Times New Roman" w:cs="Tahoma"/>
          <w:b/>
          <w:bCs/>
          <w:i/>
          <w:color w:val="auto"/>
          <w:sz w:val="20"/>
          <w:szCs w:val="20"/>
          <w:lang w:eastAsia="es-ES"/>
        </w:rPr>
        <w:t>ACTO IMPUGNADO</w:t>
      </w:r>
    </w:p>
    <w:p w14:paraId="531EDF53" w14:textId="4C8633BB" w:rsidR="002A2C08" w:rsidRPr="00507A3E" w:rsidRDefault="00FA215B" w:rsidP="00040084">
      <w:pPr>
        <w:spacing w:after="0" w:line="360" w:lineRule="auto"/>
        <w:ind w:left="567" w:right="567"/>
        <w:rPr>
          <w:rFonts w:eastAsia="Times New Roman" w:cs="Tahoma"/>
          <w:bCs/>
          <w:i/>
          <w:color w:val="auto"/>
          <w:sz w:val="20"/>
          <w:szCs w:val="20"/>
          <w:lang w:eastAsia="es-ES"/>
        </w:rPr>
      </w:pPr>
      <w:r w:rsidRPr="00507A3E">
        <w:rPr>
          <w:i/>
          <w:color w:val="000000"/>
          <w:sz w:val="20"/>
          <w:szCs w:val="20"/>
        </w:rPr>
        <w:t xml:space="preserve">El ayuntamiento de </w:t>
      </w:r>
      <w:proofErr w:type="spellStart"/>
      <w:r w:rsidRPr="00507A3E">
        <w:rPr>
          <w:i/>
          <w:color w:val="000000"/>
          <w:sz w:val="20"/>
          <w:szCs w:val="20"/>
        </w:rPr>
        <w:t>zinacantepec</w:t>
      </w:r>
      <w:proofErr w:type="spellEnd"/>
      <w:r w:rsidRPr="00507A3E">
        <w:rPr>
          <w:i/>
          <w:color w:val="000000"/>
          <w:sz w:val="20"/>
          <w:szCs w:val="20"/>
        </w:rPr>
        <w:t xml:space="preserve"> no entrega la </w:t>
      </w:r>
      <w:proofErr w:type="spellStart"/>
      <w:r w:rsidRPr="00507A3E">
        <w:rPr>
          <w:i/>
          <w:color w:val="000000"/>
          <w:sz w:val="20"/>
          <w:szCs w:val="20"/>
        </w:rPr>
        <w:t>informacion</w:t>
      </w:r>
      <w:proofErr w:type="spellEnd"/>
      <w:r w:rsidRPr="00507A3E">
        <w:rPr>
          <w:i/>
          <w:color w:val="000000"/>
          <w:sz w:val="20"/>
          <w:szCs w:val="20"/>
        </w:rPr>
        <w:t xml:space="preserve"> que </w:t>
      </w:r>
      <w:proofErr w:type="spellStart"/>
      <w:r w:rsidRPr="00507A3E">
        <w:rPr>
          <w:i/>
          <w:color w:val="000000"/>
          <w:sz w:val="20"/>
          <w:szCs w:val="20"/>
        </w:rPr>
        <w:t>pedi</w:t>
      </w:r>
      <w:proofErr w:type="spellEnd"/>
      <w:r w:rsidR="007A16A9" w:rsidRPr="00507A3E">
        <w:rPr>
          <w:i/>
          <w:color w:val="000000"/>
          <w:sz w:val="20"/>
          <w:szCs w:val="20"/>
        </w:rPr>
        <w:t>”</w:t>
      </w:r>
      <w:r w:rsidR="007A16A9" w:rsidRPr="00507A3E">
        <w:rPr>
          <w:bCs/>
          <w:i/>
          <w:color w:val="000000"/>
          <w:sz w:val="20"/>
          <w:szCs w:val="20"/>
        </w:rPr>
        <w:t xml:space="preserve"> </w:t>
      </w:r>
      <w:r w:rsidR="002A2C08" w:rsidRPr="00507A3E">
        <w:rPr>
          <w:rFonts w:eastAsia="Times New Roman" w:cs="Tahoma"/>
          <w:bCs/>
          <w:i/>
          <w:color w:val="auto"/>
          <w:sz w:val="20"/>
          <w:szCs w:val="20"/>
          <w:lang w:eastAsia="es-ES"/>
        </w:rPr>
        <w:t>(Sic.)</w:t>
      </w:r>
    </w:p>
    <w:p w14:paraId="414B7BE3" w14:textId="77777777" w:rsidR="001D70CD" w:rsidRPr="00507A3E" w:rsidRDefault="001D70CD" w:rsidP="008567E8">
      <w:pPr>
        <w:spacing w:after="0" w:line="360" w:lineRule="auto"/>
        <w:ind w:left="567" w:right="567"/>
        <w:rPr>
          <w:rFonts w:eastAsia="Times New Roman" w:cs="Tahoma"/>
          <w:bCs/>
          <w:i/>
          <w:color w:val="auto"/>
          <w:sz w:val="20"/>
          <w:szCs w:val="20"/>
          <w:lang w:eastAsia="es-ES"/>
        </w:rPr>
      </w:pPr>
    </w:p>
    <w:p w14:paraId="626A4CFD" w14:textId="42D8F513" w:rsidR="002A2C08" w:rsidRPr="00507A3E" w:rsidRDefault="007A16A9" w:rsidP="008567E8">
      <w:pPr>
        <w:spacing w:after="0" w:line="360" w:lineRule="auto"/>
        <w:ind w:left="567" w:right="567"/>
        <w:rPr>
          <w:rFonts w:eastAsia="Times New Roman" w:cs="Tahoma"/>
          <w:b/>
          <w:bCs/>
          <w:i/>
          <w:color w:val="auto"/>
          <w:sz w:val="20"/>
          <w:szCs w:val="20"/>
          <w:lang w:eastAsia="es-ES"/>
        </w:rPr>
      </w:pPr>
      <w:r w:rsidRPr="00507A3E">
        <w:rPr>
          <w:rFonts w:eastAsia="Times New Roman" w:cs="Tahoma"/>
          <w:b/>
          <w:bCs/>
          <w:i/>
          <w:color w:val="auto"/>
          <w:sz w:val="20"/>
          <w:szCs w:val="20"/>
          <w:lang w:eastAsia="es-ES"/>
        </w:rPr>
        <w:t>“</w:t>
      </w:r>
      <w:r w:rsidR="002A2C08" w:rsidRPr="00507A3E">
        <w:rPr>
          <w:rFonts w:eastAsia="Times New Roman" w:cs="Tahoma"/>
          <w:b/>
          <w:bCs/>
          <w:i/>
          <w:color w:val="auto"/>
          <w:sz w:val="20"/>
          <w:szCs w:val="20"/>
          <w:lang w:eastAsia="es-ES"/>
        </w:rPr>
        <w:t>RAZONES O MOTIVOS DE LA INCONFORMIDAD</w:t>
      </w:r>
    </w:p>
    <w:p w14:paraId="23187DF3" w14:textId="1AC6A63A" w:rsidR="002A2C08" w:rsidRPr="00507A3E" w:rsidRDefault="00FA215B" w:rsidP="008567E8">
      <w:pPr>
        <w:spacing w:after="0" w:line="360" w:lineRule="auto"/>
        <w:ind w:left="567" w:right="567"/>
        <w:rPr>
          <w:rFonts w:eastAsia="Times New Roman" w:cs="Tahoma"/>
          <w:bCs/>
          <w:color w:val="auto"/>
          <w:sz w:val="20"/>
          <w:szCs w:val="20"/>
          <w:lang w:eastAsia="es-ES"/>
        </w:rPr>
      </w:pPr>
      <w:r w:rsidRPr="00507A3E">
        <w:rPr>
          <w:i/>
          <w:color w:val="000000"/>
          <w:sz w:val="20"/>
          <w:szCs w:val="20"/>
        </w:rPr>
        <w:t xml:space="preserve">este ayuntamiento ignora lo que </w:t>
      </w:r>
      <w:proofErr w:type="spellStart"/>
      <w:r w:rsidRPr="00507A3E">
        <w:rPr>
          <w:i/>
          <w:color w:val="000000"/>
          <w:sz w:val="20"/>
          <w:szCs w:val="20"/>
        </w:rPr>
        <w:t>pedi</w:t>
      </w:r>
      <w:proofErr w:type="spellEnd"/>
      <w:r w:rsidRPr="00507A3E">
        <w:rPr>
          <w:i/>
          <w:color w:val="000000"/>
          <w:sz w:val="20"/>
          <w:szCs w:val="20"/>
        </w:rPr>
        <w:t xml:space="preserve"> desde hace semanas</w:t>
      </w:r>
      <w:r w:rsidR="007A16A9" w:rsidRPr="00507A3E">
        <w:rPr>
          <w:i/>
          <w:color w:val="000000"/>
          <w:sz w:val="20"/>
          <w:szCs w:val="20"/>
        </w:rPr>
        <w:t>”</w:t>
      </w:r>
      <w:r w:rsidR="00040084" w:rsidRPr="00507A3E">
        <w:rPr>
          <w:i/>
          <w:color w:val="000000"/>
          <w:sz w:val="20"/>
          <w:szCs w:val="20"/>
        </w:rPr>
        <w:t xml:space="preserve"> </w:t>
      </w:r>
      <w:r w:rsidR="002A2C08" w:rsidRPr="00507A3E">
        <w:rPr>
          <w:rFonts w:eastAsia="Times New Roman" w:cs="Tahoma"/>
          <w:bCs/>
          <w:i/>
          <w:color w:val="auto"/>
          <w:sz w:val="20"/>
          <w:szCs w:val="20"/>
          <w:lang w:eastAsia="es-ES"/>
        </w:rPr>
        <w:t>(Sic)</w:t>
      </w:r>
    </w:p>
    <w:p w14:paraId="1CE91750" w14:textId="77777777" w:rsidR="00051642" w:rsidRPr="00507A3E" w:rsidRDefault="00051642" w:rsidP="008567E8">
      <w:pPr>
        <w:spacing w:after="0" w:line="360" w:lineRule="auto"/>
        <w:rPr>
          <w:rFonts w:eastAsia="Times New Roman" w:cs="Tahoma"/>
          <w:bCs/>
          <w:color w:val="auto"/>
          <w:lang w:eastAsia="es-ES"/>
        </w:rPr>
      </w:pPr>
    </w:p>
    <w:p w14:paraId="35300BB0" w14:textId="67C912B6" w:rsidR="00051642" w:rsidRPr="00507A3E" w:rsidRDefault="007A16A9" w:rsidP="008567E8">
      <w:pPr>
        <w:spacing w:after="0" w:line="360" w:lineRule="auto"/>
        <w:rPr>
          <w:rFonts w:eastAsia="Batang" w:cs="Tahoma"/>
          <w:b/>
          <w:bCs/>
          <w:color w:val="000000"/>
        </w:rPr>
      </w:pPr>
      <w:r w:rsidRPr="00507A3E">
        <w:rPr>
          <w:rFonts w:eastAsia="Calibri" w:cs="Tahoma"/>
          <w:b/>
          <w:color w:val="000000"/>
        </w:rPr>
        <w:t>VI</w:t>
      </w:r>
      <w:r w:rsidR="00051642" w:rsidRPr="00507A3E">
        <w:rPr>
          <w:rFonts w:eastAsia="Calibri" w:cs="Tahoma"/>
          <w:b/>
          <w:color w:val="000000"/>
        </w:rPr>
        <w:t xml:space="preserve">. </w:t>
      </w:r>
      <w:r w:rsidR="00051642" w:rsidRPr="00507A3E">
        <w:rPr>
          <w:rFonts w:eastAsia="Batang" w:cs="Tahoma"/>
          <w:b/>
          <w:bCs/>
          <w:color w:val="000000"/>
        </w:rPr>
        <w:t>Trámite del Recurso de Revisión</w:t>
      </w:r>
      <w:r w:rsidR="00051642" w:rsidRPr="00507A3E">
        <w:rPr>
          <w:rFonts w:eastAsia="Calibri" w:cs="Tahoma"/>
          <w:b/>
          <w:color w:val="000000"/>
        </w:rPr>
        <w:t xml:space="preserve"> </w:t>
      </w:r>
      <w:r w:rsidR="00051642" w:rsidRPr="00507A3E">
        <w:rPr>
          <w:rFonts w:eastAsia="Batang" w:cs="Tahoma"/>
          <w:b/>
          <w:bCs/>
          <w:color w:val="000000"/>
        </w:rPr>
        <w:t>ante este Instituto.</w:t>
      </w:r>
    </w:p>
    <w:p w14:paraId="0F3D3E8D" w14:textId="77777777" w:rsidR="00051642" w:rsidRPr="00507A3E" w:rsidRDefault="00051642" w:rsidP="008567E8">
      <w:pPr>
        <w:spacing w:after="0" w:line="360" w:lineRule="auto"/>
        <w:rPr>
          <w:rFonts w:eastAsia="Batang" w:cs="Tahoma"/>
          <w:bCs/>
          <w:color w:val="000000"/>
        </w:rPr>
      </w:pPr>
    </w:p>
    <w:p w14:paraId="3B955202" w14:textId="787A1713" w:rsidR="00051642" w:rsidRPr="00507A3E" w:rsidRDefault="00051642" w:rsidP="008567E8">
      <w:pPr>
        <w:spacing w:after="0" w:line="360" w:lineRule="auto"/>
        <w:rPr>
          <w:rFonts w:eastAsia="Batang" w:cs="Tahoma"/>
          <w:b/>
          <w:bCs/>
          <w:color w:val="000000"/>
        </w:rPr>
      </w:pPr>
      <w:r w:rsidRPr="00507A3E">
        <w:rPr>
          <w:rFonts w:eastAsia="Batang" w:cs="Tahoma"/>
          <w:b/>
          <w:bCs/>
          <w:color w:val="000000"/>
        </w:rPr>
        <w:t xml:space="preserve">a) Turno del Medio de Impugnación. </w:t>
      </w:r>
      <w:r w:rsidRPr="00507A3E">
        <w:rPr>
          <w:rFonts w:eastAsia="Batang" w:cs="Tahoma"/>
          <w:bCs/>
          <w:color w:val="000000"/>
        </w:rPr>
        <w:t xml:space="preserve">El </w:t>
      </w:r>
      <w:r w:rsidR="00FA215B" w:rsidRPr="00507A3E">
        <w:rPr>
          <w:rFonts w:eastAsia="Times New Roman" w:cs="Tahoma"/>
          <w:bCs/>
          <w:color w:val="auto"/>
          <w:lang w:val="es-ES" w:eastAsia="es-ES"/>
        </w:rPr>
        <w:t>cinco</w:t>
      </w:r>
      <w:r w:rsidR="007A16A9" w:rsidRPr="00507A3E">
        <w:rPr>
          <w:rFonts w:eastAsia="Times New Roman" w:cs="Tahoma"/>
          <w:bCs/>
          <w:color w:val="auto"/>
          <w:lang w:val="es-ES" w:eastAsia="es-ES"/>
        </w:rPr>
        <w:t xml:space="preserve"> de </w:t>
      </w:r>
      <w:r w:rsidR="00FA215B" w:rsidRPr="00507A3E">
        <w:rPr>
          <w:rFonts w:eastAsia="Times New Roman" w:cs="Tahoma"/>
          <w:bCs/>
          <w:color w:val="auto"/>
          <w:lang w:val="es-ES" w:eastAsia="es-ES"/>
        </w:rPr>
        <w:t>diciembre</w:t>
      </w:r>
      <w:r w:rsidR="007A16A9" w:rsidRPr="00507A3E">
        <w:rPr>
          <w:rFonts w:eastAsia="Times New Roman" w:cs="Tahoma"/>
          <w:bCs/>
          <w:color w:val="auto"/>
          <w:lang w:val="es-ES" w:eastAsia="es-ES"/>
        </w:rPr>
        <w:t xml:space="preserve"> de dos mil veinti</w:t>
      </w:r>
      <w:r w:rsidR="00FA215B" w:rsidRPr="00507A3E">
        <w:rPr>
          <w:rFonts w:eastAsia="Times New Roman" w:cs="Tahoma"/>
          <w:bCs/>
          <w:color w:val="auto"/>
          <w:lang w:val="es-ES" w:eastAsia="es-ES"/>
        </w:rPr>
        <w:t>dó</w:t>
      </w:r>
      <w:r w:rsidR="007A16A9" w:rsidRPr="00507A3E">
        <w:rPr>
          <w:rFonts w:eastAsia="Times New Roman" w:cs="Tahoma"/>
          <w:bCs/>
          <w:color w:val="auto"/>
          <w:lang w:val="es-ES" w:eastAsia="es-ES"/>
        </w:rPr>
        <w:t>s</w:t>
      </w:r>
      <w:r w:rsidRPr="00507A3E">
        <w:rPr>
          <w:rFonts w:eastAsia="Batang" w:cs="Tahoma"/>
          <w:bCs/>
          <w:color w:val="000000"/>
        </w:rPr>
        <w:t xml:space="preserve">, el </w:t>
      </w:r>
      <w:r w:rsidRPr="00507A3E">
        <w:rPr>
          <w:rFonts w:eastAsia="Calibri" w:cs="Tahoma"/>
          <w:color w:val="000000"/>
          <w:lang w:val="es-ES"/>
        </w:rPr>
        <w:t>Sistema de Acceso a la Información Mexiquense (SAIMEX),</w:t>
      </w:r>
      <w:r w:rsidRPr="00507A3E">
        <w:rPr>
          <w:rFonts w:eastAsia="Batang" w:cs="Tahoma"/>
          <w:bCs/>
          <w:color w:val="000000"/>
        </w:rPr>
        <w:t xml:space="preserve"> asignó el número de expediente </w:t>
      </w:r>
      <w:r w:rsidR="00423A9A" w:rsidRPr="00507A3E">
        <w:rPr>
          <w:rFonts w:eastAsia="Batang" w:cs="Tahoma"/>
          <w:b/>
          <w:bCs/>
          <w:color w:val="000000"/>
        </w:rPr>
        <w:t>17126/INFOEM/IP/RR/2022</w:t>
      </w:r>
      <w:r w:rsidRPr="00507A3E">
        <w:rPr>
          <w:rFonts w:eastAsia="Batang" w:cs="Tahoma"/>
          <w:bCs/>
          <w:color w:val="000000"/>
        </w:rPr>
        <w:t>, a</w:t>
      </w:r>
      <w:r w:rsidR="008510F1" w:rsidRPr="00507A3E">
        <w:rPr>
          <w:rFonts w:eastAsia="Batang" w:cs="Tahoma"/>
          <w:bCs/>
          <w:color w:val="000000"/>
        </w:rPr>
        <w:t>l</w:t>
      </w:r>
      <w:r w:rsidR="00DB5D3F" w:rsidRPr="00507A3E">
        <w:rPr>
          <w:rFonts w:eastAsia="Batang" w:cs="Tahoma"/>
          <w:bCs/>
          <w:color w:val="000000"/>
        </w:rPr>
        <w:t xml:space="preserve"> M</w:t>
      </w:r>
      <w:r w:rsidRPr="00507A3E">
        <w:rPr>
          <w:rFonts w:eastAsia="Batang" w:cs="Tahoma"/>
          <w:bCs/>
          <w:color w:val="000000"/>
        </w:rPr>
        <w:t xml:space="preserve">edio de </w:t>
      </w:r>
      <w:r w:rsidR="00DB5D3F" w:rsidRPr="00507A3E">
        <w:rPr>
          <w:rFonts w:eastAsia="Batang" w:cs="Tahoma"/>
          <w:bCs/>
          <w:color w:val="000000"/>
        </w:rPr>
        <w:t>I</w:t>
      </w:r>
      <w:r w:rsidRPr="00507A3E">
        <w:rPr>
          <w:rFonts w:eastAsia="Batang" w:cs="Tahoma"/>
          <w:bCs/>
          <w:color w:val="000000"/>
        </w:rPr>
        <w:t xml:space="preserve">mpugnación que nos ocupa, con base en el sistema aprobado por el Pleno de este Órgano Garante y lo turnó </w:t>
      </w:r>
      <w:r w:rsidR="00382A3B" w:rsidRPr="00507A3E">
        <w:rPr>
          <w:rFonts w:eastAsia="Batang" w:cs="Tahoma"/>
          <w:bCs/>
          <w:color w:val="000000"/>
        </w:rPr>
        <w:t>a</w:t>
      </w:r>
      <w:r w:rsidR="008510F1" w:rsidRPr="00507A3E">
        <w:rPr>
          <w:rFonts w:eastAsia="Batang" w:cs="Tahoma"/>
          <w:bCs/>
          <w:color w:val="000000"/>
        </w:rPr>
        <w:t>l</w:t>
      </w:r>
      <w:r w:rsidR="00382A3B" w:rsidRPr="00507A3E">
        <w:rPr>
          <w:rFonts w:eastAsia="Batang" w:cs="Tahoma"/>
          <w:bCs/>
          <w:color w:val="000000"/>
        </w:rPr>
        <w:t xml:space="preserve"> Comisionado Luis Gustavo Parra Noriega</w:t>
      </w:r>
      <w:r w:rsidRPr="00507A3E">
        <w:rPr>
          <w:rFonts w:eastAsia="Batang" w:cs="Tahoma"/>
          <w:bCs/>
          <w:color w:val="000000"/>
        </w:rPr>
        <w:t>, para los efectos del artículo 185, fracción I de la Ley de Transparencia y Acceso a la Información Pública del Estado de México y Municipios.</w:t>
      </w:r>
    </w:p>
    <w:p w14:paraId="6A77E5B3" w14:textId="77777777" w:rsidR="00051642" w:rsidRPr="00507A3E" w:rsidRDefault="00051642" w:rsidP="008567E8">
      <w:pPr>
        <w:spacing w:after="0" w:line="360" w:lineRule="auto"/>
        <w:rPr>
          <w:rFonts w:eastAsia="Batang" w:cs="Tahoma"/>
          <w:bCs/>
          <w:color w:val="000000"/>
        </w:rPr>
      </w:pPr>
    </w:p>
    <w:p w14:paraId="14B3EF1A" w14:textId="7AF751BD" w:rsidR="00051642" w:rsidRPr="00507A3E" w:rsidRDefault="00051642" w:rsidP="008567E8">
      <w:pPr>
        <w:spacing w:after="0" w:line="360" w:lineRule="auto"/>
        <w:rPr>
          <w:rFonts w:eastAsia="Times New Roman" w:cs="Tahoma"/>
          <w:b/>
          <w:bCs/>
          <w:color w:val="auto"/>
          <w:lang w:eastAsia="es-ES"/>
        </w:rPr>
      </w:pPr>
      <w:r w:rsidRPr="00507A3E">
        <w:rPr>
          <w:rFonts w:eastAsia="Times New Roman" w:cs="Tahoma"/>
          <w:b/>
          <w:bCs/>
          <w:color w:val="auto"/>
          <w:lang w:eastAsia="es-ES"/>
        </w:rPr>
        <w:t xml:space="preserve">b) Admisión </w:t>
      </w:r>
      <w:r w:rsidR="001D70CD" w:rsidRPr="00507A3E">
        <w:rPr>
          <w:rFonts w:eastAsia="Times New Roman" w:cs="Tahoma"/>
          <w:b/>
          <w:bCs/>
          <w:color w:val="auto"/>
          <w:lang w:eastAsia="es-ES"/>
        </w:rPr>
        <w:t>del</w:t>
      </w:r>
      <w:r w:rsidRPr="00507A3E">
        <w:rPr>
          <w:rFonts w:eastAsia="Times New Roman" w:cs="Tahoma"/>
          <w:b/>
          <w:bCs/>
          <w:color w:val="auto"/>
          <w:lang w:eastAsia="es-ES"/>
        </w:rPr>
        <w:t xml:space="preserve"> Recurso de Revisión</w:t>
      </w:r>
      <w:r w:rsidRPr="00507A3E">
        <w:rPr>
          <w:rFonts w:eastAsia="Times New Roman" w:cs="Tahoma"/>
          <w:b/>
          <w:bCs/>
          <w:color w:val="auto"/>
          <w:lang w:val="es-ES_tradnl" w:eastAsia="es-ES"/>
        </w:rPr>
        <w:t xml:space="preserve">. </w:t>
      </w:r>
      <w:r w:rsidRPr="00507A3E">
        <w:rPr>
          <w:rFonts w:eastAsia="Batang" w:cs="Tahoma"/>
          <w:bCs/>
          <w:color w:val="000000"/>
        </w:rPr>
        <w:t xml:space="preserve">El </w:t>
      </w:r>
      <w:r w:rsidR="00423A9A" w:rsidRPr="00507A3E">
        <w:rPr>
          <w:rFonts w:eastAsia="Batang" w:cs="Tahoma"/>
          <w:bCs/>
          <w:color w:val="000000"/>
        </w:rPr>
        <w:t>ocho</w:t>
      </w:r>
      <w:r w:rsidR="007A16A9" w:rsidRPr="00507A3E">
        <w:rPr>
          <w:rFonts w:eastAsia="Batang" w:cs="Tahoma"/>
          <w:bCs/>
          <w:color w:val="000000"/>
        </w:rPr>
        <w:t xml:space="preserve"> de </w:t>
      </w:r>
      <w:r w:rsidR="00423A9A" w:rsidRPr="00507A3E">
        <w:rPr>
          <w:rFonts w:eastAsia="Batang" w:cs="Tahoma"/>
          <w:bCs/>
          <w:color w:val="000000"/>
        </w:rPr>
        <w:t>diciembre</w:t>
      </w:r>
      <w:r w:rsidR="00040084" w:rsidRPr="00507A3E">
        <w:rPr>
          <w:rFonts w:eastAsia="Batang" w:cs="Tahoma"/>
          <w:bCs/>
          <w:color w:val="000000"/>
        </w:rPr>
        <w:t xml:space="preserve"> de dos mil veinti</w:t>
      </w:r>
      <w:r w:rsidR="00423A9A" w:rsidRPr="00507A3E">
        <w:rPr>
          <w:rFonts w:eastAsia="Batang" w:cs="Tahoma"/>
          <w:bCs/>
          <w:color w:val="000000"/>
        </w:rPr>
        <w:t>dós</w:t>
      </w:r>
      <w:r w:rsidRPr="00507A3E">
        <w:rPr>
          <w:rFonts w:eastAsia="Times New Roman" w:cs="Tahoma"/>
          <w:bCs/>
          <w:color w:val="auto"/>
          <w:lang w:val="es-ES_tradnl" w:eastAsia="es-ES"/>
        </w:rPr>
        <w:t>, se acordó</w:t>
      </w:r>
      <w:r w:rsidR="00DB5D3F" w:rsidRPr="00507A3E">
        <w:rPr>
          <w:rFonts w:eastAsia="Times New Roman" w:cs="Tahoma"/>
          <w:bCs/>
          <w:color w:val="auto"/>
          <w:lang w:val="es-ES_tradnl" w:eastAsia="es-ES"/>
        </w:rPr>
        <w:t xml:space="preserve"> </w:t>
      </w:r>
      <w:r w:rsidRPr="00507A3E">
        <w:rPr>
          <w:rFonts w:eastAsia="Times New Roman" w:cs="Tahoma"/>
          <w:bCs/>
          <w:color w:val="auto"/>
          <w:lang w:val="es-ES_tradnl" w:eastAsia="es-ES"/>
        </w:rPr>
        <w:t>la admisión de</w:t>
      </w:r>
      <w:r w:rsidR="00EE321E" w:rsidRPr="00507A3E">
        <w:rPr>
          <w:rFonts w:eastAsia="Times New Roman" w:cs="Tahoma"/>
          <w:bCs/>
          <w:color w:val="auto"/>
          <w:lang w:val="es-ES_tradnl" w:eastAsia="es-ES"/>
        </w:rPr>
        <w:t>l</w:t>
      </w:r>
      <w:r w:rsidRPr="00507A3E">
        <w:rPr>
          <w:rFonts w:eastAsia="Times New Roman" w:cs="Tahoma"/>
          <w:bCs/>
          <w:color w:val="auto"/>
          <w:lang w:val="es-ES_tradnl" w:eastAsia="es-ES"/>
        </w:rPr>
        <w:t xml:space="preserve"> Recurso de Revisión interpuesto por el Recurrente en contra del Sujeto Obligado, en términos del artículo 185, fracciones I y II de la Ley de Transparencia y Acceso a la Información Pública del Estado de México y Municipios, el cual fue notificado a las partes, </w:t>
      </w:r>
      <w:r w:rsidR="007A16A9" w:rsidRPr="00507A3E">
        <w:rPr>
          <w:rFonts w:eastAsia="Times New Roman" w:cs="Tahoma"/>
          <w:bCs/>
          <w:color w:val="auto"/>
          <w:lang w:val="es-ES_tradnl" w:eastAsia="es-ES"/>
        </w:rPr>
        <w:t>el siete de dicho mes y año</w:t>
      </w:r>
      <w:r w:rsidR="00DB5D3F" w:rsidRPr="00507A3E">
        <w:rPr>
          <w:rFonts w:eastAsia="Times New Roman" w:cs="Tahoma"/>
          <w:bCs/>
          <w:color w:val="auto"/>
          <w:lang w:val="es-ES_tradnl" w:eastAsia="es-ES"/>
        </w:rPr>
        <w:t xml:space="preserve">, </w:t>
      </w:r>
      <w:r w:rsidRPr="00507A3E">
        <w:rPr>
          <w:rFonts w:eastAsia="Times New Roman" w:cs="Tahoma"/>
          <w:bCs/>
          <w:color w:val="auto"/>
          <w:lang w:val="es-ES_tradnl" w:eastAsia="es-ES"/>
        </w:rPr>
        <w:t xml:space="preserve">a través del Sistema de Acceso a la Información Mexiquense (SAIMEX), en el que se les otorgó un plazo de siete días hábiles posteriores a la misma, para que manifestaran lo que a su derecho conviniera y formularan alegatos. </w:t>
      </w:r>
    </w:p>
    <w:p w14:paraId="55E88193" w14:textId="77777777" w:rsidR="00051642" w:rsidRPr="00507A3E" w:rsidRDefault="00051642" w:rsidP="008567E8">
      <w:pPr>
        <w:spacing w:after="0" w:line="360" w:lineRule="auto"/>
        <w:rPr>
          <w:rFonts w:cs="Tahoma"/>
        </w:rPr>
      </w:pPr>
    </w:p>
    <w:p w14:paraId="149A1866" w14:textId="32B61CE7" w:rsidR="00F16ED4" w:rsidRPr="00507A3E" w:rsidRDefault="00051642" w:rsidP="007552CE">
      <w:pPr>
        <w:spacing w:after="0" w:line="360" w:lineRule="auto"/>
        <w:rPr>
          <w:rFonts w:cs="Tahoma"/>
          <w:lang w:val="es-ES_tradnl"/>
        </w:rPr>
      </w:pPr>
      <w:r w:rsidRPr="00507A3E">
        <w:rPr>
          <w:rFonts w:eastAsia="Times New Roman" w:cs="Tahoma"/>
          <w:b/>
          <w:bCs/>
          <w:color w:val="auto"/>
          <w:lang w:eastAsia="es-ES"/>
        </w:rPr>
        <w:lastRenderedPageBreak/>
        <w:t xml:space="preserve">c) </w:t>
      </w:r>
      <w:r w:rsidRPr="00507A3E">
        <w:rPr>
          <w:rFonts w:cs="Tahoma"/>
          <w:b/>
          <w:lang w:val="es-ES_tradnl"/>
        </w:rPr>
        <w:t xml:space="preserve">Informe Justificado. </w:t>
      </w:r>
      <w:r w:rsidR="007552CE" w:rsidRPr="00507A3E">
        <w:rPr>
          <w:rFonts w:cs="Tahoma"/>
          <w:lang w:val="es-ES_tradnl"/>
        </w:rPr>
        <w:t xml:space="preserve">El </w:t>
      </w:r>
      <w:r w:rsidR="007A16A9" w:rsidRPr="00507A3E">
        <w:rPr>
          <w:rFonts w:cs="Tahoma"/>
          <w:lang w:val="es-ES_tradnl"/>
        </w:rPr>
        <w:t xml:space="preserve">nueve de </w:t>
      </w:r>
      <w:r w:rsidR="00423A9A" w:rsidRPr="00507A3E">
        <w:rPr>
          <w:rFonts w:cs="Tahoma"/>
          <w:lang w:val="es-ES_tradnl"/>
        </w:rPr>
        <w:t>enero</w:t>
      </w:r>
      <w:r w:rsidR="007B274F" w:rsidRPr="00507A3E">
        <w:rPr>
          <w:rFonts w:cs="Tahoma"/>
          <w:lang w:val="es-ES_tradnl"/>
        </w:rPr>
        <w:t xml:space="preserve"> de dos mil veintitrés</w:t>
      </w:r>
      <w:r w:rsidR="007552CE" w:rsidRPr="00507A3E">
        <w:rPr>
          <w:rFonts w:cs="Tahoma"/>
          <w:lang w:val="es-ES_tradnl"/>
        </w:rPr>
        <w:t xml:space="preserve">, se recibió, a través de Sistema de Acceso a la Información Mexiquense (SAIMEX), el Informe Justificado del Sujeto Obligado, </w:t>
      </w:r>
      <w:r w:rsidR="007B274F" w:rsidRPr="00507A3E">
        <w:rPr>
          <w:rFonts w:cs="Tahoma"/>
          <w:lang w:val="es-ES_tradnl"/>
        </w:rPr>
        <w:t>a través del</w:t>
      </w:r>
      <w:r w:rsidR="007552CE" w:rsidRPr="00507A3E">
        <w:rPr>
          <w:rFonts w:cs="Tahoma"/>
          <w:lang w:val="es-ES_tradnl"/>
        </w:rPr>
        <w:t xml:space="preserve"> Titular de la Unidad de Transparencia</w:t>
      </w:r>
      <w:r w:rsidR="006F00F9" w:rsidRPr="00507A3E">
        <w:rPr>
          <w:rFonts w:cs="Tahoma"/>
          <w:lang w:val="es-ES_tradnl"/>
        </w:rPr>
        <w:t xml:space="preserve"> y dirigido al </w:t>
      </w:r>
      <w:r w:rsidR="007B274F" w:rsidRPr="00507A3E">
        <w:rPr>
          <w:rFonts w:cs="Tahoma"/>
          <w:lang w:val="es-ES_tradnl"/>
        </w:rPr>
        <w:t xml:space="preserve">Particular, en los siguientes términos: </w:t>
      </w:r>
    </w:p>
    <w:p w14:paraId="3423BE66" w14:textId="77777777" w:rsidR="007B274F" w:rsidRPr="00507A3E" w:rsidRDefault="007B274F" w:rsidP="007552CE">
      <w:pPr>
        <w:spacing w:after="0" w:line="360" w:lineRule="auto"/>
        <w:rPr>
          <w:rFonts w:cs="Tahoma"/>
          <w:lang w:val="es-ES_tradnl"/>
        </w:rPr>
      </w:pPr>
    </w:p>
    <w:p w14:paraId="35F21490" w14:textId="64B689F5" w:rsidR="007B274F" w:rsidRPr="00507A3E" w:rsidRDefault="007B274F" w:rsidP="007B274F">
      <w:pPr>
        <w:spacing w:after="0" w:line="360" w:lineRule="auto"/>
        <w:ind w:left="567" w:right="567"/>
        <w:rPr>
          <w:rFonts w:cs="Tahoma"/>
          <w:i/>
          <w:sz w:val="20"/>
          <w:lang w:val="es-ES_tradnl"/>
        </w:rPr>
      </w:pPr>
      <w:r w:rsidRPr="00507A3E">
        <w:rPr>
          <w:rFonts w:cs="Tahoma"/>
          <w:i/>
          <w:sz w:val="20"/>
          <w:lang w:val="es-ES_tradnl"/>
        </w:rPr>
        <w:t>“…</w:t>
      </w:r>
    </w:p>
    <w:p w14:paraId="0C1D0BAB" w14:textId="65F7F19A" w:rsidR="008E1A4E" w:rsidRPr="00507A3E" w:rsidRDefault="008E1A4E" w:rsidP="008E1A4E">
      <w:pPr>
        <w:spacing w:after="0" w:line="360" w:lineRule="auto"/>
        <w:ind w:left="567" w:right="567"/>
        <w:rPr>
          <w:rFonts w:cs="Tahoma"/>
          <w:i/>
          <w:sz w:val="20"/>
        </w:rPr>
      </w:pPr>
      <w:r w:rsidRPr="00507A3E">
        <w:rPr>
          <w:rFonts w:cs="Tahoma"/>
          <w:i/>
          <w:sz w:val="20"/>
        </w:rPr>
        <w:t xml:space="preserve">Con el fin de poder darle una oportuna contestación al hoy recurrente le informo que este Sujeto Obligado al realizar un análisis en su solicitud procedió a turnarla al Servidor Público Habilitado poseedor de la información, mismo que nos informa que lo solicitado se encuentra dentro del Sistema de </w:t>
      </w:r>
      <w:r w:rsidRPr="00507A3E">
        <w:rPr>
          <w:rFonts w:cs="Tahoma"/>
          <w:b/>
          <w:bCs/>
          <w:i/>
          <w:sz w:val="20"/>
        </w:rPr>
        <w:t>Información Pública de Oficio Mexiquense (IPOMEX)</w:t>
      </w:r>
      <w:r w:rsidRPr="00507A3E">
        <w:rPr>
          <w:rFonts w:cs="Tahoma"/>
          <w:i/>
          <w:sz w:val="20"/>
        </w:rPr>
        <w:t>, cabe hacer mención que dentro de dicho sistema se carga la información que este Sujeto Obligado debe transparentar de conformidad con la Ley de Transparencia y Acceso a la información Pública de Oficio Mexiquense del Estado de México y Municipios en su artículo 92, por lo anteriormente expuesto se proporciona enlace para la consulta de lo peticionado referente a los Servidores Públicos antes solicitados:</w:t>
      </w:r>
    </w:p>
    <w:p w14:paraId="515552F9" w14:textId="77777777" w:rsidR="008E1A4E" w:rsidRPr="00507A3E" w:rsidRDefault="008E1A4E" w:rsidP="008E1A4E">
      <w:pPr>
        <w:spacing w:after="0" w:line="360" w:lineRule="auto"/>
        <w:ind w:left="567" w:right="567"/>
        <w:rPr>
          <w:rFonts w:cs="Tahoma"/>
          <w:i/>
          <w:sz w:val="20"/>
        </w:rPr>
      </w:pPr>
    </w:p>
    <w:p w14:paraId="408D11F9" w14:textId="7B292B38" w:rsidR="008E1A4E" w:rsidRPr="00507A3E" w:rsidRDefault="00117181" w:rsidP="008E1A4E">
      <w:pPr>
        <w:spacing w:after="0" w:line="360" w:lineRule="auto"/>
        <w:ind w:left="567" w:right="567"/>
        <w:rPr>
          <w:rFonts w:cs="Tahoma"/>
          <w:i/>
          <w:sz w:val="20"/>
        </w:rPr>
      </w:pPr>
      <w:hyperlink r:id="rId8" w:history="1">
        <w:r w:rsidR="008E1A4E" w:rsidRPr="00507A3E">
          <w:rPr>
            <w:rStyle w:val="Hipervnculo"/>
            <w:rFonts w:cs="Tahoma"/>
            <w:i/>
            <w:sz w:val="20"/>
          </w:rPr>
          <w:t>https://www.ipomex.org.mx/ipo3/lgt/indice/ZINACANTEPEC/art_92_viii.web</w:t>
        </w:r>
      </w:hyperlink>
      <w:r w:rsidR="008E1A4E" w:rsidRPr="00507A3E">
        <w:rPr>
          <w:rFonts w:cs="Tahoma"/>
          <w:i/>
          <w:sz w:val="20"/>
        </w:rPr>
        <w:t xml:space="preserve"> </w:t>
      </w:r>
    </w:p>
    <w:p w14:paraId="48C81000" w14:textId="09EE6C6E" w:rsidR="007B274F" w:rsidRPr="00507A3E" w:rsidRDefault="007B274F" w:rsidP="008E1A4E">
      <w:pPr>
        <w:spacing w:after="0" w:line="360" w:lineRule="auto"/>
        <w:ind w:left="567" w:right="567"/>
        <w:rPr>
          <w:rFonts w:cs="Tahoma"/>
          <w:i/>
          <w:sz w:val="20"/>
          <w:lang w:val="es-ES_tradnl"/>
        </w:rPr>
      </w:pPr>
      <w:r w:rsidRPr="00507A3E">
        <w:rPr>
          <w:rFonts w:cs="Tahoma"/>
          <w:i/>
          <w:sz w:val="20"/>
          <w:lang w:val="es-ES_tradnl"/>
        </w:rPr>
        <w:t>…”</w:t>
      </w:r>
    </w:p>
    <w:p w14:paraId="1AC260CD" w14:textId="77777777" w:rsidR="008E1A4E" w:rsidRPr="00507A3E" w:rsidRDefault="008E1A4E" w:rsidP="008E1A4E">
      <w:pPr>
        <w:spacing w:after="0" w:line="360" w:lineRule="auto"/>
        <w:ind w:left="567" w:right="567"/>
        <w:rPr>
          <w:rFonts w:cs="Tahoma"/>
          <w:i/>
          <w:sz w:val="20"/>
          <w:lang w:val="es-ES_tradnl"/>
        </w:rPr>
      </w:pPr>
    </w:p>
    <w:p w14:paraId="211CD361" w14:textId="35D3F37E" w:rsidR="008E1A4E" w:rsidRPr="00507A3E" w:rsidRDefault="008E1A4E" w:rsidP="008E1A4E">
      <w:pPr>
        <w:spacing w:after="0" w:line="360" w:lineRule="auto"/>
        <w:rPr>
          <w:rFonts w:eastAsia="Palatino Linotype" w:cs="Palatino Linotype"/>
          <w:color w:val="0D0D0D" w:themeColor="text1" w:themeTint="F2"/>
          <w:lang w:val="es-ES" w:eastAsia="es-ES"/>
        </w:rPr>
      </w:pPr>
      <w:r w:rsidRPr="00507A3E">
        <w:rPr>
          <w:rFonts w:eastAsia="Times New Roman" w:cs="Tahoma"/>
          <w:b/>
          <w:bCs/>
          <w:color w:val="0D0D0D" w:themeColor="text1" w:themeTint="F2"/>
          <w:lang w:val="es-ES_tradnl" w:eastAsia="es-ES"/>
        </w:rPr>
        <w:t xml:space="preserve">d) </w:t>
      </w:r>
      <w:r w:rsidRPr="00507A3E">
        <w:rPr>
          <w:rFonts w:eastAsia="Palatino Linotype" w:cs="Palatino Linotype"/>
          <w:b/>
          <w:bCs/>
          <w:color w:val="0D0D0D" w:themeColor="text1" w:themeTint="F2"/>
          <w:lang w:val="es-ES" w:eastAsia="es-ES"/>
        </w:rPr>
        <w:t xml:space="preserve">Ampliación del plazo para resolver. </w:t>
      </w:r>
      <w:r w:rsidRPr="00507A3E">
        <w:rPr>
          <w:rFonts w:eastAsia="Palatino Linotype" w:cs="Palatino Linotype"/>
          <w:color w:val="0D0D0D" w:themeColor="text1" w:themeTint="F2"/>
          <w:lang w:val="es-ES" w:eastAsia="es-ES"/>
        </w:rPr>
        <w:t>El veintisiete de febrero de dos mil veintitrés,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el primero de junio del mismo año, mediante el Sistema de Acceso a la Información Mexiquense (SAIMEX), el mismo día.</w:t>
      </w:r>
    </w:p>
    <w:p w14:paraId="69E6032F" w14:textId="77777777" w:rsidR="008E1A4E" w:rsidRPr="00507A3E" w:rsidRDefault="008E1A4E" w:rsidP="008E1A4E">
      <w:pPr>
        <w:spacing w:after="0" w:line="360" w:lineRule="auto"/>
        <w:rPr>
          <w:rFonts w:eastAsia="Times New Roman" w:cs="Tahoma"/>
          <w:b/>
          <w:color w:val="0D0D0D" w:themeColor="text1" w:themeTint="F2"/>
          <w:lang w:eastAsia="es-ES"/>
        </w:rPr>
      </w:pPr>
    </w:p>
    <w:p w14:paraId="3814FED6" w14:textId="77777777" w:rsidR="008E1A4E" w:rsidRPr="00507A3E" w:rsidRDefault="008E1A4E" w:rsidP="008E1A4E">
      <w:pPr>
        <w:spacing w:after="0" w:line="360" w:lineRule="auto"/>
        <w:rPr>
          <w:rFonts w:eastAsia="Calibri" w:cs="Tahoma"/>
          <w:bCs/>
        </w:rPr>
      </w:pPr>
      <w:r w:rsidRPr="00507A3E">
        <w:rPr>
          <w:rFonts w:eastAsia="Calibri" w:cs="Tahoma"/>
          <w:bCs/>
        </w:rPr>
        <w:lastRenderedPageBreak/>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8812CA4" w14:textId="77777777" w:rsidR="008E1A4E" w:rsidRPr="00507A3E" w:rsidRDefault="008E1A4E" w:rsidP="008E1A4E">
      <w:pPr>
        <w:spacing w:after="0" w:line="360" w:lineRule="auto"/>
        <w:rPr>
          <w:rFonts w:eastAsia="Calibri" w:cs="Tahoma"/>
          <w:bCs/>
        </w:rPr>
      </w:pPr>
      <w:r w:rsidRPr="00507A3E">
        <w:rPr>
          <w:rFonts w:eastAsia="Calibri" w:cs="Tahoma"/>
          <w:bCs/>
        </w:rPr>
        <w:t xml:space="preserve"> </w:t>
      </w:r>
    </w:p>
    <w:p w14:paraId="2E9A3B56" w14:textId="77777777" w:rsidR="008E1A4E" w:rsidRPr="00507A3E" w:rsidRDefault="008E1A4E" w:rsidP="008E1A4E">
      <w:pPr>
        <w:spacing w:after="0" w:line="360" w:lineRule="auto"/>
        <w:rPr>
          <w:rFonts w:eastAsia="Calibri" w:cs="Tahoma"/>
          <w:bCs/>
        </w:rPr>
      </w:pPr>
      <w:r w:rsidRPr="00507A3E">
        <w:rPr>
          <w:rFonts w:eastAsia="Calibri" w:cs="Tahoma"/>
          <w:bC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DE32F13" w14:textId="77777777" w:rsidR="008E1A4E" w:rsidRPr="00507A3E" w:rsidRDefault="008E1A4E" w:rsidP="008E1A4E">
      <w:pPr>
        <w:spacing w:after="0" w:line="360" w:lineRule="auto"/>
        <w:rPr>
          <w:rFonts w:eastAsia="Calibri" w:cs="Tahoma"/>
          <w:bCs/>
        </w:rPr>
      </w:pPr>
      <w:r w:rsidRPr="00507A3E">
        <w:rPr>
          <w:rFonts w:eastAsia="Calibri" w:cs="Tahoma"/>
          <w:bCs/>
        </w:rPr>
        <w:t xml:space="preserve"> </w:t>
      </w:r>
    </w:p>
    <w:p w14:paraId="3F91EE21" w14:textId="77777777" w:rsidR="008E1A4E" w:rsidRPr="00507A3E" w:rsidRDefault="008E1A4E" w:rsidP="008E1A4E">
      <w:pPr>
        <w:spacing w:after="0" w:line="360" w:lineRule="auto"/>
        <w:rPr>
          <w:rFonts w:eastAsia="Calibri" w:cs="Tahoma"/>
          <w:bCs/>
        </w:rPr>
      </w:pPr>
      <w:r w:rsidRPr="00507A3E">
        <w:rPr>
          <w:rFonts w:eastAsia="Calibri" w:cs="Tahoma"/>
          <w:bC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C693623" w14:textId="77777777" w:rsidR="008E1A4E" w:rsidRPr="00507A3E" w:rsidRDefault="008E1A4E" w:rsidP="008E1A4E">
      <w:pPr>
        <w:spacing w:after="0" w:line="360" w:lineRule="auto"/>
        <w:rPr>
          <w:rFonts w:eastAsia="Calibri" w:cs="Tahoma"/>
          <w:bCs/>
        </w:rPr>
      </w:pPr>
      <w:r w:rsidRPr="00507A3E">
        <w:rPr>
          <w:rFonts w:eastAsia="Calibri" w:cs="Tahoma"/>
          <w:bCs/>
        </w:rPr>
        <w:t xml:space="preserve"> </w:t>
      </w:r>
    </w:p>
    <w:p w14:paraId="4B4EC7DD" w14:textId="77777777" w:rsidR="008E1A4E" w:rsidRPr="00507A3E" w:rsidRDefault="008E1A4E" w:rsidP="008E1A4E">
      <w:pPr>
        <w:spacing w:after="0" w:line="360" w:lineRule="auto"/>
        <w:rPr>
          <w:rFonts w:eastAsia="Calibri" w:cs="Tahoma"/>
          <w:bCs/>
        </w:rPr>
      </w:pPr>
      <w:r w:rsidRPr="00507A3E">
        <w:rPr>
          <w:rFonts w:eastAsia="Calibri" w:cs="Tahoma"/>
          <w:bC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8563963" w14:textId="77777777" w:rsidR="008E1A4E" w:rsidRPr="00507A3E" w:rsidRDefault="008E1A4E" w:rsidP="008E1A4E">
      <w:pPr>
        <w:spacing w:after="0" w:line="360" w:lineRule="auto"/>
        <w:rPr>
          <w:rFonts w:eastAsia="Calibri" w:cs="Tahoma"/>
          <w:bCs/>
        </w:rPr>
      </w:pPr>
    </w:p>
    <w:p w14:paraId="0EE4451D" w14:textId="77777777" w:rsidR="008E1A4E" w:rsidRPr="00507A3E" w:rsidRDefault="008E1A4E" w:rsidP="008E1A4E">
      <w:pPr>
        <w:spacing w:after="0" w:line="360" w:lineRule="auto"/>
        <w:rPr>
          <w:rFonts w:eastAsia="Calibri" w:cs="Tahoma"/>
          <w:bCs/>
        </w:rPr>
      </w:pPr>
      <w:r w:rsidRPr="00507A3E">
        <w:rPr>
          <w:rFonts w:eastAsia="Calibri" w:cs="Tahoma"/>
          <w:bCs/>
        </w:rPr>
        <w:t xml:space="preserve">Por ello, excepcionalmente, si un asunto es resuelto con posterioridad a los plazos señalados por la norma debe analizarse la razonabilidad del tiempo necesario para su resolución, atentos a los siguientes criterios:  </w:t>
      </w:r>
    </w:p>
    <w:p w14:paraId="663C1B36" w14:textId="77777777" w:rsidR="008E1A4E" w:rsidRPr="00507A3E" w:rsidRDefault="008E1A4E" w:rsidP="008E1A4E">
      <w:pPr>
        <w:spacing w:after="0" w:line="360" w:lineRule="auto"/>
        <w:rPr>
          <w:rFonts w:eastAsia="Calibri" w:cs="Tahoma"/>
          <w:bCs/>
        </w:rPr>
      </w:pPr>
      <w:r w:rsidRPr="00507A3E">
        <w:rPr>
          <w:rFonts w:eastAsia="Calibri" w:cs="Tahoma"/>
          <w:bCs/>
        </w:rPr>
        <w:t xml:space="preserve"> </w:t>
      </w:r>
    </w:p>
    <w:p w14:paraId="2AECD0DE" w14:textId="77777777" w:rsidR="008E1A4E" w:rsidRPr="00507A3E" w:rsidRDefault="008E1A4E" w:rsidP="006921F4">
      <w:pPr>
        <w:numPr>
          <w:ilvl w:val="0"/>
          <w:numId w:val="22"/>
        </w:numPr>
        <w:spacing w:after="0" w:line="360" w:lineRule="auto"/>
        <w:contextualSpacing/>
        <w:rPr>
          <w:rFonts w:eastAsia="Palatino Linotype" w:cs="Palatino Linotype"/>
          <w:szCs w:val="24"/>
          <w:lang w:eastAsia="es-ES"/>
        </w:rPr>
      </w:pPr>
      <w:r w:rsidRPr="00507A3E">
        <w:rPr>
          <w:rFonts w:eastAsia="Palatino Linotype" w:cs="Palatino Linotype"/>
          <w:b/>
          <w:bCs/>
          <w:szCs w:val="24"/>
          <w:lang w:eastAsia="es-ES"/>
        </w:rPr>
        <w:lastRenderedPageBreak/>
        <w:t>Complejidad del asunto:</w:t>
      </w:r>
      <w:r w:rsidRPr="00507A3E">
        <w:rPr>
          <w:rFonts w:eastAsia="Palatino Linotype" w:cs="Palatino Linotype"/>
          <w:szCs w:val="24"/>
          <w:lang w:eastAsia="es-ES"/>
        </w:rPr>
        <w:t xml:space="preserve"> La complejidad de la prueba, la pluralidad de sujetos procesales, el tiempo transcurrido, las características y contexto del recurso.</w:t>
      </w:r>
    </w:p>
    <w:p w14:paraId="5A159DDA" w14:textId="77777777" w:rsidR="008E1A4E" w:rsidRPr="00507A3E" w:rsidRDefault="008E1A4E" w:rsidP="006921F4">
      <w:pPr>
        <w:spacing w:after="0" w:line="360" w:lineRule="auto"/>
        <w:ind w:left="720"/>
        <w:contextualSpacing/>
        <w:rPr>
          <w:rFonts w:eastAsia="Palatino Linotype" w:cs="Palatino Linotype"/>
          <w:szCs w:val="24"/>
          <w:lang w:eastAsia="es-ES"/>
        </w:rPr>
      </w:pPr>
    </w:p>
    <w:p w14:paraId="0A559FCC" w14:textId="77777777" w:rsidR="008E1A4E" w:rsidRPr="00507A3E" w:rsidRDefault="008E1A4E" w:rsidP="006921F4">
      <w:pPr>
        <w:numPr>
          <w:ilvl w:val="0"/>
          <w:numId w:val="22"/>
        </w:numPr>
        <w:spacing w:after="0" w:line="360" w:lineRule="auto"/>
        <w:contextualSpacing/>
        <w:rPr>
          <w:rFonts w:eastAsia="Palatino Linotype" w:cs="Palatino Linotype"/>
          <w:szCs w:val="24"/>
          <w:lang w:eastAsia="es-ES"/>
        </w:rPr>
      </w:pPr>
      <w:r w:rsidRPr="00507A3E">
        <w:rPr>
          <w:rFonts w:eastAsia="Palatino Linotype" w:cs="Palatino Linotype"/>
          <w:b/>
          <w:bCs/>
          <w:szCs w:val="24"/>
          <w:lang w:eastAsia="es-ES"/>
        </w:rPr>
        <w:t>Actividad Procesal del interesado:</w:t>
      </w:r>
      <w:r w:rsidRPr="00507A3E">
        <w:rPr>
          <w:rFonts w:eastAsia="Palatino Linotype" w:cs="Palatino Linotype"/>
          <w:szCs w:val="24"/>
          <w:lang w:eastAsia="es-ES"/>
        </w:rPr>
        <w:t xml:space="preserve"> Acciones u omisiones del interesado.</w:t>
      </w:r>
    </w:p>
    <w:p w14:paraId="11E0024B" w14:textId="77777777" w:rsidR="008E1A4E" w:rsidRPr="00507A3E" w:rsidRDefault="008E1A4E" w:rsidP="006921F4">
      <w:pPr>
        <w:spacing w:after="0" w:line="360" w:lineRule="auto"/>
        <w:ind w:left="720"/>
        <w:contextualSpacing/>
        <w:rPr>
          <w:rFonts w:eastAsia="Palatino Linotype" w:cs="Palatino Linotype"/>
          <w:szCs w:val="24"/>
          <w:lang w:eastAsia="es-ES"/>
        </w:rPr>
      </w:pPr>
    </w:p>
    <w:p w14:paraId="59C4BF07" w14:textId="77777777" w:rsidR="008E1A4E" w:rsidRPr="00507A3E" w:rsidRDefault="008E1A4E" w:rsidP="006921F4">
      <w:pPr>
        <w:numPr>
          <w:ilvl w:val="0"/>
          <w:numId w:val="22"/>
        </w:numPr>
        <w:spacing w:after="0" w:line="360" w:lineRule="auto"/>
        <w:contextualSpacing/>
        <w:rPr>
          <w:rFonts w:eastAsia="Palatino Linotype" w:cs="Palatino Linotype"/>
          <w:szCs w:val="24"/>
          <w:lang w:eastAsia="es-ES"/>
        </w:rPr>
      </w:pPr>
      <w:r w:rsidRPr="00507A3E">
        <w:rPr>
          <w:rFonts w:eastAsia="Palatino Linotype" w:cs="Palatino Linotype"/>
          <w:b/>
          <w:bCs/>
          <w:szCs w:val="24"/>
          <w:lang w:eastAsia="es-ES"/>
        </w:rPr>
        <w:t>Conducta de la Autoridad:</w:t>
      </w:r>
      <w:r w:rsidRPr="00507A3E">
        <w:rPr>
          <w:rFonts w:eastAsia="Palatino Linotype" w:cs="Palatino Linotype"/>
          <w:szCs w:val="24"/>
          <w:lang w:eastAsia="es-ES"/>
        </w:rPr>
        <w:t xml:space="preserve"> Las Acciones u omisiones realizadas en el procedimiento. Así como si la autoridad actuó con la debida diligencia.</w:t>
      </w:r>
    </w:p>
    <w:p w14:paraId="6BE149D4" w14:textId="77777777" w:rsidR="008E1A4E" w:rsidRPr="00507A3E" w:rsidRDefault="008E1A4E" w:rsidP="006921F4">
      <w:pPr>
        <w:spacing w:after="0" w:line="360" w:lineRule="auto"/>
        <w:ind w:left="720"/>
        <w:contextualSpacing/>
        <w:rPr>
          <w:rFonts w:eastAsia="Palatino Linotype" w:cs="Palatino Linotype"/>
          <w:szCs w:val="24"/>
          <w:lang w:eastAsia="es-ES"/>
        </w:rPr>
      </w:pPr>
    </w:p>
    <w:p w14:paraId="3CDA457F" w14:textId="77777777" w:rsidR="008E1A4E" w:rsidRPr="00507A3E" w:rsidRDefault="008E1A4E" w:rsidP="006921F4">
      <w:pPr>
        <w:numPr>
          <w:ilvl w:val="0"/>
          <w:numId w:val="22"/>
        </w:numPr>
        <w:spacing w:after="0" w:line="360" w:lineRule="auto"/>
        <w:contextualSpacing/>
        <w:rPr>
          <w:rFonts w:eastAsia="Palatino Linotype" w:cs="Palatino Linotype"/>
          <w:szCs w:val="24"/>
          <w:lang w:eastAsia="es-ES"/>
        </w:rPr>
      </w:pPr>
      <w:r w:rsidRPr="00507A3E">
        <w:rPr>
          <w:rFonts w:eastAsia="Palatino Linotype" w:cs="Palatino Linotype"/>
          <w:b/>
          <w:bCs/>
          <w:szCs w:val="24"/>
          <w:lang w:eastAsia="es-ES"/>
        </w:rPr>
        <w:t xml:space="preserve">La afectación generada en la situación jurídica de la persona involucrada en el proceso: </w:t>
      </w:r>
      <w:r w:rsidRPr="00507A3E">
        <w:rPr>
          <w:rFonts w:eastAsia="Palatino Linotype" w:cs="Palatino Linotype"/>
          <w:szCs w:val="24"/>
          <w:lang w:eastAsia="es-ES"/>
        </w:rPr>
        <w:t>Violación a sus derechos humanos.</w:t>
      </w:r>
    </w:p>
    <w:p w14:paraId="1CA9002A" w14:textId="77777777" w:rsidR="008E1A4E" w:rsidRPr="00507A3E" w:rsidRDefault="008E1A4E" w:rsidP="008E1A4E">
      <w:pPr>
        <w:spacing w:after="0" w:line="360" w:lineRule="auto"/>
        <w:rPr>
          <w:rFonts w:eastAsia="Calibri" w:cs="Tahoma"/>
          <w:bCs/>
        </w:rPr>
      </w:pPr>
    </w:p>
    <w:p w14:paraId="1A781BBC" w14:textId="77777777" w:rsidR="008E1A4E" w:rsidRPr="00507A3E" w:rsidRDefault="008E1A4E" w:rsidP="008E1A4E">
      <w:pPr>
        <w:spacing w:after="0" w:line="360" w:lineRule="auto"/>
        <w:rPr>
          <w:rFonts w:eastAsia="Calibri" w:cs="Tahoma"/>
          <w:bCs/>
        </w:rPr>
      </w:pPr>
      <w:r w:rsidRPr="00507A3E">
        <w:rPr>
          <w:rFonts w:eastAsia="Calibri" w:cs="Tahoma"/>
          <w:bC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CCCB1EC" w14:textId="77777777" w:rsidR="008E1A4E" w:rsidRPr="00507A3E" w:rsidRDefault="008E1A4E" w:rsidP="008E1A4E">
      <w:pPr>
        <w:spacing w:after="0" w:line="360" w:lineRule="auto"/>
        <w:rPr>
          <w:rFonts w:eastAsia="Calibri" w:cs="Tahoma"/>
          <w:bCs/>
        </w:rPr>
      </w:pPr>
      <w:r w:rsidRPr="00507A3E">
        <w:rPr>
          <w:rFonts w:eastAsia="Calibri" w:cs="Tahoma"/>
          <w:bCs/>
        </w:rPr>
        <w:t xml:space="preserve"> </w:t>
      </w:r>
    </w:p>
    <w:p w14:paraId="23D26E2C" w14:textId="77777777" w:rsidR="008E1A4E" w:rsidRPr="00507A3E" w:rsidRDefault="008E1A4E" w:rsidP="008E1A4E">
      <w:pPr>
        <w:spacing w:after="0" w:line="360" w:lineRule="auto"/>
        <w:rPr>
          <w:rFonts w:eastAsia="Calibri" w:cs="Tahoma"/>
          <w:bCs/>
        </w:rPr>
      </w:pPr>
      <w:r w:rsidRPr="00507A3E">
        <w:rPr>
          <w:rFonts w:eastAsia="Calibri" w:cs="Tahoma"/>
          <w:bCs/>
        </w:rPr>
        <w:t xml:space="preserve">Argumento que encuentra sustento en la jurisprudencia P./J. 32/92 emitida por el Pleno de la Suprema Corte de Justicia de la Nación de rubro </w:t>
      </w:r>
      <w:r w:rsidRPr="00507A3E">
        <w:rPr>
          <w:rFonts w:eastAsia="Calibri" w:cs="Tahoma"/>
          <w:b/>
        </w:rPr>
        <w:t>“TÉRMINOS PROCESALES. PARA DETERMINAR SI UN FUNCIONARIO JUDICIAL ACTUÓ INDEBIDAMENTE POR NO RESPETARLOS SE DEBE ATENDER AL PRESUPUESTO QUE CONSIDERÓ EL LEGISLADOR AL FIJARLOS Y LAS CARACTERÍSTICAS DEL CASO.”</w:t>
      </w:r>
      <w:r w:rsidRPr="00507A3E">
        <w:rPr>
          <w:rFonts w:eastAsia="Calibri" w:cs="Tahoma"/>
          <w:bCs/>
        </w:rPr>
        <w:t>, visible en la Gaceta del Seminario Judicial de la Federación con el registro digital 205635.</w:t>
      </w:r>
    </w:p>
    <w:p w14:paraId="5AD953BE" w14:textId="77777777" w:rsidR="008E1A4E" w:rsidRPr="00507A3E" w:rsidRDefault="008E1A4E" w:rsidP="008E1A4E">
      <w:pPr>
        <w:spacing w:after="0" w:line="360" w:lineRule="auto"/>
        <w:rPr>
          <w:rFonts w:eastAsia="Calibri" w:cs="Tahoma"/>
          <w:bCs/>
        </w:rPr>
      </w:pPr>
      <w:r w:rsidRPr="00507A3E">
        <w:rPr>
          <w:rFonts w:eastAsia="Calibri" w:cs="Tahoma"/>
          <w:bCs/>
        </w:rPr>
        <w:t xml:space="preserve"> </w:t>
      </w:r>
    </w:p>
    <w:p w14:paraId="5E6E7DFB" w14:textId="77777777" w:rsidR="008E1A4E" w:rsidRPr="00507A3E" w:rsidRDefault="008E1A4E" w:rsidP="008E1A4E">
      <w:pPr>
        <w:spacing w:after="0" w:line="360" w:lineRule="auto"/>
        <w:rPr>
          <w:rFonts w:eastAsia="Calibri" w:cs="Tahoma"/>
          <w:bCs/>
        </w:rPr>
      </w:pPr>
      <w:r w:rsidRPr="00507A3E">
        <w:rPr>
          <w:rFonts w:eastAsia="Calibri" w:cs="Tahoma"/>
          <w:bCs/>
        </w:rPr>
        <w:t xml:space="preserve">Razones por las cuales cabe concluir que, la resolución al recurso de revisión se solventa hasta esta fecha, debido a que existe una excesiva carga de trabajo en desproporción a la capacidad </w:t>
      </w:r>
      <w:r w:rsidRPr="00507A3E">
        <w:rPr>
          <w:rFonts w:eastAsia="Calibri" w:cs="Tahoma"/>
          <w:bCs/>
        </w:rPr>
        <w:lastRenderedPageBreak/>
        <w:t>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FE3FDD8" w14:textId="77777777" w:rsidR="008E1A4E" w:rsidRPr="00507A3E" w:rsidRDefault="008E1A4E" w:rsidP="008E1A4E">
      <w:pPr>
        <w:spacing w:after="0" w:line="360" w:lineRule="auto"/>
        <w:rPr>
          <w:rFonts w:eastAsia="Calibri" w:cs="Tahoma"/>
          <w:bCs/>
        </w:rPr>
      </w:pPr>
    </w:p>
    <w:p w14:paraId="788E2460" w14:textId="77777777" w:rsidR="008E1A4E" w:rsidRPr="00507A3E" w:rsidRDefault="008E1A4E" w:rsidP="008E1A4E">
      <w:pPr>
        <w:spacing w:after="0" w:line="360" w:lineRule="auto"/>
        <w:rPr>
          <w:rFonts w:eastAsia="Calibri" w:cs="Tahoma"/>
          <w:bCs/>
        </w:rPr>
      </w:pPr>
      <w:r w:rsidRPr="00507A3E">
        <w:rPr>
          <w:rFonts w:eastAsia="Calibri" w:cs="Tahoma"/>
          <w:bCs/>
        </w:rPr>
        <w:t>Al respecto, también son de considerar los criterios sostenidos por el Cuarto Tribunal Colegiado en Materia Administrativa del Primer Circuito, cuyos rubros y datos de identificación son los siguientes:</w:t>
      </w:r>
    </w:p>
    <w:p w14:paraId="00168013" w14:textId="77777777" w:rsidR="008E1A4E" w:rsidRPr="00507A3E" w:rsidRDefault="008E1A4E" w:rsidP="008E1A4E">
      <w:pPr>
        <w:spacing w:after="0" w:line="360" w:lineRule="auto"/>
        <w:rPr>
          <w:rFonts w:eastAsia="Calibri" w:cs="Tahoma"/>
          <w:bCs/>
        </w:rPr>
      </w:pPr>
      <w:r w:rsidRPr="00507A3E">
        <w:rPr>
          <w:rFonts w:eastAsia="Calibri" w:cs="Tahoma"/>
          <w:bCs/>
        </w:rPr>
        <w:t xml:space="preserve"> </w:t>
      </w:r>
    </w:p>
    <w:p w14:paraId="7A3BFC7D" w14:textId="77777777" w:rsidR="008E1A4E" w:rsidRPr="00507A3E" w:rsidRDefault="008E1A4E" w:rsidP="008E1A4E">
      <w:pPr>
        <w:spacing w:after="0" w:line="360" w:lineRule="auto"/>
        <w:rPr>
          <w:rFonts w:eastAsia="Calibri" w:cs="Tahoma"/>
          <w:bCs/>
        </w:rPr>
      </w:pPr>
      <w:r w:rsidRPr="00507A3E">
        <w:rPr>
          <w:rFonts w:eastAsia="Calibri" w:cs="Tahoma"/>
          <w:b/>
        </w:rPr>
        <w:t xml:space="preserve"> “PLAZO RAZONABLE PARA RESOLVER. DIMENSIÓN Y EFECTOS DE ESTE CONCEPTO CUANDO SE ADUCE EXCESIVA CARGA DE TRABAJO.”</w:t>
      </w:r>
      <w:r w:rsidRPr="00507A3E">
        <w:rPr>
          <w:rFonts w:eastAsia="Calibri" w:cs="Tahoma"/>
          <w:bCs/>
        </w:rPr>
        <w:t xml:space="preserve"> consultable en el Seminario Judicial de la Federación y su gaceta, con el registro digital 2002351.</w:t>
      </w:r>
    </w:p>
    <w:p w14:paraId="6A525254" w14:textId="77777777" w:rsidR="008E1A4E" w:rsidRPr="00507A3E" w:rsidRDefault="008E1A4E" w:rsidP="008E1A4E">
      <w:pPr>
        <w:spacing w:after="0" w:line="360" w:lineRule="auto"/>
        <w:rPr>
          <w:rFonts w:eastAsia="Calibri" w:cs="Tahoma"/>
          <w:bCs/>
        </w:rPr>
      </w:pPr>
      <w:r w:rsidRPr="00507A3E">
        <w:rPr>
          <w:rFonts w:eastAsia="Calibri" w:cs="Tahoma"/>
          <w:bCs/>
        </w:rPr>
        <w:t xml:space="preserve"> </w:t>
      </w:r>
    </w:p>
    <w:p w14:paraId="732D3EFF" w14:textId="77777777" w:rsidR="008E1A4E" w:rsidRPr="00507A3E" w:rsidRDefault="008E1A4E" w:rsidP="008E1A4E">
      <w:pPr>
        <w:spacing w:after="0" w:line="360" w:lineRule="auto"/>
        <w:rPr>
          <w:rFonts w:eastAsia="Calibri" w:cs="Tahoma"/>
          <w:bCs/>
        </w:rPr>
      </w:pPr>
      <w:r w:rsidRPr="00507A3E">
        <w:rPr>
          <w:rFonts w:eastAsia="Calibri" w:cs="Tahoma"/>
          <w:b/>
        </w:rPr>
        <w:t>“PLAZO RAZONABLE PARA RESOLVER. CONCEPTO Y ELEMENTOS QUE LO INTEGRAN A LA LUZ DEL DERECHO INTERNACIONAL DE LOS DERECHOS HUMANOS.”</w:t>
      </w:r>
      <w:r w:rsidRPr="00507A3E">
        <w:rPr>
          <w:rFonts w:eastAsia="Calibri" w:cs="Tahoma"/>
          <w:bCs/>
        </w:rPr>
        <w:t>, visible en el Seminario Judicial de la Federación y su gaceta, con el registro digital 2002350.</w:t>
      </w:r>
    </w:p>
    <w:p w14:paraId="29D6BEB7" w14:textId="77777777" w:rsidR="008E1A4E" w:rsidRPr="00507A3E" w:rsidRDefault="008E1A4E" w:rsidP="008E1A4E">
      <w:pPr>
        <w:spacing w:after="0" w:line="360" w:lineRule="auto"/>
        <w:rPr>
          <w:rFonts w:eastAsia="Calibri" w:cs="Tahoma"/>
          <w:bCs/>
        </w:rPr>
      </w:pPr>
    </w:p>
    <w:p w14:paraId="2E5F328C" w14:textId="77777777" w:rsidR="008E1A4E" w:rsidRPr="00507A3E" w:rsidRDefault="008E1A4E" w:rsidP="008E1A4E">
      <w:pPr>
        <w:spacing w:after="0" w:line="360" w:lineRule="auto"/>
        <w:rPr>
          <w:rFonts w:eastAsia="Calibri" w:cs="Tahoma"/>
          <w:bCs/>
        </w:rPr>
      </w:pPr>
      <w:r w:rsidRPr="00507A3E">
        <w:rPr>
          <w:rFonts w:eastAsia="Calibri" w:cs="Tahoma"/>
          <w:bCs/>
        </w:rPr>
        <w:t>Por ello, este organismo garante comprometido con la tutela de los derechos humanos confiados, señala que este exceso del plazo legal para resolver el presente asunto, resulta de carácter excepcional.</w:t>
      </w:r>
    </w:p>
    <w:p w14:paraId="741AFA91" w14:textId="77777777" w:rsidR="00F16ED4" w:rsidRPr="00507A3E" w:rsidRDefault="00F16ED4" w:rsidP="007552CE">
      <w:pPr>
        <w:spacing w:after="0" w:line="360" w:lineRule="auto"/>
        <w:rPr>
          <w:rFonts w:cs="Tahoma"/>
          <w:lang w:val="es-ES_tradnl"/>
        </w:rPr>
      </w:pPr>
    </w:p>
    <w:p w14:paraId="7FCF7F40" w14:textId="77777777" w:rsidR="009A0396" w:rsidRPr="00507A3E" w:rsidRDefault="009A0396" w:rsidP="007552CE">
      <w:pPr>
        <w:spacing w:after="0" w:line="360" w:lineRule="auto"/>
        <w:rPr>
          <w:rFonts w:cs="Tahoma"/>
          <w:lang w:val="es-ES_tradnl"/>
        </w:rPr>
      </w:pPr>
    </w:p>
    <w:p w14:paraId="7F900F92" w14:textId="36ED6AD2" w:rsidR="00051642" w:rsidRPr="00507A3E" w:rsidRDefault="008E1A4E" w:rsidP="008567E8">
      <w:pPr>
        <w:widowControl w:val="0"/>
        <w:spacing w:after="0" w:line="360" w:lineRule="auto"/>
        <w:rPr>
          <w:b/>
          <w:lang w:val="es-ES_tradnl"/>
        </w:rPr>
      </w:pPr>
      <w:r w:rsidRPr="00507A3E">
        <w:rPr>
          <w:rFonts w:eastAsia="Times New Roman" w:cs="Tahoma"/>
          <w:b/>
          <w:color w:val="auto"/>
          <w:szCs w:val="24"/>
          <w:lang w:eastAsia="es-ES"/>
        </w:rPr>
        <w:lastRenderedPageBreak/>
        <w:t>e</w:t>
      </w:r>
      <w:r w:rsidR="00C14B22" w:rsidRPr="00507A3E">
        <w:rPr>
          <w:rFonts w:eastAsia="Times New Roman" w:cs="Tahoma"/>
          <w:b/>
          <w:color w:val="auto"/>
          <w:szCs w:val="24"/>
          <w:lang w:eastAsia="es-ES"/>
        </w:rPr>
        <w:t>) Vista del Informe Justificado</w:t>
      </w:r>
      <w:r w:rsidR="00482688" w:rsidRPr="00507A3E">
        <w:rPr>
          <w:rFonts w:eastAsia="Times New Roman" w:cs="Tahoma"/>
          <w:b/>
          <w:color w:val="auto"/>
          <w:szCs w:val="24"/>
          <w:lang w:eastAsia="es-ES"/>
        </w:rPr>
        <w:t>.</w:t>
      </w:r>
      <w:r w:rsidR="00482688" w:rsidRPr="00507A3E">
        <w:rPr>
          <w:bCs/>
          <w:lang w:val="es-ES_tradnl"/>
        </w:rPr>
        <w:t xml:space="preserve"> El </w:t>
      </w:r>
      <w:r w:rsidRPr="00507A3E">
        <w:rPr>
          <w:bCs/>
          <w:lang w:val="es-ES_tradnl"/>
        </w:rPr>
        <w:t>catorce</w:t>
      </w:r>
      <w:r w:rsidR="00482688" w:rsidRPr="00507A3E">
        <w:rPr>
          <w:bCs/>
          <w:lang w:val="es-ES_tradnl"/>
        </w:rPr>
        <w:t xml:space="preserve"> de </w:t>
      </w:r>
      <w:r w:rsidRPr="00507A3E">
        <w:rPr>
          <w:bCs/>
          <w:lang w:val="es-ES_tradnl"/>
        </w:rPr>
        <w:t>marzo</w:t>
      </w:r>
      <w:r w:rsidR="00686942" w:rsidRPr="00507A3E">
        <w:rPr>
          <w:bCs/>
          <w:lang w:val="es-ES_tradnl"/>
        </w:rPr>
        <w:t xml:space="preserve"> de dos mil veintitrés</w:t>
      </w:r>
      <w:r w:rsidR="00482688" w:rsidRPr="00507A3E">
        <w:rPr>
          <w:bCs/>
          <w:lang w:val="es-ES_tradnl"/>
        </w:rPr>
        <w:t xml:space="preserve">, se dictó acuerdo mediante el cual se puso a la vista del Particular el Informe Justificado, entregado por el Sujeto Obligado, así como el documento adjunto, el cual fue notificado a las partes, a través del Sistema de Acceso a la </w:t>
      </w:r>
      <w:r w:rsidR="00686942" w:rsidRPr="00507A3E">
        <w:rPr>
          <w:bCs/>
          <w:lang w:val="es-ES_tradnl"/>
        </w:rPr>
        <w:t>Información Mexiquense (SAIMEX)</w:t>
      </w:r>
      <w:r w:rsidR="00482688" w:rsidRPr="00507A3E">
        <w:rPr>
          <w:bCs/>
          <w:lang w:val="es-ES_tradnl"/>
        </w:rPr>
        <w:t xml:space="preserve">. </w:t>
      </w:r>
      <w:r w:rsidR="00482688" w:rsidRPr="00507A3E">
        <w:rPr>
          <w:b/>
          <w:lang w:val="es-ES_tradnl"/>
        </w:rPr>
        <w:t>Cabe señalar que el Recurrente fue omiso en realizar alguna manifestación que a su derecho conviniera y asistiera.</w:t>
      </w:r>
    </w:p>
    <w:p w14:paraId="6925541B" w14:textId="77777777" w:rsidR="00482688" w:rsidRPr="00507A3E" w:rsidRDefault="00482688" w:rsidP="008567E8">
      <w:pPr>
        <w:widowControl w:val="0"/>
        <w:spacing w:after="0" w:line="360" w:lineRule="auto"/>
        <w:rPr>
          <w:rFonts w:eastAsia="Times New Roman" w:cs="Tahoma"/>
          <w:b/>
          <w:color w:val="auto"/>
          <w:szCs w:val="24"/>
          <w:lang w:eastAsia="es-ES"/>
        </w:rPr>
      </w:pPr>
    </w:p>
    <w:p w14:paraId="54B241CF" w14:textId="08C30D0A" w:rsidR="00051642" w:rsidRPr="00507A3E" w:rsidRDefault="008E1A4E" w:rsidP="008567E8">
      <w:pPr>
        <w:spacing w:after="0" w:line="360" w:lineRule="auto"/>
        <w:rPr>
          <w:rFonts w:eastAsia="Times New Roman" w:cs="Tahoma"/>
          <w:color w:val="auto"/>
          <w:szCs w:val="24"/>
          <w:lang w:val="es-ES" w:eastAsia="es-ES"/>
        </w:rPr>
      </w:pPr>
      <w:r w:rsidRPr="00507A3E">
        <w:rPr>
          <w:rFonts w:eastAsia="Times New Roman" w:cs="Tahoma"/>
          <w:b/>
          <w:color w:val="auto"/>
          <w:szCs w:val="24"/>
          <w:lang w:eastAsia="es-ES"/>
        </w:rPr>
        <w:t>f</w:t>
      </w:r>
      <w:r w:rsidR="00051642" w:rsidRPr="00507A3E">
        <w:rPr>
          <w:rFonts w:eastAsia="Times New Roman" w:cs="Tahoma"/>
          <w:b/>
          <w:color w:val="auto"/>
          <w:szCs w:val="24"/>
          <w:lang w:eastAsia="es-ES"/>
        </w:rPr>
        <w:t>) Cierre de instrucción.</w:t>
      </w:r>
      <w:r w:rsidR="00051642" w:rsidRPr="00507A3E">
        <w:rPr>
          <w:rFonts w:eastAsia="Times New Roman" w:cs="Tahoma"/>
          <w:color w:val="auto"/>
          <w:szCs w:val="24"/>
          <w:lang w:eastAsia="es-ES"/>
        </w:rPr>
        <w:t xml:space="preserve"> El </w:t>
      </w:r>
      <w:r w:rsidR="007A16A9" w:rsidRPr="00507A3E">
        <w:rPr>
          <w:rFonts w:eastAsia="Times New Roman" w:cs="Tahoma"/>
          <w:color w:val="auto"/>
          <w:szCs w:val="24"/>
          <w:lang w:val="es-ES" w:eastAsia="es-ES"/>
        </w:rPr>
        <w:t>veintiuno</w:t>
      </w:r>
      <w:r w:rsidR="00814577" w:rsidRPr="00507A3E">
        <w:rPr>
          <w:rFonts w:eastAsia="Times New Roman" w:cs="Tahoma"/>
          <w:color w:val="auto"/>
          <w:szCs w:val="24"/>
          <w:lang w:val="es-ES" w:eastAsia="es-ES"/>
        </w:rPr>
        <w:t xml:space="preserve"> </w:t>
      </w:r>
      <w:r w:rsidR="00384DCB" w:rsidRPr="00507A3E">
        <w:rPr>
          <w:rFonts w:eastAsia="Times New Roman" w:cs="Tahoma"/>
          <w:color w:val="auto"/>
          <w:szCs w:val="24"/>
          <w:lang w:val="es-ES" w:eastAsia="es-ES"/>
        </w:rPr>
        <w:t xml:space="preserve">de </w:t>
      </w:r>
      <w:r w:rsidRPr="00507A3E">
        <w:rPr>
          <w:rFonts w:eastAsia="Times New Roman" w:cs="Tahoma"/>
          <w:color w:val="auto"/>
          <w:szCs w:val="24"/>
          <w:lang w:val="es-ES" w:eastAsia="es-ES"/>
        </w:rPr>
        <w:t>marzo</w:t>
      </w:r>
      <w:r w:rsidR="00051642" w:rsidRPr="00507A3E">
        <w:rPr>
          <w:rFonts w:eastAsia="Times New Roman" w:cs="Tahoma"/>
          <w:color w:val="auto"/>
          <w:szCs w:val="24"/>
          <w:lang w:val="es-ES" w:eastAsia="es-ES"/>
        </w:rPr>
        <w:t xml:space="preserve"> de dos mil veinti</w:t>
      </w:r>
      <w:r w:rsidR="00686942" w:rsidRPr="00507A3E">
        <w:rPr>
          <w:rFonts w:eastAsia="Times New Roman" w:cs="Tahoma"/>
          <w:color w:val="auto"/>
          <w:szCs w:val="24"/>
          <w:lang w:val="es-ES" w:eastAsia="es-ES"/>
        </w:rPr>
        <w:t>trés</w:t>
      </w:r>
      <w:r w:rsidR="00051642" w:rsidRPr="00507A3E">
        <w:rPr>
          <w:rFonts w:eastAsia="Times New Roman" w:cs="Tahoma"/>
          <w:color w:val="auto"/>
          <w:szCs w:val="24"/>
          <w:lang w:eastAsia="es-ES"/>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w:t>
      </w:r>
      <w:r w:rsidR="00A54AEC" w:rsidRPr="00507A3E">
        <w:rPr>
          <w:rFonts w:eastAsia="Times New Roman" w:cs="Tahoma"/>
          <w:color w:val="auto"/>
          <w:szCs w:val="24"/>
          <w:lang w:eastAsia="es-ES"/>
        </w:rPr>
        <w:t>mismo día de mes y año</w:t>
      </w:r>
      <w:r w:rsidR="00051642" w:rsidRPr="00507A3E">
        <w:rPr>
          <w:rFonts w:eastAsia="Times New Roman" w:cs="Tahoma"/>
          <w:color w:val="auto"/>
          <w:szCs w:val="24"/>
          <w:lang w:eastAsia="es-ES"/>
        </w:rPr>
        <w:t xml:space="preserve">, a través del </w:t>
      </w:r>
      <w:r w:rsidR="00051642" w:rsidRPr="00507A3E">
        <w:rPr>
          <w:rFonts w:eastAsia="Times New Roman" w:cs="Tahoma"/>
          <w:color w:val="auto"/>
          <w:szCs w:val="20"/>
          <w:lang w:val="es-ES" w:eastAsia="es-ES"/>
        </w:rPr>
        <w:t>Sistema de Acceso a la Información Mexiquense (SAIMEX)</w:t>
      </w:r>
      <w:r w:rsidR="00051642" w:rsidRPr="00507A3E">
        <w:rPr>
          <w:rFonts w:eastAsia="Times New Roman" w:cs="Tahoma"/>
          <w:color w:val="auto"/>
          <w:szCs w:val="24"/>
          <w:lang w:eastAsia="es-ES"/>
        </w:rPr>
        <w:t>.</w:t>
      </w:r>
      <w:r w:rsidR="00183086" w:rsidRPr="00507A3E">
        <w:rPr>
          <w:rFonts w:eastAsia="Times New Roman" w:cs="Tahoma"/>
          <w:color w:val="auto"/>
          <w:szCs w:val="24"/>
          <w:lang w:eastAsia="es-ES"/>
        </w:rPr>
        <w:t xml:space="preserve"> </w:t>
      </w:r>
    </w:p>
    <w:p w14:paraId="55938015" w14:textId="77777777" w:rsidR="00051642" w:rsidRPr="00507A3E" w:rsidRDefault="00051642" w:rsidP="008567E8">
      <w:pPr>
        <w:spacing w:after="0" w:line="360" w:lineRule="auto"/>
        <w:rPr>
          <w:rFonts w:eastAsia="Times New Roman" w:cs="Tahoma"/>
          <w:color w:val="auto"/>
          <w:szCs w:val="24"/>
          <w:lang w:eastAsia="es-ES"/>
        </w:rPr>
      </w:pPr>
    </w:p>
    <w:p w14:paraId="16A59653" w14:textId="77777777" w:rsidR="00051642" w:rsidRPr="00507A3E" w:rsidRDefault="00051642" w:rsidP="008567E8">
      <w:pPr>
        <w:spacing w:after="0" w:line="360" w:lineRule="auto"/>
        <w:rPr>
          <w:rFonts w:eastAsia="Times New Roman" w:cs="Tahoma"/>
          <w:color w:val="000000"/>
          <w:szCs w:val="24"/>
          <w:lang w:eastAsia="es-ES"/>
        </w:rPr>
      </w:pPr>
      <w:r w:rsidRPr="00507A3E">
        <w:rPr>
          <w:rFonts w:eastAsia="Times New Roman" w:cs="Tahoma"/>
          <w:color w:val="000000"/>
          <w:szCs w:val="24"/>
          <w:lang w:eastAsia="es-ES"/>
        </w:rPr>
        <w:t>En razón de que fue debidamente sustanciado e integrado el expediente electrónico y no existe diligencia pendiente de desahogo, se emite la resolución que conforme a Derecho proceda, de acuerdo a los siguientes:</w:t>
      </w:r>
    </w:p>
    <w:p w14:paraId="6984A8D2" w14:textId="77777777" w:rsidR="00051642" w:rsidRPr="00507A3E" w:rsidRDefault="00051642" w:rsidP="008567E8">
      <w:pPr>
        <w:spacing w:after="0" w:line="360" w:lineRule="auto"/>
        <w:rPr>
          <w:rFonts w:eastAsia="Times New Roman" w:cs="Tahoma"/>
          <w:bCs/>
          <w:iCs/>
          <w:color w:val="auto"/>
          <w:lang w:val="es-ES" w:eastAsia="es-ES"/>
        </w:rPr>
      </w:pPr>
    </w:p>
    <w:p w14:paraId="52BDDA28" w14:textId="4745F7F1" w:rsidR="00D903F5" w:rsidRPr="00507A3E" w:rsidRDefault="00051642" w:rsidP="00C76C0F">
      <w:pPr>
        <w:spacing w:after="0" w:line="360" w:lineRule="auto"/>
        <w:jc w:val="center"/>
        <w:rPr>
          <w:rFonts w:eastAsia="Times New Roman" w:cs="Tahoma"/>
          <w:b/>
          <w:color w:val="auto"/>
          <w:lang w:val="es-ES" w:eastAsia="es-ES"/>
        </w:rPr>
      </w:pPr>
      <w:r w:rsidRPr="00507A3E">
        <w:rPr>
          <w:rFonts w:eastAsia="Times New Roman" w:cs="Tahoma"/>
          <w:b/>
          <w:color w:val="auto"/>
          <w:lang w:val="es-ES" w:eastAsia="es-ES"/>
        </w:rPr>
        <w:t>C O N S I D E R A N D O S:</w:t>
      </w:r>
    </w:p>
    <w:p w14:paraId="37876CBA" w14:textId="1FC9A2D5" w:rsidR="00F16ED4" w:rsidRPr="00507A3E" w:rsidRDefault="00F16ED4" w:rsidP="008567E8">
      <w:pPr>
        <w:autoSpaceDE w:val="0"/>
        <w:autoSpaceDN w:val="0"/>
        <w:adjustRightInd w:val="0"/>
        <w:spacing w:after="0" w:line="360" w:lineRule="auto"/>
        <w:rPr>
          <w:rFonts w:eastAsia="Calibri" w:cs="Tahoma"/>
          <w:b/>
          <w:color w:val="000000"/>
          <w:szCs w:val="24"/>
          <w:lang w:val="es-ES" w:eastAsia="es-MX"/>
        </w:rPr>
      </w:pPr>
    </w:p>
    <w:p w14:paraId="045B3F37" w14:textId="3D503DF6" w:rsidR="00051642" w:rsidRPr="00507A3E" w:rsidRDefault="00051642" w:rsidP="008567E8">
      <w:pPr>
        <w:autoSpaceDE w:val="0"/>
        <w:autoSpaceDN w:val="0"/>
        <w:adjustRightInd w:val="0"/>
        <w:spacing w:after="0" w:line="360" w:lineRule="auto"/>
        <w:rPr>
          <w:rFonts w:eastAsia="Times New Roman" w:cs="Tahoma"/>
          <w:b/>
          <w:color w:val="auto"/>
          <w:szCs w:val="24"/>
          <w:lang w:val="es-ES" w:eastAsia="es-ES"/>
        </w:rPr>
      </w:pPr>
      <w:r w:rsidRPr="00507A3E">
        <w:rPr>
          <w:rFonts w:eastAsia="Calibri" w:cs="Tahoma"/>
          <w:b/>
          <w:color w:val="000000"/>
          <w:szCs w:val="24"/>
          <w:lang w:val="es-ES" w:eastAsia="es-MX"/>
        </w:rPr>
        <w:t>PRIMERO</w:t>
      </w:r>
      <w:r w:rsidRPr="00507A3E">
        <w:rPr>
          <w:rFonts w:eastAsia="Calibri" w:cs="Tahoma"/>
          <w:color w:val="000000"/>
          <w:szCs w:val="24"/>
          <w:lang w:val="es-ES" w:eastAsia="es-MX"/>
        </w:rPr>
        <w:t xml:space="preserve">. </w:t>
      </w:r>
      <w:r w:rsidRPr="00507A3E">
        <w:rPr>
          <w:rFonts w:eastAsia="Times New Roman" w:cs="Tahoma"/>
          <w:b/>
          <w:color w:val="auto"/>
          <w:szCs w:val="24"/>
          <w:lang w:val="es-ES" w:eastAsia="es-ES"/>
        </w:rPr>
        <w:t>Competencia.</w:t>
      </w:r>
    </w:p>
    <w:p w14:paraId="3B94CD90" w14:textId="77777777" w:rsidR="00051642" w:rsidRPr="00507A3E" w:rsidRDefault="00051642" w:rsidP="008567E8">
      <w:pPr>
        <w:autoSpaceDE w:val="0"/>
        <w:autoSpaceDN w:val="0"/>
        <w:adjustRightInd w:val="0"/>
        <w:spacing w:after="0" w:line="360" w:lineRule="auto"/>
        <w:rPr>
          <w:rFonts w:eastAsia="Times New Roman" w:cs="Tahoma"/>
          <w:b/>
          <w:color w:val="auto"/>
          <w:szCs w:val="24"/>
          <w:lang w:val="es-ES" w:eastAsia="es-ES"/>
        </w:rPr>
      </w:pPr>
    </w:p>
    <w:p w14:paraId="569EEA13" w14:textId="24A7704A" w:rsidR="00051642" w:rsidRPr="00507A3E" w:rsidRDefault="00051642" w:rsidP="008567E8">
      <w:pPr>
        <w:spacing w:after="0" w:line="360" w:lineRule="auto"/>
        <w:rPr>
          <w:rFonts w:eastAsia="Times New Roman" w:cs="Tahoma"/>
          <w:bCs/>
          <w:color w:val="auto"/>
          <w:lang w:eastAsia="es-ES"/>
        </w:rPr>
      </w:pPr>
      <w:bookmarkStart w:id="2" w:name="_Hlk63334754"/>
      <w:r w:rsidRPr="00507A3E">
        <w:rPr>
          <w:rFonts w:eastAsia="Times New Roman" w:cs="Tahoma"/>
          <w:bCs/>
          <w:color w:val="auto"/>
          <w:lang w:eastAsia="es-ES"/>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w:t>
      </w:r>
      <w:r w:rsidRPr="00507A3E">
        <w:rPr>
          <w:rFonts w:eastAsia="Times New Roman" w:cs="Tahoma"/>
          <w:bCs/>
          <w:color w:val="auto"/>
          <w:lang w:eastAsia="es-ES"/>
        </w:rPr>
        <w:lastRenderedPageBreak/>
        <w:t xml:space="preserve">párrafos trigésimo, trigésimo primero y trigésimo segundo, </w:t>
      </w:r>
      <w:bookmarkEnd w:id="2"/>
      <w:r w:rsidR="001D70CD" w:rsidRPr="00507A3E">
        <w:rPr>
          <w:rFonts w:eastAsia="Times New Roman" w:cs="Tahoma"/>
          <w:bCs/>
          <w:color w:val="auto"/>
          <w:lang w:eastAsia="es-ES"/>
        </w:rPr>
        <w:t>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2986AFCC" w14:textId="77777777" w:rsidR="00051642" w:rsidRPr="00507A3E" w:rsidRDefault="00051642" w:rsidP="008567E8">
      <w:pPr>
        <w:spacing w:after="0" w:line="360" w:lineRule="auto"/>
      </w:pPr>
    </w:p>
    <w:p w14:paraId="2F12F73B" w14:textId="77777777" w:rsidR="00051642" w:rsidRPr="00507A3E" w:rsidRDefault="00051642" w:rsidP="008567E8">
      <w:pPr>
        <w:autoSpaceDE w:val="0"/>
        <w:autoSpaceDN w:val="0"/>
        <w:adjustRightInd w:val="0"/>
        <w:spacing w:after="0" w:line="360" w:lineRule="auto"/>
        <w:rPr>
          <w:rFonts w:eastAsia="Times New Roman" w:cs="Tahoma"/>
          <w:color w:val="auto"/>
          <w:szCs w:val="24"/>
          <w:lang w:val="es-ES" w:eastAsia="es-ES"/>
        </w:rPr>
      </w:pPr>
      <w:r w:rsidRPr="00507A3E">
        <w:rPr>
          <w:rFonts w:eastAsia="Calibri" w:cs="Tahoma"/>
          <w:b/>
          <w:color w:val="000000"/>
          <w:szCs w:val="24"/>
          <w:lang w:val="es-ES" w:eastAsia="es-MX"/>
        </w:rPr>
        <w:t>SEGUNDO</w:t>
      </w:r>
      <w:r w:rsidRPr="00507A3E">
        <w:rPr>
          <w:rFonts w:eastAsia="Calibri" w:cs="Tahoma"/>
          <w:color w:val="000000"/>
          <w:szCs w:val="24"/>
          <w:lang w:val="es-ES" w:eastAsia="es-MX"/>
        </w:rPr>
        <w:t xml:space="preserve">. </w:t>
      </w:r>
      <w:r w:rsidRPr="00507A3E">
        <w:rPr>
          <w:rFonts w:eastAsia="Times New Roman" w:cs="Tahoma"/>
          <w:b/>
          <w:color w:val="auto"/>
          <w:szCs w:val="24"/>
          <w:lang w:val="es-ES" w:eastAsia="es-ES"/>
        </w:rPr>
        <w:t>Causales de improcedencia y sobreseimiento.</w:t>
      </w:r>
      <w:r w:rsidRPr="00507A3E">
        <w:rPr>
          <w:rFonts w:eastAsia="Times New Roman" w:cs="Tahoma"/>
          <w:color w:val="auto"/>
          <w:szCs w:val="24"/>
          <w:lang w:val="es-ES" w:eastAsia="es-ES"/>
        </w:rPr>
        <w:t xml:space="preserve"> </w:t>
      </w:r>
    </w:p>
    <w:p w14:paraId="05A36F46" w14:textId="77777777" w:rsidR="00051642" w:rsidRPr="00507A3E" w:rsidRDefault="00051642" w:rsidP="008567E8">
      <w:pPr>
        <w:autoSpaceDE w:val="0"/>
        <w:autoSpaceDN w:val="0"/>
        <w:adjustRightInd w:val="0"/>
        <w:spacing w:after="0" w:line="360" w:lineRule="auto"/>
        <w:rPr>
          <w:rFonts w:eastAsia="Times New Roman" w:cs="Tahoma"/>
          <w:color w:val="auto"/>
          <w:szCs w:val="24"/>
          <w:lang w:val="es-ES" w:eastAsia="es-ES"/>
        </w:rPr>
      </w:pPr>
    </w:p>
    <w:p w14:paraId="69F085ED" w14:textId="77777777" w:rsidR="00051642" w:rsidRPr="00507A3E" w:rsidRDefault="00051642" w:rsidP="008567E8">
      <w:pPr>
        <w:autoSpaceDE w:val="0"/>
        <w:autoSpaceDN w:val="0"/>
        <w:adjustRightInd w:val="0"/>
        <w:spacing w:after="0" w:line="360" w:lineRule="auto"/>
        <w:rPr>
          <w:rFonts w:eastAsia="Times New Roman" w:cs="Tahoma"/>
          <w:color w:val="auto"/>
          <w:szCs w:val="24"/>
          <w:lang w:val="es-ES" w:eastAsia="es-ES"/>
        </w:rPr>
      </w:pPr>
      <w:r w:rsidRPr="00507A3E">
        <w:rPr>
          <w:rFonts w:eastAsia="Times New Roman" w:cs="Tahoma"/>
          <w:color w:val="auto"/>
          <w:szCs w:val="24"/>
          <w:lang w:val="es-ES" w:eastAsia="es-ES"/>
        </w:rPr>
        <w:t xml:space="preserve">De las constancias que forma parte del Recurso de Revisión que se analiza, se advierte que previo al estudio del fondo de la </w:t>
      </w:r>
      <w:r w:rsidRPr="00507A3E">
        <w:rPr>
          <w:rFonts w:eastAsia="Times New Roman" w:cs="Tahoma"/>
          <w:i/>
          <w:color w:val="auto"/>
          <w:szCs w:val="24"/>
          <w:lang w:val="es-ES" w:eastAsia="es-ES"/>
        </w:rPr>
        <w:t>litis</w:t>
      </w:r>
      <w:r w:rsidRPr="00507A3E">
        <w:rPr>
          <w:rFonts w:eastAsia="Times New Roman" w:cs="Tahoma"/>
          <w:color w:val="auto"/>
          <w:szCs w:val="24"/>
          <w:lang w:val="es-ES" w:eastAsia="es-ES"/>
        </w:rPr>
        <w:t>, es necesario estudiar las causales de improcedencia y sobreseimiento que se adviertan, para determinar lo que en Derecho proceda.</w:t>
      </w:r>
    </w:p>
    <w:p w14:paraId="4B4EC976" w14:textId="77777777" w:rsidR="00051642" w:rsidRPr="00507A3E" w:rsidRDefault="00051642" w:rsidP="008567E8">
      <w:pPr>
        <w:autoSpaceDE w:val="0"/>
        <w:autoSpaceDN w:val="0"/>
        <w:adjustRightInd w:val="0"/>
        <w:spacing w:after="0" w:line="360" w:lineRule="auto"/>
        <w:rPr>
          <w:rFonts w:eastAsia="Times New Roman" w:cs="Tahoma"/>
          <w:color w:val="auto"/>
          <w:szCs w:val="24"/>
          <w:lang w:val="es-ES" w:eastAsia="es-ES"/>
        </w:rPr>
      </w:pPr>
    </w:p>
    <w:p w14:paraId="28939114" w14:textId="77777777" w:rsidR="00051642" w:rsidRPr="00507A3E" w:rsidRDefault="00051642" w:rsidP="008567E8">
      <w:pPr>
        <w:spacing w:after="0" w:line="360" w:lineRule="auto"/>
        <w:rPr>
          <w:b/>
          <w:lang w:val="es-ES"/>
        </w:rPr>
      </w:pPr>
      <w:r w:rsidRPr="00507A3E">
        <w:rPr>
          <w:b/>
          <w:lang w:val="es-ES"/>
        </w:rPr>
        <w:t>Causales de improcedencia</w:t>
      </w:r>
    </w:p>
    <w:p w14:paraId="4031849B" w14:textId="77777777" w:rsidR="00051642" w:rsidRPr="00507A3E" w:rsidRDefault="00051642" w:rsidP="008567E8">
      <w:pPr>
        <w:spacing w:after="0" w:line="360" w:lineRule="auto"/>
      </w:pPr>
    </w:p>
    <w:p w14:paraId="46B90E11" w14:textId="77777777" w:rsidR="00051642" w:rsidRPr="00507A3E" w:rsidRDefault="00051642" w:rsidP="008567E8">
      <w:pPr>
        <w:spacing w:after="0" w:line="360" w:lineRule="auto"/>
        <w:rPr>
          <w:rFonts w:eastAsia="Times New Roman" w:cs="Tahoma"/>
          <w:color w:val="auto"/>
          <w:lang w:eastAsia="es-ES"/>
        </w:rPr>
      </w:pPr>
      <w:r w:rsidRPr="00507A3E">
        <w:rPr>
          <w:rFonts w:eastAsia="Times New Roman" w:cs="Tahoma"/>
          <w:color w:val="auto"/>
          <w:lang w:eastAsia="es-ES"/>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445D8143" w14:textId="77777777" w:rsidR="00051642" w:rsidRPr="00507A3E" w:rsidRDefault="00051642" w:rsidP="008567E8">
      <w:pPr>
        <w:spacing w:after="0" w:line="360" w:lineRule="auto"/>
        <w:rPr>
          <w:rFonts w:eastAsia="Times New Roman" w:cs="Tahoma"/>
          <w:color w:val="auto"/>
          <w:lang w:eastAsia="es-ES"/>
        </w:rPr>
      </w:pPr>
    </w:p>
    <w:p w14:paraId="5234AE12" w14:textId="77777777" w:rsidR="00051642" w:rsidRPr="00507A3E" w:rsidRDefault="00051642" w:rsidP="008567E8">
      <w:pPr>
        <w:spacing w:after="0" w:line="360" w:lineRule="auto"/>
        <w:rPr>
          <w:rFonts w:eastAsia="Times New Roman" w:cs="Tahoma"/>
          <w:color w:val="auto"/>
          <w:lang w:eastAsia="es-ES"/>
        </w:rPr>
      </w:pPr>
      <w:r w:rsidRPr="00507A3E">
        <w:rPr>
          <w:rFonts w:eastAsia="Times New Roman" w:cs="Tahoma"/>
          <w:color w:val="auto"/>
          <w:lang w:eastAsia="es-ES"/>
        </w:rPr>
        <w:lastRenderedPageBreak/>
        <w:t>En el presente caso, </w:t>
      </w:r>
      <w:r w:rsidRPr="00507A3E">
        <w:rPr>
          <w:rFonts w:eastAsia="Times New Roman" w:cs="Tahoma"/>
          <w:b/>
          <w:bCs/>
          <w:color w:val="auto"/>
          <w:lang w:eastAsia="es-ES"/>
        </w:rPr>
        <w:t>no se actualiza ninguna de las causales de improcedencia</w:t>
      </w:r>
      <w:r w:rsidRPr="00507A3E">
        <w:rPr>
          <w:rFonts w:eastAsia="Times New Roman" w:cs="Tahoma"/>
          <w:color w:val="auto"/>
          <w:lang w:eastAsia="es-ES"/>
        </w:rPr>
        <w:t> establecidas en el ordenamiento jurídico previamente señalado, toda vez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4A06D45C" w14:textId="77777777" w:rsidR="00051642" w:rsidRPr="00507A3E" w:rsidRDefault="00051642" w:rsidP="008567E8">
      <w:pPr>
        <w:spacing w:after="0" w:line="360" w:lineRule="auto"/>
        <w:rPr>
          <w:rFonts w:eastAsia="Times New Roman" w:cs="Tahoma"/>
          <w:color w:val="auto"/>
          <w:lang w:eastAsia="es-ES"/>
        </w:rPr>
      </w:pPr>
    </w:p>
    <w:p w14:paraId="030DB5E0" w14:textId="3E74638A" w:rsidR="00051642" w:rsidRPr="00507A3E" w:rsidRDefault="00051642" w:rsidP="008567E8">
      <w:pPr>
        <w:spacing w:after="0" w:line="360" w:lineRule="auto"/>
        <w:rPr>
          <w:rFonts w:eastAsia="Times New Roman" w:cs="Tahoma"/>
          <w:color w:val="auto"/>
          <w:lang w:val="es-ES" w:eastAsia="es-ES"/>
        </w:rPr>
      </w:pPr>
      <w:r w:rsidRPr="00507A3E">
        <w:rPr>
          <w:rFonts w:eastAsia="Times New Roman" w:cs="Tahoma"/>
          <w:color w:val="auto"/>
          <w:lang w:val="es-ES" w:eastAsia="es-ES"/>
        </w:rPr>
        <w:t xml:space="preserve">Además, de que el Medio de Impugnación fue presentado en tiempo, toda vez que ante la ausencia de la respuesta del Ente Recurrido, se constituyó la </w:t>
      </w:r>
      <w:r w:rsidRPr="00507A3E">
        <w:rPr>
          <w:rFonts w:eastAsia="Times New Roman" w:cs="Tahoma"/>
          <w:b/>
          <w:color w:val="auto"/>
          <w:lang w:val="es-ES" w:eastAsia="es-ES"/>
        </w:rPr>
        <w:t>negativa ficta</w:t>
      </w:r>
      <w:r w:rsidRPr="00507A3E">
        <w:rPr>
          <w:rFonts w:eastAsia="Times New Roman" w:cs="Tahoma"/>
          <w:color w:val="auto"/>
          <w:lang w:val="es-ES" w:eastAsia="es-ES"/>
        </w:rPr>
        <w:t xml:space="preserve">, que genera la posibilidad de los particulares de interponer un recurso de revisión ante tal omisión, </w:t>
      </w:r>
      <w:r w:rsidRPr="00507A3E">
        <w:rPr>
          <w:rFonts w:eastAsia="Times New Roman" w:cs="Tahoma"/>
          <w:color w:val="auto"/>
          <w:u w:val="single"/>
          <w:lang w:val="es-ES" w:eastAsia="es-ES"/>
        </w:rPr>
        <w:t>en cualquier momento</w:t>
      </w:r>
      <w:r w:rsidRPr="00507A3E">
        <w:rPr>
          <w:rFonts w:eastAsia="Times New Roman" w:cs="Tahoma"/>
          <w:color w:val="auto"/>
          <w:lang w:val="es-ES" w:eastAsia="es-ES"/>
        </w:rPr>
        <w:t>; por lo que, no es necesario determinar una temporalidad respecto del momento de presentación, conforme a lo establecido en los artículos 166 y 178, párrafo segundo de la Ley de Transparencia y Acceso a la Información Pública del Estado de México y los Municipios.</w:t>
      </w:r>
    </w:p>
    <w:p w14:paraId="40070DCB" w14:textId="77777777" w:rsidR="00051642" w:rsidRPr="00507A3E" w:rsidRDefault="00051642" w:rsidP="008567E8">
      <w:pPr>
        <w:spacing w:after="0" w:line="360" w:lineRule="auto"/>
        <w:rPr>
          <w:rFonts w:eastAsia="Times New Roman" w:cs="Tahoma"/>
          <w:color w:val="auto"/>
          <w:lang w:val="es-ES" w:eastAsia="es-ES"/>
        </w:rPr>
      </w:pPr>
    </w:p>
    <w:p w14:paraId="69A90029" w14:textId="6EBB07C5" w:rsidR="00051642" w:rsidRPr="00507A3E" w:rsidRDefault="00051642" w:rsidP="008567E8">
      <w:pPr>
        <w:spacing w:after="0" w:line="360" w:lineRule="auto"/>
        <w:rPr>
          <w:rFonts w:eastAsia="Times New Roman" w:cs="Tahoma"/>
          <w:bCs/>
          <w:color w:val="auto"/>
          <w:lang w:val="es-ES" w:eastAsia="es-ES"/>
        </w:rPr>
      </w:pPr>
      <w:r w:rsidRPr="00507A3E">
        <w:rPr>
          <w:rFonts w:eastAsia="Times New Roman" w:cs="Tahoma"/>
          <w:color w:val="auto"/>
          <w:lang w:val="es-ES" w:eastAsia="es-ES"/>
        </w:rPr>
        <w:t>Conforme a lo anterior, se actualiza la causal de procedencia señalada en el artículo 179, fracción VII, de la Ley de la materia</w:t>
      </w:r>
      <w:r w:rsidRPr="00507A3E">
        <w:rPr>
          <w:rFonts w:eastAsia="Times New Roman" w:cs="Tahoma"/>
          <w:bCs/>
          <w:color w:val="auto"/>
          <w:lang w:val="es-ES" w:eastAsia="es-ES"/>
        </w:rPr>
        <w:t xml:space="preserve">, toda vez que </w:t>
      </w:r>
      <w:r w:rsidR="00F90DE8" w:rsidRPr="00507A3E">
        <w:rPr>
          <w:rFonts w:eastAsia="Times New Roman" w:cs="Tahoma"/>
          <w:bCs/>
          <w:color w:val="auto"/>
          <w:lang w:val="es-ES" w:eastAsia="es-ES"/>
        </w:rPr>
        <w:t>el</w:t>
      </w:r>
      <w:r w:rsidRPr="00507A3E">
        <w:rPr>
          <w:rFonts w:eastAsia="Times New Roman" w:cs="Tahoma"/>
          <w:bCs/>
          <w:color w:val="auto"/>
          <w:lang w:val="es-ES" w:eastAsia="es-ES"/>
        </w:rPr>
        <w:t xml:space="preserve"> Solicitante se inconformó con la falta de respuesta a s</w:t>
      </w:r>
      <w:r w:rsidR="00686942" w:rsidRPr="00507A3E">
        <w:rPr>
          <w:rFonts w:eastAsia="Times New Roman" w:cs="Tahoma"/>
          <w:bCs/>
          <w:color w:val="auto"/>
          <w:lang w:val="es-ES" w:eastAsia="es-ES"/>
        </w:rPr>
        <w:t>u</w:t>
      </w:r>
      <w:r w:rsidRPr="00507A3E">
        <w:rPr>
          <w:rFonts w:eastAsia="Times New Roman" w:cs="Tahoma"/>
          <w:bCs/>
          <w:color w:val="auto"/>
          <w:lang w:val="es-ES" w:eastAsia="es-ES"/>
        </w:rPr>
        <w:t xml:space="preserve"> solicitud de acceso a información pública.</w:t>
      </w:r>
    </w:p>
    <w:p w14:paraId="13780674" w14:textId="77777777" w:rsidR="00051642" w:rsidRPr="00507A3E" w:rsidRDefault="00051642" w:rsidP="008567E8">
      <w:pPr>
        <w:spacing w:after="0" w:line="360" w:lineRule="auto"/>
        <w:rPr>
          <w:rFonts w:eastAsia="Times New Roman" w:cs="Tahoma"/>
          <w:bCs/>
          <w:color w:val="auto"/>
          <w:lang w:val="es-ES" w:eastAsia="es-ES"/>
        </w:rPr>
      </w:pPr>
    </w:p>
    <w:p w14:paraId="7E9C56A5" w14:textId="4EE8201D" w:rsidR="00051642" w:rsidRPr="00507A3E" w:rsidRDefault="00051642" w:rsidP="008567E8">
      <w:pPr>
        <w:spacing w:after="0" w:line="360" w:lineRule="auto"/>
        <w:rPr>
          <w:rFonts w:eastAsia="Times New Roman" w:cs="Tahoma"/>
          <w:b/>
          <w:bCs/>
          <w:color w:val="0D0D0D" w:themeColor="text1" w:themeTint="F2"/>
          <w:lang w:eastAsia="es-ES"/>
        </w:rPr>
      </w:pPr>
      <w:r w:rsidRPr="00507A3E">
        <w:rPr>
          <w:rFonts w:eastAsia="Times New Roman" w:cs="Tahoma"/>
          <w:b/>
          <w:bCs/>
          <w:color w:val="0D0D0D" w:themeColor="text1" w:themeTint="F2"/>
          <w:lang w:eastAsia="es-ES"/>
        </w:rPr>
        <w:t>Causales de sobreseimiento.</w:t>
      </w:r>
    </w:p>
    <w:p w14:paraId="3A24E961" w14:textId="77777777" w:rsidR="007A16A9" w:rsidRPr="00507A3E" w:rsidRDefault="007A16A9" w:rsidP="008567E8">
      <w:pPr>
        <w:spacing w:after="0" w:line="360" w:lineRule="auto"/>
        <w:rPr>
          <w:rFonts w:eastAsia="Times New Roman" w:cs="Tahoma"/>
          <w:bCs/>
          <w:color w:val="0D0D0D" w:themeColor="text1" w:themeTint="F2"/>
          <w:lang w:eastAsia="es-ES"/>
        </w:rPr>
      </w:pPr>
    </w:p>
    <w:p w14:paraId="4CFF9130" w14:textId="6E2E0CED" w:rsidR="00051642" w:rsidRPr="00507A3E" w:rsidRDefault="00051642" w:rsidP="008567E8">
      <w:pPr>
        <w:spacing w:after="0" w:line="360" w:lineRule="auto"/>
        <w:rPr>
          <w:rFonts w:eastAsia="Times New Roman" w:cs="Tahoma"/>
          <w:bCs/>
          <w:color w:val="0D0D0D" w:themeColor="text1" w:themeTint="F2"/>
          <w:lang w:eastAsia="es-ES"/>
        </w:rPr>
      </w:pPr>
      <w:r w:rsidRPr="00507A3E">
        <w:rPr>
          <w:rFonts w:eastAsia="Times New Roman" w:cs="Tahoma"/>
          <w:bCs/>
          <w:color w:val="0D0D0D" w:themeColor="text1" w:themeTint="F2"/>
          <w:lang w:eastAsia="es-ES"/>
        </w:rPr>
        <w:t>Por ser de previo y especial pronunciamiento, este Instituto analiza si se actualiza alguna causal de sobreseimiento.</w:t>
      </w:r>
    </w:p>
    <w:p w14:paraId="77B2D1E9" w14:textId="77777777" w:rsidR="00F16ED4" w:rsidRPr="00507A3E" w:rsidRDefault="00F16ED4" w:rsidP="008567E8">
      <w:pPr>
        <w:spacing w:after="0" w:line="360" w:lineRule="auto"/>
        <w:rPr>
          <w:rFonts w:eastAsia="Times New Roman" w:cs="Tahoma"/>
          <w:bCs/>
          <w:color w:val="0D0D0D" w:themeColor="text1" w:themeTint="F2"/>
          <w:lang w:eastAsia="es-ES"/>
        </w:rPr>
      </w:pPr>
    </w:p>
    <w:p w14:paraId="3E88F884" w14:textId="77777777" w:rsidR="00051642" w:rsidRPr="00507A3E" w:rsidRDefault="00051642" w:rsidP="008567E8">
      <w:pPr>
        <w:spacing w:after="0" w:line="360" w:lineRule="auto"/>
        <w:rPr>
          <w:rFonts w:eastAsia="Times New Roman" w:cs="Tahoma"/>
          <w:color w:val="auto"/>
          <w:szCs w:val="24"/>
          <w:lang w:eastAsia="es-ES"/>
        </w:rPr>
      </w:pPr>
      <w:r w:rsidRPr="00507A3E">
        <w:rPr>
          <w:rFonts w:eastAsia="Times New Roman" w:cs="Tahoma"/>
          <w:color w:val="auto"/>
          <w:szCs w:val="24"/>
          <w:lang w:eastAsia="es-ES"/>
        </w:rPr>
        <w:t xml:space="preserve">El artículo 192 de la Ley Transparencia y Acceso a la Información Pública del Estado de México y Municipios, señala las causales por las cuales se puede sobreseer en todo o en parte, </w:t>
      </w:r>
      <w:r w:rsidRPr="00507A3E">
        <w:rPr>
          <w:rFonts w:eastAsia="Times New Roman" w:cs="Tahoma"/>
          <w:color w:val="auto"/>
          <w:szCs w:val="24"/>
          <w:lang w:eastAsia="es-ES"/>
        </w:rPr>
        <w:lastRenderedPageBreak/>
        <w:t>el Recurso de Revisión; así, del análisis realizado por este Instituto, se advierte que no se actualiza algún supuesto de sobreseimiento; lo anterior, en virtud de que no hay constancias en el expediente en que se actúa, de que la Recurrente se haya desistido del recurso, haya fallecido, sobreviniera alguna causal de improcedencia, que el Sujeto Obligado hubiese modificado o revocado el acto impugnado o bien, haya quedado sin materia.</w:t>
      </w:r>
    </w:p>
    <w:p w14:paraId="27B2A9E9" w14:textId="77777777" w:rsidR="00051642" w:rsidRPr="00507A3E" w:rsidRDefault="00051642" w:rsidP="008567E8">
      <w:pPr>
        <w:spacing w:after="0" w:line="360" w:lineRule="auto"/>
        <w:rPr>
          <w:rFonts w:eastAsia="Times New Roman" w:cs="Tahoma"/>
          <w:color w:val="auto"/>
          <w:szCs w:val="24"/>
          <w:lang w:eastAsia="es-ES"/>
        </w:rPr>
      </w:pPr>
    </w:p>
    <w:p w14:paraId="0C2D0DD7" w14:textId="77777777" w:rsidR="00051642" w:rsidRPr="00507A3E" w:rsidRDefault="00051642" w:rsidP="008567E8">
      <w:pPr>
        <w:spacing w:after="0" w:line="360" w:lineRule="auto"/>
        <w:rPr>
          <w:rFonts w:eastAsia="Times New Roman" w:cs="Tahoma"/>
          <w:bCs/>
          <w:color w:val="0D0D0D" w:themeColor="text1" w:themeTint="F2"/>
          <w:lang w:eastAsia="es-ES"/>
        </w:rPr>
      </w:pPr>
      <w:r w:rsidRPr="00507A3E">
        <w:rPr>
          <w:rFonts w:eastAsia="Times New Roman" w:cs="Tahoma"/>
          <w:bCs/>
          <w:color w:val="0D0D0D" w:themeColor="text1" w:themeTint="F2"/>
          <w:lang w:eastAsia="es-ES"/>
        </w:rPr>
        <w:t xml:space="preserve">Por tales motivos, se considera procedente entrar al fondo del presente asunto. </w:t>
      </w:r>
    </w:p>
    <w:p w14:paraId="37789B71" w14:textId="77777777" w:rsidR="00051642" w:rsidRPr="00507A3E" w:rsidRDefault="00051642" w:rsidP="008567E8">
      <w:pPr>
        <w:autoSpaceDE w:val="0"/>
        <w:autoSpaceDN w:val="0"/>
        <w:adjustRightInd w:val="0"/>
        <w:spacing w:after="0" w:line="360" w:lineRule="auto"/>
        <w:rPr>
          <w:rFonts w:eastAsia="Times New Roman" w:cs="Tahoma"/>
          <w:color w:val="auto"/>
          <w:szCs w:val="24"/>
          <w:lang w:val="es-ES" w:eastAsia="es-ES"/>
        </w:rPr>
      </w:pPr>
    </w:p>
    <w:p w14:paraId="28F00995" w14:textId="77777777" w:rsidR="00051642" w:rsidRPr="00507A3E" w:rsidRDefault="00051642" w:rsidP="008567E8">
      <w:pPr>
        <w:spacing w:after="0" w:line="360" w:lineRule="auto"/>
        <w:rPr>
          <w:rFonts w:eastAsia="Times New Roman" w:cs="Tahoma"/>
          <w:b/>
          <w:bCs/>
          <w:iCs/>
          <w:color w:val="auto"/>
          <w:lang w:val="es-ES" w:eastAsia="es-ES"/>
        </w:rPr>
      </w:pPr>
      <w:r w:rsidRPr="00507A3E">
        <w:rPr>
          <w:rFonts w:eastAsia="Times New Roman" w:cs="Tahoma"/>
          <w:b/>
          <w:bCs/>
          <w:iCs/>
          <w:color w:val="auto"/>
          <w:lang w:val="es-ES" w:eastAsia="es-ES"/>
        </w:rPr>
        <w:t xml:space="preserve">TERCERO. Determinación de la Controversia. </w:t>
      </w:r>
    </w:p>
    <w:p w14:paraId="7D9DCBBA" w14:textId="77777777" w:rsidR="00151FB1" w:rsidRPr="00507A3E" w:rsidRDefault="00151FB1" w:rsidP="008567E8">
      <w:pPr>
        <w:autoSpaceDE w:val="0"/>
        <w:autoSpaceDN w:val="0"/>
        <w:adjustRightInd w:val="0"/>
        <w:spacing w:after="0" w:line="360" w:lineRule="auto"/>
        <w:rPr>
          <w:rFonts w:eastAsia="Calibri" w:cs="Tahoma"/>
          <w:color w:val="000000"/>
          <w:szCs w:val="24"/>
          <w:lang w:val="es-ES" w:eastAsia="es-MX"/>
        </w:rPr>
      </w:pPr>
    </w:p>
    <w:p w14:paraId="3C8DA1C6" w14:textId="1A08B344" w:rsidR="00051642" w:rsidRPr="00507A3E" w:rsidRDefault="00051642" w:rsidP="009037EA">
      <w:pPr>
        <w:widowControl w:val="0"/>
        <w:autoSpaceDE w:val="0"/>
        <w:autoSpaceDN w:val="0"/>
        <w:adjustRightInd w:val="0"/>
        <w:spacing w:after="0" w:line="360" w:lineRule="auto"/>
        <w:rPr>
          <w:rFonts w:eastAsia="Calibri" w:cs="Tahoma"/>
          <w:color w:val="000000"/>
          <w:szCs w:val="24"/>
          <w:lang w:val="es-ES" w:eastAsia="es-MX"/>
        </w:rPr>
      </w:pPr>
      <w:r w:rsidRPr="00507A3E">
        <w:rPr>
          <w:rFonts w:eastAsia="Calibri" w:cs="Tahoma"/>
          <w:color w:val="000000"/>
          <w:szCs w:val="24"/>
          <w:lang w:val="es-ES" w:eastAsia="es-MX"/>
        </w:rPr>
        <w:t>Con el objeto de ilustrar la controversia planteada, resulta conveniente precisar, que una vez realizado el estudio de las constancias que integran el expediente en que se actúa, se desprende que el Particular requirió</w:t>
      </w:r>
      <w:r w:rsidR="00CC78DC" w:rsidRPr="00507A3E">
        <w:rPr>
          <w:rFonts w:eastAsia="Calibri" w:cs="Tahoma"/>
          <w:color w:val="000000"/>
          <w:szCs w:val="24"/>
          <w:lang w:val="es-ES" w:eastAsia="es-MX"/>
        </w:rPr>
        <w:t xml:space="preserve">, </w:t>
      </w:r>
      <w:r w:rsidR="007A44DC" w:rsidRPr="00507A3E">
        <w:rPr>
          <w:rFonts w:eastAsia="Calibri" w:cs="Tahoma"/>
          <w:color w:val="000000"/>
          <w:szCs w:val="24"/>
          <w:lang w:val="es-ES" w:eastAsia="es-MX"/>
        </w:rPr>
        <w:t>lo siguiente:</w:t>
      </w:r>
    </w:p>
    <w:p w14:paraId="54DEA5F9" w14:textId="7C921D77" w:rsidR="007A44DC" w:rsidRPr="00507A3E" w:rsidRDefault="007A44DC" w:rsidP="009037EA">
      <w:pPr>
        <w:widowControl w:val="0"/>
        <w:autoSpaceDE w:val="0"/>
        <w:autoSpaceDN w:val="0"/>
        <w:adjustRightInd w:val="0"/>
        <w:spacing w:after="0" w:line="360" w:lineRule="auto"/>
        <w:rPr>
          <w:rFonts w:eastAsia="Calibri" w:cs="Tahoma"/>
          <w:color w:val="000000"/>
          <w:szCs w:val="24"/>
          <w:lang w:val="es-ES" w:eastAsia="es-MX"/>
        </w:rPr>
      </w:pPr>
    </w:p>
    <w:p w14:paraId="0C816089" w14:textId="3AF13C4B" w:rsidR="007A44DC" w:rsidRPr="00507A3E" w:rsidRDefault="007A44DC" w:rsidP="007A44DC">
      <w:pPr>
        <w:pStyle w:val="Prrafodelista"/>
        <w:widowControl w:val="0"/>
        <w:numPr>
          <w:ilvl w:val="0"/>
          <w:numId w:val="23"/>
        </w:numPr>
        <w:autoSpaceDE w:val="0"/>
        <w:autoSpaceDN w:val="0"/>
        <w:adjustRightInd w:val="0"/>
        <w:spacing w:after="0" w:line="360" w:lineRule="auto"/>
        <w:rPr>
          <w:rFonts w:eastAsia="Calibri" w:cs="Tahoma"/>
          <w:bCs/>
          <w:color w:val="000000"/>
          <w:szCs w:val="24"/>
          <w:lang w:eastAsia="es-MX"/>
        </w:rPr>
      </w:pPr>
      <w:r w:rsidRPr="00507A3E">
        <w:rPr>
          <w:rFonts w:eastAsia="Calibri" w:cs="Tahoma"/>
          <w:bCs/>
          <w:color w:val="000000"/>
          <w:szCs w:val="24"/>
          <w:lang w:eastAsia="es-MX"/>
        </w:rPr>
        <w:t>De Josefina Aidé Flores</w:t>
      </w:r>
      <w:r w:rsidR="009A0396" w:rsidRPr="00507A3E">
        <w:rPr>
          <w:rFonts w:eastAsia="Calibri" w:cs="Tahoma"/>
          <w:bCs/>
          <w:color w:val="000000"/>
          <w:szCs w:val="24"/>
          <w:lang w:eastAsia="es-MX"/>
        </w:rPr>
        <w:t>, su renuncia, así como los recibos de nómina desde la fecha de alta hasta su baja.</w:t>
      </w:r>
    </w:p>
    <w:p w14:paraId="4AF1B02D" w14:textId="77777777" w:rsidR="00344B54" w:rsidRPr="00507A3E" w:rsidRDefault="00344B54" w:rsidP="00344B54">
      <w:pPr>
        <w:pStyle w:val="Prrafodelista"/>
        <w:widowControl w:val="0"/>
        <w:autoSpaceDE w:val="0"/>
        <w:autoSpaceDN w:val="0"/>
        <w:adjustRightInd w:val="0"/>
        <w:spacing w:after="0" w:line="360" w:lineRule="auto"/>
        <w:ind w:left="1440"/>
        <w:rPr>
          <w:rFonts w:eastAsia="Calibri" w:cs="Tahoma"/>
          <w:bCs/>
          <w:color w:val="000000"/>
          <w:szCs w:val="24"/>
          <w:lang w:eastAsia="es-MX"/>
        </w:rPr>
      </w:pPr>
    </w:p>
    <w:p w14:paraId="4CEE3AB2" w14:textId="29C2BDC7" w:rsidR="007A44DC" w:rsidRPr="00507A3E" w:rsidRDefault="007A44DC" w:rsidP="007A44DC">
      <w:pPr>
        <w:pStyle w:val="Prrafodelista"/>
        <w:widowControl w:val="0"/>
        <w:numPr>
          <w:ilvl w:val="0"/>
          <w:numId w:val="23"/>
        </w:numPr>
        <w:autoSpaceDE w:val="0"/>
        <w:autoSpaceDN w:val="0"/>
        <w:adjustRightInd w:val="0"/>
        <w:spacing w:after="0" w:line="360" w:lineRule="auto"/>
        <w:rPr>
          <w:rFonts w:eastAsia="Calibri" w:cs="Tahoma"/>
          <w:bCs/>
          <w:color w:val="000000"/>
          <w:szCs w:val="24"/>
          <w:lang w:eastAsia="es-MX"/>
        </w:rPr>
      </w:pPr>
      <w:r w:rsidRPr="00507A3E">
        <w:rPr>
          <w:rFonts w:eastAsia="Calibri" w:cs="Tahoma"/>
          <w:bCs/>
          <w:color w:val="000000"/>
          <w:szCs w:val="24"/>
          <w:lang w:eastAsia="es-MX"/>
        </w:rPr>
        <w:t xml:space="preserve">De José Alfredo </w:t>
      </w:r>
      <w:proofErr w:type="spellStart"/>
      <w:r w:rsidRPr="00507A3E">
        <w:rPr>
          <w:rFonts w:eastAsia="Calibri" w:cs="Tahoma"/>
          <w:bCs/>
          <w:color w:val="000000"/>
          <w:szCs w:val="24"/>
          <w:lang w:eastAsia="es-MX"/>
        </w:rPr>
        <w:t>Guizar</w:t>
      </w:r>
      <w:proofErr w:type="spellEnd"/>
      <w:r w:rsidRPr="00507A3E">
        <w:rPr>
          <w:rFonts w:eastAsia="Calibri" w:cs="Tahoma"/>
          <w:bCs/>
          <w:color w:val="000000"/>
          <w:szCs w:val="24"/>
          <w:lang w:eastAsia="es-MX"/>
        </w:rPr>
        <w:t xml:space="preserve"> Arreola</w:t>
      </w:r>
      <w:r w:rsidR="009A0396" w:rsidRPr="00507A3E">
        <w:rPr>
          <w:rFonts w:eastAsia="Calibri" w:cs="Tahoma"/>
          <w:bCs/>
          <w:color w:val="000000"/>
          <w:szCs w:val="24"/>
          <w:lang w:eastAsia="es-MX"/>
        </w:rPr>
        <w:t>, recibos de nómina de la primera quincena de enero a la segunda de octubre de dos mil veintidós.</w:t>
      </w:r>
    </w:p>
    <w:p w14:paraId="2EF738CF" w14:textId="77777777" w:rsidR="009A0396" w:rsidRPr="00507A3E" w:rsidRDefault="009A0396" w:rsidP="008567E8">
      <w:pPr>
        <w:pStyle w:val="NormalWeb"/>
        <w:spacing w:after="0" w:line="360" w:lineRule="auto"/>
        <w:ind w:right="-28"/>
        <w:rPr>
          <w:rFonts w:ascii="Palatino Linotype" w:hAnsi="Palatino Linotype" w:cs="Tahoma"/>
          <w:bCs/>
          <w:iCs/>
          <w:sz w:val="22"/>
          <w:szCs w:val="22"/>
          <w:lang w:val="es-ES"/>
        </w:rPr>
      </w:pPr>
    </w:p>
    <w:p w14:paraId="0273DC5D" w14:textId="113646D4" w:rsidR="00051642" w:rsidRPr="00507A3E" w:rsidRDefault="00051642" w:rsidP="008567E8">
      <w:pPr>
        <w:pStyle w:val="NormalWeb"/>
        <w:spacing w:after="0" w:line="360" w:lineRule="auto"/>
        <w:ind w:right="-28"/>
        <w:rPr>
          <w:rFonts w:ascii="Palatino Linotype" w:hAnsi="Palatino Linotype" w:cs="Tahoma"/>
          <w:bCs/>
          <w:iCs/>
          <w:color w:val="auto"/>
          <w:sz w:val="22"/>
          <w:szCs w:val="22"/>
          <w:lang w:val="es-ES" w:eastAsia="es-ES"/>
        </w:rPr>
      </w:pPr>
      <w:r w:rsidRPr="00507A3E">
        <w:rPr>
          <w:rFonts w:ascii="Palatino Linotype" w:hAnsi="Palatino Linotype" w:cs="Tahoma"/>
          <w:bCs/>
          <w:iCs/>
          <w:sz w:val="22"/>
          <w:szCs w:val="22"/>
          <w:lang w:val="es-ES"/>
        </w:rPr>
        <w:t>Ante la falta de respuesta del Ente Recurrido, el Particular, justamente se inconformó po</w:t>
      </w:r>
      <w:r w:rsidR="00F90DE8" w:rsidRPr="00507A3E">
        <w:rPr>
          <w:rFonts w:ascii="Palatino Linotype" w:hAnsi="Palatino Linotype" w:cs="Tahoma"/>
          <w:bCs/>
          <w:iCs/>
          <w:sz w:val="22"/>
          <w:szCs w:val="22"/>
          <w:lang w:val="es-ES"/>
        </w:rPr>
        <w:t xml:space="preserve">rque no </w:t>
      </w:r>
      <w:r w:rsidR="002352A8" w:rsidRPr="00507A3E">
        <w:rPr>
          <w:rFonts w:ascii="Palatino Linotype" w:hAnsi="Palatino Linotype" w:cs="Tahoma"/>
          <w:bCs/>
          <w:iCs/>
          <w:sz w:val="22"/>
          <w:szCs w:val="22"/>
          <w:lang w:val="es-ES"/>
        </w:rPr>
        <w:t>ha recibido respuesta</w:t>
      </w:r>
      <w:r w:rsidRPr="00507A3E">
        <w:rPr>
          <w:rFonts w:ascii="Palatino Linotype" w:hAnsi="Palatino Linotype" w:cs="Tahoma"/>
          <w:bCs/>
          <w:iCs/>
          <w:sz w:val="22"/>
          <w:szCs w:val="22"/>
          <w:lang w:val="es-ES"/>
        </w:rPr>
        <w:t>, lo cual se actualiza el supuesto previsto</w:t>
      </w:r>
      <w:r w:rsidR="00384DCB" w:rsidRPr="00507A3E">
        <w:rPr>
          <w:rFonts w:ascii="Palatino Linotype" w:hAnsi="Palatino Linotype" w:cs="Tahoma"/>
          <w:bCs/>
          <w:iCs/>
          <w:sz w:val="22"/>
          <w:szCs w:val="22"/>
          <w:lang w:val="es-ES"/>
        </w:rPr>
        <w:t xml:space="preserve"> en el artículo 179, fracción VI</w:t>
      </w:r>
      <w:r w:rsidRPr="00507A3E">
        <w:rPr>
          <w:rFonts w:ascii="Palatino Linotype" w:hAnsi="Palatino Linotype" w:cs="Tahoma"/>
          <w:bCs/>
          <w:iCs/>
          <w:sz w:val="22"/>
          <w:szCs w:val="22"/>
          <w:lang w:val="es-ES"/>
        </w:rPr>
        <w:t>I, de la Ley de Transparencia y Acceso a la Información Pública del Estado de México y Municipios</w:t>
      </w:r>
      <w:r w:rsidRPr="00507A3E">
        <w:rPr>
          <w:rFonts w:ascii="Palatino Linotype" w:hAnsi="Palatino Linotype" w:cs="Tahoma"/>
          <w:bCs/>
          <w:iCs/>
          <w:sz w:val="22"/>
          <w:szCs w:val="22"/>
          <w:shd w:val="clear" w:color="auto" w:fill="FFFFFF"/>
        </w:rPr>
        <w:t xml:space="preserve">. </w:t>
      </w:r>
      <w:r w:rsidRPr="00507A3E">
        <w:rPr>
          <w:rFonts w:ascii="Palatino Linotype" w:hAnsi="Palatino Linotype" w:cs="Tahoma"/>
          <w:sz w:val="22"/>
          <w:szCs w:val="22"/>
          <w:lang w:val="es-ES"/>
        </w:rPr>
        <w:t xml:space="preserve">Así las cosas, una vez admitido y notificado </w:t>
      </w:r>
      <w:r w:rsidR="00382A3B" w:rsidRPr="00507A3E">
        <w:rPr>
          <w:rFonts w:ascii="Palatino Linotype" w:hAnsi="Palatino Linotype" w:cs="Tahoma"/>
          <w:sz w:val="22"/>
          <w:szCs w:val="22"/>
          <w:lang w:val="es-ES"/>
        </w:rPr>
        <w:t>los Recursos</w:t>
      </w:r>
      <w:r w:rsidRPr="00507A3E">
        <w:rPr>
          <w:rFonts w:ascii="Palatino Linotype" w:hAnsi="Palatino Linotype" w:cs="Tahoma"/>
          <w:sz w:val="22"/>
          <w:szCs w:val="22"/>
          <w:lang w:val="es-ES"/>
        </w:rPr>
        <w:t xml:space="preserve"> de Revisión a las partes, </w:t>
      </w:r>
      <w:r w:rsidR="003F3741" w:rsidRPr="00507A3E">
        <w:rPr>
          <w:rFonts w:ascii="Palatino Linotype" w:hAnsi="Palatino Linotype" w:cs="Tahoma"/>
          <w:sz w:val="22"/>
          <w:szCs w:val="22"/>
          <w:lang w:val="es-ES"/>
        </w:rPr>
        <w:t>el Sujeto Obligado</w:t>
      </w:r>
      <w:r w:rsidR="00337813" w:rsidRPr="00507A3E">
        <w:rPr>
          <w:rFonts w:ascii="Palatino Linotype" w:eastAsia="Calibri" w:hAnsi="Palatino Linotype" w:cs="Tahoma"/>
          <w:color w:val="000000"/>
          <w:sz w:val="22"/>
          <w:lang w:eastAsia="es-MX"/>
        </w:rPr>
        <w:t xml:space="preserve"> precisó que la información se localizaba en el Portal de Información Pública de Oficio Mexiquense.</w:t>
      </w:r>
    </w:p>
    <w:p w14:paraId="03A74004" w14:textId="0614A82D" w:rsidR="00051642" w:rsidRPr="00507A3E" w:rsidRDefault="00051642" w:rsidP="008567E8">
      <w:pPr>
        <w:tabs>
          <w:tab w:val="left" w:pos="4962"/>
        </w:tabs>
        <w:spacing w:after="0" w:line="360" w:lineRule="auto"/>
        <w:rPr>
          <w:rFonts w:eastAsia="Calibri" w:cs="Tahoma"/>
          <w:bCs/>
          <w:szCs w:val="24"/>
        </w:rPr>
      </w:pPr>
      <w:r w:rsidRPr="00507A3E">
        <w:rPr>
          <w:rFonts w:eastAsia="Calibri" w:cs="Tahoma"/>
          <w:iCs/>
          <w:lang w:val="es-ES" w:eastAsia="es-ES_tradnl"/>
        </w:rPr>
        <w:lastRenderedPageBreak/>
        <w:t xml:space="preserve">Lo anterior, se desprende de las documentales que obran en el expediente de referencia, materia de la presente resolución, consistente en: la </w:t>
      </w:r>
      <w:r w:rsidR="00573BDE" w:rsidRPr="00507A3E">
        <w:rPr>
          <w:rFonts w:eastAsia="Calibri" w:cs="Tahoma"/>
          <w:iCs/>
          <w:lang w:val="es-ES" w:eastAsia="es-ES_tradnl"/>
        </w:rPr>
        <w:t>solicitud</w:t>
      </w:r>
      <w:r w:rsidRPr="00507A3E">
        <w:rPr>
          <w:rFonts w:eastAsia="Calibri" w:cs="Tahoma"/>
          <w:iCs/>
          <w:lang w:val="es-ES" w:eastAsia="es-ES_tradnl"/>
        </w:rPr>
        <w:t xml:space="preserve"> de acceso a la información </w:t>
      </w:r>
      <w:r w:rsidRPr="00507A3E">
        <w:rPr>
          <w:rFonts w:eastAsia="Calibri" w:cs="Tahoma"/>
          <w:iCs/>
          <w:lang w:eastAsia="es-ES_tradnl"/>
        </w:rPr>
        <w:t xml:space="preserve">y </w:t>
      </w:r>
      <w:r w:rsidR="00573BDE" w:rsidRPr="00507A3E">
        <w:rPr>
          <w:rFonts w:eastAsia="Calibri" w:cs="Tahoma"/>
          <w:iCs/>
          <w:lang w:eastAsia="es-ES_tradnl"/>
        </w:rPr>
        <w:t>el</w:t>
      </w:r>
      <w:r w:rsidRPr="00507A3E">
        <w:rPr>
          <w:rFonts w:eastAsia="Calibri" w:cs="Tahoma"/>
          <w:iCs/>
          <w:lang w:eastAsia="es-ES_tradnl"/>
        </w:rPr>
        <w:t xml:space="preserve"> escrito recursal; </w:t>
      </w:r>
      <w:r w:rsidRPr="00507A3E">
        <w:rPr>
          <w:rFonts w:eastAsia="Calibri" w:cs="Tahoma"/>
          <w:bCs/>
          <w:szCs w:val="24"/>
        </w:rPr>
        <w:t>instrumentales que se toman en cuenta a efecto de resolver el presente medio de impugnación, conforme a lo dispuesto por el artículo 185, fracción IV, de la Ley de Transparencia y Acceso a la Información Pública del Estado de México y Municipios.</w:t>
      </w:r>
    </w:p>
    <w:p w14:paraId="424F91CD" w14:textId="77777777" w:rsidR="00051642" w:rsidRPr="00507A3E" w:rsidRDefault="00051642" w:rsidP="008567E8">
      <w:pPr>
        <w:spacing w:after="0" w:line="360" w:lineRule="auto"/>
        <w:rPr>
          <w:rFonts w:eastAsia="Calibri" w:cs="Tahoma"/>
          <w:color w:val="auto"/>
          <w:lang w:eastAsia="es-ES_tradnl"/>
        </w:rPr>
      </w:pPr>
    </w:p>
    <w:p w14:paraId="01992FBB" w14:textId="77777777" w:rsidR="00051642" w:rsidRPr="00507A3E" w:rsidRDefault="00051642" w:rsidP="008567E8">
      <w:pPr>
        <w:spacing w:after="0" w:line="360" w:lineRule="auto"/>
        <w:rPr>
          <w:rFonts w:eastAsia="Times New Roman" w:cs="Tahoma"/>
          <w:b/>
          <w:bCs/>
          <w:iCs/>
          <w:color w:val="auto"/>
          <w:lang w:eastAsia="es-ES"/>
        </w:rPr>
      </w:pPr>
      <w:r w:rsidRPr="00507A3E">
        <w:rPr>
          <w:rFonts w:eastAsia="Times New Roman" w:cs="Tahoma"/>
          <w:b/>
          <w:bCs/>
          <w:iCs/>
          <w:color w:val="auto"/>
          <w:lang w:val="es-ES" w:eastAsia="es-ES"/>
        </w:rPr>
        <w:t xml:space="preserve">CUARTO. </w:t>
      </w:r>
      <w:r w:rsidRPr="00507A3E">
        <w:rPr>
          <w:rFonts w:eastAsia="Times New Roman" w:cs="Tahoma"/>
          <w:b/>
          <w:bCs/>
          <w:iCs/>
          <w:color w:val="auto"/>
          <w:lang w:eastAsia="es-ES"/>
        </w:rPr>
        <w:t>Marco normativo aplicable en materia de transparencia y acceso a la información pública.</w:t>
      </w:r>
    </w:p>
    <w:p w14:paraId="6CC8CCA2" w14:textId="77777777" w:rsidR="00051642" w:rsidRPr="00507A3E" w:rsidRDefault="00051642" w:rsidP="008567E8">
      <w:pPr>
        <w:autoSpaceDE w:val="0"/>
        <w:autoSpaceDN w:val="0"/>
        <w:adjustRightInd w:val="0"/>
        <w:spacing w:after="0" w:line="360" w:lineRule="auto"/>
        <w:rPr>
          <w:rFonts w:eastAsia="Times New Roman" w:cs="Tahoma"/>
          <w:bCs/>
          <w:iCs/>
          <w:color w:val="auto"/>
          <w:lang w:val="es-ES" w:eastAsia="es-ES"/>
        </w:rPr>
      </w:pPr>
    </w:p>
    <w:p w14:paraId="6E5F496D" w14:textId="77777777" w:rsidR="00051642" w:rsidRPr="00507A3E" w:rsidRDefault="00051642" w:rsidP="008567E8">
      <w:pPr>
        <w:spacing w:after="0" w:line="360" w:lineRule="auto"/>
        <w:rPr>
          <w:rFonts w:eastAsia="Times New Roman" w:cs="Tahoma"/>
          <w:bCs/>
          <w:iCs/>
          <w:color w:val="auto"/>
          <w:lang w:eastAsia="es-ES"/>
        </w:rPr>
      </w:pPr>
      <w:r w:rsidRPr="00507A3E">
        <w:rPr>
          <w:rFonts w:eastAsia="Times New Roman" w:cs="Tahoma"/>
          <w:bCs/>
          <w:iCs/>
          <w:color w:val="auto"/>
          <w:lang w:eastAsia="es-ES"/>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5890D99A" w14:textId="77777777" w:rsidR="00051642" w:rsidRPr="00507A3E" w:rsidRDefault="00051642" w:rsidP="008567E8">
      <w:pPr>
        <w:spacing w:after="0" w:line="360" w:lineRule="auto"/>
        <w:rPr>
          <w:rFonts w:eastAsia="Times New Roman" w:cs="Tahoma"/>
          <w:bCs/>
          <w:iCs/>
          <w:color w:val="auto"/>
          <w:lang w:eastAsia="es-ES"/>
        </w:rPr>
      </w:pPr>
    </w:p>
    <w:p w14:paraId="47F8BE4A" w14:textId="77777777" w:rsidR="00051642" w:rsidRPr="00507A3E" w:rsidRDefault="00051642" w:rsidP="008567E8">
      <w:pPr>
        <w:spacing w:after="0" w:line="360" w:lineRule="auto"/>
        <w:rPr>
          <w:rFonts w:eastAsia="Times New Roman" w:cs="Tahoma"/>
          <w:bCs/>
          <w:iCs/>
          <w:color w:val="auto"/>
          <w:lang w:eastAsia="es-ES"/>
        </w:rPr>
      </w:pPr>
      <w:r w:rsidRPr="00507A3E">
        <w:rPr>
          <w:rFonts w:eastAsia="Times New Roman" w:cs="Tahoma"/>
          <w:bCs/>
          <w:iCs/>
          <w:color w:val="auto"/>
          <w:lang w:eastAsia="es-ES"/>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2CA8F274" w14:textId="77777777" w:rsidR="00051642" w:rsidRPr="00507A3E" w:rsidRDefault="00051642" w:rsidP="008567E8">
      <w:pPr>
        <w:spacing w:after="0" w:line="360" w:lineRule="auto"/>
        <w:rPr>
          <w:rFonts w:eastAsia="Times New Roman" w:cs="Tahoma"/>
          <w:bCs/>
          <w:iCs/>
          <w:color w:val="auto"/>
          <w:lang w:eastAsia="es-ES"/>
        </w:rPr>
      </w:pPr>
    </w:p>
    <w:p w14:paraId="686A1040" w14:textId="77777777" w:rsidR="00051642" w:rsidRPr="00507A3E" w:rsidRDefault="00051642" w:rsidP="008567E8">
      <w:pPr>
        <w:spacing w:after="0" w:line="360" w:lineRule="auto"/>
        <w:rPr>
          <w:rFonts w:eastAsia="Times New Roman" w:cs="Tahoma"/>
          <w:bCs/>
          <w:iCs/>
          <w:color w:val="auto"/>
          <w:lang w:eastAsia="es-ES"/>
        </w:rPr>
      </w:pPr>
      <w:r w:rsidRPr="00507A3E">
        <w:rPr>
          <w:rFonts w:eastAsia="Times New Roman" w:cs="Tahoma"/>
          <w:bCs/>
          <w:iCs/>
          <w:color w:val="auto"/>
          <w:lang w:eastAsia="es-ES"/>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47FE455C" w14:textId="77777777" w:rsidR="00051642" w:rsidRPr="00507A3E" w:rsidRDefault="00051642" w:rsidP="008567E8">
      <w:pPr>
        <w:spacing w:after="0" w:line="360" w:lineRule="auto"/>
        <w:rPr>
          <w:rFonts w:eastAsia="Times New Roman" w:cs="Tahoma"/>
          <w:bCs/>
          <w:iCs/>
          <w:color w:val="auto"/>
          <w:lang w:eastAsia="es-ES"/>
        </w:rPr>
      </w:pPr>
    </w:p>
    <w:p w14:paraId="00B7B9A9" w14:textId="77777777" w:rsidR="00051642" w:rsidRPr="00507A3E" w:rsidRDefault="00051642" w:rsidP="008567E8">
      <w:pPr>
        <w:spacing w:after="0" w:line="360" w:lineRule="auto"/>
        <w:rPr>
          <w:rFonts w:eastAsia="Times New Roman" w:cs="Tahoma"/>
          <w:bCs/>
          <w:iCs/>
          <w:color w:val="auto"/>
          <w:lang w:eastAsia="es-ES"/>
        </w:rPr>
      </w:pPr>
      <w:r w:rsidRPr="00507A3E">
        <w:rPr>
          <w:rFonts w:eastAsia="Times New Roman" w:cs="Tahoma"/>
          <w:bCs/>
          <w:iCs/>
          <w:color w:val="auto"/>
          <w:lang w:eastAsia="es-ES"/>
        </w:rPr>
        <w:t>Por su parte, la Ley de Transparencia y Acceso a la Información Pública del Estado de México y Municipios (Reglamentaria del artículo 5° de la Constitución Local), establece lo siguiente:</w:t>
      </w:r>
    </w:p>
    <w:p w14:paraId="3A42A706" w14:textId="77777777" w:rsidR="00BA51D5" w:rsidRPr="00507A3E" w:rsidRDefault="00BA51D5" w:rsidP="008567E8">
      <w:pPr>
        <w:spacing w:after="0" w:line="360" w:lineRule="auto"/>
        <w:rPr>
          <w:rFonts w:eastAsia="Times New Roman" w:cs="Tahoma"/>
          <w:bCs/>
          <w:iCs/>
          <w:color w:val="auto"/>
          <w:lang w:eastAsia="es-ES"/>
        </w:rPr>
      </w:pPr>
    </w:p>
    <w:p w14:paraId="0347B303" w14:textId="77777777" w:rsidR="00051642" w:rsidRPr="00507A3E" w:rsidRDefault="00051642" w:rsidP="008567E8">
      <w:pPr>
        <w:spacing w:after="0" w:line="360" w:lineRule="auto"/>
        <w:rPr>
          <w:rFonts w:eastAsia="Times New Roman" w:cs="Tahoma"/>
          <w:bCs/>
          <w:iCs/>
          <w:color w:val="auto"/>
          <w:lang w:eastAsia="es-ES"/>
        </w:rPr>
      </w:pPr>
      <w:r w:rsidRPr="00507A3E">
        <w:rPr>
          <w:rFonts w:eastAsia="Times New Roman" w:cs="Tahoma"/>
          <w:bCs/>
          <w:iCs/>
          <w:color w:val="auto"/>
          <w:lang w:eastAsia="es-ES"/>
        </w:rPr>
        <w:lastRenderedPageBreak/>
        <w:t>El artículo 12, que, quienes generen, recopilen, administren, manejen, procesen, archiven o conserven información pública serán responsables de la misma.</w:t>
      </w:r>
    </w:p>
    <w:p w14:paraId="70AB3D13" w14:textId="77777777" w:rsidR="00051642" w:rsidRPr="00507A3E" w:rsidRDefault="00051642" w:rsidP="008567E8">
      <w:pPr>
        <w:spacing w:after="0" w:line="360" w:lineRule="auto"/>
        <w:rPr>
          <w:rFonts w:eastAsia="Times New Roman" w:cs="Tahoma"/>
          <w:bCs/>
          <w:iCs/>
          <w:color w:val="auto"/>
          <w:lang w:eastAsia="es-ES"/>
        </w:rPr>
      </w:pPr>
    </w:p>
    <w:p w14:paraId="7452EA94" w14:textId="77777777" w:rsidR="00051642" w:rsidRPr="00507A3E" w:rsidRDefault="00051642" w:rsidP="008567E8">
      <w:pPr>
        <w:widowControl w:val="0"/>
        <w:spacing w:after="0" w:line="360" w:lineRule="auto"/>
        <w:rPr>
          <w:rFonts w:eastAsia="Times New Roman" w:cs="Tahoma"/>
          <w:bCs/>
          <w:iCs/>
          <w:color w:val="auto"/>
          <w:lang w:eastAsia="es-ES"/>
        </w:rPr>
      </w:pPr>
      <w:r w:rsidRPr="00507A3E">
        <w:rPr>
          <w:rFonts w:eastAsia="Times New Roman" w:cs="Tahoma"/>
          <w:bCs/>
          <w:iCs/>
          <w:color w:val="auto"/>
          <w:lang w:eastAsia="es-ES"/>
        </w:rPr>
        <w:t>El artículo 18, que, los Sujetos Obligados deberán documentar todo acto que derive del ejercicio de sus facultades, competencias o funciones, considerando desde su origen la eventual publicidad y reutilización de la información que generen.</w:t>
      </w:r>
    </w:p>
    <w:p w14:paraId="2BFE1718" w14:textId="77777777" w:rsidR="00051642" w:rsidRPr="00507A3E" w:rsidRDefault="00051642" w:rsidP="008567E8">
      <w:pPr>
        <w:spacing w:after="0" w:line="360" w:lineRule="auto"/>
        <w:rPr>
          <w:rFonts w:eastAsia="Times New Roman" w:cs="Tahoma"/>
          <w:bCs/>
          <w:iCs/>
          <w:color w:val="auto"/>
          <w:lang w:eastAsia="es-ES"/>
        </w:rPr>
      </w:pPr>
    </w:p>
    <w:p w14:paraId="4DC8B9C7" w14:textId="1CCF70D7" w:rsidR="00051642" w:rsidRPr="00507A3E" w:rsidRDefault="00051642" w:rsidP="008567E8">
      <w:pPr>
        <w:spacing w:after="0" w:line="360" w:lineRule="auto"/>
        <w:rPr>
          <w:rFonts w:eastAsia="Times New Roman" w:cs="Tahoma"/>
          <w:bCs/>
          <w:iCs/>
          <w:color w:val="auto"/>
          <w:lang w:eastAsia="es-ES"/>
        </w:rPr>
      </w:pPr>
      <w:r w:rsidRPr="00507A3E">
        <w:rPr>
          <w:rFonts w:eastAsia="Times New Roman" w:cs="Tahoma"/>
          <w:bCs/>
          <w:iCs/>
          <w:color w:val="auto"/>
          <w:lang w:eastAsia="es-ES"/>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5D28AD7D" w14:textId="77777777" w:rsidR="00EC180A" w:rsidRPr="00507A3E" w:rsidRDefault="00EC180A" w:rsidP="008567E8">
      <w:pPr>
        <w:spacing w:after="0" w:line="360" w:lineRule="auto"/>
        <w:rPr>
          <w:rFonts w:eastAsia="Times New Roman" w:cs="Tahoma"/>
          <w:bCs/>
          <w:iCs/>
          <w:color w:val="auto"/>
          <w:lang w:eastAsia="es-ES"/>
        </w:rPr>
      </w:pPr>
    </w:p>
    <w:p w14:paraId="749A495F" w14:textId="77777777" w:rsidR="00EC180A" w:rsidRPr="00507A3E" w:rsidRDefault="00EC180A" w:rsidP="00EC180A">
      <w:pPr>
        <w:spacing w:after="0" w:line="360" w:lineRule="auto"/>
        <w:rPr>
          <w:rFonts w:eastAsia="Calibri" w:cs="Tahoma"/>
          <w:bCs/>
          <w:iCs/>
          <w:lang w:val="es-ES"/>
        </w:rPr>
      </w:pPr>
      <w:r w:rsidRPr="00507A3E">
        <w:rPr>
          <w:rFonts w:eastAsia="Calibri" w:cs="Tahoma"/>
          <w:bCs/>
          <w:iCs/>
        </w:rPr>
        <w:t xml:space="preserve">El artículo 92, fracción VIII, </w:t>
      </w:r>
      <w:r w:rsidRPr="00507A3E">
        <w:rPr>
          <w:rFonts w:eastAsia="Calibri" w:cs="Tahoma"/>
          <w:bCs/>
          <w:iCs/>
          <w:lang w:val="es-ES"/>
        </w:rPr>
        <w:t>que, la información sobre las remuneraciones de todos los servidores públicos de base o de confianza, corresponde a una Obligación Común de Transparencia para los Sujetos Obligados.</w:t>
      </w:r>
    </w:p>
    <w:p w14:paraId="77FA6992" w14:textId="77777777" w:rsidR="00382A3B" w:rsidRPr="00507A3E" w:rsidRDefault="00382A3B" w:rsidP="008567E8">
      <w:pPr>
        <w:spacing w:after="0" w:line="360" w:lineRule="auto"/>
        <w:rPr>
          <w:rFonts w:cs="Tahoma"/>
          <w:bCs/>
          <w:iCs/>
          <w:lang w:val="es-ES"/>
        </w:rPr>
      </w:pPr>
    </w:p>
    <w:p w14:paraId="4ADF2933" w14:textId="7C9475E3" w:rsidR="00F90DE8" w:rsidRPr="00507A3E" w:rsidRDefault="00051642" w:rsidP="008567E8">
      <w:pPr>
        <w:spacing w:after="0" w:line="360" w:lineRule="auto"/>
        <w:rPr>
          <w:rFonts w:eastAsia="Times New Roman" w:cs="Tahoma"/>
          <w:b/>
          <w:bCs/>
          <w:iCs/>
          <w:color w:val="auto"/>
          <w:lang w:val="es-ES" w:eastAsia="es-ES"/>
        </w:rPr>
      </w:pPr>
      <w:r w:rsidRPr="00507A3E">
        <w:rPr>
          <w:rFonts w:eastAsia="Times New Roman" w:cs="Tahoma"/>
          <w:b/>
          <w:bCs/>
          <w:iCs/>
          <w:color w:val="auto"/>
          <w:lang w:val="es-ES" w:eastAsia="es-ES"/>
        </w:rPr>
        <w:t>Quinto. Estudio de Fondo.</w:t>
      </w:r>
    </w:p>
    <w:p w14:paraId="667B91BB" w14:textId="77777777" w:rsidR="00EC180A" w:rsidRPr="00507A3E" w:rsidRDefault="00EC180A" w:rsidP="008567E8">
      <w:pPr>
        <w:spacing w:after="0" w:line="360" w:lineRule="auto"/>
        <w:rPr>
          <w:rFonts w:eastAsia="Times New Roman" w:cs="Tahoma"/>
          <w:b/>
          <w:bCs/>
          <w:iCs/>
          <w:color w:val="auto"/>
          <w:lang w:val="es-ES" w:eastAsia="es-ES"/>
        </w:rPr>
      </w:pPr>
    </w:p>
    <w:p w14:paraId="5B29609E" w14:textId="5852A5B6" w:rsidR="009037EA" w:rsidRPr="00507A3E" w:rsidRDefault="009037EA" w:rsidP="009037EA">
      <w:pPr>
        <w:widowControl w:val="0"/>
        <w:spacing w:after="0" w:line="360" w:lineRule="auto"/>
        <w:rPr>
          <w:rFonts w:eastAsia="Times New Roman" w:cs="Tahoma"/>
          <w:color w:val="auto"/>
          <w:lang w:eastAsia="es-MX"/>
        </w:rPr>
      </w:pPr>
      <w:r w:rsidRPr="00507A3E">
        <w:rPr>
          <w:rFonts w:eastAsia="Times New Roman" w:cs="Tahoma"/>
          <w:color w:val="auto"/>
          <w:lang w:eastAsia="es-MX"/>
        </w:rPr>
        <w:t xml:space="preserve">Expuestas las posturas de las partes, se procede al análisis del agravio hecho valer por la ahora Recurrente, concerniente a la negativa del Ayuntamiento de </w:t>
      </w:r>
      <w:r w:rsidR="00872EE4" w:rsidRPr="00507A3E">
        <w:rPr>
          <w:rFonts w:eastAsia="Times New Roman" w:cs="Tahoma"/>
          <w:color w:val="auto"/>
          <w:lang w:eastAsia="es-MX"/>
        </w:rPr>
        <w:t>Zinacantepec</w:t>
      </w:r>
      <w:r w:rsidRPr="00507A3E">
        <w:rPr>
          <w:rFonts w:eastAsia="Times New Roman" w:cs="Tahoma"/>
          <w:color w:val="auto"/>
          <w:lang w:eastAsia="es-MX"/>
        </w:rPr>
        <w:t>, a dar respuesta a la solicitud de información.</w:t>
      </w:r>
    </w:p>
    <w:p w14:paraId="67772132" w14:textId="77777777" w:rsidR="00051642" w:rsidRPr="00507A3E" w:rsidRDefault="00051642" w:rsidP="008567E8">
      <w:pPr>
        <w:spacing w:after="0" w:line="360" w:lineRule="auto"/>
        <w:rPr>
          <w:rFonts w:eastAsia="Times New Roman" w:cs="Tahoma"/>
          <w:bCs/>
          <w:iCs/>
          <w:color w:val="auto"/>
          <w:lang w:eastAsia="es-ES"/>
        </w:rPr>
      </w:pPr>
    </w:p>
    <w:p w14:paraId="49DEE590" w14:textId="4438F0F4" w:rsidR="00051642" w:rsidRPr="00507A3E" w:rsidRDefault="00051642" w:rsidP="008567E8">
      <w:pPr>
        <w:spacing w:after="0" w:line="360" w:lineRule="auto"/>
        <w:rPr>
          <w:rFonts w:eastAsia="Times New Roman" w:cs="Tahoma"/>
          <w:bCs/>
          <w:iCs/>
          <w:color w:val="auto"/>
          <w:lang w:eastAsia="es-ES"/>
        </w:rPr>
      </w:pPr>
      <w:r w:rsidRPr="00507A3E">
        <w:rPr>
          <w:rFonts w:eastAsia="Times New Roman" w:cs="Tahoma"/>
          <w:bCs/>
          <w:iCs/>
          <w:color w:val="auto"/>
          <w:lang w:eastAsia="es-ES"/>
        </w:rPr>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14:paraId="5780A20C" w14:textId="77777777" w:rsidR="00D7156D" w:rsidRPr="00507A3E" w:rsidRDefault="00D7156D" w:rsidP="008567E8">
      <w:pPr>
        <w:spacing w:after="0" w:line="360" w:lineRule="auto"/>
        <w:rPr>
          <w:rFonts w:eastAsia="Times New Roman" w:cs="Tahoma"/>
          <w:bCs/>
          <w:iCs/>
          <w:color w:val="auto"/>
          <w:lang w:eastAsia="es-ES"/>
        </w:rPr>
      </w:pPr>
    </w:p>
    <w:p w14:paraId="0719A826" w14:textId="300A9295" w:rsidR="00051642" w:rsidRPr="00507A3E" w:rsidRDefault="00051642" w:rsidP="008567E8">
      <w:pPr>
        <w:numPr>
          <w:ilvl w:val="0"/>
          <w:numId w:val="1"/>
        </w:numPr>
        <w:spacing w:after="0" w:line="360" w:lineRule="auto"/>
        <w:rPr>
          <w:rFonts w:eastAsia="Times New Roman" w:cs="Tahoma"/>
          <w:bCs/>
          <w:iCs/>
          <w:color w:val="auto"/>
          <w:lang w:eastAsia="es-ES"/>
        </w:rPr>
      </w:pPr>
      <w:r w:rsidRPr="00507A3E">
        <w:rPr>
          <w:rFonts w:eastAsia="Times New Roman" w:cs="Tahoma"/>
          <w:bCs/>
          <w:iCs/>
          <w:color w:val="auto"/>
          <w:lang w:eastAsia="es-ES"/>
        </w:rPr>
        <w:t>Proveer lo necesario para garantizar a toda persona el derecho de acceso a la información pública, a través de procedimientos sencillos, expeditos, oportunos y gratuitos;</w:t>
      </w:r>
    </w:p>
    <w:p w14:paraId="20A61D98" w14:textId="77777777" w:rsidR="0080061B" w:rsidRPr="00507A3E" w:rsidRDefault="0080061B" w:rsidP="008567E8">
      <w:pPr>
        <w:spacing w:after="0" w:line="360" w:lineRule="auto"/>
        <w:ind w:left="720"/>
        <w:rPr>
          <w:rFonts w:eastAsia="Times New Roman" w:cs="Tahoma"/>
          <w:bCs/>
          <w:iCs/>
          <w:color w:val="auto"/>
          <w:lang w:eastAsia="es-ES"/>
        </w:rPr>
      </w:pPr>
    </w:p>
    <w:p w14:paraId="0AEE67C6" w14:textId="1FCA244A" w:rsidR="00051642" w:rsidRPr="00507A3E" w:rsidRDefault="00051642" w:rsidP="008567E8">
      <w:pPr>
        <w:numPr>
          <w:ilvl w:val="0"/>
          <w:numId w:val="1"/>
        </w:numPr>
        <w:spacing w:after="0" w:line="360" w:lineRule="auto"/>
        <w:rPr>
          <w:rFonts w:eastAsia="Times New Roman" w:cs="Tahoma"/>
          <w:bCs/>
          <w:iCs/>
          <w:color w:val="auto"/>
          <w:lang w:eastAsia="es-ES"/>
        </w:rPr>
      </w:pPr>
      <w:r w:rsidRPr="00507A3E">
        <w:rPr>
          <w:rFonts w:eastAsia="Times New Roman" w:cs="Tahoma"/>
          <w:bCs/>
          <w:iCs/>
          <w:color w:val="auto"/>
          <w:lang w:eastAsia="es-ES"/>
        </w:rPr>
        <w:t>Transparentar la gestión pública, mediante la difusión de la información generada por los Sujetos Obligados, y</w:t>
      </w:r>
    </w:p>
    <w:p w14:paraId="0D9FCC13" w14:textId="77777777" w:rsidR="0080061B" w:rsidRPr="00507A3E" w:rsidRDefault="0080061B" w:rsidP="008567E8">
      <w:pPr>
        <w:pStyle w:val="Prrafodelista"/>
        <w:spacing w:after="0" w:line="360" w:lineRule="auto"/>
        <w:rPr>
          <w:rFonts w:eastAsia="Times New Roman" w:cs="Tahoma"/>
          <w:bCs/>
          <w:iCs/>
          <w:color w:val="auto"/>
          <w:lang w:eastAsia="es-ES"/>
        </w:rPr>
      </w:pPr>
    </w:p>
    <w:p w14:paraId="770FC2AF" w14:textId="77777777" w:rsidR="00051642" w:rsidRPr="00507A3E" w:rsidRDefault="00051642" w:rsidP="008567E8">
      <w:pPr>
        <w:numPr>
          <w:ilvl w:val="0"/>
          <w:numId w:val="1"/>
        </w:numPr>
        <w:spacing w:after="0" w:line="360" w:lineRule="auto"/>
        <w:rPr>
          <w:rFonts w:eastAsia="Times New Roman" w:cs="Tahoma"/>
          <w:bCs/>
          <w:iCs/>
          <w:color w:val="auto"/>
          <w:lang w:eastAsia="es-ES"/>
        </w:rPr>
      </w:pPr>
      <w:r w:rsidRPr="00507A3E">
        <w:rPr>
          <w:rFonts w:eastAsia="Times New Roman" w:cs="Tahoma"/>
          <w:bCs/>
          <w:iCs/>
          <w:color w:val="auto"/>
          <w:lang w:eastAsia="es-ES"/>
        </w:rPr>
        <w:t>Promover, fomentar y difundir la cultura de la transparencia en el ejercicio de la función pública, el acceso a la información y la participación ciudadana, así como, la rendición de cuentas.</w:t>
      </w:r>
    </w:p>
    <w:p w14:paraId="32ACB6C6" w14:textId="77777777" w:rsidR="00051642" w:rsidRPr="00507A3E" w:rsidRDefault="00051642" w:rsidP="008567E8">
      <w:pPr>
        <w:spacing w:after="0" w:line="360" w:lineRule="auto"/>
        <w:rPr>
          <w:rFonts w:eastAsia="Times New Roman" w:cs="Tahoma"/>
          <w:bCs/>
          <w:iCs/>
          <w:color w:val="auto"/>
          <w:lang w:eastAsia="es-ES"/>
        </w:rPr>
      </w:pPr>
    </w:p>
    <w:p w14:paraId="26ECA5DE" w14:textId="23E640A8" w:rsidR="00051642" w:rsidRPr="00507A3E" w:rsidRDefault="00051642" w:rsidP="008567E8">
      <w:pPr>
        <w:spacing w:after="0" w:line="360" w:lineRule="auto"/>
        <w:rPr>
          <w:rFonts w:eastAsia="Times New Roman" w:cs="Tahoma"/>
          <w:bCs/>
          <w:iCs/>
          <w:color w:val="auto"/>
          <w:lang w:eastAsia="es-ES"/>
        </w:rPr>
      </w:pPr>
      <w:r w:rsidRPr="00507A3E">
        <w:rPr>
          <w:rFonts w:eastAsia="Times New Roman" w:cs="Tahoma"/>
          <w:bCs/>
          <w:iCs/>
          <w:color w:val="auto"/>
          <w:lang w:eastAsia="es-ES"/>
        </w:rPr>
        <w:t xml:space="preserve">Conforme a lo anterior, se deprende que </w:t>
      </w:r>
      <w:r w:rsidRPr="00507A3E">
        <w:rPr>
          <w:rFonts w:eastAsia="Times New Roman" w:cs="Tahoma"/>
          <w:b/>
          <w:bCs/>
          <w:iCs/>
          <w:color w:val="auto"/>
          <w:lang w:eastAsia="es-ES"/>
        </w:rPr>
        <w:t>los objetivos de la Ley de la materia,</w:t>
      </w:r>
      <w:r w:rsidRPr="00507A3E">
        <w:rPr>
          <w:rFonts w:eastAsia="Times New Roman" w:cs="Tahoma"/>
          <w:bCs/>
          <w:iCs/>
          <w:color w:val="auto"/>
          <w:lang w:eastAsia="es-ES"/>
        </w:rPr>
        <w:t xml:space="preserve">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534B33B0" w14:textId="77777777" w:rsidR="00D7156D" w:rsidRPr="00507A3E" w:rsidRDefault="00D7156D" w:rsidP="008567E8">
      <w:pPr>
        <w:spacing w:after="0" w:line="360" w:lineRule="auto"/>
        <w:rPr>
          <w:rFonts w:eastAsia="Times New Roman" w:cs="Tahoma"/>
          <w:bCs/>
          <w:iCs/>
          <w:color w:val="auto"/>
          <w:lang w:eastAsia="es-ES"/>
        </w:rPr>
      </w:pPr>
    </w:p>
    <w:p w14:paraId="3338287D" w14:textId="77777777" w:rsidR="00051642" w:rsidRPr="00507A3E" w:rsidRDefault="00051642" w:rsidP="008567E8">
      <w:pPr>
        <w:widowControl w:val="0"/>
        <w:spacing w:after="0" w:line="360" w:lineRule="auto"/>
        <w:rPr>
          <w:rFonts w:eastAsia="Times New Roman" w:cs="Tahoma"/>
          <w:bCs/>
          <w:iCs/>
          <w:color w:val="auto"/>
          <w:lang w:eastAsia="es-ES"/>
        </w:rPr>
      </w:pPr>
      <w:r w:rsidRPr="00507A3E">
        <w:rPr>
          <w:rFonts w:eastAsia="Times New Roman" w:cs="Tahoma"/>
          <w:bCs/>
          <w:iCs/>
          <w:color w:val="auto"/>
          <w:lang w:eastAsia="es-ES"/>
        </w:rPr>
        <w:t xml:space="preserve">En ese orden de ideas, para la atención de las solicitudes de acceso a la información, debe privilegiarse el </w:t>
      </w:r>
      <w:r w:rsidRPr="00507A3E">
        <w:rPr>
          <w:rFonts w:eastAsia="Times New Roman" w:cs="Tahoma"/>
          <w:b/>
          <w:bCs/>
          <w:iCs/>
          <w:color w:val="auto"/>
          <w:lang w:eastAsia="es-ES"/>
        </w:rPr>
        <w:t>principio de máxima publicidad</w:t>
      </w:r>
      <w:r w:rsidRPr="00507A3E">
        <w:rPr>
          <w:rFonts w:eastAsia="Times New Roman" w:cs="Tahoma"/>
          <w:bCs/>
          <w:iCs/>
          <w:color w:val="auto"/>
          <w:lang w:eastAsia="es-E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2A21D3DD" w14:textId="509636DC" w:rsidR="00051642" w:rsidRPr="00507A3E" w:rsidRDefault="00051642" w:rsidP="008567E8">
      <w:pPr>
        <w:spacing w:after="0" w:line="360" w:lineRule="auto"/>
        <w:rPr>
          <w:rFonts w:eastAsia="Times New Roman" w:cs="Tahoma"/>
          <w:bCs/>
          <w:iCs/>
          <w:color w:val="auto"/>
          <w:lang w:eastAsia="es-ES"/>
        </w:rPr>
      </w:pPr>
    </w:p>
    <w:p w14:paraId="6EC98FC3" w14:textId="42795330" w:rsidR="00051642" w:rsidRPr="00507A3E" w:rsidRDefault="00051642" w:rsidP="008567E8">
      <w:pPr>
        <w:spacing w:after="0" w:line="360" w:lineRule="auto"/>
        <w:rPr>
          <w:rFonts w:eastAsia="Times New Roman" w:cs="Tahoma"/>
          <w:bCs/>
          <w:iCs/>
          <w:color w:val="auto"/>
          <w:lang w:eastAsia="es-ES"/>
        </w:rPr>
      </w:pPr>
      <w:r w:rsidRPr="00507A3E">
        <w:rPr>
          <w:rFonts w:eastAsia="Times New Roman" w:cs="Tahoma"/>
          <w:bCs/>
          <w:iCs/>
          <w:color w:val="auto"/>
          <w:lang w:eastAsia="es-ES"/>
        </w:rPr>
        <w:lastRenderedPageBreak/>
        <w:t xml:space="preserve">Para lograr lo anterior, los Sujetos Obligados deben seguir el procedimiento para la atención a las solicitudes de acceso a la información, establecido en los artículos 151, </w:t>
      </w:r>
      <w:r w:rsidR="00357735" w:rsidRPr="00507A3E">
        <w:rPr>
          <w:rFonts w:eastAsia="Times New Roman" w:cs="Tahoma"/>
          <w:bCs/>
          <w:iCs/>
          <w:color w:val="auto"/>
          <w:lang w:eastAsia="es-ES"/>
        </w:rPr>
        <w:t xml:space="preserve">159, </w:t>
      </w:r>
      <w:r w:rsidRPr="00507A3E">
        <w:rPr>
          <w:rFonts w:eastAsia="Times New Roman" w:cs="Tahoma"/>
          <w:bCs/>
          <w:iCs/>
          <w:color w:val="auto"/>
          <w:lang w:eastAsia="es-ES"/>
        </w:rPr>
        <w:t>160, 162, 163, 164, 165 y 166, de la Ley de Transparencia y Acceso a la Información Pública del Estado de México y Municipios, el cual es el siguiente:</w:t>
      </w:r>
    </w:p>
    <w:p w14:paraId="459D1ACF" w14:textId="77777777" w:rsidR="00051642" w:rsidRPr="00507A3E" w:rsidRDefault="00051642" w:rsidP="008567E8">
      <w:pPr>
        <w:spacing w:after="0" w:line="360" w:lineRule="auto"/>
        <w:rPr>
          <w:rFonts w:eastAsia="Times New Roman" w:cs="Tahoma"/>
          <w:bCs/>
          <w:iCs/>
          <w:color w:val="auto"/>
          <w:lang w:eastAsia="es-ES"/>
        </w:rPr>
      </w:pPr>
    </w:p>
    <w:p w14:paraId="371A517D" w14:textId="2140A98B" w:rsidR="00051642" w:rsidRPr="00507A3E" w:rsidRDefault="00051642" w:rsidP="008567E8">
      <w:pPr>
        <w:numPr>
          <w:ilvl w:val="0"/>
          <w:numId w:val="2"/>
        </w:numPr>
        <w:spacing w:after="0" w:line="360" w:lineRule="auto"/>
        <w:rPr>
          <w:rFonts w:eastAsia="Times New Roman" w:cs="Tahoma"/>
          <w:bCs/>
          <w:iCs/>
          <w:color w:val="auto"/>
          <w:lang w:eastAsia="es-ES"/>
        </w:rPr>
      </w:pPr>
      <w:r w:rsidRPr="00507A3E">
        <w:rPr>
          <w:rFonts w:eastAsia="Times New Roman" w:cs="Tahoma"/>
          <w:bCs/>
          <w:iCs/>
          <w:color w:val="auto"/>
          <w:lang w:eastAsia="es-ES"/>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48B50DB7" w14:textId="77777777" w:rsidR="002302CE" w:rsidRPr="00507A3E" w:rsidRDefault="002302CE" w:rsidP="008567E8">
      <w:pPr>
        <w:spacing w:after="0" w:line="360" w:lineRule="auto"/>
        <w:ind w:left="720"/>
        <w:rPr>
          <w:rFonts w:eastAsia="Times New Roman" w:cs="Tahoma"/>
          <w:bCs/>
          <w:iCs/>
          <w:color w:val="auto"/>
          <w:lang w:eastAsia="es-ES"/>
        </w:rPr>
      </w:pPr>
    </w:p>
    <w:p w14:paraId="0C358246" w14:textId="54E49355" w:rsidR="00382A3B" w:rsidRPr="00507A3E" w:rsidRDefault="00357735" w:rsidP="00D2444D">
      <w:pPr>
        <w:numPr>
          <w:ilvl w:val="0"/>
          <w:numId w:val="2"/>
        </w:numPr>
        <w:spacing w:after="0" w:line="360" w:lineRule="auto"/>
        <w:rPr>
          <w:rFonts w:eastAsia="Times New Roman" w:cs="Tahoma"/>
          <w:bCs/>
          <w:iCs/>
          <w:color w:val="auto"/>
          <w:lang w:eastAsia="es-ES"/>
        </w:rPr>
      </w:pPr>
      <w:r w:rsidRPr="00507A3E">
        <w:rPr>
          <w:rFonts w:eastAsia="Times New Roman" w:cs="Tahoma"/>
          <w:bCs/>
          <w:iCs/>
          <w:color w:val="auto"/>
          <w:lang w:eastAsia="es-ES"/>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7A03A914" w14:textId="77777777" w:rsidR="00382A3B" w:rsidRPr="00507A3E" w:rsidRDefault="00382A3B" w:rsidP="008567E8">
      <w:pPr>
        <w:pStyle w:val="Prrafodelista"/>
        <w:spacing w:after="0" w:line="360" w:lineRule="auto"/>
        <w:rPr>
          <w:rFonts w:eastAsia="Times New Roman" w:cs="Tahoma"/>
          <w:bCs/>
          <w:iCs/>
          <w:color w:val="auto"/>
          <w:lang w:eastAsia="es-ES"/>
        </w:rPr>
      </w:pPr>
    </w:p>
    <w:p w14:paraId="456F0B12" w14:textId="77777777" w:rsidR="00051642" w:rsidRPr="00507A3E" w:rsidRDefault="00051642" w:rsidP="008567E8">
      <w:pPr>
        <w:numPr>
          <w:ilvl w:val="0"/>
          <w:numId w:val="2"/>
        </w:numPr>
        <w:spacing w:after="0" w:line="360" w:lineRule="auto"/>
        <w:rPr>
          <w:rFonts w:eastAsia="Times New Roman" w:cs="Tahoma"/>
          <w:bCs/>
          <w:iCs/>
          <w:color w:val="auto"/>
          <w:lang w:eastAsia="es-ES"/>
        </w:rPr>
      </w:pPr>
      <w:r w:rsidRPr="00507A3E">
        <w:rPr>
          <w:rFonts w:eastAsia="Times New Roman" w:cs="Tahoma"/>
          <w:bCs/>
          <w:iCs/>
          <w:color w:val="auto"/>
          <w:lang w:eastAsia="es-ES"/>
        </w:rPr>
        <w:t xml:space="preserve">Las respuestas a los requerimientos informativos deberán notificarse al interesado en el menor tiempo posible, que no podrá exceder </w:t>
      </w:r>
      <w:r w:rsidRPr="00507A3E">
        <w:rPr>
          <w:rFonts w:eastAsia="Times New Roman" w:cs="Tahoma"/>
          <w:b/>
          <w:bCs/>
          <w:iCs/>
          <w:color w:val="auto"/>
          <w:lang w:eastAsia="es-ES"/>
        </w:rPr>
        <w:t>quince días, contados a partir del día siguiente a la presentación de ésta.</w:t>
      </w:r>
      <w:r w:rsidRPr="00507A3E">
        <w:rPr>
          <w:rFonts w:eastAsia="Times New Roman" w:cs="Tahoma"/>
          <w:bCs/>
          <w:iCs/>
          <w:color w:val="auto"/>
          <w:lang w:eastAsia="es-ES"/>
        </w:rPr>
        <w:t xml:space="preserve"> Excepcionalmente, el plazo referido podrá ampliarse por siete días hábiles más, cuando existan razones fundadas y motivadas, a través del Comité de Transparencia;</w:t>
      </w:r>
    </w:p>
    <w:p w14:paraId="50088203" w14:textId="77777777" w:rsidR="00051642" w:rsidRPr="00507A3E" w:rsidRDefault="00051642" w:rsidP="008567E8">
      <w:pPr>
        <w:spacing w:after="0" w:line="360" w:lineRule="auto"/>
        <w:rPr>
          <w:rFonts w:eastAsia="Times New Roman" w:cs="Tahoma"/>
          <w:bCs/>
          <w:iCs/>
          <w:color w:val="auto"/>
          <w:lang w:eastAsia="es-ES"/>
        </w:rPr>
      </w:pPr>
    </w:p>
    <w:p w14:paraId="71708A13" w14:textId="0B91993D" w:rsidR="00051642" w:rsidRPr="00507A3E" w:rsidRDefault="00051642" w:rsidP="008567E8">
      <w:pPr>
        <w:numPr>
          <w:ilvl w:val="0"/>
          <w:numId w:val="2"/>
        </w:numPr>
        <w:spacing w:after="0" w:line="360" w:lineRule="auto"/>
        <w:rPr>
          <w:rFonts w:eastAsia="Times New Roman" w:cs="Tahoma"/>
          <w:b/>
          <w:bCs/>
          <w:iCs/>
          <w:color w:val="auto"/>
          <w:lang w:eastAsia="es-ES"/>
        </w:rPr>
      </w:pPr>
      <w:r w:rsidRPr="00507A3E">
        <w:rPr>
          <w:rFonts w:eastAsia="Times New Roman" w:cs="Tahoma"/>
          <w:bCs/>
          <w:iCs/>
          <w:color w:val="auto"/>
          <w:lang w:eastAsia="es-ES"/>
        </w:rPr>
        <w:t xml:space="preserve">Las Unidades de Transparencia garantizarán que las solicitudes se turnen a todas las áreas competentes que cuenten con la información o deban tenerla de acuerdo a sus facultades, funciones y atribuciones, para que realicen una búsqueda exhaustiva y </w:t>
      </w:r>
      <w:r w:rsidRPr="00507A3E">
        <w:rPr>
          <w:rFonts w:eastAsia="Times New Roman" w:cs="Tahoma"/>
          <w:bCs/>
          <w:iCs/>
          <w:color w:val="auto"/>
          <w:lang w:eastAsia="es-ES"/>
        </w:rPr>
        <w:lastRenderedPageBreak/>
        <w:t xml:space="preserve">razonable de la documentación solicitada, con el fin de que proporcionen las expresiones documentales </w:t>
      </w:r>
      <w:r w:rsidRPr="00507A3E">
        <w:rPr>
          <w:rFonts w:eastAsia="Times New Roman" w:cs="Tahoma"/>
          <w:b/>
          <w:bCs/>
          <w:iCs/>
          <w:color w:val="auto"/>
          <w:lang w:eastAsia="es-ES"/>
        </w:rPr>
        <w:t>que se encuentren en sus archivos o que estén constreñidos a elaborar;</w:t>
      </w:r>
    </w:p>
    <w:p w14:paraId="69D1800F" w14:textId="77777777" w:rsidR="002302CE" w:rsidRPr="00507A3E" w:rsidRDefault="002302CE" w:rsidP="008567E8">
      <w:pPr>
        <w:pStyle w:val="Prrafodelista"/>
        <w:spacing w:after="0" w:line="360" w:lineRule="auto"/>
        <w:rPr>
          <w:rFonts w:eastAsia="Times New Roman" w:cs="Tahoma"/>
          <w:b/>
          <w:bCs/>
          <w:iCs/>
          <w:color w:val="auto"/>
          <w:lang w:eastAsia="es-ES"/>
        </w:rPr>
      </w:pPr>
    </w:p>
    <w:p w14:paraId="63EB9326" w14:textId="252AA461" w:rsidR="00051642" w:rsidRPr="00507A3E" w:rsidRDefault="00051642" w:rsidP="008567E8">
      <w:pPr>
        <w:numPr>
          <w:ilvl w:val="0"/>
          <w:numId w:val="2"/>
        </w:numPr>
        <w:spacing w:after="0" w:line="360" w:lineRule="auto"/>
        <w:rPr>
          <w:rFonts w:eastAsia="Times New Roman" w:cs="Tahoma"/>
          <w:b/>
          <w:bCs/>
          <w:iCs/>
          <w:color w:val="auto"/>
          <w:lang w:eastAsia="es-ES"/>
        </w:rPr>
      </w:pPr>
      <w:r w:rsidRPr="00507A3E">
        <w:rPr>
          <w:rFonts w:eastAsia="Times New Roman" w:cs="Tahoma"/>
          <w:bCs/>
          <w:iCs/>
          <w:color w:val="auto"/>
          <w:lang w:eastAsia="es-ES"/>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085DC1CC" w14:textId="77777777" w:rsidR="002302CE" w:rsidRPr="00507A3E" w:rsidRDefault="002302CE" w:rsidP="008567E8">
      <w:pPr>
        <w:pStyle w:val="Prrafodelista"/>
        <w:spacing w:after="0" w:line="360" w:lineRule="auto"/>
        <w:rPr>
          <w:rFonts w:eastAsia="Times New Roman" w:cs="Tahoma"/>
          <w:b/>
          <w:bCs/>
          <w:iCs/>
          <w:color w:val="auto"/>
          <w:lang w:eastAsia="es-ES"/>
        </w:rPr>
      </w:pPr>
    </w:p>
    <w:p w14:paraId="65567965" w14:textId="643BBEB1" w:rsidR="00382A3B" w:rsidRPr="00507A3E" w:rsidRDefault="00051642" w:rsidP="000A34AE">
      <w:pPr>
        <w:numPr>
          <w:ilvl w:val="0"/>
          <w:numId w:val="2"/>
        </w:numPr>
        <w:spacing w:after="0" w:line="360" w:lineRule="auto"/>
        <w:rPr>
          <w:rFonts w:eastAsia="Times New Roman" w:cs="Tahoma"/>
          <w:b/>
          <w:bCs/>
          <w:iCs/>
          <w:color w:val="auto"/>
          <w:lang w:eastAsia="es-ES"/>
        </w:rPr>
      </w:pPr>
      <w:r w:rsidRPr="00507A3E">
        <w:rPr>
          <w:rFonts w:eastAsia="Times New Roman" w:cs="Tahoma"/>
          <w:bCs/>
          <w:iCs/>
          <w:color w:val="auto"/>
          <w:lang w:eastAsia="es-ES"/>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4BCDF5FE" w14:textId="77777777" w:rsidR="00382A3B" w:rsidRPr="00507A3E" w:rsidRDefault="00382A3B" w:rsidP="000A34AE">
      <w:pPr>
        <w:spacing w:after="0" w:line="360" w:lineRule="auto"/>
        <w:rPr>
          <w:rFonts w:eastAsia="Times New Roman" w:cs="Tahoma"/>
          <w:b/>
          <w:bCs/>
          <w:iCs/>
          <w:color w:val="auto"/>
          <w:lang w:eastAsia="es-ES"/>
        </w:rPr>
      </w:pPr>
    </w:p>
    <w:p w14:paraId="043AD233" w14:textId="1384AEB2" w:rsidR="00151FB1" w:rsidRPr="00507A3E" w:rsidRDefault="00151FB1" w:rsidP="00151FB1">
      <w:pPr>
        <w:spacing w:after="0" w:line="360" w:lineRule="auto"/>
        <w:contextualSpacing/>
        <w:rPr>
          <w:rFonts w:eastAsia="Calibri" w:cs="Tahoma"/>
        </w:rPr>
      </w:pPr>
      <w:r w:rsidRPr="00507A3E">
        <w:rPr>
          <w:rFonts w:eastAsia="Calibri" w:cs="Tahoma"/>
        </w:rPr>
        <w:t xml:space="preserve">Una vez establecido lo anterior, es de indicar que el agravio del Particular consistió en que, a la fecha de interposición del Recurso de Revisión, </w:t>
      </w:r>
      <w:r w:rsidRPr="00507A3E">
        <w:rPr>
          <w:rFonts w:eastAsia="Calibri" w:cs="Tahoma"/>
          <w:bCs/>
        </w:rPr>
        <w:t xml:space="preserve">el </w:t>
      </w:r>
      <w:r w:rsidRPr="00507A3E">
        <w:rPr>
          <w:bCs/>
          <w:color w:val="000000"/>
        </w:rPr>
        <w:t>Ayuntamiento de Zinacantepec</w:t>
      </w:r>
      <w:r w:rsidRPr="00507A3E">
        <w:rPr>
          <w:rFonts w:eastAsia="Calibri" w:cs="Tahoma"/>
          <w:bCs/>
        </w:rPr>
        <w:t>, no había registrado respuesta al requerimiento</w:t>
      </w:r>
      <w:r w:rsidRPr="00507A3E">
        <w:rPr>
          <w:rFonts w:eastAsia="Calibri" w:cs="Tahoma"/>
        </w:rPr>
        <w:t xml:space="preserve"> de acceso a la información, el cual se presentó, el </w:t>
      </w:r>
      <w:r w:rsidR="00D7156D" w:rsidRPr="00507A3E">
        <w:rPr>
          <w:rFonts w:eastAsia="Calibri" w:cs="Tahoma"/>
        </w:rPr>
        <w:t>treinta y uno</w:t>
      </w:r>
      <w:r w:rsidRPr="00507A3E">
        <w:rPr>
          <w:rFonts w:eastAsia="Calibri" w:cs="Tahoma"/>
        </w:rPr>
        <w:t xml:space="preserve"> de </w:t>
      </w:r>
      <w:r w:rsidR="00D7156D" w:rsidRPr="00507A3E">
        <w:rPr>
          <w:rFonts w:eastAsia="Calibri" w:cs="Tahoma"/>
        </w:rPr>
        <w:t>octubr</w:t>
      </w:r>
      <w:r w:rsidRPr="00507A3E">
        <w:rPr>
          <w:rFonts w:eastAsia="Calibri" w:cs="Tahoma"/>
        </w:rPr>
        <w:t>e de dos mil veintidós.</w:t>
      </w:r>
    </w:p>
    <w:p w14:paraId="26676D68" w14:textId="77777777" w:rsidR="00D7156D" w:rsidRPr="00507A3E" w:rsidRDefault="00D7156D" w:rsidP="00151FB1">
      <w:pPr>
        <w:spacing w:after="0" w:line="360" w:lineRule="auto"/>
        <w:contextualSpacing/>
        <w:rPr>
          <w:rFonts w:eastAsia="Calibri" w:cs="Tahoma"/>
        </w:rPr>
      </w:pPr>
    </w:p>
    <w:p w14:paraId="657A3DDC" w14:textId="32E7E437" w:rsidR="00151FB1" w:rsidRPr="00507A3E" w:rsidRDefault="00151FB1" w:rsidP="00151FB1">
      <w:pPr>
        <w:spacing w:after="0" w:line="360" w:lineRule="auto"/>
        <w:contextualSpacing/>
        <w:rPr>
          <w:rFonts w:eastAsia="Calibri" w:cs="Tahoma"/>
          <w:lang w:val="es-ES"/>
        </w:rPr>
      </w:pPr>
      <w:r w:rsidRPr="00507A3E">
        <w:rPr>
          <w:rFonts w:eastAsia="Calibri" w:cs="Tahoma"/>
          <w:lang w:val="es-ES"/>
        </w:rPr>
        <w:t xml:space="preserve">Además, que se requirió una aclaración a la solicitud, en términos del artículo 159 de la Ley de Transparencia y Acceso a la Información Pública del Estado de México y Municipios, el </w:t>
      </w:r>
      <w:r w:rsidR="00D7156D" w:rsidRPr="00507A3E">
        <w:rPr>
          <w:rFonts w:eastAsia="Calibri" w:cs="Tahoma"/>
          <w:lang w:val="es-ES"/>
        </w:rPr>
        <w:t>ocho</w:t>
      </w:r>
      <w:r w:rsidRPr="00507A3E">
        <w:rPr>
          <w:rFonts w:eastAsia="Calibri" w:cs="Tahoma"/>
          <w:lang w:val="es-ES"/>
        </w:rPr>
        <w:t xml:space="preserve"> de </w:t>
      </w:r>
      <w:r w:rsidR="00D7156D" w:rsidRPr="00507A3E">
        <w:rPr>
          <w:rFonts w:eastAsia="Calibri" w:cs="Tahoma"/>
          <w:lang w:val="es-ES"/>
        </w:rPr>
        <w:t>nov</w:t>
      </w:r>
      <w:r w:rsidRPr="00507A3E">
        <w:rPr>
          <w:rFonts w:eastAsia="Calibri" w:cs="Tahoma"/>
          <w:lang w:val="es-ES"/>
        </w:rPr>
        <w:t xml:space="preserve">iembre de dos mil veintidós; mismo que desahogó el Particular, el </w:t>
      </w:r>
      <w:r w:rsidR="00D7156D" w:rsidRPr="00507A3E">
        <w:rPr>
          <w:rFonts w:eastAsia="Calibri" w:cs="Tahoma"/>
          <w:lang w:val="es-ES"/>
        </w:rPr>
        <w:t>diez</w:t>
      </w:r>
      <w:r w:rsidRPr="00507A3E">
        <w:rPr>
          <w:rFonts w:eastAsia="Calibri" w:cs="Tahoma"/>
          <w:lang w:val="es-ES"/>
        </w:rPr>
        <w:t xml:space="preserve"> de dicho mes y año.</w:t>
      </w:r>
    </w:p>
    <w:p w14:paraId="1DA4039B" w14:textId="77777777" w:rsidR="00151FB1" w:rsidRPr="00507A3E" w:rsidRDefault="00151FB1" w:rsidP="00151FB1">
      <w:pPr>
        <w:spacing w:after="0" w:line="360" w:lineRule="auto"/>
        <w:contextualSpacing/>
        <w:rPr>
          <w:rFonts w:eastAsia="Calibri" w:cs="Tahoma"/>
          <w:lang w:val="es-ES"/>
        </w:rPr>
      </w:pPr>
    </w:p>
    <w:p w14:paraId="382B0D41" w14:textId="3981E3F5" w:rsidR="00151FB1" w:rsidRPr="00507A3E" w:rsidRDefault="00151FB1" w:rsidP="00151FB1">
      <w:pPr>
        <w:spacing w:after="0" w:line="360" w:lineRule="auto"/>
        <w:contextualSpacing/>
        <w:rPr>
          <w:rFonts w:eastAsia="Calibri" w:cs="Tahoma"/>
          <w:b/>
          <w:bCs/>
          <w:color w:val="000000"/>
        </w:rPr>
      </w:pPr>
      <w:r w:rsidRPr="00507A3E">
        <w:rPr>
          <w:rFonts w:eastAsia="Calibri" w:cs="Tahoma"/>
          <w:bCs/>
          <w:color w:val="000000"/>
        </w:rPr>
        <w:lastRenderedPageBreak/>
        <w:t xml:space="preserve">En ese orden de ideas, el plazo con el que contaba el Sujeto Obligado para emitir contestación al requerimiento informativo, </w:t>
      </w:r>
      <w:r w:rsidRPr="00507A3E">
        <w:rPr>
          <w:rFonts w:eastAsia="Calibri" w:cs="Tahoma"/>
          <w:b/>
          <w:bCs/>
          <w:color w:val="000000"/>
        </w:rPr>
        <w:t xml:space="preserve">comenzó a correr el </w:t>
      </w:r>
      <w:r w:rsidR="00D7156D" w:rsidRPr="00507A3E">
        <w:rPr>
          <w:rFonts w:eastAsia="Calibri" w:cs="Tahoma"/>
          <w:b/>
          <w:bCs/>
          <w:color w:val="000000"/>
        </w:rPr>
        <w:t xml:space="preserve">primero </w:t>
      </w:r>
      <w:r w:rsidRPr="00507A3E">
        <w:rPr>
          <w:rFonts w:eastAsia="Calibri" w:cs="Tahoma"/>
          <w:b/>
          <w:bCs/>
          <w:color w:val="000000"/>
        </w:rPr>
        <w:t xml:space="preserve">y feneció el </w:t>
      </w:r>
      <w:r w:rsidR="00571AE0" w:rsidRPr="00507A3E">
        <w:rPr>
          <w:rFonts w:eastAsia="Calibri" w:cs="Tahoma"/>
          <w:b/>
          <w:bCs/>
          <w:color w:val="000000"/>
        </w:rPr>
        <w:t>veinticinco,</w:t>
      </w:r>
      <w:r w:rsidRPr="00507A3E">
        <w:rPr>
          <w:rFonts w:eastAsia="Calibri" w:cs="Tahoma"/>
          <w:b/>
          <w:bCs/>
          <w:color w:val="000000"/>
        </w:rPr>
        <w:t xml:space="preserve"> </w:t>
      </w:r>
      <w:r w:rsidR="00D7156D" w:rsidRPr="00507A3E">
        <w:rPr>
          <w:rFonts w:eastAsia="Calibri" w:cs="Tahoma"/>
          <w:b/>
          <w:bCs/>
          <w:color w:val="000000"/>
        </w:rPr>
        <w:t>ambos</w:t>
      </w:r>
      <w:r w:rsidR="00571AE0" w:rsidRPr="00507A3E">
        <w:rPr>
          <w:rFonts w:eastAsia="Calibri" w:cs="Tahoma"/>
          <w:b/>
          <w:bCs/>
          <w:color w:val="000000"/>
        </w:rPr>
        <w:t xml:space="preserve"> de noviembre</w:t>
      </w:r>
      <w:r w:rsidR="00D7156D" w:rsidRPr="00507A3E">
        <w:rPr>
          <w:rFonts w:eastAsia="Calibri" w:cs="Tahoma"/>
          <w:b/>
          <w:bCs/>
          <w:color w:val="000000"/>
        </w:rPr>
        <w:t xml:space="preserve"> </w:t>
      </w:r>
      <w:r w:rsidRPr="00507A3E">
        <w:rPr>
          <w:rFonts w:eastAsia="Calibri" w:cs="Tahoma"/>
          <w:b/>
          <w:bCs/>
          <w:color w:val="000000"/>
        </w:rPr>
        <w:t>de dos mil veinti</w:t>
      </w:r>
      <w:r w:rsidR="00D7156D" w:rsidRPr="00507A3E">
        <w:rPr>
          <w:rFonts w:eastAsia="Calibri" w:cs="Tahoma"/>
          <w:b/>
          <w:bCs/>
          <w:color w:val="000000"/>
        </w:rPr>
        <w:t>dós</w:t>
      </w:r>
      <w:r w:rsidRPr="00507A3E">
        <w:rPr>
          <w:rFonts w:eastAsia="Calibri" w:cs="Tahoma"/>
          <w:color w:val="000000"/>
        </w:rPr>
        <w:t xml:space="preserve">; lo anterior, sin contar los días, </w:t>
      </w:r>
      <w:r w:rsidR="00D7156D" w:rsidRPr="00507A3E">
        <w:rPr>
          <w:rFonts w:eastAsia="Calibri" w:cs="Tahoma"/>
          <w:color w:val="000000"/>
        </w:rPr>
        <w:t>dos</w:t>
      </w:r>
      <w:r w:rsidR="00465F58" w:rsidRPr="00507A3E">
        <w:rPr>
          <w:rFonts w:eastAsia="Calibri" w:cs="Tahoma"/>
          <w:color w:val="000000"/>
        </w:rPr>
        <w:t xml:space="preserve">, </w:t>
      </w:r>
      <w:r w:rsidR="00D7156D" w:rsidRPr="00507A3E">
        <w:rPr>
          <w:rFonts w:eastAsia="Calibri" w:cs="Tahoma"/>
          <w:color w:val="000000"/>
        </w:rPr>
        <w:t xml:space="preserve">cinco, seis, </w:t>
      </w:r>
      <w:r w:rsidR="00465F58" w:rsidRPr="00507A3E">
        <w:rPr>
          <w:rFonts w:eastAsia="Calibri" w:cs="Tahoma"/>
          <w:color w:val="000000"/>
        </w:rPr>
        <w:t xml:space="preserve"> </w:t>
      </w:r>
      <w:r w:rsidR="00571AE0" w:rsidRPr="00507A3E">
        <w:rPr>
          <w:rFonts w:eastAsia="Calibri" w:cs="Tahoma"/>
          <w:color w:val="000000"/>
        </w:rPr>
        <w:t xml:space="preserve">nueve, diez, </w:t>
      </w:r>
      <w:r w:rsidR="00D7156D" w:rsidRPr="00507A3E">
        <w:rPr>
          <w:rFonts w:eastAsia="Calibri" w:cs="Tahoma"/>
          <w:color w:val="000000"/>
        </w:rPr>
        <w:t>doce, trece, diecinueve, ve</w:t>
      </w:r>
      <w:r w:rsidR="00571AE0" w:rsidRPr="00507A3E">
        <w:rPr>
          <w:rFonts w:eastAsia="Calibri" w:cs="Tahoma"/>
          <w:color w:val="000000"/>
        </w:rPr>
        <w:t>i</w:t>
      </w:r>
      <w:r w:rsidR="00D7156D" w:rsidRPr="00507A3E">
        <w:rPr>
          <w:rFonts w:eastAsia="Calibri" w:cs="Tahoma"/>
          <w:color w:val="000000"/>
        </w:rPr>
        <w:t xml:space="preserve">nte y veintiuno </w:t>
      </w:r>
      <w:r w:rsidR="00465F58" w:rsidRPr="00507A3E">
        <w:rPr>
          <w:rFonts w:eastAsia="Calibri" w:cs="Tahoma"/>
          <w:color w:val="000000"/>
        </w:rPr>
        <w:t xml:space="preserve">de </w:t>
      </w:r>
      <w:r w:rsidR="00D7156D" w:rsidRPr="00507A3E">
        <w:rPr>
          <w:rFonts w:eastAsia="Calibri" w:cs="Tahoma"/>
          <w:color w:val="000000"/>
        </w:rPr>
        <w:t>noviembr</w:t>
      </w:r>
      <w:r w:rsidR="00465F58" w:rsidRPr="00507A3E">
        <w:rPr>
          <w:rFonts w:eastAsia="Calibri" w:cs="Tahoma"/>
          <w:color w:val="000000"/>
        </w:rPr>
        <w:t>e de dos mil veintidós,</w:t>
      </w:r>
      <w:r w:rsidR="00D7156D" w:rsidRPr="00507A3E">
        <w:rPr>
          <w:rFonts w:eastAsia="Calibri" w:cs="Tahoma"/>
          <w:color w:val="000000"/>
        </w:rPr>
        <w:t xml:space="preserve"> </w:t>
      </w:r>
      <w:r w:rsidRPr="00507A3E">
        <w:rPr>
          <w:rFonts w:eastAsia="Calibri" w:cs="Tahoma"/>
          <w:color w:val="000000"/>
        </w:rPr>
        <w:t xml:space="preserve">al ser inhábiles, </w:t>
      </w:r>
      <w:r w:rsidRPr="00507A3E">
        <w:rPr>
          <w:rFonts w:eastAsia="Batang" w:cs="Tahoma"/>
          <w:bCs/>
        </w:rPr>
        <w:t xml:space="preserve">de conformidad con los artículos 3°, fracción X, y 159 de la Ley de Transparencia y Acceso a la Información Pública del Estado de México y Municipios y </w:t>
      </w:r>
      <w:bookmarkStart w:id="3" w:name="_Hlk65786947"/>
      <w:r w:rsidRPr="00507A3E">
        <w:rPr>
          <w:rFonts w:eastAsia="Batang" w:cs="Tahoma"/>
          <w:bCs/>
        </w:rPr>
        <w:t xml:space="preserve">el </w:t>
      </w:r>
      <w:r w:rsidRPr="00507A3E">
        <w:rPr>
          <w:rFonts w:eastAsia="Batang" w:cs="Tahoma"/>
          <w:lang w:val="es-ES"/>
        </w:rPr>
        <w:t xml:space="preserve">Calendario Oficial en Materia de Transparencia, Acceso a la Información Pública y Protección de Datos Personales del Estado de México y Municipios, así como de laborales de este Instituto, para el año dos mil veintidós y enero dos </w:t>
      </w:r>
      <w:bookmarkEnd w:id="3"/>
      <w:r w:rsidRPr="00507A3E">
        <w:rPr>
          <w:rFonts w:eastAsia="Batang" w:cs="Tahoma"/>
          <w:lang w:val="es-ES"/>
        </w:rPr>
        <w:t>mil veintitrés.</w:t>
      </w:r>
    </w:p>
    <w:p w14:paraId="21432234" w14:textId="77777777" w:rsidR="009C40E0" w:rsidRPr="00507A3E" w:rsidRDefault="009C40E0" w:rsidP="008567E8">
      <w:pPr>
        <w:spacing w:after="0" w:line="360" w:lineRule="auto"/>
        <w:rPr>
          <w:rFonts w:eastAsia="Calibri" w:cs="Tahoma"/>
          <w:color w:val="000000"/>
        </w:rPr>
      </w:pPr>
    </w:p>
    <w:p w14:paraId="174E5E3A" w14:textId="7F84E0DB" w:rsidR="005523E9" w:rsidRPr="00507A3E" w:rsidRDefault="00051642" w:rsidP="00D7156D">
      <w:pPr>
        <w:spacing w:after="0" w:line="360" w:lineRule="auto"/>
        <w:rPr>
          <w:rFonts w:eastAsia="Calibri" w:cs="Tahoma"/>
          <w:color w:val="000000"/>
          <w:lang w:val="es-ES"/>
        </w:rPr>
      </w:pPr>
      <w:r w:rsidRPr="00507A3E">
        <w:rPr>
          <w:rFonts w:eastAsia="Calibri" w:cs="Tahoma"/>
          <w:bCs/>
          <w:color w:val="000000"/>
        </w:rPr>
        <w:t xml:space="preserve">Así, este Instituto verificó que, en efecto, no se registró respuesta a la solicitud de información del ahora Recurrente, en el </w:t>
      </w:r>
      <w:r w:rsidRPr="00507A3E">
        <w:rPr>
          <w:rFonts w:eastAsia="Calibri" w:cs="Tahoma"/>
          <w:color w:val="000000"/>
          <w:lang w:val="es-ES"/>
        </w:rPr>
        <w:t>Sistema de Acceso a la Información Mexiquense (SAIMEX), tal como se observa a continuación:</w:t>
      </w:r>
    </w:p>
    <w:p w14:paraId="27B3356F" w14:textId="77777777" w:rsidR="00D7156D" w:rsidRPr="00507A3E" w:rsidRDefault="00D7156D" w:rsidP="00D7156D">
      <w:pPr>
        <w:spacing w:after="0" w:line="360" w:lineRule="auto"/>
        <w:rPr>
          <w:rFonts w:eastAsia="Calibri" w:cs="Tahoma"/>
          <w:color w:val="000000"/>
          <w:lang w:val="es-ES"/>
        </w:rPr>
      </w:pPr>
    </w:p>
    <w:p w14:paraId="071A228A" w14:textId="0D432A22" w:rsidR="00D7156D" w:rsidRPr="00507A3E" w:rsidRDefault="00D7156D" w:rsidP="008567E8">
      <w:pPr>
        <w:autoSpaceDE w:val="0"/>
        <w:autoSpaceDN w:val="0"/>
        <w:adjustRightInd w:val="0"/>
        <w:spacing w:after="0" w:line="360" w:lineRule="auto"/>
        <w:jc w:val="center"/>
        <w:rPr>
          <w:noProof/>
        </w:rPr>
      </w:pPr>
      <w:r w:rsidRPr="00507A3E">
        <w:rPr>
          <w:noProof/>
          <w:lang w:eastAsia="es-MX"/>
        </w:rPr>
        <w:drawing>
          <wp:inline distT="0" distB="0" distL="0" distR="0" wp14:anchorId="121582E8" wp14:editId="6F122124">
            <wp:extent cx="2514600" cy="189439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3220" cy="1900893"/>
                    </a:xfrm>
                    <a:prstGeom prst="rect">
                      <a:avLst/>
                    </a:prstGeom>
                    <a:noFill/>
                  </pic:spPr>
                </pic:pic>
              </a:graphicData>
            </a:graphic>
          </wp:inline>
        </w:drawing>
      </w:r>
    </w:p>
    <w:p w14:paraId="0D209F26" w14:textId="45184E00" w:rsidR="00D7156D" w:rsidRPr="00507A3E" w:rsidRDefault="00D7156D" w:rsidP="008567E8">
      <w:pPr>
        <w:autoSpaceDE w:val="0"/>
        <w:autoSpaceDN w:val="0"/>
        <w:adjustRightInd w:val="0"/>
        <w:spacing w:after="0" w:line="360" w:lineRule="auto"/>
        <w:jc w:val="center"/>
        <w:rPr>
          <w:rFonts w:eastAsia="Times New Roman" w:cs="Tahoma"/>
          <w:bCs/>
          <w:iCs/>
          <w:color w:val="auto"/>
          <w:lang w:val="es-ES" w:eastAsia="es-ES"/>
        </w:rPr>
      </w:pPr>
    </w:p>
    <w:p w14:paraId="78BA864B" w14:textId="59EFB4BD" w:rsidR="00F97E1B" w:rsidRPr="00507A3E" w:rsidRDefault="00051642" w:rsidP="00F97E1B">
      <w:pPr>
        <w:tabs>
          <w:tab w:val="left" w:pos="4962"/>
        </w:tabs>
        <w:spacing w:after="0" w:line="360" w:lineRule="auto"/>
        <w:rPr>
          <w:rFonts w:eastAsia="Calibri" w:cs="Tahoma"/>
          <w:b/>
          <w:color w:val="000000"/>
        </w:rPr>
      </w:pPr>
      <w:r w:rsidRPr="00507A3E">
        <w:rPr>
          <w:rFonts w:eastAsia="Calibri" w:cs="Tahoma"/>
          <w:bCs/>
          <w:color w:val="000000"/>
        </w:rPr>
        <w:t xml:space="preserve">Conforme a lo anterior, se colige que, tal como lo precisó el Recurrente, el </w:t>
      </w:r>
      <w:r w:rsidRPr="00507A3E">
        <w:rPr>
          <w:rFonts w:eastAsia="Calibri" w:cs="Tahoma"/>
        </w:rPr>
        <w:t xml:space="preserve">Ayuntamiento de </w:t>
      </w:r>
      <w:r w:rsidR="005523E9" w:rsidRPr="00507A3E">
        <w:rPr>
          <w:rFonts w:eastAsia="Calibri" w:cs="Tahoma"/>
        </w:rPr>
        <w:t>Zinacantepec</w:t>
      </w:r>
      <w:r w:rsidRPr="00507A3E">
        <w:rPr>
          <w:rFonts w:eastAsia="Calibri" w:cs="Tahoma"/>
          <w:color w:val="000000"/>
        </w:rPr>
        <w:t>, no</w:t>
      </w:r>
      <w:r w:rsidRPr="00507A3E">
        <w:rPr>
          <w:rFonts w:eastAsia="Calibri" w:cs="Tahoma"/>
          <w:bCs/>
          <w:color w:val="000000"/>
        </w:rPr>
        <w:t xml:space="preserve"> emitió respuesta para dar contestación a la solicitud de acceso a la información pública, dentro de los plazos establecidos en el artículo 163, de la Ley de Transparencia y Acceso a la Información Pública del Estado de México y Municipios, pues </w:t>
      </w:r>
      <w:r w:rsidRPr="00507A3E">
        <w:rPr>
          <w:rFonts w:eastAsia="Calibri" w:cs="Tahoma"/>
          <w:b/>
          <w:color w:val="000000"/>
        </w:rPr>
        <w:lastRenderedPageBreak/>
        <w:t xml:space="preserve">tenía hasta </w:t>
      </w:r>
      <w:r w:rsidR="00AC2906" w:rsidRPr="00507A3E">
        <w:rPr>
          <w:rFonts w:eastAsia="Calibri" w:cs="Tahoma"/>
          <w:b/>
          <w:color w:val="000000"/>
        </w:rPr>
        <w:t xml:space="preserve">el </w:t>
      </w:r>
      <w:r w:rsidR="00465F58" w:rsidRPr="00507A3E">
        <w:rPr>
          <w:rFonts w:eastAsia="Calibri" w:cs="Tahoma"/>
          <w:b/>
          <w:color w:val="000000"/>
        </w:rPr>
        <w:t>veint</w:t>
      </w:r>
      <w:r w:rsidR="00D7156D" w:rsidRPr="00507A3E">
        <w:rPr>
          <w:rFonts w:eastAsia="Calibri" w:cs="Tahoma"/>
          <w:b/>
          <w:color w:val="000000"/>
        </w:rPr>
        <w:t>itrés</w:t>
      </w:r>
      <w:r w:rsidR="00465F58" w:rsidRPr="00507A3E">
        <w:rPr>
          <w:rFonts w:eastAsia="Calibri" w:cs="Tahoma"/>
          <w:b/>
          <w:color w:val="000000"/>
        </w:rPr>
        <w:t xml:space="preserve"> de </w:t>
      </w:r>
      <w:r w:rsidR="00D7156D" w:rsidRPr="00507A3E">
        <w:rPr>
          <w:rFonts w:eastAsia="Calibri" w:cs="Tahoma"/>
          <w:b/>
          <w:color w:val="000000"/>
        </w:rPr>
        <w:t>noviembre</w:t>
      </w:r>
      <w:r w:rsidR="00465F58" w:rsidRPr="00507A3E">
        <w:rPr>
          <w:rFonts w:eastAsia="Calibri" w:cs="Tahoma"/>
          <w:b/>
          <w:color w:val="000000"/>
        </w:rPr>
        <w:t xml:space="preserve"> de dos mil veinti</w:t>
      </w:r>
      <w:r w:rsidR="00D7156D" w:rsidRPr="00507A3E">
        <w:rPr>
          <w:rFonts w:eastAsia="Calibri" w:cs="Tahoma"/>
          <w:b/>
          <w:color w:val="000000"/>
        </w:rPr>
        <w:t>dó</w:t>
      </w:r>
      <w:r w:rsidR="00465F58" w:rsidRPr="00507A3E">
        <w:rPr>
          <w:rFonts w:eastAsia="Calibri" w:cs="Tahoma"/>
          <w:b/>
          <w:color w:val="000000"/>
        </w:rPr>
        <w:t>s</w:t>
      </w:r>
      <w:r w:rsidRPr="00507A3E">
        <w:rPr>
          <w:rFonts w:eastAsia="Calibri" w:cs="Tahoma"/>
          <w:bCs/>
          <w:color w:val="000000"/>
        </w:rPr>
        <w:t xml:space="preserve">, para realizar dicha situación, por lo que es evidente que el agravio es </w:t>
      </w:r>
      <w:r w:rsidRPr="00507A3E">
        <w:rPr>
          <w:rFonts w:eastAsia="Calibri" w:cs="Tahoma"/>
          <w:b/>
          <w:color w:val="000000"/>
        </w:rPr>
        <w:t>FUNDADO</w:t>
      </w:r>
      <w:r w:rsidR="00F97E1B" w:rsidRPr="00507A3E">
        <w:rPr>
          <w:rFonts w:eastAsia="Calibri" w:cs="Tahoma"/>
          <w:b/>
          <w:color w:val="000000"/>
        </w:rPr>
        <w:t>.</w:t>
      </w:r>
      <w:r w:rsidRPr="00507A3E">
        <w:rPr>
          <w:rFonts w:eastAsia="Calibri" w:cs="Tahoma"/>
          <w:b/>
          <w:color w:val="000000"/>
        </w:rPr>
        <w:t xml:space="preserve"> </w:t>
      </w:r>
    </w:p>
    <w:p w14:paraId="0280D6EB" w14:textId="493F21D3" w:rsidR="004F2E01" w:rsidRPr="00507A3E" w:rsidRDefault="004F2E01" w:rsidP="00F97E1B">
      <w:pPr>
        <w:tabs>
          <w:tab w:val="left" w:pos="4962"/>
        </w:tabs>
        <w:spacing w:after="0" w:line="360" w:lineRule="auto"/>
        <w:rPr>
          <w:rFonts w:eastAsia="Calibri" w:cs="Tahoma"/>
          <w:bCs/>
          <w:color w:val="000000"/>
        </w:rPr>
      </w:pPr>
    </w:p>
    <w:p w14:paraId="31072916" w14:textId="7C26CC0A" w:rsidR="00F16ED4" w:rsidRPr="00507A3E" w:rsidRDefault="00F16ED4" w:rsidP="00F16ED4">
      <w:pPr>
        <w:spacing w:after="0" w:line="360" w:lineRule="auto"/>
        <w:rPr>
          <w:rFonts w:eastAsia="Calibri" w:cs="Tahoma"/>
          <w:color w:val="auto"/>
        </w:rPr>
      </w:pPr>
      <w:r w:rsidRPr="00507A3E">
        <w:rPr>
          <w:rFonts w:eastAsia="Calibri" w:cs="Tahoma"/>
          <w:color w:val="auto"/>
        </w:rPr>
        <w:t>No obstante, lo anterior, durante la substanciación del Medio de Impugnación, el Ente Recurrido emitió respuesta; por lo cual, se procede analizar si con esta satisface el requerimiento de información realizado por el Solicitante.</w:t>
      </w:r>
    </w:p>
    <w:p w14:paraId="16017C63" w14:textId="58537D86" w:rsidR="00F16ED4" w:rsidRPr="00507A3E" w:rsidRDefault="00F16ED4" w:rsidP="00F97E1B">
      <w:pPr>
        <w:tabs>
          <w:tab w:val="left" w:pos="4962"/>
        </w:tabs>
        <w:spacing w:after="0" w:line="360" w:lineRule="auto"/>
        <w:rPr>
          <w:rFonts w:eastAsia="Calibri" w:cs="Tahoma"/>
          <w:bCs/>
          <w:color w:val="000000"/>
        </w:rPr>
      </w:pPr>
    </w:p>
    <w:p w14:paraId="02CFEB6A" w14:textId="118B5A4C" w:rsidR="002F3A18" w:rsidRPr="00507A3E" w:rsidRDefault="001F0852" w:rsidP="0018239B">
      <w:pPr>
        <w:spacing w:after="0" w:line="360" w:lineRule="auto"/>
        <w:ind w:right="-28"/>
        <w:contextualSpacing/>
        <w:rPr>
          <w:rFonts w:eastAsia="Calibri" w:cs="Tahoma"/>
          <w:color w:val="000000"/>
          <w:szCs w:val="24"/>
          <w:lang w:val="es-ES" w:eastAsia="es-MX"/>
        </w:rPr>
      </w:pPr>
      <w:r w:rsidRPr="00507A3E">
        <w:t xml:space="preserve">En principio, resulta necesario precisar que el Particular requirió información de dos servidores públicos, a saber, Josefina Aidé Flores y José Alfredo </w:t>
      </w:r>
      <w:proofErr w:type="spellStart"/>
      <w:r w:rsidRPr="00507A3E">
        <w:t>Guizar</w:t>
      </w:r>
      <w:proofErr w:type="spellEnd"/>
      <w:r w:rsidRPr="00507A3E">
        <w:t xml:space="preserve"> Arreola; al </w:t>
      </w:r>
      <w:r w:rsidR="00265D49" w:rsidRPr="00507A3E">
        <w:t>respecto, este</w:t>
      </w:r>
      <w:r w:rsidR="002F3A18" w:rsidRPr="00507A3E">
        <w:rPr>
          <w:rFonts w:eastAsia="Calibri" w:cs="Tahoma"/>
          <w:color w:val="000000"/>
          <w:szCs w:val="24"/>
          <w:lang w:val="es-ES" w:eastAsia="es-MX"/>
        </w:rPr>
        <w:t xml:space="preserve"> Instituto </w:t>
      </w:r>
      <w:r w:rsidR="00265D49" w:rsidRPr="00507A3E">
        <w:rPr>
          <w:rFonts w:eastAsia="Calibri" w:cs="Tahoma"/>
          <w:color w:val="000000"/>
          <w:szCs w:val="24"/>
          <w:lang w:val="es-ES" w:eastAsia="es-MX"/>
        </w:rPr>
        <w:t xml:space="preserve">localizó el Plan de Desarrollo Municipal </w:t>
      </w:r>
      <w:r w:rsidR="00D0050C" w:rsidRPr="00507A3E">
        <w:rPr>
          <w:rFonts w:eastAsia="Calibri" w:cs="Tahoma"/>
          <w:color w:val="000000"/>
          <w:szCs w:val="24"/>
          <w:lang w:val="es-ES" w:eastAsia="es-MX"/>
        </w:rPr>
        <w:t>de Zinacantepec</w:t>
      </w:r>
      <w:r w:rsidR="00571AE0" w:rsidRPr="00507A3E">
        <w:rPr>
          <w:rFonts w:eastAsia="Calibri" w:cs="Tahoma"/>
          <w:color w:val="000000"/>
          <w:szCs w:val="24"/>
          <w:lang w:val="es-ES" w:eastAsia="es-MX"/>
        </w:rPr>
        <w:t xml:space="preserve"> y el Primer Informe de Gobierno</w:t>
      </w:r>
      <w:r w:rsidR="00D0050C" w:rsidRPr="00507A3E">
        <w:rPr>
          <w:rFonts w:eastAsia="Calibri" w:cs="Tahoma"/>
          <w:color w:val="000000"/>
          <w:szCs w:val="24"/>
          <w:lang w:val="es-ES" w:eastAsia="es-MX"/>
        </w:rPr>
        <w:t xml:space="preserve">, </w:t>
      </w:r>
      <w:r w:rsidR="00265D49" w:rsidRPr="00507A3E">
        <w:rPr>
          <w:rFonts w:eastAsia="Calibri" w:cs="Tahoma"/>
          <w:color w:val="000000"/>
          <w:szCs w:val="24"/>
          <w:lang w:val="es-ES" w:eastAsia="es-MX"/>
        </w:rPr>
        <w:t>de dos mil veintidós</w:t>
      </w:r>
      <w:r w:rsidR="00571AE0" w:rsidRPr="00507A3E">
        <w:rPr>
          <w:rFonts w:eastAsia="Calibri" w:cs="Tahoma"/>
          <w:color w:val="000000"/>
          <w:szCs w:val="24"/>
          <w:lang w:val="es-ES" w:eastAsia="es-MX"/>
        </w:rPr>
        <w:t>,</w:t>
      </w:r>
      <w:r w:rsidR="00ED5C61" w:rsidRPr="00507A3E">
        <w:rPr>
          <w:rFonts w:eastAsia="Calibri" w:cs="Tahoma"/>
          <w:color w:val="000000"/>
          <w:szCs w:val="24"/>
          <w:lang w:val="es-ES" w:eastAsia="es-MX"/>
        </w:rPr>
        <w:t xml:space="preserve"> del cual se desprenden las siguientes imágenes ilustrativas: </w:t>
      </w:r>
    </w:p>
    <w:p w14:paraId="6BE4C6D8" w14:textId="77777777" w:rsidR="00ED5C61" w:rsidRPr="00507A3E" w:rsidRDefault="00ED5C61" w:rsidP="0018239B">
      <w:pPr>
        <w:spacing w:after="0" w:line="360" w:lineRule="auto"/>
        <w:ind w:right="-28"/>
        <w:contextualSpacing/>
        <w:rPr>
          <w:noProof/>
        </w:rPr>
      </w:pPr>
    </w:p>
    <w:p w14:paraId="2A13DDFE" w14:textId="7F34B63A" w:rsidR="00571AE0" w:rsidRPr="00507A3E" w:rsidRDefault="00571AE0" w:rsidP="00571AE0">
      <w:pPr>
        <w:spacing w:after="0" w:line="360" w:lineRule="auto"/>
        <w:ind w:right="-28"/>
        <w:contextualSpacing/>
        <w:jc w:val="center"/>
        <w:rPr>
          <w:b/>
          <w:noProof/>
        </w:rPr>
      </w:pPr>
      <w:r w:rsidRPr="00507A3E">
        <w:rPr>
          <w:b/>
          <w:noProof/>
        </w:rPr>
        <w:t>Plan de Desarrollo Municipal</w:t>
      </w:r>
    </w:p>
    <w:p w14:paraId="33F7AB94" w14:textId="3F7E1AD7" w:rsidR="00ED5C61" w:rsidRPr="00507A3E" w:rsidRDefault="00ED5C61" w:rsidP="00ED5C61">
      <w:pPr>
        <w:spacing w:after="0" w:line="360" w:lineRule="auto"/>
        <w:ind w:right="-28"/>
        <w:contextualSpacing/>
        <w:jc w:val="center"/>
      </w:pPr>
      <w:r w:rsidRPr="00507A3E">
        <w:rPr>
          <w:noProof/>
          <w:lang w:eastAsia="es-MX"/>
        </w:rPr>
        <mc:AlternateContent>
          <mc:Choice Requires="wps">
            <w:drawing>
              <wp:anchor distT="0" distB="0" distL="114300" distR="114300" simplePos="0" relativeHeight="251659264" behindDoc="0" locked="0" layoutInCell="1" allowOverlap="1" wp14:anchorId="309C6739" wp14:editId="7D176F00">
                <wp:simplePos x="0" y="0"/>
                <wp:positionH relativeFrom="column">
                  <wp:posOffset>681990</wp:posOffset>
                </wp:positionH>
                <wp:positionV relativeFrom="paragraph">
                  <wp:posOffset>1186815</wp:posOffset>
                </wp:positionV>
                <wp:extent cx="1657350" cy="323850"/>
                <wp:effectExtent l="19050" t="19050" r="19050" b="19050"/>
                <wp:wrapNone/>
                <wp:docPr id="10" name="Rectángulo 10"/>
                <wp:cNvGraphicFramePr/>
                <a:graphic xmlns:a="http://schemas.openxmlformats.org/drawingml/2006/main">
                  <a:graphicData uri="http://schemas.microsoft.com/office/word/2010/wordprocessingShape">
                    <wps:wsp>
                      <wps:cNvSpPr/>
                      <wps:spPr>
                        <a:xfrm>
                          <a:off x="0" y="0"/>
                          <a:ext cx="1657350" cy="32385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C799E0" id="Rectángulo 10" o:spid="_x0000_s1026" style="position:absolute;margin-left:53.7pt;margin-top:93.45pt;width:130.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" filled="f" strokecolor="black [3213]" strokeweight="3pt"/>
            </w:pict>
          </mc:Fallback>
        </mc:AlternateContent>
      </w:r>
      <w:r w:rsidRPr="00507A3E">
        <w:rPr>
          <w:noProof/>
          <w:lang w:eastAsia="es-MX"/>
        </w:rPr>
        <w:drawing>
          <wp:inline distT="0" distB="0" distL="0" distR="0" wp14:anchorId="493C5A89" wp14:editId="5271FD66">
            <wp:extent cx="4346575" cy="339598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6575" cy="3395980"/>
                    </a:xfrm>
                    <a:prstGeom prst="rect">
                      <a:avLst/>
                    </a:prstGeom>
                    <a:noFill/>
                  </pic:spPr>
                </pic:pic>
              </a:graphicData>
            </a:graphic>
          </wp:inline>
        </w:drawing>
      </w:r>
    </w:p>
    <w:p w14:paraId="0AB09BEF" w14:textId="140F79F8" w:rsidR="00EF2D0B" w:rsidRPr="00507A3E" w:rsidRDefault="00ED5C61" w:rsidP="00ED5C61">
      <w:pPr>
        <w:spacing w:after="0" w:line="360" w:lineRule="auto"/>
        <w:jc w:val="center"/>
      </w:pPr>
      <w:r w:rsidRPr="00507A3E">
        <w:rPr>
          <w:noProof/>
          <w:lang w:eastAsia="es-MX"/>
        </w:rPr>
        <w:lastRenderedPageBreak/>
        <mc:AlternateContent>
          <mc:Choice Requires="wps">
            <w:drawing>
              <wp:anchor distT="0" distB="0" distL="114300" distR="114300" simplePos="0" relativeHeight="251660288" behindDoc="0" locked="0" layoutInCell="1" allowOverlap="1" wp14:anchorId="5EE0D721" wp14:editId="550AADE9">
                <wp:simplePos x="0" y="0"/>
                <wp:positionH relativeFrom="column">
                  <wp:posOffset>3368040</wp:posOffset>
                </wp:positionH>
                <wp:positionV relativeFrom="paragraph">
                  <wp:posOffset>1934209</wp:posOffset>
                </wp:positionV>
                <wp:extent cx="1743075" cy="352425"/>
                <wp:effectExtent l="19050" t="19050" r="28575" b="28575"/>
                <wp:wrapNone/>
                <wp:docPr id="12" name="Rectángulo 12"/>
                <wp:cNvGraphicFramePr/>
                <a:graphic xmlns:a="http://schemas.openxmlformats.org/drawingml/2006/main">
                  <a:graphicData uri="http://schemas.microsoft.com/office/word/2010/wordprocessingShape">
                    <wps:wsp>
                      <wps:cNvSpPr/>
                      <wps:spPr>
                        <a:xfrm>
                          <a:off x="0" y="0"/>
                          <a:ext cx="1743075" cy="3524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12D14C" id="Rectángulo 12" o:spid="_x0000_s1026" style="position:absolute;margin-left:265.2pt;margin-top:152.3pt;width:137.25pt;height:27.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" filled="f" strokecolor="black [3213]" strokeweight="3pt"/>
            </w:pict>
          </mc:Fallback>
        </mc:AlternateContent>
      </w:r>
      <w:r w:rsidRPr="00507A3E">
        <w:rPr>
          <w:noProof/>
          <w:lang w:eastAsia="es-MX"/>
        </w:rPr>
        <w:drawing>
          <wp:inline distT="0" distB="0" distL="0" distR="0" wp14:anchorId="15162032" wp14:editId="34479808">
            <wp:extent cx="4580890" cy="25908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b="29019"/>
                    <a:stretch/>
                  </pic:blipFill>
                  <pic:spPr bwMode="auto">
                    <a:xfrm>
                      <a:off x="0" y="0"/>
                      <a:ext cx="4587937" cy="2594786"/>
                    </a:xfrm>
                    <a:prstGeom prst="rect">
                      <a:avLst/>
                    </a:prstGeom>
                    <a:noFill/>
                    <a:ln>
                      <a:noFill/>
                    </a:ln>
                    <a:extLst>
                      <a:ext uri="{53640926-AAD7-44D8-BBD7-CCE9431645EC}">
                        <a14:shadowObscured xmlns:a14="http://schemas.microsoft.com/office/drawing/2010/main"/>
                      </a:ext>
                    </a:extLst>
                  </pic:spPr>
                </pic:pic>
              </a:graphicData>
            </a:graphic>
          </wp:inline>
        </w:drawing>
      </w:r>
    </w:p>
    <w:p w14:paraId="2DA05A05" w14:textId="30F534DF" w:rsidR="001555C3" w:rsidRPr="00507A3E" w:rsidRDefault="001555C3" w:rsidP="0018239B">
      <w:pPr>
        <w:spacing w:after="0" w:line="360" w:lineRule="auto"/>
      </w:pPr>
    </w:p>
    <w:p w14:paraId="3CA3DD56" w14:textId="35731E2D" w:rsidR="00571AE0" w:rsidRPr="00507A3E" w:rsidRDefault="00571AE0" w:rsidP="00571AE0">
      <w:pPr>
        <w:spacing w:after="0" w:line="360" w:lineRule="auto"/>
        <w:jc w:val="center"/>
        <w:rPr>
          <w:b/>
          <w:bCs/>
        </w:rPr>
      </w:pPr>
      <w:r w:rsidRPr="00507A3E">
        <w:rPr>
          <w:b/>
          <w:bCs/>
        </w:rPr>
        <w:t>Primero Informe de Gobierno</w:t>
      </w:r>
    </w:p>
    <w:p w14:paraId="43552B83" w14:textId="30C6C89B" w:rsidR="00571AE0" w:rsidRPr="00507A3E" w:rsidRDefault="00571AE0" w:rsidP="00571AE0">
      <w:pPr>
        <w:spacing w:after="0" w:line="360" w:lineRule="auto"/>
        <w:jc w:val="center"/>
      </w:pPr>
      <w:r w:rsidRPr="00507A3E">
        <w:rPr>
          <w:noProof/>
          <w:lang w:eastAsia="es-MX"/>
        </w:rPr>
        <mc:AlternateContent>
          <mc:Choice Requires="wps">
            <w:drawing>
              <wp:anchor distT="0" distB="0" distL="114300" distR="114300" simplePos="0" relativeHeight="251662336" behindDoc="0" locked="0" layoutInCell="1" allowOverlap="1" wp14:anchorId="725F079C" wp14:editId="40FC9DC0">
                <wp:simplePos x="0" y="0"/>
                <wp:positionH relativeFrom="column">
                  <wp:posOffset>481965</wp:posOffset>
                </wp:positionH>
                <wp:positionV relativeFrom="paragraph">
                  <wp:posOffset>2103755</wp:posOffset>
                </wp:positionV>
                <wp:extent cx="2124075" cy="361950"/>
                <wp:effectExtent l="19050" t="19050" r="28575" b="19050"/>
                <wp:wrapNone/>
                <wp:docPr id="4" name="Rectángulo 4"/>
                <wp:cNvGraphicFramePr/>
                <a:graphic xmlns:a="http://schemas.openxmlformats.org/drawingml/2006/main">
                  <a:graphicData uri="http://schemas.microsoft.com/office/word/2010/wordprocessingShape">
                    <wps:wsp>
                      <wps:cNvSpPr/>
                      <wps:spPr>
                        <a:xfrm>
                          <a:off x="0" y="0"/>
                          <a:ext cx="2124075" cy="36195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3117EB" id="Rectángulo 4" o:spid="_x0000_s1026" style="position:absolute;margin-left:37.95pt;margin-top:165.65pt;width:167.25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" filled="f" strokecolor="black [3213]" strokeweight="3pt"/>
            </w:pict>
          </mc:Fallback>
        </mc:AlternateContent>
      </w:r>
      <w:r w:rsidRPr="00507A3E">
        <w:rPr>
          <w:noProof/>
          <w:lang w:eastAsia="es-MX"/>
        </w:rPr>
        <w:drawing>
          <wp:inline distT="0" distB="0" distL="0" distR="0" wp14:anchorId="6E1E157E" wp14:editId="2D099A16">
            <wp:extent cx="4857750" cy="280250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604" b="32302"/>
                    <a:stretch/>
                  </pic:blipFill>
                  <pic:spPr bwMode="auto">
                    <a:xfrm>
                      <a:off x="0" y="0"/>
                      <a:ext cx="4858428" cy="2802897"/>
                    </a:xfrm>
                    <a:prstGeom prst="rect">
                      <a:avLst/>
                    </a:prstGeom>
                    <a:ln>
                      <a:noFill/>
                    </a:ln>
                    <a:extLst>
                      <a:ext uri="{53640926-AAD7-44D8-BBD7-CCE9431645EC}">
                        <a14:shadowObscured xmlns:a14="http://schemas.microsoft.com/office/drawing/2010/main"/>
                      </a:ext>
                    </a:extLst>
                  </pic:spPr>
                </pic:pic>
              </a:graphicData>
            </a:graphic>
          </wp:inline>
        </w:drawing>
      </w:r>
    </w:p>
    <w:p w14:paraId="243FBF8A" w14:textId="77777777" w:rsidR="00571AE0" w:rsidRPr="00507A3E" w:rsidRDefault="00571AE0" w:rsidP="0018239B">
      <w:pPr>
        <w:spacing w:after="0" w:line="360" w:lineRule="auto"/>
      </w:pPr>
    </w:p>
    <w:p w14:paraId="49FA2015" w14:textId="2D7986ED" w:rsidR="00D00EAD" w:rsidRPr="00507A3E" w:rsidRDefault="00D00EAD" w:rsidP="0018239B">
      <w:pPr>
        <w:spacing w:after="0" w:line="360" w:lineRule="auto"/>
      </w:pPr>
      <w:r w:rsidRPr="00507A3E">
        <w:t xml:space="preserve">Conforme a </w:t>
      </w:r>
      <w:r w:rsidR="00D0050C" w:rsidRPr="00507A3E">
        <w:t>lo anterior, se logra vislumbrar que la pretensión del Particular es obtener información del Primer Regidor y la</w:t>
      </w:r>
      <w:r w:rsidR="00571AE0" w:rsidRPr="00507A3E">
        <w:t xml:space="preserve"> entonces</w:t>
      </w:r>
      <w:r w:rsidR="00D0050C" w:rsidRPr="00507A3E">
        <w:t xml:space="preserve"> Coordinadora de Asesores</w:t>
      </w:r>
      <w:r w:rsidR="006921F4" w:rsidRPr="00507A3E">
        <w:t>.</w:t>
      </w:r>
      <w:r w:rsidR="00E96B2F" w:rsidRPr="00507A3E">
        <w:t xml:space="preserve"> </w:t>
      </w:r>
    </w:p>
    <w:p w14:paraId="4D650C3F" w14:textId="3893A587" w:rsidR="00E96B2F" w:rsidRPr="00507A3E" w:rsidRDefault="00E96B2F" w:rsidP="0018239B">
      <w:pPr>
        <w:spacing w:after="0" w:line="360" w:lineRule="auto"/>
      </w:pPr>
    </w:p>
    <w:p w14:paraId="1E46E4BE" w14:textId="77777777" w:rsidR="00B41608" w:rsidRPr="00507A3E" w:rsidRDefault="00B41608" w:rsidP="00B41608">
      <w:pPr>
        <w:spacing w:after="0" w:line="360" w:lineRule="auto"/>
      </w:pPr>
    </w:p>
    <w:p w14:paraId="0AAB272D" w14:textId="77777777" w:rsidR="009368F6" w:rsidRPr="00507A3E" w:rsidRDefault="009368F6" w:rsidP="009368F6">
      <w:pPr>
        <w:spacing w:line="360" w:lineRule="auto"/>
        <w:rPr>
          <w:rFonts w:eastAsia="Calibri" w:cs="Times New Roman"/>
          <w:bCs/>
          <w:lang w:val="es-ES_tradnl"/>
        </w:rPr>
      </w:pPr>
      <w:r w:rsidRPr="00507A3E">
        <w:lastRenderedPageBreak/>
        <w:t xml:space="preserve">Ahora bien, respecto a la renuncia, </w:t>
      </w:r>
      <w:r w:rsidRPr="00507A3E">
        <w:rPr>
          <w:rFonts w:eastAsia="Calibri" w:cs="Times New Roman"/>
          <w:bCs/>
          <w:lang w:val="es-ES_tradnl"/>
        </w:rPr>
        <w:t xml:space="preserve">cabe traer a colación el artículo 4°, fracción VI, de la Ley del Trabajo de los Servidores Públicos del Estado y Municipios, precisa que son </w:t>
      </w:r>
      <w:r w:rsidRPr="00507A3E">
        <w:rPr>
          <w:rFonts w:eastAsia="Calibri" w:cs="Times New Roman"/>
          <w:b/>
          <w:lang w:val="es-ES_tradnl"/>
        </w:rPr>
        <w:t>servidores públicos</w:t>
      </w:r>
      <w:r w:rsidRPr="00507A3E">
        <w:rPr>
          <w:rFonts w:eastAsia="Calibri" w:cs="Times New Roman"/>
          <w:bCs/>
          <w:lang w:val="es-ES_tradnl"/>
        </w:rPr>
        <w:t xml:space="preserve">, todas las personas físicas que preste a una institución pública un trabajo personal subordinado, mediante el pago de un sueldo. </w:t>
      </w:r>
    </w:p>
    <w:p w14:paraId="630AA0F1" w14:textId="77777777" w:rsidR="009368F6" w:rsidRPr="00507A3E" w:rsidRDefault="009368F6" w:rsidP="009368F6">
      <w:pPr>
        <w:spacing w:after="0" w:line="360" w:lineRule="auto"/>
        <w:rPr>
          <w:rFonts w:eastAsia="Calibri" w:cs="Times New Roman"/>
          <w:bCs/>
          <w:lang w:val="es-ES_tradnl"/>
        </w:rPr>
      </w:pPr>
    </w:p>
    <w:p w14:paraId="29CD3537" w14:textId="60E3C7E3" w:rsidR="009368F6" w:rsidRPr="00507A3E" w:rsidRDefault="009368F6" w:rsidP="009368F6">
      <w:pPr>
        <w:spacing w:after="0" w:line="360" w:lineRule="auto"/>
        <w:ind w:right="-28"/>
        <w:contextualSpacing/>
        <w:rPr>
          <w:rFonts w:eastAsia="Calibri" w:cs="Tahoma"/>
          <w:b/>
          <w:color w:val="auto"/>
        </w:rPr>
      </w:pPr>
      <w:r w:rsidRPr="00507A3E">
        <w:rPr>
          <w:rFonts w:eastAsia="Calibri" w:cs="Times New Roman"/>
          <w:bCs/>
          <w:lang w:val="es-ES_tradnl"/>
        </w:rPr>
        <w:t xml:space="preserve">En ese contexto, </w:t>
      </w:r>
      <w:r w:rsidRPr="00507A3E">
        <w:rPr>
          <w:rFonts w:eastAsia="Calibri" w:cs="Tahoma"/>
          <w:bCs/>
          <w:color w:val="auto"/>
        </w:rPr>
        <w:t>la Guía Técnica 9 “La Administración del Personal Municipal”</w:t>
      </w:r>
      <w:r w:rsidR="004A4317" w:rsidRPr="00507A3E">
        <w:rPr>
          <w:rFonts w:eastAsia="Calibri" w:cs="Tahoma"/>
          <w:bCs/>
          <w:color w:val="auto"/>
        </w:rPr>
        <w:t xml:space="preserve">, </w:t>
      </w:r>
      <w:r w:rsidRPr="00507A3E">
        <w:rPr>
          <w:rFonts w:eastAsia="Calibri" w:cs="Tahoma"/>
          <w:bCs/>
          <w:color w:val="auto"/>
        </w:rPr>
        <w:t>establece que son servidores públicos, son todas aquellas personas que prestan su trabajo al servicio del municipio, conformado por las autoridades (Presidente Municipal, Síndico, Regidores, Comisarios, Delegados y Agentes Municipales), funcionarios (Secretario del Ayuntamiento, Directores, Tesoreros, Contralores y Jefes de Departamento) y empleados (puestos administrativos y técnicos).</w:t>
      </w:r>
    </w:p>
    <w:p w14:paraId="407F3587" w14:textId="77777777" w:rsidR="009368F6" w:rsidRPr="00507A3E" w:rsidRDefault="009368F6" w:rsidP="009368F6">
      <w:pPr>
        <w:spacing w:after="0" w:line="360" w:lineRule="auto"/>
        <w:ind w:right="-28"/>
        <w:contextualSpacing/>
        <w:rPr>
          <w:rFonts w:eastAsia="Calibri" w:cs="Tahoma"/>
          <w:bCs/>
          <w:color w:val="auto"/>
        </w:rPr>
      </w:pPr>
    </w:p>
    <w:p w14:paraId="5647CD40" w14:textId="6F5F01BC" w:rsidR="009368F6" w:rsidRPr="00507A3E" w:rsidRDefault="004A4317" w:rsidP="009368F6">
      <w:pPr>
        <w:spacing w:after="0" w:line="360" w:lineRule="auto"/>
        <w:rPr>
          <w:rFonts w:eastAsia="Calibri" w:cs="Tahoma"/>
          <w:bCs/>
        </w:rPr>
      </w:pPr>
      <w:r w:rsidRPr="00507A3E">
        <w:rPr>
          <w:rFonts w:eastAsia="Calibri" w:cs="Tahoma"/>
          <w:bCs/>
        </w:rPr>
        <w:t>Además</w:t>
      </w:r>
      <w:r w:rsidR="009368F6" w:rsidRPr="00507A3E">
        <w:rPr>
          <w:rFonts w:eastAsia="Calibri" w:cs="Tahoma"/>
          <w:bCs/>
        </w:rPr>
        <w:t>, el artículo 92 de la Ley del Trabajo de los Servidores Públicos del Estado de México, precisa que el trabajador gubernamental o la institución pública, como lo es un Ayuntamiento, podrá rescindir en cualquier momento la relación laboral.</w:t>
      </w:r>
    </w:p>
    <w:p w14:paraId="1B99EA64" w14:textId="77777777" w:rsidR="009368F6" w:rsidRPr="00507A3E" w:rsidRDefault="009368F6" w:rsidP="009368F6">
      <w:pPr>
        <w:spacing w:after="0" w:line="360" w:lineRule="auto"/>
        <w:rPr>
          <w:rFonts w:eastAsia="Calibri" w:cs="Tahoma"/>
          <w:bCs/>
        </w:rPr>
      </w:pPr>
    </w:p>
    <w:p w14:paraId="7AC1C582" w14:textId="77777777" w:rsidR="009368F6" w:rsidRPr="00507A3E" w:rsidRDefault="009368F6" w:rsidP="009368F6">
      <w:pPr>
        <w:spacing w:after="0" w:line="360" w:lineRule="auto"/>
        <w:rPr>
          <w:rFonts w:eastAsia="Calibri" w:cs="Tahoma"/>
          <w:bCs/>
        </w:rPr>
      </w:pPr>
      <w:r w:rsidRPr="00507A3E">
        <w:rPr>
          <w:rFonts w:eastAsia="Calibri" w:cs="Tahoma"/>
          <w:bCs/>
        </w:rPr>
        <w:t>En ese contexto, la Guía Técnica 9 “La Administración del Personal Municipal”, emitida por el Instituto Nacional para el Federalismo y el Desarrollo Municipal, establece que la rescisión laboral, corresponde a la disolución de la relación laboral, cuando alguna de las partes, no cumple con sus obligaciones, situación que se podrá realizar en cualquier momento.</w:t>
      </w:r>
    </w:p>
    <w:p w14:paraId="76C2FB7E" w14:textId="77777777" w:rsidR="009368F6" w:rsidRPr="00507A3E" w:rsidRDefault="009368F6" w:rsidP="009368F6">
      <w:pPr>
        <w:spacing w:after="0" w:line="360" w:lineRule="auto"/>
        <w:rPr>
          <w:rFonts w:eastAsia="Calibri" w:cs="Tahoma"/>
          <w:bCs/>
        </w:rPr>
      </w:pPr>
    </w:p>
    <w:p w14:paraId="313706F0" w14:textId="77777777" w:rsidR="009368F6" w:rsidRPr="00507A3E" w:rsidRDefault="009368F6" w:rsidP="009368F6">
      <w:pPr>
        <w:tabs>
          <w:tab w:val="left" w:pos="4962"/>
        </w:tabs>
        <w:spacing w:after="0" w:line="360" w:lineRule="auto"/>
        <w:rPr>
          <w:rFonts w:eastAsia="Calibri" w:cs="Tahoma"/>
        </w:rPr>
      </w:pPr>
      <w:r w:rsidRPr="00507A3E">
        <w:rPr>
          <w:rFonts w:eastAsia="Calibri" w:cs="Tahoma"/>
        </w:rPr>
        <w:t xml:space="preserve">Además, se trae por analogía el procedimiento denominado “031 Baja de Servidora Públicas y Servidores Públicos Generales y de Confianza”, del Manual de Normas y Procedimientos de Desarrollo y Administración de Personal emitido por la Secretaría de Finanzas del Estado de México, cuyo objetivo principal es procesar el movimiento de baja de trabajadores </w:t>
      </w:r>
      <w:r w:rsidRPr="00507A3E">
        <w:rPr>
          <w:rFonts w:eastAsia="Calibri" w:cs="Tahoma"/>
        </w:rPr>
        <w:lastRenderedPageBreak/>
        <w:t>gubernamentales que dejan de prestar sus servicios a la institución pública y dar por concluida la relación laboral; además, precisa que las razones de baja, serán las siguientes:</w:t>
      </w:r>
    </w:p>
    <w:p w14:paraId="2711E9E6" w14:textId="77777777" w:rsidR="009368F6" w:rsidRPr="00507A3E" w:rsidRDefault="009368F6" w:rsidP="009368F6">
      <w:pPr>
        <w:tabs>
          <w:tab w:val="left" w:pos="4962"/>
        </w:tabs>
        <w:spacing w:after="0" w:line="360" w:lineRule="auto"/>
        <w:rPr>
          <w:rFonts w:eastAsia="Calibri" w:cs="Tahoma"/>
        </w:rPr>
      </w:pPr>
    </w:p>
    <w:p w14:paraId="7546E5AF" w14:textId="77777777" w:rsidR="009368F6" w:rsidRPr="00507A3E" w:rsidRDefault="009368F6" w:rsidP="009368F6">
      <w:pPr>
        <w:numPr>
          <w:ilvl w:val="0"/>
          <w:numId w:val="26"/>
        </w:numPr>
        <w:tabs>
          <w:tab w:val="left" w:pos="4962"/>
        </w:tabs>
        <w:spacing w:after="0" w:line="360" w:lineRule="auto"/>
        <w:contextualSpacing/>
        <w:jc w:val="left"/>
        <w:rPr>
          <w:rFonts w:eastAsia="Calibri" w:cs="Tahoma"/>
          <w:b/>
        </w:rPr>
      </w:pPr>
      <w:r w:rsidRPr="00507A3E">
        <w:rPr>
          <w:rFonts w:eastAsia="Calibri" w:cs="Tahoma"/>
          <w:b/>
        </w:rPr>
        <w:t>Renuncia;</w:t>
      </w:r>
    </w:p>
    <w:p w14:paraId="3BE64F34" w14:textId="77777777" w:rsidR="009368F6" w:rsidRPr="00507A3E" w:rsidRDefault="009368F6" w:rsidP="009368F6">
      <w:pPr>
        <w:numPr>
          <w:ilvl w:val="0"/>
          <w:numId w:val="26"/>
        </w:numPr>
        <w:tabs>
          <w:tab w:val="left" w:pos="4962"/>
        </w:tabs>
        <w:spacing w:after="0" w:line="360" w:lineRule="auto"/>
        <w:contextualSpacing/>
        <w:jc w:val="left"/>
        <w:rPr>
          <w:rFonts w:eastAsia="Calibri" w:cs="Tahoma"/>
        </w:rPr>
      </w:pPr>
      <w:r w:rsidRPr="00507A3E">
        <w:rPr>
          <w:rFonts w:eastAsia="Calibri" w:cs="Tahoma"/>
        </w:rPr>
        <w:t>Fallecimiento;</w:t>
      </w:r>
    </w:p>
    <w:p w14:paraId="0D7955A3" w14:textId="77777777" w:rsidR="009368F6" w:rsidRPr="00507A3E" w:rsidRDefault="009368F6" w:rsidP="009368F6">
      <w:pPr>
        <w:numPr>
          <w:ilvl w:val="0"/>
          <w:numId w:val="26"/>
        </w:numPr>
        <w:tabs>
          <w:tab w:val="left" w:pos="4962"/>
        </w:tabs>
        <w:spacing w:after="0" w:line="360" w:lineRule="auto"/>
        <w:contextualSpacing/>
        <w:jc w:val="left"/>
        <w:rPr>
          <w:rFonts w:eastAsia="Calibri" w:cs="Tahoma"/>
        </w:rPr>
      </w:pPr>
      <w:r w:rsidRPr="00507A3E">
        <w:rPr>
          <w:rFonts w:eastAsia="Calibri" w:cs="Tahoma"/>
        </w:rPr>
        <w:t>Recisión de la relación laboral;</w:t>
      </w:r>
    </w:p>
    <w:p w14:paraId="02D6F63B" w14:textId="77777777" w:rsidR="009368F6" w:rsidRPr="00507A3E" w:rsidRDefault="009368F6" w:rsidP="009368F6">
      <w:pPr>
        <w:numPr>
          <w:ilvl w:val="0"/>
          <w:numId w:val="26"/>
        </w:numPr>
        <w:tabs>
          <w:tab w:val="left" w:pos="4962"/>
        </w:tabs>
        <w:spacing w:after="0" w:line="360" w:lineRule="auto"/>
        <w:contextualSpacing/>
        <w:jc w:val="left"/>
        <w:rPr>
          <w:rFonts w:eastAsia="Calibri" w:cs="Tahoma"/>
        </w:rPr>
      </w:pPr>
      <w:r w:rsidRPr="00507A3E">
        <w:rPr>
          <w:rFonts w:eastAsia="Calibri" w:cs="Tahoma"/>
        </w:rPr>
        <w:t>Aplicación de resolución de autoridad competente;</w:t>
      </w:r>
    </w:p>
    <w:p w14:paraId="0BB0E8C3" w14:textId="77777777" w:rsidR="009368F6" w:rsidRPr="00507A3E" w:rsidRDefault="009368F6" w:rsidP="009368F6">
      <w:pPr>
        <w:numPr>
          <w:ilvl w:val="0"/>
          <w:numId w:val="26"/>
        </w:numPr>
        <w:tabs>
          <w:tab w:val="left" w:pos="4962"/>
        </w:tabs>
        <w:spacing w:after="0" w:line="360" w:lineRule="auto"/>
        <w:contextualSpacing/>
        <w:jc w:val="left"/>
        <w:rPr>
          <w:rFonts w:eastAsia="Calibri" w:cs="Tahoma"/>
        </w:rPr>
      </w:pPr>
      <w:r w:rsidRPr="00507A3E">
        <w:rPr>
          <w:rFonts w:eastAsia="Calibri" w:cs="Tahoma"/>
        </w:rPr>
        <w:t>Pensión por jubilación, retiro y tiempo de servicios o inhabilitación;</w:t>
      </w:r>
    </w:p>
    <w:p w14:paraId="1CDE4494" w14:textId="77777777" w:rsidR="009368F6" w:rsidRPr="00507A3E" w:rsidRDefault="009368F6" w:rsidP="009368F6">
      <w:pPr>
        <w:numPr>
          <w:ilvl w:val="0"/>
          <w:numId w:val="26"/>
        </w:numPr>
        <w:tabs>
          <w:tab w:val="left" w:pos="4962"/>
        </w:tabs>
        <w:spacing w:after="0" w:line="360" w:lineRule="auto"/>
        <w:contextualSpacing/>
        <w:jc w:val="left"/>
        <w:rPr>
          <w:rFonts w:eastAsia="Calibri" w:cs="Tahoma"/>
        </w:rPr>
      </w:pPr>
      <w:r w:rsidRPr="00507A3E">
        <w:rPr>
          <w:rFonts w:eastAsia="Calibri" w:cs="Tahoma"/>
        </w:rPr>
        <w:t>Mutuo consentimiento de las partes, y</w:t>
      </w:r>
    </w:p>
    <w:p w14:paraId="61DC3844" w14:textId="7D752DDB" w:rsidR="004A4317" w:rsidRPr="00507A3E" w:rsidRDefault="009368F6" w:rsidP="0018239B">
      <w:pPr>
        <w:numPr>
          <w:ilvl w:val="0"/>
          <w:numId w:val="26"/>
        </w:numPr>
        <w:tabs>
          <w:tab w:val="left" w:pos="4962"/>
        </w:tabs>
        <w:spacing w:after="0" w:line="360" w:lineRule="auto"/>
        <w:contextualSpacing/>
        <w:jc w:val="left"/>
        <w:rPr>
          <w:rFonts w:eastAsia="Calibri" w:cs="Tahoma"/>
        </w:rPr>
      </w:pPr>
      <w:r w:rsidRPr="00507A3E">
        <w:rPr>
          <w:rFonts w:eastAsia="Calibri" w:cs="Tahoma"/>
        </w:rPr>
        <w:t>Vencimiento o conclusión de obra determinada.</w:t>
      </w:r>
    </w:p>
    <w:p w14:paraId="136D382D" w14:textId="6010D583" w:rsidR="004A4317" w:rsidRPr="00507A3E" w:rsidRDefault="004A4317" w:rsidP="004A4317">
      <w:pPr>
        <w:tabs>
          <w:tab w:val="left" w:pos="4962"/>
        </w:tabs>
        <w:spacing w:after="0" w:line="360" w:lineRule="auto"/>
        <w:contextualSpacing/>
        <w:jc w:val="left"/>
        <w:rPr>
          <w:rFonts w:eastAsia="Calibri" w:cs="Tahoma"/>
        </w:rPr>
      </w:pPr>
    </w:p>
    <w:p w14:paraId="00DBE127" w14:textId="68189598" w:rsidR="004A4317" w:rsidRPr="00507A3E" w:rsidRDefault="004A4317" w:rsidP="004A4317">
      <w:pPr>
        <w:tabs>
          <w:tab w:val="left" w:pos="4962"/>
        </w:tabs>
        <w:spacing w:after="0" w:line="360" w:lineRule="auto"/>
        <w:contextualSpacing/>
        <w:rPr>
          <w:rFonts w:eastAsia="Calibri" w:cs="Tahoma"/>
        </w:rPr>
      </w:pPr>
      <w:r w:rsidRPr="00507A3E">
        <w:rPr>
          <w:rFonts w:eastAsia="Calibri" w:cs="Tahoma"/>
        </w:rPr>
        <w:t>Además, este Instituto localizó que la entonces Coordinadora de Asesores, causó baja el quince de abril de dos mil veintidós, tal como se muestra a continuación:</w:t>
      </w:r>
    </w:p>
    <w:p w14:paraId="122FE55A" w14:textId="527E6E35" w:rsidR="004A4317" w:rsidRPr="00507A3E" w:rsidRDefault="004A4317" w:rsidP="004A4317">
      <w:pPr>
        <w:tabs>
          <w:tab w:val="left" w:pos="4962"/>
        </w:tabs>
        <w:spacing w:after="0" w:line="360" w:lineRule="auto"/>
        <w:contextualSpacing/>
        <w:rPr>
          <w:rFonts w:eastAsia="Calibri" w:cs="Tahoma"/>
        </w:rPr>
      </w:pPr>
    </w:p>
    <w:p w14:paraId="5756D027" w14:textId="388F21C6" w:rsidR="004A4317" w:rsidRPr="00507A3E" w:rsidRDefault="004A4317" w:rsidP="004A4317">
      <w:pPr>
        <w:tabs>
          <w:tab w:val="left" w:pos="4962"/>
        </w:tabs>
        <w:spacing w:after="0" w:line="360" w:lineRule="auto"/>
        <w:contextualSpacing/>
        <w:jc w:val="center"/>
        <w:rPr>
          <w:rFonts w:eastAsia="Calibri" w:cs="Tahoma"/>
        </w:rPr>
      </w:pPr>
      <w:r w:rsidRPr="00507A3E">
        <w:rPr>
          <w:noProof/>
          <w:lang w:eastAsia="es-MX"/>
        </w:rPr>
        <w:drawing>
          <wp:inline distT="0" distB="0" distL="0" distR="0" wp14:anchorId="32CFB0EE" wp14:editId="6BBFCFAD">
            <wp:extent cx="4765291" cy="1121410"/>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454" r="8518" b="38551"/>
                    <a:stretch/>
                  </pic:blipFill>
                  <pic:spPr bwMode="auto">
                    <a:xfrm>
                      <a:off x="0" y="0"/>
                      <a:ext cx="4765393" cy="1121434"/>
                    </a:xfrm>
                    <a:prstGeom prst="rect">
                      <a:avLst/>
                    </a:prstGeom>
                    <a:ln>
                      <a:noFill/>
                    </a:ln>
                    <a:extLst>
                      <a:ext uri="{53640926-AAD7-44D8-BBD7-CCE9431645EC}">
                        <a14:shadowObscured xmlns:a14="http://schemas.microsoft.com/office/drawing/2010/main"/>
                      </a:ext>
                    </a:extLst>
                  </pic:spPr>
                </pic:pic>
              </a:graphicData>
            </a:graphic>
          </wp:inline>
        </w:drawing>
      </w:r>
    </w:p>
    <w:p w14:paraId="660F8191" w14:textId="6A36951B" w:rsidR="004A4317" w:rsidRPr="00507A3E" w:rsidRDefault="004A4317" w:rsidP="004A4317">
      <w:pPr>
        <w:tabs>
          <w:tab w:val="left" w:pos="4962"/>
        </w:tabs>
        <w:spacing w:after="0" w:line="360" w:lineRule="auto"/>
        <w:contextualSpacing/>
        <w:jc w:val="center"/>
        <w:rPr>
          <w:rFonts w:eastAsia="Calibri" w:cs="Tahoma"/>
        </w:rPr>
      </w:pPr>
    </w:p>
    <w:p w14:paraId="4B030B5E" w14:textId="7F66F9F9" w:rsidR="004A4317" w:rsidRPr="00507A3E" w:rsidRDefault="004A4317" w:rsidP="004A4317">
      <w:pPr>
        <w:tabs>
          <w:tab w:val="left" w:pos="4962"/>
        </w:tabs>
        <w:spacing w:after="0" w:line="360" w:lineRule="auto"/>
        <w:contextualSpacing/>
        <w:jc w:val="center"/>
        <w:rPr>
          <w:rFonts w:eastAsia="Calibri" w:cs="Tahoma"/>
        </w:rPr>
      </w:pPr>
      <w:r w:rsidRPr="00507A3E">
        <w:rPr>
          <w:noProof/>
          <w:lang w:eastAsia="es-MX"/>
        </w:rPr>
        <w:drawing>
          <wp:inline distT="0" distB="0" distL="0" distR="0" wp14:anchorId="2C90C5E3" wp14:editId="3BEA5935">
            <wp:extent cx="5671185" cy="768985"/>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71185" cy="768985"/>
                    </a:xfrm>
                    <a:prstGeom prst="rect">
                      <a:avLst/>
                    </a:prstGeom>
                  </pic:spPr>
                </pic:pic>
              </a:graphicData>
            </a:graphic>
          </wp:inline>
        </w:drawing>
      </w:r>
    </w:p>
    <w:p w14:paraId="79B0BE91" w14:textId="286D1F92" w:rsidR="004A4317" w:rsidRPr="00507A3E" w:rsidRDefault="004A4317" w:rsidP="004A4317">
      <w:pPr>
        <w:tabs>
          <w:tab w:val="left" w:pos="4962"/>
        </w:tabs>
        <w:spacing w:after="0" w:line="360" w:lineRule="auto"/>
        <w:contextualSpacing/>
        <w:jc w:val="center"/>
        <w:rPr>
          <w:rFonts w:eastAsia="Calibri" w:cs="Tahoma"/>
        </w:rPr>
      </w:pPr>
    </w:p>
    <w:p w14:paraId="7D60EB4B" w14:textId="77D94DF5" w:rsidR="004A4317" w:rsidRPr="00507A3E" w:rsidRDefault="004A4317" w:rsidP="004A4317">
      <w:pPr>
        <w:tabs>
          <w:tab w:val="left" w:pos="4962"/>
        </w:tabs>
        <w:spacing w:after="0" w:line="360" w:lineRule="auto"/>
        <w:contextualSpacing/>
        <w:rPr>
          <w:rFonts w:eastAsia="Calibri" w:cs="Tahoma"/>
        </w:rPr>
      </w:pPr>
      <w:r w:rsidRPr="00507A3E">
        <w:rPr>
          <w:rFonts w:eastAsia="Calibri" w:cs="Tahoma"/>
        </w:rPr>
        <w:t xml:space="preserve">Conforme a lo anterior, se logra vislumbrar que la pretensión del Recurrente, es obtener </w:t>
      </w:r>
      <w:r w:rsidR="006921F4" w:rsidRPr="00507A3E">
        <w:rPr>
          <w:rFonts w:eastAsia="Calibri" w:cs="Tahoma"/>
        </w:rPr>
        <w:t>el documento donde conste la renuncia de la entonces Coordinadora de Asesores, Josefina Aidé Flores Delgado, la cual había causado baja el quince de abril de dos mil veintidós.</w:t>
      </w:r>
    </w:p>
    <w:p w14:paraId="02EEA759" w14:textId="215B0BB5" w:rsidR="0014243E" w:rsidRPr="00507A3E" w:rsidRDefault="0014243E" w:rsidP="0014243E">
      <w:pPr>
        <w:spacing w:after="0" w:line="360" w:lineRule="auto"/>
        <w:contextualSpacing/>
        <w:rPr>
          <w:rFonts w:eastAsia="Calibri" w:cs="Times New Roman"/>
          <w:bCs/>
          <w:color w:val="000000"/>
        </w:rPr>
      </w:pPr>
      <w:r w:rsidRPr="00507A3E">
        <w:rPr>
          <w:rFonts w:eastAsia="Calibri" w:cs="Times New Roman"/>
          <w:bCs/>
          <w:color w:val="000000"/>
        </w:rPr>
        <w:lastRenderedPageBreak/>
        <w:t xml:space="preserve">Por otra parte, por lo que hace a los recibos de nómina, el artículo 147 de la Constitución Política del Estado Libre y Soberano de México, que establece que los trabajadores al servicio del Estado, como los miembros de los Ayuntamientos, recibirán una remuneración adecuada e irrenunciable por el desempeño de su empleo, cargo o comisión, que será determinada en el presupuesto de egresos que corresponda. </w:t>
      </w:r>
    </w:p>
    <w:p w14:paraId="1896B94F" w14:textId="77777777" w:rsidR="0014243E" w:rsidRPr="00507A3E" w:rsidRDefault="0014243E" w:rsidP="0014243E">
      <w:pPr>
        <w:spacing w:after="0" w:line="360" w:lineRule="auto"/>
        <w:contextualSpacing/>
        <w:rPr>
          <w:rFonts w:eastAsia="Times New Roman" w:cs="Tahoma"/>
          <w:bCs/>
          <w:iCs/>
          <w:color w:val="auto"/>
          <w:lang w:eastAsia="es-ES"/>
        </w:rPr>
      </w:pPr>
    </w:p>
    <w:p w14:paraId="694FBE9C" w14:textId="77777777" w:rsidR="0014243E" w:rsidRPr="00507A3E" w:rsidRDefault="0014243E" w:rsidP="0014243E">
      <w:pPr>
        <w:spacing w:after="0" w:line="360" w:lineRule="auto"/>
        <w:contextualSpacing/>
        <w:rPr>
          <w:rFonts w:eastAsia="Calibri" w:cs="Times New Roman"/>
          <w:bCs/>
          <w:color w:val="000000"/>
        </w:rPr>
      </w:pPr>
      <w:r w:rsidRPr="00507A3E">
        <w:rPr>
          <w:rFonts w:eastAsia="Calibri" w:cs="Times New Roman"/>
          <w:bCs/>
          <w:color w:val="000000"/>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33504CFD" w14:textId="77777777" w:rsidR="0014243E" w:rsidRPr="00507A3E" w:rsidRDefault="0014243E" w:rsidP="0014243E">
      <w:pPr>
        <w:spacing w:after="0" w:line="360" w:lineRule="auto"/>
        <w:contextualSpacing/>
        <w:rPr>
          <w:rFonts w:eastAsia="Times New Roman" w:cs="Tahoma"/>
          <w:bCs/>
          <w:iCs/>
          <w:color w:val="auto"/>
          <w:lang w:eastAsia="es-ES"/>
        </w:rPr>
      </w:pPr>
    </w:p>
    <w:p w14:paraId="2AA64DB1" w14:textId="77777777" w:rsidR="0014243E" w:rsidRPr="00507A3E" w:rsidRDefault="0014243E" w:rsidP="0014243E">
      <w:pPr>
        <w:spacing w:after="0" w:line="360" w:lineRule="auto"/>
        <w:contextualSpacing/>
        <w:rPr>
          <w:rFonts w:eastAsia="Calibri" w:cs="Times New Roman"/>
          <w:bCs/>
          <w:color w:val="000000"/>
        </w:rPr>
      </w:pPr>
      <w:r w:rsidRPr="00507A3E">
        <w:rPr>
          <w:rFonts w:eastAsia="Calibri" w:cs="Times New Roman"/>
          <w:bCs/>
          <w:color w:val="000000"/>
        </w:rPr>
        <w:t>Da la misma manera, el Anexo IV.5 Glosario de Términos, del Manual para la Planeación, Programación y Presupuesto de Egresos Municipal para el ejercicio fiscal dos mil veinte, establece que la remuneración es la percepción de un trabajador o retribución monetaria que se da en pago por su servicio o actividad desarrollada.</w:t>
      </w:r>
    </w:p>
    <w:p w14:paraId="48FF5997" w14:textId="77777777" w:rsidR="0014243E" w:rsidRPr="00507A3E" w:rsidRDefault="0014243E" w:rsidP="0014243E">
      <w:pPr>
        <w:spacing w:after="0" w:line="360" w:lineRule="auto"/>
        <w:contextualSpacing/>
        <w:rPr>
          <w:rFonts w:eastAsia="Calibri" w:cs="Times New Roman"/>
          <w:bCs/>
          <w:color w:val="000000"/>
        </w:rPr>
      </w:pPr>
    </w:p>
    <w:p w14:paraId="071CCAFA" w14:textId="77777777" w:rsidR="0014243E" w:rsidRPr="00507A3E" w:rsidRDefault="0014243E" w:rsidP="0014243E">
      <w:pPr>
        <w:spacing w:after="0" w:line="360" w:lineRule="auto"/>
        <w:contextualSpacing/>
        <w:rPr>
          <w:rFonts w:eastAsia="Calibri" w:cs="Times New Roman"/>
          <w:b/>
          <w:bCs/>
          <w:iCs/>
          <w:color w:val="000000"/>
          <w:lang w:val="es-ES"/>
        </w:rPr>
      </w:pPr>
      <w:r w:rsidRPr="00507A3E">
        <w:rPr>
          <w:rFonts w:eastAsia="Calibri" w:cs="Times New Roman"/>
          <w:bCs/>
          <w:iCs/>
          <w:color w:val="000000"/>
          <w:lang w:val="es-ES"/>
        </w:rPr>
        <w:t xml:space="preserve">En ese contexto,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w:t>
      </w:r>
      <w:r w:rsidRPr="00507A3E">
        <w:rPr>
          <w:rFonts w:eastAsia="Calibri" w:cs="Times New Roman"/>
          <w:b/>
          <w:bCs/>
          <w:iCs/>
          <w:color w:val="000000"/>
          <w:lang w:val="es-ES"/>
        </w:rPr>
        <w:t>las remuneraciones brutas y netas de todos los servidores públicos, que incluya todas las percepciones, entre las cuales, se encuentran los sueldos, prestaciones, gratificaciones, primas, comisiones, dietas, bonos, estímulos, ingresos, entre otros.</w:t>
      </w:r>
    </w:p>
    <w:p w14:paraId="76A3997B" w14:textId="77777777" w:rsidR="0014243E" w:rsidRPr="00507A3E" w:rsidRDefault="0014243E" w:rsidP="0014243E">
      <w:pPr>
        <w:spacing w:after="0" w:line="360" w:lineRule="auto"/>
        <w:contextualSpacing/>
        <w:rPr>
          <w:rFonts w:eastAsia="Times New Roman" w:cs="Tahoma"/>
          <w:bCs/>
          <w:iCs/>
          <w:color w:val="auto"/>
          <w:lang w:eastAsia="es-ES"/>
        </w:rPr>
      </w:pPr>
    </w:p>
    <w:p w14:paraId="7D43FA84" w14:textId="77777777" w:rsidR="0014243E" w:rsidRPr="00507A3E" w:rsidRDefault="0014243E" w:rsidP="0014243E">
      <w:pPr>
        <w:spacing w:after="0" w:line="360" w:lineRule="auto"/>
        <w:contextualSpacing/>
        <w:rPr>
          <w:rFonts w:eastAsia="Calibri" w:cs="Times New Roman"/>
          <w:b/>
          <w:bCs/>
          <w:iCs/>
          <w:color w:val="000000"/>
          <w:lang w:val="es-ES"/>
        </w:rPr>
      </w:pPr>
      <w:r w:rsidRPr="00507A3E">
        <w:rPr>
          <w:rFonts w:eastAsia="Calibri" w:cs="Times New Roman"/>
          <w:bCs/>
          <w:iCs/>
          <w:color w:val="000000"/>
          <w:lang w:val="es-ES"/>
        </w:rPr>
        <w:t xml:space="preserve">Además, el Anexo IV.2 Clasificación por objeto del gasto, del Manual para la Planeación, Programación y Presupuesto de Egresos Municipal para el ejercicio fiscal dos mil veinte, </w:t>
      </w:r>
      <w:r w:rsidRPr="00507A3E">
        <w:rPr>
          <w:rFonts w:eastAsia="Calibri" w:cs="Times New Roman"/>
          <w:bCs/>
          <w:iCs/>
          <w:color w:val="000000"/>
          <w:lang w:val="es-ES"/>
        </w:rPr>
        <w:lastRenderedPageBreak/>
        <w:t xml:space="preserve">establece que los Presupuestos de Egresos Municipales, se tendrán que generar, conforme al “Clasificador por Objeto del Gasto”, el cual se conforma de diversos capítulos, entre los cuales, se encuentra el </w:t>
      </w:r>
      <w:r w:rsidRPr="00507A3E">
        <w:rPr>
          <w:rFonts w:eastAsia="Calibri" w:cs="Times New Roman"/>
          <w:b/>
          <w:bCs/>
          <w:iCs/>
          <w:color w:val="000000"/>
          <w:lang w:val="es-ES"/>
        </w:rPr>
        <w:t>1000 Servicios Personales</w:t>
      </w:r>
      <w:r w:rsidRPr="00507A3E">
        <w:rPr>
          <w:rFonts w:eastAsia="Calibri" w:cs="Times New Roman"/>
          <w:bCs/>
          <w:iCs/>
          <w:color w:val="000000"/>
          <w:lang w:val="es-ES"/>
        </w:rPr>
        <w:t>,</w:t>
      </w:r>
      <w:r w:rsidRPr="00507A3E">
        <w:rPr>
          <w:rFonts w:eastAsia="Calibri" w:cs="Times New Roman"/>
          <w:b/>
          <w:bCs/>
          <w:iCs/>
          <w:color w:val="000000"/>
          <w:lang w:val="es-ES"/>
        </w:rPr>
        <w:t xml:space="preserve"> que agrupa las remuneraciones del personal al servicio de los entes públicos, tales como el sueldo, salarios, dietas, honorarios, prestaciones, obligaciones laborales, gratificaciones, entre otras.</w:t>
      </w:r>
    </w:p>
    <w:p w14:paraId="33EE9D74" w14:textId="77777777" w:rsidR="0014243E" w:rsidRPr="00507A3E" w:rsidRDefault="0014243E" w:rsidP="0014243E">
      <w:pPr>
        <w:spacing w:after="0" w:line="360" w:lineRule="auto"/>
        <w:contextualSpacing/>
        <w:rPr>
          <w:rFonts w:eastAsia="Times New Roman" w:cs="Tahoma"/>
          <w:bCs/>
          <w:iCs/>
          <w:color w:val="auto"/>
          <w:lang w:eastAsia="es-ES"/>
        </w:rPr>
      </w:pPr>
    </w:p>
    <w:p w14:paraId="641B3C96" w14:textId="77777777" w:rsidR="0014243E" w:rsidRPr="00507A3E" w:rsidRDefault="0014243E" w:rsidP="0014243E">
      <w:pPr>
        <w:spacing w:after="0" w:line="360" w:lineRule="auto"/>
        <w:contextualSpacing/>
        <w:rPr>
          <w:rFonts w:eastAsia="Times New Roman" w:cs="Tahoma"/>
          <w:bCs/>
          <w:iCs/>
          <w:color w:val="auto"/>
          <w:lang w:eastAsia="es-ES"/>
        </w:rPr>
      </w:pPr>
      <w:r w:rsidRPr="00507A3E">
        <w:rPr>
          <w:rFonts w:eastAsia="Calibri" w:cs="Tahoma"/>
          <w:bCs/>
          <w:color w:val="000000"/>
        </w:rPr>
        <w:t>En ese orden de ideas, respecto a la nómina</w:t>
      </w:r>
      <w:r w:rsidRPr="00507A3E">
        <w:rPr>
          <w:rFonts w:eastAsia="Calibri" w:cs="Tahoma"/>
          <w:b/>
          <w:bCs/>
          <w:color w:val="000000"/>
        </w:rPr>
        <w:t xml:space="preserve">, </w:t>
      </w:r>
      <w:r w:rsidRPr="00507A3E">
        <w:rPr>
          <w:rFonts w:eastAsia="Calibri" w:cs="Tahoma"/>
          <w:bCs/>
          <w:color w:val="000000"/>
        </w:rPr>
        <w:t>el Glosario localizado en la página de Transparencia Presupuestaria de la Secretaría de Hacienda y Crédito Público (</w:t>
      </w:r>
      <w:hyperlink r:id="rId15" w:history="1">
        <w:r w:rsidRPr="00507A3E">
          <w:rPr>
            <w:rFonts w:eastAsia="Calibri" w:cs="Tahoma"/>
            <w:bCs/>
            <w:color w:val="000000"/>
            <w:u w:val="single"/>
          </w:rPr>
          <w:t>http://www.transparenciapresupuestaria.gob.mx/es/PTP/Glosario</w:t>
        </w:r>
      </w:hyperlink>
      <w:r w:rsidRPr="00507A3E">
        <w:rPr>
          <w:rFonts w:eastAsia="Calibri" w:cs="Tahoma"/>
          <w:bCs/>
          <w:color w:val="000000"/>
        </w:rPr>
        <w:t xml:space="preserve">, consultado el dieciocho de mayo de dos mil veintidós, a las dieciséis horas), establece que </w:t>
      </w:r>
      <w:r w:rsidRPr="00507A3E">
        <w:rPr>
          <w:rFonts w:eastAsia="Calibri" w:cs="Tahoma"/>
          <w:b/>
          <w:bCs/>
          <w:color w:val="000000"/>
        </w:rPr>
        <w:t>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14:paraId="03F03158" w14:textId="77777777" w:rsidR="0014243E" w:rsidRPr="00507A3E" w:rsidRDefault="0014243E" w:rsidP="0014243E">
      <w:pPr>
        <w:spacing w:after="0" w:line="360" w:lineRule="auto"/>
        <w:contextualSpacing/>
        <w:rPr>
          <w:rFonts w:eastAsia="Times New Roman" w:cs="Tahoma"/>
          <w:bCs/>
          <w:iCs/>
          <w:color w:val="auto"/>
          <w:lang w:eastAsia="es-ES"/>
        </w:rPr>
      </w:pPr>
    </w:p>
    <w:p w14:paraId="30A1B132" w14:textId="77777777" w:rsidR="0014243E" w:rsidRPr="00507A3E" w:rsidRDefault="0014243E" w:rsidP="0014243E">
      <w:pPr>
        <w:spacing w:after="0" w:line="360" w:lineRule="auto"/>
        <w:contextualSpacing/>
        <w:rPr>
          <w:rFonts w:eastAsia="Calibri"/>
          <w:bCs/>
        </w:rPr>
      </w:pPr>
      <w:r w:rsidRPr="00507A3E">
        <w:rPr>
          <w:rFonts w:eastAsia="Calibri"/>
          <w:bCs/>
        </w:rPr>
        <w:t xml:space="preserve">Ahora bien, respecto al documento solicitado, la Ley del Trabajo de los Servidores Públicos del Estado y Municipios, en su artículo 220 K, fracciones II y IV, establece los documentos que tiene la obligación de conservar el Sujeto Obligado, entre los que se encuentra los </w:t>
      </w:r>
      <w:r w:rsidRPr="00507A3E">
        <w:rPr>
          <w:rFonts w:eastAsia="Calibri"/>
          <w:b/>
          <w:bCs/>
        </w:rPr>
        <w:t>recibos de pago de salarios o las</w:t>
      </w:r>
      <w:r w:rsidRPr="00507A3E">
        <w:rPr>
          <w:rFonts w:eastAsia="Calibri"/>
          <w:bCs/>
        </w:rPr>
        <w:t xml:space="preserve"> </w:t>
      </w:r>
      <w:r w:rsidRPr="00507A3E">
        <w:rPr>
          <w:rFonts w:eastAsia="Calibri"/>
          <w:b/>
          <w:bCs/>
        </w:rPr>
        <w:t xml:space="preserve">constancias documentales del pago de sueldos, </w:t>
      </w:r>
      <w:r w:rsidRPr="00507A3E">
        <w:rPr>
          <w:rFonts w:eastAsia="Calibri"/>
          <w:bCs/>
        </w:rPr>
        <w:t>cuando sea por depósito o mediante información electrónica; así como los recibos o constancias de depósito o del medio de información magnética o electrónica que sean utilizadas para el pago de salarios, prima vacacional, aguinaldo y demás prestaciones.</w:t>
      </w:r>
    </w:p>
    <w:p w14:paraId="461795CB" w14:textId="77777777" w:rsidR="0014243E" w:rsidRPr="00507A3E" w:rsidRDefault="0014243E" w:rsidP="0014243E">
      <w:pPr>
        <w:spacing w:after="0" w:line="360" w:lineRule="auto"/>
        <w:contextualSpacing/>
        <w:rPr>
          <w:rFonts w:eastAsia="Calibri"/>
          <w:bCs/>
        </w:rPr>
      </w:pPr>
    </w:p>
    <w:p w14:paraId="11DA634B" w14:textId="77777777" w:rsidR="0014243E" w:rsidRPr="00507A3E" w:rsidRDefault="0014243E" w:rsidP="0014243E">
      <w:pPr>
        <w:spacing w:after="0" w:line="360" w:lineRule="auto"/>
        <w:contextualSpacing/>
        <w:rPr>
          <w:rFonts w:eastAsia="Calibri"/>
          <w:bCs/>
        </w:rPr>
      </w:pPr>
      <w:r w:rsidRPr="00507A3E">
        <w:rPr>
          <w:rFonts w:eastAsia="Calibri"/>
          <w:bCs/>
        </w:rPr>
        <w:t>Lo anterior, toma sustento en la Tesis aislada número I.6o.T.154 L (10a.), emitida por los Tribunales Colegiados de Circuito, publicada el abril de dos mil dieciséis, en la Gaceta del Semanario Judicial de la Federación, en su Libro 29, Tomo III, misma que señala lo siguiente:</w:t>
      </w:r>
    </w:p>
    <w:p w14:paraId="021FDFDC" w14:textId="77777777" w:rsidR="0014243E" w:rsidRPr="00507A3E" w:rsidRDefault="0014243E" w:rsidP="0014243E">
      <w:pPr>
        <w:spacing w:after="0" w:line="360" w:lineRule="auto"/>
        <w:contextualSpacing/>
        <w:rPr>
          <w:rFonts w:eastAsia="Calibri"/>
          <w:bCs/>
        </w:rPr>
      </w:pPr>
    </w:p>
    <w:p w14:paraId="1BDBA376" w14:textId="77777777" w:rsidR="0014243E" w:rsidRPr="00507A3E" w:rsidRDefault="0014243E" w:rsidP="0014243E">
      <w:pPr>
        <w:spacing w:after="0" w:line="360" w:lineRule="auto"/>
        <w:ind w:left="567" w:right="567"/>
        <w:contextualSpacing/>
        <w:rPr>
          <w:rFonts w:eastAsia="Calibri"/>
          <w:bCs/>
          <w:i/>
          <w:iCs/>
          <w:sz w:val="20"/>
          <w:szCs w:val="20"/>
          <w:lang w:val="es-ES"/>
        </w:rPr>
      </w:pPr>
      <w:r w:rsidRPr="00507A3E">
        <w:rPr>
          <w:rFonts w:eastAsia="Calibri"/>
          <w:b/>
          <w:bCs/>
          <w:i/>
          <w:iCs/>
          <w:sz w:val="20"/>
          <w:szCs w:val="20"/>
          <w:lang w:val="es-ES"/>
        </w:rPr>
        <w:lastRenderedPageBreak/>
        <w:t>“RECIBOS DE PAGO</w:t>
      </w:r>
      <w:r w:rsidRPr="00507A3E">
        <w:rPr>
          <w:rFonts w:eastAsia="Calibri"/>
          <w:bCs/>
          <w:i/>
          <w:iCs/>
          <w:sz w:val="20"/>
          <w:szCs w:val="20"/>
          <w:lang w:val="es-ES"/>
        </w:rPr>
        <w:t xml:space="preserve"> </w:t>
      </w:r>
      <w:r w:rsidRPr="00507A3E">
        <w:rPr>
          <w:rFonts w:eastAsia="Calibri"/>
          <w:b/>
          <w:bCs/>
          <w:i/>
          <w:iCs/>
          <w:sz w:val="20"/>
          <w:szCs w:val="20"/>
          <w:lang w:val="es-ES"/>
        </w:rPr>
        <w:t xml:space="preserve">EMITIDOS POR MEDIOS ELECTRÓNICOS SIN FIRMA DEL TRABAJADOR. SON VÁLIDOS PARA ACREDITAR LOS CONCEPTOS Y MONTOS QUE EN ELLOS SE INSERTAN (APLICACIÓN SUPLETORIA DEL ARTÍCULO 776, FRACCIONES II Y VIII, DE LA LEY FEDERAL DEL TRABAJO, A LA LEY FEDERAL DE LOS TRABAJADORES AL SERVICIO DEL ESTADO). </w:t>
      </w:r>
      <w:r w:rsidRPr="00507A3E">
        <w:rPr>
          <w:rFonts w:eastAsia="Calibri"/>
          <w:bCs/>
          <w:i/>
          <w:iCs/>
          <w:sz w:val="20"/>
          <w:szCs w:val="20"/>
          <w:lang w:val="es-ES"/>
        </w:rPr>
        <w:t>En materia burocrática los recibos de pago que se obtienen por medios electrónicos son válidos para acreditar los conceptos y montos que en ellos se insertan, en términos del artículo 776, fracciones II y VIII, de la Ley Federal del Trabajo, aplicada supletoriamente a la Ley Federal de los Trabajadores al Servicio del Estado; lo anterior por no ser contrarios a la moral ni al derecho, por lo que la falta de firma de esos documentos, no les resta convicción plena, porque el avance de la ciencia y la necesidad propia de evitar pagos en efectivo, han impuesto al patrón-Estado pagar a sus trabajadores por la vía electrónica; por tanto, si para demostrar las percepciones y montos los recibos correspondientes se exhiben de esta forma sin prueba en contrario que los desvirtúe, entonces no hay razón jurídica para condicionar su eficacia probatoria a que deban adminicularse con otras pruebas; resolver en contrario, implicaría desatender el artículo 137 de la referida Ley Federal de los Trabajadores al Servicio del Estado.”</w:t>
      </w:r>
    </w:p>
    <w:p w14:paraId="541AA39C" w14:textId="77777777" w:rsidR="0014243E" w:rsidRPr="00507A3E" w:rsidRDefault="0014243E" w:rsidP="0014243E">
      <w:pPr>
        <w:spacing w:after="0" w:line="360" w:lineRule="auto"/>
        <w:contextualSpacing/>
        <w:rPr>
          <w:rFonts w:eastAsia="Calibri"/>
          <w:bCs/>
          <w:lang w:val="es-ES"/>
        </w:rPr>
      </w:pPr>
    </w:p>
    <w:p w14:paraId="1D037BEE" w14:textId="77777777" w:rsidR="0014243E" w:rsidRPr="00507A3E" w:rsidRDefault="0014243E" w:rsidP="0014243E">
      <w:pPr>
        <w:spacing w:after="0" w:line="360" w:lineRule="auto"/>
        <w:contextualSpacing/>
        <w:rPr>
          <w:rFonts w:eastAsia="Calibri"/>
          <w:bCs/>
          <w:lang w:val="es-ES"/>
        </w:rPr>
      </w:pPr>
      <w:r w:rsidRPr="00507A3E">
        <w:rPr>
          <w:rFonts w:eastAsia="Calibri"/>
          <w:bCs/>
          <w:lang w:val="es-ES"/>
        </w:rPr>
        <w:t xml:space="preserve">De la tesis transcrita, se desprende que </w:t>
      </w:r>
      <w:r w:rsidRPr="00507A3E">
        <w:rPr>
          <w:rFonts w:eastAsia="Calibri"/>
          <w:b/>
          <w:bCs/>
          <w:lang w:val="es-ES"/>
        </w:rPr>
        <w:t>en materia burocrática</w:t>
      </w:r>
      <w:r w:rsidRPr="00507A3E">
        <w:rPr>
          <w:rFonts w:eastAsia="Calibri"/>
          <w:bCs/>
          <w:lang w:val="es-ES"/>
        </w:rPr>
        <w:t xml:space="preserve"> </w:t>
      </w:r>
      <w:r w:rsidRPr="00507A3E">
        <w:rPr>
          <w:rFonts w:eastAsia="Calibri"/>
          <w:b/>
          <w:bCs/>
          <w:lang w:val="es-ES"/>
        </w:rPr>
        <w:t>los recibos de pago acreditan los conceptos y montos que en ellos se insertan</w:t>
      </w:r>
      <w:r w:rsidRPr="00507A3E">
        <w:rPr>
          <w:rFonts w:eastAsia="Calibri"/>
          <w:bCs/>
          <w:lang w:val="es-ES"/>
        </w:rPr>
        <w:t xml:space="preserve">, y constituyen prueba para demostrar las percepciones y montos que reciben los servidores públicos. </w:t>
      </w:r>
    </w:p>
    <w:p w14:paraId="15555759" w14:textId="77777777" w:rsidR="0014243E" w:rsidRPr="00507A3E" w:rsidRDefault="0014243E" w:rsidP="0014243E">
      <w:pPr>
        <w:spacing w:after="0" w:line="360" w:lineRule="auto"/>
        <w:contextualSpacing/>
        <w:rPr>
          <w:rFonts w:eastAsia="Times New Roman" w:cs="Tahoma"/>
          <w:iCs/>
          <w:color w:val="auto"/>
          <w:lang w:val="es-ES" w:eastAsia="es-ES"/>
        </w:rPr>
      </w:pPr>
    </w:p>
    <w:p w14:paraId="06049FF1" w14:textId="34DF8F86" w:rsidR="0014243E" w:rsidRPr="00507A3E" w:rsidRDefault="0014243E" w:rsidP="0014243E">
      <w:pPr>
        <w:spacing w:after="0" w:line="360" w:lineRule="auto"/>
        <w:rPr>
          <w:rFonts w:eastAsia="Times New Roman" w:cs="Tahoma"/>
          <w:bCs/>
          <w:color w:val="auto"/>
          <w:lang w:eastAsia="es-ES"/>
        </w:rPr>
      </w:pPr>
      <w:r w:rsidRPr="00507A3E">
        <w:rPr>
          <w:rFonts w:eastAsia="Times New Roman" w:cs="Tahoma"/>
          <w:bCs/>
          <w:color w:val="auto"/>
          <w:lang w:eastAsia="es-ES"/>
        </w:rPr>
        <w:t xml:space="preserve">En ese orden de ideas, los Lineamientos para la Integración y Entrega del Informe Trimestral Municipal, dos mil veintidós, entre los formatos que maneja en el </w:t>
      </w:r>
      <w:r w:rsidRPr="00507A3E">
        <w:rPr>
          <w:rFonts w:eastAsia="Times New Roman" w:cs="Tahoma"/>
          <w:b/>
          <w:color w:val="auto"/>
          <w:lang w:eastAsia="es-ES"/>
        </w:rPr>
        <w:t>Módulo 4</w:t>
      </w:r>
      <w:r w:rsidRPr="00507A3E">
        <w:rPr>
          <w:rFonts w:eastAsia="Times New Roman" w:cs="Tahoma"/>
          <w:bCs/>
          <w:color w:val="auto"/>
          <w:lang w:eastAsia="es-ES"/>
        </w:rPr>
        <w:t>, se advierte</w:t>
      </w:r>
      <w:r w:rsidR="00373E74" w:rsidRPr="00507A3E">
        <w:rPr>
          <w:rFonts w:eastAsia="Times New Roman" w:cs="Tahoma"/>
          <w:bCs/>
          <w:color w:val="auto"/>
          <w:lang w:eastAsia="es-ES"/>
        </w:rPr>
        <w:t>n los</w:t>
      </w:r>
      <w:r w:rsidRPr="00507A3E">
        <w:rPr>
          <w:rFonts w:eastAsia="Times New Roman" w:cs="Tahoma"/>
          <w:bCs/>
          <w:color w:val="auto"/>
          <w:lang w:eastAsia="es-ES"/>
        </w:rPr>
        <w:t xml:space="preserve"> </w:t>
      </w:r>
      <w:r w:rsidRPr="00507A3E">
        <w:rPr>
          <w:rFonts w:cs="Tahoma"/>
          <w:bCs/>
          <w:color w:val="auto"/>
        </w:rPr>
        <w:t xml:space="preserve">Comprobantes Fiscales Digitales por Internet por concepto de Nómina, lo cuales son entregados al </w:t>
      </w:r>
      <w:r w:rsidRPr="00507A3E">
        <w:rPr>
          <w:rFonts w:eastAsia="Times New Roman" w:cs="Tahoma"/>
          <w:bCs/>
          <w:color w:val="auto"/>
          <w:lang w:eastAsia="es-ES"/>
        </w:rPr>
        <w:t>Órgano Superior de Fiscalización del Estado de México, que contienen a su vez todas las percepciones y deducciones que recibe cada servidor público</w:t>
      </w:r>
      <w:r w:rsidRPr="00507A3E">
        <w:rPr>
          <w:rFonts w:eastAsia="Times New Roman" w:cs="Tahoma"/>
          <w:iCs/>
          <w:color w:val="auto"/>
          <w:lang w:eastAsia="es-ES"/>
        </w:rPr>
        <w:t xml:space="preserve">. </w:t>
      </w:r>
    </w:p>
    <w:p w14:paraId="007E75D4" w14:textId="6690AB42" w:rsidR="005A3900" w:rsidRPr="00507A3E" w:rsidRDefault="005A3900" w:rsidP="00F97E1B">
      <w:pPr>
        <w:tabs>
          <w:tab w:val="left" w:pos="4962"/>
        </w:tabs>
        <w:spacing w:after="0" w:line="360" w:lineRule="auto"/>
        <w:rPr>
          <w:rFonts w:eastAsia="Calibri" w:cs="Tahoma"/>
          <w:bCs/>
          <w:color w:val="000000"/>
        </w:rPr>
      </w:pPr>
    </w:p>
    <w:p w14:paraId="5706FB89" w14:textId="75CEFE59" w:rsidR="006921F4" w:rsidRPr="00507A3E" w:rsidRDefault="006921F4" w:rsidP="00F97E1B">
      <w:pPr>
        <w:tabs>
          <w:tab w:val="left" w:pos="4962"/>
        </w:tabs>
        <w:spacing w:after="0" w:line="360" w:lineRule="auto"/>
        <w:rPr>
          <w:rFonts w:eastAsia="Calibri" w:cs="Tahoma"/>
          <w:bCs/>
          <w:color w:val="000000"/>
        </w:rPr>
      </w:pPr>
      <w:r w:rsidRPr="00507A3E">
        <w:rPr>
          <w:rFonts w:eastAsia="Calibri" w:cs="Tahoma"/>
          <w:bCs/>
          <w:color w:val="000000"/>
        </w:rPr>
        <w:t xml:space="preserve">Conforme a lo anterior, se logra vislumbrar que la pretensión del Recurrente, es obtener los recibos de nómina de la entonces Coordinadora de Asesores (de la fecha de alta a la segunda </w:t>
      </w:r>
      <w:r w:rsidRPr="00507A3E">
        <w:rPr>
          <w:rFonts w:eastAsia="Calibri" w:cs="Tahoma"/>
          <w:bCs/>
          <w:color w:val="000000"/>
        </w:rPr>
        <w:lastRenderedPageBreak/>
        <w:t>quincena de abril de dos mil veintidós) y del Primer Regidor (de la primera quincena de enero a la segunda de octubre de dos mil veintidós).</w:t>
      </w:r>
    </w:p>
    <w:p w14:paraId="2CF2D125" w14:textId="77777777" w:rsidR="006921F4" w:rsidRPr="00507A3E" w:rsidRDefault="006921F4" w:rsidP="00F97E1B">
      <w:pPr>
        <w:tabs>
          <w:tab w:val="left" w:pos="4962"/>
        </w:tabs>
        <w:spacing w:after="0" w:line="360" w:lineRule="auto"/>
        <w:rPr>
          <w:rFonts w:eastAsia="Calibri" w:cs="Tahoma"/>
          <w:bCs/>
          <w:color w:val="000000"/>
        </w:rPr>
      </w:pPr>
    </w:p>
    <w:p w14:paraId="572336A3" w14:textId="5D7F6FBA" w:rsidR="006D4DD8" w:rsidRPr="00507A3E" w:rsidRDefault="006D4DD8" w:rsidP="006D4DD8">
      <w:pPr>
        <w:spacing w:after="0" w:line="360" w:lineRule="auto"/>
        <w:rPr>
          <w:rFonts w:eastAsia="Calibri" w:cs="Times New Roman"/>
          <w:bCs/>
          <w:lang w:val="es-ES"/>
        </w:rPr>
      </w:pPr>
      <w:r w:rsidRPr="00507A3E">
        <w:rPr>
          <w:rFonts w:eastAsia="Calibri" w:cs="Tahoma"/>
          <w:bCs/>
          <w:szCs w:val="24"/>
        </w:rPr>
        <w:t xml:space="preserve">Establecido lo anterior, se procede analizar la información entregada durante la sustanciación del </w:t>
      </w:r>
      <w:r w:rsidR="006921F4" w:rsidRPr="00507A3E">
        <w:rPr>
          <w:rFonts w:eastAsia="Calibri" w:cs="Tahoma"/>
          <w:bCs/>
          <w:szCs w:val="24"/>
        </w:rPr>
        <w:t>M</w:t>
      </w:r>
      <w:r w:rsidRPr="00507A3E">
        <w:rPr>
          <w:rFonts w:eastAsia="Calibri" w:cs="Tahoma"/>
          <w:bCs/>
          <w:szCs w:val="24"/>
        </w:rPr>
        <w:t xml:space="preserve">edio de </w:t>
      </w:r>
      <w:r w:rsidR="006921F4" w:rsidRPr="00507A3E">
        <w:rPr>
          <w:rFonts w:eastAsia="Calibri" w:cs="Tahoma"/>
          <w:bCs/>
          <w:szCs w:val="24"/>
        </w:rPr>
        <w:t>I</w:t>
      </w:r>
      <w:r w:rsidRPr="00507A3E">
        <w:rPr>
          <w:rFonts w:eastAsia="Calibri" w:cs="Tahoma"/>
          <w:bCs/>
          <w:szCs w:val="24"/>
        </w:rPr>
        <w:t>mpugnación, para lo cual, en principio de las constancias que obran en el expediente</w:t>
      </w:r>
      <w:r w:rsidR="007C266B" w:rsidRPr="00507A3E">
        <w:rPr>
          <w:rFonts w:eastAsia="Calibri" w:cs="Tahoma"/>
          <w:bCs/>
          <w:szCs w:val="24"/>
        </w:rPr>
        <w:t xml:space="preserve"> no</w:t>
      </w:r>
      <w:r w:rsidRPr="00507A3E">
        <w:rPr>
          <w:rFonts w:eastAsia="Calibri" w:cs="Tahoma"/>
          <w:bCs/>
          <w:szCs w:val="24"/>
        </w:rPr>
        <w:t xml:space="preserve"> </w:t>
      </w:r>
      <w:r w:rsidRPr="00507A3E">
        <w:rPr>
          <w:rFonts w:eastAsia="Calibri" w:cs="Times New Roman"/>
        </w:rPr>
        <w:t xml:space="preserve">se logra advertir </w:t>
      </w:r>
      <w:r w:rsidR="007C266B" w:rsidRPr="00507A3E">
        <w:rPr>
          <w:rFonts w:eastAsia="Calibri" w:cs="Times New Roman"/>
        </w:rPr>
        <w:t>a que unidad administrativa turno la solicitud</w:t>
      </w:r>
      <w:r w:rsidRPr="00507A3E">
        <w:rPr>
          <w:rFonts w:eastAsia="Calibri" w:cs="Times New Roman"/>
          <w:bCs/>
          <w:iCs/>
        </w:rPr>
        <w:t xml:space="preserve">; por lo que, </w:t>
      </w:r>
      <w:r w:rsidRPr="00507A3E">
        <w:rPr>
          <w:rFonts w:eastAsia="Calibri" w:cs="Times New Roman"/>
          <w:bCs/>
          <w:lang w:val="es-ES"/>
        </w:rPr>
        <w:t>es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14:paraId="24221ED4" w14:textId="77777777" w:rsidR="006D4DD8" w:rsidRPr="00507A3E" w:rsidRDefault="006D4DD8" w:rsidP="006D4DD8">
      <w:pPr>
        <w:spacing w:after="0" w:line="360" w:lineRule="auto"/>
        <w:rPr>
          <w:rFonts w:eastAsia="Calibri" w:cs="Times New Roman"/>
          <w:bCs/>
          <w:lang w:val="es-ES"/>
        </w:rPr>
      </w:pPr>
    </w:p>
    <w:p w14:paraId="4C057139" w14:textId="77777777" w:rsidR="006D4DD8" w:rsidRPr="00507A3E" w:rsidRDefault="006D4DD8" w:rsidP="006D4DD8">
      <w:pPr>
        <w:numPr>
          <w:ilvl w:val="0"/>
          <w:numId w:val="8"/>
        </w:numPr>
        <w:spacing w:after="0" w:line="360" w:lineRule="auto"/>
        <w:rPr>
          <w:rFonts w:eastAsia="Calibri" w:cs="Times New Roman"/>
          <w:bCs/>
          <w:lang w:val="es-ES"/>
        </w:rPr>
      </w:pPr>
      <w:r w:rsidRPr="00507A3E">
        <w:rPr>
          <w:rFonts w:eastAsia="Calibri" w:cs="Times New Roman"/>
          <w:bCs/>
          <w:lang w:val="es-E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07D5791E" w14:textId="77777777" w:rsidR="006D4DD8" w:rsidRPr="00507A3E" w:rsidRDefault="006D4DD8" w:rsidP="006D4DD8">
      <w:pPr>
        <w:spacing w:after="0" w:line="360" w:lineRule="auto"/>
        <w:rPr>
          <w:rFonts w:eastAsia="Calibri" w:cs="Times New Roman"/>
          <w:bCs/>
          <w:lang w:val="es-ES"/>
        </w:rPr>
      </w:pPr>
    </w:p>
    <w:p w14:paraId="2F97BA25" w14:textId="7D67F720" w:rsidR="006D4DD8" w:rsidRPr="00507A3E" w:rsidRDefault="006D4DD8" w:rsidP="006D4DD8">
      <w:pPr>
        <w:numPr>
          <w:ilvl w:val="0"/>
          <w:numId w:val="8"/>
        </w:numPr>
        <w:spacing w:after="0" w:line="360" w:lineRule="auto"/>
        <w:rPr>
          <w:rFonts w:eastAsia="Calibri" w:cs="Times New Roman"/>
          <w:bCs/>
          <w:lang w:val="es-ES"/>
        </w:rPr>
      </w:pPr>
      <w:r w:rsidRPr="00507A3E">
        <w:rPr>
          <w:rFonts w:eastAsia="Calibri" w:cs="Times New Roman"/>
          <w:bCs/>
          <w:lang w:val="es-E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6BF66DB4" w14:textId="77777777" w:rsidR="00FB2DCC" w:rsidRPr="00507A3E" w:rsidRDefault="00FB2DCC" w:rsidP="00FB2DCC">
      <w:pPr>
        <w:pStyle w:val="Prrafodelista"/>
        <w:rPr>
          <w:rFonts w:eastAsia="Times New Roman" w:cs="Tahoma"/>
          <w:color w:val="auto"/>
          <w:lang w:eastAsia="es-ES"/>
        </w:rPr>
      </w:pPr>
    </w:p>
    <w:p w14:paraId="1F7C219C" w14:textId="6D49BF91" w:rsidR="00BF4C2F" w:rsidRPr="00507A3E" w:rsidRDefault="00BF4C2F" w:rsidP="00BF4C2F">
      <w:pPr>
        <w:tabs>
          <w:tab w:val="left" w:pos="4962"/>
        </w:tabs>
        <w:spacing w:after="0" w:line="360" w:lineRule="auto"/>
        <w:rPr>
          <w:rFonts w:eastAsia="Calibri" w:cs="Tahoma"/>
          <w:bCs/>
        </w:rPr>
      </w:pPr>
      <w:r w:rsidRPr="00507A3E">
        <w:rPr>
          <w:rFonts w:eastAsia="Calibri" w:cs="Tahoma"/>
          <w:bCs/>
        </w:rPr>
        <w:t xml:space="preserve">Así, a efecto de determinar si el Sujeto Obligado cumplió con el procedimiento de búsqueda, resulta necesario citar </w:t>
      </w:r>
      <w:r w:rsidR="00324502" w:rsidRPr="00507A3E">
        <w:rPr>
          <w:rFonts w:eastAsia="Calibri" w:cs="Tahoma"/>
          <w:bCs/>
        </w:rPr>
        <w:t>los artículos 25</w:t>
      </w:r>
      <w:r w:rsidRPr="00507A3E">
        <w:rPr>
          <w:rFonts w:eastAsia="Calibri" w:cs="Tahoma"/>
          <w:bCs/>
        </w:rPr>
        <w:t xml:space="preserve">, </w:t>
      </w:r>
      <w:r w:rsidR="00324502" w:rsidRPr="00507A3E">
        <w:rPr>
          <w:rFonts w:eastAsia="Calibri" w:cs="Tahoma"/>
          <w:bCs/>
        </w:rPr>
        <w:t>fracción II, numerales 1 y 9</w:t>
      </w:r>
      <w:r w:rsidR="00324502" w:rsidRPr="00507A3E">
        <w:rPr>
          <w:rFonts w:eastAsia="Calibri" w:cs="Tahoma"/>
          <w:iCs/>
          <w:color w:val="auto"/>
          <w:lang w:val="es-ES" w:eastAsia="es-ES"/>
        </w:rPr>
        <w:t xml:space="preserve">, </w:t>
      </w:r>
      <w:r w:rsidR="002D4BED" w:rsidRPr="00507A3E">
        <w:rPr>
          <w:rFonts w:eastAsia="Calibri" w:cs="Tahoma"/>
          <w:iCs/>
          <w:color w:val="auto"/>
          <w:lang w:val="es-ES" w:eastAsia="es-ES"/>
        </w:rPr>
        <w:t xml:space="preserve">56, fracción XXIII y </w:t>
      </w:r>
      <w:r w:rsidR="00324502" w:rsidRPr="00507A3E">
        <w:rPr>
          <w:rFonts w:eastAsia="Calibri" w:cs="Tahoma"/>
          <w:iCs/>
          <w:color w:val="auto"/>
          <w:lang w:val="es-ES" w:eastAsia="es-ES"/>
        </w:rPr>
        <w:t>75, fracciones</w:t>
      </w:r>
      <w:r w:rsidR="002D4BED" w:rsidRPr="00507A3E">
        <w:rPr>
          <w:rFonts w:eastAsia="Calibri" w:cs="Tahoma"/>
          <w:iCs/>
          <w:color w:val="auto"/>
          <w:lang w:val="es-ES" w:eastAsia="es-ES"/>
        </w:rPr>
        <w:t xml:space="preserve"> II, VI y IX</w:t>
      </w:r>
      <w:r w:rsidR="00324502" w:rsidRPr="00507A3E">
        <w:rPr>
          <w:rFonts w:eastAsia="Calibri" w:cs="Tahoma"/>
          <w:iCs/>
          <w:color w:val="auto"/>
          <w:lang w:val="es-ES" w:eastAsia="es-ES"/>
        </w:rPr>
        <w:t xml:space="preserve"> </w:t>
      </w:r>
      <w:r w:rsidRPr="00507A3E">
        <w:rPr>
          <w:rFonts w:eastAsia="Calibri" w:cs="Tahoma"/>
          <w:iCs/>
          <w:color w:val="auto"/>
          <w:lang w:val="es-ES" w:eastAsia="es-ES"/>
        </w:rPr>
        <w:t xml:space="preserve">del Reglamento Orgánico </w:t>
      </w:r>
      <w:r w:rsidR="00324502" w:rsidRPr="00507A3E">
        <w:rPr>
          <w:rFonts w:eastAsia="Calibri" w:cs="Tahoma"/>
          <w:iCs/>
          <w:color w:val="auto"/>
          <w:lang w:val="es-ES" w:eastAsia="es-ES"/>
        </w:rPr>
        <w:t>Municipal de Zinacantepec</w:t>
      </w:r>
      <w:r w:rsidRPr="00507A3E">
        <w:rPr>
          <w:rFonts w:eastAsia="Calibri" w:cs="Tahoma"/>
          <w:iCs/>
          <w:color w:val="auto"/>
          <w:lang w:val="es-ES" w:eastAsia="es-ES"/>
        </w:rPr>
        <w:t xml:space="preserve">, </w:t>
      </w:r>
      <w:r w:rsidRPr="00507A3E">
        <w:rPr>
          <w:rFonts w:eastAsia="Calibri" w:cs="Tahoma"/>
          <w:bCs/>
        </w:rPr>
        <w:t xml:space="preserve">establecen que el </w:t>
      </w:r>
      <w:r w:rsidRPr="00507A3E">
        <w:rPr>
          <w:rFonts w:eastAsia="Calibri" w:cs="Tahoma"/>
          <w:bCs/>
        </w:rPr>
        <w:lastRenderedPageBreak/>
        <w:t>Sujeto Obligado cuenta con diversas unidades administrativas para el ejercicio de sus funciones entre las cuales se encuentran las siguientes:</w:t>
      </w:r>
    </w:p>
    <w:p w14:paraId="70B61852" w14:textId="77777777" w:rsidR="00324502" w:rsidRPr="00507A3E" w:rsidRDefault="00324502" w:rsidP="00BF4C2F">
      <w:pPr>
        <w:tabs>
          <w:tab w:val="left" w:pos="4962"/>
        </w:tabs>
        <w:spacing w:after="0" w:line="360" w:lineRule="auto"/>
        <w:rPr>
          <w:rFonts w:eastAsia="Calibri" w:cs="Tahoma"/>
          <w:bCs/>
        </w:rPr>
      </w:pPr>
    </w:p>
    <w:p w14:paraId="14CFED77" w14:textId="40A52357" w:rsidR="00324502" w:rsidRPr="00507A3E" w:rsidRDefault="00324502" w:rsidP="00324502">
      <w:pPr>
        <w:pStyle w:val="Prrafodelista"/>
        <w:numPr>
          <w:ilvl w:val="0"/>
          <w:numId w:val="28"/>
        </w:numPr>
        <w:tabs>
          <w:tab w:val="left" w:pos="4962"/>
        </w:tabs>
        <w:spacing w:after="0" w:line="360" w:lineRule="auto"/>
        <w:rPr>
          <w:rFonts w:eastAsia="Calibri" w:cs="Tahoma"/>
          <w:bCs/>
        </w:rPr>
      </w:pPr>
      <w:r w:rsidRPr="00507A3E">
        <w:rPr>
          <w:rFonts w:eastAsia="Calibri" w:cs="Tahoma"/>
          <w:b/>
          <w:bCs/>
        </w:rPr>
        <w:t>Dirección de Administración</w:t>
      </w:r>
      <w:r w:rsidRPr="00507A3E">
        <w:rPr>
          <w:rFonts w:eastAsia="Calibri" w:cs="Tahoma"/>
          <w:bCs/>
        </w:rPr>
        <w:t xml:space="preserve">: </w:t>
      </w:r>
      <w:r w:rsidR="002D4BED" w:rsidRPr="00507A3E">
        <w:rPr>
          <w:rFonts w:eastAsia="Calibri" w:cs="Tahoma"/>
          <w:bCs/>
        </w:rPr>
        <w:t>Encargada de mantener el resguardo del Archivo del Personal, desarrollar un registro para el control de asistencias, remociones cambios de adscripción y renuncias, así como de los procedimientos para la elaboración y pago de nómina.</w:t>
      </w:r>
    </w:p>
    <w:p w14:paraId="60F8743B" w14:textId="77777777" w:rsidR="00D444A2" w:rsidRPr="00507A3E" w:rsidRDefault="00D444A2" w:rsidP="00D444A2">
      <w:pPr>
        <w:pStyle w:val="Prrafodelista"/>
        <w:tabs>
          <w:tab w:val="left" w:pos="4962"/>
        </w:tabs>
        <w:spacing w:after="0" w:line="360" w:lineRule="auto"/>
        <w:rPr>
          <w:rFonts w:eastAsia="Calibri" w:cs="Tahoma"/>
          <w:bCs/>
        </w:rPr>
      </w:pPr>
    </w:p>
    <w:p w14:paraId="317A0D7C" w14:textId="6546978C" w:rsidR="00324502" w:rsidRPr="00507A3E" w:rsidRDefault="00324502" w:rsidP="00324502">
      <w:pPr>
        <w:pStyle w:val="Prrafodelista"/>
        <w:numPr>
          <w:ilvl w:val="0"/>
          <w:numId w:val="28"/>
        </w:numPr>
        <w:tabs>
          <w:tab w:val="left" w:pos="4962"/>
        </w:tabs>
        <w:spacing w:after="0" w:line="360" w:lineRule="auto"/>
        <w:rPr>
          <w:rFonts w:eastAsia="Calibri" w:cs="Tahoma"/>
          <w:bCs/>
        </w:rPr>
      </w:pPr>
      <w:r w:rsidRPr="00507A3E">
        <w:rPr>
          <w:rFonts w:eastAsia="Calibri" w:cs="Tahoma"/>
          <w:b/>
          <w:bCs/>
        </w:rPr>
        <w:t>Tesorería Municipal:</w:t>
      </w:r>
      <w:r w:rsidRPr="00507A3E">
        <w:rPr>
          <w:rFonts w:eastAsia="Calibri" w:cs="Tahoma"/>
          <w:bCs/>
        </w:rPr>
        <w:t xml:space="preserve"> </w:t>
      </w:r>
      <w:r w:rsidR="002D4BED" w:rsidRPr="00507A3E">
        <w:rPr>
          <w:rFonts w:eastAsia="Calibri" w:cs="Tahoma"/>
          <w:bCs/>
        </w:rPr>
        <w:t xml:space="preserve">Responsable del pago de los documentos comprobatorios de las erogaciones realizadas por las áreas de la Administración Pública Municipal </w:t>
      </w:r>
    </w:p>
    <w:p w14:paraId="368FE47C" w14:textId="77777777" w:rsidR="00D444A2" w:rsidRPr="00507A3E" w:rsidRDefault="00D444A2" w:rsidP="00C1007D">
      <w:pPr>
        <w:tabs>
          <w:tab w:val="left" w:pos="4962"/>
        </w:tabs>
        <w:spacing w:after="0" w:line="360" w:lineRule="auto"/>
      </w:pPr>
    </w:p>
    <w:p w14:paraId="4C47A6A4" w14:textId="73804610" w:rsidR="00D444A2" w:rsidRPr="00507A3E" w:rsidRDefault="00D444A2" w:rsidP="00D444A2">
      <w:pPr>
        <w:spacing w:after="0" w:line="360" w:lineRule="auto"/>
        <w:rPr>
          <w:rFonts w:eastAsia="Times New Roman" w:cs="Times New Roman"/>
          <w:b/>
          <w:color w:val="auto"/>
          <w:lang w:eastAsia="es-ES"/>
        </w:rPr>
      </w:pPr>
      <w:r w:rsidRPr="00507A3E">
        <w:t>De tal circunstancia</w:t>
      </w:r>
      <w:r w:rsidRPr="00507A3E">
        <w:rPr>
          <w:rFonts w:cs="Tahoma"/>
          <w:bCs/>
          <w:iCs/>
        </w:rPr>
        <w:t xml:space="preserve">, se logra colegir que el Sujeto Obligado no cumplió con el procedimiento de búsqueda </w:t>
      </w:r>
      <w:r w:rsidRPr="00507A3E">
        <w:rPr>
          <w:rFonts w:eastAsia="Calibri" w:cs="Tahoma"/>
          <w:color w:val="000000"/>
          <w:szCs w:val="24"/>
          <w:lang w:val="es-ES" w:eastAsia="es-MX"/>
        </w:rPr>
        <w:t xml:space="preserve">establecido en el artículo 162 de la Ley de Transparencia y Acceso a la Información Pública del Estado de México y Municipios, pues omitió, turnar el requerimiento de información a la Tesorería Municipal, encarga de las erogaciones que realice el Ayuntamiento y a la Dirección de Administración, encargada del archivo del personal y de los procedimientos de pago de nómina. </w:t>
      </w:r>
    </w:p>
    <w:p w14:paraId="73D0AF20" w14:textId="77777777" w:rsidR="00D444A2" w:rsidRPr="00507A3E" w:rsidRDefault="00D444A2" w:rsidP="00D444A2">
      <w:pPr>
        <w:spacing w:after="0" w:line="360" w:lineRule="auto"/>
        <w:rPr>
          <w:rFonts w:eastAsia="Calibri" w:cs="Tahoma"/>
          <w:bCs/>
        </w:rPr>
      </w:pPr>
    </w:p>
    <w:p w14:paraId="3CAC3DD5" w14:textId="0764B6B6" w:rsidR="007C266B" w:rsidRPr="00507A3E" w:rsidRDefault="00D444A2" w:rsidP="007C266B">
      <w:pPr>
        <w:widowControl w:val="0"/>
        <w:tabs>
          <w:tab w:val="center" w:pos="4522"/>
        </w:tabs>
        <w:spacing w:line="360" w:lineRule="auto"/>
        <w:contextualSpacing/>
        <w:rPr>
          <w:rFonts w:cs="Tahoma"/>
          <w:bCs/>
          <w:lang w:val="es-ES"/>
        </w:rPr>
      </w:pPr>
      <w:r w:rsidRPr="00507A3E">
        <w:rPr>
          <w:rFonts w:eastAsia="Times New Roman" w:cs="Times New Roman"/>
          <w:color w:val="auto"/>
          <w:szCs w:val="20"/>
          <w:lang w:eastAsia="es-ES"/>
        </w:rPr>
        <w:t xml:space="preserve">Sin menoscabar lo anterior, durante la sustanciación del medio de impugnación </w:t>
      </w:r>
      <w:r w:rsidR="007C266B" w:rsidRPr="00507A3E">
        <w:rPr>
          <w:rFonts w:eastAsia="Times New Roman" w:cs="Times New Roman"/>
          <w:color w:val="auto"/>
          <w:szCs w:val="20"/>
          <w:lang w:eastAsia="es-ES"/>
        </w:rPr>
        <w:t>el Sujeto Obligado</w:t>
      </w:r>
      <w:r w:rsidR="007C266B" w:rsidRPr="00507A3E">
        <w:rPr>
          <w:rFonts w:cs="Tahoma"/>
          <w:bCs/>
          <w:iCs/>
          <w:lang w:val="es-ES"/>
        </w:rPr>
        <w:t xml:space="preserve">, precisó que la información se localizaba </w:t>
      </w:r>
      <w:r w:rsidR="007C266B" w:rsidRPr="00507A3E">
        <w:rPr>
          <w:rFonts w:cs="Tahoma"/>
          <w:iCs/>
          <w:color w:val="0563C1" w:themeColor="hyperlink"/>
          <w:u w:val="single"/>
        </w:rPr>
        <w:t>https://www.ipomex.org.mx/ipo3/lgt/indice/ZINACANTEPEC/art_92_viii.web</w:t>
      </w:r>
      <w:r w:rsidR="007C266B" w:rsidRPr="00507A3E">
        <w:rPr>
          <w:rFonts w:cs="Tahoma"/>
          <w:bCs/>
          <w:lang w:val="es-ES"/>
        </w:rPr>
        <w:t>; sobre el tema, este Instituto revisó dicha liga electrónica, la cual remite a la apartado de remuneraciones del Sujeto Obligado, en cuyo ejercicio fiscal dos mil veintidós, tiene dos mil trescientos setenta y cuatro, tal como se muestra a continuación:</w:t>
      </w:r>
    </w:p>
    <w:p w14:paraId="2DB93042" w14:textId="36CCE201" w:rsidR="00355B7E" w:rsidRPr="00507A3E" w:rsidRDefault="00355B7E" w:rsidP="00355B7E">
      <w:pPr>
        <w:spacing w:after="0" w:line="360" w:lineRule="auto"/>
        <w:rPr>
          <w:rFonts w:eastAsia="Times New Roman" w:cs="Times New Roman"/>
          <w:color w:val="auto"/>
          <w:szCs w:val="20"/>
          <w:lang w:eastAsia="es-ES"/>
        </w:rPr>
      </w:pPr>
    </w:p>
    <w:p w14:paraId="03EA5F50" w14:textId="77777777" w:rsidR="001C1EF6" w:rsidRPr="00507A3E" w:rsidRDefault="001C1EF6" w:rsidP="00355B7E">
      <w:pPr>
        <w:spacing w:after="0" w:line="360" w:lineRule="auto"/>
        <w:rPr>
          <w:rFonts w:eastAsia="Times New Roman" w:cs="Times New Roman"/>
          <w:color w:val="auto"/>
          <w:szCs w:val="20"/>
          <w:lang w:eastAsia="es-ES"/>
        </w:rPr>
      </w:pPr>
    </w:p>
    <w:p w14:paraId="369CFC78" w14:textId="204AE04F" w:rsidR="00355B7E" w:rsidRPr="00507A3E" w:rsidRDefault="00355B7E" w:rsidP="00355B7E">
      <w:pPr>
        <w:spacing w:after="0" w:line="360" w:lineRule="auto"/>
        <w:jc w:val="center"/>
        <w:rPr>
          <w:rFonts w:eastAsia="Times New Roman" w:cs="Times New Roman"/>
          <w:color w:val="auto"/>
          <w:szCs w:val="20"/>
          <w:lang w:eastAsia="es-ES"/>
        </w:rPr>
      </w:pPr>
      <w:r w:rsidRPr="00507A3E">
        <w:rPr>
          <w:noProof/>
          <w:lang w:eastAsia="es-MX"/>
        </w:rPr>
        <w:lastRenderedPageBreak/>
        <w:drawing>
          <wp:inline distT="0" distB="0" distL="0" distR="0" wp14:anchorId="738BF9FB" wp14:editId="0205AB70">
            <wp:extent cx="2441699" cy="9239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553" t="57113" r="43567" b="18753"/>
                    <a:stretch/>
                  </pic:blipFill>
                  <pic:spPr bwMode="auto">
                    <a:xfrm>
                      <a:off x="0" y="0"/>
                      <a:ext cx="2474097" cy="936184"/>
                    </a:xfrm>
                    <a:prstGeom prst="rect">
                      <a:avLst/>
                    </a:prstGeom>
                    <a:ln>
                      <a:noFill/>
                    </a:ln>
                    <a:extLst>
                      <a:ext uri="{53640926-AAD7-44D8-BBD7-CCE9431645EC}">
                        <a14:shadowObscured xmlns:a14="http://schemas.microsoft.com/office/drawing/2010/main"/>
                      </a:ext>
                    </a:extLst>
                  </pic:spPr>
                </pic:pic>
              </a:graphicData>
            </a:graphic>
          </wp:inline>
        </w:drawing>
      </w:r>
    </w:p>
    <w:p w14:paraId="493D35D9" w14:textId="77777777" w:rsidR="00D444A2" w:rsidRPr="00507A3E" w:rsidRDefault="00D444A2" w:rsidP="00C1007D">
      <w:pPr>
        <w:tabs>
          <w:tab w:val="left" w:pos="4962"/>
        </w:tabs>
        <w:spacing w:after="0" w:line="360" w:lineRule="auto"/>
      </w:pPr>
    </w:p>
    <w:p w14:paraId="728F7400" w14:textId="0EF3307A" w:rsidR="007C266B" w:rsidRPr="00507A3E" w:rsidRDefault="007C266B" w:rsidP="007C266B">
      <w:pPr>
        <w:widowControl w:val="0"/>
        <w:tabs>
          <w:tab w:val="center" w:pos="4522"/>
        </w:tabs>
        <w:spacing w:line="360" w:lineRule="auto"/>
        <w:contextualSpacing/>
        <w:rPr>
          <w:rFonts w:eastAsia="Calibri" w:cs="Tahoma"/>
          <w:bCs/>
          <w:lang w:val="es-ES"/>
        </w:rPr>
      </w:pPr>
      <w:r w:rsidRPr="00507A3E">
        <w:rPr>
          <w:rFonts w:cs="Tahoma"/>
          <w:bCs/>
          <w:lang w:val="es-ES"/>
        </w:rPr>
        <w:t>Sin embargo, de la revisión de los registros, no se logra vislumbrar la información solicitada, pues, por una parte, no se logra conocer la renuncia de la entonces Coordinadora de Asesores, y por otra parte, si bien contiene las remuneraciones de los trabajadores, en el presente caso se solicitaron documentos específicos, a saber, los recibos de nómina</w:t>
      </w:r>
      <w:r w:rsidRPr="00507A3E">
        <w:rPr>
          <w:rFonts w:cs="Tahoma"/>
          <w:bCs/>
          <w:iCs/>
          <w:lang w:val="es-ES"/>
        </w:rPr>
        <w:t>; s</w:t>
      </w:r>
      <w:r w:rsidRPr="00507A3E">
        <w:rPr>
          <w:rFonts w:eastAsia="Calibri" w:cs="Tahoma"/>
          <w:lang w:val="es-ES"/>
        </w:rPr>
        <w:t xml:space="preserve">obre el tema </w:t>
      </w:r>
      <w:r w:rsidRPr="00507A3E">
        <w:rPr>
          <w:rFonts w:eastAsia="Calibri"/>
        </w:rPr>
        <w:t xml:space="preserve">el </w:t>
      </w:r>
      <w:r w:rsidRPr="00507A3E">
        <w:rPr>
          <w:rFonts w:cs="Tahoma"/>
          <w:lang w:val="es-ES"/>
        </w:rPr>
        <w:t>artículo 1.8, fracción IX, del Código Administrativo del Estado de México, establece que para que un acto administrativo tenga validez, deberá guardar congruencia con lo solicitado; as</w:t>
      </w:r>
      <w:r w:rsidRPr="00507A3E">
        <w:rPr>
          <w:lang w:val="es-ES"/>
        </w:rPr>
        <w:t>imismo,</w:t>
      </w:r>
      <w:r w:rsidRPr="00507A3E">
        <w:rPr>
          <w:rFonts w:cs="Tahoma"/>
          <w:lang w:eastAsia="es-MX"/>
        </w:rPr>
        <w:t xml:space="preserve"> resulta necesario traer</w:t>
      </w:r>
      <w:r w:rsidRPr="00507A3E">
        <w:rPr>
          <w:rFonts w:eastAsia="Calibri" w:cs="Tahoma"/>
          <w:bCs/>
          <w:lang w:val="es-ES"/>
        </w:rPr>
        <w:t xml:space="preserve"> por analogía, el Criterio de Interpretación</w:t>
      </w:r>
      <w:r w:rsidRPr="00507A3E">
        <w:rPr>
          <w:rFonts w:eastAsia="Calibri" w:cs="Tahoma"/>
          <w:bCs/>
          <w:lang w:val="x-none"/>
        </w:rPr>
        <w:t xml:space="preserve">, con clave de control </w:t>
      </w:r>
      <w:r w:rsidRPr="00507A3E">
        <w:rPr>
          <w:rFonts w:eastAsia="Calibri" w:cs="Tahoma"/>
          <w:bCs/>
          <w:lang w:val="es-ES"/>
        </w:rPr>
        <w:t>SO/002/2017, de la Segunda Época, emitido por el Instituto Nacional de Transparencia, Acceso a la Información y Protección de Datos Personales, que señala lo siguiente:</w:t>
      </w:r>
    </w:p>
    <w:p w14:paraId="6EE50FBE" w14:textId="77777777" w:rsidR="00C85FBB" w:rsidRPr="00507A3E" w:rsidRDefault="00C85FBB" w:rsidP="00C85FBB">
      <w:pPr>
        <w:spacing w:after="0" w:line="360" w:lineRule="auto"/>
        <w:rPr>
          <w:rFonts w:eastAsia="Calibri" w:cs="Tahoma"/>
          <w:bCs/>
          <w:color w:val="auto"/>
          <w:lang w:val="es-ES"/>
        </w:rPr>
      </w:pPr>
    </w:p>
    <w:p w14:paraId="6499E614" w14:textId="77777777" w:rsidR="00C85FBB" w:rsidRPr="00507A3E" w:rsidRDefault="00C85FBB" w:rsidP="00C85FBB">
      <w:pPr>
        <w:spacing w:after="0" w:line="360" w:lineRule="auto"/>
        <w:ind w:left="567" w:right="567"/>
        <w:rPr>
          <w:rFonts w:eastAsia="Calibri" w:cs="Tahoma"/>
          <w:i/>
          <w:color w:val="auto"/>
          <w:sz w:val="20"/>
          <w:szCs w:val="20"/>
        </w:rPr>
      </w:pPr>
      <w:r w:rsidRPr="00507A3E">
        <w:rPr>
          <w:rFonts w:eastAsia="Calibri" w:cs="Tahoma"/>
          <w:b/>
          <w:bCs/>
          <w:i/>
          <w:color w:val="auto"/>
          <w:sz w:val="20"/>
          <w:szCs w:val="20"/>
        </w:rPr>
        <w:t xml:space="preserve">“Congruencia y exhaustividad. Sus alcances para garantizar el derecho de acceso a la información. </w:t>
      </w:r>
      <w:r w:rsidRPr="00507A3E">
        <w:rPr>
          <w:rFonts w:eastAsia="Calibri" w:cs="Tahoma"/>
          <w:bCs/>
          <w:i/>
          <w:color w:val="auto"/>
          <w:sz w:val="20"/>
          <w:szCs w:val="20"/>
        </w:rPr>
        <w:t xml:space="preserve">De conformidad con el artículo </w:t>
      </w:r>
      <w:r w:rsidRPr="00507A3E">
        <w:rPr>
          <w:rFonts w:eastAsia="Calibri" w:cs="Tahoma"/>
          <w:bCs/>
          <w:i/>
          <w:color w:val="auto"/>
          <w:sz w:val="20"/>
          <w:szCs w:val="20"/>
          <w:lang w:val="es-ES_tradnl"/>
        </w:rPr>
        <w:t>3 de la Ley Federal de Procedimiento Administrativo</w:t>
      </w:r>
      <w:r w:rsidRPr="00507A3E">
        <w:rPr>
          <w:rFonts w:eastAsia="Calibri" w:cs="Tahoma"/>
          <w:bCs/>
          <w:i/>
          <w:color w:val="auto"/>
          <w:sz w:val="20"/>
          <w:szCs w:val="20"/>
        </w:rPr>
        <w:t>,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w:t>
      </w:r>
      <w:r w:rsidRPr="00507A3E">
        <w:rPr>
          <w:rFonts w:eastAsia="Calibri" w:cs="Tahoma"/>
          <w:bCs/>
          <w:i/>
          <w:color w:val="auto"/>
          <w:sz w:val="20"/>
          <w:szCs w:val="20"/>
          <w:u w:val="single"/>
        </w:rPr>
        <w:t>a congruencia implica que exista concordancia entre el requerimiento formulado por el particular y la respuesta proporcionada por el sujeto obligado</w:t>
      </w:r>
      <w:r w:rsidRPr="00507A3E">
        <w:rPr>
          <w:rFonts w:eastAsia="Calibri" w:cs="Tahoma"/>
          <w:bCs/>
          <w:i/>
          <w:color w:val="auto"/>
          <w:sz w:val="20"/>
          <w:szCs w:val="20"/>
        </w:rPr>
        <w:t xml:space="preserve">; mientras que </w:t>
      </w:r>
      <w:r w:rsidRPr="00507A3E">
        <w:rPr>
          <w:rFonts w:eastAsia="Calibri" w:cs="Tahoma"/>
          <w:i/>
          <w:color w:val="auto"/>
          <w:sz w:val="20"/>
          <w:szCs w:val="20"/>
        </w:rPr>
        <w:t>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7F1C896B" w14:textId="77777777" w:rsidR="00C85FBB" w:rsidRPr="00507A3E" w:rsidRDefault="00C85FBB" w:rsidP="00C85FBB">
      <w:pPr>
        <w:spacing w:after="0" w:line="360" w:lineRule="auto"/>
        <w:rPr>
          <w:rFonts w:eastAsia="Calibri" w:cs="Times New Roman"/>
        </w:rPr>
      </w:pPr>
    </w:p>
    <w:p w14:paraId="04D0CD41" w14:textId="77777777" w:rsidR="00C85FBB" w:rsidRPr="00507A3E" w:rsidRDefault="00C85FBB" w:rsidP="00C85FBB">
      <w:pPr>
        <w:spacing w:after="0" w:line="360" w:lineRule="auto"/>
        <w:rPr>
          <w:rFonts w:eastAsia="Calibri" w:cs="Times New Roman"/>
          <w:lang w:val="es-ES"/>
        </w:rPr>
      </w:pPr>
      <w:r w:rsidRPr="00507A3E">
        <w:rPr>
          <w:rFonts w:eastAsia="Calibri" w:cs="Times New Roman"/>
        </w:rPr>
        <w:lastRenderedPageBreak/>
        <w:t xml:space="preserve">Del citado criterio, se desprende que </w:t>
      </w:r>
      <w:r w:rsidRPr="00507A3E">
        <w:rPr>
          <w:rFonts w:eastAsia="Calibri" w:cs="Times New Roman"/>
          <w:bCs/>
        </w:rPr>
        <w:t>todo acto administrativo debe apegarse al</w:t>
      </w:r>
      <w:r w:rsidRPr="00507A3E">
        <w:rPr>
          <w:rFonts w:eastAsia="Calibri" w:cs="Times New Roman"/>
          <w:lang w:val="es-ES"/>
        </w:rPr>
        <w:t xml:space="preserve"> </w:t>
      </w:r>
      <w:r w:rsidRPr="00507A3E">
        <w:rPr>
          <w:rFonts w:eastAsia="Calibri" w:cs="Times New Roman"/>
          <w:b/>
          <w:lang w:val="es-ES"/>
        </w:rPr>
        <w:t xml:space="preserve">Principio de Congruencia, </w:t>
      </w:r>
      <w:r w:rsidRPr="00507A3E">
        <w:rPr>
          <w:rFonts w:eastAsia="Calibri" w:cs="Times New Roman"/>
          <w:lang w:val="es-ES"/>
        </w:rPr>
        <w:t>el cual</w:t>
      </w:r>
      <w:r w:rsidRPr="00507A3E">
        <w:rPr>
          <w:rFonts w:eastAsia="Calibri" w:cs="Times New Roman"/>
          <w:b/>
          <w:lang w:val="es-ES"/>
        </w:rPr>
        <w:t xml:space="preserve"> </w:t>
      </w:r>
      <w:r w:rsidRPr="00507A3E">
        <w:rPr>
          <w:rFonts w:eastAsia="Calibri" w:cs="Times New Roman"/>
          <w:lang w:val="es-ES"/>
        </w:rPr>
        <w:t>implica que exista concordancia entre el requerimiento formulado y la respuesta entregada.</w:t>
      </w:r>
    </w:p>
    <w:p w14:paraId="595EE1FF" w14:textId="77777777" w:rsidR="00C85FBB" w:rsidRPr="00507A3E" w:rsidRDefault="00C85FBB" w:rsidP="00C85FBB">
      <w:pPr>
        <w:spacing w:after="0" w:line="360" w:lineRule="auto"/>
        <w:rPr>
          <w:rFonts w:eastAsia="Calibri" w:cs="Times New Roman"/>
          <w:bCs/>
          <w:lang w:val="es-ES_tradnl"/>
        </w:rPr>
      </w:pPr>
    </w:p>
    <w:p w14:paraId="6C8C0D01" w14:textId="06F8AF9B" w:rsidR="007C266B" w:rsidRPr="00507A3E" w:rsidRDefault="00C85FBB" w:rsidP="00C85FBB">
      <w:pPr>
        <w:widowControl w:val="0"/>
        <w:spacing w:after="0" w:line="360" w:lineRule="auto"/>
        <w:rPr>
          <w:rFonts w:eastAsia="Times New Roman" w:cs="Times New Roman"/>
          <w:bCs/>
          <w:iCs/>
          <w:color w:val="auto"/>
          <w:szCs w:val="20"/>
          <w:lang w:val="es-ES" w:eastAsia="es-ES"/>
        </w:rPr>
      </w:pPr>
      <w:r w:rsidRPr="00507A3E">
        <w:rPr>
          <w:rFonts w:eastAsia="Times New Roman" w:cs="Tahoma"/>
          <w:iCs/>
          <w:color w:val="auto"/>
          <w:lang w:val="es-ES" w:eastAsia="es-ES"/>
        </w:rPr>
        <w:t>Conforme a lo expuesto, se considera que la respuesta proporcionada incumplió con el Principio de Congruencia, pues como se refirió la respuesta entregada no guarda relación con lo peticionado;</w:t>
      </w:r>
      <w:r w:rsidRPr="00507A3E">
        <w:rPr>
          <w:rFonts w:eastAsia="Times New Roman" w:cs="Tahoma"/>
          <w:b/>
          <w:bCs/>
          <w:iCs/>
          <w:color w:val="auto"/>
          <w:lang w:val="es-ES" w:eastAsia="es-ES"/>
        </w:rPr>
        <w:t xml:space="preserve"> </w:t>
      </w:r>
      <w:r w:rsidRPr="00507A3E">
        <w:rPr>
          <w:rFonts w:eastAsia="Times New Roman" w:cs="Times New Roman"/>
          <w:bCs/>
          <w:iCs/>
          <w:color w:val="auto"/>
          <w:szCs w:val="20"/>
          <w:lang w:val="es-ES" w:eastAsia="es-ES"/>
        </w:rPr>
        <w:t>por lo que, para atender el requerimiento de información, el Sujeto Obligado deberá realizar una búsqueda exhaustiva y razonable en todas la áreas competentes, entre las cuales no podrá omitir a la Dirección de Administración y Tesorería, en términos del artículo 162 de la Ley de Transparencia y Acceso a la Información Pública del Estado de México y Municipios, a efecto de que proporcione</w:t>
      </w:r>
      <w:r w:rsidR="007C266B" w:rsidRPr="00507A3E">
        <w:rPr>
          <w:rFonts w:eastAsia="Times New Roman" w:cs="Times New Roman"/>
          <w:bCs/>
          <w:iCs/>
          <w:color w:val="auto"/>
          <w:szCs w:val="20"/>
          <w:lang w:val="es-ES" w:eastAsia="es-ES"/>
        </w:rPr>
        <w:t xml:space="preserve"> lo siguiente:</w:t>
      </w:r>
    </w:p>
    <w:p w14:paraId="0D7571A7" w14:textId="759EA9C8" w:rsidR="007C266B" w:rsidRPr="00507A3E" w:rsidRDefault="007C266B" w:rsidP="00C85FBB">
      <w:pPr>
        <w:widowControl w:val="0"/>
        <w:spacing w:after="0" w:line="360" w:lineRule="auto"/>
        <w:rPr>
          <w:rFonts w:eastAsia="Times New Roman" w:cs="Times New Roman"/>
          <w:bCs/>
          <w:iCs/>
          <w:color w:val="auto"/>
          <w:szCs w:val="20"/>
          <w:lang w:val="es-ES" w:eastAsia="es-ES"/>
        </w:rPr>
      </w:pPr>
    </w:p>
    <w:p w14:paraId="143C6A50" w14:textId="27308BA3" w:rsidR="007C266B" w:rsidRPr="00507A3E" w:rsidRDefault="007C266B" w:rsidP="007C266B">
      <w:pPr>
        <w:pStyle w:val="Prrafodelista"/>
        <w:widowControl w:val="0"/>
        <w:numPr>
          <w:ilvl w:val="0"/>
          <w:numId w:val="36"/>
        </w:numPr>
        <w:spacing w:after="0" w:line="360" w:lineRule="auto"/>
        <w:rPr>
          <w:rFonts w:eastAsia="Times New Roman" w:cs="Tahoma"/>
          <w:b/>
          <w:color w:val="000000"/>
          <w:lang w:eastAsia="es-MX"/>
        </w:rPr>
      </w:pPr>
      <w:r w:rsidRPr="00507A3E">
        <w:rPr>
          <w:rFonts w:eastAsia="Times New Roman" w:cs="Times New Roman"/>
          <w:bCs/>
          <w:iCs/>
          <w:color w:val="auto"/>
          <w:szCs w:val="20"/>
          <w:lang w:val="es-ES" w:eastAsia="es-ES"/>
        </w:rPr>
        <w:t>L</w:t>
      </w:r>
      <w:r w:rsidR="00C85FBB" w:rsidRPr="00507A3E">
        <w:rPr>
          <w:rFonts w:eastAsia="Times New Roman" w:cs="Times New Roman"/>
          <w:bCs/>
          <w:iCs/>
          <w:color w:val="auto"/>
          <w:szCs w:val="20"/>
          <w:lang w:val="es-ES" w:eastAsia="es-ES"/>
        </w:rPr>
        <w:t xml:space="preserve">a renuncia </w:t>
      </w:r>
      <w:r w:rsidRPr="00507A3E">
        <w:rPr>
          <w:rFonts w:eastAsia="Times New Roman" w:cs="Times New Roman"/>
          <w:bCs/>
          <w:iCs/>
          <w:color w:val="auto"/>
          <w:szCs w:val="20"/>
          <w:lang w:val="es-ES" w:eastAsia="es-ES"/>
        </w:rPr>
        <w:t>de la entonces Coordinadora de Asesores, Josefina Aidé Flores Delgado, y</w:t>
      </w:r>
    </w:p>
    <w:p w14:paraId="0C69B4AD" w14:textId="77777777" w:rsidR="007C266B" w:rsidRPr="00507A3E" w:rsidRDefault="007C266B" w:rsidP="007C266B">
      <w:pPr>
        <w:pStyle w:val="Prrafodelista"/>
        <w:widowControl w:val="0"/>
        <w:spacing w:after="0" w:line="360" w:lineRule="auto"/>
        <w:rPr>
          <w:rFonts w:eastAsia="Times New Roman" w:cs="Tahoma"/>
          <w:b/>
          <w:color w:val="000000"/>
          <w:lang w:eastAsia="es-MX"/>
        </w:rPr>
      </w:pPr>
    </w:p>
    <w:p w14:paraId="46BB6D3B" w14:textId="70BCA3B3" w:rsidR="007C266B" w:rsidRPr="00507A3E" w:rsidRDefault="007C266B" w:rsidP="007C266B">
      <w:pPr>
        <w:pStyle w:val="Prrafodelista"/>
        <w:widowControl w:val="0"/>
        <w:numPr>
          <w:ilvl w:val="0"/>
          <w:numId w:val="36"/>
        </w:numPr>
        <w:spacing w:after="0" w:line="360" w:lineRule="auto"/>
        <w:rPr>
          <w:rFonts w:eastAsia="Times New Roman" w:cs="Tahoma"/>
          <w:b/>
          <w:color w:val="000000"/>
          <w:lang w:eastAsia="es-MX"/>
        </w:rPr>
      </w:pPr>
      <w:r w:rsidRPr="00507A3E">
        <w:rPr>
          <w:rFonts w:eastAsia="Times New Roman" w:cs="Times New Roman"/>
          <w:bCs/>
          <w:iCs/>
          <w:color w:val="auto"/>
          <w:szCs w:val="20"/>
          <w:lang w:val="es-ES" w:eastAsia="es-ES"/>
        </w:rPr>
        <w:t xml:space="preserve">Los </w:t>
      </w:r>
      <w:r w:rsidR="00C85FBB" w:rsidRPr="00507A3E">
        <w:rPr>
          <w:rFonts w:eastAsia="Times New Roman" w:cs="Times New Roman"/>
          <w:bCs/>
          <w:iCs/>
          <w:color w:val="auto"/>
          <w:szCs w:val="20"/>
          <w:lang w:val="es-ES" w:eastAsia="es-ES"/>
        </w:rPr>
        <w:t xml:space="preserve">recibos de nómina </w:t>
      </w:r>
      <w:r w:rsidRPr="00507A3E">
        <w:rPr>
          <w:rFonts w:eastAsia="Times New Roman" w:cs="Times New Roman"/>
          <w:bCs/>
          <w:iCs/>
          <w:color w:val="auto"/>
          <w:szCs w:val="20"/>
          <w:lang w:val="es-ES" w:eastAsia="es-ES"/>
        </w:rPr>
        <w:t>de la entonces Coordinadora de Asesores (desde la fecha de alta a la primera quincena de abril de dos mil veintidós) y del Primer Regidor (de la primera quincena de enero a la segunda de octubre de dos mil veintidós).</w:t>
      </w:r>
    </w:p>
    <w:p w14:paraId="28A1A7BE" w14:textId="77777777" w:rsidR="00C85FBB" w:rsidRPr="00507A3E" w:rsidRDefault="00C85FBB" w:rsidP="00C85FBB">
      <w:pPr>
        <w:spacing w:after="0" w:line="360" w:lineRule="auto"/>
        <w:ind w:right="-28"/>
        <w:rPr>
          <w:rFonts w:eastAsia="Times New Roman" w:cs="Tahoma"/>
          <w:iCs/>
          <w:color w:val="auto"/>
          <w:sz w:val="20"/>
          <w:lang w:eastAsia="es-ES"/>
        </w:rPr>
      </w:pPr>
    </w:p>
    <w:p w14:paraId="5CACF026" w14:textId="77777777" w:rsidR="00C85FBB" w:rsidRPr="00507A3E" w:rsidRDefault="00C85FBB" w:rsidP="00C85FBB">
      <w:pPr>
        <w:tabs>
          <w:tab w:val="left" w:pos="4962"/>
        </w:tabs>
        <w:spacing w:after="0" w:line="360" w:lineRule="auto"/>
        <w:contextualSpacing/>
        <w:rPr>
          <w:rFonts w:eastAsia="Times New Roman" w:cs="Tahoma"/>
          <w:color w:val="auto"/>
          <w:lang w:eastAsia="es-ES"/>
        </w:rPr>
      </w:pPr>
      <w:r w:rsidRPr="00507A3E">
        <w:rPr>
          <w:rFonts w:eastAsia="Calibri" w:cs="Tahoma"/>
          <w:bCs/>
          <w:color w:val="auto"/>
        </w:rPr>
        <w:t>Dicha</w:t>
      </w:r>
      <w:r w:rsidRPr="00507A3E">
        <w:rPr>
          <w:rFonts w:eastAsia="Times New Roman" w:cs="Tahoma"/>
          <w:bCs/>
          <w:iCs/>
          <w:color w:val="auto"/>
          <w:szCs w:val="24"/>
          <w:lang w:val="es-ES" w:eastAsia="es-ES"/>
        </w:rPr>
        <w:t xml:space="preserve"> determinación toma relevancia, pues </w:t>
      </w:r>
      <w:r w:rsidRPr="00507A3E">
        <w:rPr>
          <w:rFonts w:eastAsia="Times New Roman" w:cs="Tahoma"/>
          <w:color w:val="auto"/>
          <w:lang w:eastAsia="es-ES"/>
        </w:rPr>
        <w:t>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7185D09F" w14:textId="77777777" w:rsidR="00C85FBB" w:rsidRPr="00507A3E" w:rsidRDefault="00C85FBB" w:rsidP="00C85FBB">
      <w:pPr>
        <w:tabs>
          <w:tab w:val="left" w:pos="4962"/>
        </w:tabs>
        <w:spacing w:after="0" w:line="360" w:lineRule="auto"/>
        <w:rPr>
          <w:rFonts w:eastAsia="Times New Roman" w:cs="Tahoma"/>
          <w:color w:val="auto"/>
          <w:lang w:eastAsia="es-ES"/>
        </w:rPr>
      </w:pPr>
    </w:p>
    <w:p w14:paraId="35A15667" w14:textId="77777777" w:rsidR="00C85FBB" w:rsidRPr="00507A3E" w:rsidRDefault="00C85FBB" w:rsidP="00C85FBB">
      <w:pPr>
        <w:spacing w:after="0" w:line="360" w:lineRule="auto"/>
        <w:rPr>
          <w:rFonts w:eastAsia="Times New Roman" w:cs="Tahoma"/>
          <w:color w:val="auto"/>
          <w:lang w:eastAsia="es-ES"/>
        </w:rPr>
      </w:pPr>
      <w:r w:rsidRPr="00507A3E">
        <w:rPr>
          <w:rFonts w:eastAsia="Times New Roman" w:cs="Tahoma"/>
          <w:color w:val="auto"/>
          <w:lang w:eastAsia="es-ES"/>
        </w:rPr>
        <w:lastRenderedPageBreak/>
        <w:t xml:space="preserve">De esta manera, </w:t>
      </w:r>
      <w:r w:rsidRPr="00507A3E">
        <w:rPr>
          <w:rFonts w:eastAsia="Times New Roman" w:cs="Tahoma"/>
          <w:color w:val="auto"/>
          <w:szCs w:val="24"/>
          <w:lang w:val="es-ES" w:eastAsia="es-ES"/>
        </w:rPr>
        <w:t xml:space="preserve">el derecho de acceso a la información pública se satisface en aquellos casos en que se entregue el soporte documental en el que conste la información solicitada, sin necesidad de elaborar documentos </w:t>
      </w:r>
      <w:r w:rsidRPr="00507A3E">
        <w:rPr>
          <w:rFonts w:eastAsia="Times New Roman" w:cs="Tahoma"/>
          <w:i/>
          <w:color w:val="auto"/>
          <w:lang w:eastAsia="es-ES"/>
        </w:rPr>
        <w:t>ad hoc</w:t>
      </w:r>
      <w:r w:rsidRPr="00507A3E">
        <w:rPr>
          <w:rFonts w:eastAsia="Times New Roman" w:cs="Tahoma"/>
          <w:color w:val="auto"/>
          <w:lang w:eastAsia="es-ES"/>
        </w:rPr>
        <w:t>, situación que toma sustento, toma sustento en el artículo 160 de la Ley de Transparencia y Acceso a la Información Pública del Estado de México y Municipios, el cual refiere que los sujetos obligados únicamente deberán entregar la información que obre en sus archivos.</w:t>
      </w:r>
    </w:p>
    <w:p w14:paraId="097C83F7" w14:textId="77777777" w:rsidR="00C85FBB" w:rsidRPr="00507A3E" w:rsidRDefault="00C85FBB" w:rsidP="00C85FBB">
      <w:pPr>
        <w:spacing w:after="0" w:line="360" w:lineRule="auto"/>
        <w:ind w:right="-28"/>
        <w:rPr>
          <w:rFonts w:eastAsia="Times New Roman" w:cs="Tahoma"/>
          <w:iCs/>
          <w:color w:val="auto"/>
          <w:lang w:eastAsia="es-ES"/>
        </w:rPr>
      </w:pPr>
    </w:p>
    <w:p w14:paraId="08DF4658" w14:textId="062F054D" w:rsidR="00C85FBB" w:rsidRPr="00507A3E" w:rsidRDefault="00C85FBB" w:rsidP="00C85FBB">
      <w:pPr>
        <w:spacing w:after="0" w:line="360" w:lineRule="auto"/>
        <w:rPr>
          <w:rFonts w:eastAsia="Times New Roman" w:cs="Tahoma"/>
          <w:color w:val="auto"/>
          <w:szCs w:val="24"/>
          <w:lang w:val="es-ES" w:eastAsia="es-ES"/>
        </w:rPr>
      </w:pPr>
      <w:r w:rsidRPr="00507A3E">
        <w:rPr>
          <w:rFonts w:eastAsia="Times New Roman" w:cs="Tahoma"/>
          <w:color w:val="auto"/>
          <w:szCs w:val="24"/>
          <w:lang w:val="es-ES" w:eastAsia="es-ES"/>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el Sujeto Obligado deberá entregar el documento que dé cuenta de la renuncia y los recibos </w:t>
      </w:r>
      <w:r w:rsidR="007C266B" w:rsidRPr="00507A3E">
        <w:rPr>
          <w:rFonts w:eastAsia="Times New Roman" w:cs="Tahoma"/>
          <w:color w:val="auto"/>
          <w:szCs w:val="24"/>
          <w:lang w:val="es-ES" w:eastAsia="es-ES"/>
        </w:rPr>
        <w:t>de nómina solicitados</w:t>
      </w:r>
      <w:r w:rsidRPr="00507A3E">
        <w:rPr>
          <w:rFonts w:eastAsia="Times New Roman" w:cs="Tahoma"/>
          <w:color w:val="auto"/>
          <w:szCs w:val="24"/>
          <w:lang w:val="es-ES" w:eastAsia="es-ES"/>
        </w:rPr>
        <w:t>.</w:t>
      </w:r>
    </w:p>
    <w:p w14:paraId="789A4680" w14:textId="69C0DA12" w:rsidR="00C85FBB" w:rsidRPr="00507A3E" w:rsidRDefault="00C85FBB" w:rsidP="00C85FBB">
      <w:pPr>
        <w:spacing w:after="0" w:line="360" w:lineRule="auto"/>
        <w:ind w:right="-28"/>
        <w:rPr>
          <w:rFonts w:eastAsia="Times New Roman" w:cs="Tahoma"/>
          <w:bCs/>
          <w:iCs/>
          <w:color w:val="auto"/>
          <w:lang w:eastAsia="es-ES"/>
        </w:rPr>
      </w:pPr>
    </w:p>
    <w:p w14:paraId="267ACFC3" w14:textId="12141BB3" w:rsidR="00C73945" w:rsidRPr="00507A3E" w:rsidRDefault="00C73945" w:rsidP="00C85FBB">
      <w:pPr>
        <w:spacing w:after="0" w:line="360" w:lineRule="auto"/>
        <w:ind w:right="-28"/>
        <w:rPr>
          <w:rFonts w:eastAsia="Times New Roman" w:cs="Tahoma"/>
          <w:bCs/>
          <w:iCs/>
          <w:color w:val="auto"/>
          <w:lang w:eastAsia="es-ES"/>
        </w:rPr>
      </w:pPr>
      <w:r w:rsidRPr="00507A3E">
        <w:rPr>
          <w:rFonts w:eastAsia="Times New Roman" w:cs="Tahoma"/>
          <w:bCs/>
          <w:iCs/>
          <w:color w:val="auto"/>
          <w:lang w:eastAsia="es-ES"/>
        </w:rPr>
        <w:t>Ahora bien, para el caso, de que la entonces servidora pública haya causado baja, por otra circunstancia diversa a la renuncia, deberá hacerlo del conocimiento del Recurrente, en términos del artículo 19, párrafo segundo, de la Ley de la materia.</w:t>
      </w:r>
    </w:p>
    <w:p w14:paraId="09F09AAC" w14:textId="77777777" w:rsidR="00C73945" w:rsidRPr="00507A3E" w:rsidRDefault="00C73945" w:rsidP="00C85FBB">
      <w:pPr>
        <w:spacing w:after="0" w:line="360" w:lineRule="auto"/>
        <w:ind w:right="-28"/>
        <w:rPr>
          <w:rFonts w:eastAsia="Times New Roman" w:cs="Tahoma"/>
          <w:bCs/>
          <w:iCs/>
          <w:color w:val="auto"/>
          <w:lang w:eastAsia="es-ES"/>
        </w:rPr>
      </w:pPr>
    </w:p>
    <w:p w14:paraId="58422539" w14:textId="322811CF" w:rsidR="00C85FBB" w:rsidRPr="00507A3E" w:rsidRDefault="00C85FBB" w:rsidP="00C85FBB">
      <w:pPr>
        <w:spacing w:after="0" w:line="360" w:lineRule="auto"/>
        <w:rPr>
          <w:rFonts w:eastAsia="Times New Roman" w:cs="Tahoma"/>
          <w:bCs/>
          <w:color w:val="auto"/>
          <w:lang w:val="es-ES" w:eastAsia="es-ES"/>
        </w:rPr>
      </w:pPr>
      <w:r w:rsidRPr="00507A3E">
        <w:rPr>
          <w:rFonts w:eastAsia="Times New Roman" w:cs="Tahoma"/>
          <w:bCs/>
          <w:color w:val="auto"/>
          <w:lang w:val="es-ES_tradnl" w:eastAsia="es-ES"/>
        </w:rPr>
        <w:t xml:space="preserve">Finalmente, no pasa desapercibido para este Instituto que los documentos que den cuenta de lo solicitado, pudieran contener datos </w:t>
      </w:r>
      <w:r w:rsidR="007C266B" w:rsidRPr="00507A3E">
        <w:rPr>
          <w:rFonts w:eastAsia="Times New Roman" w:cs="Tahoma"/>
          <w:bCs/>
          <w:color w:val="auto"/>
          <w:lang w:val="es-ES_tradnl" w:eastAsia="es-ES"/>
        </w:rPr>
        <w:t>confidenciales</w:t>
      </w:r>
      <w:r w:rsidRPr="00507A3E">
        <w:rPr>
          <w:rFonts w:eastAsia="Times New Roman" w:cs="Tahoma"/>
          <w:bCs/>
          <w:color w:val="auto"/>
          <w:lang w:val="es-ES_tradnl" w:eastAsia="es-ES"/>
        </w:rPr>
        <w:t>; por lo que, en el supuesto, deberá elaborar la versión pública respectiva; a</w:t>
      </w:r>
      <w:r w:rsidRPr="00507A3E">
        <w:rPr>
          <w:rFonts w:eastAsia="Times New Roman" w:cs="Tahoma"/>
          <w:bCs/>
          <w:color w:val="auto"/>
          <w:lang w:val="es-ES" w:eastAsia="es-ES"/>
        </w:rPr>
        <w:t>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r w:rsidR="00C73945" w:rsidRPr="00507A3E">
        <w:rPr>
          <w:rFonts w:eastAsia="Times New Roman" w:cs="Tahoma"/>
          <w:bCs/>
          <w:color w:val="auto"/>
          <w:lang w:val="es-ES" w:eastAsia="es-ES"/>
        </w:rPr>
        <w:t xml:space="preserve"> </w:t>
      </w:r>
      <w:r w:rsidRPr="00507A3E">
        <w:rPr>
          <w:rFonts w:eastAsia="Times New Roman" w:cs="Tahoma"/>
          <w:bCs/>
          <w:color w:val="auto"/>
          <w:lang w:val="es-ES" w:eastAsia="es-ES"/>
        </w:rPr>
        <w:t xml:space="preserve">Para tal situación, el Sujeto Obligado deberá seguir el procedimiento </w:t>
      </w:r>
      <w:r w:rsidRPr="00507A3E">
        <w:rPr>
          <w:rFonts w:eastAsia="Times New Roman" w:cs="Tahoma"/>
          <w:bCs/>
          <w:color w:val="auto"/>
          <w:lang w:val="es-ES" w:eastAsia="es-ES"/>
        </w:rPr>
        <w:lastRenderedPageBreak/>
        <w:t>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4EBB75D5" w14:textId="77777777" w:rsidR="00FB2DCC" w:rsidRPr="00507A3E" w:rsidRDefault="00FB2DCC" w:rsidP="006F5A52">
      <w:pPr>
        <w:tabs>
          <w:tab w:val="left" w:pos="4962"/>
        </w:tabs>
        <w:spacing w:after="0" w:line="360" w:lineRule="auto"/>
      </w:pPr>
    </w:p>
    <w:p w14:paraId="66FCC587" w14:textId="77777777" w:rsidR="00051642" w:rsidRPr="00507A3E" w:rsidRDefault="00051642" w:rsidP="008567E8">
      <w:pPr>
        <w:spacing w:after="0" w:line="360" w:lineRule="auto"/>
        <w:contextualSpacing/>
        <w:rPr>
          <w:rFonts w:eastAsia="Calibri" w:cs="Tahoma"/>
          <w:b/>
          <w:color w:val="000000"/>
        </w:rPr>
      </w:pPr>
      <w:r w:rsidRPr="00507A3E">
        <w:rPr>
          <w:rFonts w:eastAsia="Calibri" w:cs="Tahoma"/>
          <w:b/>
          <w:color w:val="000000"/>
        </w:rPr>
        <w:t xml:space="preserve">SEXTO. Decisión. </w:t>
      </w:r>
    </w:p>
    <w:p w14:paraId="0A32C9DA" w14:textId="77777777" w:rsidR="00051642" w:rsidRPr="00507A3E" w:rsidRDefault="00051642" w:rsidP="008567E8">
      <w:pPr>
        <w:spacing w:after="0" w:line="360" w:lineRule="auto"/>
        <w:contextualSpacing/>
        <w:rPr>
          <w:rFonts w:eastAsia="Calibri" w:cs="Tahoma"/>
          <w:b/>
          <w:color w:val="000000"/>
        </w:rPr>
      </w:pPr>
    </w:p>
    <w:p w14:paraId="597662B2" w14:textId="187FDC88" w:rsidR="00051642" w:rsidRPr="00507A3E" w:rsidRDefault="00051642" w:rsidP="008567E8">
      <w:pPr>
        <w:spacing w:after="0" w:line="360" w:lineRule="auto"/>
      </w:pPr>
      <w:r w:rsidRPr="00507A3E">
        <w:rPr>
          <w:rFonts w:eastAsia="Times New Roman" w:cs="Tahoma"/>
          <w:color w:val="auto"/>
          <w:lang w:eastAsia="es-ES"/>
        </w:rPr>
        <w:t xml:space="preserve">Con fundamento en el artículo 186, fracción IV, de la Ley de Transparencia y Acceso a la Información Pública del Estado de México y Municipios, este Instituto considera procedente </w:t>
      </w:r>
      <w:r w:rsidRPr="00507A3E">
        <w:rPr>
          <w:rFonts w:eastAsia="Times New Roman" w:cs="Tahoma"/>
          <w:b/>
          <w:bCs/>
          <w:color w:val="auto"/>
          <w:lang w:eastAsia="es-ES"/>
        </w:rPr>
        <w:t>ORDENAR</w:t>
      </w:r>
      <w:r w:rsidRPr="00507A3E">
        <w:rPr>
          <w:rFonts w:eastAsia="Times New Roman" w:cs="Tahoma"/>
          <w:color w:val="auto"/>
          <w:lang w:eastAsia="es-ES"/>
        </w:rPr>
        <w:t xml:space="preserve"> al Sujeto Obligado,</w:t>
      </w:r>
      <w:r w:rsidRPr="00507A3E">
        <w:rPr>
          <w:rFonts w:eastAsia="Calibri" w:cs="Tahoma"/>
          <w:color w:val="auto"/>
        </w:rPr>
        <w:t xml:space="preserve"> a</w:t>
      </w:r>
      <w:r w:rsidR="00162887" w:rsidRPr="00507A3E">
        <w:rPr>
          <w:rFonts w:eastAsia="Calibri" w:cs="Tahoma"/>
          <w:color w:val="auto"/>
        </w:rPr>
        <w:t xml:space="preserve"> efecto de que,  previa búsqueda exhaustiva y razonable en todas las unidades administrativas competentes, entre la cual</w:t>
      </w:r>
      <w:r w:rsidR="00BC13A1" w:rsidRPr="00507A3E">
        <w:rPr>
          <w:rFonts w:eastAsia="Calibri" w:cs="Tahoma"/>
          <w:color w:val="auto"/>
        </w:rPr>
        <w:t>es</w:t>
      </w:r>
      <w:r w:rsidR="00162887" w:rsidRPr="00507A3E">
        <w:rPr>
          <w:rFonts w:eastAsia="Calibri" w:cs="Tahoma"/>
          <w:color w:val="auto"/>
        </w:rPr>
        <w:t xml:space="preserve"> no podrá omitir a la </w:t>
      </w:r>
      <w:r w:rsidR="007D5010" w:rsidRPr="00507A3E">
        <w:rPr>
          <w:rFonts w:eastAsia="Calibri" w:cs="Tahoma"/>
          <w:color w:val="auto"/>
        </w:rPr>
        <w:t>Dirección de Administración</w:t>
      </w:r>
      <w:r w:rsidR="00C85FBB" w:rsidRPr="00507A3E">
        <w:rPr>
          <w:rFonts w:eastAsia="Calibri" w:cs="Tahoma"/>
          <w:color w:val="auto"/>
        </w:rPr>
        <w:t xml:space="preserve"> y la Tesorería Municipal</w:t>
      </w:r>
      <w:r w:rsidR="00162887" w:rsidRPr="00507A3E">
        <w:rPr>
          <w:rFonts w:eastAsia="Calibri" w:cs="Tahoma"/>
          <w:color w:val="auto"/>
        </w:rPr>
        <w:t xml:space="preserve">, </w:t>
      </w:r>
      <w:r w:rsidR="007D5010" w:rsidRPr="00507A3E">
        <w:t xml:space="preserve">entregue, a través del Sistema de Acceso a la Información Mexiquense (SAIMEX), en </w:t>
      </w:r>
      <w:r w:rsidR="001D5E7C" w:rsidRPr="00507A3E">
        <w:t xml:space="preserve">su caso, en </w:t>
      </w:r>
      <w:r w:rsidR="00344B54" w:rsidRPr="00507A3E">
        <w:t>versión pública</w:t>
      </w:r>
      <w:r w:rsidR="00FB2DCC" w:rsidRPr="00507A3E">
        <w:t>, los documentos donde conste lo siguiente:</w:t>
      </w:r>
    </w:p>
    <w:p w14:paraId="31E86438" w14:textId="3B599328" w:rsidR="00FB2DCC" w:rsidRPr="00507A3E" w:rsidRDefault="00FB2DCC" w:rsidP="008567E8">
      <w:pPr>
        <w:spacing w:after="0" w:line="360" w:lineRule="auto"/>
      </w:pPr>
    </w:p>
    <w:p w14:paraId="4E492873" w14:textId="77777777" w:rsidR="00C73945" w:rsidRPr="00507A3E" w:rsidRDefault="00C73945" w:rsidP="00C73945">
      <w:pPr>
        <w:pStyle w:val="Prrafodelista"/>
        <w:widowControl w:val="0"/>
        <w:numPr>
          <w:ilvl w:val="0"/>
          <w:numId w:val="36"/>
        </w:numPr>
        <w:spacing w:after="0" w:line="360" w:lineRule="auto"/>
        <w:rPr>
          <w:rFonts w:eastAsia="Times New Roman" w:cs="Tahoma"/>
          <w:b/>
          <w:color w:val="000000"/>
          <w:lang w:eastAsia="es-MX"/>
        </w:rPr>
      </w:pPr>
      <w:r w:rsidRPr="00507A3E">
        <w:rPr>
          <w:rFonts w:eastAsia="Times New Roman" w:cs="Times New Roman"/>
          <w:bCs/>
          <w:iCs/>
          <w:color w:val="auto"/>
          <w:szCs w:val="20"/>
          <w:lang w:val="es-ES" w:eastAsia="es-ES"/>
        </w:rPr>
        <w:t>La renuncia de la entonces Coordinadora de Asesores, Josefina Aidé Flores Delgado, y</w:t>
      </w:r>
    </w:p>
    <w:p w14:paraId="67A1A884" w14:textId="77777777" w:rsidR="00C73945" w:rsidRPr="00507A3E" w:rsidRDefault="00C73945" w:rsidP="00C73945">
      <w:pPr>
        <w:pStyle w:val="Prrafodelista"/>
        <w:widowControl w:val="0"/>
        <w:spacing w:after="0" w:line="360" w:lineRule="auto"/>
        <w:rPr>
          <w:rFonts w:eastAsia="Times New Roman" w:cs="Tahoma"/>
          <w:b/>
          <w:color w:val="000000"/>
          <w:lang w:eastAsia="es-MX"/>
        </w:rPr>
      </w:pPr>
    </w:p>
    <w:p w14:paraId="3FCAC54B" w14:textId="77777777" w:rsidR="00C73945" w:rsidRPr="00507A3E" w:rsidRDefault="00C73945" w:rsidP="00C73945">
      <w:pPr>
        <w:pStyle w:val="Prrafodelista"/>
        <w:widowControl w:val="0"/>
        <w:numPr>
          <w:ilvl w:val="0"/>
          <w:numId w:val="36"/>
        </w:numPr>
        <w:spacing w:after="0" w:line="360" w:lineRule="auto"/>
        <w:rPr>
          <w:rFonts w:eastAsia="Times New Roman" w:cs="Tahoma"/>
          <w:b/>
          <w:color w:val="000000"/>
          <w:lang w:eastAsia="es-MX"/>
        </w:rPr>
      </w:pPr>
      <w:r w:rsidRPr="00507A3E">
        <w:rPr>
          <w:rFonts w:eastAsia="Times New Roman" w:cs="Times New Roman"/>
          <w:bCs/>
          <w:iCs/>
          <w:color w:val="auto"/>
          <w:szCs w:val="20"/>
          <w:lang w:val="es-ES" w:eastAsia="es-ES"/>
        </w:rPr>
        <w:t>Los recibos de nómina de la entonces Coordinadora de Asesores (desde la fecha de alta a la primera quincena de abril de dos mil veintidós) y del Primer Regidor (de la primera quincena de enero a la segunda de octubre de dos mil veintidós).</w:t>
      </w:r>
    </w:p>
    <w:p w14:paraId="57C4A080" w14:textId="77777777" w:rsidR="00C73945" w:rsidRPr="00507A3E" w:rsidRDefault="00C73945" w:rsidP="008567E8">
      <w:pPr>
        <w:spacing w:after="0" w:line="360" w:lineRule="auto"/>
        <w:rPr>
          <w:rFonts w:eastAsia="Times New Roman" w:cs="Tahoma"/>
          <w:b/>
          <w:bCs/>
          <w:iCs/>
          <w:color w:val="auto"/>
          <w:lang w:eastAsia="es-ES"/>
        </w:rPr>
      </w:pPr>
    </w:p>
    <w:p w14:paraId="0814A523" w14:textId="232E9BB8" w:rsidR="00C73945" w:rsidRPr="00507A3E" w:rsidRDefault="00B63814" w:rsidP="00C73945">
      <w:pPr>
        <w:spacing w:after="0" w:line="360" w:lineRule="auto"/>
        <w:ind w:right="-28"/>
        <w:rPr>
          <w:rFonts w:eastAsia="Times New Roman" w:cs="Tahoma"/>
          <w:bCs/>
          <w:iCs/>
          <w:color w:val="auto"/>
          <w:lang w:eastAsia="es-ES"/>
        </w:rPr>
      </w:pPr>
      <w:r w:rsidRPr="00507A3E">
        <w:t xml:space="preserve">Además, </w:t>
      </w:r>
      <w:r w:rsidR="00FB2DCC" w:rsidRPr="00507A3E">
        <w:t>de ser necesario, d</w:t>
      </w:r>
      <w:r w:rsidRPr="00507A3E">
        <w:t>eberá proporcionar el Acuerdo de Clasificación donde el Comité de Transparencia, confirme la eliminación de los datos o información clasificada, en la versión pública</w:t>
      </w:r>
      <w:r w:rsidR="00FB2DCC" w:rsidRPr="00507A3E">
        <w:t>.</w:t>
      </w:r>
      <w:r w:rsidR="00C73945" w:rsidRPr="00507A3E">
        <w:rPr>
          <w:rFonts w:eastAsia="Times New Roman" w:cs="Tahoma"/>
          <w:bCs/>
          <w:iCs/>
          <w:color w:val="auto"/>
          <w:lang w:eastAsia="es-ES"/>
        </w:rPr>
        <w:t xml:space="preserve"> Para el caso, de que la entonces servidora pública haya causado baja, por otra </w:t>
      </w:r>
      <w:r w:rsidR="00C73945" w:rsidRPr="00507A3E">
        <w:rPr>
          <w:rFonts w:eastAsia="Times New Roman" w:cs="Tahoma"/>
          <w:bCs/>
          <w:iCs/>
          <w:color w:val="auto"/>
          <w:lang w:eastAsia="es-ES"/>
        </w:rPr>
        <w:lastRenderedPageBreak/>
        <w:t>circunstancia diversa a la renuncia, deberá hacerlo del conocimiento del Recurrente, de manera clara y precisa.</w:t>
      </w:r>
    </w:p>
    <w:p w14:paraId="670D5C27" w14:textId="77777777" w:rsidR="00B63814" w:rsidRPr="00507A3E" w:rsidRDefault="00B63814" w:rsidP="008567E8">
      <w:pPr>
        <w:autoSpaceDE w:val="0"/>
        <w:autoSpaceDN w:val="0"/>
        <w:adjustRightInd w:val="0"/>
        <w:spacing w:after="0" w:line="360" w:lineRule="auto"/>
        <w:rPr>
          <w:rFonts w:eastAsia="Calibri" w:cs="Tahoma"/>
          <w:b/>
          <w:bCs/>
          <w:iCs/>
          <w:color w:val="auto"/>
          <w:lang w:val="es-ES"/>
        </w:rPr>
      </w:pPr>
    </w:p>
    <w:p w14:paraId="1B1F6A58" w14:textId="5A8283E7" w:rsidR="00051642" w:rsidRPr="00507A3E" w:rsidRDefault="00051642" w:rsidP="008567E8">
      <w:pPr>
        <w:autoSpaceDE w:val="0"/>
        <w:autoSpaceDN w:val="0"/>
        <w:adjustRightInd w:val="0"/>
        <w:spacing w:after="0" w:line="360" w:lineRule="auto"/>
        <w:rPr>
          <w:rFonts w:eastAsia="Calibri" w:cs="Tahoma"/>
          <w:b/>
          <w:bCs/>
          <w:iCs/>
          <w:color w:val="auto"/>
          <w:lang w:val="es-ES"/>
        </w:rPr>
      </w:pPr>
      <w:r w:rsidRPr="00507A3E">
        <w:rPr>
          <w:rFonts w:eastAsia="Calibri" w:cs="Tahoma"/>
          <w:b/>
          <w:bCs/>
          <w:iCs/>
          <w:color w:val="auto"/>
          <w:lang w:val="es-ES"/>
        </w:rPr>
        <w:t>Términos de la Resolución para conocimiento del Particular.</w:t>
      </w:r>
    </w:p>
    <w:p w14:paraId="5C0B25D5" w14:textId="77777777" w:rsidR="00DC77CC" w:rsidRPr="00507A3E" w:rsidRDefault="00DC77CC" w:rsidP="008567E8">
      <w:pPr>
        <w:autoSpaceDE w:val="0"/>
        <w:autoSpaceDN w:val="0"/>
        <w:adjustRightInd w:val="0"/>
        <w:spacing w:after="0" w:line="360" w:lineRule="auto"/>
        <w:rPr>
          <w:rFonts w:eastAsia="Calibri" w:cs="Tahoma"/>
          <w:b/>
          <w:bCs/>
          <w:iCs/>
          <w:color w:val="auto"/>
          <w:lang w:val="es-ES"/>
        </w:rPr>
      </w:pPr>
    </w:p>
    <w:p w14:paraId="2B55BD7B" w14:textId="496ABF9C" w:rsidR="00051642" w:rsidRPr="00507A3E" w:rsidRDefault="00051642" w:rsidP="00C73945">
      <w:pPr>
        <w:widowControl w:val="0"/>
        <w:autoSpaceDE w:val="0"/>
        <w:autoSpaceDN w:val="0"/>
        <w:adjustRightInd w:val="0"/>
        <w:spacing w:after="0" w:line="360" w:lineRule="auto"/>
        <w:rPr>
          <w:rFonts w:eastAsia="Calibri" w:cs="Tahoma"/>
          <w:bCs/>
          <w:iCs/>
          <w:color w:val="auto"/>
        </w:rPr>
      </w:pPr>
      <w:r w:rsidRPr="00507A3E">
        <w:rPr>
          <w:rFonts w:eastAsia="Calibri" w:cs="Tahoma"/>
          <w:bCs/>
          <w:iCs/>
          <w:color w:val="auto"/>
          <w:lang w:val="es-ES"/>
        </w:rPr>
        <w:t xml:space="preserve">Se le hace del conocimiento al Particular, que, en el presente caso, se le da la razón, pues el Ayuntamiento </w:t>
      </w:r>
      <w:r w:rsidR="00C74529" w:rsidRPr="00507A3E">
        <w:rPr>
          <w:rFonts w:eastAsia="Calibri" w:cs="Tahoma"/>
          <w:bCs/>
          <w:iCs/>
          <w:color w:val="auto"/>
          <w:lang w:val="es-ES"/>
        </w:rPr>
        <w:t xml:space="preserve">de </w:t>
      </w:r>
      <w:r w:rsidR="00B63814" w:rsidRPr="00507A3E">
        <w:rPr>
          <w:rFonts w:eastAsia="Calibri" w:cs="Tahoma"/>
          <w:bCs/>
          <w:iCs/>
          <w:color w:val="auto"/>
          <w:lang w:val="es-ES"/>
        </w:rPr>
        <w:t>Zinacantepec</w:t>
      </w:r>
      <w:r w:rsidR="00C74529" w:rsidRPr="00507A3E">
        <w:rPr>
          <w:rFonts w:eastAsia="Calibri" w:cs="Tahoma"/>
          <w:bCs/>
          <w:iCs/>
          <w:color w:val="auto"/>
          <w:lang w:val="es-ES"/>
        </w:rPr>
        <w:t xml:space="preserve"> </w:t>
      </w:r>
      <w:r w:rsidRPr="00507A3E">
        <w:rPr>
          <w:rFonts w:eastAsia="Calibri" w:cs="Tahoma"/>
          <w:bCs/>
          <w:iCs/>
          <w:color w:val="auto"/>
          <w:lang w:val="es-ES"/>
        </w:rPr>
        <w:t>no emitió contestación alguna</w:t>
      </w:r>
      <w:r w:rsidR="00BC13A1" w:rsidRPr="00507A3E">
        <w:rPr>
          <w:rFonts w:eastAsia="Calibri" w:cs="Tahoma"/>
          <w:bCs/>
          <w:iCs/>
          <w:color w:val="auto"/>
          <w:lang w:val="es-ES"/>
        </w:rPr>
        <w:t xml:space="preserve">; </w:t>
      </w:r>
      <w:r w:rsidR="00B63814" w:rsidRPr="00507A3E">
        <w:t xml:space="preserve">por otra parte, si bien durante la substanciación del Medio de Impugnación, dio respuesta a la solicitud, lo cierto es que no proporcionó </w:t>
      </w:r>
      <w:r w:rsidR="00FB2DCC" w:rsidRPr="00507A3E">
        <w:t>la información</w:t>
      </w:r>
      <w:r w:rsidR="00B63814" w:rsidRPr="00507A3E">
        <w:t xml:space="preserve"> requerida, </w:t>
      </w:r>
      <w:r w:rsidR="00FB2DCC" w:rsidRPr="00507A3E">
        <w:t xml:space="preserve">al </w:t>
      </w:r>
      <w:r w:rsidR="00344B54" w:rsidRPr="00507A3E">
        <w:t>proporcionar información que no correspondía con lo solicitado</w:t>
      </w:r>
      <w:r w:rsidR="00FB2DCC" w:rsidRPr="00507A3E">
        <w:t xml:space="preserve">, por lo que, deberá entregarle la información </w:t>
      </w:r>
      <w:r w:rsidR="00344B54" w:rsidRPr="00507A3E">
        <w:t xml:space="preserve">de los servidores públicos solicitados. </w:t>
      </w:r>
      <w:r w:rsidRPr="00507A3E">
        <w:rPr>
          <w:rFonts w:eastAsia="Calibri" w:cs="Tahoma"/>
          <w:bCs/>
          <w:iCs/>
          <w:color w:val="auto"/>
          <w:lang w:val="es-ES" w:eastAsia="es-ES_tradnl"/>
        </w:rPr>
        <w:t>Además, se le informa que, de conformidad con lo establecido en el artículo 179, párrafo segundo, de la Ley de Transparencia y Acceso a la Información Pública del Estado de México y Municipios, tiene derecho a interponer nuevamente Recurso de Revisión ante este Instituto, por la respuesta que dé el Sujeto Obligado, en cumplimiento a esta Resolución.</w:t>
      </w:r>
      <w:r w:rsidR="00DC77CC" w:rsidRPr="00507A3E">
        <w:rPr>
          <w:rFonts w:eastAsia="Calibri" w:cs="Tahoma"/>
          <w:bCs/>
          <w:iCs/>
          <w:color w:val="auto"/>
          <w:lang w:val="es-ES" w:eastAsia="es-ES_tradnl"/>
        </w:rPr>
        <w:t xml:space="preserve"> </w:t>
      </w:r>
      <w:r w:rsidR="00C73945" w:rsidRPr="00507A3E">
        <w:rPr>
          <w:rFonts w:eastAsia="Calibri" w:cs="Tahoma"/>
          <w:bCs/>
          <w:iCs/>
          <w:color w:val="auto"/>
          <w:lang w:val="es-ES" w:eastAsia="es-ES_tradnl"/>
        </w:rPr>
        <w:t>Finalmente, la</w:t>
      </w:r>
      <w:r w:rsidR="001D5E7C" w:rsidRPr="00507A3E">
        <w:rPr>
          <w:rFonts w:eastAsia="Calibri" w:cs="Tahoma"/>
          <w:bCs/>
          <w:iCs/>
          <w:color w:val="auto"/>
          <w:lang w:val="es-ES" w:eastAsia="es-ES_tradnl"/>
        </w:rPr>
        <w:t xml:space="preserve"> </w:t>
      </w:r>
      <w:r w:rsidRPr="00507A3E">
        <w:rPr>
          <w:rFonts w:eastAsia="Calibri" w:cs="Tahoma"/>
          <w:bCs/>
          <w:iCs/>
          <w:color w:val="auto"/>
        </w:rPr>
        <w:t xml:space="preserve">labor </w:t>
      </w:r>
      <w:r w:rsidR="00BA51D5" w:rsidRPr="00507A3E">
        <w:rPr>
          <w:rFonts w:eastAsia="Calibri" w:cs="Tahoma"/>
          <w:bCs/>
          <w:iCs/>
          <w:color w:val="auto"/>
        </w:rPr>
        <w:t>del Instituto</w:t>
      </w:r>
      <w:r w:rsidRPr="00507A3E">
        <w:rPr>
          <w:rFonts w:eastAsia="Calibri" w:cs="Tahoma"/>
          <w:bCs/>
          <w:iCs/>
          <w:color w:val="auto"/>
        </w:rPr>
        <w:t>, es apoyar a la población a acceder a la información pública y garantizar la protección de sus datos personales.</w:t>
      </w:r>
    </w:p>
    <w:p w14:paraId="3857DBD4" w14:textId="77777777" w:rsidR="00FB2DCC" w:rsidRPr="00507A3E" w:rsidRDefault="00FB2DCC" w:rsidP="008567E8">
      <w:pPr>
        <w:spacing w:after="0" w:line="360" w:lineRule="auto"/>
        <w:rPr>
          <w:rFonts w:eastAsia="Calibri" w:cs="Tahoma"/>
          <w:bCs/>
          <w:iCs/>
          <w:color w:val="auto"/>
        </w:rPr>
      </w:pPr>
    </w:p>
    <w:p w14:paraId="1352EB4E" w14:textId="77777777" w:rsidR="00051642" w:rsidRPr="00507A3E" w:rsidRDefault="00051642" w:rsidP="008567E8">
      <w:pPr>
        <w:spacing w:after="0" w:line="360" w:lineRule="auto"/>
        <w:rPr>
          <w:rFonts w:eastAsia="Times New Roman" w:cs="Tahoma"/>
          <w:b/>
          <w:bCs/>
          <w:iCs/>
          <w:color w:val="auto"/>
          <w:lang w:eastAsia="es-ES"/>
        </w:rPr>
      </w:pPr>
      <w:r w:rsidRPr="00507A3E">
        <w:rPr>
          <w:rFonts w:eastAsia="Times New Roman" w:cs="Tahoma"/>
          <w:b/>
          <w:bCs/>
          <w:iCs/>
          <w:color w:val="auto"/>
          <w:lang w:eastAsia="es-ES"/>
        </w:rPr>
        <w:t xml:space="preserve">SÉPTIMO. Vista a la Contraloría Interna y Órgano de Control y Vigilancia. </w:t>
      </w:r>
    </w:p>
    <w:p w14:paraId="6F19DE15" w14:textId="77777777" w:rsidR="00051642" w:rsidRPr="00507A3E" w:rsidRDefault="00051642" w:rsidP="008567E8">
      <w:pPr>
        <w:spacing w:after="0" w:line="360" w:lineRule="auto"/>
        <w:rPr>
          <w:rFonts w:eastAsia="Times New Roman" w:cs="Tahoma"/>
          <w:bCs/>
          <w:color w:val="auto"/>
          <w:lang w:eastAsia="es-ES"/>
        </w:rPr>
      </w:pPr>
    </w:p>
    <w:p w14:paraId="390D5024" w14:textId="4C879E76" w:rsidR="001D5E7C" w:rsidRPr="00507A3E" w:rsidRDefault="00051642" w:rsidP="008567E8">
      <w:pPr>
        <w:spacing w:after="0" w:line="360" w:lineRule="auto"/>
        <w:rPr>
          <w:rFonts w:eastAsia="Times New Roman" w:cs="Tahoma"/>
          <w:bCs/>
          <w:color w:val="auto"/>
          <w:lang w:eastAsia="es-ES"/>
        </w:rPr>
      </w:pPr>
      <w:r w:rsidRPr="00507A3E">
        <w:rPr>
          <w:rFonts w:eastAsia="Times New Roman" w:cs="Tahoma"/>
          <w:bCs/>
          <w:color w:val="auto"/>
          <w:lang w:eastAsia="es-ES"/>
        </w:rPr>
        <w:t xml:space="preserve">En el caso en estudio, ha quedado acreditado que el Ayuntamiento de </w:t>
      </w:r>
      <w:r w:rsidR="00B63814" w:rsidRPr="00507A3E">
        <w:rPr>
          <w:rFonts w:eastAsia="Times New Roman" w:cs="Tahoma"/>
          <w:bCs/>
          <w:color w:val="auto"/>
          <w:lang w:eastAsia="es-ES"/>
        </w:rPr>
        <w:t xml:space="preserve">Zinacantepec </w:t>
      </w:r>
      <w:r w:rsidRPr="00507A3E">
        <w:rPr>
          <w:rFonts w:eastAsia="Times New Roman" w:cs="Tahoma"/>
          <w:bCs/>
          <w:color w:val="auto"/>
          <w:lang w:eastAsia="es-ES"/>
        </w:rPr>
        <w:t>omitió dar respuesta en el plazo señalado en el artículo 163 de la Ley de Transparencia y Acceso a la Información Pública del Estado de México y Municipios.</w:t>
      </w:r>
      <w:r w:rsidR="002302CE" w:rsidRPr="00507A3E">
        <w:rPr>
          <w:rFonts w:eastAsia="Times New Roman" w:cs="Tahoma"/>
          <w:bCs/>
          <w:color w:val="auto"/>
          <w:lang w:eastAsia="es-ES"/>
        </w:rPr>
        <w:t xml:space="preserve"> </w:t>
      </w:r>
      <w:r w:rsidRPr="00507A3E">
        <w:rPr>
          <w:rFonts w:eastAsia="Times New Roman" w:cs="Tahoma"/>
          <w:bCs/>
          <w:color w:val="auto"/>
          <w:lang w:eastAsia="es-ES"/>
        </w:rPr>
        <w:t xml:space="preserve">Al respecto, el artículo 36, fracción X, del ordenamiento jurídico en cita, establece que es atribución de este Instituto hacer del conocimiento del Órgano Interno de Control o equivalente de cada Sujeto Obligado las infracciones a esta Ley. </w:t>
      </w:r>
    </w:p>
    <w:p w14:paraId="75F59A20" w14:textId="77777777" w:rsidR="001D5E7C" w:rsidRPr="00507A3E" w:rsidRDefault="001D5E7C" w:rsidP="008567E8">
      <w:pPr>
        <w:spacing w:after="0" w:line="360" w:lineRule="auto"/>
        <w:rPr>
          <w:rFonts w:eastAsia="Times New Roman" w:cs="Tahoma"/>
          <w:bCs/>
          <w:color w:val="auto"/>
          <w:lang w:eastAsia="es-ES"/>
        </w:rPr>
      </w:pPr>
    </w:p>
    <w:p w14:paraId="3CFD189B" w14:textId="4EC851C4" w:rsidR="00051642" w:rsidRPr="00507A3E" w:rsidRDefault="00051642" w:rsidP="008567E8">
      <w:pPr>
        <w:spacing w:after="0" w:line="360" w:lineRule="auto"/>
        <w:rPr>
          <w:rFonts w:eastAsia="Times New Roman" w:cs="Tahoma"/>
          <w:bCs/>
          <w:color w:val="auto"/>
          <w:lang w:eastAsia="es-ES"/>
        </w:rPr>
      </w:pPr>
      <w:r w:rsidRPr="00507A3E">
        <w:rPr>
          <w:rFonts w:eastAsia="Times New Roman" w:cs="Tahoma"/>
          <w:bCs/>
          <w:color w:val="auto"/>
          <w:lang w:eastAsia="es-ES"/>
        </w:rPr>
        <w:lastRenderedPageBreak/>
        <w:t>En 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w:t>
      </w:r>
    </w:p>
    <w:p w14:paraId="4DE81180" w14:textId="5AF437F6" w:rsidR="00104C84" w:rsidRPr="00507A3E" w:rsidRDefault="00104C84" w:rsidP="008567E8">
      <w:pPr>
        <w:spacing w:after="0" w:line="360" w:lineRule="auto"/>
        <w:rPr>
          <w:rFonts w:eastAsia="Times New Roman" w:cs="Tahoma"/>
          <w:bCs/>
          <w:color w:val="auto"/>
          <w:lang w:eastAsia="es-ES"/>
        </w:rPr>
      </w:pPr>
    </w:p>
    <w:p w14:paraId="6D41BE4A" w14:textId="147F53B7" w:rsidR="00051642" w:rsidRPr="00507A3E" w:rsidRDefault="00051642" w:rsidP="008567E8">
      <w:pPr>
        <w:spacing w:after="0" w:line="360" w:lineRule="auto"/>
        <w:rPr>
          <w:rFonts w:eastAsia="Times New Roman" w:cs="Tahoma"/>
          <w:bCs/>
          <w:color w:val="auto"/>
          <w:lang w:eastAsia="es-ES"/>
        </w:rPr>
      </w:pPr>
      <w:r w:rsidRPr="00507A3E">
        <w:rPr>
          <w:rFonts w:eastAsia="Times New Roman" w:cs="Tahoma"/>
          <w:bCs/>
          <w:color w:val="auto"/>
          <w:lang w:eastAsia="es-ES"/>
        </w:rPr>
        <w:t>Por su parte,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w:t>
      </w:r>
      <w:r w:rsidR="001D5E7C" w:rsidRPr="00507A3E">
        <w:rPr>
          <w:rFonts w:eastAsia="Times New Roman" w:cs="Tahoma"/>
          <w:bCs/>
          <w:color w:val="auto"/>
          <w:lang w:eastAsia="es-ES"/>
        </w:rPr>
        <w:t xml:space="preserve"> </w:t>
      </w:r>
      <w:r w:rsidRPr="00507A3E">
        <w:rPr>
          <w:rFonts w:eastAsia="Times New Roman" w:cs="Tahoma"/>
          <w:bCs/>
          <w:color w:val="auto"/>
          <w:lang w:eastAsia="es-ES"/>
        </w:rPr>
        <w:t xml:space="preserve">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w:t>
      </w:r>
      <w:r w:rsidRPr="00507A3E">
        <w:rPr>
          <w:rFonts w:eastAsia="Times New Roman" w:cs="Tahoma"/>
          <w:bCs/>
          <w:color w:val="auto"/>
          <w:lang w:val="es-ES_tradnl" w:eastAsia="es-ES"/>
        </w:rPr>
        <w:t>al Contralor Interno y Titular del Órgano de Control y Vigilancia de este Instituto</w:t>
      </w:r>
      <w:r w:rsidRPr="00507A3E">
        <w:rPr>
          <w:rFonts w:eastAsia="Times New Roman" w:cs="Tahoma"/>
          <w:bCs/>
          <w:color w:val="auto"/>
          <w:lang w:eastAsia="es-ES"/>
        </w:rPr>
        <w:t>.</w:t>
      </w:r>
    </w:p>
    <w:p w14:paraId="38D27EF9" w14:textId="77777777" w:rsidR="001D5E7C" w:rsidRPr="00507A3E" w:rsidRDefault="001D5E7C" w:rsidP="008567E8">
      <w:pPr>
        <w:spacing w:after="0" w:line="360" w:lineRule="auto"/>
        <w:rPr>
          <w:rFonts w:eastAsia="Times New Roman" w:cs="Tahoma"/>
          <w:bCs/>
          <w:color w:val="auto"/>
          <w:lang w:eastAsia="es-ES"/>
        </w:rPr>
      </w:pPr>
    </w:p>
    <w:p w14:paraId="1770A8E5" w14:textId="11A8A6E3" w:rsidR="00BA51D5" w:rsidRPr="00507A3E" w:rsidRDefault="00051642" w:rsidP="008567E8">
      <w:pPr>
        <w:spacing w:after="0" w:line="360" w:lineRule="auto"/>
        <w:rPr>
          <w:rFonts w:eastAsia="Times New Roman" w:cs="Tahoma"/>
          <w:bCs/>
          <w:color w:val="auto"/>
          <w:lang w:eastAsia="es-ES"/>
        </w:rPr>
      </w:pPr>
      <w:r w:rsidRPr="00507A3E">
        <w:rPr>
          <w:rFonts w:eastAsia="Times New Roman" w:cs="Tahoma"/>
          <w:bCs/>
          <w:color w:val="auto"/>
          <w:lang w:eastAsia="es-ES"/>
        </w:rPr>
        <w:t>Por lo expuesto y fundado, este Pleno:</w:t>
      </w:r>
    </w:p>
    <w:p w14:paraId="0E171095" w14:textId="77777777" w:rsidR="00B63814" w:rsidRPr="00507A3E" w:rsidRDefault="00B63814" w:rsidP="008567E8">
      <w:pPr>
        <w:spacing w:after="0" w:line="360" w:lineRule="auto"/>
        <w:rPr>
          <w:rFonts w:eastAsia="Times New Roman" w:cs="Tahoma"/>
          <w:bCs/>
          <w:color w:val="auto"/>
          <w:lang w:eastAsia="es-ES"/>
        </w:rPr>
      </w:pPr>
    </w:p>
    <w:p w14:paraId="77BDAE25" w14:textId="77777777" w:rsidR="00051642" w:rsidRPr="00507A3E" w:rsidRDefault="00051642" w:rsidP="008567E8">
      <w:pPr>
        <w:spacing w:after="0" w:line="360" w:lineRule="auto"/>
        <w:jc w:val="center"/>
        <w:rPr>
          <w:rFonts w:eastAsia="Times New Roman" w:cs="Tahoma"/>
          <w:b/>
          <w:bCs/>
          <w:color w:val="auto"/>
          <w:lang w:eastAsia="es-ES"/>
        </w:rPr>
      </w:pPr>
      <w:r w:rsidRPr="00507A3E">
        <w:rPr>
          <w:rFonts w:eastAsia="Times New Roman" w:cs="Tahoma"/>
          <w:b/>
          <w:bCs/>
          <w:color w:val="auto"/>
          <w:lang w:eastAsia="es-ES"/>
        </w:rPr>
        <w:t>R E S U E L V E:</w:t>
      </w:r>
    </w:p>
    <w:p w14:paraId="42CEA88B" w14:textId="77777777" w:rsidR="00051642" w:rsidRPr="00507A3E" w:rsidRDefault="00051642" w:rsidP="008567E8">
      <w:pPr>
        <w:spacing w:after="0" w:line="360" w:lineRule="auto"/>
        <w:ind w:right="113"/>
        <w:rPr>
          <w:rFonts w:eastAsia="Times New Roman" w:cs="Arial"/>
          <w:b/>
          <w:color w:val="auto"/>
          <w:lang w:eastAsia="es-ES"/>
        </w:rPr>
      </w:pPr>
    </w:p>
    <w:p w14:paraId="0D24B3F1" w14:textId="01D8A4DA" w:rsidR="00051642" w:rsidRPr="00507A3E" w:rsidRDefault="00051642" w:rsidP="008567E8">
      <w:pPr>
        <w:widowControl w:val="0"/>
        <w:spacing w:after="0" w:line="360" w:lineRule="auto"/>
        <w:rPr>
          <w:rFonts w:eastAsia="Calibri" w:cs="Tahoma"/>
          <w:bCs/>
          <w:color w:val="auto"/>
        </w:rPr>
      </w:pPr>
      <w:r w:rsidRPr="00507A3E">
        <w:rPr>
          <w:rFonts w:eastAsia="Times New Roman" w:cs="Tahoma"/>
          <w:b/>
          <w:bCs/>
          <w:color w:val="auto"/>
          <w:lang w:eastAsia="es-ES"/>
        </w:rPr>
        <w:t xml:space="preserve">PRIMERO. </w:t>
      </w:r>
      <w:r w:rsidRPr="00507A3E">
        <w:rPr>
          <w:rFonts w:eastAsia="Calibri" w:cs="Tahoma"/>
          <w:bCs/>
          <w:color w:val="auto"/>
        </w:rPr>
        <w:t xml:space="preserve">Resultan </w:t>
      </w:r>
      <w:r w:rsidRPr="00507A3E">
        <w:rPr>
          <w:rFonts w:eastAsia="Calibri" w:cs="Tahoma"/>
          <w:b/>
          <w:bCs/>
          <w:color w:val="auto"/>
        </w:rPr>
        <w:t>FUNDADAS</w:t>
      </w:r>
      <w:r w:rsidRPr="00507A3E">
        <w:rPr>
          <w:rFonts w:eastAsia="Calibri" w:cs="Tahoma"/>
          <w:bCs/>
          <w:color w:val="auto"/>
        </w:rPr>
        <w:t xml:space="preserve"> las razones o motivos de inconformidad hechos valer por el Particular en </w:t>
      </w:r>
      <w:r w:rsidR="00E65F72" w:rsidRPr="00507A3E">
        <w:rPr>
          <w:rFonts w:eastAsia="Calibri" w:cs="Tahoma"/>
          <w:bCs/>
          <w:color w:val="auto"/>
        </w:rPr>
        <w:t>el</w:t>
      </w:r>
      <w:r w:rsidRPr="00507A3E">
        <w:rPr>
          <w:rFonts w:eastAsia="Calibri" w:cs="Tahoma"/>
          <w:bCs/>
          <w:color w:val="auto"/>
        </w:rPr>
        <w:t xml:space="preserve"> Recurso de Revisión </w:t>
      </w:r>
      <w:r w:rsidR="00DB3AE0" w:rsidRPr="00507A3E">
        <w:rPr>
          <w:rFonts w:eastAsia="Calibri" w:cs="Tahoma"/>
          <w:b/>
          <w:color w:val="auto"/>
        </w:rPr>
        <w:t>17126/INFOEM/IP/RR/2022</w:t>
      </w:r>
      <w:r w:rsidRPr="00507A3E">
        <w:rPr>
          <w:rFonts w:eastAsia="Times New Roman" w:cs="Tahoma"/>
          <w:b/>
          <w:color w:val="0D0D0D"/>
          <w:lang w:eastAsia="es-ES"/>
        </w:rPr>
        <w:t xml:space="preserve">, </w:t>
      </w:r>
      <w:r w:rsidRPr="00507A3E">
        <w:rPr>
          <w:rFonts w:eastAsia="Calibri" w:cs="Tahoma"/>
          <w:bCs/>
          <w:color w:val="auto"/>
        </w:rPr>
        <w:t>en términos de</w:t>
      </w:r>
      <w:r w:rsidR="00C02BBD" w:rsidRPr="00507A3E">
        <w:rPr>
          <w:rFonts w:eastAsia="Calibri" w:cs="Tahoma"/>
          <w:bCs/>
          <w:color w:val="auto"/>
        </w:rPr>
        <w:t xml:space="preserve"> </w:t>
      </w:r>
      <w:r w:rsidRPr="00507A3E">
        <w:rPr>
          <w:rFonts w:eastAsia="Calibri" w:cs="Tahoma"/>
          <w:bCs/>
          <w:color w:val="auto"/>
        </w:rPr>
        <w:t>l</w:t>
      </w:r>
      <w:r w:rsidR="00C02BBD" w:rsidRPr="00507A3E">
        <w:rPr>
          <w:rFonts w:eastAsia="Calibri" w:cs="Tahoma"/>
          <w:bCs/>
          <w:color w:val="auto"/>
        </w:rPr>
        <w:t>os</w:t>
      </w:r>
      <w:r w:rsidRPr="00507A3E">
        <w:rPr>
          <w:rFonts w:eastAsia="Calibri" w:cs="Tahoma"/>
          <w:bCs/>
          <w:color w:val="auto"/>
        </w:rPr>
        <w:t xml:space="preserve"> considerando</w:t>
      </w:r>
      <w:r w:rsidR="00C02BBD" w:rsidRPr="00507A3E">
        <w:rPr>
          <w:rFonts w:eastAsia="Calibri" w:cs="Tahoma"/>
          <w:bCs/>
          <w:color w:val="auto"/>
        </w:rPr>
        <w:t>s</w:t>
      </w:r>
      <w:r w:rsidRPr="00507A3E">
        <w:rPr>
          <w:rFonts w:eastAsia="Calibri" w:cs="Tahoma"/>
          <w:bCs/>
          <w:color w:val="auto"/>
        </w:rPr>
        <w:t xml:space="preserve"> QUINTO </w:t>
      </w:r>
      <w:r w:rsidRPr="00507A3E">
        <w:rPr>
          <w:rFonts w:eastAsia="Calibri" w:cs="Tahoma"/>
          <w:color w:val="auto"/>
        </w:rPr>
        <w:t>y</w:t>
      </w:r>
      <w:r w:rsidRPr="00507A3E">
        <w:rPr>
          <w:rFonts w:eastAsia="Calibri" w:cs="Tahoma"/>
          <w:bCs/>
          <w:color w:val="auto"/>
        </w:rPr>
        <w:t xml:space="preserve"> SEXTO</w:t>
      </w:r>
      <w:r w:rsidRPr="00507A3E">
        <w:rPr>
          <w:rFonts w:eastAsia="Calibri" w:cs="Tahoma"/>
          <w:b/>
          <w:bCs/>
          <w:color w:val="auto"/>
        </w:rPr>
        <w:t xml:space="preserve"> </w:t>
      </w:r>
      <w:r w:rsidRPr="00507A3E">
        <w:rPr>
          <w:rFonts w:eastAsia="Calibri" w:cs="Tahoma"/>
          <w:bCs/>
          <w:color w:val="auto"/>
        </w:rPr>
        <w:t>de la presente Resolución.</w:t>
      </w:r>
    </w:p>
    <w:p w14:paraId="5417D70D" w14:textId="77777777" w:rsidR="00051642" w:rsidRPr="00507A3E" w:rsidRDefault="00051642" w:rsidP="008567E8">
      <w:pPr>
        <w:spacing w:after="0" w:line="360" w:lineRule="auto"/>
        <w:rPr>
          <w:rFonts w:eastAsia="Times New Roman" w:cs="Tahoma"/>
          <w:b/>
          <w:bCs/>
          <w:color w:val="auto"/>
          <w:lang w:eastAsia="es-ES"/>
        </w:rPr>
      </w:pPr>
    </w:p>
    <w:p w14:paraId="195B7268" w14:textId="4F0F6745" w:rsidR="00FB2DCC" w:rsidRPr="00507A3E" w:rsidRDefault="00051642" w:rsidP="00E65F72">
      <w:pPr>
        <w:spacing w:after="0" w:line="360" w:lineRule="auto"/>
        <w:ind w:right="-93"/>
        <w:rPr>
          <w:rFonts w:eastAsia="Times New Roman" w:cs="Tahoma"/>
          <w:color w:val="auto"/>
          <w:szCs w:val="20"/>
          <w:lang w:val="es-ES" w:eastAsia="es-ES"/>
        </w:rPr>
      </w:pPr>
      <w:r w:rsidRPr="00507A3E">
        <w:rPr>
          <w:rFonts w:eastAsia="Calibri" w:cs="Tahoma"/>
          <w:b/>
          <w:bCs/>
          <w:color w:val="auto"/>
        </w:rPr>
        <w:t>SEGUNDO.</w:t>
      </w:r>
      <w:r w:rsidRPr="00507A3E">
        <w:rPr>
          <w:rFonts w:eastAsia="Calibri" w:cs="Tahoma"/>
          <w:color w:val="auto"/>
          <w:lang w:eastAsia="es-MX"/>
        </w:rPr>
        <w:t xml:space="preserve"> </w:t>
      </w:r>
      <w:r w:rsidR="00E65F72" w:rsidRPr="00507A3E">
        <w:rPr>
          <w:rFonts w:eastAsia="Calibri" w:cs="Tahoma"/>
          <w:color w:val="auto"/>
          <w:lang w:eastAsia="es-MX"/>
        </w:rPr>
        <w:t xml:space="preserve">Se </w:t>
      </w:r>
      <w:r w:rsidR="00E65F72" w:rsidRPr="00507A3E">
        <w:rPr>
          <w:rFonts w:eastAsia="Calibri" w:cs="Tahoma"/>
          <w:b/>
          <w:color w:val="auto"/>
          <w:lang w:eastAsia="es-MX"/>
        </w:rPr>
        <w:t xml:space="preserve">ORDENA </w:t>
      </w:r>
      <w:r w:rsidR="00E65F72" w:rsidRPr="00507A3E">
        <w:rPr>
          <w:rFonts w:eastAsia="Calibri" w:cs="Tahoma"/>
          <w:color w:val="auto"/>
          <w:lang w:eastAsia="es-MX"/>
        </w:rPr>
        <w:t xml:space="preserve">al Sujeto Obligado, </w:t>
      </w:r>
      <w:r w:rsidR="00E65F72" w:rsidRPr="00507A3E">
        <w:rPr>
          <w:rFonts w:eastAsia="Calibri" w:cs="Tahoma"/>
          <w:bCs/>
          <w:color w:val="auto"/>
        </w:rPr>
        <w:t>a efecto de que</w:t>
      </w:r>
      <w:r w:rsidR="001D5E7C" w:rsidRPr="00507A3E">
        <w:rPr>
          <w:rFonts w:eastAsia="Calibri" w:cs="Tahoma"/>
          <w:bCs/>
          <w:color w:val="auto"/>
        </w:rPr>
        <w:t xml:space="preserve">, </w:t>
      </w:r>
      <w:r w:rsidR="00E65F72" w:rsidRPr="00507A3E">
        <w:rPr>
          <w:rFonts w:eastAsia="Times New Roman" w:cs="Tahoma"/>
          <w:color w:val="auto"/>
          <w:szCs w:val="20"/>
          <w:lang w:eastAsia="es-ES"/>
        </w:rPr>
        <w:t xml:space="preserve">previa búsqueda exhaustiva y razonable en las unidades administrativas competentes, entregue, a través del </w:t>
      </w:r>
      <w:r w:rsidR="00E65F72" w:rsidRPr="00507A3E">
        <w:rPr>
          <w:rFonts w:eastAsia="Times New Roman" w:cs="Tahoma"/>
          <w:color w:val="auto"/>
          <w:szCs w:val="20"/>
          <w:lang w:val="es-ES" w:eastAsia="es-ES"/>
        </w:rPr>
        <w:t xml:space="preserve">Sistema de </w:t>
      </w:r>
      <w:r w:rsidR="00E65F72" w:rsidRPr="00507A3E">
        <w:rPr>
          <w:rFonts w:eastAsia="Times New Roman" w:cs="Tahoma"/>
          <w:color w:val="auto"/>
          <w:szCs w:val="20"/>
          <w:lang w:val="es-ES" w:eastAsia="es-ES"/>
        </w:rPr>
        <w:lastRenderedPageBreak/>
        <w:t>Acceso a la Información Mexiquense (SAIMEX),</w:t>
      </w:r>
      <w:r w:rsidR="00B63814" w:rsidRPr="00507A3E">
        <w:rPr>
          <w:rFonts w:eastAsia="Times New Roman" w:cs="Tahoma"/>
          <w:color w:val="auto"/>
          <w:szCs w:val="20"/>
          <w:lang w:val="es-ES" w:eastAsia="es-ES"/>
        </w:rPr>
        <w:t xml:space="preserve"> en</w:t>
      </w:r>
      <w:r w:rsidR="001D5E7C" w:rsidRPr="00507A3E">
        <w:rPr>
          <w:rFonts w:eastAsia="Times New Roman" w:cs="Tahoma"/>
          <w:color w:val="auto"/>
          <w:szCs w:val="20"/>
          <w:lang w:val="es-ES" w:eastAsia="es-ES"/>
        </w:rPr>
        <w:t xml:space="preserve"> su caso, en</w:t>
      </w:r>
      <w:r w:rsidR="00B63814" w:rsidRPr="00507A3E">
        <w:rPr>
          <w:rFonts w:eastAsia="Times New Roman" w:cs="Tahoma"/>
          <w:color w:val="auto"/>
          <w:szCs w:val="20"/>
          <w:lang w:val="es-ES" w:eastAsia="es-ES"/>
        </w:rPr>
        <w:t xml:space="preserve"> versión pública,</w:t>
      </w:r>
      <w:r w:rsidR="00FB2DCC" w:rsidRPr="00507A3E">
        <w:rPr>
          <w:rFonts w:eastAsia="Times New Roman" w:cs="Tahoma"/>
          <w:color w:val="auto"/>
          <w:szCs w:val="20"/>
          <w:lang w:val="es-ES" w:eastAsia="es-ES"/>
        </w:rPr>
        <w:t xml:space="preserve"> </w:t>
      </w:r>
      <w:r w:rsidR="0066133F" w:rsidRPr="00507A3E">
        <w:rPr>
          <w:rFonts w:eastAsia="Times New Roman" w:cs="Tahoma"/>
          <w:color w:val="auto"/>
          <w:szCs w:val="20"/>
          <w:lang w:val="es-ES" w:eastAsia="es-ES"/>
        </w:rPr>
        <w:t>los documentos donde conste lo siguiente:</w:t>
      </w:r>
    </w:p>
    <w:p w14:paraId="2027084A" w14:textId="77777777" w:rsidR="00FB2DCC" w:rsidRPr="00507A3E" w:rsidRDefault="00FB2DCC" w:rsidP="00E65F72">
      <w:pPr>
        <w:spacing w:after="0" w:line="360" w:lineRule="auto"/>
        <w:ind w:right="-93"/>
        <w:rPr>
          <w:rFonts w:eastAsia="Times New Roman" w:cs="Tahoma"/>
          <w:color w:val="auto"/>
          <w:szCs w:val="20"/>
          <w:lang w:val="es-ES" w:eastAsia="es-ES"/>
        </w:rPr>
      </w:pPr>
    </w:p>
    <w:p w14:paraId="37C1448A" w14:textId="1978F0DD" w:rsidR="00C73945" w:rsidRPr="00507A3E" w:rsidRDefault="00C73945" w:rsidP="00C73945">
      <w:pPr>
        <w:pStyle w:val="Prrafodelista"/>
        <w:widowControl w:val="0"/>
        <w:numPr>
          <w:ilvl w:val="0"/>
          <w:numId w:val="36"/>
        </w:numPr>
        <w:spacing w:after="0" w:line="360" w:lineRule="auto"/>
        <w:rPr>
          <w:rFonts w:eastAsia="Times New Roman" w:cs="Tahoma"/>
          <w:b/>
          <w:color w:val="000000"/>
          <w:lang w:eastAsia="es-MX"/>
        </w:rPr>
      </w:pPr>
      <w:r w:rsidRPr="00507A3E">
        <w:rPr>
          <w:rFonts w:eastAsia="Times New Roman" w:cs="Times New Roman"/>
          <w:bCs/>
          <w:iCs/>
          <w:color w:val="auto"/>
          <w:szCs w:val="20"/>
          <w:lang w:val="es-ES" w:eastAsia="es-ES"/>
        </w:rPr>
        <w:t>La renuncia de la entonces Coordinadora de Asesores, referida en el Considerando Sexto, y</w:t>
      </w:r>
    </w:p>
    <w:p w14:paraId="4FBD055B" w14:textId="77777777" w:rsidR="0067386E" w:rsidRPr="00507A3E" w:rsidRDefault="0067386E" w:rsidP="0067386E">
      <w:pPr>
        <w:pStyle w:val="Prrafodelista"/>
        <w:widowControl w:val="0"/>
        <w:spacing w:after="0" w:line="360" w:lineRule="auto"/>
        <w:rPr>
          <w:rFonts w:eastAsia="Times New Roman" w:cs="Tahoma"/>
          <w:b/>
          <w:color w:val="000000"/>
          <w:lang w:eastAsia="es-MX"/>
        </w:rPr>
      </w:pPr>
    </w:p>
    <w:p w14:paraId="20C46EF6" w14:textId="1413665F" w:rsidR="00C73945" w:rsidRPr="00507A3E" w:rsidRDefault="00C73945" w:rsidP="00C73945">
      <w:pPr>
        <w:pStyle w:val="Prrafodelista"/>
        <w:widowControl w:val="0"/>
        <w:numPr>
          <w:ilvl w:val="0"/>
          <w:numId w:val="36"/>
        </w:numPr>
        <w:spacing w:after="0" w:line="360" w:lineRule="auto"/>
        <w:rPr>
          <w:rFonts w:eastAsia="Times New Roman" w:cs="Tahoma"/>
          <w:b/>
          <w:color w:val="000000"/>
          <w:lang w:eastAsia="es-MX"/>
        </w:rPr>
      </w:pPr>
      <w:r w:rsidRPr="00507A3E">
        <w:rPr>
          <w:rFonts w:eastAsia="Times New Roman" w:cs="Times New Roman"/>
          <w:bCs/>
          <w:iCs/>
          <w:color w:val="auto"/>
          <w:szCs w:val="20"/>
          <w:lang w:val="es-ES" w:eastAsia="es-ES"/>
        </w:rPr>
        <w:t>Los recibos de nómina de la entonces Coordinadora de Asesores señalada en el punto anterior (desde la fecha de alta a la primera quincena de abril de dos mil veintidós) y del Primer Regidor (de la primera quincena de enero a la segunda de octubre de dos mil veintidós).</w:t>
      </w:r>
    </w:p>
    <w:p w14:paraId="31E6AB97" w14:textId="77777777" w:rsidR="00FB2DCC" w:rsidRPr="00507A3E" w:rsidRDefault="00FB2DCC" w:rsidP="00FB2DCC">
      <w:pPr>
        <w:widowControl w:val="0"/>
        <w:autoSpaceDE w:val="0"/>
        <w:autoSpaceDN w:val="0"/>
        <w:adjustRightInd w:val="0"/>
        <w:spacing w:after="0" w:line="360" w:lineRule="auto"/>
        <w:ind w:left="720" w:right="-93"/>
        <w:rPr>
          <w:rFonts w:eastAsia="Calibri" w:cs="Tahoma"/>
          <w:bCs/>
          <w:color w:val="auto"/>
        </w:rPr>
      </w:pPr>
    </w:p>
    <w:p w14:paraId="04A20EFB" w14:textId="6EA0115B" w:rsidR="00A23115" w:rsidRPr="00507A3E" w:rsidRDefault="00A23115" w:rsidP="00A23115">
      <w:pPr>
        <w:tabs>
          <w:tab w:val="left" w:pos="4962"/>
        </w:tabs>
        <w:spacing w:after="0" w:line="360" w:lineRule="auto"/>
        <w:rPr>
          <w:rFonts w:eastAsia="Calibri" w:cs="Tahoma"/>
          <w:bCs/>
          <w:iCs/>
          <w:color w:val="auto"/>
          <w:lang w:val="es-ES"/>
        </w:rPr>
      </w:pPr>
      <w:r w:rsidRPr="00507A3E">
        <w:rPr>
          <w:rFonts w:eastAsia="Calibri" w:cs="Tahoma"/>
          <w:bCs/>
          <w:iCs/>
          <w:color w:val="auto"/>
          <w:lang w:val="es-ES"/>
        </w:rPr>
        <w:t xml:space="preserve">Además, de ser necesario, deberá proporcionar el Acuerdo de Clasificación donde el Comité de Transparencia, confirme la eliminación de los datos </w:t>
      </w:r>
      <w:r w:rsidR="00717921" w:rsidRPr="00507A3E">
        <w:rPr>
          <w:rFonts w:eastAsia="Calibri" w:cs="Tahoma"/>
          <w:bCs/>
          <w:iCs/>
          <w:color w:val="auto"/>
          <w:lang w:val="es-ES"/>
        </w:rPr>
        <w:t>confidenciales</w:t>
      </w:r>
      <w:r w:rsidRPr="00507A3E">
        <w:rPr>
          <w:rFonts w:eastAsia="Calibri" w:cs="Tahoma"/>
          <w:bCs/>
          <w:iCs/>
          <w:color w:val="auto"/>
          <w:lang w:val="es-ES"/>
        </w:rPr>
        <w:t>, en la versión pública, de conformidad con los artí</w:t>
      </w:r>
      <w:r w:rsidR="00717921" w:rsidRPr="00507A3E">
        <w:rPr>
          <w:rFonts w:eastAsia="Calibri" w:cs="Tahoma"/>
          <w:bCs/>
          <w:iCs/>
          <w:color w:val="auto"/>
          <w:lang w:val="es-ES"/>
        </w:rPr>
        <w:t>culos 49, fracciones II y VIII,</w:t>
      </w:r>
      <w:r w:rsidRPr="00507A3E">
        <w:rPr>
          <w:rFonts w:eastAsia="Calibri" w:cs="Tahoma"/>
          <w:bCs/>
          <w:iCs/>
          <w:color w:val="auto"/>
          <w:lang w:val="es-ES"/>
        </w:rPr>
        <w:t xml:space="preserve"> 132, fracción II, </w:t>
      </w:r>
      <w:r w:rsidR="00717921" w:rsidRPr="00507A3E">
        <w:rPr>
          <w:rFonts w:eastAsia="Calibri" w:cs="Tahoma"/>
          <w:bCs/>
          <w:iCs/>
          <w:color w:val="auto"/>
          <w:lang w:val="es-ES"/>
        </w:rPr>
        <w:t xml:space="preserve">143, fracción I y 149 </w:t>
      </w:r>
      <w:r w:rsidRPr="00507A3E">
        <w:rPr>
          <w:rFonts w:eastAsia="Calibri" w:cs="Tahoma"/>
          <w:bCs/>
          <w:iCs/>
          <w:color w:val="auto"/>
          <w:lang w:val="es-ES"/>
        </w:rPr>
        <w:t>de la Ley de Transparencia y Acceso a la Información Pública del Estado de México y Municipios.</w:t>
      </w:r>
    </w:p>
    <w:p w14:paraId="0D655CB4" w14:textId="5D3E848F" w:rsidR="00A23115" w:rsidRPr="00507A3E" w:rsidRDefault="00A23115" w:rsidP="008567E8">
      <w:pPr>
        <w:spacing w:after="0" w:line="360" w:lineRule="auto"/>
        <w:rPr>
          <w:rFonts w:eastAsia="Calibri" w:cs="Tahoma"/>
          <w:b/>
          <w:bCs/>
          <w:iCs/>
          <w:color w:val="auto"/>
          <w:lang w:val="es-ES" w:eastAsia="es-ES"/>
        </w:rPr>
      </w:pPr>
    </w:p>
    <w:p w14:paraId="42705663" w14:textId="1A053198" w:rsidR="00C73945" w:rsidRPr="00507A3E" w:rsidRDefault="00C73945" w:rsidP="008567E8">
      <w:pPr>
        <w:spacing w:after="0" w:line="360" w:lineRule="auto"/>
        <w:rPr>
          <w:rFonts w:eastAsia="Times New Roman" w:cs="Tahoma"/>
          <w:bCs/>
          <w:iCs/>
          <w:color w:val="auto"/>
          <w:lang w:eastAsia="es-ES"/>
        </w:rPr>
      </w:pPr>
      <w:r w:rsidRPr="00507A3E">
        <w:rPr>
          <w:rFonts w:eastAsia="Times New Roman" w:cs="Tahoma"/>
          <w:bCs/>
          <w:iCs/>
          <w:color w:val="auto"/>
          <w:lang w:eastAsia="es-ES"/>
        </w:rPr>
        <w:t>Para el caso, de que la entonces servidora pública haya causado baja, por otra circunstancia diversa a la renuncia, deberá hacerlo del conocimiento del Recurrente, de manera clara y precisa.</w:t>
      </w:r>
    </w:p>
    <w:p w14:paraId="544C52C8" w14:textId="77777777" w:rsidR="00C73945" w:rsidRPr="00507A3E" w:rsidRDefault="00C73945" w:rsidP="008567E8">
      <w:pPr>
        <w:spacing w:after="0" w:line="360" w:lineRule="auto"/>
        <w:rPr>
          <w:rFonts w:eastAsia="Calibri" w:cs="Tahoma"/>
          <w:b/>
          <w:bCs/>
          <w:iCs/>
          <w:color w:val="auto"/>
          <w:lang w:val="es-ES" w:eastAsia="es-ES"/>
        </w:rPr>
      </w:pPr>
    </w:p>
    <w:p w14:paraId="524ED91A" w14:textId="3C92525E" w:rsidR="00051642" w:rsidRPr="00507A3E" w:rsidRDefault="00051642" w:rsidP="008567E8">
      <w:pPr>
        <w:spacing w:after="0" w:line="360" w:lineRule="auto"/>
        <w:rPr>
          <w:rFonts w:eastAsia="Calibri" w:cs="Tahoma"/>
          <w:bCs/>
          <w:iCs/>
          <w:color w:val="auto"/>
          <w:lang w:val="es-ES_tradnl" w:eastAsia="es-ES"/>
        </w:rPr>
      </w:pPr>
      <w:r w:rsidRPr="00507A3E">
        <w:rPr>
          <w:rFonts w:eastAsia="Calibri" w:cs="Tahoma"/>
          <w:b/>
          <w:bCs/>
          <w:iCs/>
          <w:color w:val="auto"/>
          <w:lang w:val="es-ES" w:eastAsia="es-ES"/>
        </w:rPr>
        <w:t>TERCERO</w:t>
      </w:r>
      <w:r w:rsidRPr="00507A3E">
        <w:rPr>
          <w:rFonts w:eastAsia="Calibri" w:cs="Tahoma"/>
          <w:b/>
          <w:bCs/>
          <w:color w:val="auto"/>
        </w:rPr>
        <w:t xml:space="preserve">. </w:t>
      </w:r>
      <w:r w:rsidRPr="00507A3E">
        <w:rPr>
          <w:rFonts w:eastAsia="Calibri" w:cs="Tahoma"/>
          <w:bCs/>
          <w:iCs/>
          <w:color w:val="auto"/>
          <w:lang w:val="es-ES_tradnl" w:eastAsia="es-ES"/>
        </w:rPr>
        <w:t xml:space="preserve">Con fundamento en el artículo 179, párrafo segundo, de la Ley de Transparencia y Acceso a la Información Pública del Estado de México y Municipios, se hace del conocimiento del Recurrente que tiene derecho a interponer nuevamente Recurso de Revisión ante este Instituto, por la respuesta que dé el Sujeto Obligado, en cumplimiento a esta Resolución.  </w:t>
      </w:r>
    </w:p>
    <w:p w14:paraId="28A4B1B4" w14:textId="0FE06822" w:rsidR="00051642" w:rsidRPr="00507A3E" w:rsidRDefault="00051642" w:rsidP="008567E8">
      <w:pPr>
        <w:spacing w:after="0" w:line="360" w:lineRule="auto"/>
        <w:rPr>
          <w:rFonts w:eastAsia="Times New Roman" w:cs="Tahoma"/>
          <w:color w:val="auto"/>
          <w:lang w:eastAsia="es-ES"/>
        </w:rPr>
      </w:pPr>
      <w:r w:rsidRPr="00507A3E">
        <w:rPr>
          <w:rFonts w:eastAsia="Calibri" w:cs="Tahoma"/>
          <w:b/>
          <w:color w:val="auto"/>
          <w:lang w:eastAsia="es-MX"/>
        </w:rPr>
        <w:lastRenderedPageBreak/>
        <w:t>CUARTO</w:t>
      </w:r>
      <w:r w:rsidRPr="00507A3E">
        <w:rPr>
          <w:rFonts w:eastAsia="Calibri" w:cs="Tahoma"/>
          <w:b/>
          <w:bCs/>
          <w:color w:val="auto"/>
        </w:rPr>
        <w:t xml:space="preserve">. </w:t>
      </w:r>
      <w:r w:rsidRPr="00507A3E">
        <w:rPr>
          <w:rFonts w:eastAsia="Times New Roman" w:cs="Tahoma"/>
          <w:b/>
          <w:color w:val="auto"/>
          <w:lang w:eastAsia="es-ES"/>
        </w:rPr>
        <w:t xml:space="preserve">NOTIFÍQUESE </w:t>
      </w:r>
      <w:r w:rsidRPr="00507A3E">
        <w:rPr>
          <w:rFonts w:eastAsia="Times New Roman" w:cs="Tahoma"/>
          <w:color w:val="auto"/>
          <w:lang w:eastAsia="es-E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2F079C98" w14:textId="77777777" w:rsidR="002302CE" w:rsidRPr="00507A3E" w:rsidRDefault="002302CE" w:rsidP="008567E8">
      <w:pPr>
        <w:spacing w:after="0" w:line="360" w:lineRule="auto"/>
        <w:rPr>
          <w:rFonts w:eastAsia="Times New Roman" w:cs="Tahoma"/>
          <w:i/>
          <w:color w:val="auto"/>
          <w:lang w:eastAsia="es-ES"/>
        </w:rPr>
      </w:pPr>
    </w:p>
    <w:p w14:paraId="2663DCA3" w14:textId="6D3BC9A0" w:rsidR="00051642" w:rsidRPr="00507A3E" w:rsidRDefault="00051642" w:rsidP="008567E8">
      <w:pPr>
        <w:spacing w:after="0" w:line="360" w:lineRule="auto"/>
        <w:rPr>
          <w:rFonts w:eastAsia="Times New Roman" w:cs="Tahoma"/>
          <w:color w:val="auto"/>
          <w:lang w:eastAsia="es-ES"/>
        </w:rPr>
      </w:pPr>
      <w:r w:rsidRPr="00507A3E">
        <w:rPr>
          <w:rFonts w:eastAsia="Calibri" w:cs="Tahoma"/>
          <w:b/>
          <w:bCs/>
          <w:iCs/>
          <w:color w:val="auto"/>
          <w:lang w:val="es-ES" w:eastAsia="es-ES"/>
        </w:rPr>
        <w:t>QUINTO</w:t>
      </w:r>
      <w:r w:rsidRPr="00507A3E">
        <w:rPr>
          <w:rFonts w:eastAsia="Calibri" w:cs="Tahoma"/>
          <w:bCs/>
          <w:iCs/>
          <w:color w:val="auto"/>
          <w:lang w:val="es-ES" w:eastAsia="es-ES"/>
        </w:rPr>
        <w:t>.</w:t>
      </w:r>
      <w:r w:rsidRPr="00507A3E">
        <w:rPr>
          <w:rFonts w:eastAsia="Times New Roman" w:cs="Tahoma"/>
          <w:b/>
          <w:color w:val="auto"/>
          <w:lang w:eastAsia="es-ES"/>
        </w:rPr>
        <w:t>NOTIFÍQUESE</w:t>
      </w:r>
      <w:r w:rsidRPr="00507A3E">
        <w:rPr>
          <w:rFonts w:eastAsia="Times New Roman" w:cs="Tahoma"/>
          <w:color w:val="auto"/>
          <w:lang w:eastAsia="es-ES"/>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64C23565" w14:textId="77777777" w:rsidR="00104C84" w:rsidRPr="00507A3E" w:rsidRDefault="00104C84" w:rsidP="008567E8">
      <w:pPr>
        <w:spacing w:after="0" w:line="360" w:lineRule="auto"/>
        <w:rPr>
          <w:rFonts w:eastAsia="Times New Roman" w:cs="Tahoma"/>
          <w:color w:val="auto"/>
          <w:lang w:eastAsia="es-ES"/>
        </w:rPr>
      </w:pPr>
    </w:p>
    <w:p w14:paraId="2606DD75" w14:textId="77777777" w:rsidR="00051642" w:rsidRPr="00507A3E" w:rsidRDefault="00051642" w:rsidP="008567E8">
      <w:pPr>
        <w:spacing w:after="0" w:line="360" w:lineRule="auto"/>
      </w:pPr>
      <w:r w:rsidRPr="00507A3E">
        <w:rPr>
          <w:b/>
          <w:bCs/>
        </w:rPr>
        <w:t>SEXTO.</w:t>
      </w:r>
      <w:r w:rsidRPr="00507A3E">
        <w:t xml:space="preserve"> Con fundamento en el artículo 198 de la Ley de Transparencia y Acceso a la Información Pública del Estado de México y Municipios, se apercibe al Sujeto Obligado a que, en caso de negarse a cumplir la presente resolución o hacerlo de manera parcial se actuará de conformidad con lo previsto en los artículos 213, 214, 216 y 217 de dicha Ley.</w:t>
      </w:r>
    </w:p>
    <w:p w14:paraId="706A9610" w14:textId="77777777" w:rsidR="00051642" w:rsidRPr="00507A3E" w:rsidRDefault="00051642" w:rsidP="008567E8">
      <w:pPr>
        <w:spacing w:after="0" w:line="360" w:lineRule="auto"/>
        <w:ind w:right="-93"/>
        <w:rPr>
          <w:rFonts w:eastAsia="Times New Roman" w:cs="Times New Roman"/>
          <w:color w:val="000000"/>
          <w:shd w:val="clear" w:color="auto" w:fill="FFFFFF"/>
          <w:lang w:eastAsia="es-ES"/>
        </w:rPr>
      </w:pPr>
    </w:p>
    <w:p w14:paraId="440BC55F" w14:textId="293D1432" w:rsidR="00051642" w:rsidRPr="00507A3E" w:rsidRDefault="00051642" w:rsidP="008567E8">
      <w:pPr>
        <w:spacing w:after="0" w:line="360" w:lineRule="auto"/>
        <w:ind w:right="-93"/>
        <w:rPr>
          <w:rFonts w:eastAsia="Calibri" w:cs="Tahoma"/>
          <w:bCs/>
          <w:color w:val="auto"/>
        </w:rPr>
      </w:pPr>
      <w:r w:rsidRPr="00507A3E">
        <w:rPr>
          <w:rFonts w:eastAsia="Times New Roman" w:cs="Tahoma"/>
          <w:b/>
          <w:color w:val="000000"/>
          <w:lang w:eastAsia="es-ES"/>
        </w:rPr>
        <w:t xml:space="preserve">SÉPTIMO. </w:t>
      </w:r>
      <w:r w:rsidRPr="00507A3E">
        <w:rPr>
          <w:rFonts w:eastAsia="Calibri" w:cs="Tahoma"/>
          <w:bCs/>
          <w:color w:val="auto"/>
        </w:rPr>
        <w:t xml:space="preserve">Con fundamento en lo dispuesto en los artículos 190 de la </w:t>
      </w:r>
      <w:r w:rsidRPr="00507A3E">
        <w:rPr>
          <w:rFonts w:eastAsia="Times New Roman" w:cs="Tahoma"/>
          <w:color w:val="auto"/>
          <w:lang w:eastAsia="es-ES"/>
        </w:rPr>
        <w:t xml:space="preserve">Ley de Transparencia y Acceso a la Información Pública del Estado de México y Municipios, gírese </w:t>
      </w:r>
      <w:r w:rsidRPr="00507A3E">
        <w:rPr>
          <w:rFonts w:eastAsia="Calibri" w:cs="Tahoma"/>
          <w:bCs/>
          <w:color w:val="auto"/>
        </w:rPr>
        <w:t xml:space="preserve">oficio al Contralor Interno y Titular del Órgano de Control y Vigilancia de este Instituto con la finalidad de que actúe en razón de su competencia, en términos de lo dispuesto en el Considerando </w:t>
      </w:r>
      <w:r w:rsidRPr="00507A3E">
        <w:rPr>
          <w:rFonts w:eastAsia="Calibri" w:cs="Tahoma"/>
          <w:color w:val="auto"/>
        </w:rPr>
        <w:t xml:space="preserve">SÉPTIMO </w:t>
      </w:r>
      <w:r w:rsidRPr="00507A3E">
        <w:rPr>
          <w:rFonts w:eastAsia="Calibri" w:cs="Tahoma"/>
          <w:bCs/>
          <w:color w:val="auto"/>
        </w:rPr>
        <w:t>de la presente Resolución.</w:t>
      </w:r>
    </w:p>
    <w:p w14:paraId="273C84B4" w14:textId="57BBAC41" w:rsidR="00104C84" w:rsidRPr="00507A3E" w:rsidRDefault="00104C84" w:rsidP="008567E8">
      <w:pPr>
        <w:spacing w:after="0" w:line="360" w:lineRule="auto"/>
        <w:ind w:right="-93"/>
        <w:rPr>
          <w:rFonts w:eastAsia="Calibri" w:cs="Tahoma"/>
          <w:bCs/>
          <w:color w:val="auto"/>
        </w:rPr>
      </w:pPr>
    </w:p>
    <w:p w14:paraId="2C209EB6" w14:textId="167A49E5" w:rsidR="00966CA6" w:rsidRDefault="007F2C33" w:rsidP="008567E8">
      <w:pPr>
        <w:spacing w:after="0" w:line="360" w:lineRule="auto"/>
      </w:pPr>
      <w:r w:rsidRPr="00507A3E">
        <w:rPr>
          <w:rFonts w:eastAsia="Calibri" w:cs="Tahoma"/>
          <w:lang w:val="es-ES" w:eastAsia="es-ES_tradnl"/>
        </w:rPr>
        <w:t xml:space="preserve">ASÍ LO RESUELVE, POR </w:t>
      </w:r>
      <w:r w:rsidRPr="00507A3E">
        <w:rPr>
          <w:rFonts w:eastAsia="Calibri" w:cs="Tahoma"/>
          <w:b/>
          <w:lang w:val="es-ES" w:eastAsia="es-ES_tradnl"/>
        </w:rPr>
        <w:t>UNANIMIDAD</w:t>
      </w:r>
      <w:r w:rsidRPr="00507A3E">
        <w:rPr>
          <w:rFonts w:eastAsia="Calibri" w:cs="Tahoma"/>
          <w:lang w:val="es-ES" w:eastAsia="es-ES_tradnl"/>
        </w:rPr>
        <w:t xml:space="preserve"> DE VOTOS EL PLENO DEL INSTITUTO DE TRANSPARENCIA, ACCESO A LA INFORMACIÓN PÚBLICA Y PROTECCIÓN DE DATOS PERSONALES DEL ESTADO DE MÉXICO Y MUNICIPIOS, CONFORMADO POR </w:t>
      </w:r>
      <w:r w:rsidRPr="00507A3E">
        <w:rPr>
          <w:rFonts w:eastAsia="Calibri" w:cs="Tahoma"/>
          <w:lang w:val="es-ES" w:eastAsia="es-ES_tradnl"/>
        </w:rPr>
        <w:lastRenderedPageBreak/>
        <w:t xml:space="preserve">LOS COMISIONADOS JOSÉ MARTÍNEZ VILCHIS, MARÍA DEL ROSARIO MEJÍA AYALA, SHARON CRISTINA MORALES </w:t>
      </w:r>
      <w:bookmarkStart w:id="4" w:name="_GoBack"/>
      <w:bookmarkEnd w:id="4"/>
      <w:r w:rsidRPr="00507A3E">
        <w:rPr>
          <w:rFonts w:eastAsia="Calibri" w:cs="Tahoma"/>
          <w:lang w:val="es-ES" w:eastAsia="es-ES_tradnl"/>
        </w:rPr>
        <w:t xml:space="preserve">MARTÍNEZ, LUIS GUSTAVO PARRA NORIEGA Y GUADALUPE RAMÍREZ PEÑA, EN LA </w:t>
      </w:r>
      <w:r w:rsidR="001C1EF6" w:rsidRPr="00507A3E">
        <w:rPr>
          <w:rFonts w:eastAsia="Calibri" w:cs="Tahoma"/>
          <w:lang w:val="es-ES" w:eastAsia="es-ES_tradnl"/>
        </w:rPr>
        <w:t>DÉCIMA PRIMERA</w:t>
      </w:r>
      <w:r w:rsidRPr="00507A3E">
        <w:rPr>
          <w:rFonts w:eastAsia="Calibri" w:cs="Tahoma"/>
          <w:lang w:val="es-ES" w:eastAsia="es-ES_tradnl"/>
        </w:rPr>
        <w:t xml:space="preserve"> SESIÓN ORDINARIA, </w:t>
      </w:r>
      <w:r w:rsidR="00F23FAC" w:rsidRPr="00507A3E">
        <w:rPr>
          <w:rFonts w:eastAsia="Calibri" w:cs="Tahoma"/>
          <w:lang w:val="es-ES" w:eastAsia="es-ES_tradnl"/>
        </w:rPr>
        <w:t xml:space="preserve">CELEBRADA EL </w:t>
      </w:r>
      <w:r w:rsidR="00F23FAC">
        <w:rPr>
          <w:rFonts w:cs="Tahoma"/>
          <w:bCs/>
        </w:rPr>
        <w:t>VEINTIDÓS</w:t>
      </w:r>
      <w:r w:rsidR="00F23FAC" w:rsidRPr="00966C54">
        <w:rPr>
          <w:rFonts w:cs="Tahoma"/>
          <w:bCs/>
        </w:rPr>
        <w:t xml:space="preserve"> DE MARZO DE DOS MIL VEINTITRÉS</w:t>
      </w:r>
      <w:r w:rsidR="00F23FAC" w:rsidRPr="00507A3E">
        <w:rPr>
          <w:rFonts w:eastAsia="Calibri" w:cs="Tahoma"/>
          <w:lang w:val="es-ES" w:eastAsia="es-ES_tradnl"/>
        </w:rPr>
        <w:t>, ANTE EL SECRETARIO TÉCNICO DEL PLENO, ALEXIS TAPIA RAMÍREZ</w:t>
      </w:r>
      <w:r w:rsidR="002D47EC" w:rsidRPr="00507A3E">
        <w:rPr>
          <w:rFonts w:eastAsia="Calibri" w:cs="Tahoma"/>
          <w:lang w:val="es-ES" w:eastAsia="es-ES_tradnl"/>
        </w:rPr>
        <w:t>.</w:t>
      </w:r>
      <w:r w:rsidR="00051642">
        <w:br w:type="page"/>
      </w:r>
    </w:p>
    <w:sectPr w:rsidR="00966CA6">
      <w:headerReference w:type="even" r:id="rId17"/>
      <w:headerReference w:type="default" r:id="rId18"/>
      <w:footerReference w:type="even" r:id="rId19"/>
      <w:footerReference w:type="default" r:id="rId20"/>
      <w:headerReference w:type="first" r:id="rId21"/>
      <w:footerReference w:type="first" r:id="rId22"/>
      <w:pgSz w:w="12240" w:h="15840"/>
      <w:pgMar w:top="1418" w:right="1608" w:bottom="1560" w:left="1701" w:header="85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34C1A2" w14:textId="77777777" w:rsidR="00117181" w:rsidRDefault="00117181" w:rsidP="00051642">
      <w:pPr>
        <w:spacing w:after="0" w:line="240" w:lineRule="auto"/>
      </w:pPr>
      <w:r>
        <w:separator/>
      </w:r>
    </w:p>
  </w:endnote>
  <w:endnote w:type="continuationSeparator" w:id="0">
    <w:p w14:paraId="097FBC1E" w14:textId="77777777" w:rsidR="00117181" w:rsidRDefault="00117181" w:rsidP="000516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3399054"/>
      <w:docPartObj>
        <w:docPartGallery w:val="Page Numbers (Bottom of Page)"/>
        <w:docPartUnique/>
      </w:docPartObj>
    </w:sdtPr>
    <w:sdtEndPr/>
    <w:sdtContent>
      <w:sdt>
        <w:sdtPr>
          <w:id w:val="1261569716"/>
          <w:docPartObj>
            <w:docPartGallery w:val="Page Numbers (Top of Page)"/>
            <w:docPartUnique/>
          </w:docPartObj>
        </w:sdtPr>
        <w:sdtEndPr/>
        <w:sdtContent>
          <w:p w14:paraId="039F893C" w14:textId="77777777" w:rsidR="00C85FBB" w:rsidRDefault="00C85FB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sdtContent>
  </w:sdt>
  <w:p w14:paraId="1A6076E0" w14:textId="77777777" w:rsidR="00C85FBB" w:rsidRDefault="00C85FB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9454459"/>
      <w:docPartObj>
        <w:docPartGallery w:val="Page Numbers (Bottom of Page)"/>
        <w:docPartUnique/>
      </w:docPartObj>
    </w:sdtPr>
    <w:sdtEndPr/>
    <w:sdtContent>
      <w:sdt>
        <w:sdtPr>
          <w:id w:val="1805889955"/>
          <w:docPartObj>
            <w:docPartGallery w:val="Page Numbers (Top of Page)"/>
            <w:docPartUnique/>
          </w:docPartObj>
        </w:sdtPr>
        <w:sdtEndPr/>
        <w:sdtContent>
          <w:p w14:paraId="515066F6" w14:textId="77777777" w:rsidR="00C85FBB" w:rsidRDefault="00C85FB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23FAC">
              <w:rPr>
                <w:b/>
                <w:bCs/>
                <w:noProof/>
              </w:rPr>
              <w:t>37</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23FAC">
              <w:rPr>
                <w:b/>
                <w:bCs/>
                <w:noProof/>
              </w:rPr>
              <w:t>37</w:t>
            </w:r>
            <w:r>
              <w:rPr>
                <w:b/>
                <w:bCs/>
                <w:sz w:val="24"/>
                <w:szCs w:val="24"/>
              </w:rPr>
              <w:fldChar w:fldCharType="end"/>
            </w:r>
          </w:p>
        </w:sdtContent>
      </w:sdt>
    </w:sdtContent>
  </w:sdt>
  <w:p w14:paraId="148ABC98" w14:textId="77777777" w:rsidR="00C85FBB" w:rsidRDefault="00C85FB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0841749"/>
      <w:docPartObj>
        <w:docPartGallery w:val="Page Numbers (Bottom of Page)"/>
        <w:docPartUnique/>
      </w:docPartObj>
    </w:sdtPr>
    <w:sdtEndPr/>
    <w:sdtContent>
      <w:sdt>
        <w:sdtPr>
          <w:id w:val="2049646426"/>
          <w:docPartObj>
            <w:docPartGallery w:val="Page Numbers (Top of Page)"/>
            <w:docPartUnique/>
          </w:docPartObj>
        </w:sdtPr>
        <w:sdtEndPr/>
        <w:sdtContent>
          <w:p w14:paraId="5DC2416C" w14:textId="77777777" w:rsidR="00C85FBB" w:rsidRDefault="00C85FB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23FAC">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23FAC">
              <w:rPr>
                <w:b/>
                <w:bCs/>
                <w:noProof/>
              </w:rPr>
              <w:t>37</w:t>
            </w:r>
            <w:r>
              <w:rPr>
                <w:b/>
                <w:bCs/>
                <w:sz w:val="24"/>
                <w:szCs w:val="24"/>
              </w:rPr>
              <w:fldChar w:fldCharType="end"/>
            </w:r>
          </w:p>
        </w:sdtContent>
      </w:sdt>
    </w:sdtContent>
  </w:sdt>
  <w:p w14:paraId="0054A614" w14:textId="77777777" w:rsidR="00C85FBB" w:rsidRDefault="00C85FB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BD02F8" w14:textId="77777777" w:rsidR="00117181" w:rsidRDefault="00117181" w:rsidP="00051642">
      <w:pPr>
        <w:spacing w:after="0" w:line="240" w:lineRule="auto"/>
      </w:pPr>
      <w:r>
        <w:separator/>
      </w:r>
    </w:p>
  </w:footnote>
  <w:footnote w:type="continuationSeparator" w:id="0">
    <w:p w14:paraId="69D9EC15" w14:textId="77777777" w:rsidR="00117181" w:rsidRDefault="00117181" w:rsidP="000516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096"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1"/>
      <w:gridCol w:w="3405"/>
    </w:tblGrid>
    <w:tr w:rsidR="00C85FBB" w:rsidRPr="00E152D8" w14:paraId="7B534606" w14:textId="77777777">
      <w:trPr>
        <w:trHeight w:val="132"/>
      </w:trPr>
      <w:tc>
        <w:tcPr>
          <w:tcW w:w="2691" w:type="dxa"/>
        </w:tcPr>
        <w:p w14:paraId="7A9AA251" w14:textId="77777777" w:rsidR="00C85FBB" w:rsidRPr="00E152D8" w:rsidRDefault="00C85FBB">
          <w:pPr>
            <w:tabs>
              <w:tab w:val="right" w:pos="8838"/>
            </w:tabs>
            <w:ind w:right="-105"/>
            <w:rPr>
              <w:rFonts w:eastAsia="Calibri" w:cs="Tahoma"/>
              <w:b/>
              <w:lang w:val="es-MX"/>
            </w:rPr>
          </w:pPr>
          <w:r w:rsidRPr="00E152D8">
            <w:rPr>
              <w:rFonts w:eastAsia="Calibri" w:cs="Tahoma"/>
              <w:b/>
              <w:lang w:val="es-MX"/>
            </w:rPr>
            <w:t>Recurso de Revisión:</w:t>
          </w:r>
        </w:p>
      </w:tc>
      <w:tc>
        <w:tcPr>
          <w:tcW w:w="3405" w:type="dxa"/>
        </w:tcPr>
        <w:p w14:paraId="195209EB" w14:textId="77777777" w:rsidR="00C85FBB" w:rsidRPr="00EE1572" w:rsidRDefault="00C85FBB">
          <w:pPr>
            <w:tabs>
              <w:tab w:val="right" w:pos="8838"/>
            </w:tabs>
            <w:ind w:left="-28" w:right="-32"/>
            <w:rPr>
              <w:rFonts w:eastAsia="Calibri" w:cs="Tahoma"/>
            </w:rPr>
          </w:pPr>
          <w:r w:rsidRPr="00EE1572">
            <w:rPr>
              <w:rFonts w:eastAsia="Calibri" w:cs="Tahoma"/>
            </w:rPr>
            <w:t>03846/INFOEM/IP/RR/2020</w:t>
          </w:r>
        </w:p>
      </w:tc>
    </w:tr>
    <w:tr w:rsidR="00C85FBB" w:rsidRPr="00E152D8" w14:paraId="284C2E9A" w14:textId="77777777">
      <w:trPr>
        <w:trHeight w:val="261"/>
      </w:trPr>
      <w:tc>
        <w:tcPr>
          <w:tcW w:w="2691" w:type="dxa"/>
        </w:tcPr>
        <w:p w14:paraId="44B24339" w14:textId="77777777" w:rsidR="00C85FBB" w:rsidRPr="00E152D8" w:rsidRDefault="00C85FBB">
          <w:pPr>
            <w:tabs>
              <w:tab w:val="right" w:pos="8838"/>
            </w:tabs>
            <w:ind w:right="-105"/>
            <w:rPr>
              <w:rFonts w:eastAsia="Calibri" w:cs="Tahoma"/>
              <w:b/>
              <w:lang w:val="es-MX"/>
            </w:rPr>
          </w:pPr>
          <w:r>
            <w:rPr>
              <w:rFonts w:eastAsia="Calibri" w:cs="Tahoma"/>
              <w:b/>
              <w:lang w:val="es-MX"/>
            </w:rPr>
            <w:t>Sujeto Obligado</w:t>
          </w:r>
          <w:r w:rsidRPr="00E152D8">
            <w:rPr>
              <w:rFonts w:eastAsia="Calibri" w:cs="Tahoma"/>
              <w:b/>
              <w:lang w:val="es-MX"/>
            </w:rPr>
            <w:t>:</w:t>
          </w:r>
        </w:p>
      </w:tc>
      <w:tc>
        <w:tcPr>
          <w:tcW w:w="3405" w:type="dxa"/>
        </w:tcPr>
        <w:p w14:paraId="05C9C30B" w14:textId="77777777" w:rsidR="00C85FBB" w:rsidRPr="00EE1572" w:rsidRDefault="00C85FBB">
          <w:pPr>
            <w:tabs>
              <w:tab w:val="right" w:pos="8838"/>
            </w:tabs>
            <w:ind w:right="-32"/>
            <w:rPr>
              <w:rFonts w:eastAsia="Calibri" w:cs="Tahoma"/>
              <w:lang w:val="es-MX"/>
            </w:rPr>
          </w:pPr>
          <w:r w:rsidRPr="00EE1572">
            <w:rPr>
              <w:rFonts w:eastAsia="Calibri" w:cs="Tahoma"/>
              <w:lang w:val="es-MX"/>
            </w:rPr>
            <w:t>Ayuntamiento de Temascalcingo</w:t>
          </w:r>
        </w:p>
      </w:tc>
    </w:tr>
    <w:tr w:rsidR="00C85FBB" w:rsidRPr="00E152D8" w14:paraId="72CFE0E4" w14:textId="77777777">
      <w:trPr>
        <w:trHeight w:val="261"/>
      </w:trPr>
      <w:tc>
        <w:tcPr>
          <w:tcW w:w="2691" w:type="dxa"/>
        </w:tcPr>
        <w:p w14:paraId="0DA486DE" w14:textId="77777777" w:rsidR="00C85FBB" w:rsidRPr="00E152D8" w:rsidRDefault="00C85FBB">
          <w:pPr>
            <w:tabs>
              <w:tab w:val="right" w:pos="8838"/>
            </w:tabs>
            <w:ind w:right="-105"/>
            <w:rPr>
              <w:rFonts w:eastAsia="Calibri" w:cs="Tahoma"/>
              <w:b/>
              <w:lang w:val="es-MX"/>
            </w:rPr>
          </w:pPr>
          <w:r w:rsidRPr="00E152D8">
            <w:rPr>
              <w:rFonts w:eastAsia="Calibri" w:cs="Tahoma"/>
              <w:b/>
              <w:lang w:val="es-MX"/>
            </w:rPr>
            <w:t>Comisionado Ponente:</w:t>
          </w:r>
        </w:p>
      </w:tc>
      <w:tc>
        <w:tcPr>
          <w:tcW w:w="3405" w:type="dxa"/>
        </w:tcPr>
        <w:p w14:paraId="7BD6999C" w14:textId="77777777" w:rsidR="00C85FBB" w:rsidRPr="00E152D8" w:rsidRDefault="00C85FBB">
          <w:pPr>
            <w:tabs>
              <w:tab w:val="right" w:pos="8838"/>
            </w:tabs>
            <w:ind w:right="-32"/>
            <w:rPr>
              <w:rFonts w:eastAsia="Calibri" w:cs="Tahoma"/>
              <w:b/>
              <w:lang w:val="es-MX"/>
            </w:rPr>
          </w:pPr>
          <w:r w:rsidRPr="00E152D8">
            <w:rPr>
              <w:rFonts w:eastAsia="Calibri" w:cs="Tahoma"/>
              <w:lang w:val="es-MX"/>
            </w:rPr>
            <w:t>Luis Gustavo Parra Noriega</w:t>
          </w:r>
        </w:p>
      </w:tc>
    </w:tr>
  </w:tbl>
  <w:p w14:paraId="2BF38856" w14:textId="77777777" w:rsidR="00C85FBB" w:rsidRDefault="00117181">
    <w:pPr>
      <w:pStyle w:val="Encabezado"/>
    </w:pPr>
    <w:r>
      <w:rPr>
        <w:noProof/>
      </w:rPr>
      <w:pict w14:anchorId="4A6558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046360" o:spid="_x0000_s2049" type="#_x0000_t75" alt="MARCA DE AGUA - HOJA RESOLUCIÓN" style="position:absolute;left:0;text-align:left;margin-left:0;margin-top:0;width:663.5pt;height:12in;z-index:-251657216;mso-wrap-edited:f;mso-position-horizontal:center;mso-position-horizontal-relative:margin;mso-position-vertical:center;mso-position-vertical-relative:margin" o:allowincell="f">
          <v:imagedata r:id="rId1" o:title="MARCA DE AGUA - 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30E9E6" w14:textId="1E97E28F" w:rsidR="00C85FBB" w:rsidRDefault="00117181">
    <w:r>
      <w:rPr>
        <w:noProof/>
      </w:rPr>
      <w:pict w14:anchorId="2D0681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046361" o:spid="_x0000_s2050" type="#_x0000_t75" alt="MARCA DE AGUA - HOJA RESOLUCIÓN" style="position:absolute;left:0;text-align:left;margin-left:-84.6pt;margin-top:-125.9pt;width:663.5pt;height:12in;z-index:-251656192;mso-wrap-edited:f;mso-position-horizontal-relative:margin;mso-position-vertical-relative:margin" o:allowincell="f">
          <v:imagedata r:id="rId1" o:title="MARCA DE AGUA - HOJA RESOLUCIÓN"/>
          <w10:wrap anchorx="margin" anchory="margin"/>
        </v:shape>
      </w:pict>
    </w:r>
  </w:p>
  <w:tbl>
    <w:tblPr>
      <w:tblStyle w:val="Tablaconcuadrcula"/>
      <w:tblW w:w="5670" w:type="dxa"/>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3260"/>
    </w:tblGrid>
    <w:tr w:rsidR="00C85FBB" w:rsidRPr="00E152D8" w14:paraId="38C70F26" w14:textId="77777777" w:rsidTr="008626CE">
      <w:trPr>
        <w:trHeight w:val="138"/>
      </w:trPr>
      <w:tc>
        <w:tcPr>
          <w:tcW w:w="2410" w:type="dxa"/>
          <w:vAlign w:val="center"/>
        </w:tcPr>
        <w:p w14:paraId="06C599F7" w14:textId="77777777" w:rsidR="00C85FBB" w:rsidRPr="00E152D8" w:rsidRDefault="00C85FBB">
          <w:pPr>
            <w:tabs>
              <w:tab w:val="right" w:pos="8838"/>
            </w:tabs>
            <w:ind w:right="-105"/>
            <w:jc w:val="left"/>
            <w:rPr>
              <w:rFonts w:eastAsia="Calibri" w:cs="Tahoma"/>
              <w:b/>
              <w:lang w:val="es-MX"/>
            </w:rPr>
          </w:pPr>
          <w:r w:rsidRPr="00E152D8">
            <w:rPr>
              <w:rFonts w:eastAsia="Calibri" w:cs="Tahoma"/>
              <w:b/>
              <w:lang w:val="es-MX"/>
            </w:rPr>
            <w:t>Recurso de Revisión:</w:t>
          </w:r>
        </w:p>
      </w:tc>
      <w:tc>
        <w:tcPr>
          <w:tcW w:w="3260" w:type="dxa"/>
        </w:tcPr>
        <w:p w14:paraId="65B05558" w14:textId="53A91D9D" w:rsidR="00C85FBB" w:rsidRPr="00051642" w:rsidRDefault="00C85FBB" w:rsidP="00D16E3A">
          <w:pPr>
            <w:rPr>
              <w:rFonts w:eastAsia="Calibri" w:cs="Tahoma"/>
            </w:rPr>
          </w:pPr>
          <w:r w:rsidRPr="001B7A7E">
            <w:rPr>
              <w:rFonts w:eastAsia="Calibri" w:cs="Tahoma"/>
            </w:rPr>
            <w:t>17126/INFOEM/IP/RR/2022</w:t>
          </w:r>
        </w:p>
      </w:tc>
    </w:tr>
    <w:tr w:rsidR="00C85FBB" w:rsidRPr="00E152D8" w14:paraId="55B27BFC" w14:textId="77777777" w:rsidTr="008626CE">
      <w:trPr>
        <w:trHeight w:val="273"/>
      </w:trPr>
      <w:tc>
        <w:tcPr>
          <w:tcW w:w="2410" w:type="dxa"/>
        </w:tcPr>
        <w:p w14:paraId="479CFA26" w14:textId="77777777" w:rsidR="00C85FBB" w:rsidRPr="00E152D8" w:rsidRDefault="00C85FBB">
          <w:pPr>
            <w:tabs>
              <w:tab w:val="right" w:pos="8838"/>
            </w:tabs>
            <w:ind w:right="-105"/>
            <w:rPr>
              <w:rFonts w:eastAsia="Calibri" w:cs="Tahoma"/>
              <w:b/>
              <w:lang w:val="es-MX"/>
            </w:rPr>
          </w:pPr>
          <w:r>
            <w:rPr>
              <w:rFonts w:eastAsia="Calibri" w:cs="Tahoma"/>
              <w:b/>
              <w:lang w:val="es-MX"/>
            </w:rPr>
            <w:t>Sujeto Obligado</w:t>
          </w:r>
          <w:r w:rsidRPr="00E152D8">
            <w:rPr>
              <w:rFonts w:eastAsia="Calibri" w:cs="Tahoma"/>
              <w:b/>
              <w:lang w:val="es-MX"/>
            </w:rPr>
            <w:t>:</w:t>
          </w:r>
        </w:p>
      </w:tc>
      <w:tc>
        <w:tcPr>
          <w:tcW w:w="3260" w:type="dxa"/>
        </w:tcPr>
        <w:p w14:paraId="6C35595F" w14:textId="56DF3B3B" w:rsidR="00C85FBB" w:rsidRPr="00051642" w:rsidRDefault="00C85FBB">
          <w:pPr>
            <w:tabs>
              <w:tab w:val="right" w:pos="8838"/>
            </w:tabs>
            <w:ind w:left="-28" w:right="-32"/>
            <w:rPr>
              <w:rFonts w:eastAsia="Calibri" w:cs="Tahoma"/>
              <w:lang w:val="es-MX"/>
            </w:rPr>
          </w:pPr>
          <w:r w:rsidRPr="008626CE">
            <w:rPr>
              <w:rFonts w:eastAsia="Calibri" w:cs="Tahoma"/>
              <w:lang w:val="es-MX"/>
            </w:rPr>
            <w:t>Ayuntamiento de Zinacantepec</w:t>
          </w:r>
        </w:p>
      </w:tc>
    </w:tr>
    <w:tr w:rsidR="00C85FBB" w:rsidRPr="00E152D8" w14:paraId="64299B43" w14:textId="77777777" w:rsidTr="008626CE">
      <w:trPr>
        <w:trHeight w:val="273"/>
      </w:trPr>
      <w:tc>
        <w:tcPr>
          <w:tcW w:w="2410" w:type="dxa"/>
        </w:tcPr>
        <w:p w14:paraId="3B4B50BB" w14:textId="77777777" w:rsidR="00C85FBB" w:rsidRPr="00E152D8" w:rsidRDefault="00C85FBB">
          <w:pPr>
            <w:tabs>
              <w:tab w:val="right" w:pos="8838"/>
            </w:tabs>
            <w:ind w:right="-105"/>
            <w:rPr>
              <w:rFonts w:eastAsia="Calibri" w:cs="Tahoma"/>
              <w:b/>
              <w:lang w:val="es-MX"/>
            </w:rPr>
          </w:pPr>
          <w:r w:rsidRPr="00E152D8">
            <w:rPr>
              <w:rFonts w:eastAsia="Calibri" w:cs="Tahoma"/>
              <w:b/>
              <w:lang w:val="es-MX"/>
            </w:rPr>
            <w:t>Comisionado Ponente:</w:t>
          </w:r>
        </w:p>
      </w:tc>
      <w:tc>
        <w:tcPr>
          <w:tcW w:w="3260" w:type="dxa"/>
        </w:tcPr>
        <w:p w14:paraId="5364FC23" w14:textId="77777777" w:rsidR="00C85FBB" w:rsidRPr="00E152D8" w:rsidRDefault="00C85FBB">
          <w:pPr>
            <w:tabs>
              <w:tab w:val="right" w:pos="8838"/>
            </w:tabs>
            <w:ind w:left="-28" w:right="-32"/>
            <w:rPr>
              <w:rFonts w:eastAsia="Calibri" w:cs="Tahoma"/>
              <w:b/>
              <w:lang w:val="es-MX"/>
            </w:rPr>
          </w:pPr>
          <w:r w:rsidRPr="00E152D8">
            <w:rPr>
              <w:rFonts w:eastAsia="Calibri" w:cs="Tahoma"/>
              <w:lang w:val="es-MX"/>
            </w:rPr>
            <w:t>Luis Gustavo Parra Noriega</w:t>
          </w:r>
        </w:p>
      </w:tc>
    </w:tr>
  </w:tbl>
  <w:p w14:paraId="2B363D4C" w14:textId="14E48A3C" w:rsidR="00C85FBB" w:rsidRDefault="00C85FB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954" w:type="dxa"/>
      <w:tblInd w:w="3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1"/>
      <w:gridCol w:w="3263"/>
    </w:tblGrid>
    <w:tr w:rsidR="00C85FBB" w:rsidRPr="00E152D8" w14:paraId="6E5B10C8" w14:textId="77777777" w:rsidTr="007A16A9">
      <w:trPr>
        <w:trHeight w:val="132"/>
      </w:trPr>
      <w:tc>
        <w:tcPr>
          <w:tcW w:w="2691" w:type="dxa"/>
        </w:tcPr>
        <w:p w14:paraId="0FBD6B5C" w14:textId="54BD1256" w:rsidR="00C85FBB" w:rsidRPr="00E152D8" w:rsidRDefault="00C85FBB" w:rsidP="00484A2B">
          <w:pPr>
            <w:tabs>
              <w:tab w:val="right" w:pos="2449"/>
            </w:tabs>
            <w:ind w:right="30"/>
            <w:rPr>
              <w:rFonts w:eastAsia="Calibri" w:cs="Tahoma"/>
              <w:b/>
              <w:lang w:val="es-MX"/>
            </w:rPr>
          </w:pPr>
          <w:r w:rsidRPr="00E152D8">
            <w:rPr>
              <w:rFonts w:eastAsia="Calibri" w:cs="Tahoma"/>
              <w:b/>
              <w:lang w:val="es-MX"/>
            </w:rPr>
            <w:t>Recurso de Revisión:</w:t>
          </w:r>
          <w:r>
            <w:rPr>
              <w:rFonts w:eastAsia="Calibri" w:cs="Tahoma"/>
              <w:b/>
              <w:lang w:val="es-MX"/>
            </w:rPr>
            <w:tab/>
          </w:r>
        </w:p>
      </w:tc>
      <w:tc>
        <w:tcPr>
          <w:tcW w:w="3263" w:type="dxa"/>
        </w:tcPr>
        <w:p w14:paraId="70CC72C0" w14:textId="52C5C3AA" w:rsidR="00C85FBB" w:rsidRPr="00051642" w:rsidRDefault="00C85FBB">
          <w:pPr>
            <w:tabs>
              <w:tab w:val="right" w:pos="8838"/>
            </w:tabs>
            <w:ind w:left="-111" w:right="-32"/>
            <w:rPr>
              <w:rFonts w:eastAsia="Calibri" w:cs="Tahoma"/>
            </w:rPr>
          </w:pPr>
          <w:r w:rsidRPr="001B7A7E">
            <w:rPr>
              <w:rFonts w:eastAsia="Calibri" w:cs="Tahoma"/>
              <w:lang w:val="es-MX"/>
            </w:rPr>
            <w:t>17126/INFOEM/IP/RR/2022</w:t>
          </w:r>
        </w:p>
      </w:tc>
    </w:tr>
    <w:tr w:rsidR="00C85FBB" w:rsidRPr="00E152D8" w14:paraId="43CEC0C7" w14:textId="77777777" w:rsidTr="007A16A9">
      <w:trPr>
        <w:trHeight w:val="132"/>
      </w:trPr>
      <w:tc>
        <w:tcPr>
          <w:tcW w:w="2691" w:type="dxa"/>
        </w:tcPr>
        <w:p w14:paraId="369FAB30" w14:textId="77777777" w:rsidR="00C85FBB" w:rsidRPr="00E152D8" w:rsidRDefault="00C85FBB">
          <w:pPr>
            <w:tabs>
              <w:tab w:val="left" w:pos="1875"/>
            </w:tabs>
            <w:ind w:right="-105"/>
            <w:rPr>
              <w:rFonts w:eastAsia="Calibri" w:cs="Tahoma"/>
              <w:b/>
              <w:lang w:val="es-MX"/>
            </w:rPr>
          </w:pPr>
          <w:r w:rsidRPr="00E152D8">
            <w:rPr>
              <w:rFonts w:eastAsia="Calibri" w:cs="Tahoma"/>
              <w:b/>
              <w:lang w:val="es-MX"/>
            </w:rPr>
            <w:t>Recurrente:</w:t>
          </w:r>
          <w:r>
            <w:rPr>
              <w:rFonts w:eastAsia="Calibri" w:cs="Tahoma"/>
              <w:b/>
              <w:lang w:val="es-MX"/>
            </w:rPr>
            <w:tab/>
          </w:r>
        </w:p>
      </w:tc>
      <w:tc>
        <w:tcPr>
          <w:tcW w:w="3263" w:type="dxa"/>
        </w:tcPr>
        <w:p w14:paraId="267724E2" w14:textId="0290093B" w:rsidR="00C85FBB" w:rsidRPr="00E152D8" w:rsidRDefault="00C85FBB">
          <w:pPr>
            <w:tabs>
              <w:tab w:val="right" w:pos="8838"/>
            </w:tabs>
            <w:ind w:left="-111" w:right="-109"/>
            <w:rPr>
              <w:rFonts w:eastAsia="Calibri" w:cs="Tahoma"/>
              <w:lang w:val="es-MX"/>
            </w:rPr>
          </w:pPr>
        </w:p>
      </w:tc>
    </w:tr>
    <w:tr w:rsidR="00C85FBB" w:rsidRPr="00E152D8" w14:paraId="30C3D119" w14:textId="77777777" w:rsidTr="007A16A9">
      <w:trPr>
        <w:trHeight w:val="261"/>
      </w:trPr>
      <w:tc>
        <w:tcPr>
          <w:tcW w:w="2691" w:type="dxa"/>
        </w:tcPr>
        <w:p w14:paraId="6DC6617D" w14:textId="77777777" w:rsidR="00C85FBB" w:rsidRPr="00E152D8" w:rsidRDefault="00C85FBB">
          <w:pPr>
            <w:tabs>
              <w:tab w:val="right" w:pos="8838"/>
            </w:tabs>
            <w:ind w:right="-105"/>
            <w:rPr>
              <w:rFonts w:eastAsia="Calibri" w:cs="Tahoma"/>
              <w:b/>
              <w:lang w:val="es-MX"/>
            </w:rPr>
          </w:pPr>
          <w:r>
            <w:rPr>
              <w:rFonts w:eastAsia="Calibri" w:cs="Tahoma"/>
              <w:b/>
              <w:lang w:val="es-MX"/>
            </w:rPr>
            <w:t>Sujeto Obligado</w:t>
          </w:r>
          <w:r w:rsidRPr="00E152D8">
            <w:rPr>
              <w:rFonts w:eastAsia="Calibri" w:cs="Tahoma"/>
              <w:b/>
              <w:lang w:val="es-MX"/>
            </w:rPr>
            <w:t>:</w:t>
          </w:r>
        </w:p>
      </w:tc>
      <w:tc>
        <w:tcPr>
          <w:tcW w:w="3263" w:type="dxa"/>
        </w:tcPr>
        <w:p w14:paraId="6E96F863" w14:textId="08536681" w:rsidR="00C85FBB" w:rsidRPr="00051642" w:rsidRDefault="00C85FBB">
          <w:pPr>
            <w:tabs>
              <w:tab w:val="right" w:pos="8838"/>
            </w:tabs>
            <w:ind w:left="-111" w:right="-32"/>
            <w:rPr>
              <w:rFonts w:eastAsia="Calibri" w:cs="Tahoma"/>
              <w:lang w:val="es-MX"/>
            </w:rPr>
          </w:pPr>
          <w:r w:rsidRPr="008626CE">
            <w:rPr>
              <w:rFonts w:eastAsia="Calibri" w:cs="Tahoma"/>
              <w:lang w:val="es-MX"/>
            </w:rPr>
            <w:t>Ayuntamiento de Zinacantepec</w:t>
          </w:r>
        </w:p>
      </w:tc>
    </w:tr>
    <w:tr w:rsidR="00C85FBB" w:rsidRPr="00E152D8" w14:paraId="1C2055A9" w14:textId="77777777" w:rsidTr="007A16A9">
      <w:trPr>
        <w:trHeight w:val="261"/>
      </w:trPr>
      <w:tc>
        <w:tcPr>
          <w:tcW w:w="2691" w:type="dxa"/>
        </w:tcPr>
        <w:p w14:paraId="63396B8B" w14:textId="77777777" w:rsidR="00C85FBB" w:rsidRPr="00E152D8" w:rsidRDefault="00C85FBB">
          <w:pPr>
            <w:tabs>
              <w:tab w:val="right" w:pos="8838"/>
            </w:tabs>
            <w:ind w:right="-105"/>
            <w:rPr>
              <w:rFonts w:eastAsia="Calibri" w:cs="Tahoma"/>
              <w:b/>
              <w:lang w:val="es-MX"/>
            </w:rPr>
          </w:pPr>
          <w:r w:rsidRPr="00E152D8">
            <w:rPr>
              <w:rFonts w:eastAsia="Calibri" w:cs="Tahoma"/>
              <w:b/>
              <w:lang w:val="es-MX"/>
            </w:rPr>
            <w:t>Comisionado Ponente:</w:t>
          </w:r>
        </w:p>
      </w:tc>
      <w:tc>
        <w:tcPr>
          <w:tcW w:w="3263" w:type="dxa"/>
        </w:tcPr>
        <w:p w14:paraId="2CDFADEE" w14:textId="77777777" w:rsidR="00C85FBB" w:rsidRPr="00E152D8" w:rsidRDefault="00C85FBB">
          <w:pPr>
            <w:tabs>
              <w:tab w:val="right" w:pos="8838"/>
            </w:tabs>
            <w:ind w:left="-111" w:right="-32"/>
            <w:rPr>
              <w:rFonts w:eastAsia="Calibri" w:cs="Tahoma"/>
              <w:b/>
              <w:lang w:val="es-MX"/>
            </w:rPr>
          </w:pPr>
          <w:r w:rsidRPr="00E152D8">
            <w:rPr>
              <w:rFonts w:eastAsia="Calibri" w:cs="Tahoma"/>
              <w:lang w:val="es-MX"/>
            </w:rPr>
            <w:t>Luis Gustavo Parra Noriega</w:t>
          </w:r>
        </w:p>
      </w:tc>
    </w:tr>
  </w:tbl>
  <w:p w14:paraId="1F82F1D7" w14:textId="73AEF964" w:rsidR="00C85FBB" w:rsidRDefault="00C85FBB">
    <w:pPr>
      <w:pStyle w:val="Encabezado"/>
      <w:tabs>
        <w:tab w:val="left" w:pos="5812"/>
      </w:tabs>
    </w:pPr>
    <w:r>
      <w:rPr>
        <w:noProof/>
        <w:lang w:eastAsia="es-MX"/>
      </w:rPr>
      <w:drawing>
        <wp:anchor distT="0" distB="0" distL="114300" distR="114300" simplePos="0" relativeHeight="251661312" behindDoc="1" locked="0" layoutInCell="0" allowOverlap="1" wp14:anchorId="6D97FB90" wp14:editId="0E0512CD">
          <wp:simplePos x="0" y="0"/>
          <wp:positionH relativeFrom="margin">
            <wp:posOffset>-1074420</wp:posOffset>
          </wp:positionH>
          <wp:positionV relativeFrom="margin">
            <wp:posOffset>-1565275</wp:posOffset>
          </wp:positionV>
          <wp:extent cx="8426450" cy="10972800"/>
          <wp:effectExtent l="0" t="0" r="0" b="0"/>
          <wp:wrapNone/>
          <wp:docPr id="5" name="Imagen 3" descr="MARCA DE AGUA - HOJA 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CA DE AGUA - HOJA RESOLUCIÓ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A227498"/>
    <w:multiLevelType w:val="hybridMultilevel"/>
    <w:tmpl w:val="5C7A2C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21CF385F"/>
    <w:multiLevelType w:val="hybridMultilevel"/>
    <w:tmpl w:val="9E64D05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22A660B2"/>
    <w:multiLevelType w:val="hybridMultilevel"/>
    <w:tmpl w:val="D618D1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248A08DF"/>
    <w:multiLevelType w:val="hybridMultilevel"/>
    <w:tmpl w:val="4B42AE2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28335A32"/>
    <w:multiLevelType w:val="hybridMultilevel"/>
    <w:tmpl w:val="0678AC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28F503AC"/>
    <w:multiLevelType w:val="hybridMultilevel"/>
    <w:tmpl w:val="08865F5C"/>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2910085C"/>
    <w:multiLevelType w:val="hybridMultilevel"/>
    <w:tmpl w:val="E39A411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2ABF13A8"/>
    <w:multiLevelType w:val="hybridMultilevel"/>
    <w:tmpl w:val="A6CED8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D605AA"/>
    <w:multiLevelType w:val="hybridMultilevel"/>
    <w:tmpl w:val="D89A2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08461F1"/>
    <w:multiLevelType w:val="hybridMultilevel"/>
    <w:tmpl w:val="3EB07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2227229"/>
    <w:multiLevelType w:val="hybridMultilevel"/>
    <w:tmpl w:val="9DF430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57179EB"/>
    <w:multiLevelType w:val="hybridMultilevel"/>
    <w:tmpl w:val="19A8AC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6744AF6"/>
    <w:multiLevelType w:val="hybridMultilevel"/>
    <w:tmpl w:val="15C6B3E8"/>
    <w:lvl w:ilvl="0" w:tplc="773EEA5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38530C68"/>
    <w:multiLevelType w:val="hybridMultilevel"/>
    <w:tmpl w:val="2D440C6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8AC62EA"/>
    <w:multiLevelType w:val="hybridMultilevel"/>
    <w:tmpl w:val="E3F0245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F8D5767"/>
    <w:multiLevelType w:val="hybridMultilevel"/>
    <w:tmpl w:val="AE42D0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82B6B72"/>
    <w:multiLevelType w:val="hybridMultilevel"/>
    <w:tmpl w:val="90020F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D267B55"/>
    <w:multiLevelType w:val="hybridMultilevel"/>
    <w:tmpl w:val="8EE0948C"/>
    <w:lvl w:ilvl="0" w:tplc="36E4263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0811ED9"/>
    <w:multiLevelType w:val="hybridMultilevel"/>
    <w:tmpl w:val="7A185928"/>
    <w:lvl w:ilvl="0" w:tplc="3EBC1A90">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56E31465"/>
    <w:multiLevelType w:val="hybridMultilevel"/>
    <w:tmpl w:val="292CD9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182013E"/>
    <w:multiLevelType w:val="hybridMultilevel"/>
    <w:tmpl w:val="CC5ED436"/>
    <w:lvl w:ilvl="0" w:tplc="0726A1C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6" w15:restartNumberingAfterBreak="0">
    <w:nsid w:val="6EF03215"/>
    <w:multiLevelType w:val="hybridMultilevel"/>
    <w:tmpl w:val="F9E6B6A8"/>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7149581A"/>
    <w:multiLevelType w:val="hybridMultilevel"/>
    <w:tmpl w:val="27705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1B3368F"/>
    <w:multiLevelType w:val="hybridMultilevel"/>
    <w:tmpl w:val="6EECB1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71BB51A6"/>
    <w:multiLevelType w:val="hybridMultilevel"/>
    <w:tmpl w:val="40849066"/>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0" w15:restartNumberingAfterBreak="0">
    <w:nsid w:val="730844B1"/>
    <w:multiLevelType w:val="hybridMultilevel"/>
    <w:tmpl w:val="1CB465E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1" w15:restartNumberingAfterBreak="0">
    <w:nsid w:val="74982F1C"/>
    <w:multiLevelType w:val="hybridMultilevel"/>
    <w:tmpl w:val="D4F07F0A"/>
    <w:lvl w:ilvl="0" w:tplc="37ECDADE">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15:restartNumberingAfterBreak="0">
    <w:nsid w:val="7AE62203"/>
    <w:multiLevelType w:val="hybridMultilevel"/>
    <w:tmpl w:val="584E1FA8"/>
    <w:lvl w:ilvl="0" w:tplc="61EE4116">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8"/>
  </w:num>
  <w:num w:numId="2">
    <w:abstractNumId w:val="32"/>
  </w:num>
  <w:num w:numId="3">
    <w:abstractNumId w:val="11"/>
  </w:num>
  <w:num w:numId="4">
    <w:abstractNumId w:val="12"/>
  </w:num>
  <w:num w:numId="5">
    <w:abstractNumId w:val="4"/>
  </w:num>
  <w:num w:numId="6">
    <w:abstractNumId w:val="7"/>
  </w:num>
  <w:num w:numId="7">
    <w:abstractNumId w:val="21"/>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0"/>
  </w:num>
  <w:num w:numId="13">
    <w:abstractNumId w:val="6"/>
  </w:num>
  <w:num w:numId="14">
    <w:abstractNumId w:val="26"/>
  </w:num>
  <w:num w:numId="15">
    <w:abstractNumId w:val="19"/>
  </w:num>
  <w:num w:numId="16">
    <w:abstractNumId w:val="2"/>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23"/>
  </w:num>
  <w:num w:numId="20">
    <w:abstractNumId w:val="10"/>
  </w:num>
  <w:num w:numId="21">
    <w:abstractNumId w:val="13"/>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29"/>
  </w:num>
  <w:num w:numId="25">
    <w:abstractNumId w:val="9"/>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14"/>
  </w:num>
  <w:num w:numId="29">
    <w:abstractNumId w:val="18"/>
  </w:num>
  <w:num w:numId="30">
    <w:abstractNumId w:val="24"/>
  </w:num>
  <w:num w:numId="31">
    <w:abstractNumId w:val="33"/>
  </w:num>
  <w:num w:numId="32">
    <w:abstractNumId w:val="20"/>
  </w:num>
  <w:num w:numId="33">
    <w:abstractNumId w:val="17"/>
  </w:num>
  <w:num w:numId="34">
    <w:abstractNumId w:val="16"/>
  </w:num>
  <w:num w:numId="35">
    <w:abstractNumId w:val="22"/>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642"/>
    <w:rsid w:val="00040084"/>
    <w:rsid w:val="00050179"/>
    <w:rsid w:val="00051642"/>
    <w:rsid w:val="00095456"/>
    <w:rsid w:val="000A34AE"/>
    <w:rsid w:val="000A57E7"/>
    <w:rsid w:val="000E7D68"/>
    <w:rsid w:val="00104C84"/>
    <w:rsid w:val="00105647"/>
    <w:rsid w:val="00117181"/>
    <w:rsid w:val="00124E37"/>
    <w:rsid w:val="0014243E"/>
    <w:rsid w:val="001442EA"/>
    <w:rsid w:val="00151FB1"/>
    <w:rsid w:val="00154C55"/>
    <w:rsid w:val="001555C3"/>
    <w:rsid w:val="00162887"/>
    <w:rsid w:val="0018239B"/>
    <w:rsid w:val="00183086"/>
    <w:rsid w:val="00183FC2"/>
    <w:rsid w:val="001851CA"/>
    <w:rsid w:val="001B0C19"/>
    <w:rsid w:val="001B742E"/>
    <w:rsid w:val="001B7A7E"/>
    <w:rsid w:val="001C1EF6"/>
    <w:rsid w:val="001C3821"/>
    <w:rsid w:val="001C7154"/>
    <w:rsid w:val="001D5E7C"/>
    <w:rsid w:val="001D70CD"/>
    <w:rsid w:val="001F0852"/>
    <w:rsid w:val="001F6E8E"/>
    <w:rsid w:val="00211E2C"/>
    <w:rsid w:val="002302CE"/>
    <w:rsid w:val="0023114C"/>
    <w:rsid w:val="002352A8"/>
    <w:rsid w:val="00253015"/>
    <w:rsid w:val="00265D49"/>
    <w:rsid w:val="00271450"/>
    <w:rsid w:val="002A2C08"/>
    <w:rsid w:val="002D47EC"/>
    <w:rsid w:val="002D4BED"/>
    <w:rsid w:val="002F3441"/>
    <w:rsid w:val="002F3A18"/>
    <w:rsid w:val="00316058"/>
    <w:rsid w:val="0032417C"/>
    <w:rsid w:val="00324502"/>
    <w:rsid w:val="00337813"/>
    <w:rsid w:val="003411A8"/>
    <w:rsid w:val="00344B54"/>
    <w:rsid w:val="0035133F"/>
    <w:rsid w:val="00355B7E"/>
    <w:rsid w:val="00357735"/>
    <w:rsid w:val="00373E74"/>
    <w:rsid w:val="00380E10"/>
    <w:rsid w:val="00382A3B"/>
    <w:rsid w:val="00384DCB"/>
    <w:rsid w:val="003A4382"/>
    <w:rsid w:val="003A5172"/>
    <w:rsid w:val="003A6482"/>
    <w:rsid w:val="003B58AA"/>
    <w:rsid w:val="003D0270"/>
    <w:rsid w:val="003E20B6"/>
    <w:rsid w:val="003F3741"/>
    <w:rsid w:val="00423A9A"/>
    <w:rsid w:val="004270E2"/>
    <w:rsid w:val="0044773B"/>
    <w:rsid w:val="004640F3"/>
    <w:rsid w:val="00465F58"/>
    <w:rsid w:val="0047418A"/>
    <w:rsid w:val="00482688"/>
    <w:rsid w:val="00484A2B"/>
    <w:rsid w:val="004A140A"/>
    <w:rsid w:val="004A3DE8"/>
    <w:rsid w:val="004A4317"/>
    <w:rsid w:val="004B5FDF"/>
    <w:rsid w:val="004D0D12"/>
    <w:rsid w:val="004F2E01"/>
    <w:rsid w:val="00504AF0"/>
    <w:rsid w:val="00507A3E"/>
    <w:rsid w:val="0051175E"/>
    <w:rsid w:val="005254F4"/>
    <w:rsid w:val="005369D0"/>
    <w:rsid w:val="005441C8"/>
    <w:rsid w:val="00545D40"/>
    <w:rsid w:val="00547EDB"/>
    <w:rsid w:val="005523E9"/>
    <w:rsid w:val="00571AE0"/>
    <w:rsid w:val="00573BDE"/>
    <w:rsid w:val="005924C4"/>
    <w:rsid w:val="005A3900"/>
    <w:rsid w:val="005B4CFC"/>
    <w:rsid w:val="005E6F26"/>
    <w:rsid w:val="00604943"/>
    <w:rsid w:val="006277C5"/>
    <w:rsid w:val="00633F3F"/>
    <w:rsid w:val="0066133F"/>
    <w:rsid w:val="00663061"/>
    <w:rsid w:val="0067386E"/>
    <w:rsid w:val="00686942"/>
    <w:rsid w:val="006921F4"/>
    <w:rsid w:val="006A7476"/>
    <w:rsid w:val="006B1C0E"/>
    <w:rsid w:val="006B4CAC"/>
    <w:rsid w:val="006C6562"/>
    <w:rsid w:val="006D4DD8"/>
    <w:rsid w:val="006F00F9"/>
    <w:rsid w:val="006F5A52"/>
    <w:rsid w:val="00702582"/>
    <w:rsid w:val="00717921"/>
    <w:rsid w:val="00717B41"/>
    <w:rsid w:val="007552CE"/>
    <w:rsid w:val="007728CA"/>
    <w:rsid w:val="007A16A9"/>
    <w:rsid w:val="007A1B3A"/>
    <w:rsid w:val="007A44DC"/>
    <w:rsid w:val="007B274F"/>
    <w:rsid w:val="007C266B"/>
    <w:rsid w:val="007D5010"/>
    <w:rsid w:val="007F2C33"/>
    <w:rsid w:val="0080061B"/>
    <w:rsid w:val="00814577"/>
    <w:rsid w:val="00833D09"/>
    <w:rsid w:val="008510F1"/>
    <w:rsid w:val="008567E8"/>
    <w:rsid w:val="008626CE"/>
    <w:rsid w:val="008710AF"/>
    <w:rsid w:val="00872EE4"/>
    <w:rsid w:val="008866CA"/>
    <w:rsid w:val="00894D31"/>
    <w:rsid w:val="008D18B2"/>
    <w:rsid w:val="008E1A4E"/>
    <w:rsid w:val="008E2DA1"/>
    <w:rsid w:val="0090301F"/>
    <w:rsid w:val="009037EA"/>
    <w:rsid w:val="00920CE5"/>
    <w:rsid w:val="009270EA"/>
    <w:rsid w:val="009368F6"/>
    <w:rsid w:val="0096386A"/>
    <w:rsid w:val="00966CA6"/>
    <w:rsid w:val="00972F4E"/>
    <w:rsid w:val="009A0396"/>
    <w:rsid w:val="009C40E0"/>
    <w:rsid w:val="00A23115"/>
    <w:rsid w:val="00A2706E"/>
    <w:rsid w:val="00A46D25"/>
    <w:rsid w:val="00A54AEC"/>
    <w:rsid w:val="00A60B0D"/>
    <w:rsid w:val="00A97A26"/>
    <w:rsid w:val="00AA2348"/>
    <w:rsid w:val="00AA68EF"/>
    <w:rsid w:val="00AC2582"/>
    <w:rsid w:val="00AC2906"/>
    <w:rsid w:val="00AC54B3"/>
    <w:rsid w:val="00AC6816"/>
    <w:rsid w:val="00AF004C"/>
    <w:rsid w:val="00B0275D"/>
    <w:rsid w:val="00B14077"/>
    <w:rsid w:val="00B41608"/>
    <w:rsid w:val="00B63814"/>
    <w:rsid w:val="00B70EAD"/>
    <w:rsid w:val="00B77586"/>
    <w:rsid w:val="00B821D5"/>
    <w:rsid w:val="00BA24C7"/>
    <w:rsid w:val="00BA48B3"/>
    <w:rsid w:val="00BA51D5"/>
    <w:rsid w:val="00BB44C2"/>
    <w:rsid w:val="00BC13A1"/>
    <w:rsid w:val="00BC7AC2"/>
    <w:rsid w:val="00BF4C2F"/>
    <w:rsid w:val="00BF7CA2"/>
    <w:rsid w:val="00C00EDE"/>
    <w:rsid w:val="00C02BBD"/>
    <w:rsid w:val="00C1007D"/>
    <w:rsid w:val="00C14B22"/>
    <w:rsid w:val="00C45BAA"/>
    <w:rsid w:val="00C73945"/>
    <w:rsid w:val="00C74529"/>
    <w:rsid w:val="00C76C0F"/>
    <w:rsid w:val="00C85FBB"/>
    <w:rsid w:val="00CB4F73"/>
    <w:rsid w:val="00CC0083"/>
    <w:rsid w:val="00CC78DC"/>
    <w:rsid w:val="00CD750C"/>
    <w:rsid w:val="00CE4EAC"/>
    <w:rsid w:val="00CE7D48"/>
    <w:rsid w:val="00D0050C"/>
    <w:rsid w:val="00D00EAD"/>
    <w:rsid w:val="00D16E3A"/>
    <w:rsid w:val="00D2444D"/>
    <w:rsid w:val="00D25808"/>
    <w:rsid w:val="00D444A2"/>
    <w:rsid w:val="00D4465F"/>
    <w:rsid w:val="00D679B6"/>
    <w:rsid w:val="00D7156D"/>
    <w:rsid w:val="00D818F7"/>
    <w:rsid w:val="00D879F3"/>
    <w:rsid w:val="00D903F5"/>
    <w:rsid w:val="00D93A67"/>
    <w:rsid w:val="00DB12DB"/>
    <w:rsid w:val="00DB3AE0"/>
    <w:rsid w:val="00DB5D3F"/>
    <w:rsid w:val="00DC77CC"/>
    <w:rsid w:val="00DD3B9A"/>
    <w:rsid w:val="00E11305"/>
    <w:rsid w:val="00E42289"/>
    <w:rsid w:val="00E604D4"/>
    <w:rsid w:val="00E65F72"/>
    <w:rsid w:val="00E7170C"/>
    <w:rsid w:val="00E776C4"/>
    <w:rsid w:val="00E843DC"/>
    <w:rsid w:val="00E96B2F"/>
    <w:rsid w:val="00EA3E94"/>
    <w:rsid w:val="00EB68E1"/>
    <w:rsid w:val="00EC180A"/>
    <w:rsid w:val="00EC7361"/>
    <w:rsid w:val="00EC7DAF"/>
    <w:rsid w:val="00ED5C61"/>
    <w:rsid w:val="00EE0368"/>
    <w:rsid w:val="00EE2E1F"/>
    <w:rsid w:val="00EE321E"/>
    <w:rsid w:val="00EF2D0B"/>
    <w:rsid w:val="00EF4F54"/>
    <w:rsid w:val="00EF5DBE"/>
    <w:rsid w:val="00F16ED4"/>
    <w:rsid w:val="00F23FAC"/>
    <w:rsid w:val="00F5419D"/>
    <w:rsid w:val="00F90DE8"/>
    <w:rsid w:val="00F90EEF"/>
    <w:rsid w:val="00F97E1B"/>
    <w:rsid w:val="00FA1130"/>
    <w:rsid w:val="00FA215B"/>
    <w:rsid w:val="00FB2ACB"/>
    <w:rsid w:val="00FB2DCC"/>
    <w:rsid w:val="00FC3309"/>
    <w:rsid w:val="00FE0C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9FCD58A"/>
  <w15:docId w15:val="{C2F889AE-3C62-4C60-8345-7BC6F6309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3945"/>
    <w:pPr>
      <w:jc w:val="both"/>
    </w:pPr>
    <w:rPr>
      <w:rFonts w:ascii="Palatino Linotype" w:hAnsi="Palatino Linotype"/>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5164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51642"/>
    <w:rPr>
      <w:rFonts w:ascii="Palatino Linotype" w:hAnsi="Palatino Linotype"/>
      <w:color w:val="000000" w:themeColor="text1"/>
    </w:rPr>
  </w:style>
  <w:style w:type="paragraph" w:styleId="Piedepgina">
    <w:name w:val="footer"/>
    <w:basedOn w:val="Normal"/>
    <w:link w:val="PiedepginaCar"/>
    <w:uiPriority w:val="99"/>
    <w:unhideWhenUsed/>
    <w:rsid w:val="000516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51642"/>
    <w:rPr>
      <w:rFonts w:ascii="Palatino Linotype" w:hAnsi="Palatino Linotype"/>
      <w:color w:val="000000" w:themeColor="text1"/>
    </w:rPr>
  </w:style>
  <w:style w:type="table" w:styleId="Tablaconcuadrcula">
    <w:name w:val="Table Grid"/>
    <w:basedOn w:val="Tablanormal"/>
    <w:uiPriority w:val="39"/>
    <w:qFormat/>
    <w:rsid w:val="0005164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51642"/>
    <w:rPr>
      <w:rFonts w:ascii="Times New Roman" w:hAnsi="Times New Roman" w:cs="Times New Roman"/>
      <w:sz w:val="24"/>
      <w:szCs w:val="24"/>
    </w:rPr>
  </w:style>
  <w:style w:type="paragraph" w:styleId="Prrafodelista">
    <w:name w:val="List Paragraph"/>
    <w:basedOn w:val="Normal"/>
    <w:uiPriority w:val="34"/>
    <w:qFormat/>
    <w:rsid w:val="00FA1130"/>
    <w:pPr>
      <w:ind w:left="720"/>
      <w:contextualSpacing/>
    </w:pPr>
  </w:style>
  <w:style w:type="character" w:styleId="Hipervnculo">
    <w:name w:val="Hyperlink"/>
    <w:basedOn w:val="Fuentedeprrafopredeter"/>
    <w:uiPriority w:val="99"/>
    <w:unhideWhenUsed/>
    <w:rsid w:val="00316058"/>
    <w:rPr>
      <w:color w:val="0563C1" w:themeColor="hyperlink"/>
      <w:u w:val="single"/>
    </w:rPr>
  </w:style>
  <w:style w:type="character" w:customStyle="1" w:styleId="normaltextrun">
    <w:name w:val="normaltextrun"/>
    <w:basedOn w:val="Fuentedeprrafopredeter"/>
    <w:rsid w:val="007A16A9"/>
  </w:style>
  <w:style w:type="paragraph" w:customStyle="1" w:styleId="paragraph">
    <w:name w:val="paragraph"/>
    <w:basedOn w:val="Normal"/>
    <w:rsid w:val="007A16A9"/>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7A16A9"/>
  </w:style>
  <w:style w:type="character" w:customStyle="1" w:styleId="Mencinsinresolver1">
    <w:name w:val="Mención sin resolver1"/>
    <w:basedOn w:val="Fuentedeprrafopredeter"/>
    <w:uiPriority w:val="99"/>
    <w:semiHidden/>
    <w:unhideWhenUsed/>
    <w:rsid w:val="008E1A4E"/>
    <w:rPr>
      <w:color w:val="605E5C"/>
      <w:shd w:val="clear" w:color="auto" w:fill="E1DFDD"/>
    </w:rPr>
  </w:style>
  <w:style w:type="character" w:styleId="Hipervnculovisitado">
    <w:name w:val="FollowedHyperlink"/>
    <w:basedOn w:val="Fuentedeprrafopredeter"/>
    <w:uiPriority w:val="99"/>
    <w:semiHidden/>
    <w:unhideWhenUsed/>
    <w:rsid w:val="009A039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283215">
      <w:bodyDiv w:val="1"/>
      <w:marLeft w:val="0"/>
      <w:marRight w:val="0"/>
      <w:marTop w:val="0"/>
      <w:marBottom w:val="0"/>
      <w:divBdr>
        <w:top w:val="none" w:sz="0" w:space="0" w:color="auto"/>
        <w:left w:val="none" w:sz="0" w:space="0" w:color="auto"/>
        <w:bottom w:val="none" w:sz="0" w:space="0" w:color="auto"/>
        <w:right w:val="none" w:sz="0" w:space="0" w:color="auto"/>
      </w:divBdr>
    </w:div>
    <w:div w:id="191110448">
      <w:bodyDiv w:val="1"/>
      <w:marLeft w:val="0"/>
      <w:marRight w:val="0"/>
      <w:marTop w:val="0"/>
      <w:marBottom w:val="0"/>
      <w:divBdr>
        <w:top w:val="none" w:sz="0" w:space="0" w:color="auto"/>
        <w:left w:val="none" w:sz="0" w:space="0" w:color="auto"/>
        <w:bottom w:val="none" w:sz="0" w:space="0" w:color="auto"/>
        <w:right w:val="none" w:sz="0" w:space="0" w:color="auto"/>
      </w:divBdr>
    </w:div>
    <w:div w:id="213200267">
      <w:bodyDiv w:val="1"/>
      <w:marLeft w:val="0"/>
      <w:marRight w:val="0"/>
      <w:marTop w:val="0"/>
      <w:marBottom w:val="0"/>
      <w:divBdr>
        <w:top w:val="none" w:sz="0" w:space="0" w:color="auto"/>
        <w:left w:val="none" w:sz="0" w:space="0" w:color="auto"/>
        <w:bottom w:val="none" w:sz="0" w:space="0" w:color="auto"/>
        <w:right w:val="none" w:sz="0" w:space="0" w:color="auto"/>
      </w:divBdr>
    </w:div>
    <w:div w:id="360008982">
      <w:bodyDiv w:val="1"/>
      <w:marLeft w:val="0"/>
      <w:marRight w:val="0"/>
      <w:marTop w:val="0"/>
      <w:marBottom w:val="0"/>
      <w:divBdr>
        <w:top w:val="none" w:sz="0" w:space="0" w:color="auto"/>
        <w:left w:val="none" w:sz="0" w:space="0" w:color="auto"/>
        <w:bottom w:val="none" w:sz="0" w:space="0" w:color="auto"/>
        <w:right w:val="none" w:sz="0" w:space="0" w:color="auto"/>
      </w:divBdr>
    </w:div>
    <w:div w:id="366875169">
      <w:bodyDiv w:val="1"/>
      <w:marLeft w:val="0"/>
      <w:marRight w:val="0"/>
      <w:marTop w:val="0"/>
      <w:marBottom w:val="0"/>
      <w:divBdr>
        <w:top w:val="none" w:sz="0" w:space="0" w:color="auto"/>
        <w:left w:val="none" w:sz="0" w:space="0" w:color="auto"/>
        <w:bottom w:val="none" w:sz="0" w:space="0" w:color="auto"/>
        <w:right w:val="none" w:sz="0" w:space="0" w:color="auto"/>
      </w:divBdr>
    </w:div>
    <w:div w:id="435684276">
      <w:bodyDiv w:val="1"/>
      <w:marLeft w:val="0"/>
      <w:marRight w:val="0"/>
      <w:marTop w:val="0"/>
      <w:marBottom w:val="0"/>
      <w:divBdr>
        <w:top w:val="none" w:sz="0" w:space="0" w:color="auto"/>
        <w:left w:val="none" w:sz="0" w:space="0" w:color="auto"/>
        <w:bottom w:val="none" w:sz="0" w:space="0" w:color="auto"/>
        <w:right w:val="none" w:sz="0" w:space="0" w:color="auto"/>
      </w:divBdr>
    </w:div>
    <w:div w:id="570191861">
      <w:bodyDiv w:val="1"/>
      <w:marLeft w:val="0"/>
      <w:marRight w:val="0"/>
      <w:marTop w:val="0"/>
      <w:marBottom w:val="0"/>
      <w:divBdr>
        <w:top w:val="none" w:sz="0" w:space="0" w:color="auto"/>
        <w:left w:val="none" w:sz="0" w:space="0" w:color="auto"/>
        <w:bottom w:val="none" w:sz="0" w:space="0" w:color="auto"/>
        <w:right w:val="none" w:sz="0" w:space="0" w:color="auto"/>
      </w:divBdr>
    </w:div>
    <w:div w:id="907112894">
      <w:bodyDiv w:val="1"/>
      <w:marLeft w:val="0"/>
      <w:marRight w:val="0"/>
      <w:marTop w:val="0"/>
      <w:marBottom w:val="0"/>
      <w:divBdr>
        <w:top w:val="none" w:sz="0" w:space="0" w:color="auto"/>
        <w:left w:val="none" w:sz="0" w:space="0" w:color="auto"/>
        <w:bottom w:val="none" w:sz="0" w:space="0" w:color="auto"/>
        <w:right w:val="none" w:sz="0" w:space="0" w:color="auto"/>
      </w:divBdr>
    </w:div>
    <w:div w:id="908461056">
      <w:bodyDiv w:val="1"/>
      <w:marLeft w:val="0"/>
      <w:marRight w:val="0"/>
      <w:marTop w:val="0"/>
      <w:marBottom w:val="0"/>
      <w:divBdr>
        <w:top w:val="none" w:sz="0" w:space="0" w:color="auto"/>
        <w:left w:val="none" w:sz="0" w:space="0" w:color="auto"/>
        <w:bottom w:val="none" w:sz="0" w:space="0" w:color="auto"/>
        <w:right w:val="none" w:sz="0" w:space="0" w:color="auto"/>
      </w:divBdr>
    </w:div>
    <w:div w:id="1014067574">
      <w:bodyDiv w:val="1"/>
      <w:marLeft w:val="0"/>
      <w:marRight w:val="0"/>
      <w:marTop w:val="0"/>
      <w:marBottom w:val="0"/>
      <w:divBdr>
        <w:top w:val="none" w:sz="0" w:space="0" w:color="auto"/>
        <w:left w:val="none" w:sz="0" w:space="0" w:color="auto"/>
        <w:bottom w:val="none" w:sz="0" w:space="0" w:color="auto"/>
        <w:right w:val="none" w:sz="0" w:space="0" w:color="auto"/>
      </w:divBdr>
    </w:div>
    <w:div w:id="1238202197">
      <w:bodyDiv w:val="1"/>
      <w:marLeft w:val="0"/>
      <w:marRight w:val="0"/>
      <w:marTop w:val="0"/>
      <w:marBottom w:val="0"/>
      <w:divBdr>
        <w:top w:val="none" w:sz="0" w:space="0" w:color="auto"/>
        <w:left w:val="none" w:sz="0" w:space="0" w:color="auto"/>
        <w:bottom w:val="none" w:sz="0" w:space="0" w:color="auto"/>
        <w:right w:val="none" w:sz="0" w:space="0" w:color="auto"/>
      </w:divBdr>
    </w:div>
    <w:div w:id="1586497489">
      <w:bodyDiv w:val="1"/>
      <w:marLeft w:val="0"/>
      <w:marRight w:val="0"/>
      <w:marTop w:val="0"/>
      <w:marBottom w:val="0"/>
      <w:divBdr>
        <w:top w:val="none" w:sz="0" w:space="0" w:color="auto"/>
        <w:left w:val="none" w:sz="0" w:space="0" w:color="auto"/>
        <w:bottom w:val="none" w:sz="0" w:space="0" w:color="auto"/>
        <w:right w:val="none" w:sz="0" w:space="0" w:color="auto"/>
      </w:divBdr>
    </w:div>
    <w:div w:id="1747916354">
      <w:bodyDiv w:val="1"/>
      <w:marLeft w:val="0"/>
      <w:marRight w:val="0"/>
      <w:marTop w:val="0"/>
      <w:marBottom w:val="0"/>
      <w:divBdr>
        <w:top w:val="none" w:sz="0" w:space="0" w:color="auto"/>
        <w:left w:val="none" w:sz="0" w:space="0" w:color="auto"/>
        <w:bottom w:val="none" w:sz="0" w:space="0" w:color="auto"/>
        <w:right w:val="none" w:sz="0" w:space="0" w:color="auto"/>
      </w:divBdr>
    </w:div>
    <w:div w:id="19617632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ZINACANTEPEC/art_92_viii.web"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transparenciapresupuestaria.gob.mx/es/PTP/Glosario"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CF4D6D-510E-486B-B995-D9BB079F9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8420</Words>
  <Characters>46314</Characters>
  <Application>Microsoft Office Word</Application>
  <DocSecurity>0</DocSecurity>
  <Lines>385</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oswaldo</dc:creator>
  <cp:keywords/>
  <dc:description/>
  <cp:lastModifiedBy>Cuenta Microsoft</cp:lastModifiedBy>
  <cp:revision>6</cp:revision>
  <dcterms:created xsi:type="dcterms:W3CDTF">2023-03-16T03:02:00Z</dcterms:created>
  <dcterms:modified xsi:type="dcterms:W3CDTF">2023-03-23T17:09:00Z</dcterms:modified>
</cp:coreProperties>
</file>