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20DA4" w14:textId="77777777" w:rsidR="00DD587F" w:rsidRPr="006A11E6" w:rsidRDefault="00DD587F" w:rsidP="00DD587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A11E6">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treinta de agosto de dos mil veintitrés.</w:t>
      </w:r>
    </w:p>
    <w:p w14:paraId="00F21410" w14:textId="77777777" w:rsidR="00DD587F" w:rsidRPr="006A11E6" w:rsidRDefault="00DD587F" w:rsidP="00DD587F">
      <w:pPr>
        <w:shd w:val="clear" w:color="auto" w:fill="FFFFFF"/>
        <w:spacing w:after="0" w:line="360" w:lineRule="auto"/>
        <w:jc w:val="both"/>
        <w:rPr>
          <w:rFonts w:ascii="Palatino Linotype" w:eastAsia="Times New Roman" w:hAnsi="Palatino Linotype" w:cs="Arial"/>
          <w:color w:val="000000"/>
          <w:sz w:val="2"/>
          <w:szCs w:val="24"/>
          <w:lang w:eastAsia="es-MX"/>
        </w:rPr>
      </w:pPr>
    </w:p>
    <w:p w14:paraId="61F8683A" w14:textId="77777777" w:rsidR="00DD587F" w:rsidRPr="006A11E6" w:rsidRDefault="00DD587F" w:rsidP="00DD587F">
      <w:pPr>
        <w:tabs>
          <w:tab w:val="left" w:pos="1701"/>
        </w:tabs>
        <w:spacing w:after="0" w:line="360" w:lineRule="auto"/>
        <w:jc w:val="both"/>
        <w:rPr>
          <w:rFonts w:ascii="Palatino Linotype" w:hAnsi="Palatino Linotype" w:cs="Arial"/>
          <w:b/>
          <w:sz w:val="24"/>
        </w:rPr>
      </w:pPr>
    </w:p>
    <w:p w14:paraId="11C35EAD" w14:textId="77777777" w:rsidR="00DD587F" w:rsidRPr="006A11E6" w:rsidRDefault="00DD587F" w:rsidP="00DD587F">
      <w:pPr>
        <w:tabs>
          <w:tab w:val="left" w:pos="1701"/>
        </w:tabs>
        <w:spacing w:after="0" w:line="360" w:lineRule="auto"/>
        <w:jc w:val="both"/>
        <w:rPr>
          <w:rFonts w:ascii="Palatino Linotype" w:hAnsi="Palatino Linotype" w:cs="Arial"/>
          <w:b/>
          <w:sz w:val="24"/>
          <w:szCs w:val="24"/>
        </w:rPr>
      </w:pPr>
      <w:r w:rsidRPr="006A11E6">
        <w:rPr>
          <w:rFonts w:ascii="Palatino Linotype" w:hAnsi="Palatino Linotype" w:cs="Arial"/>
          <w:b/>
          <w:sz w:val="24"/>
          <w:szCs w:val="24"/>
        </w:rPr>
        <w:t>VISTO</w:t>
      </w:r>
      <w:r w:rsidRPr="006A11E6">
        <w:rPr>
          <w:rFonts w:ascii="Palatino Linotype" w:hAnsi="Palatino Linotype" w:cs="Arial"/>
          <w:sz w:val="24"/>
          <w:szCs w:val="24"/>
        </w:rPr>
        <w:t xml:space="preserve"> el expediente electrónico formado con motivo del recurso de revisión número </w:t>
      </w:r>
      <w:r w:rsidRPr="006A11E6">
        <w:rPr>
          <w:rFonts w:ascii="Palatino Linotype" w:hAnsi="Palatino Linotype" w:cs="Arial"/>
          <w:b/>
          <w:sz w:val="24"/>
          <w:szCs w:val="24"/>
        </w:rPr>
        <w:t>17160/INFOEM/ICR-245/IP/RR/2022</w:t>
      </w:r>
      <w:r w:rsidRPr="006A11E6">
        <w:rPr>
          <w:rFonts w:ascii="Palatino Linotype" w:hAnsi="Palatino Linotype" w:cs="Arial"/>
          <w:sz w:val="24"/>
          <w:szCs w:val="24"/>
        </w:rPr>
        <w:t xml:space="preserve"> </w:t>
      </w:r>
      <w:r w:rsidRPr="006A11E6">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nombre o seudónimo con el cual desea identificarse</w:t>
      </w:r>
      <w:r w:rsidRPr="006A11E6">
        <w:rPr>
          <w:rFonts w:ascii="Palatino Linotype" w:hAnsi="Palatino Linotype" w:cs="Arial"/>
          <w:sz w:val="24"/>
          <w:szCs w:val="24"/>
        </w:rPr>
        <w:t xml:space="preserve">, quien en lo sucesivo y para efectos prácticos se le denominara </w:t>
      </w:r>
      <w:r w:rsidRPr="006A11E6">
        <w:rPr>
          <w:rFonts w:ascii="Palatino Linotype" w:hAnsi="Palatino Linotype" w:cs="Arial"/>
          <w:b/>
          <w:sz w:val="24"/>
          <w:szCs w:val="24"/>
        </w:rPr>
        <w:t>el Recurrente</w:t>
      </w:r>
      <w:r w:rsidRPr="006A11E6">
        <w:rPr>
          <w:rFonts w:ascii="Palatino Linotype" w:hAnsi="Palatino Linotype" w:cs="Arial"/>
          <w:sz w:val="24"/>
          <w:szCs w:val="24"/>
        </w:rPr>
        <w:t xml:space="preserve">, en contra del </w:t>
      </w:r>
      <w:r w:rsidRPr="006A11E6">
        <w:rPr>
          <w:rFonts w:ascii="Palatino Linotype" w:hAnsi="Palatino Linotype" w:cs="Arial"/>
          <w:b/>
          <w:sz w:val="24"/>
          <w:szCs w:val="24"/>
        </w:rPr>
        <w:t>Sujeto Obligado</w:t>
      </w:r>
      <w:r w:rsidRPr="006A11E6">
        <w:rPr>
          <w:rFonts w:ascii="Palatino Linotype" w:hAnsi="Palatino Linotype" w:cs="Arial"/>
          <w:sz w:val="24"/>
          <w:szCs w:val="24"/>
        </w:rPr>
        <w:t xml:space="preserve">, </w:t>
      </w:r>
      <w:r w:rsidRPr="006A11E6">
        <w:rPr>
          <w:rFonts w:ascii="Palatino Linotype" w:hAnsi="Palatino Linotype" w:cs="Arial"/>
          <w:b/>
          <w:sz w:val="24"/>
          <w:szCs w:val="24"/>
        </w:rPr>
        <w:t xml:space="preserve">Ayuntamiento de Zinacantepec, </w:t>
      </w:r>
      <w:r w:rsidRPr="006A11E6">
        <w:rPr>
          <w:rFonts w:ascii="Palatino Linotype" w:hAnsi="Palatino Linotype" w:cs="Arial"/>
          <w:sz w:val="24"/>
          <w:szCs w:val="24"/>
        </w:rPr>
        <w:t>en cumplimiento a la determinación del diverso con número</w:t>
      </w:r>
      <w:r w:rsidR="00666C79" w:rsidRPr="006A11E6">
        <w:rPr>
          <w:rFonts w:ascii="Verdana" w:hAnsi="Verdana"/>
          <w:b/>
          <w:bCs/>
          <w:color w:val="FF0000"/>
        </w:rPr>
        <w:t xml:space="preserve"> </w:t>
      </w:r>
      <w:r w:rsidR="00666C79" w:rsidRPr="006A11E6">
        <w:rPr>
          <w:rFonts w:ascii="Palatino Linotype" w:hAnsi="Palatino Linotype"/>
          <w:b/>
          <w:bCs/>
          <w:sz w:val="24"/>
          <w:szCs w:val="24"/>
        </w:rPr>
        <w:t>01177/ZINACANT/IP/2022</w:t>
      </w:r>
      <w:r w:rsidRPr="006A11E6">
        <w:rPr>
          <w:rFonts w:ascii="Palatino Linotype" w:hAnsi="Palatino Linotype" w:cs="Arial"/>
          <w:b/>
          <w:sz w:val="24"/>
          <w:szCs w:val="24"/>
        </w:rPr>
        <w:t xml:space="preserve">, </w:t>
      </w:r>
      <w:r w:rsidRPr="006A11E6">
        <w:rPr>
          <w:rFonts w:ascii="Palatino Linotype" w:hAnsi="Palatino Linotype" w:cs="Arial"/>
          <w:sz w:val="24"/>
          <w:szCs w:val="24"/>
        </w:rPr>
        <w:t>se procede a dictar la presente resolución.</w:t>
      </w:r>
    </w:p>
    <w:p w14:paraId="0F13DD7B" w14:textId="77777777" w:rsidR="00DD587F" w:rsidRPr="006A11E6" w:rsidRDefault="00DD587F" w:rsidP="00DD587F">
      <w:pPr>
        <w:tabs>
          <w:tab w:val="left" w:pos="6960"/>
        </w:tabs>
        <w:spacing w:after="0" w:line="360" w:lineRule="auto"/>
        <w:jc w:val="both"/>
        <w:rPr>
          <w:rFonts w:ascii="Palatino Linotype" w:hAnsi="Palatino Linotype" w:cs="Arial"/>
          <w:sz w:val="24"/>
          <w:szCs w:val="24"/>
        </w:rPr>
      </w:pPr>
    </w:p>
    <w:p w14:paraId="082467DE" w14:textId="77777777" w:rsidR="00DD587F" w:rsidRPr="006A11E6" w:rsidRDefault="00DD587F" w:rsidP="00DD587F">
      <w:pPr>
        <w:spacing w:after="0" w:line="360" w:lineRule="auto"/>
        <w:jc w:val="center"/>
        <w:rPr>
          <w:rFonts w:ascii="Palatino Linotype" w:hAnsi="Palatino Linotype" w:cs="Arial"/>
          <w:b/>
          <w:sz w:val="28"/>
          <w:szCs w:val="24"/>
        </w:rPr>
      </w:pPr>
      <w:r w:rsidRPr="006A11E6">
        <w:rPr>
          <w:rFonts w:ascii="Palatino Linotype" w:hAnsi="Palatino Linotype" w:cs="Arial"/>
          <w:b/>
          <w:sz w:val="28"/>
          <w:szCs w:val="24"/>
        </w:rPr>
        <w:t>A N T E C E D E N T E S</w:t>
      </w:r>
    </w:p>
    <w:p w14:paraId="77B15B41" w14:textId="77777777" w:rsidR="00DD587F" w:rsidRPr="006A11E6" w:rsidRDefault="00DD587F" w:rsidP="00DD587F">
      <w:pPr>
        <w:spacing w:after="0" w:line="360" w:lineRule="auto"/>
        <w:rPr>
          <w:rFonts w:ascii="Palatino Linotype" w:hAnsi="Palatino Linotype" w:cs="Arial"/>
          <w:b/>
          <w:sz w:val="24"/>
          <w:szCs w:val="24"/>
        </w:rPr>
      </w:pPr>
    </w:p>
    <w:p w14:paraId="6A06C1E0" w14:textId="77777777" w:rsidR="00DD587F" w:rsidRPr="006A11E6" w:rsidRDefault="00DD587F" w:rsidP="00DD587F">
      <w:pPr>
        <w:spacing w:after="0" w:line="360" w:lineRule="auto"/>
        <w:jc w:val="both"/>
        <w:rPr>
          <w:rFonts w:ascii="Palatino Linotype" w:hAnsi="Palatino Linotype" w:cs="Arial"/>
          <w:b/>
          <w:sz w:val="28"/>
          <w:szCs w:val="28"/>
        </w:rPr>
      </w:pPr>
      <w:r w:rsidRPr="006A11E6">
        <w:rPr>
          <w:rFonts w:ascii="Palatino Linotype" w:hAnsi="Palatino Linotype" w:cs="Arial"/>
          <w:b/>
          <w:sz w:val="28"/>
          <w:szCs w:val="28"/>
        </w:rPr>
        <w:t>PRIMERO. De la solicitud de información.</w:t>
      </w:r>
    </w:p>
    <w:p w14:paraId="2048928E"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 xml:space="preserve">Con fecha siete de noviembre de dos mil veintidós de dos mil veintidós, </w:t>
      </w:r>
      <w:r w:rsidRPr="006A11E6">
        <w:rPr>
          <w:rFonts w:ascii="Palatino Linotype" w:hAnsi="Palatino Linotype" w:cs="Arial"/>
          <w:b/>
          <w:sz w:val="24"/>
          <w:szCs w:val="24"/>
        </w:rPr>
        <w:t>el Recurrente</w:t>
      </w:r>
      <w:r w:rsidRPr="006A11E6">
        <w:rPr>
          <w:rFonts w:ascii="Palatino Linotype" w:hAnsi="Palatino Linotype" w:cs="Arial"/>
          <w:sz w:val="24"/>
          <w:szCs w:val="24"/>
        </w:rPr>
        <w:t xml:space="preserve"> presentó a través del Sistema de Acceso a la Información Mexiquense, en lo posterior el </w:t>
      </w:r>
      <w:r w:rsidRPr="006A11E6">
        <w:rPr>
          <w:rFonts w:ascii="Palatino Linotype" w:hAnsi="Palatino Linotype" w:cs="Arial"/>
          <w:b/>
          <w:sz w:val="24"/>
          <w:szCs w:val="24"/>
        </w:rPr>
        <w:t>SAIMEX</w:t>
      </w:r>
      <w:r w:rsidRPr="006A11E6">
        <w:rPr>
          <w:rFonts w:ascii="Palatino Linotype" w:hAnsi="Palatino Linotype" w:cs="Arial"/>
          <w:sz w:val="24"/>
          <w:szCs w:val="24"/>
        </w:rPr>
        <w:t xml:space="preserve">, ante </w:t>
      </w:r>
      <w:r w:rsidRPr="006A11E6">
        <w:rPr>
          <w:rFonts w:ascii="Palatino Linotype" w:hAnsi="Palatino Linotype" w:cs="Arial"/>
          <w:b/>
          <w:sz w:val="24"/>
          <w:szCs w:val="24"/>
        </w:rPr>
        <w:t>el Sujeto Obligado</w:t>
      </w:r>
      <w:r w:rsidRPr="006A11E6">
        <w:rPr>
          <w:rFonts w:ascii="Palatino Linotype" w:hAnsi="Palatino Linotype" w:cs="Arial"/>
          <w:sz w:val="24"/>
          <w:szCs w:val="24"/>
        </w:rPr>
        <w:t xml:space="preserve">, solicitudes de acceso a la información pública, registradas bajo el número de expediente </w:t>
      </w:r>
      <w:r w:rsidRPr="006A11E6">
        <w:rPr>
          <w:rFonts w:ascii="Palatino Linotype" w:hAnsi="Palatino Linotype" w:cs="Arial"/>
          <w:b/>
          <w:sz w:val="24"/>
          <w:szCs w:val="24"/>
        </w:rPr>
        <w:t>01177/ZINACANT/IP/2022</w:t>
      </w:r>
      <w:r w:rsidRPr="006A11E6">
        <w:rPr>
          <w:rFonts w:ascii="Palatino Linotype" w:hAnsi="Palatino Linotype" w:cs="Arial"/>
          <w:sz w:val="24"/>
          <w:szCs w:val="24"/>
          <w:lang w:eastAsia="es-MX"/>
        </w:rPr>
        <w:t xml:space="preserve"> </w:t>
      </w:r>
      <w:r w:rsidRPr="006A11E6">
        <w:rPr>
          <w:rFonts w:ascii="Palatino Linotype" w:hAnsi="Palatino Linotype" w:cs="Arial"/>
          <w:sz w:val="24"/>
          <w:szCs w:val="24"/>
        </w:rPr>
        <w:t>mediante el cual solicitó información en el tenor siguiente:</w:t>
      </w:r>
    </w:p>
    <w:p w14:paraId="1B2B25CF" w14:textId="77777777" w:rsidR="00DD587F" w:rsidRPr="006A11E6" w:rsidRDefault="00DD587F" w:rsidP="00DD587F">
      <w:pPr>
        <w:tabs>
          <w:tab w:val="left" w:pos="5647"/>
        </w:tabs>
        <w:spacing w:after="0" w:line="360" w:lineRule="auto"/>
        <w:ind w:left="567" w:right="567"/>
        <w:jc w:val="both"/>
        <w:rPr>
          <w:rFonts w:ascii="Palatino Linotype" w:eastAsia="Times New Roman" w:hAnsi="Palatino Linotype" w:cs="Times New Roman"/>
          <w:i/>
          <w:szCs w:val="24"/>
          <w:lang w:val="es-ES_tradnl" w:eastAsia="es-ES"/>
        </w:rPr>
      </w:pPr>
      <w:r w:rsidRPr="006A11E6">
        <w:rPr>
          <w:rFonts w:ascii="Palatino Linotype" w:eastAsia="Times New Roman" w:hAnsi="Palatino Linotype" w:cs="Times New Roman"/>
          <w:i/>
          <w:sz w:val="24"/>
          <w:szCs w:val="24"/>
          <w:lang w:val="es-ES_tradnl" w:eastAsia="es-ES"/>
        </w:rPr>
        <w:t>“</w:t>
      </w:r>
      <w:r w:rsidRPr="006A11E6">
        <w:rPr>
          <w:rFonts w:ascii="Palatino Linotype" w:hAnsi="Palatino Linotype"/>
          <w:color w:val="000000"/>
          <w:sz w:val="24"/>
          <w:szCs w:val="24"/>
        </w:rPr>
        <w:t>SOLICITO TODAS LOS OFICIOS DE INCAPACIDADES MÉDICAS DURANTE 2022</w:t>
      </w:r>
      <w:r w:rsidRPr="006A11E6">
        <w:rPr>
          <w:rFonts w:ascii="Palatino Linotype" w:eastAsia="Times New Roman" w:hAnsi="Palatino Linotype" w:cs="Times New Roman"/>
          <w:i/>
          <w:szCs w:val="24"/>
          <w:lang w:val="es-ES_tradnl" w:eastAsia="es-ES"/>
        </w:rPr>
        <w:t>.”</w:t>
      </w:r>
    </w:p>
    <w:p w14:paraId="61562FF8" w14:textId="77777777" w:rsidR="00DD587F" w:rsidRPr="006A11E6" w:rsidRDefault="00DD587F" w:rsidP="00DD587F">
      <w:pPr>
        <w:spacing w:after="0" w:line="360" w:lineRule="auto"/>
        <w:jc w:val="both"/>
        <w:rPr>
          <w:rFonts w:ascii="Palatino Linotype" w:eastAsia="Times New Roman" w:hAnsi="Palatino Linotype" w:cs="Times New Roman"/>
          <w:sz w:val="24"/>
          <w:szCs w:val="24"/>
          <w:lang w:val="es-ES_tradnl" w:eastAsia="es-ES"/>
        </w:rPr>
      </w:pPr>
    </w:p>
    <w:p w14:paraId="427B18A8" w14:textId="77777777" w:rsidR="00DD587F" w:rsidRPr="006A11E6" w:rsidRDefault="00DD587F" w:rsidP="00DD587F">
      <w:pPr>
        <w:spacing w:after="0" w:line="360" w:lineRule="auto"/>
        <w:jc w:val="both"/>
        <w:rPr>
          <w:rFonts w:ascii="Palatino Linotype" w:eastAsia="Times New Roman" w:hAnsi="Palatino Linotype" w:cs="Times New Roman"/>
          <w:sz w:val="24"/>
          <w:szCs w:val="24"/>
          <w:lang w:val="es-ES_tradnl" w:eastAsia="es-ES"/>
        </w:rPr>
      </w:pPr>
      <w:r w:rsidRPr="006A11E6">
        <w:rPr>
          <w:rFonts w:ascii="Palatino Linotype" w:eastAsia="Times New Roman" w:hAnsi="Palatino Linotype" w:cs="Times New Roman"/>
          <w:sz w:val="24"/>
          <w:szCs w:val="24"/>
          <w:lang w:val="es-ES_tradnl" w:eastAsia="es-ES"/>
        </w:rPr>
        <w:t xml:space="preserve">Modalidad de entrega: </w:t>
      </w:r>
      <w:r w:rsidRPr="006A11E6">
        <w:rPr>
          <w:rFonts w:ascii="Palatino Linotype" w:eastAsia="Times New Roman" w:hAnsi="Palatino Linotype" w:cs="Times New Roman"/>
          <w:b/>
          <w:i/>
          <w:sz w:val="24"/>
          <w:szCs w:val="24"/>
          <w:lang w:val="es-ES_tradnl" w:eastAsia="es-ES"/>
        </w:rPr>
        <w:t>A través del SAIMEX</w:t>
      </w:r>
    </w:p>
    <w:p w14:paraId="076DBD86" w14:textId="77777777" w:rsidR="00DD587F" w:rsidRPr="006A11E6" w:rsidRDefault="00DD587F" w:rsidP="00DD587F">
      <w:pPr>
        <w:spacing w:after="0" w:line="360" w:lineRule="auto"/>
        <w:jc w:val="both"/>
        <w:rPr>
          <w:rFonts w:ascii="Palatino Linotype" w:eastAsia="Times New Roman" w:hAnsi="Palatino Linotype" w:cs="Times New Roman"/>
          <w:sz w:val="24"/>
          <w:szCs w:val="24"/>
          <w:lang w:val="es-ES_tradnl" w:eastAsia="es-ES"/>
        </w:rPr>
      </w:pPr>
    </w:p>
    <w:p w14:paraId="180C8504" w14:textId="77777777" w:rsidR="00DD587F" w:rsidRPr="006A11E6" w:rsidRDefault="00DD587F" w:rsidP="00DD587F">
      <w:pPr>
        <w:spacing w:after="0" w:line="360" w:lineRule="auto"/>
        <w:jc w:val="both"/>
        <w:rPr>
          <w:rFonts w:ascii="Palatino Linotype" w:eastAsia="Times New Roman" w:hAnsi="Palatino Linotype" w:cs="Times New Roman"/>
          <w:b/>
          <w:sz w:val="24"/>
          <w:szCs w:val="24"/>
          <w:lang w:val="es-ES_tradnl" w:eastAsia="es-ES"/>
        </w:rPr>
      </w:pPr>
      <w:r w:rsidRPr="006A11E6">
        <w:rPr>
          <w:rFonts w:ascii="Palatino Linotype" w:eastAsia="Times New Roman" w:hAnsi="Palatino Linotype" w:cs="Times New Roman"/>
          <w:b/>
          <w:sz w:val="28"/>
          <w:szCs w:val="28"/>
          <w:lang w:val="es-ES_tradnl" w:eastAsia="es-ES"/>
        </w:rPr>
        <w:t>SEGUNDO:</w:t>
      </w:r>
      <w:r w:rsidRPr="006A11E6">
        <w:rPr>
          <w:rFonts w:ascii="Palatino Linotype" w:eastAsia="Times New Roman" w:hAnsi="Palatino Linotype" w:cs="Times New Roman"/>
          <w:sz w:val="24"/>
          <w:szCs w:val="24"/>
          <w:lang w:val="es-ES_tradnl" w:eastAsia="es-ES"/>
        </w:rPr>
        <w:t xml:space="preserve"> </w:t>
      </w:r>
      <w:r w:rsidRPr="006A11E6">
        <w:rPr>
          <w:rFonts w:ascii="Palatino Linotype" w:eastAsia="Times New Roman" w:hAnsi="Palatino Linotype" w:cs="Times New Roman"/>
          <w:b/>
          <w:sz w:val="24"/>
          <w:szCs w:val="24"/>
          <w:lang w:val="es-ES_tradnl" w:eastAsia="es-ES"/>
        </w:rPr>
        <w:t>De la solicitud de aclaración</w:t>
      </w:r>
      <w:r w:rsidR="00C22257" w:rsidRPr="006A11E6">
        <w:rPr>
          <w:rFonts w:ascii="Palatino Linotype" w:eastAsia="Times New Roman" w:hAnsi="Palatino Linotype" w:cs="Times New Roman"/>
          <w:b/>
          <w:sz w:val="24"/>
          <w:szCs w:val="24"/>
          <w:lang w:val="es-ES_tradnl" w:eastAsia="es-ES"/>
        </w:rPr>
        <w:t xml:space="preserve"> y la aclaración</w:t>
      </w:r>
    </w:p>
    <w:p w14:paraId="33579AEF" w14:textId="77777777" w:rsidR="00DD587F" w:rsidRPr="006A11E6" w:rsidRDefault="00DD587F" w:rsidP="00DD587F">
      <w:pPr>
        <w:spacing w:after="0" w:line="360" w:lineRule="auto"/>
        <w:jc w:val="both"/>
        <w:rPr>
          <w:rFonts w:ascii="Palatino Linotype" w:eastAsia="Times New Roman" w:hAnsi="Palatino Linotype" w:cs="Times New Roman"/>
          <w:sz w:val="24"/>
          <w:szCs w:val="24"/>
          <w:lang w:val="es-ES_tradnl" w:eastAsia="es-ES"/>
        </w:rPr>
      </w:pPr>
      <w:r w:rsidRPr="006A11E6">
        <w:rPr>
          <w:rFonts w:ascii="Palatino Linotype" w:eastAsia="Times New Roman" w:hAnsi="Palatino Linotype" w:cs="Times New Roman"/>
          <w:sz w:val="24"/>
          <w:szCs w:val="24"/>
          <w:lang w:val="es-ES_tradnl" w:eastAsia="es-ES"/>
        </w:rPr>
        <w:t>En fecha catorce de noviembre del dos mil veintidós, el Sujeto obligado emitió Solicitud de Aclaración en los siguientes términos:</w:t>
      </w:r>
    </w:p>
    <w:p w14:paraId="42DF8A4E" w14:textId="77777777" w:rsidR="00DD587F" w:rsidRPr="006A11E6" w:rsidRDefault="00DD587F" w:rsidP="00DD587F">
      <w:pPr>
        <w:spacing w:after="0" w:line="360" w:lineRule="auto"/>
        <w:ind w:right="709"/>
        <w:jc w:val="right"/>
        <w:rPr>
          <w:rFonts w:ascii="Palatino Linotype" w:eastAsia="Times New Roman" w:hAnsi="Palatino Linotype" w:cs="Times New Roman"/>
          <w:i/>
          <w:sz w:val="24"/>
          <w:szCs w:val="24"/>
          <w:lang w:val="es-ES_tradnl" w:eastAsia="es-ES"/>
        </w:rPr>
      </w:pPr>
      <w:r w:rsidRPr="006A11E6">
        <w:rPr>
          <w:rFonts w:ascii="Palatino Linotype" w:eastAsia="Times New Roman" w:hAnsi="Palatino Linotype" w:cs="Times New Roman"/>
          <w:i/>
          <w:sz w:val="24"/>
          <w:szCs w:val="24"/>
          <w:lang w:val="es-ES_tradnl" w:eastAsia="es-ES"/>
        </w:rPr>
        <w:t>“</w:t>
      </w:r>
    </w:p>
    <w:tbl>
      <w:tblPr>
        <w:tblW w:w="8767" w:type="dxa"/>
        <w:jc w:val="center"/>
        <w:tblCellSpacing w:w="0" w:type="dxa"/>
        <w:tblCellMar>
          <w:left w:w="0" w:type="dxa"/>
          <w:right w:w="0" w:type="dxa"/>
        </w:tblCellMar>
        <w:tblLook w:val="04A0" w:firstRow="1" w:lastRow="0" w:firstColumn="1" w:lastColumn="0" w:noHBand="0" w:noVBand="1"/>
      </w:tblPr>
      <w:tblGrid>
        <w:gridCol w:w="8767"/>
      </w:tblGrid>
      <w:tr w:rsidR="00DD587F" w:rsidRPr="006A11E6" w14:paraId="1982B924" w14:textId="77777777" w:rsidTr="00DD587F">
        <w:trPr>
          <w:trHeight w:val="283"/>
          <w:tblCellSpacing w:w="0" w:type="dxa"/>
          <w:jc w:val="center"/>
        </w:trPr>
        <w:tc>
          <w:tcPr>
            <w:tcW w:w="0" w:type="auto"/>
            <w:vAlign w:val="center"/>
            <w:hideMark/>
          </w:tcPr>
          <w:p w14:paraId="14C9B71E" w14:textId="77777777" w:rsidR="00DD587F" w:rsidRPr="006A11E6" w:rsidRDefault="00DD587F" w:rsidP="00DD587F">
            <w:pPr>
              <w:spacing w:after="0" w:line="240" w:lineRule="auto"/>
              <w:jc w:val="right"/>
              <w:rPr>
                <w:rFonts w:ascii="Palatino Linotype" w:eastAsia="Times New Roman" w:hAnsi="Palatino Linotype" w:cs="Times New Roman"/>
                <w:lang w:eastAsia="es-MX"/>
              </w:rPr>
            </w:pPr>
            <w:r w:rsidRPr="006A11E6">
              <w:rPr>
                <w:rFonts w:ascii="Palatino Linotype" w:eastAsia="Times New Roman" w:hAnsi="Palatino Linotype" w:cs="Times New Roman"/>
                <w:lang w:eastAsia="es-MX"/>
              </w:rPr>
              <w:t>Zinacantepec, México a 14 de Noviembre de 2022</w:t>
            </w:r>
          </w:p>
        </w:tc>
      </w:tr>
      <w:tr w:rsidR="00DD587F" w:rsidRPr="006A11E6" w14:paraId="333D7E16" w14:textId="77777777" w:rsidTr="00DD587F">
        <w:trPr>
          <w:trHeight w:val="283"/>
          <w:tblCellSpacing w:w="0" w:type="dxa"/>
          <w:jc w:val="center"/>
        </w:trPr>
        <w:tc>
          <w:tcPr>
            <w:tcW w:w="0" w:type="auto"/>
            <w:vAlign w:val="center"/>
            <w:hideMark/>
          </w:tcPr>
          <w:p w14:paraId="4705593E" w14:textId="77777777" w:rsidR="00DD587F" w:rsidRPr="006A11E6" w:rsidRDefault="00DD587F" w:rsidP="00D3475B">
            <w:pPr>
              <w:spacing w:after="0" w:line="240" w:lineRule="auto"/>
              <w:ind w:left="567" w:right="425"/>
              <w:jc w:val="right"/>
              <w:rPr>
                <w:rFonts w:ascii="Palatino Linotype" w:eastAsia="Times New Roman" w:hAnsi="Palatino Linotype" w:cs="Times New Roman"/>
                <w:i/>
                <w:lang w:eastAsia="es-MX"/>
              </w:rPr>
            </w:pPr>
            <w:r w:rsidRPr="006A11E6">
              <w:rPr>
                <w:rFonts w:ascii="Palatino Linotype" w:eastAsia="Times New Roman" w:hAnsi="Palatino Linotype" w:cs="Times New Roman"/>
                <w:i/>
                <w:lang w:eastAsia="es-MX"/>
              </w:rPr>
              <w:t>Nombre del solicitante: C. Solicitante</w:t>
            </w:r>
          </w:p>
        </w:tc>
      </w:tr>
      <w:tr w:rsidR="00DD587F" w:rsidRPr="006A11E6" w14:paraId="74698F01" w14:textId="77777777" w:rsidTr="00DD587F">
        <w:trPr>
          <w:trHeight w:val="283"/>
          <w:tblCellSpacing w:w="0" w:type="dxa"/>
          <w:jc w:val="center"/>
        </w:trPr>
        <w:tc>
          <w:tcPr>
            <w:tcW w:w="0" w:type="auto"/>
            <w:vAlign w:val="center"/>
            <w:hideMark/>
          </w:tcPr>
          <w:p w14:paraId="591ACE4F" w14:textId="77777777" w:rsidR="00DD587F" w:rsidRPr="006A11E6" w:rsidRDefault="00DD587F" w:rsidP="00D3475B">
            <w:pPr>
              <w:spacing w:after="0" w:line="240" w:lineRule="auto"/>
              <w:ind w:left="567" w:right="425"/>
              <w:jc w:val="right"/>
              <w:rPr>
                <w:rFonts w:ascii="Palatino Linotype" w:eastAsia="Times New Roman" w:hAnsi="Palatino Linotype" w:cs="Times New Roman"/>
                <w:i/>
                <w:lang w:eastAsia="es-MX"/>
              </w:rPr>
            </w:pPr>
            <w:r w:rsidRPr="006A11E6">
              <w:rPr>
                <w:rFonts w:ascii="Palatino Linotype" w:eastAsia="Times New Roman" w:hAnsi="Palatino Linotype" w:cs="Times New Roman"/>
                <w:i/>
                <w:lang w:eastAsia="es-MX"/>
              </w:rPr>
              <w:t>Folio de la solicitud: 01177/ZINACANT/IP/2022</w:t>
            </w:r>
          </w:p>
        </w:tc>
      </w:tr>
      <w:tr w:rsidR="00DD587F" w:rsidRPr="006A11E6" w14:paraId="650DCEF1" w14:textId="77777777" w:rsidTr="00DD587F">
        <w:trPr>
          <w:trHeight w:val="425"/>
          <w:tblCellSpacing w:w="0" w:type="dxa"/>
          <w:jc w:val="center"/>
        </w:trPr>
        <w:tc>
          <w:tcPr>
            <w:tcW w:w="0" w:type="auto"/>
            <w:vAlign w:val="center"/>
            <w:hideMark/>
          </w:tcPr>
          <w:p w14:paraId="109FFF32" w14:textId="77777777" w:rsidR="00DD587F" w:rsidRPr="006A11E6" w:rsidRDefault="00DD587F" w:rsidP="00D3475B">
            <w:pPr>
              <w:spacing w:after="0" w:line="240" w:lineRule="auto"/>
              <w:ind w:left="567" w:right="425"/>
              <w:jc w:val="right"/>
              <w:rPr>
                <w:rFonts w:ascii="Palatino Linotype" w:eastAsia="Times New Roman" w:hAnsi="Palatino Linotype" w:cs="Times New Roman"/>
                <w:i/>
                <w:lang w:eastAsia="es-MX"/>
              </w:rPr>
            </w:pPr>
          </w:p>
        </w:tc>
      </w:tr>
      <w:tr w:rsidR="00DD587F" w:rsidRPr="006A11E6" w14:paraId="012225F4" w14:textId="77777777" w:rsidTr="00DD587F">
        <w:trPr>
          <w:trHeight w:val="141"/>
          <w:tblCellSpacing w:w="0" w:type="dxa"/>
          <w:jc w:val="center"/>
        </w:trPr>
        <w:tc>
          <w:tcPr>
            <w:tcW w:w="0" w:type="auto"/>
            <w:vAlign w:val="center"/>
            <w:hideMark/>
          </w:tcPr>
          <w:p w14:paraId="5DC8F314" w14:textId="77777777" w:rsidR="00DD587F" w:rsidRPr="006A11E6" w:rsidRDefault="00DD587F" w:rsidP="00D3475B">
            <w:pPr>
              <w:spacing w:after="0" w:line="240" w:lineRule="auto"/>
              <w:ind w:left="567" w:right="425"/>
              <w:jc w:val="both"/>
              <w:rPr>
                <w:rFonts w:ascii="Palatino Linotype" w:eastAsia="Times New Roman" w:hAnsi="Palatino Linotype" w:cs="Times New Roman"/>
                <w:i/>
                <w:lang w:eastAsia="es-MX"/>
              </w:rPr>
            </w:pPr>
            <w:r w:rsidRPr="006A11E6">
              <w:rPr>
                <w:rFonts w:ascii="Palatino Linotype" w:eastAsia="Times New Roman" w:hAnsi="Palatino Linotype" w:cs="Times New Roman"/>
                <w:i/>
                <w:lang w:eastAsia="es-MX"/>
              </w:rPr>
              <w:t>Con fundamento en el articulo 159 de la Ley de Transparencia y Acceso a la Información Pública del Estado de México y Municipios, se le requiere para que dentro del plazo de diez días hábiles realice lo siguiente:</w:t>
            </w:r>
          </w:p>
        </w:tc>
      </w:tr>
      <w:tr w:rsidR="00DD587F" w:rsidRPr="006A11E6" w14:paraId="7FECF48B" w14:textId="77777777" w:rsidTr="00DD587F">
        <w:trPr>
          <w:trHeight w:val="354"/>
          <w:tblCellSpacing w:w="0" w:type="dxa"/>
          <w:jc w:val="center"/>
        </w:trPr>
        <w:tc>
          <w:tcPr>
            <w:tcW w:w="0" w:type="auto"/>
            <w:vAlign w:val="center"/>
            <w:hideMark/>
          </w:tcPr>
          <w:p w14:paraId="1616B365" w14:textId="77777777" w:rsidR="00DD587F" w:rsidRPr="006A11E6" w:rsidRDefault="00DD587F" w:rsidP="00D3475B">
            <w:pPr>
              <w:spacing w:after="0" w:line="240" w:lineRule="auto"/>
              <w:ind w:left="567" w:right="425"/>
              <w:rPr>
                <w:rFonts w:ascii="Palatino Linotype" w:eastAsia="Times New Roman" w:hAnsi="Palatino Linotype" w:cs="Times New Roman"/>
                <w:i/>
                <w:lang w:eastAsia="es-MX"/>
              </w:rPr>
            </w:pPr>
          </w:p>
        </w:tc>
      </w:tr>
      <w:tr w:rsidR="00DD587F" w:rsidRPr="006A11E6" w14:paraId="67B63CB5" w14:textId="77777777" w:rsidTr="00DD587F">
        <w:trPr>
          <w:trHeight w:val="141"/>
          <w:tblCellSpacing w:w="0" w:type="dxa"/>
          <w:jc w:val="center"/>
        </w:trPr>
        <w:tc>
          <w:tcPr>
            <w:tcW w:w="0" w:type="auto"/>
            <w:vAlign w:val="center"/>
            <w:hideMark/>
          </w:tcPr>
          <w:p w14:paraId="406E6F72" w14:textId="77777777" w:rsidR="00DD587F" w:rsidRPr="006A11E6" w:rsidRDefault="00DD587F" w:rsidP="00D3475B">
            <w:pPr>
              <w:spacing w:after="0" w:line="240" w:lineRule="auto"/>
              <w:ind w:left="567" w:right="425"/>
              <w:jc w:val="both"/>
              <w:rPr>
                <w:rFonts w:ascii="Palatino Linotype" w:eastAsia="Times New Roman" w:hAnsi="Palatino Linotype" w:cs="Times New Roman"/>
                <w:i/>
                <w:lang w:eastAsia="es-MX"/>
              </w:rPr>
            </w:pPr>
            <w:r w:rsidRPr="006A11E6">
              <w:rPr>
                <w:rFonts w:ascii="Palatino Linotype" w:eastAsia="Times New Roman" w:hAnsi="Palatino Linotype" w:cs="Times New Roman"/>
                <w:i/>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DD587F" w:rsidRPr="006A11E6" w14:paraId="25FCF300" w14:textId="77777777" w:rsidTr="00DD587F">
        <w:trPr>
          <w:trHeight w:val="354"/>
          <w:tblCellSpacing w:w="0" w:type="dxa"/>
          <w:jc w:val="center"/>
        </w:trPr>
        <w:tc>
          <w:tcPr>
            <w:tcW w:w="0" w:type="auto"/>
            <w:vAlign w:val="center"/>
            <w:hideMark/>
          </w:tcPr>
          <w:p w14:paraId="5543D2DB" w14:textId="77777777" w:rsidR="00DD587F" w:rsidRPr="006A11E6" w:rsidRDefault="00DD587F" w:rsidP="00D3475B">
            <w:pPr>
              <w:spacing w:after="0" w:line="240" w:lineRule="auto"/>
              <w:ind w:left="567" w:right="425"/>
              <w:rPr>
                <w:rFonts w:ascii="Palatino Linotype" w:eastAsia="Times New Roman" w:hAnsi="Palatino Linotype" w:cs="Times New Roman"/>
                <w:i/>
                <w:lang w:eastAsia="es-MX"/>
              </w:rPr>
            </w:pPr>
          </w:p>
        </w:tc>
      </w:tr>
      <w:tr w:rsidR="00DD587F" w:rsidRPr="006A11E6" w14:paraId="36EA4B76" w14:textId="77777777" w:rsidTr="00DD587F">
        <w:trPr>
          <w:trHeight w:val="141"/>
          <w:tblCellSpacing w:w="0" w:type="dxa"/>
          <w:jc w:val="center"/>
        </w:trPr>
        <w:tc>
          <w:tcPr>
            <w:tcW w:w="0" w:type="auto"/>
            <w:vAlign w:val="center"/>
            <w:hideMark/>
          </w:tcPr>
          <w:p w14:paraId="74031FDD" w14:textId="77777777" w:rsidR="00DD587F" w:rsidRPr="006A11E6" w:rsidRDefault="00DD587F" w:rsidP="00D3475B">
            <w:pPr>
              <w:spacing w:after="0" w:line="240" w:lineRule="auto"/>
              <w:ind w:left="567" w:right="425"/>
              <w:jc w:val="both"/>
              <w:rPr>
                <w:rFonts w:ascii="Palatino Linotype" w:eastAsia="Times New Roman" w:hAnsi="Palatino Linotype" w:cs="Times New Roman"/>
                <w:i/>
                <w:lang w:eastAsia="es-MX"/>
              </w:rPr>
            </w:pPr>
            <w:r w:rsidRPr="006A11E6">
              <w:rPr>
                <w:rFonts w:ascii="Palatino Linotype" w:eastAsia="Times New Roman" w:hAnsi="Palatino Linotype" w:cs="Times New Roman"/>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DD587F" w:rsidRPr="006A11E6" w14:paraId="063CA50A" w14:textId="77777777" w:rsidTr="00DD587F">
        <w:trPr>
          <w:trHeight w:val="141"/>
          <w:tblCellSpacing w:w="0" w:type="dxa"/>
          <w:jc w:val="center"/>
        </w:trPr>
        <w:tc>
          <w:tcPr>
            <w:tcW w:w="0" w:type="auto"/>
            <w:vAlign w:val="center"/>
            <w:hideMark/>
          </w:tcPr>
          <w:p w14:paraId="555DB02E" w14:textId="77777777" w:rsidR="00DD587F" w:rsidRPr="006A11E6" w:rsidRDefault="00DD587F" w:rsidP="00D3475B">
            <w:pPr>
              <w:spacing w:after="0" w:line="240" w:lineRule="auto"/>
              <w:ind w:left="567" w:right="425"/>
              <w:rPr>
                <w:rFonts w:ascii="Palatino Linotype" w:eastAsia="Times New Roman" w:hAnsi="Palatino Linotype" w:cs="Times New Roman"/>
                <w:i/>
                <w:lang w:eastAsia="es-MX"/>
              </w:rPr>
            </w:pPr>
          </w:p>
        </w:tc>
      </w:tr>
      <w:tr w:rsidR="00DD587F" w:rsidRPr="006A11E6" w14:paraId="4F9C2A77" w14:textId="77777777" w:rsidTr="00DD587F">
        <w:trPr>
          <w:trHeight w:val="141"/>
          <w:tblCellSpacing w:w="0" w:type="dxa"/>
          <w:jc w:val="center"/>
        </w:trPr>
        <w:tc>
          <w:tcPr>
            <w:tcW w:w="0" w:type="auto"/>
            <w:vAlign w:val="center"/>
            <w:hideMark/>
          </w:tcPr>
          <w:p w14:paraId="5F941951" w14:textId="77777777" w:rsidR="00DD587F" w:rsidRPr="006A11E6" w:rsidRDefault="00DD587F" w:rsidP="00D3475B">
            <w:pPr>
              <w:spacing w:after="0" w:line="240" w:lineRule="auto"/>
              <w:ind w:left="567" w:right="425"/>
              <w:rPr>
                <w:rFonts w:ascii="Palatino Linotype" w:eastAsia="Times New Roman" w:hAnsi="Palatino Linotype" w:cs="Times New Roman"/>
                <w:i/>
                <w:lang w:eastAsia="es-MX"/>
              </w:rPr>
            </w:pPr>
            <w:r w:rsidRPr="006A11E6">
              <w:rPr>
                <w:rFonts w:ascii="Palatino Linotype" w:eastAsia="Times New Roman" w:hAnsi="Palatino Linotype" w:cs="Times New Roman"/>
                <w:i/>
                <w:lang w:eastAsia="es-MX"/>
              </w:rPr>
              <w:t>ATENTAMENTE</w:t>
            </w:r>
          </w:p>
        </w:tc>
      </w:tr>
      <w:tr w:rsidR="00DD587F" w:rsidRPr="006A11E6" w14:paraId="286EB2F3" w14:textId="77777777" w:rsidTr="00DD587F">
        <w:trPr>
          <w:trHeight w:val="212"/>
          <w:tblCellSpacing w:w="0" w:type="dxa"/>
          <w:jc w:val="center"/>
        </w:trPr>
        <w:tc>
          <w:tcPr>
            <w:tcW w:w="0" w:type="auto"/>
            <w:vAlign w:val="center"/>
            <w:hideMark/>
          </w:tcPr>
          <w:p w14:paraId="3516029B" w14:textId="77777777" w:rsidR="00DD587F" w:rsidRPr="006A11E6" w:rsidRDefault="00DD587F" w:rsidP="00D3475B">
            <w:pPr>
              <w:spacing w:after="0" w:line="240" w:lineRule="auto"/>
              <w:ind w:left="567" w:right="425"/>
              <w:rPr>
                <w:rFonts w:ascii="Palatino Linotype" w:eastAsia="Times New Roman" w:hAnsi="Palatino Linotype" w:cs="Times New Roman"/>
                <w:i/>
                <w:lang w:eastAsia="es-MX"/>
              </w:rPr>
            </w:pPr>
          </w:p>
        </w:tc>
      </w:tr>
      <w:tr w:rsidR="00DD587F" w:rsidRPr="006A11E6" w14:paraId="11885067" w14:textId="77777777" w:rsidTr="00DD587F">
        <w:trPr>
          <w:trHeight w:val="141"/>
          <w:tblCellSpacing w:w="0" w:type="dxa"/>
          <w:jc w:val="center"/>
        </w:trPr>
        <w:tc>
          <w:tcPr>
            <w:tcW w:w="0" w:type="auto"/>
            <w:vAlign w:val="center"/>
            <w:hideMark/>
          </w:tcPr>
          <w:p w14:paraId="39D3E86C" w14:textId="77777777" w:rsidR="00DD587F" w:rsidRPr="006A11E6" w:rsidRDefault="00DD587F" w:rsidP="00D3475B">
            <w:pPr>
              <w:spacing w:after="0" w:line="240" w:lineRule="auto"/>
              <w:ind w:left="567" w:right="425"/>
              <w:rPr>
                <w:rFonts w:ascii="Palatino Linotype" w:eastAsia="Times New Roman" w:hAnsi="Palatino Linotype" w:cs="Times New Roman"/>
                <w:i/>
                <w:lang w:eastAsia="es-MX"/>
              </w:rPr>
            </w:pPr>
            <w:r w:rsidRPr="006A11E6">
              <w:rPr>
                <w:rFonts w:ascii="Palatino Linotype" w:eastAsia="Times New Roman" w:hAnsi="Palatino Linotype" w:cs="Times New Roman"/>
                <w:i/>
                <w:lang w:eastAsia="es-MX"/>
              </w:rPr>
              <w:t>ING. JESUS EMMANUEL ENCASTIN RENDON”</w:t>
            </w:r>
          </w:p>
        </w:tc>
      </w:tr>
    </w:tbl>
    <w:p w14:paraId="358138BD" w14:textId="77777777" w:rsidR="00DD587F" w:rsidRPr="006A11E6" w:rsidRDefault="00DD587F" w:rsidP="00D3475B">
      <w:pPr>
        <w:spacing w:after="0" w:line="360" w:lineRule="auto"/>
        <w:ind w:left="567" w:right="425"/>
        <w:rPr>
          <w:rFonts w:ascii="Palatino Linotype" w:eastAsia="Times New Roman" w:hAnsi="Palatino Linotype" w:cs="Times New Roman"/>
          <w:b/>
          <w:i/>
          <w:lang w:val="es-ES_tradnl" w:eastAsia="es-ES"/>
        </w:rPr>
      </w:pPr>
      <w:r w:rsidRPr="006A11E6">
        <w:rPr>
          <w:rFonts w:ascii="Palatino Linotype" w:eastAsia="Times New Roman" w:hAnsi="Palatino Linotype" w:cs="Times New Roman"/>
          <w:i/>
          <w:lang w:val="es-ES_tradnl" w:eastAsia="es-ES"/>
        </w:rPr>
        <w:t xml:space="preserve">    </w:t>
      </w:r>
      <w:r w:rsidRPr="006A11E6">
        <w:rPr>
          <w:rFonts w:ascii="Palatino Linotype" w:eastAsia="Times New Roman" w:hAnsi="Palatino Linotype" w:cs="Times New Roman"/>
          <w:b/>
          <w:i/>
          <w:lang w:val="es-ES_tradnl" w:eastAsia="es-ES"/>
        </w:rPr>
        <w:t>(Sic)</w:t>
      </w:r>
    </w:p>
    <w:p w14:paraId="396A82C7" w14:textId="77777777" w:rsidR="00DD587F" w:rsidRPr="006A11E6" w:rsidRDefault="00DD587F" w:rsidP="00DD587F">
      <w:pPr>
        <w:spacing w:after="0" w:line="360" w:lineRule="auto"/>
        <w:jc w:val="both"/>
        <w:rPr>
          <w:rFonts w:ascii="Palatino Linotype" w:eastAsia="Times New Roman" w:hAnsi="Palatino Linotype" w:cs="Times New Roman"/>
          <w:sz w:val="24"/>
          <w:szCs w:val="24"/>
          <w:lang w:val="es-ES_tradnl" w:eastAsia="es-ES"/>
        </w:rPr>
      </w:pPr>
    </w:p>
    <w:p w14:paraId="4627D725" w14:textId="77777777" w:rsidR="00DD587F" w:rsidRPr="006A11E6" w:rsidRDefault="00DD587F" w:rsidP="00DD587F">
      <w:pPr>
        <w:spacing w:after="0" w:line="360" w:lineRule="auto"/>
        <w:jc w:val="both"/>
        <w:rPr>
          <w:rFonts w:ascii="Palatino Linotype" w:eastAsia="Times New Roman" w:hAnsi="Palatino Linotype" w:cs="Times New Roman"/>
          <w:sz w:val="24"/>
          <w:szCs w:val="24"/>
          <w:lang w:val="es-ES_tradnl" w:eastAsia="es-ES"/>
        </w:rPr>
      </w:pPr>
      <w:r w:rsidRPr="006A11E6">
        <w:rPr>
          <w:rFonts w:ascii="Palatino Linotype" w:eastAsia="Times New Roman" w:hAnsi="Palatino Linotype" w:cs="Times New Roman"/>
          <w:sz w:val="24"/>
          <w:szCs w:val="24"/>
          <w:lang w:val="es-ES_tradnl" w:eastAsia="es-ES"/>
        </w:rPr>
        <w:lastRenderedPageBreak/>
        <w:t>En fecha catorce de noviembre del dos mil veintidós, el Sujeto Obligado emitió respuesta para ambas solicitudes de aclaración, manifestando lo siguiente:</w:t>
      </w:r>
    </w:p>
    <w:p w14:paraId="017591E5" w14:textId="77777777" w:rsidR="00DD587F" w:rsidRPr="006A11E6" w:rsidRDefault="00DD587F" w:rsidP="00DD587F">
      <w:pPr>
        <w:spacing w:after="0" w:line="480" w:lineRule="auto"/>
        <w:jc w:val="both"/>
        <w:rPr>
          <w:rFonts w:ascii="Palatino Linotype" w:eastAsia="Times New Roman" w:hAnsi="Palatino Linotype" w:cs="Times New Roman"/>
          <w:sz w:val="24"/>
          <w:szCs w:val="24"/>
          <w:lang w:val="es-ES_tradnl" w:eastAsia="es-ES"/>
        </w:rPr>
      </w:pPr>
      <w:r w:rsidRPr="006A11E6">
        <w:rPr>
          <w:rFonts w:ascii="Palatino Linotype" w:hAnsi="Palatino Linotype"/>
          <w:i/>
          <w:color w:val="000000"/>
          <w:sz w:val="24"/>
          <w:szCs w:val="24"/>
        </w:rPr>
        <w:t xml:space="preserve">             “LA SOLCITUD ES MUY ESPECÍFICA”</w:t>
      </w:r>
    </w:p>
    <w:p w14:paraId="166A9D70" w14:textId="77777777" w:rsidR="00DD587F" w:rsidRPr="006A11E6" w:rsidRDefault="00DD587F" w:rsidP="00DD587F">
      <w:pPr>
        <w:spacing w:after="0" w:line="360" w:lineRule="auto"/>
        <w:jc w:val="both"/>
        <w:rPr>
          <w:rFonts w:ascii="Palatino Linotype" w:eastAsia="Times New Roman" w:hAnsi="Palatino Linotype" w:cs="Times New Roman"/>
          <w:sz w:val="24"/>
          <w:szCs w:val="24"/>
          <w:lang w:val="es-ES_tradnl" w:eastAsia="es-ES"/>
        </w:rPr>
      </w:pPr>
    </w:p>
    <w:p w14:paraId="1326A1B7" w14:textId="77777777" w:rsidR="00DD587F" w:rsidRPr="006A11E6" w:rsidRDefault="00C22257" w:rsidP="00DD587F">
      <w:pPr>
        <w:spacing w:after="0" w:line="360" w:lineRule="auto"/>
        <w:jc w:val="both"/>
        <w:rPr>
          <w:rFonts w:ascii="Palatino Linotype" w:hAnsi="Palatino Linotype" w:cs="Arial"/>
          <w:b/>
          <w:sz w:val="24"/>
          <w:szCs w:val="24"/>
        </w:rPr>
      </w:pPr>
      <w:r w:rsidRPr="006A11E6">
        <w:rPr>
          <w:rFonts w:ascii="Palatino Linotype" w:hAnsi="Palatino Linotype" w:cs="Arial"/>
          <w:b/>
          <w:sz w:val="28"/>
          <w:szCs w:val="24"/>
        </w:rPr>
        <w:t>TERCERO</w:t>
      </w:r>
      <w:r w:rsidR="00DD587F" w:rsidRPr="006A11E6">
        <w:rPr>
          <w:rFonts w:ascii="Palatino Linotype" w:hAnsi="Palatino Linotype" w:cs="Arial"/>
          <w:b/>
          <w:sz w:val="24"/>
          <w:szCs w:val="24"/>
        </w:rPr>
        <w:t>. De la falta de respuesta del Sujeto Obligado.</w:t>
      </w:r>
    </w:p>
    <w:p w14:paraId="4C16A828"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 xml:space="preserve">En el expediente electrónico SAIMEX, se aprecia que el </w:t>
      </w:r>
      <w:r w:rsidRPr="006A11E6">
        <w:rPr>
          <w:rFonts w:ascii="Palatino Linotype" w:hAnsi="Palatino Linotype" w:cs="Arial"/>
          <w:b/>
          <w:sz w:val="24"/>
          <w:szCs w:val="24"/>
        </w:rPr>
        <w:t>Sujeto Obligado</w:t>
      </w:r>
      <w:r w:rsidRPr="006A11E6">
        <w:rPr>
          <w:rFonts w:ascii="Palatino Linotype" w:hAnsi="Palatino Linotype" w:cs="Arial"/>
          <w:sz w:val="24"/>
          <w:szCs w:val="24"/>
        </w:rPr>
        <w:t xml:space="preserve"> fue omiso en dar respuesta a la solicitud de información presentada por el </w:t>
      </w:r>
      <w:r w:rsidRPr="006A11E6">
        <w:rPr>
          <w:rFonts w:ascii="Palatino Linotype" w:hAnsi="Palatino Linotype" w:cs="Arial"/>
          <w:b/>
          <w:sz w:val="24"/>
          <w:szCs w:val="24"/>
        </w:rPr>
        <w:t>Recurrente</w:t>
      </w:r>
      <w:r w:rsidRPr="006A11E6">
        <w:rPr>
          <w:rFonts w:ascii="Palatino Linotype" w:hAnsi="Palatino Linotype" w:cs="Arial"/>
          <w:sz w:val="24"/>
          <w:szCs w:val="24"/>
        </w:rPr>
        <w:t xml:space="preserve">. Derivado de lo anterior, se constituye la figura de la </w:t>
      </w:r>
      <w:r w:rsidRPr="006A11E6">
        <w:rPr>
          <w:rFonts w:ascii="Palatino Linotype" w:hAnsi="Palatino Linotype" w:cs="Arial"/>
          <w:b/>
          <w:sz w:val="24"/>
          <w:szCs w:val="24"/>
        </w:rPr>
        <w:t>NEGATIVA FICTA</w:t>
      </w:r>
      <w:r w:rsidRPr="006A11E6">
        <w:rPr>
          <w:rFonts w:ascii="Palatino Linotype" w:hAnsi="Palatino Linotype" w:cs="Arial"/>
          <w:sz w:val="24"/>
          <w:szCs w:val="24"/>
        </w:rPr>
        <w:t>, cuya esencia consiste en atribuir un efecto negativo de la autoridad administrativa frente a las instancias y solicitudes que hagan los particulares.</w:t>
      </w:r>
    </w:p>
    <w:p w14:paraId="1C3DF158" w14:textId="77777777" w:rsidR="00DD587F" w:rsidRPr="006A11E6" w:rsidRDefault="00DD587F" w:rsidP="00DD587F">
      <w:pPr>
        <w:spacing w:after="0" w:line="360" w:lineRule="auto"/>
        <w:jc w:val="both"/>
        <w:rPr>
          <w:rFonts w:ascii="Palatino Linotype" w:hAnsi="Palatino Linotype" w:cs="Arial"/>
          <w:sz w:val="24"/>
          <w:szCs w:val="24"/>
        </w:rPr>
      </w:pPr>
    </w:p>
    <w:p w14:paraId="0F6080DB" w14:textId="77777777" w:rsidR="00DD587F" w:rsidRPr="006A11E6" w:rsidRDefault="00C22257" w:rsidP="00DD587F">
      <w:pPr>
        <w:spacing w:after="0" w:line="360" w:lineRule="auto"/>
        <w:jc w:val="both"/>
        <w:rPr>
          <w:rFonts w:ascii="Palatino Linotype" w:hAnsi="Palatino Linotype" w:cs="Arial"/>
          <w:b/>
          <w:sz w:val="28"/>
          <w:szCs w:val="28"/>
        </w:rPr>
      </w:pPr>
      <w:r w:rsidRPr="006A11E6">
        <w:rPr>
          <w:rFonts w:ascii="Palatino Linotype" w:hAnsi="Palatino Linotype" w:cs="Arial"/>
          <w:b/>
          <w:sz w:val="28"/>
          <w:szCs w:val="28"/>
        </w:rPr>
        <w:t>CUARTO</w:t>
      </w:r>
      <w:r w:rsidR="00DD587F" w:rsidRPr="006A11E6">
        <w:rPr>
          <w:rFonts w:ascii="Palatino Linotype" w:hAnsi="Palatino Linotype" w:cs="Arial"/>
          <w:b/>
          <w:sz w:val="28"/>
          <w:szCs w:val="28"/>
        </w:rPr>
        <w:t xml:space="preserve">. </w:t>
      </w:r>
      <w:r w:rsidR="00DD587F" w:rsidRPr="006A11E6">
        <w:rPr>
          <w:rFonts w:ascii="Palatino Linotype" w:hAnsi="Palatino Linotype" w:cs="Arial"/>
          <w:b/>
          <w:sz w:val="26"/>
          <w:szCs w:val="26"/>
        </w:rPr>
        <w:t xml:space="preserve">De la interposición de los recursos de revisión </w:t>
      </w:r>
    </w:p>
    <w:p w14:paraId="043C1AC4"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 xml:space="preserve">Inconforme ante la falta de respuesta por parte del </w:t>
      </w:r>
      <w:r w:rsidRPr="006A11E6">
        <w:rPr>
          <w:rFonts w:ascii="Palatino Linotype" w:hAnsi="Palatino Linotype" w:cs="Arial"/>
          <w:b/>
          <w:sz w:val="24"/>
          <w:szCs w:val="24"/>
        </w:rPr>
        <w:t>Sujeto Obligado</w:t>
      </w:r>
      <w:r w:rsidRPr="006A11E6">
        <w:rPr>
          <w:rFonts w:ascii="Palatino Linotype" w:hAnsi="Palatino Linotype" w:cs="Arial"/>
          <w:sz w:val="24"/>
          <w:szCs w:val="24"/>
        </w:rPr>
        <w:t xml:space="preserve">, el ahora </w:t>
      </w:r>
      <w:r w:rsidRPr="006A11E6">
        <w:rPr>
          <w:rFonts w:ascii="Palatino Linotype" w:hAnsi="Palatino Linotype" w:cs="Arial"/>
          <w:b/>
          <w:sz w:val="24"/>
          <w:szCs w:val="24"/>
        </w:rPr>
        <w:t>Recurrente</w:t>
      </w:r>
      <w:r w:rsidRPr="006A11E6">
        <w:rPr>
          <w:rFonts w:ascii="Palatino Linotype" w:hAnsi="Palatino Linotype" w:cs="Arial"/>
          <w:sz w:val="24"/>
          <w:szCs w:val="24"/>
        </w:rPr>
        <w:t xml:space="preserve"> en fecha siete de </w:t>
      </w:r>
      <w:r w:rsidR="00D3475B" w:rsidRPr="006A11E6">
        <w:rPr>
          <w:rFonts w:ascii="Palatino Linotype" w:hAnsi="Palatino Linotype" w:cs="Arial"/>
          <w:sz w:val="24"/>
          <w:szCs w:val="24"/>
        </w:rPr>
        <w:t xml:space="preserve">diciembre </w:t>
      </w:r>
      <w:r w:rsidRPr="006A11E6">
        <w:rPr>
          <w:rFonts w:ascii="Palatino Linotype" w:hAnsi="Palatino Linotype" w:cs="Arial"/>
          <w:sz w:val="24"/>
          <w:szCs w:val="24"/>
        </w:rPr>
        <w:t>de dos mil veintidós, interpuso recurso de revisión, que fue registrado</w:t>
      </w:r>
      <w:r w:rsidRPr="006A11E6">
        <w:rPr>
          <w:rFonts w:ascii="Palatino Linotype" w:hAnsi="Palatino Linotype" w:cs="Arial"/>
          <w:b/>
          <w:sz w:val="24"/>
          <w:szCs w:val="24"/>
        </w:rPr>
        <w:t xml:space="preserve"> </w:t>
      </w:r>
      <w:r w:rsidRPr="006A11E6">
        <w:rPr>
          <w:rFonts w:ascii="Palatino Linotype" w:hAnsi="Palatino Linotype" w:cs="Arial"/>
          <w:sz w:val="24"/>
          <w:szCs w:val="24"/>
        </w:rPr>
        <w:t xml:space="preserve">en el sistema electrónico con número de expediente </w:t>
      </w:r>
      <w:r w:rsidR="00B2417D" w:rsidRPr="006A11E6">
        <w:rPr>
          <w:rFonts w:ascii="Palatino Linotype" w:hAnsi="Palatino Linotype" w:cs="Arial"/>
          <w:b/>
          <w:bCs/>
          <w:sz w:val="24"/>
          <w:szCs w:val="24"/>
          <w:lang w:eastAsia="es-MX"/>
        </w:rPr>
        <w:t>17160</w:t>
      </w:r>
      <w:r w:rsidRPr="006A11E6">
        <w:rPr>
          <w:rFonts w:ascii="Palatino Linotype" w:hAnsi="Palatino Linotype" w:cs="Arial"/>
          <w:b/>
          <w:bCs/>
          <w:sz w:val="24"/>
          <w:szCs w:val="24"/>
          <w:lang w:eastAsia="es-MX"/>
        </w:rPr>
        <w:t>/INFOEM/IP/RR/2022</w:t>
      </w:r>
      <w:r w:rsidRPr="006A11E6">
        <w:rPr>
          <w:rFonts w:ascii="Palatino Linotype" w:hAnsi="Palatino Linotype" w:cs="Arial"/>
          <w:sz w:val="24"/>
          <w:szCs w:val="24"/>
        </w:rPr>
        <w:t>, aduciendo como acto impugnado y razones o motivos de inconformidad para ambos recursos, los siguientes:</w:t>
      </w:r>
    </w:p>
    <w:p w14:paraId="10DB9671" w14:textId="77777777" w:rsidR="00DD587F" w:rsidRPr="006A11E6" w:rsidRDefault="00DD587F" w:rsidP="00DD587F">
      <w:pPr>
        <w:spacing w:after="0" w:line="360" w:lineRule="auto"/>
        <w:jc w:val="both"/>
        <w:rPr>
          <w:rFonts w:ascii="Palatino Linotype" w:hAnsi="Palatino Linotype" w:cs="Arial"/>
          <w:b/>
          <w:sz w:val="24"/>
          <w:szCs w:val="24"/>
        </w:rPr>
      </w:pPr>
    </w:p>
    <w:p w14:paraId="53271A3B" w14:textId="77777777" w:rsidR="00DD587F" w:rsidRPr="006A11E6" w:rsidRDefault="00DD587F" w:rsidP="00DD587F">
      <w:pPr>
        <w:spacing w:after="0" w:line="360" w:lineRule="auto"/>
        <w:jc w:val="both"/>
        <w:rPr>
          <w:rFonts w:ascii="Palatino Linotype" w:eastAsia="Times New Roman" w:hAnsi="Palatino Linotype" w:cs="Arial"/>
          <w:b/>
          <w:sz w:val="24"/>
          <w:szCs w:val="24"/>
          <w:lang w:val="es-ES" w:eastAsia="es-ES"/>
        </w:rPr>
      </w:pPr>
      <w:r w:rsidRPr="006A11E6">
        <w:rPr>
          <w:rFonts w:ascii="Palatino Linotype" w:eastAsia="Times New Roman" w:hAnsi="Palatino Linotype" w:cs="Arial"/>
          <w:b/>
          <w:sz w:val="24"/>
          <w:szCs w:val="24"/>
          <w:lang w:val="es-ES" w:eastAsia="es-ES"/>
        </w:rPr>
        <w:t>Acto Impugnado:</w:t>
      </w:r>
    </w:p>
    <w:p w14:paraId="1E263795" w14:textId="77777777" w:rsidR="00DD587F" w:rsidRPr="006A11E6" w:rsidRDefault="00DD587F" w:rsidP="00DD587F">
      <w:pPr>
        <w:spacing w:after="0" w:line="240" w:lineRule="auto"/>
        <w:ind w:left="567" w:right="567"/>
        <w:jc w:val="both"/>
        <w:rPr>
          <w:rFonts w:ascii="Palatino Linotype" w:hAnsi="Palatino Linotype"/>
          <w:i/>
          <w:color w:val="000000"/>
        </w:rPr>
      </w:pPr>
      <w:r w:rsidRPr="006A11E6">
        <w:rPr>
          <w:rFonts w:ascii="Palatino Linotype" w:hAnsi="Palatino Linotype" w:cs="Arial"/>
          <w:i/>
        </w:rPr>
        <w:t>“</w:t>
      </w:r>
      <w:r w:rsidRPr="006A11E6">
        <w:rPr>
          <w:rFonts w:ascii="Palatino Linotype" w:hAnsi="Palatino Linotype"/>
          <w:i/>
          <w:color w:val="000000"/>
        </w:rPr>
        <w:t>NO ENTREGA INFORMACIÓN” (sic)</w:t>
      </w:r>
    </w:p>
    <w:p w14:paraId="3B2F030E" w14:textId="77777777" w:rsidR="00DD587F" w:rsidRPr="006A11E6" w:rsidRDefault="00DD587F" w:rsidP="00DD587F">
      <w:pPr>
        <w:spacing w:after="0" w:line="360" w:lineRule="auto"/>
        <w:jc w:val="both"/>
        <w:rPr>
          <w:rFonts w:ascii="Palatino Linotype" w:hAnsi="Palatino Linotype" w:cs="Arial"/>
          <w:sz w:val="24"/>
          <w:szCs w:val="24"/>
        </w:rPr>
      </w:pPr>
    </w:p>
    <w:p w14:paraId="15950535" w14:textId="77777777" w:rsidR="00DD587F" w:rsidRPr="006A11E6" w:rsidRDefault="00DD587F" w:rsidP="00DD587F">
      <w:pPr>
        <w:spacing w:after="0" w:line="360" w:lineRule="auto"/>
        <w:jc w:val="both"/>
        <w:rPr>
          <w:rFonts w:ascii="Palatino Linotype" w:hAnsi="Palatino Linotype" w:cs="Arial"/>
          <w:sz w:val="28"/>
          <w:szCs w:val="24"/>
        </w:rPr>
      </w:pPr>
      <w:r w:rsidRPr="006A11E6">
        <w:rPr>
          <w:rFonts w:ascii="Palatino Linotype" w:hAnsi="Palatino Linotype" w:cs="Arial"/>
          <w:b/>
          <w:sz w:val="24"/>
        </w:rPr>
        <w:t>Razones o motivos de inconformidad:</w:t>
      </w:r>
    </w:p>
    <w:p w14:paraId="10F582EC" w14:textId="77777777" w:rsidR="00DD587F" w:rsidRPr="006A11E6" w:rsidRDefault="00DD587F" w:rsidP="00DD587F">
      <w:pPr>
        <w:spacing w:after="0" w:line="240" w:lineRule="auto"/>
        <w:ind w:left="567" w:right="567"/>
        <w:jc w:val="both"/>
        <w:rPr>
          <w:rFonts w:ascii="Palatino Linotype" w:hAnsi="Palatino Linotype" w:cs="Arial"/>
          <w:i/>
          <w:szCs w:val="24"/>
        </w:rPr>
      </w:pPr>
      <w:r w:rsidRPr="006A11E6">
        <w:rPr>
          <w:rFonts w:ascii="Palatino Linotype" w:hAnsi="Palatino Linotype" w:cs="Arial"/>
          <w:i/>
          <w:szCs w:val="24"/>
        </w:rPr>
        <w:t>“NO ENTREGA INFORMACIÓN”</w:t>
      </w:r>
    </w:p>
    <w:p w14:paraId="35AC41D8" w14:textId="77777777" w:rsidR="00DD587F" w:rsidRPr="006A11E6" w:rsidRDefault="00DD587F" w:rsidP="00DD587F">
      <w:pPr>
        <w:spacing w:after="0" w:line="360" w:lineRule="auto"/>
        <w:ind w:right="49"/>
        <w:jc w:val="both"/>
        <w:rPr>
          <w:rFonts w:ascii="Palatino Linotype" w:eastAsia="Times New Roman" w:hAnsi="Palatino Linotype" w:cs="Arial"/>
          <w:sz w:val="24"/>
          <w:lang w:eastAsia="es-ES"/>
        </w:rPr>
      </w:pPr>
    </w:p>
    <w:p w14:paraId="2C66D875" w14:textId="77777777" w:rsidR="00DD587F" w:rsidRPr="006A11E6" w:rsidRDefault="00C22257" w:rsidP="00DD587F">
      <w:pPr>
        <w:spacing w:after="0" w:line="360" w:lineRule="auto"/>
        <w:ind w:right="49"/>
        <w:jc w:val="both"/>
        <w:rPr>
          <w:rFonts w:ascii="Palatino Linotype" w:eastAsia="Times New Roman" w:hAnsi="Palatino Linotype" w:cs="Arial"/>
          <w:b/>
          <w:sz w:val="28"/>
          <w:lang w:eastAsia="es-ES"/>
        </w:rPr>
      </w:pPr>
      <w:r w:rsidRPr="006A11E6">
        <w:rPr>
          <w:rFonts w:ascii="Palatino Linotype" w:eastAsia="Times New Roman" w:hAnsi="Palatino Linotype" w:cs="Arial"/>
          <w:b/>
          <w:sz w:val="28"/>
          <w:lang w:eastAsia="es-ES"/>
        </w:rPr>
        <w:lastRenderedPageBreak/>
        <w:t>QUINTO</w:t>
      </w:r>
      <w:r w:rsidR="00DD587F" w:rsidRPr="006A11E6">
        <w:rPr>
          <w:rFonts w:ascii="Palatino Linotype" w:eastAsia="Times New Roman" w:hAnsi="Palatino Linotype" w:cs="Arial"/>
          <w:b/>
          <w:sz w:val="28"/>
          <w:lang w:eastAsia="es-ES"/>
        </w:rPr>
        <w:t xml:space="preserve">. </w:t>
      </w:r>
      <w:r w:rsidR="00DD587F" w:rsidRPr="006A11E6">
        <w:rPr>
          <w:rFonts w:ascii="Palatino Linotype" w:eastAsia="Times New Roman" w:hAnsi="Palatino Linotype" w:cs="Arial"/>
          <w:b/>
          <w:sz w:val="26"/>
          <w:szCs w:val="26"/>
          <w:lang w:eastAsia="es-ES"/>
        </w:rPr>
        <w:t xml:space="preserve">Del trámite y sustanciación del recurso de revisión </w:t>
      </w:r>
      <w:r w:rsidR="00B2417D" w:rsidRPr="006A11E6">
        <w:rPr>
          <w:rFonts w:ascii="Palatino Linotype" w:eastAsia="Times New Roman" w:hAnsi="Palatino Linotype" w:cs="Arial"/>
          <w:b/>
          <w:sz w:val="26"/>
          <w:szCs w:val="26"/>
          <w:lang w:eastAsia="es-ES"/>
        </w:rPr>
        <w:t>17160/INFOEM/IP/RR/2022.</w:t>
      </w:r>
    </w:p>
    <w:p w14:paraId="008AC3F2"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p>
    <w:p w14:paraId="668BBA4F" w14:textId="77777777" w:rsidR="00DD587F" w:rsidRPr="006A11E6" w:rsidRDefault="00DD587F" w:rsidP="00DD587F">
      <w:pPr>
        <w:numPr>
          <w:ilvl w:val="0"/>
          <w:numId w:val="1"/>
        </w:numPr>
        <w:spacing w:after="0" w:line="360" w:lineRule="auto"/>
        <w:ind w:right="49"/>
        <w:contextualSpacing/>
        <w:jc w:val="both"/>
        <w:rPr>
          <w:rFonts w:ascii="Palatino Linotype" w:eastAsia="Times New Roman" w:hAnsi="Palatino Linotype" w:cs="Arial"/>
          <w:sz w:val="26"/>
          <w:szCs w:val="26"/>
          <w:lang w:val="es-ES" w:eastAsia="es-ES"/>
        </w:rPr>
      </w:pPr>
      <w:r w:rsidRPr="006A11E6">
        <w:rPr>
          <w:rFonts w:ascii="Palatino Linotype" w:eastAsia="Times New Roman" w:hAnsi="Palatino Linotype" w:cs="Arial"/>
          <w:b/>
          <w:sz w:val="26"/>
          <w:szCs w:val="26"/>
          <w:lang w:val="es-ES" w:eastAsia="es-ES"/>
        </w:rPr>
        <w:t>Turno del recurso de revisión.</w:t>
      </w:r>
    </w:p>
    <w:p w14:paraId="197746AA"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_tradnl" w:eastAsia="es-ES"/>
        </w:rPr>
      </w:pPr>
      <w:r w:rsidRPr="006A11E6">
        <w:rPr>
          <w:rFonts w:ascii="Palatino Linotype" w:eastAsia="Times New Roman" w:hAnsi="Palatino Linotype" w:cs="Arial"/>
          <w:sz w:val="24"/>
          <w:szCs w:val="24"/>
          <w:lang w:val="es-ES" w:eastAsia="es-ES"/>
        </w:rPr>
        <w:t>En fecha</w:t>
      </w:r>
      <w:r w:rsidR="00B2417D" w:rsidRPr="006A11E6">
        <w:rPr>
          <w:rFonts w:ascii="Palatino Linotype" w:eastAsia="Times New Roman" w:hAnsi="Palatino Linotype" w:cs="Arial"/>
          <w:sz w:val="24"/>
          <w:szCs w:val="24"/>
          <w:lang w:val="es-ES" w:eastAsia="es-ES"/>
        </w:rPr>
        <w:t xml:space="preserve"> </w:t>
      </w:r>
      <w:r w:rsidR="00B2417D" w:rsidRPr="006A11E6">
        <w:rPr>
          <w:rFonts w:ascii="Palatino Linotype" w:hAnsi="Palatino Linotype" w:cs="Arial"/>
          <w:sz w:val="24"/>
          <w:szCs w:val="24"/>
        </w:rPr>
        <w:t>siete de diciembre de dos mil veintidós</w:t>
      </w:r>
      <w:r w:rsidR="00B2417D" w:rsidRPr="006A11E6">
        <w:rPr>
          <w:rFonts w:ascii="Palatino Linotype" w:eastAsia="Times New Roman" w:hAnsi="Palatino Linotype" w:cs="Arial"/>
          <w:sz w:val="24"/>
          <w:szCs w:val="24"/>
          <w:lang w:val="es-ES" w:eastAsia="es-ES"/>
        </w:rPr>
        <w:t>, el</w:t>
      </w:r>
      <w:r w:rsidRPr="006A11E6">
        <w:rPr>
          <w:rFonts w:ascii="Palatino Linotype" w:eastAsia="Times New Roman" w:hAnsi="Palatino Linotype" w:cs="Arial"/>
          <w:sz w:val="24"/>
          <w:szCs w:val="24"/>
          <w:lang w:val="es-ES" w:eastAsia="es-ES"/>
        </w:rPr>
        <w:t xml:space="preserve"> </w:t>
      </w:r>
      <w:r w:rsidRPr="006A11E6">
        <w:rPr>
          <w:rFonts w:ascii="Palatino Linotype" w:eastAsia="Times New Roman" w:hAnsi="Palatino Linotype" w:cs="Arial"/>
          <w:sz w:val="24"/>
          <w:szCs w:val="24"/>
          <w:lang w:val="es-ES_tradnl" w:eastAsia="es-ES"/>
        </w:rPr>
        <w:t xml:space="preserve">recurso </w:t>
      </w:r>
      <w:r w:rsidR="00B2417D" w:rsidRPr="006A11E6">
        <w:rPr>
          <w:rFonts w:ascii="Palatino Linotype" w:eastAsia="Times New Roman" w:hAnsi="Palatino Linotype" w:cs="Arial"/>
          <w:b/>
          <w:sz w:val="24"/>
          <w:szCs w:val="24"/>
          <w:lang w:eastAsia="es-ES"/>
        </w:rPr>
        <w:t>17160</w:t>
      </w:r>
      <w:r w:rsidRPr="006A11E6">
        <w:rPr>
          <w:rFonts w:ascii="Palatino Linotype" w:eastAsia="Times New Roman" w:hAnsi="Palatino Linotype" w:cs="Arial"/>
          <w:b/>
          <w:sz w:val="24"/>
          <w:szCs w:val="24"/>
          <w:lang w:eastAsia="es-ES"/>
        </w:rPr>
        <w:t xml:space="preserve">/INFOEM/IP/RR/2022 </w:t>
      </w:r>
      <w:r w:rsidR="00B2417D" w:rsidRPr="006A11E6">
        <w:rPr>
          <w:rFonts w:ascii="Palatino Linotype" w:eastAsia="Times New Roman" w:hAnsi="Palatino Linotype" w:cs="Arial"/>
          <w:sz w:val="24"/>
          <w:szCs w:val="24"/>
          <w:lang w:eastAsia="es-ES"/>
        </w:rPr>
        <w:t>se envió</w:t>
      </w:r>
      <w:r w:rsidRPr="006A11E6">
        <w:rPr>
          <w:rFonts w:ascii="Palatino Linotype" w:eastAsia="Times New Roman" w:hAnsi="Palatino Linotype" w:cs="Arial"/>
          <w:b/>
          <w:sz w:val="26"/>
          <w:szCs w:val="26"/>
          <w:lang w:eastAsia="es-ES"/>
        </w:rPr>
        <w:t xml:space="preserve"> </w:t>
      </w:r>
      <w:r w:rsidRPr="006A11E6">
        <w:rPr>
          <w:rFonts w:ascii="Palatino Linotype" w:eastAsia="Times New Roman" w:hAnsi="Palatino Linotype" w:cs="Arial"/>
          <w:sz w:val="24"/>
          <w:szCs w:val="24"/>
          <w:lang w:val="es-ES_tradnl" w:eastAsia="es-ES"/>
        </w:rPr>
        <w:t xml:space="preserve">electrónicamente al Instituto de </w:t>
      </w:r>
      <w:r w:rsidRPr="006A11E6">
        <w:rPr>
          <w:rFonts w:ascii="Palatino Linotype" w:eastAsia="Arial Unicode MS" w:hAnsi="Palatino Linotype" w:cs="Arial"/>
          <w:sz w:val="24"/>
          <w:szCs w:val="24"/>
          <w:lang w:val="es-ES" w:eastAsia="es-ES"/>
        </w:rPr>
        <w:t>Transparencia</w:t>
      </w:r>
      <w:r w:rsidRPr="006A11E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A11E6">
        <w:rPr>
          <w:rFonts w:ascii="Palatino Linotype" w:eastAsia="Times New Roman" w:hAnsi="Palatino Linotype" w:cs="Times New Roman"/>
          <w:sz w:val="24"/>
          <w:szCs w:val="24"/>
          <w:lang w:val="es-ES" w:eastAsia="es-ES"/>
        </w:rPr>
        <w:t>Ley de Transparencia y Acceso a la Información Pública del Estado de México y Municipios</w:t>
      </w:r>
      <w:r w:rsidRPr="006A11E6">
        <w:rPr>
          <w:rFonts w:ascii="Palatino Linotype" w:eastAsia="Times New Roman" w:hAnsi="Palatino Linotype" w:cs="Arial"/>
          <w:sz w:val="24"/>
          <w:szCs w:val="24"/>
          <w:lang w:val="es-ES_tradnl" w:eastAsia="es-ES"/>
        </w:rPr>
        <w:t>, los que se turnaron a través del</w:t>
      </w:r>
      <w:r w:rsidRPr="006A11E6">
        <w:rPr>
          <w:rFonts w:ascii="Palatino Linotype" w:eastAsia="Arial Unicode MS" w:hAnsi="Palatino Linotype" w:cs="Arial"/>
          <w:sz w:val="24"/>
          <w:szCs w:val="24"/>
          <w:lang w:val="es-ES_tradnl" w:eastAsia="es-ES"/>
        </w:rPr>
        <w:t xml:space="preserve"> </w:t>
      </w:r>
      <w:r w:rsidRPr="006A11E6">
        <w:rPr>
          <w:rFonts w:ascii="Palatino Linotype" w:eastAsia="Arial Unicode MS" w:hAnsi="Palatino Linotype" w:cs="Arial"/>
          <w:b/>
          <w:sz w:val="24"/>
          <w:szCs w:val="24"/>
          <w:lang w:val="es-ES_tradnl" w:eastAsia="es-ES"/>
        </w:rPr>
        <w:t>SAIMEX</w:t>
      </w:r>
      <w:r w:rsidRPr="006A11E6">
        <w:rPr>
          <w:rFonts w:ascii="Palatino Linotype" w:eastAsia="Times New Roman" w:hAnsi="Palatino Linotype" w:cs="Times New Roman"/>
          <w:sz w:val="24"/>
          <w:szCs w:val="24"/>
          <w:lang w:val="es-ES" w:eastAsia="es-ES"/>
        </w:rPr>
        <w:t xml:space="preserve"> al </w:t>
      </w:r>
      <w:r w:rsidRPr="006A11E6">
        <w:rPr>
          <w:rFonts w:ascii="Palatino Linotype" w:eastAsia="Times New Roman" w:hAnsi="Palatino Linotype" w:cs="Arial"/>
          <w:sz w:val="24"/>
          <w:szCs w:val="24"/>
          <w:lang w:val="es-ES_tradnl" w:eastAsia="es-ES"/>
        </w:rPr>
        <w:t xml:space="preserve">Comisionado  </w:t>
      </w:r>
      <w:r w:rsidRPr="006A11E6">
        <w:rPr>
          <w:rFonts w:ascii="Palatino Linotype" w:eastAsia="Times New Roman" w:hAnsi="Palatino Linotype" w:cs="Arial"/>
          <w:b/>
          <w:sz w:val="24"/>
          <w:szCs w:val="24"/>
          <w:lang w:val="es-ES_tradnl" w:eastAsia="es-ES"/>
        </w:rPr>
        <w:t>JOSÉ MARTÍNEZ VILCHIS</w:t>
      </w:r>
      <w:r w:rsidRPr="006A11E6">
        <w:rPr>
          <w:rFonts w:ascii="Palatino Linotype" w:hAnsi="Palatino Linotype"/>
          <w:b/>
          <w:sz w:val="24"/>
          <w:szCs w:val="24"/>
        </w:rPr>
        <w:t xml:space="preserve">, </w:t>
      </w:r>
      <w:r w:rsidRPr="006A11E6">
        <w:rPr>
          <w:rFonts w:ascii="Palatino Linotype" w:eastAsia="Times New Roman" w:hAnsi="Palatino Linotype" w:cs="Arial"/>
          <w:sz w:val="24"/>
          <w:szCs w:val="24"/>
          <w:lang w:val="es-ES_tradnl" w:eastAsia="es-ES"/>
        </w:rPr>
        <w:t>a efecto de que decretaran su admisión o desechamiento.</w:t>
      </w:r>
    </w:p>
    <w:p w14:paraId="0FDE9E29"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_tradnl" w:eastAsia="es-ES"/>
        </w:rPr>
      </w:pPr>
    </w:p>
    <w:p w14:paraId="6A66396C" w14:textId="77777777" w:rsidR="00DD587F" w:rsidRPr="006A11E6" w:rsidRDefault="00666C79" w:rsidP="00DD587F">
      <w:pPr>
        <w:numPr>
          <w:ilvl w:val="0"/>
          <w:numId w:val="1"/>
        </w:numPr>
        <w:spacing w:after="0" w:line="360" w:lineRule="auto"/>
        <w:ind w:right="49"/>
        <w:contextualSpacing/>
        <w:jc w:val="both"/>
        <w:rPr>
          <w:rFonts w:ascii="Palatino Linotype" w:eastAsia="Times New Roman" w:hAnsi="Palatino Linotype" w:cs="Arial"/>
          <w:b/>
          <w:sz w:val="26"/>
          <w:szCs w:val="26"/>
          <w:lang w:val="es-ES_tradnl" w:eastAsia="es-ES"/>
        </w:rPr>
      </w:pPr>
      <w:r w:rsidRPr="006A11E6">
        <w:rPr>
          <w:rFonts w:ascii="Palatino Linotype" w:eastAsia="Times New Roman" w:hAnsi="Palatino Linotype" w:cs="Arial"/>
          <w:b/>
          <w:sz w:val="26"/>
          <w:szCs w:val="26"/>
          <w:lang w:val="es-ES_tradnl" w:eastAsia="es-ES"/>
        </w:rPr>
        <w:t>De la admisión del Recurso</w:t>
      </w:r>
      <w:r w:rsidR="00DD587F" w:rsidRPr="006A11E6">
        <w:rPr>
          <w:rFonts w:ascii="Palatino Linotype" w:eastAsia="Times New Roman" w:hAnsi="Palatino Linotype" w:cs="Arial"/>
          <w:b/>
          <w:sz w:val="26"/>
          <w:szCs w:val="26"/>
          <w:lang w:val="es-ES_tradnl" w:eastAsia="es-ES"/>
        </w:rPr>
        <w:t xml:space="preserve"> de revisión</w:t>
      </w:r>
    </w:p>
    <w:p w14:paraId="6EB5DCB7" w14:textId="77777777" w:rsidR="00DD587F" w:rsidRPr="006A11E6" w:rsidRDefault="00666C79" w:rsidP="00DD587F">
      <w:pPr>
        <w:spacing w:after="0" w:line="360" w:lineRule="auto"/>
        <w:ind w:right="49"/>
        <w:jc w:val="both"/>
        <w:rPr>
          <w:rFonts w:ascii="Palatino Linotype" w:eastAsia="Times New Roman" w:hAnsi="Palatino Linotype" w:cs="Arial"/>
          <w:sz w:val="24"/>
          <w:szCs w:val="24"/>
          <w:lang w:val="es-ES_tradnl" w:eastAsia="es-ES"/>
        </w:rPr>
      </w:pPr>
      <w:r w:rsidRPr="006A11E6">
        <w:rPr>
          <w:rFonts w:ascii="Palatino Linotype" w:eastAsia="Times New Roman" w:hAnsi="Palatino Linotype" w:cs="Arial"/>
          <w:sz w:val="24"/>
          <w:szCs w:val="24"/>
          <w:lang w:val="es-ES_tradnl" w:eastAsia="es-ES"/>
        </w:rPr>
        <w:t>A</w:t>
      </w:r>
      <w:r w:rsidR="00DD587F" w:rsidRPr="006A11E6">
        <w:rPr>
          <w:rFonts w:ascii="Palatino Linotype" w:eastAsia="Times New Roman" w:hAnsi="Palatino Linotype" w:cs="Arial"/>
          <w:sz w:val="24"/>
          <w:szCs w:val="24"/>
          <w:lang w:val="es-ES" w:eastAsia="es-ES"/>
        </w:rPr>
        <w:t xml:space="preserve">tento a lo dispuesto en el </w:t>
      </w:r>
      <w:r w:rsidR="00DD587F" w:rsidRPr="006A11E6">
        <w:rPr>
          <w:rFonts w:ascii="Palatino Linotype" w:eastAsia="Times New Roman" w:hAnsi="Palatino Linotype" w:cs="Arial"/>
          <w:sz w:val="24"/>
          <w:szCs w:val="24"/>
          <w:lang w:val="es-ES_tradnl" w:eastAsia="es-ES"/>
        </w:rPr>
        <w:t>artículo</w:t>
      </w:r>
      <w:r w:rsidR="00DD587F" w:rsidRPr="006A11E6">
        <w:rPr>
          <w:rFonts w:ascii="Palatino Linotype" w:eastAsia="Times New Roman" w:hAnsi="Palatino Linotype" w:cs="Arial"/>
          <w:sz w:val="24"/>
          <w:szCs w:val="24"/>
          <w:lang w:val="es-ES" w:eastAsia="es-ES"/>
        </w:rPr>
        <w:t xml:space="preserve"> 185 fracciones I, II y IV </w:t>
      </w:r>
      <w:r w:rsidR="00DD587F" w:rsidRPr="006A11E6">
        <w:rPr>
          <w:rFonts w:ascii="Palatino Linotype" w:eastAsia="Times New Roman" w:hAnsi="Palatino Linotype" w:cs="Arial"/>
          <w:sz w:val="24"/>
          <w:szCs w:val="24"/>
          <w:lang w:val="es-ES_tradnl" w:eastAsia="es-ES"/>
        </w:rPr>
        <w:t xml:space="preserve">de la </w:t>
      </w:r>
      <w:r w:rsidR="00DD587F" w:rsidRPr="006A11E6">
        <w:rPr>
          <w:rFonts w:ascii="Palatino Linotype" w:eastAsia="Times New Roman" w:hAnsi="Palatino Linotype" w:cs="Times New Roman"/>
          <w:sz w:val="24"/>
          <w:szCs w:val="24"/>
          <w:lang w:val="es-ES" w:eastAsia="es-ES"/>
        </w:rPr>
        <w:t>Ley de Transparencia y Acceso a la Información Pública del Estado de México y Municipios, se a</w:t>
      </w:r>
      <w:r w:rsidR="00DD587F" w:rsidRPr="006A11E6">
        <w:rPr>
          <w:rFonts w:ascii="Palatino Linotype" w:eastAsia="Times New Roman" w:hAnsi="Palatino Linotype" w:cs="Arial"/>
          <w:sz w:val="24"/>
          <w:szCs w:val="24"/>
          <w:lang w:val="es-ES" w:eastAsia="es-ES"/>
        </w:rPr>
        <w:t xml:space="preserve">cordó la admisión a trámite del recurso  de revisión </w:t>
      </w:r>
      <w:r w:rsidR="00B2417D" w:rsidRPr="006A11E6">
        <w:rPr>
          <w:rFonts w:ascii="Palatino Linotype" w:eastAsia="Times New Roman" w:hAnsi="Palatino Linotype" w:cs="Arial"/>
          <w:b/>
          <w:sz w:val="26"/>
          <w:szCs w:val="26"/>
          <w:lang w:eastAsia="es-ES"/>
        </w:rPr>
        <w:t>17160</w:t>
      </w:r>
      <w:r w:rsidR="00DD587F" w:rsidRPr="006A11E6">
        <w:rPr>
          <w:rFonts w:ascii="Palatino Linotype" w:eastAsia="Times New Roman" w:hAnsi="Palatino Linotype" w:cs="Arial"/>
          <w:b/>
          <w:sz w:val="26"/>
          <w:szCs w:val="26"/>
          <w:lang w:eastAsia="es-ES"/>
        </w:rPr>
        <w:t>/INFOEM/IP/RR/2022</w:t>
      </w:r>
      <w:r w:rsidR="00B2417D" w:rsidRPr="006A11E6">
        <w:rPr>
          <w:rFonts w:ascii="Palatino Linotype" w:eastAsia="Times New Roman" w:hAnsi="Palatino Linotype" w:cs="Arial"/>
          <w:sz w:val="24"/>
          <w:szCs w:val="24"/>
          <w:lang w:val="es-ES" w:eastAsia="es-ES"/>
        </w:rPr>
        <w:t xml:space="preserve"> </w:t>
      </w:r>
      <w:r w:rsidR="00DD587F" w:rsidRPr="006A11E6">
        <w:rPr>
          <w:rFonts w:ascii="Palatino Linotype" w:eastAsia="Times New Roman" w:hAnsi="Palatino Linotype" w:cs="Arial"/>
          <w:sz w:val="24"/>
          <w:szCs w:val="24"/>
          <w:lang w:val="es-ES" w:eastAsia="es-ES"/>
        </w:rPr>
        <w:t xml:space="preserve"> en fecha </w:t>
      </w:r>
      <w:r w:rsidR="00B2417D" w:rsidRPr="006A11E6">
        <w:rPr>
          <w:rFonts w:ascii="Palatino Linotype" w:eastAsia="Times New Roman" w:hAnsi="Palatino Linotype" w:cs="Arial"/>
          <w:sz w:val="24"/>
          <w:szCs w:val="24"/>
          <w:lang w:val="es-ES" w:eastAsia="es-ES"/>
        </w:rPr>
        <w:t xml:space="preserve"> trece de diciembre de dos mil veintidós</w:t>
      </w:r>
      <w:r w:rsidR="00DD587F" w:rsidRPr="006A11E6">
        <w:rPr>
          <w:rFonts w:ascii="Palatino Linotype" w:eastAsia="Times New Roman" w:hAnsi="Palatino Linotype" w:cs="Arial"/>
          <w:sz w:val="24"/>
          <w:szCs w:val="24"/>
          <w:lang w:val="es-ES" w:eastAsia="es-ES"/>
        </w:rPr>
        <w:t>, para que en un plazo máximo de siete días hábiles, realizarán manifestaciones y ofrecieran las pruebas y alegatos que a su derecho conviniera o exhibieran el informe justificado, según fuera el caso.</w:t>
      </w:r>
    </w:p>
    <w:p w14:paraId="51E15BAE"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p>
    <w:p w14:paraId="4D86FE26" w14:textId="77777777" w:rsidR="00DD587F" w:rsidRPr="006A11E6" w:rsidRDefault="00DD587F" w:rsidP="00DD587F">
      <w:pPr>
        <w:numPr>
          <w:ilvl w:val="0"/>
          <w:numId w:val="1"/>
        </w:numPr>
        <w:spacing w:after="0" w:line="360" w:lineRule="auto"/>
        <w:contextualSpacing/>
        <w:jc w:val="both"/>
        <w:rPr>
          <w:rFonts w:ascii="Palatino Linotype" w:hAnsi="Palatino Linotype" w:cs="Arial"/>
          <w:b/>
          <w:sz w:val="26"/>
          <w:szCs w:val="26"/>
        </w:rPr>
      </w:pPr>
      <w:r w:rsidRPr="006A11E6">
        <w:rPr>
          <w:rFonts w:ascii="Palatino Linotype" w:hAnsi="Palatino Linotype" w:cs="Arial"/>
          <w:b/>
          <w:sz w:val="26"/>
          <w:szCs w:val="26"/>
        </w:rPr>
        <w:t>De la etapa de instrucción.</w:t>
      </w:r>
    </w:p>
    <w:p w14:paraId="4ED0CCC6"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 xml:space="preserve">Una vez abierta la etapa de instrucción, se advierte que tanto el Sujeto Obligado como el Recurrente, fueron omisos en rendir dentro del término de Ley, su informe </w:t>
      </w:r>
      <w:r w:rsidRPr="006A11E6">
        <w:rPr>
          <w:rFonts w:ascii="Palatino Linotype" w:hAnsi="Palatino Linotype" w:cs="Arial"/>
          <w:sz w:val="24"/>
          <w:szCs w:val="24"/>
        </w:rPr>
        <w:lastRenderedPageBreak/>
        <w:t>justificado y sus a efecto que presentara las manifestaciones que a sus intereses conviniera, respectivamente.</w:t>
      </w:r>
    </w:p>
    <w:p w14:paraId="3B4CA105" w14:textId="77777777" w:rsidR="00DD587F" w:rsidRPr="006A11E6" w:rsidRDefault="00DD587F" w:rsidP="00DD587F">
      <w:pPr>
        <w:spacing w:after="0" w:line="360" w:lineRule="auto"/>
        <w:jc w:val="both"/>
        <w:rPr>
          <w:rFonts w:ascii="Palatino Linotype" w:hAnsi="Palatino Linotype" w:cs="Arial"/>
          <w:sz w:val="24"/>
          <w:szCs w:val="24"/>
        </w:rPr>
      </w:pPr>
    </w:p>
    <w:p w14:paraId="05CA1589"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34A8DEA5" w14:textId="77777777" w:rsidR="00DD587F" w:rsidRPr="006A11E6" w:rsidRDefault="00DD587F" w:rsidP="00DD587F">
      <w:pPr>
        <w:spacing w:after="0" w:line="360" w:lineRule="auto"/>
        <w:jc w:val="both"/>
        <w:rPr>
          <w:rFonts w:ascii="Palatino Linotype" w:hAnsi="Palatino Linotype" w:cs="Arial"/>
          <w:sz w:val="24"/>
          <w:szCs w:val="24"/>
          <w:lang w:val="es-ES"/>
        </w:rPr>
      </w:pPr>
    </w:p>
    <w:p w14:paraId="4D722A6B" w14:textId="77777777" w:rsidR="00DD587F" w:rsidRPr="006A11E6" w:rsidRDefault="00DD587F" w:rsidP="00DD587F">
      <w:pPr>
        <w:numPr>
          <w:ilvl w:val="0"/>
          <w:numId w:val="1"/>
        </w:numPr>
        <w:spacing w:after="0" w:line="360" w:lineRule="auto"/>
        <w:contextualSpacing/>
        <w:jc w:val="both"/>
        <w:rPr>
          <w:rFonts w:ascii="Palatino Linotype" w:hAnsi="Palatino Linotype" w:cs="Arial"/>
          <w:b/>
          <w:sz w:val="26"/>
          <w:szCs w:val="26"/>
        </w:rPr>
      </w:pPr>
      <w:r w:rsidRPr="006A11E6">
        <w:rPr>
          <w:rFonts w:ascii="Palatino Linotype" w:hAnsi="Palatino Linotype" w:cs="Arial"/>
          <w:b/>
          <w:sz w:val="26"/>
          <w:szCs w:val="26"/>
        </w:rPr>
        <w:t>Del cierre de instrucción.</w:t>
      </w:r>
    </w:p>
    <w:p w14:paraId="2FD239D7" w14:textId="77777777" w:rsidR="00B2417D"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w:t>
      </w:r>
      <w:r w:rsidR="00B2417D" w:rsidRPr="006A11E6">
        <w:rPr>
          <w:rFonts w:ascii="Palatino Linotype" w:hAnsi="Palatino Linotype" w:cs="Arial"/>
          <w:sz w:val="24"/>
          <w:szCs w:val="24"/>
        </w:rPr>
        <w:t xml:space="preserve"> diez de enero de dos mil veintitrés</w:t>
      </w:r>
      <w:r w:rsidRPr="006A11E6">
        <w:rPr>
          <w:rStyle w:val="Refdecomentario"/>
        </w:rPr>
        <w:t>,</w:t>
      </w:r>
      <w:r w:rsidRPr="006A11E6">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2F01C752" w14:textId="77777777" w:rsidR="00DD587F" w:rsidRPr="006A11E6" w:rsidRDefault="00DD587F" w:rsidP="00DD587F">
      <w:pPr>
        <w:spacing w:after="0" w:line="360" w:lineRule="auto"/>
        <w:jc w:val="both"/>
        <w:rPr>
          <w:rFonts w:ascii="Palatino Linotype" w:hAnsi="Palatino Linotype" w:cs="Arial"/>
          <w:sz w:val="24"/>
          <w:szCs w:val="24"/>
        </w:rPr>
      </w:pPr>
    </w:p>
    <w:p w14:paraId="724862F0" w14:textId="77777777" w:rsidR="00B2417D" w:rsidRPr="006A11E6" w:rsidRDefault="00B2417D" w:rsidP="00DD587F">
      <w:pPr>
        <w:numPr>
          <w:ilvl w:val="0"/>
          <w:numId w:val="1"/>
        </w:numPr>
        <w:spacing w:after="0" w:line="360" w:lineRule="auto"/>
        <w:contextualSpacing/>
        <w:jc w:val="both"/>
        <w:rPr>
          <w:rFonts w:ascii="Palatino Linotype" w:hAnsi="Palatino Linotype" w:cs="Arial"/>
          <w:b/>
          <w:sz w:val="26"/>
          <w:szCs w:val="26"/>
        </w:rPr>
      </w:pPr>
      <w:r w:rsidRPr="006A11E6">
        <w:rPr>
          <w:rFonts w:ascii="Palatino Linotype" w:hAnsi="Palatino Linotype" w:cs="Arial"/>
          <w:b/>
          <w:sz w:val="26"/>
          <w:szCs w:val="26"/>
        </w:rPr>
        <w:t>De la ampliación del término para resolver</w:t>
      </w:r>
    </w:p>
    <w:p w14:paraId="5E087C55" w14:textId="77777777" w:rsidR="00B2417D" w:rsidRPr="006A11E6" w:rsidRDefault="00B2417D" w:rsidP="00D3475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t>En fecha dieciséis de febrero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0696BF7F"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p>
    <w:p w14:paraId="603D0CDA" w14:textId="77777777" w:rsidR="00B2417D" w:rsidRPr="006A11E6" w:rsidRDefault="00B2417D" w:rsidP="00B2417D">
      <w:pPr>
        <w:pBdr>
          <w:top w:val="nil"/>
          <w:left w:val="nil"/>
          <w:bottom w:val="nil"/>
          <w:right w:val="nil"/>
          <w:between w:val="nil"/>
        </w:pBdr>
        <w:spacing w:line="360" w:lineRule="auto"/>
        <w:contextualSpacing/>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22FD5C" w14:textId="77777777" w:rsidR="00B2417D" w:rsidRPr="006A11E6" w:rsidRDefault="00B2417D" w:rsidP="00B2417D">
      <w:pPr>
        <w:pBdr>
          <w:top w:val="nil"/>
          <w:left w:val="nil"/>
          <w:bottom w:val="nil"/>
          <w:right w:val="nil"/>
          <w:between w:val="nil"/>
        </w:pBdr>
        <w:spacing w:line="360" w:lineRule="auto"/>
        <w:contextualSpacing/>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t xml:space="preserve"> </w:t>
      </w:r>
    </w:p>
    <w:p w14:paraId="565E770E" w14:textId="77777777" w:rsidR="00B2417D" w:rsidRPr="006A11E6" w:rsidRDefault="00B2417D" w:rsidP="00B2417D">
      <w:pPr>
        <w:pBdr>
          <w:top w:val="nil"/>
          <w:left w:val="nil"/>
          <w:bottom w:val="nil"/>
          <w:right w:val="nil"/>
          <w:between w:val="nil"/>
        </w:pBdr>
        <w:spacing w:line="360" w:lineRule="auto"/>
        <w:contextualSpacing/>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0A3C9D"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t xml:space="preserve"> </w:t>
      </w:r>
    </w:p>
    <w:p w14:paraId="00C4156D" w14:textId="77777777" w:rsidR="00B2417D" w:rsidRPr="006A11E6" w:rsidRDefault="00B2417D" w:rsidP="00B2417D">
      <w:pPr>
        <w:pBdr>
          <w:top w:val="nil"/>
          <w:left w:val="nil"/>
          <w:bottom w:val="nil"/>
          <w:right w:val="nil"/>
          <w:between w:val="nil"/>
        </w:pBdr>
        <w:spacing w:line="360" w:lineRule="auto"/>
        <w:contextualSpacing/>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76A786"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t xml:space="preserve"> </w:t>
      </w:r>
    </w:p>
    <w:p w14:paraId="4C05BC78" w14:textId="77777777" w:rsidR="00B2417D" w:rsidRPr="006A11E6" w:rsidRDefault="00B2417D" w:rsidP="00B2417D">
      <w:pPr>
        <w:pBdr>
          <w:top w:val="nil"/>
          <w:left w:val="nil"/>
          <w:bottom w:val="nil"/>
          <w:right w:val="nil"/>
          <w:between w:val="nil"/>
        </w:pBdr>
        <w:spacing w:line="360" w:lineRule="auto"/>
        <w:contextualSpacing/>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1C31C5"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lastRenderedPageBreak/>
        <w:t xml:space="preserve"> </w:t>
      </w:r>
    </w:p>
    <w:p w14:paraId="3BAE14CE" w14:textId="77777777" w:rsidR="00B2417D" w:rsidRPr="006A11E6" w:rsidRDefault="00B2417D" w:rsidP="00B2417D">
      <w:pPr>
        <w:pBdr>
          <w:top w:val="nil"/>
          <w:left w:val="nil"/>
          <w:bottom w:val="nil"/>
          <w:right w:val="nil"/>
          <w:between w:val="nil"/>
        </w:pBdr>
        <w:spacing w:line="360" w:lineRule="auto"/>
        <w:contextualSpacing/>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060EC31"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p>
    <w:p w14:paraId="4151E6F9"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t>a)</w:t>
      </w:r>
      <w:r w:rsidRPr="006A11E6">
        <w:rPr>
          <w:rFonts w:ascii="Palatino Linotype" w:eastAsia="Palatino Linotype" w:hAnsi="Palatino Linotype" w:cs="Palatino Linotype"/>
          <w:color w:val="000000"/>
          <w:lang w:val="es-ES_tradnl"/>
        </w:rPr>
        <w:tab/>
        <w:t>Complejidad del asunto: La complejidad de la prueba, la pluralidad de sujetos procesales, el tiempo transcurrido, las características y contexto del recurso.</w:t>
      </w:r>
    </w:p>
    <w:p w14:paraId="7E16A9C2"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t>b)</w:t>
      </w:r>
      <w:r w:rsidRPr="006A11E6">
        <w:rPr>
          <w:rFonts w:ascii="Palatino Linotype" w:eastAsia="Palatino Linotype" w:hAnsi="Palatino Linotype" w:cs="Palatino Linotype"/>
          <w:color w:val="000000"/>
          <w:lang w:val="es-ES_tradnl"/>
        </w:rPr>
        <w:tab/>
        <w:t>Actividad Procesal del interesado: Acciones u omisiones del interesado.</w:t>
      </w:r>
    </w:p>
    <w:p w14:paraId="467B665F"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t>c)</w:t>
      </w:r>
      <w:r w:rsidRPr="006A11E6">
        <w:rPr>
          <w:rFonts w:ascii="Palatino Linotype" w:eastAsia="Palatino Linotype" w:hAnsi="Palatino Linotype" w:cs="Palatino Linotype"/>
          <w:color w:val="000000"/>
          <w:lang w:val="es-ES_tradnl"/>
        </w:rPr>
        <w:tab/>
        <w:t>Conducta de la Autoridad: Las Acciones u omisiones realizadas en el procedimiento. Así como si la autoridad actuó con la debida diligencia.</w:t>
      </w:r>
    </w:p>
    <w:p w14:paraId="07131DC3"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t>d)</w:t>
      </w:r>
      <w:r w:rsidRPr="006A11E6">
        <w:rPr>
          <w:rFonts w:ascii="Palatino Linotype" w:eastAsia="Palatino Linotype" w:hAnsi="Palatino Linotype" w:cs="Palatino Linotype"/>
          <w:color w:val="000000"/>
          <w:lang w:val="es-ES_tradnl"/>
        </w:rPr>
        <w:tab/>
        <w:t>La afectación generada en la situación jurídica de la persona involucrada en el proceso: Violación a sus derechos humanos.</w:t>
      </w:r>
    </w:p>
    <w:p w14:paraId="03696DC0"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p>
    <w:p w14:paraId="7EA42328" w14:textId="77777777" w:rsidR="00B2417D" w:rsidRPr="006A11E6" w:rsidRDefault="00B2417D" w:rsidP="00B2417D">
      <w:pPr>
        <w:pBdr>
          <w:top w:val="nil"/>
          <w:left w:val="nil"/>
          <w:bottom w:val="nil"/>
          <w:right w:val="nil"/>
          <w:between w:val="nil"/>
        </w:pBdr>
        <w:spacing w:line="360" w:lineRule="auto"/>
        <w:contextualSpacing/>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E5AF83"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p>
    <w:p w14:paraId="7B8B29B3"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t xml:space="preserve">Argumento que encuentra sustento en la jurisprudencia P./J. 32/92 emitida por el Pleno de la Suprema Corte de Justicia de la Nación de rubro “TÉRMINOS PROCESALES. PARA DETERMINAR SI UN FUNCIONARIO JUDICIAL </w:t>
      </w:r>
      <w:r w:rsidRPr="006A11E6">
        <w:rPr>
          <w:rFonts w:ascii="Palatino Linotype" w:eastAsia="Palatino Linotype" w:hAnsi="Palatino Linotype" w:cs="Palatino Linotype"/>
          <w:color w:val="000000"/>
          <w:lang w:val="es-ES_tradnl"/>
        </w:rPr>
        <w:lastRenderedPageBreak/>
        <w:t>ACTUÓ INDEBIDAMENTE POR NO RESPETARLOS SE DEBE ATENDER AL PRESUPUESTO QUE CONSIDERÓ EL LEGISLADOR AL FIJARLOS Y LAS CARACTERÍSTICAS DEL CASO.”, visible en la Gaceta del Seminario Judicial de la Federación con el registro digital 205635.</w:t>
      </w:r>
    </w:p>
    <w:p w14:paraId="24CBB4A3"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p>
    <w:p w14:paraId="35DD8764" w14:textId="77777777" w:rsidR="00B2417D" w:rsidRPr="006A11E6" w:rsidRDefault="00B2417D" w:rsidP="00B2417D">
      <w:pPr>
        <w:pBdr>
          <w:top w:val="nil"/>
          <w:left w:val="nil"/>
          <w:bottom w:val="nil"/>
          <w:right w:val="nil"/>
          <w:between w:val="nil"/>
        </w:pBdr>
        <w:spacing w:line="360" w:lineRule="auto"/>
        <w:contextualSpacing/>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0E9FC752"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p>
    <w:p w14:paraId="22AE4CEA"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t>“PLAZO RAZONABLE PARA RESOLVER. DIMENSIÓN Y EFECTOS DE ESTE CONCEPTO CUANDO SE ADUCE EXCESIVA CARGA DE TRABAJO.” consultable en el Seminario Judicial de la Federación y su gaceta, con el registro digital 2002351.</w:t>
      </w:r>
    </w:p>
    <w:p w14:paraId="13C9625C"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p>
    <w:p w14:paraId="2FCF237D"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r w:rsidRPr="006A11E6">
        <w:rPr>
          <w:rFonts w:ascii="Palatino Linotype" w:eastAsia="Palatino Linotype" w:hAnsi="Palatino Linotype" w:cs="Palatino Linotype"/>
          <w:color w:val="000000"/>
          <w:lang w:val="es-ES_tradnl"/>
        </w:rPr>
        <w:lastRenderedPageBreak/>
        <w:t>“PLAZO RAZONABLE PARA RESOLVER. CONCEPTO Y ELEMENTOS QUE LO INTEGRAN A LA LUZ DEL DERECHO INTERNACIONAL DE LOS DERECHOS HUMANOS.”, visible en el Seminario Judicial de la Federación y su gaceta, con el registro digital 2002350.</w:t>
      </w:r>
    </w:p>
    <w:p w14:paraId="38913180" w14:textId="77777777" w:rsidR="00B2417D" w:rsidRPr="006A11E6" w:rsidRDefault="00B2417D" w:rsidP="00B2417D">
      <w:pPr>
        <w:pStyle w:val="Prrafodelista"/>
        <w:pBdr>
          <w:top w:val="nil"/>
          <w:left w:val="nil"/>
          <w:bottom w:val="nil"/>
          <w:right w:val="nil"/>
          <w:between w:val="nil"/>
        </w:pBdr>
        <w:spacing w:line="360" w:lineRule="auto"/>
        <w:ind w:left="720"/>
        <w:contextualSpacing/>
        <w:rPr>
          <w:rFonts w:ascii="Palatino Linotype" w:eastAsia="Palatino Linotype" w:hAnsi="Palatino Linotype" w:cs="Palatino Linotype"/>
          <w:color w:val="000000"/>
          <w:lang w:val="es-ES_tradnl"/>
        </w:rPr>
      </w:pPr>
    </w:p>
    <w:p w14:paraId="3524D318" w14:textId="77777777" w:rsidR="00B2417D" w:rsidRPr="006A11E6" w:rsidRDefault="00B2417D" w:rsidP="00B2417D">
      <w:pPr>
        <w:pBdr>
          <w:top w:val="nil"/>
          <w:left w:val="nil"/>
          <w:bottom w:val="nil"/>
          <w:right w:val="nil"/>
          <w:between w:val="nil"/>
        </w:pBdr>
        <w:spacing w:line="360" w:lineRule="auto"/>
        <w:contextualSpacing/>
        <w:rPr>
          <w:rFonts w:ascii="Palatino Linotype" w:eastAsia="Palatino Linotype" w:hAnsi="Palatino Linotype" w:cs="Palatino Linotype"/>
          <w:color w:val="000000"/>
          <w:sz w:val="24"/>
          <w:szCs w:val="24"/>
          <w:lang w:val="es-ES_tradnl"/>
        </w:rPr>
      </w:pPr>
      <w:r w:rsidRPr="006A11E6">
        <w:rPr>
          <w:rFonts w:ascii="Palatino Linotype" w:eastAsia="Palatino Linotype" w:hAnsi="Palatino Linotype" w:cs="Palatino Linotype"/>
          <w:color w:val="000000"/>
          <w:sz w:val="24"/>
          <w:szCs w:val="24"/>
          <w:lang w:val="es-ES_tradnl"/>
        </w:rPr>
        <w:t>Por ello, este organismo garante comprometido con la tutela de los derechos humanos confiados señala que este exceso del plazo legal para resolver el presente asunto resulta de carácter excepcional.</w:t>
      </w:r>
    </w:p>
    <w:p w14:paraId="60C30028" w14:textId="77777777" w:rsidR="00B2417D" w:rsidRPr="006A11E6" w:rsidRDefault="00B2417D" w:rsidP="00B2417D">
      <w:pPr>
        <w:spacing w:after="0" w:line="360" w:lineRule="auto"/>
        <w:ind w:left="720"/>
        <w:contextualSpacing/>
        <w:jc w:val="both"/>
        <w:rPr>
          <w:rFonts w:ascii="Palatino Linotype" w:hAnsi="Palatino Linotype" w:cs="Arial"/>
          <w:b/>
          <w:sz w:val="26"/>
          <w:szCs w:val="26"/>
        </w:rPr>
      </w:pPr>
    </w:p>
    <w:p w14:paraId="33E9E077" w14:textId="77777777" w:rsidR="00DD587F" w:rsidRPr="006A11E6" w:rsidRDefault="00DD587F" w:rsidP="00DD587F">
      <w:pPr>
        <w:numPr>
          <w:ilvl w:val="0"/>
          <w:numId w:val="1"/>
        </w:numPr>
        <w:spacing w:after="0" w:line="360" w:lineRule="auto"/>
        <w:contextualSpacing/>
        <w:jc w:val="both"/>
        <w:rPr>
          <w:rFonts w:ascii="Palatino Linotype" w:hAnsi="Palatino Linotype" w:cs="Arial"/>
          <w:b/>
          <w:sz w:val="26"/>
          <w:szCs w:val="26"/>
        </w:rPr>
      </w:pPr>
      <w:r w:rsidRPr="006A11E6">
        <w:rPr>
          <w:rFonts w:ascii="Palatino Linotype" w:hAnsi="Palatino Linotype" w:cs="Arial"/>
          <w:b/>
          <w:sz w:val="26"/>
          <w:szCs w:val="26"/>
        </w:rPr>
        <w:t>Resoluci</w:t>
      </w:r>
      <w:r w:rsidR="00B2417D" w:rsidRPr="006A11E6">
        <w:rPr>
          <w:rFonts w:ascii="Palatino Linotype" w:hAnsi="Palatino Linotype" w:cs="Arial"/>
          <w:b/>
          <w:sz w:val="26"/>
          <w:szCs w:val="26"/>
        </w:rPr>
        <w:t>ón del recurso de revisión 17160</w:t>
      </w:r>
      <w:r w:rsidRPr="006A11E6">
        <w:rPr>
          <w:rFonts w:ascii="Palatino Linotype" w:hAnsi="Palatino Linotype" w:cs="Arial"/>
          <w:b/>
          <w:sz w:val="26"/>
          <w:szCs w:val="26"/>
        </w:rPr>
        <w:t xml:space="preserve">/INFOEM/IP/RR/2022 </w:t>
      </w:r>
    </w:p>
    <w:p w14:paraId="2E54F838"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 xml:space="preserve">En la </w:t>
      </w:r>
      <w:r w:rsidR="00B2417D" w:rsidRPr="006A11E6">
        <w:rPr>
          <w:rFonts w:ascii="Palatino Linotype" w:hAnsi="Palatino Linotype" w:cs="Arial"/>
          <w:sz w:val="24"/>
          <w:szCs w:val="24"/>
        </w:rPr>
        <w:t xml:space="preserve">Décima </w:t>
      </w:r>
      <w:r w:rsidRPr="006A11E6">
        <w:rPr>
          <w:rFonts w:ascii="Palatino Linotype" w:hAnsi="Palatino Linotype" w:cs="Arial"/>
          <w:sz w:val="24"/>
          <w:szCs w:val="24"/>
        </w:rPr>
        <w:t xml:space="preserve">Tercera Sesión Ordinaria celebrada el </w:t>
      </w:r>
      <w:r w:rsidR="00C81DAC" w:rsidRPr="006A11E6">
        <w:rPr>
          <w:rFonts w:ascii="Palatino Linotype" w:hAnsi="Palatino Linotype" w:cs="Arial"/>
          <w:sz w:val="24"/>
          <w:szCs w:val="24"/>
        </w:rPr>
        <w:t xml:space="preserve">doce de abril </w:t>
      </w:r>
      <w:r w:rsidRPr="006A11E6">
        <w:rPr>
          <w:rFonts w:ascii="Palatino Linotype" w:hAnsi="Palatino Linotype" w:cs="Arial"/>
          <w:sz w:val="24"/>
          <w:szCs w:val="24"/>
        </w:rPr>
        <w:t>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14:paraId="0CC33EA9" w14:textId="77777777" w:rsidR="00C81DAC" w:rsidRPr="006A11E6" w:rsidRDefault="00DD587F" w:rsidP="00C81DAC">
      <w:pPr>
        <w:tabs>
          <w:tab w:val="left" w:pos="8647"/>
        </w:tabs>
        <w:spacing w:after="0" w:line="360" w:lineRule="auto"/>
        <w:ind w:left="567" w:right="567"/>
        <w:jc w:val="both"/>
        <w:rPr>
          <w:rFonts w:ascii="Palatino Linotype" w:hAnsi="Palatino Linotype"/>
          <w:i/>
        </w:rPr>
      </w:pPr>
      <w:r w:rsidRPr="006A11E6">
        <w:rPr>
          <w:rFonts w:ascii="Palatino Linotype" w:hAnsi="Palatino Linotype" w:cs="Arial"/>
          <w:b/>
          <w:i/>
          <w:sz w:val="24"/>
          <w:szCs w:val="24"/>
        </w:rPr>
        <w:t>“</w:t>
      </w:r>
      <w:r w:rsidR="00C81DAC" w:rsidRPr="006A11E6">
        <w:rPr>
          <w:rFonts w:ascii="Palatino Linotype" w:hAnsi="Palatino Linotype"/>
          <w:b/>
          <w:i/>
        </w:rPr>
        <w:t>PRIMERO</w:t>
      </w:r>
      <w:r w:rsidR="00C81DAC" w:rsidRPr="006A11E6">
        <w:rPr>
          <w:rFonts w:ascii="Palatino Linotype" w:hAnsi="Palatino Linotype"/>
          <w:i/>
        </w:rPr>
        <w:t xml:space="preserve">. Resultan fundadas las razones o motivos de inconformidad hechos valer por el Recurrente, en términos del considerando QUINTO, de la presente resolución. </w:t>
      </w:r>
    </w:p>
    <w:p w14:paraId="3947835B" w14:textId="77777777" w:rsidR="00C81DAC" w:rsidRPr="006A11E6" w:rsidRDefault="00C81DAC" w:rsidP="00C81DAC">
      <w:pPr>
        <w:tabs>
          <w:tab w:val="left" w:pos="8647"/>
        </w:tabs>
        <w:spacing w:after="0" w:line="360" w:lineRule="auto"/>
        <w:ind w:left="567" w:right="567"/>
        <w:jc w:val="both"/>
        <w:rPr>
          <w:rFonts w:ascii="Palatino Linotype" w:hAnsi="Palatino Linotype"/>
          <w:i/>
        </w:rPr>
      </w:pPr>
      <w:r w:rsidRPr="006A11E6">
        <w:rPr>
          <w:rFonts w:ascii="Palatino Linotype" w:hAnsi="Palatino Linotype"/>
          <w:b/>
          <w:i/>
        </w:rPr>
        <w:t>SEGUNDO</w:t>
      </w:r>
      <w:r w:rsidRPr="006A11E6">
        <w:rPr>
          <w:rFonts w:ascii="Palatino Linotype" w:hAnsi="Palatino Linotype"/>
          <w:i/>
        </w:rPr>
        <w:t xml:space="preserve">. Se </w:t>
      </w:r>
      <w:r w:rsidRPr="006A11E6">
        <w:rPr>
          <w:rFonts w:ascii="Palatino Linotype" w:hAnsi="Palatino Linotype"/>
          <w:b/>
          <w:i/>
        </w:rPr>
        <w:t>ORDENA</w:t>
      </w:r>
      <w:r w:rsidRPr="006A11E6">
        <w:rPr>
          <w:rFonts w:ascii="Palatino Linotype" w:hAnsi="Palatino Linotype"/>
          <w:i/>
        </w:rPr>
        <w:t xml:space="preserve"> al </w:t>
      </w:r>
      <w:r w:rsidRPr="006A11E6">
        <w:rPr>
          <w:rFonts w:ascii="Palatino Linotype" w:hAnsi="Palatino Linotype"/>
          <w:b/>
          <w:i/>
        </w:rPr>
        <w:t>Sujeto</w:t>
      </w:r>
      <w:r w:rsidRPr="006A11E6">
        <w:rPr>
          <w:rFonts w:ascii="Palatino Linotype" w:hAnsi="Palatino Linotype"/>
          <w:i/>
        </w:rPr>
        <w:t xml:space="preserve"> </w:t>
      </w:r>
      <w:r w:rsidRPr="006A11E6">
        <w:rPr>
          <w:rFonts w:ascii="Palatino Linotype" w:hAnsi="Palatino Linotype"/>
          <w:b/>
          <w:i/>
        </w:rPr>
        <w:t>Obligado</w:t>
      </w:r>
      <w:r w:rsidRPr="006A11E6">
        <w:rPr>
          <w:rFonts w:ascii="Palatino Linotype" w:hAnsi="Palatino Linotype"/>
          <w:i/>
        </w:rPr>
        <w:t xml:space="preserve"> atienda la solicitud de información </w:t>
      </w:r>
      <w:r w:rsidRPr="006A11E6">
        <w:rPr>
          <w:rFonts w:ascii="Palatino Linotype" w:hAnsi="Palatino Linotype"/>
          <w:b/>
          <w:i/>
        </w:rPr>
        <w:t>01177/ZINACANT/IP/2022</w:t>
      </w:r>
      <w:r w:rsidRPr="006A11E6">
        <w:rPr>
          <w:rFonts w:ascii="Palatino Linotype" w:hAnsi="Palatino Linotype"/>
          <w:i/>
        </w:rPr>
        <w:t xml:space="preserve">, en términos del Considerando </w:t>
      </w:r>
      <w:r w:rsidRPr="006A11E6">
        <w:rPr>
          <w:rFonts w:ascii="Palatino Linotype" w:hAnsi="Palatino Linotype"/>
          <w:b/>
          <w:i/>
        </w:rPr>
        <w:t>QUINTO</w:t>
      </w:r>
      <w:r w:rsidRPr="006A11E6">
        <w:rPr>
          <w:rFonts w:ascii="Palatino Linotype" w:hAnsi="Palatino Linotype"/>
          <w:i/>
        </w:rPr>
        <w:t xml:space="preserve"> de esta resolución, vía Sistema de Acceso a la Información Mexiquense (SAIMEX). </w:t>
      </w:r>
    </w:p>
    <w:p w14:paraId="0787091D" w14:textId="77777777" w:rsidR="00C81DAC" w:rsidRPr="006A11E6" w:rsidRDefault="00C81DAC" w:rsidP="00C81DAC">
      <w:pPr>
        <w:tabs>
          <w:tab w:val="left" w:pos="8647"/>
        </w:tabs>
        <w:spacing w:after="0" w:line="360" w:lineRule="auto"/>
        <w:ind w:left="567" w:right="567"/>
        <w:jc w:val="both"/>
        <w:rPr>
          <w:rFonts w:ascii="Palatino Linotype" w:hAnsi="Palatino Linotype"/>
          <w:i/>
        </w:rPr>
      </w:pPr>
    </w:p>
    <w:p w14:paraId="627542D9" w14:textId="77777777" w:rsidR="00DD587F" w:rsidRPr="006A11E6" w:rsidRDefault="00C81DAC" w:rsidP="00C81DAC">
      <w:pPr>
        <w:tabs>
          <w:tab w:val="left" w:pos="8647"/>
        </w:tabs>
        <w:spacing w:after="0" w:line="360" w:lineRule="auto"/>
        <w:ind w:left="567" w:right="567"/>
        <w:jc w:val="both"/>
        <w:rPr>
          <w:rFonts w:ascii="Palatino Linotype" w:hAnsi="Palatino Linotype"/>
          <w:i/>
          <w:sz w:val="24"/>
          <w:szCs w:val="24"/>
        </w:rPr>
      </w:pPr>
      <w:r w:rsidRPr="006A11E6">
        <w:rPr>
          <w:rFonts w:ascii="Palatino Linotype" w:hAnsi="Palatino Linotype"/>
          <w:b/>
          <w:i/>
        </w:rPr>
        <w:t>TERCERO</w:t>
      </w:r>
      <w:r w:rsidRPr="006A11E6">
        <w:rPr>
          <w:rFonts w:ascii="Palatino Linotype" w:hAnsi="Palatino Linotype"/>
          <w:i/>
        </w:rPr>
        <w:t xml:space="preserve">. Notifíquese al Titular de la Unidad de Transparencia del </w:t>
      </w:r>
      <w:r w:rsidRPr="006A11E6">
        <w:rPr>
          <w:rFonts w:ascii="Palatino Linotype" w:hAnsi="Palatino Linotype"/>
          <w:b/>
          <w:i/>
        </w:rPr>
        <w:t>Sujeto Obligado</w:t>
      </w:r>
      <w:r w:rsidRPr="006A11E6">
        <w:rPr>
          <w:rFonts w:ascii="Palatino Linotype" w:hAnsi="Palatino Linotype"/>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w:t>
      </w:r>
      <w:r w:rsidRPr="006A11E6">
        <w:rPr>
          <w:rFonts w:ascii="Palatino Linotype" w:hAnsi="Palatino Linotype"/>
          <w:i/>
        </w:rPr>
        <w:lastRenderedPageBreak/>
        <w:t>informar a este Instituto en un plazo de tres días hábiles siguientes sobre el cumplimiento dado a la presente.</w:t>
      </w:r>
    </w:p>
    <w:p w14:paraId="47926A34" w14:textId="77777777" w:rsidR="00DD587F" w:rsidRPr="006A11E6" w:rsidRDefault="00DD587F" w:rsidP="00DD587F">
      <w:pPr>
        <w:tabs>
          <w:tab w:val="left" w:pos="8647"/>
        </w:tabs>
        <w:spacing w:after="0" w:line="240" w:lineRule="auto"/>
        <w:ind w:left="567" w:right="567"/>
        <w:jc w:val="both"/>
        <w:rPr>
          <w:rFonts w:ascii="Palatino Linotype" w:hAnsi="Palatino Linotype" w:cs="Arial"/>
          <w:i/>
        </w:rPr>
      </w:pPr>
      <w:r w:rsidRPr="006A11E6">
        <w:rPr>
          <w:rFonts w:ascii="Palatino Linotype" w:hAnsi="Palatino Linotype" w:cs="Arial"/>
          <w:i/>
        </w:rPr>
        <w:t>(…)”</w:t>
      </w:r>
    </w:p>
    <w:p w14:paraId="570131E5" w14:textId="77777777" w:rsidR="00DD587F" w:rsidRPr="006A11E6" w:rsidRDefault="00DD587F" w:rsidP="00DD587F">
      <w:pPr>
        <w:spacing w:after="0" w:line="360" w:lineRule="auto"/>
        <w:jc w:val="both"/>
        <w:rPr>
          <w:rFonts w:ascii="Palatino Linotype" w:hAnsi="Palatino Linotype" w:cs="Arial"/>
          <w:sz w:val="24"/>
          <w:szCs w:val="24"/>
        </w:rPr>
      </w:pPr>
    </w:p>
    <w:p w14:paraId="63E3F256" w14:textId="77777777" w:rsidR="00DD587F" w:rsidRPr="006A11E6" w:rsidRDefault="00DD587F" w:rsidP="00DD587F">
      <w:pPr>
        <w:numPr>
          <w:ilvl w:val="0"/>
          <w:numId w:val="1"/>
        </w:numPr>
        <w:spacing w:after="0" w:line="360" w:lineRule="auto"/>
        <w:contextualSpacing/>
        <w:jc w:val="both"/>
        <w:rPr>
          <w:rFonts w:ascii="Palatino Linotype" w:hAnsi="Palatino Linotype" w:cs="Arial"/>
          <w:b/>
          <w:sz w:val="26"/>
          <w:szCs w:val="26"/>
        </w:rPr>
      </w:pPr>
      <w:r w:rsidRPr="006A11E6">
        <w:rPr>
          <w:rFonts w:ascii="Palatino Linotype" w:hAnsi="Palatino Linotype" w:cs="Arial"/>
          <w:b/>
          <w:sz w:val="26"/>
          <w:szCs w:val="26"/>
        </w:rPr>
        <w:t>Notificación de la resolución del recurso de revisión 1</w:t>
      </w:r>
      <w:r w:rsidR="00C81DAC" w:rsidRPr="006A11E6">
        <w:rPr>
          <w:rFonts w:ascii="Palatino Linotype" w:hAnsi="Palatino Linotype" w:cs="Arial"/>
          <w:b/>
          <w:sz w:val="26"/>
          <w:szCs w:val="26"/>
        </w:rPr>
        <w:t>7160</w:t>
      </w:r>
      <w:r w:rsidRPr="006A11E6">
        <w:rPr>
          <w:rFonts w:ascii="Palatino Linotype" w:hAnsi="Palatino Linotype" w:cs="Arial"/>
          <w:b/>
          <w:sz w:val="26"/>
          <w:szCs w:val="26"/>
        </w:rPr>
        <w:t>/INFOEM/IP/RR/2022</w:t>
      </w:r>
      <w:r w:rsidR="00C81DAC" w:rsidRPr="006A11E6">
        <w:rPr>
          <w:rFonts w:ascii="Palatino Linotype" w:hAnsi="Palatino Linotype" w:cs="Arial"/>
          <w:b/>
          <w:sz w:val="26"/>
          <w:szCs w:val="26"/>
        </w:rPr>
        <w:t xml:space="preserve"> </w:t>
      </w:r>
    </w:p>
    <w:p w14:paraId="3AD4A668" w14:textId="77777777" w:rsidR="00DD587F" w:rsidRPr="006A11E6" w:rsidRDefault="00DD587F" w:rsidP="00DD587F">
      <w:pPr>
        <w:spacing w:after="0" w:line="360" w:lineRule="auto"/>
        <w:ind w:left="720"/>
        <w:contextualSpacing/>
        <w:jc w:val="both"/>
        <w:rPr>
          <w:rFonts w:ascii="Palatino Linotype" w:hAnsi="Palatino Linotype" w:cs="Arial"/>
          <w:b/>
          <w:sz w:val="26"/>
          <w:szCs w:val="26"/>
        </w:rPr>
      </w:pPr>
    </w:p>
    <w:p w14:paraId="0B00C378"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 xml:space="preserve">De conformidad con las constancias que integran el expediente virtual, se advierte que el día </w:t>
      </w:r>
      <w:r w:rsidR="00C81DAC" w:rsidRPr="006A11E6">
        <w:rPr>
          <w:rFonts w:ascii="Palatino Linotype" w:hAnsi="Palatino Linotype" w:cs="Arial"/>
          <w:sz w:val="24"/>
          <w:szCs w:val="24"/>
        </w:rPr>
        <w:t xml:space="preserve">diecisiete de abril </w:t>
      </w:r>
      <w:r w:rsidRPr="006A11E6">
        <w:rPr>
          <w:rFonts w:ascii="Palatino Linotype" w:hAnsi="Palatino Linotype" w:cs="Arial"/>
          <w:sz w:val="24"/>
          <w:szCs w:val="24"/>
        </w:rPr>
        <w:t>de dos mil veintitrés, se notificó a las partes, por medio del Sistema de Acceso a la Información Mexiquense (SAIMEX, la resolución de los Medios de Impugnación previamente referidos.</w:t>
      </w:r>
    </w:p>
    <w:p w14:paraId="37578459" w14:textId="77777777" w:rsidR="00DD587F" w:rsidRPr="006A11E6" w:rsidRDefault="00DD587F" w:rsidP="00DD587F">
      <w:pPr>
        <w:spacing w:after="0" w:line="360" w:lineRule="auto"/>
        <w:jc w:val="both"/>
        <w:rPr>
          <w:rFonts w:ascii="Palatino Linotype" w:hAnsi="Palatino Linotype" w:cs="Arial"/>
          <w:sz w:val="24"/>
          <w:szCs w:val="24"/>
        </w:rPr>
      </w:pPr>
    </w:p>
    <w:p w14:paraId="337D1530" w14:textId="77777777" w:rsidR="00DD587F" w:rsidRPr="006A11E6" w:rsidRDefault="00DD587F" w:rsidP="00DD587F">
      <w:pPr>
        <w:pStyle w:val="Prrafodelista"/>
        <w:numPr>
          <w:ilvl w:val="0"/>
          <w:numId w:val="1"/>
        </w:numPr>
        <w:spacing w:line="360" w:lineRule="auto"/>
        <w:jc w:val="both"/>
        <w:rPr>
          <w:rFonts w:ascii="Palatino Linotype" w:hAnsi="Palatino Linotype" w:cs="Arial"/>
          <w:b/>
          <w:sz w:val="26"/>
          <w:szCs w:val="26"/>
        </w:rPr>
      </w:pPr>
      <w:r w:rsidRPr="006A11E6">
        <w:rPr>
          <w:rFonts w:ascii="Palatino Linotype" w:hAnsi="Palatino Linotype" w:cs="Arial"/>
          <w:b/>
          <w:sz w:val="26"/>
          <w:szCs w:val="26"/>
        </w:rPr>
        <w:t>Del acuerdo de incumplimiento de la resolución.</w:t>
      </w:r>
    </w:p>
    <w:p w14:paraId="60A29785"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 xml:space="preserve">Una vez concluido el término otorgado al Sujeto Obligado para que diera cumplimiento a la resolución, en el expediente electrónico, se observa que fue omiso en dar cumplimiento a dicha resolución, por lo que, en fecha </w:t>
      </w:r>
      <w:r w:rsidR="00D3475B" w:rsidRPr="006A11E6">
        <w:rPr>
          <w:rFonts w:ascii="Palatino Linotype" w:hAnsi="Palatino Linotype" w:cs="Arial"/>
          <w:sz w:val="24"/>
          <w:szCs w:val="24"/>
        </w:rPr>
        <w:t>nueve de mayo</w:t>
      </w:r>
      <w:r w:rsidRPr="006A11E6">
        <w:rPr>
          <w:rFonts w:ascii="Palatino Linotype" w:hAnsi="Palatino Linotype" w:cs="Arial"/>
          <w:sz w:val="24"/>
          <w:szCs w:val="24"/>
        </w:rPr>
        <w:t xml:space="preserve"> de dos mil veintitrés, se emitió y notifico a las partes, el acuerdo de incumplimiento.</w:t>
      </w:r>
    </w:p>
    <w:p w14:paraId="589BB549" w14:textId="77777777" w:rsidR="00DD587F" w:rsidRPr="006A11E6" w:rsidRDefault="00DD587F" w:rsidP="00DD587F">
      <w:pPr>
        <w:spacing w:after="0" w:line="360" w:lineRule="auto"/>
        <w:jc w:val="both"/>
        <w:rPr>
          <w:rFonts w:ascii="Palatino Linotype" w:hAnsi="Palatino Linotype" w:cs="Arial"/>
          <w:sz w:val="24"/>
          <w:szCs w:val="24"/>
        </w:rPr>
      </w:pPr>
    </w:p>
    <w:p w14:paraId="6886A7E7" w14:textId="77777777" w:rsidR="00C81DAC" w:rsidRPr="006A11E6" w:rsidRDefault="00C22257" w:rsidP="00DD587F">
      <w:pPr>
        <w:spacing w:after="0" w:line="360" w:lineRule="auto"/>
        <w:jc w:val="both"/>
        <w:rPr>
          <w:rFonts w:ascii="Palatino Linotype" w:hAnsi="Palatino Linotype" w:cs="Arial"/>
          <w:b/>
          <w:sz w:val="26"/>
          <w:szCs w:val="26"/>
        </w:rPr>
      </w:pPr>
      <w:r w:rsidRPr="006A11E6">
        <w:rPr>
          <w:rFonts w:ascii="Palatino Linotype" w:hAnsi="Palatino Linotype" w:cs="Arial"/>
          <w:b/>
          <w:sz w:val="26"/>
          <w:szCs w:val="26"/>
        </w:rPr>
        <w:t>SEXTO</w:t>
      </w:r>
      <w:r w:rsidR="00DD587F" w:rsidRPr="006A11E6">
        <w:rPr>
          <w:rFonts w:ascii="Palatino Linotype" w:hAnsi="Palatino Linotype" w:cs="Arial"/>
          <w:b/>
          <w:sz w:val="26"/>
          <w:szCs w:val="26"/>
        </w:rPr>
        <w:t xml:space="preserve">. De la interposición del recurso de revisión </w:t>
      </w:r>
      <w:r w:rsidR="00C81DAC" w:rsidRPr="006A11E6">
        <w:rPr>
          <w:rFonts w:ascii="Palatino Linotype" w:hAnsi="Palatino Linotype" w:cs="Arial"/>
          <w:b/>
          <w:sz w:val="26"/>
          <w:szCs w:val="26"/>
        </w:rPr>
        <w:t>17160/INFOEM/ICR-245</w:t>
      </w:r>
      <w:r w:rsidR="00DD587F" w:rsidRPr="006A11E6">
        <w:rPr>
          <w:rFonts w:ascii="Palatino Linotype" w:hAnsi="Palatino Linotype" w:cs="Arial"/>
          <w:b/>
          <w:sz w:val="26"/>
          <w:szCs w:val="26"/>
        </w:rPr>
        <w:t xml:space="preserve">/IP/RR/2022 </w:t>
      </w:r>
    </w:p>
    <w:p w14:paraId="10E448D3" w14:textId="77777777" w:rsidR="00DD587F" w:rsidRPr="006A11E6" w:rsidRDefault="00DD587F" w:rsidP="00DD587F">
      <w:pPr>
        <w:spacing w:after="0" w:line="360" w:lineRule="auto"/>
        <w:jc w:val="both"/>
        <w:rPr>
          <w:rFonts w:ascii="Palatino Linotype" w:hAnsi="Palatino Linotype" w:cs="Arial"/>
          <w:sz w:val="24"/>
          <w:szCs w:val="24"/>
          <w:lang w:val="es-ES"/>
        </w:rPr>
      </w:pPr>
      <w:r w:rsidRPr="006A11E6">
        <w:rPr>
          <w:rFonts w:ascii="Palatino Linotype" w:hAnsi="Palatino Linotype" w:cs="Arial"/>
          <w:sz w:val="24"/>
          <w:szCs w:val="24"/>
        </w:rPr>
        <w:t>De las constancias q</w:t>
      </w:r>
      <w:r w:rsidR="00C81DAC" w:rsidRPr="006A11E6">
        <w:rPr>
          <w:rFonts w:ascii="Palatino Linotype" w:hAnsi="Palatino Linotype" w:cs="Arial"/>
          <w:sz w:val="24"/>
          <w:szCs w:val="24"/>
        </w:rPr>
        <w:t>ue integran el expediente del</w:t>
      </w:r>
      <w:r w:rsidRPr="006A11E6">
        <w:rPr>
          <w:rFonts w:ascii="Palatino Linotype" w:hAnsi="Palatino Linotype" w:cs="Arial"/>
          <w:sz w:val="24"/>
          <w:szCs w:val="24"/>
        </w:rPr>
        <w:t xml:space="preserve"> recurso de revisión </w:t>
      </w:r>
      <w:r w:rsidR="00C81DAC" w:rsidRPr="006A11E6">
        <w:rPr>
          <w:rFonts w:ascii="Palatino Linotype" w:hAnsi="Palatino Linotype" w:cs="Arial"/>
          <w:b/>
          <w:sz w:val="24"/>
          <w:szCs w:val="24"/>
        </w:rPr>
        <w:t>17160</w:t>
      </w:r>
      <w:r w:rsidRPr="006A11E6">
        <w:rPr>
          <w:rFonts w:ascii="Palatino Linotype" w:hAnsi="Palatino Linotype" w:cs="Arial"/>
          <w:b/>
          <w:sz w:val="24"/>
          <w:szCs w:val="24"/>
        </w:rPr>
        <w:t>/INFOEM/</w:t>
      </w:r>
      <w:r w:rsidR="00C81DAC" w:rsidRPr="006A11E6">
        <w:rPr>
          <w:rFonts w:ascii="Palatino Linotype" w:hAnsi="Palatino Linotype" w:cs="Arial"/>
          <w:b/>
          <w:sz w:val="24"/>
          <w:szCs w:val="24"/>
        </w:rPr>
        <w:t>ICR-245</w:t>
      </w:r>
      <w:r w:rsidRPr="006A11E6">
        <w:rPr>
          <w:rFonts w:ascii="Palatino Linotype" w:hAnsi="Palatino Linotype" w:cs="Arial"/>
          <w:b/>
          <w:sz w:val="24"/>
          <w:szCs w:val="24"/>
        </w:rPr>
        <w:t>/IP/RR/2022</w:t>
      </w:r>
      <w:r w:rsidR="00C22257" w:rsidRPr="006A11E6">
        <w:rPr>
          <w:rFonts w:ascii="Palatino Linotype" w:hAnsi="Palatino Linotype" w:cs="Arial"/>
          <w:sz w:val="24"/>
          <w:szCs w:val="24"/>
        </w:rPr>
        <w:t xml:space="preserve"> </w:t>
      </w:r>
      <w:r w:rsidRPr="006A11E6">
        <w:rPr>
          <w:rFonts w:ascii="Palatino Linotype" w:hAnsi="Palatino Linotype" w:cs="Arial"/>
          <w:sz w:val="24"/>
          <w:szCs w:val="24"/>
        </w:rPr>
        <w:t>se advierte que, en</w:t>
      </w:r>
      <w:r w:rsidRPr="006A11E6">
        <w:rPr>
          <w:rFonts w:ascii="Palatino Linotype" w:hAnsi="Palatino Linotype" w:cs="Arial"/>
          <w:sz w:val="24"/>
          <w:szCs w:val="24"/>
          <w:lang w:val="es-ES"/>
        </w:rPr>
        <w:t xml:space="preserve"> fecha </w:t>
      </w:r>
      <w:r w:rsidR="00666C79" w:rsidRPr="006A11E6">
        <w:rPr>
          <w:rFonts w:ascii="Palatino Linotype" w:hAnsi="Palatino Linotype" w:cs="Arial"/>
          <w:sz w:val="24"/>
          <w:szCs w:val="24"/>
          <w:lang w:val="es-ES"/>
        </w:rPr>
        <w:t xml:space="preserve">diez de mayo </w:t>
      </w:r>
      <w:r w:rsidRPr="006A11E6">
        <w:rPr>
          <w:rFonts w:ascii="Palatino Linotype" w:hAnsi="Palatino Linotype" w:cs="Arial"/>
          <w:sz w:val="24"/>
          <w:szCs w:val="24"/>
          <w:lang w:val="es-ES"/>
        </w:rPr>
        <w:t xml:space="preserve">de dos mil veintitrés, el </w:t>
      </w:r>
      <w:r w:rsidRPr="006A11E6">
        <w:rPr>
          <w:rFonts w:ascii="Palatino Linotype" w:hAnsi="Palatino Linotype" w:cs="Arial"/>
          <w:b/>
          <w:sz w:val="24"/>
          <w:szCs w:val="24"/>
          <w:lang w:val="es-ES"/>
        </w:rPr>
        <w:t>Recurrente</w:t>
      </w:r>
      <w:r w:rsidRPr="006A11E6">
        <w:rPr>
          <w:rFonts w:ascii="Palatino Linotype" w:hAnsi="Palatino Linotype" w:cs="Arial"/>
          <w:sz w:val="24"/>
          <w:szCs w:val="24"/>
          <w:lang w:val="es-ES"/>
        </w:rPr>
        <w:t xml:space="preserve"> interpuso de nuevo recurso de revisión en este Instituto a través del Sistema de Acceso a la Información Mexiquense (SAIMEX), en contra del </w:t>
      </w:r>
      <w:r w:rsidRPr="006A11E6">
        <w:rPr>
          <w:rFonts w:ascii="Palatino Linotype" w:hAnsi="Palatino Linotype" w:cs="Arial"/>
          <w:sz w:val="24"/>
          <w:szCs w:val="24"/>
          <w:lang w:val="es-ES"/>
        </w:rPr>
        <w:lastRenderedPageBreak/>
        <w:t>incumplimiento a la resolución, en el cual hizo valer como acto impugnado y razones o motivos de inconformidad los siguientes:</w:t>
      </w:r>
    </w:p>
    <w:p w14:paraId="20CA7C74" w14:textId="77777777" w:rsidR="00DD587F" w:rsidRPr="006A11E6" w:rsidRDefault="00DD587F" w:rsidP="00DD587F">
      <w:pPr>
        <w:spacing w:after="0" w:line="360" w:lineRule="auto"/>
        <w:jc w:val="both"/>
        <w:rPr>
          <w:rFonts w:ascii="Palatino Linotype" w:hAnsi="Palatino Linotype" w:cs="Arial"/>
          <w:b/>
          <w:sz w:val="24"/>
          <w:szCs w:val="24"/>
          <w:lang w:val="es-ES"/>
        </w:rPr>
      </w:pPr>
      <w:r w:rsidRPr="006A11E6">
        <w:rPr>
          <w:rFonts w:ascii="Palatino Linotype" w:hAnsi="Palatino Linotype" w:cs="Arial"/>
          <w:b/>
          <w:sz w:val="24"/>
          <w:szCs w:val="24"/>
          <w:lang w:val="es-ES"/>
        </w:rPr>
        <w:t>Acto impugnado:</w:t>
      </w:r>
    </w:p>
    <w:p w14:paraId="131531A7" w14:textId="77777777" w:rsidR="00DD587F" w:rsidRPr="006A11E6" w:rsidRDefault="00DD587F" w:rsidP="00DD587F">
      <w:pPr>
        <w:spacing w:after="0" w:line="360" w:lineRule="auto"/>
        <w:jc w:val="both"/>
        <w:rPr>
          <w:rFonts w:ascii="Palatino Linotype" w:hAnsi="Palatino Linotype" w:cs="Arial"/>
          <w:sz w:val="24"/>
          <w:szCs w:val="24"/>
          <w:lang w:val="es-ES"/>
        </w:rPr>
      </w:pPr>
    </w:p>
    <w:p w14:paraId="2F1EA065" w14:textId="77777777" w:rsidR="00DD587F" w:rsidRPr="006A11E6" w:rsidRDefault="00DD587F" w:rsidP="00DD587F">
      <w:pPr>
        <w:spacing w:after="0" w:line="240" w:lineRule="auto"/>
        <w:ind w:left="567" w:right="567"/>
        <w:jc w:val="both"/>
        <w:rPr>
          <w:rFonts w:ascii="Palatino Linotype" w:hAnsi="Palatino Linotype" w:cs="Arial"/>
          <w:i/>
          <w:szCs w:val="24"/>
          <w:lang w:val="es-ES"/>
        </w:rPr>
      </w:pPr>
      <w:r w:rsidRPr="006A11E6">
        <w:rPr>
          <w:rFonts w:ascii="Palatino Linotype" w:hAnsi="Palatino Linotype" w:cs="Arial"/>
          <w:i/>
          <w:szCs w:val="24"/>
          <w:lang w:val="es-ES"/>
        </w:rPr>
        <w:t>“NO ENTREGA INFORMACIÓN”</w:t>
      </w:r>
    </w:p>
    <w:p w14:paraId="44FC1C88" w14:textId="77777777" w:rsidR="00DD587F" w:rsidRPr="006A11E6" w:rsidRDefault="00DD587F" w:rsidP="00DD587F">
      <w:pPr>
        <w:spacing w:after="0" w:line="360" w:lineRule="auto"/>
        <w:jc w:val="both"/>
        <w:rPr>
          <w:rFonts w:ascii="Palatino Linotype" w:hAnsi="Palatino Linotype" w:cs="Arial"/>
          <w:sz w:val="24"/>
          <w:szCs w:val="24"/>
          <w:lang w:val="es-ES"/>
        </w:rPr>
      </w:pPr>
    </w:p>
    <w:p w14:paraId="16DF5F15" w14:textId="77777777" w:rsidR="00DD587F" w:rsidRPr="006A11E6" w:rsidRDefault="00DD587F" w:rsidP="00DD587F">
      <w:pPr>
        <w:spacing w:after="0" w:line="360" w:lineRule="auto"/>
        <w:jc w:val="both"/>
        <w:rPr>
          <w:rFonts w:ascii="Palatino Linotype" w:hAnsi="Palatino Linotype" w:cs="Arial"/>
          <w:b/>
          <w:sz w:val="24"/>
          <w:szCs w:val="24"/>
          <w:lang w:val="es-ES"/>
        </w:rPr>
      </w:pPr>
      <w:r w:rsidRPr="006A11E6">
        <w:rPr>
          <w:rFonts w:ascii="Palatino Linotype" w:hAnsi="Palatino Linotype" w:cs="Arial"/>
          <w:b/>
          <w:sz w:val="24"/>
          <w:szCs w:val="24"/>
          <w:lang w:val="es-ES"/>
        </w:rPr>
        <w:t>Razones o motivos de inconformidad:</w:t>
      </w:r>
    </w:p>
    <w:p w14:paraId="124F5BA8" w14:textId="77777777" w:rsidR="00DD587F" w:rsidRPr="006A11E6" w:rsidRDefault="00DD587F" w:rsidP="00DD587F">
      <w:pPr>
        <w:spacing w:after="0" w:line="360" w:lineRule="auto"/>
        <w:jc w:val="both"/>
        <w:rPr>
          <w:rFonts w:ascii="Palatino Linotype" w:hAnsi="Palatino Linotype" w:cs="Arial"/>
          <w:b/>
          <w:sz w:val="24"/>
          <w:szCs w:val="24"/>
          <w:lang w:val="es-ES"/>
        </w:rPr>
      </w:pPr>
    </w:p>
    <w:p w14:paraId="097C0A43" w14:textId="77777777" w:rsidR="00DD587F" w:rsidRPr="006A11E6" w:rsidRDefault="00DD587F" w:rsidP="00DD587F">
      <w:pPr>
        <w:spacing w:after="0" w:line="240" w:lineRule="auto"/>
        <w:ind w:left="567" w:right="567"/>
        <w:jc w:val="both"/>
        <w:rPr>
          <w:rFonts w:ascii="Palatino Linotype" w:hAnsi="Palatino Linotype" w:cs="Arial"/>
          <w:i/>
          <w:lang w:val="es-ES"/>
        </w:rPr>
      </w:pPr>
      <w:r w:rsidRPr="006A11E6">
        <w:rPr>
          <w:rFonts w:ascii="Palatino Linotype" w:hAnsi="Palatino Linotype" w:cs="Arial"/>
          <w:i/>
          <w:lang w:val="es-ES"/>
        </w:rPr>
        <w:t>“</w:t>
      </w:r>
      <w:r w:rsidRPr="006A11E6">
        <w:rPr>
          <w:rFonts w:ascii="Palatino Linotype" w:hAnsi="Palatino Linotype" w:cs="Arial"/>
          <w:i/>
        </w:rPr>
        <w:t>NO ENTREGA INFORMACIÓN</w:t>
      </w:r>
      <w:r w:rsidRPr="006A11E6">
        <w:rPr>
          <w:rFonts w:ascii="Palatino Linotype" w:hAnsi="Palatino Linotype" w:cs="Arial"/>
          <w:i/>
          <w:lang w:val="es-ES"/>
        </w:rPr>
        <w:t>”</w:t>
      </w:r>
    </w:p>
    <w:p w14:paraId="76A251BA" w14:textId="77777777" w:rsidR="00DD587F" w:rsidRPr="006A11E6" w:rsidRDefault="00DD587F" w:rsidP="00DD587F">
      <w:pPr>
        <w:spacing w:after="0" w:line="360" w:lineRule="auto"/>
        <w:jc w:val="both"/>
        <w:rPr>
          <w:rFonts w:ascii="Palatino Linotype" w:hAnsi="Palatino Linotype" w:cs="Arial"/>
          <w:sz w:val="24"/>
          <w:szCs w:val="26"/>
          <w:lang w:val="es-ES"/>
        </w:rPr>
      </w:pPr>
    </w:p>
    <w:p w14:paraId="4C263EE9" w14:textId="77777777" w:rsidR="00DD587F" w:rsidRPr="006A11E6" w:rsidRDefault="00C22257" w:rsidP="00DD587F">
      <w:pPr>
        <w:spacing w:after="0" w:line="360" w:lineRule="auto"/>
        <w:jc w:val="both"/>
        <w:rPr>
          <w:rFonts w:ascii="Palatino Linotype" w:hAnsi="Palatino Linotype" w:cs="Arial"/>
          <w:b/>
          <w:sz w:val="26"/>
          <w:szCs w:val="26"/>
        </w:rPr>
      </w:pPr>
      <w:r w:rsidRPr="006A11E6">
        <w:rPr>
          <w:rFonts w:ascii="Palatino Linotype" w:hAnsi="Palatino Linotype" w:cs="Arial"/>
          <w:b/>
          <w:sz w:val="26"/>
          <w:szCs w:val="26"/>
          <w:lang w:val="es-ES"/>
        </w:rPr>
        <w:t>SÉPTIMO</w:t>
      </w:r>
      <w:r w:rsidR="00DD587F" w:rsidRPr="006A11E6">
        <w:rPr>
          <w:rFonts w:ascii="Palatino Linotype" w:hAnsi="Palatino Linotype" w:cs="Arial"/>
          <w:b/>
          <w:sz w:val="26"/>
          <w:szCs w:val="26"/>
          <w:lang w:val="es-ES"/>
        </w:rPr>
        <w:t>.</w:t>
      </w:r>
      <w:r w:rsidR="00DD587F" w:rsidRPr="006A11E6">
        <w:rPr>
          <w:rFonts w:ascii="Palatino Linotype" w:hAnsi="Palatino Linotype" w:cs="Arial"/>
          <w:sz w:val="26"/>
          <w:szCs w:val="26"/>
          <w:lang w:val="es-ES"/>
        </w:rPr>
        <w:t xml:space="preserve"> </w:t>
      </w:r>
      <w:r w:rsidR="00DD587F" w:rsidRPr="006A11E6">
        <w:rPr>
          <w:rFonts w:ascii="Palatino Linotype" w:hAnsi="Palatino Linotype" w:cs="Arial"/>
          <w:b/>
          <w:sz w:val="26"/>
          <w:szCs w:val="26"/>
          <w:lang w:val="es-ES"/>
        </w:rPr>
        <w:t xml:space="preserve">Del turno del recurso de revisión </w:t>
      </w:r>
      <w:r w:rsidR="00C81DAC" w:rsidRPr="006A11E6">
        <w:rPr>
          <w:rFonts w:ascii="Palatino Linotype" w:hAnsi="Palatino Linotype" w:cs="Arial"/>
          <w:b/>
          <w:sz w:val="26"/>
          <w:szCs w:val="26"/>
        </w:rPr>
        <w:t>17160</w:t>
      </w:r>
      <w:r w:rsidR="00DD587F" w:rsidRPr="006A11E6">
        <w:rPr>
          <w:rFonts w:ascii="Palatino Linotype" w:hAnsi="Palatino Linotype" w:cs="Arial"/>
          <w:b/>
          <w:sz w:val="26"/>
          <w:szCs w:val="26"/>
        </w:rPr>
        <w:t>/IN</w:t>
      </w:r>
      <w:r w:rsidR="00C81DAC" w:rsidRPr="006A11E6">
        <w:rPr>
          <w:rFonts w:ascii="Palatino Linotype" w:hAnsi="Palatino Linotype" w:cs="Arial"/>
          <w:b/>
          <w:sz w:val="26"/>
          <w:szCs w:val="26"/>
        </w:rPr>
        <w:t>FOEM/ICR-245</w:t>
      </w:r>
      <w:r w:rsidR="00DD587F" w:rsidRPr="006A11E6">
        <w:rPr>
          <w:rFonts w:ascii="Palatino Linotype" w:hAnsi="Palatino Linotype" w:cs="Arial"/>
          <w:b/>
          <w:sz w:val="26"/>
          <w:szCs w:val="26"/>
        </w:rPr>
        <w:t xml:space="preserve">/IP/RR/2022 </w:t>
      </w:r>
    </w:p>
    <w:p w14:paraId="724851AD"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 xml:space="preserve">El </w:t>
      </w:r>
      <w:r w:rsidR="00C81DAC" w:rsidRPr="006A11E6">
        <w:rPr>
          <w:rFonts w:ascii="Palatino Linotype" w:hAnsi="Palatino Linotype" w:cs="Arial"/>
          <w:sz w:val="24"/>
          <w:szCs w:val="24"/>
        </w:rPr>
        <w:t xml:space="preserve">diez de mayo </w:t>
      </w:r>
      <w:r w:rsidRPr="006A11E6">
        <w:rPr>
          <w:rFonts w:ascii="Palatino Linotype" w:hAnsi="Palatino Linotype" w:cs="Arial"/>
          <w:sz w:val="24"/>
          <w:szCs w:val="24"/>
        </w:rPr>
        <w:t xml:space="preserve">de dos mil veintitrés, el Sistema de Acceso a la Información Mexiquense (SAIMEX), asignó con número de expediente </w:t>
      </w:r>
      <w:r w:rsidR="00C81DAC" w:rsidRPr="006A11E6">
        <w:rPr>
          <w:rFonts w:ascii="Palatino Linotype" w:hAnsi="Palatino Linotype" w:cs="Arial"/>
          <w:b/>
          <w:sz w:val="26"/>
          <w:szCs w:val="26"/>
        </w:rPr>
        <w:t>17160/INFOEM/ICR-245</w:t>
      </w:r>
      <w:r w:rsidRPr="006A11E6">
        <w:rPr>
          <w:rFonts w:ascii="Palatino Linotype" w:hAnsi="Palatino Linotype" w:cs="Arial"/>
          <w:b/>
          <w:sz w:val="26"/>
          <w:szCs w:val="26"/>
        </w:rPr>
        <w:t>/IP/RR/2022</w:t>
      </w:r>
      <w:r w:rsidR="00C81DAC" w:rsidRPr="006A11E6">
        <w:rPr>
          <w:rFonts w:ascii="Palatino Linotype" w:hAnsi="Palatino Linotype" w:cs="Arial"/>
          <w:b/>
          <w:sz w:val="26"/>
          <w:szCs w:val="26"/>
        </w:rPr>
        <w:t xml:space="preserve"> </w:t>
      </w:r>
      <w:r w:rsidRPr="006A11E6">
        <w:rPr>
          <w:rFonts w:ascii="Palatino Linotype" w:hAnsi="Palatino Linotype" w:cs="Arial"/>
          <w:sz w:val="24"/>
          <w:szCs w:val="24"/>
        </w:rPr>
        <w:t xml:space="preserve">al medio de impugnación que nos ocupa, con base en el sistema aprobado por el Pleno de este Órgano Garante y lo turnó al Comisionado Presidente </w:t>
      </w:r>
      <w:r w:rsidRPr="006A11E6">
        <w:rPr>
          <w:rFonts w:ascii="Palatino Linotype" w:hAnsi="Palatino Linotype" w:cs="Arial"/>
          <w:b/>
          <w:sz w:val="24"/>
          <w:szCs w:val="24"/>
        </w:rPr>
        <w:t>José Martínez Vilchis</w:t>
      </w:r>
      <w:r w:rsidRPr="006A11E6">
        <w:rPr>
          <w:rFonts w:ascii="Palatino Linotype" w:hAnsi="Palatino Linotype" w:cs="Arial"/>
          <w:sz w:val="24"/>
          <w:szCs w:val="24"/>
        </w:rPr>
        <w:t>, para los efectos del artículo 185, fracción I de la Ley de Transparencia y Acceso a la Información Pública del Estado de México y Municipios.</w:t>
      </w:r>
    </w:p>
    <w:p w14:paraId="5B723C4D" w14:textId="77777777" w:rsidR="00DD587F" w:rsidRPr="006A11E6" w:rsidRDefault="00DD587F" w:rsidP="00DD587F">
      <w:pPr>
        <w:spacing w:after="0" w:line="360" w:lineRule="auto"/>
        <w:jc w:val="both"/>
        <w:rPr>
          <w:rFonts w:ascii="Palatino Linotype" w:hAnsi="Palatino Linotype" w:cs="Arial"/>
          <w:sz w:val="24"/>
          <w:szCs w:val="24"/>
        </w:rPr>
      </w:pPr>
    </w:p>
    <w:p w14:paraId="488049E3" w14:textId="77777777" w:rsidR="00DD587F" w:rsidRPr="006A11E6" w:rsidRDefault="00C22257" w:rsidP="00DD587F">
      <w:pPr>
        <w:spacing w:after="0" w:line="360" w:lineRule="auto"/>
        <w:jc w:val="both"/>
        <w:rPr>
          <w:rFonts w:ascii="Palatino Linotype" w:hAnsi="Palatino Linotype" w:cs="Arial"/>
          <w:b/>
          <w:sz w:val="24"/>
          <w:szCs w:val="24"/>
        </w:rPr>
      </w:pPr>
      <w:r w:rsidRPr="006A11E6">
        <w:rPr>
          <w:rFonts w:ascii="Palatino Linotype" w:hAnsi="Palatino Linotype" w:cs="Arial"/>
          <w:b/>
          <w:sz w:val="26"/>
          <w:szCs w:val="26"/>
        </w:rPr>
        <w:t>OCTAVO</w:t>
      </w:r>
      <w:r w:rsidR="00DD587F" w:rsidRPr="006A11E6">
        <w:rPr>
          <w:rFonts w:ascii="Palatino Linotype" w:hAnsi="Palatino Linotype" w:cs="Arial"/>
          <w:b/>
          <w:sz w:val="26"/>
          <w:szCs w:val="26"/>
        </w:rPr>
        <w:t xml:space="preserve">. De la admisión del recurso de revisión </w:t>
      </w:r>
    </w:p>
    <w:p w14:paraId="7C9F633A" w14:textId="77777777" w:rsidR="00DD587F" w:rsidRPr="006A11E6" w:rsidRDefault="00DD587F" w:rsidP="00DD587F">
      <w:pPr>
        <w:spacing w:after="0" w:line="360" w:lineRule="auto"/>
        <w:jc w:val="both"/>
        <w:rPr>
          <w:rFonts w:ascii="Palatino Linotype" w:hAnsi="Palatino Linotype" w:cs="Arial"/>
          <w:sz w:val="24"/>
          <w:szCs w:val="24"/>
          <w:lang w:val="es-ES_tradnl"/>
        </w:rPr>
      </w:pPr>
      <w:r w:rsidRPr="006A11E6">
        <w:rPr>
          <w:rFonts w:ascii="Palatino Linotype" w:hAnsi="Palatino Linotype" w:cs="Arial"/>
          <w:sz w:val="24"/>
          <w:szCs w:val="24"/>
          <w:lang w:val="es-ES_tradnl"/>
        </w:rPr>
        <w:t xml:space="preserve">El </w:t>
      </w:r>
      <w:r w:rsidR="00C81DAC" w:rsidRPr="006A11E6">
        <w:rPr>
          <w:rFonts w:ascii="Palatino Linotype" w:hAnsi="Palatino Linotype" w:cs="Arial"/>
          <w:sz w:val="24"/>
          <w:szCs w:val="24"/>
          <w:lang w:val="es-ES_tradnl"/>
        </w:rPr>
        <w:t xml:space="preserve">quince de mayo </w:t>
      </w:r>
      <w:r w:rsidRPr="006A11E6">
        <w:rPr>
          <w:rFonts w:ascii="Palatino Linotype" w:hAnsi="Palatino Linotype" w:cs="Arial"/>
          <w:sz w:val="24"/>
          <w:szCs w:val="24"/>
          <w:lang w:val="es-ES_tradnl"/>
        </w:rPr>
        <w:t xml:space="preserve">de dos mil veintitrés, se acordó la admisión del recurso de revisión </w:t>
      </w:r>
      <w:r w:rsidR="00C81DAC" w:rsidRPr="006A11E6">
        <w:rPr>
          <w:rFonts w:ascii="Palatino Linotype" w:hAnsi="Palatino Linotype" w:cs="Arial"/>
          <w:b/>
          <w:sz w:val="26"/>
          <w:szCs w:val="26"/>
        </w:rPr>
        <w:t>17160/INFOEM/ICR-245</w:t>
      </w:r>
      <w:r w:rsidRPr="006A11E6">
        <w:rPr>
          <w:rFonts w:ascii="Palatino Linotype" w:hAnsi="Palatino Linotype" w:cs="Arial"/>
          <w:b/>
          <w:sz w:val="26"/>
          <w:szCs w:val="26"/>
        </w:rPr>
        <w:t xml:space="preserve">/IP/RR/2022 </w:t>
      </w:r>
      <w:r w:rsidRPr="006A11E6">
        <w:rPr>
          <w:rFonts w:ascii="Palatino Linotype" w:hAnsi="Palatino Linotype" w:cs="Arial"/>
          <w:sz w:val="24"/>
          <w:szCs w:val="24"/>
          <w:lang w:val="es-ES_tradnl"/>
        </w:rPr>
        <w:t xml:space="preserve">interpuesto por el </w:t>
      </w:r>
      <w:r w:rsidRPr="006A11E6">
        <w:rPr>
          <w:rFonts w:ascii="Palatino Linotype" w:hAnsi="Palatino Linotype" w:cs="Arial"/>
          <w:b/>
          <w:sz w:val="24"/>
          <w:szCs w:val="24"/>
          <w:lang w:val="es-ES_tradnl"/>
        </w:rPr>
        <w:t>Recurrente</w:t>
      </w:r>
      <w:r w:rsidRPr="006A11E6">
        <w:rPr>
          <w:rFonts w:ascii="Palatino Linotype" w:hAnsi="Palatino Linotype" w:cs="Arial"/>
          <w:sz w:val="24"/>
          <w:szCs w:val="24"/>
          <w:lang w:val="es-ES_tradnl"/>
        </w:rPr>
        <w:t xml:space="preserve"> en contra del </w:t>
      </w:r>
      <w:r w:rsidRPr="006A11E6">
        <w:rPr>
          <w:rFonts w:ascii="Palatino Linotype" w:hAnsi="Palatino Linotype" w:cs="Arial"/>
          <w:b/>
          <w:sz w:val="24"/>
          <w:szCs w:val="24"/>
          <w:lang w:val="es-ES_tradnl"/>
        </w:rPr>
        <w:t>Sujeto</w:t>
      </w:r>
      <w:r w:rsidRPr="006A11E6">
        <w:rPr>
          <w:rFonts w:ascii="Palatino Linotype" w:hAnsi="Palatino Linotype" w:cs="Arial"/>
          <w:sz w:val="24"/>
          <w:szCs w:val="24"/>
          <w:lang w:val="es-ES_tradnl"/>
        </w:rPr>
        <w:t xml:space="preserve"> </w:t>
      </w:r>
      <w:r w:rsidRPr="006A11E6">
        <w:rPr>
          <w:rFonts w:ascii="Palatino Linotype" w:hAnsi="Palatino Linotype" w:cs="Arial"/>
          <w:b/>
          <w:sz w:val="24"/>
          <w:szCs w:val="24"/>
          <w:lang w:val="es-ES_tradnl"/>
        </w:rPr>
        <w:t>Obligado</w:t>
      </w:r>
      <w:r w:rsidRPr="006A11E6">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w:t>
      </w:r>
      <w:r w:rsidRPr="006A11E6">
        <w:rPr>
          <w:rFonts w:ascii="Palatino Linotype" w:hAnsi="Palatino Linotype" w:cs="Arial"/>
          <w:sz w:val="24"/>
          <w:szCs w:val="24"/>
          <w:lang w:val="es-ES_tradnl"/>
        </w:rPr>
        <w:lastRenderedPageBreak/>
        <w:t xml:space="preserve">Información Mexiquense (SAIMEX), en el que se les otorgó un plazo de siete días hábiles posteriores a la misma, para que manifestaran lo que a su derecho conviniera y formularan alegatos. </w:t>
      </w:r>
    </w:p>
    <w:p w14:paraId="09AE9924" w14:textId="77777777" w:rsidR="00DD587F" w:rsidRPr="006A11E6" w:rsidRDefault="00DD587F" w:rsidP="00DD587F">
      <w:pPr>
        <w:spacing w:after="0" w:line="360" w:lineRule="auto"/>
        <w:jc w:val="both"/>
        <w:rPr>
          <w:rFonts w:ascii="Palatino Linotype" w:hAnsi="Palatino Linotype" w:cs="Arial"/>
          <w:sz w:val="24"/>
          <w:szCs w:val="24"/>
          <w:lang w:val="es-ES_tradnl"/>
        </w:rPr>
      </w:pPr>
    </w:p>
    <w:p w14:paraId="0A35B14E" w14:textId="77777777" w:rsidR="00DD587F" w:rsidRPr="006A11E6" w:rsidRDefault="00C22257" w:rsidP="00DD587F">
      <w:pPr>
        <w:spacing w:after="0" w:line="360" w:lineRule="auto"/>
        <w:jc w:val="both"/>
        <w:rPr>
          <w:rFonts w:ascii="Palatino Linotype" w:hAnsi="Palatino Linotype" w:cs="Arial"/>
          <w:b/>
          <w:sz w:val="24"/>
          <w:szCs w:val="24"/>
          <w:lang w:val="es-ES_tradnl"/>
        </w:rPr>
      </w:pPr>
      <w:r w:rsidRPr="006A11E6">
        <w:rPr>
          <w:rFonts w:ascii="Palatino Linotype" w:hAnsi="Palatino Linotype" w:cs="Arial"/>
          <w:b/>
          <w:sz w:val="24"/>
          <w:szCs w:val="24"/>
          <w:lang w:val="es-ES_tradnl"/>
        </w:rPr>
        <w:t>NOVENO</w:t>
      </w:r>
      <w:r w:rsidR="00DD587F" w:rsidRPr="006A11E6">
        <w:rPr>
          <w:rFonts w:ascii="Palatino Linotype" w:hAnsi="Palatino Linotype" w:cs="Arial"/>
          <w:b/>
          <w:sz w:val="24"/>
          <w:szCs w:val="24"/>
          <w:lang w:val="es-ES_tradnl"/>
        </w:rPr>
        <w:t>. De la etapa</w:t>
      </w:r>
      <w:r w:rsidRPr="006A11E6">
        <w:rPr>
          <w:rFonts w:ascii="Palatino Linotype" w:hAnsi="Palatino Linotype" w:cs="Arial"/>
          <w:b/>
          <w:sz w:val="24"/>
          <w:szCs w:val="24"/>
          <w:lang w:val="es-ES_tradnl"/>
        </w:rPr>
        <w:t xml:space="preserve"> de manifestaciones y cierre de la instrucción</w:t>
      </w:r>
      <w:r w:rsidR="00DD587F" w:rsidRPr="006A11E6">
        <w:rPr>
          <w:rFonts w:ascii="Palatino Linotype" w:hAnsi="Palatino Linotype" w:cs="Arial"/>
          <w:b/>
          <w:sz w:val="24"/>
          <w:szCs w:val="24"/>
          <w:lang w:val="es-ES_tradnl"/>
        </w:rPr>
        <w:t>.</w:t>
      </w:r>
    </w:p>
    <w:p w14:paraId="48DFABCB" w14:textId="77777777" w:rsidR="00C22257" w:rsidRPr="006A11E6" w:rsidRDefault="00C22257" w:rsidP="00C22257">
      <w:pPr>
        <w:spacing w:after="0" w:line="360" w:lineRule="auto"/>
        <w:jc w:val="both"/>
        <w:rPr>
          <w:rFonts w:ascii="Palatino Linotype" w:hAnsi="Palatino Linotype" w:cs="Arial"/>
          <w:sz w:val="24"/>
          <w:szCs w:val="24"/>
          <w:lang w:val="es-ES_tradnl"/>
        </w:rPr>
      </w:pPr>
      <w:r w:rsidRPr="006A11E6">
        <w:rPr>
          <w:rFonts w:ascii="Palatino Linotype" w:hAnsi="Palatino Linotype" w:cs="Arial"/>
          <w:sz w:val="24"/>
          <w:szCs w:val="24"/>
          <w:lang w:val="es-ES_tradnl"/>
        </w:rPr>
        <w:t>Cabe señalar, que las partes fueron omisas en emitir manifestaciones o alegatos, por lo que en fecha seis de junio 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14:paraId="47CE55E6" w14:textId="77777777" w:rsidR="00DD587F" w:rsidRPr="006A11E6" w:rsidRDefault="00DD587F" w:rsidP="00DD587F">
      <w:pPr>
        <w:spacing w:after="0" w:line="360" w:lineRule="auto"/>
        <w:jc w:val="both"/>
        <w:rPr>
          <w:rFonts w:ascii="Palatino Linotype" w:hAnsi="Palatino Linotype" w:cs="Arial"/>
          <w:sz w:val="24"/>
          <w:szCs w:val="24"/>
          <w:lang w:val="es-ES_tradnl"/>
        </w:rPr>
      </w:pPr>
    </w:p>
    <w:p w14:paraId="51C23983" w14:textId="77777777" w:rsidR="00DD587F" w:rsidRPr="006A11E6" w:rsidRDefault="00C22257" w:rsidP="00DD587F">
      <w:pPr>
        <w:spacing w:after="0" w:line="360" w:lineRule="auto"/>
        <w:jc w:val="both"/>
        <w:rPr>
          <w:rFonts w:ascii="Palatino Linotype" w:hAnsi="Palatino Linotype" w:cs="Arial"/>
          <w:b/>
          <w:sz w:val="26"/>
          <w:szCs w:val="26"/>
        </w:rPr>
      </w:pPr>
      <w:r w:rsidRPr="006A11E6">
        <w:rPr>
          <w:rFonts w:ascii="Palatino Linotype" w:hAnsi="Palatino Linotype" w:cs="Arial"/>
          <w:b/>
          <w:sz w:val="26"/>
          <w:szCs w:val="26"/>
        </w:rPr>
        <w:t>DÉCIMO</w:t>
      </w:r>
      <w:r w:rsidR="00DD587F" w:rsidRPr="006A11E6">
        <w:rPr>
          <w:rFonts w:ascii="Palatino Linotype" w:hAnsi="Palatino Linotype" w:cs="Arial"/>
          <w:b/>
          <w:sz w:val="26"/>
          <w:szCs w:val="26"/>
        </w:rPr>
        <w:t>. De la ampliación del término para emitir resolución.</w:t>
      </w:r>
    </w:p>
    <w:p w14:paraId="23253214" w14:textId="77777777" w:rsidR="00DD587F" w:rsidRPr="006A11E6" w:rsidRDefault="00DD587F" w:rsidP="00DD587F">
      <w:pPr>
        <w:spacing w:after="0" w:line="360" w:lineRule="auto"/>
        <w:jc w:val="both"/>
        <w:rPr>
          <w:rFonts w:ascii="Palatino Linotype" w:hAnsi="Palatino Linotype" w:cs="Arial"/>
          <w:sz w:val="24"/>
          <w:szCs w:val="24"/>
        </w:rPr>
      </w:pPr>
      <w:r w:rsidRPr="006A11E6">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C81DAC" w:rsidRPr="006A11E6">
        <w:rPr>
          <w:rFonts w:ascii="Palatino Linotype" w:hAnsi="Palatino Linotype" w:cs="Arial"/>
          <w:sz w:val="24"/>
          <w:szCs w:val="24"/>
        </w:rPr>
        <w:t xml:space="preserve">veintiocho de junio </w:t>
      </w:r>
      <w:r w:rsidRPr="006A11E6">
        <w:rPr>
          <w:rFonts w:ascii="Palatino Linotype" w:hAnsi="Palatino Linotype" w:cs="Arial"/>
          <w:sz w:val="24"/>
          <w:szCs w:val="24"/>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4FEFAC9" w14:textId="77777777" w:rsidR="00DD587F" w:rsidRPr="006A11E6" w:rsidRDefault="00DD587F" w:rsidP="00DD587F">
      <w:pPr>
        <w:spacing w:after="0" w:line="360" w:lineRule="auto"/>
        <w:jc w:val="both"/>
        <w:rPr>
          <w:rFonts w:ascii="Palatino Linotype" w:hAnsi="Palatino Linotype" w:cs="Arial"/>
          <w:sz w:val="24"/>
          <w:szCs w:val="24"/>
        </w:rPr>
      </w:pPr>
    </w:p>
    <w:p w14:paraId="24E7E2D6"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F60235"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 xml:space="preserve"> </w:t>
      </w:r>
    </w:p>
    <w:p w14:paraId="6EBF9C9E"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E852DB"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BF8655"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 xml:space="preserve"> </w:t>
      </w:r>
    </w:p>
    <w:p w14:paraId="6C913E7F"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178341"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 xml:space="preserve"> </w:t>
      </w:r>
    </w:p>
    <w:p w14:paraId="7013047D"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lastRenderedPageBreak/>
        <w:t>Por ello, excepcionalmente, si un asunto es resuelto con posterioridad a los plazos señalados por la norma debe analizarse la razonabilidad del tiempo necesario para su resolución, atentos a los siguientes criterios:</w:t>
      </w:r>
    </w:p>
    <w:p w14:paraId="24A0323D"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p>
    <w:p w14:paraId="30B40755" w14:textId="77777777" w:rsidR="00DD587F" w:rsidRPr="006A11E6" w:rsidRDefault="00DD587F" w:rsidP="00DD587F">
      <w:pPr>
        <w:spacing w:after="0" w:line="360" w:lineRule="auto"/>
        <w:ind w:left="993" w:right="49" w:hanging="426"/>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b/>
          <w:sz w:val="24"/>
          <w:szCs w:val="24"/>
          <w:lang w:val="es-ES" w:eastAsia="es-ES"/>
        </w:rPr>
        <w:t xml:space="preserve">a) </w:t>
      </w:r>
      <w:r w:rsidRPr="006A11E6">
        <w:rPr>
          <w:rFonts w:ascii="Palatino Linotype" w:eastAsia="Times New Roman" w:hAnsi="Palatino Linotype" w:cs="Arial"/>
          <w:b/>
          <w:sz w:val="24"/>
          <w:szCs w:val="24"/>
          <w:lang w:val="es-ES" w:eastAsia="es-ES"/>
        </w:rPr>
        <w:tab/>
        <w:t>Complejidad del asunto:</w:t>
      </w:r>
      <w:r w:rsidRPr="006A11E6">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058A1210" w14:textId="77777777" w:rsidR="00DD587F" w:rsidRPr="006A11E6" w:rsidRDefault="00DD587F" w:rsidP="00DD587F">
      <w:pPr>
        <w:spacing w:after="0" w:line="360" w:lineRule="auto"/>
        <w:ind w:left="993" w:right="49" w:hanging="426"/>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b/>
          <w:sz w:val="24"/>
          <w:szCs w:val="24"/>
          <w:lang w:val="es-ES" w:eastAsia="es-ES"/>
        </w:rPr>
        <w:t xml:space="preserve">b) </w:t>
      </w:r>
      <w:r w:rsidRPr="006A11E6">
        <w:rPr>
          <w:rFonts w:ascii="Palatino Linotype" w:eastAsia="Times New Roman" w:hAnsi="Palatino Linotype" w:cs="Arial"/>
          <w:b/>
          <w:sz w:val="24"/>
          <w:szCs w:val="24"/>
          <w:lang w:val="es-ES" w:eastAsia="es-ES"/>
        </w:rPr>
        <w:tab/>
        <w:t>Actividad Procesal del interesado:</w:t>
      </w:r>
      <w:r w:rsidRPr="006A11E6">
        <w:rPr>
          <w:rFonts w:ascii="Palatino Linotype" w:eastAsia="Times New Roman" w:hAnsi="Palatino Linotype" w:cs="Arial"/>
          <w:sz w:val="24"/>
          <w:szCs w:val="24"/>
          <w:lang w:val="es-ES" w:eastAsia="es-ES"/>
        </w:rPr>
        <w:t xml:space="preserve"> Acciones u omisiones del interesado.</w:t>
      </w:r>
    </w:p>
    <w:p w14:paraId="1CE39C8C" w14:textId="77777777" w:rsidR="00DD587F" w:rsidRPr="006A11E6" w:rsidRDefault="00DD587F" w:rsidP="00DD587F">
      <w:pPr>
        <w:spacing w:after="0" w:line="360" w:lineRule="auto"/>
        <w:ind w:left="993" w:right="49" w:hanging="426"/>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b/>
          <w:sz w:val="24"/>
          <w:szCs w:val="24"/>
          <w:lang w:val="es-ES" w:eastAsia="es-ES"/>
        </w:rPr>
        <w:t xml:space="preserve">c) </w:t>
      </w:r>
      <w:r w:rsidRPr="006A11E6">
        <w:rPr>
          <w:rFonts w:ascii="Palatino Linotype" w:eastAsia="Times New Roman" w:hAnsi="Palatino Linotype" w:cs="Arial"/>
          <w:b/>
          <w:sz w:val="24"/>
          <w:szCs w:val="24"/>
          <w:lang w:val="es-ES" w:eastAsia="es-ES"/>
        </w:rPr>
        <w:tab/>
        <w:t>Conducta de la Autoridad:</w:t>
      </w:r>
      <w:r w:rsidRPr="006A11E6">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62F96B31" w14:textId="77777777" w:rsidR="00DD587F" w:rsidRPr="006A11E6" w:rsidRDefault="00DD587F" w:rsidP="00DD587F">
      <w:pPr>
        <w:spacing w:after="0" w:line="360" w:lineRule="auto"/>
        <w:ind w:left="993" w:right="49" w:hanging="426"/>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b/>
          <w:sz w:val="24"/>
          <w:szCs w:val="24"/>
          <w:lang w:val="es-ES" w:eastAsia="es-ES"/>
        </w:rPr>
        <w:t xml:space="preserve">d) </w:t>
      </w:r>
      <w:r w:rsidRPr="006A11E6">
        <w:rPr>
          <w:rFonts w:ascii="Palatino Linotype" w:eastAsia="Times New Roman" w:hAnsi="Palatino Linotype" w:cs="Arial"/>
          <w:b/>
          <w:sz w:val="24"/>
          <w:szCs w:val="24"/>
          <w:lang w:val="es-ES" w:eastAsia="es-ES"/>
        </w:rPr>
        <w:tab/>
        <w:t>La afectación generada en la situación jurídica de la persona involucrada en el proceso:</w:t>
      </w:r>
      <w:r w:rsidRPr="006A11E6">
        <w:rPr>
          <w:rFonts w:ascii="Palatino Linotype" w:eastAsia="Times New Roman" w:hAnsi="Palatino Linotype" w:cs="Arial"/>
          <w:sz w:val="24"/>
          <w:szCs w:val="24"/>
          <w:lang w:val="es-ES" w:eastAsia="es-ES"/>
        </w:rPr>
        <w:t xml:space="preserve"> Violación a sus derechos humanos.</w:t>
      </w:r>
    </w:p>
    <w:p w14:paraId="159229D2"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p>
    <w:p w14:paraId="235B09CC"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93ACE6"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p>
    <w:p w14:paraId="1A5CF2EF"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6A11E6">
        <w:rPr>
          <w:rFonts w:ascii="Palatino Linotype" w:eastAsia="Times New Roman" w:hAnsi="Palatino Linotype" w:cs="Arial"/>
          <w:sz w:val="24"/>
          <w:szCs w:val="24"/>
          <w:lang w:val="es-ES" w:eastAsia="es-ES"/>
        </w:rPr>
        <w:lastRenderedPageBreak/>
        <w:t>PRESUPUESTO QUE CONSIDERÓ EL LEGISLADOR AL FIJARLOS Y LAS CARACTERÍSTICAS DEL CASO.”, visible en la Gaceta del Seminario Judicial de la Federación con el registro digital 205635.</w:t>
      </w:r>
    </w:p>
    <w:p w14:paraId="7AE08C91"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p>
    <w:p w14:paraId="137D9D66"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0C1C4F"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p>
    <w:p w14:paraId="4CA6DCC3"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38700B6B"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 xml:space="preserve"> </w:t>
      </w:r>
    </w:p>
    <w:p w14:paraId="3D72D4E6"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795E4AE7"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 xml:space="preserve"> </w:t>
      </w:r>
    </w:p>
    <w:p w14:paraId="316C6778"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lastRenderedPageBreak/>
        <w:t>“PLAZO RAZONABLE PARA RESOLVER. CONCEPTO Y ELEMENTOS QUE LO INTEGRAN A LA LUZ DEL DERECHO INTERNACIONAL DE LOS DERECHOS HUMANOS.”, visible en el Seminario Judicial de la Federación y su gaceta, con el registro digital 2002350.</w:t>
      </w:r>
    </w:p>
    <w:p w14:paraId="26CA41A2"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p>
    <w:p w14:paraId="3844B1ED" w14:textId="77777777" w:rsidR="00DD587F" w:rsidRPr="006A11E6" w:rsidRDefault="00DD587F" w:rsidP="00DD587F">
      <w:pPr>
        <w:spacing w:after="0" w:line="360" w:lineRule="auto"/>
        <w:ind w:right="49"/>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3E6AB547" w14:textId="77777777" w:rsidR="00DD587F" w:rsidRPr="006A11E6" w:rsidRDefault="00DD587F" w:rsidP="00DD587F">
      <w:pPr>
        <w:spacing w:after="0" w:line="360" w:lineRule="auto"/>
        <w:jc w:val="both"/>
        <w:rPr>
          <w:rFonts w:ascii="Palatino Linotype" w:hAnsi="Palatino Linotype" w:cs="Arial"/>
          <w:sz w:val="24"/>
          <w:szCs w:val="24"/>
          <w:lang w:val="es-ES_tradnl"/>
        </w:rPr>
      </w:pPr>
    </w:p>
    <w:p w14:paraId="1EB93904" w14:textId="77777777" w:rsidR="00DD587F" w:rsidRPr="006A11E6" w:rsidRDefault="00DD587F" w:rsidP="00DD587F">
      <w:pPr>
        <w:spacing w:after="0" w:line="360" w:lineRule="auto"/>
        <w:jc w:val="both"/>
        <w:rPr>
          <w:rFonts w:ascii="Palatino Linotype" w:hAnsi="Palatino Linotype" w:cs="Arial"/>
          <w:sz w:val="24"/>
          <w:szCs w:val="24"/>
        </w:rPr>
      </w:pPr>
    </w:p>
    <w:p w14:paraId="42CD0839" w14:textId="77777777" w:rsidR="00DD587F" w:rsidRPr="006A11E6" w:rsidRDefault="00DD587F" w:rsidP="00DD587F">
      <w:pPr>
        <w:spacing w:after="0" w:line="360" w:lineRule="auto"/>
        <w:jc w:val="center"/>
        <w:rPr>
          <w:rFonts w:ascii="Palatino Linotype" w:hAnsi="Palatino Linotype" w:cs="Arial"/>
          <w:b/>
          <w:sz w:val="28"/>
        </w:rPr>
      </w:pPr>
      <w:r w:rsidRPr="006A11E6">
        <w:rPr>
          <w:rFonts w:ascii="Palatino Linotype" w:hAnsi="Palatino Linotype" w:cs="Arial"/>
          <w:b/>
          <w:sz w:val="28"/>
        </w:rPr>
        <w:t xml:space="preserve">C O N S I D E R A N D O </w:t>
      </w:r>
    </w:p>
    <w:p w14:paraId="4EC14E45" w14:textId="77777777" w:rsidR="00DD587F" w:rsidRPr="006A11E6" w:rsidRDefault="00DD587F" w:rsidP="00DD587F">
      <w:pPr>
        <w:spacing w:after="0" w:line="360" w:lineRule="auto"/>
        <w:jc w:val="center"/>
        <w:rPr>
          <w:rFonts w:ascii="Palatino Linotype" w:hAnsi="Palatino Linotype" w:cs="Arial"/>
          <w:b/>
          <w:sz w:val="28"/>
        </w:rPr>
      </w:pPr>
    </w:p>
    <w:p w14:paraId="68E4858E" w14:textId="77777777" w:rsidR="00DD587F" w:rsidRPr="006A11E6" w:rsidRDefault="00DD587F" w:rsidP="00DD587F">
      <w:pPr>
        <w:spacing w:line="360" w:lineRule="auto"/>
        <w:jc w:val="both"/>
        <w:rPr>
          <w:rFonts w:ascii="Palatino Linotype" w:hAnsi="Palatino Linotype" w:cs="Arial"/>
        </w:rPr>
      </w:pPr>
      <w:r w:rsidRPr="006A11E6">
        <w:rPr>
          <w:rFonts w:ascii="Palatino Linotype" w:hAnsi="Palatino Linotype" w:cs="Arial"/>
          <w:b/>
          <w:sz w:val="28"/>
        </w:rPr>
        <w:t>PRIMERO.</w:t>
      </w:r>
      <w:r w:rsidRPr="006A11E6">
        <w:rPr>
          <w:rFonts w:ascii="Palatino Linotype" w:hAnsi="Palatino Linotype" w:cs="Arial"/>
          <w:b/>
        </w:rPr>
        <w:t xml:space="preserve"> </w:t>
      </w:r>
      <w:r w:rsidRPr="006A11E6">
        <w:rPr>
          <w:rFonts w:ascii="Palatino Linotype" w:hAnsi="Palatino Linotype" w:cs="Arial"/>
          <w:b/>
          <w:sz w:val="28"/>
          <w:szCs w:val="28"/>
        </w:rPr>
        <w:t>De la competencia</w:t>
      </w:r>
      <w:r w:rsidRPr="006A11E6">
        <w:rPr>
          <w:rFonts w:ascii="Palatino Linotype" w:hAnsi="Palatino Linotype" w:cs="Arial"/>
          <w:sz w:val="28"/>
          <w:szCs w:val="28"/>
        </w:rPr>
        <w:t>.</w:t>
      </w:r>
    </w:p>
    <w:p w14:paraId="21E48648" w14:textId="77777777" w:rsidR="00DD587F" w:rsidRPr="006A11E6" w:rsidRDefault="00DD587F" w:rsidP="00DD587F">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6A11E6">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w:t>
      </w:r>
      <w:r w:rsidR="00C22257" w:rsidRPr="006A11E6">
        <w:rPr>
          <w:rFonts w:ascii="Palatino Linotype" w:hAnsi="Palatino Linotype" w:cs="Arial"/>
          <w:color w:val="222222"/>
          <w:shd w:val="clear" w:color="auto" w:fill="FFFFFF"/>
          <w:lang w:val="es-MX" w:eastAsia="es-MX"/>
        </w:rPr>
        <w:t>s; 5, párrafos trigésimo segundo y trigésimo tercero</w:t>
      </w:r>
      <w:r w:rsidRPr="006A11E6">
        <w:rPr>
          <w:rFonts w:ascii="Palatino Linotype" w:hAnsi="Palatino Linotype" w:cs="Arial"/>
          <w:color w:val="222222"/>
          <w:shd w:val="clear" w:color="auto" w:fill="FFFFFF"/>
          <w:lang w:val="es-MX" w:eastAsia="es-MX"/>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w:t>
      </w:r>
      <w:r w:rsidRPr="006A11E6">
        <w:rPr>
          <w:rFonts w:ascii="Palatino Linotype" w:hAnsi="Palatino Linotype" w:cs="Arial"/>
          <w:color w:val="222222"/>
          <w:shd w:val="clear" w:color="auto" w:fill="FFFFFF"/>
          <w:lang w:val="es-MX" w:eastAsia="es-MX"/>
        </w:rPr>
        <w:lastRenderedPageBreak/>
        <w:t>Acceso a la Información Pública y Protección de Datos Personales del Estado de México y Municipios.</w:t>
      </w:r>
    </w:p>
    <w:p w14:paraId="57004EFF" w14:textId="77777777" w:rsidR="00DD587F" w:rsidRPr="006A11E6" w:rsidRDefault="00DD587F" w:rsidP="00DD587F">
      <w:pPr>
        <w:pStyle w:val="Prrafodelista"/>
        <w:autoSpaceDE w:val="0"/>
        <w:autoSpaceDN w:val="0"/>
        <w:adjustRightInd w:val="0"/>
        <w:spacing w:line="360" w:lineRule="auto"/>
        <w:ind w:left="0"/>
        <w:jc w:val="both"/>
        <w:rPr>
          <w:rFonts w:ascii="Palatino Linotype" w:hAnsi="Palatino Linotype" w:cs="Arial"/>
          <w:b/>
        </w:rPr>
      </w:pPr>
    </w:p>
    <w:p w14:paraId="41E37A7B" w14:textId="77777777" w:rsidR="00DD587F" w:rsidRPr="006A11E6" w:rsidRDefault="00DD587F" w:rsidP="00DD587F">
      <w:pPr>
        <w:pStyle w:val="Prrafodelista"/>
        <w:autoSpaceDE w:val="0"/>
        <w:autoSpaceDN w:val="0"/>
        <w:adjustRightInd w:val="0"/>
        <w:spacing w:line="360" w:lineRule="auto"/>
        <w:ind w:left="0"/>
        <w:jc w:val="both"/>
        <w:rPr>
          <w:rFonts w:ascii="Palatino Linotype" w:hAnsi="Palatino Linotype" w:cs="Arial"/>
          <w:b/>
        </w:rPr>
      </w:pPr>
      <w:r w:rsidRPr="006A11E6">
        <w:rPr>
          <w:rFonts w:ascii="Palatino Linotype" w:hAnsi="Palatino Linotype" w:cs="Arial"/>
          <w:b/>
          <w:sz w:val="28"/>
        </w:rPr>
        <w:t>SEGUNDO</w:t>
      </w:r>
      <w:r w:rsidRPr="006A11E6">
        <w:rPr>
          <w:rFonts w:ascii="Palatino Linotype" w:hAnsi="Palatino Linotype" w:cs="Arial"/>
          <w:b/>
        </w:rPr>
        <w:t xml:space="preserve">. </w:t>
      </w:r>
      <w:r w:rsidRPr="006A11E6">
        <w:rPr>
          <w:rFonts w:ascii="Palatino Linotype" w:hAnsi="Palatino Linotype" w:cs="Arial"/>
          <w:b/>
          <w:sz w:val="28"/>
          <w:szCs w:val="28"/>
        </w:rPr>
        <w:t>Sobre los alcances del recurso de revisión.</w:t>
      </w:r>
      <w:r w:rsidRPr="006A11E6">
        <w:rPr>
          <w:rFonts w:ascii="Palatino Linotype" w:hAnsi="Palatino Linotype" w:cs="Arial"/>
          <w:b/>
        </w:rPr>
        <w:t xml:space="preserve"> </w:t>
      </w:r>
    </w:p>
    <w:p w14:paraId="4EDEA576" w14:textId="77777777" w:rsidR="00DD587F" w:rsidRPr="006A11E6" w:rsidRDefault="00DD587F" w:rsidP="00DD587F">
      <w:pPr>
        <w:pStyle w:val="Prrafodelista"/>
        <w:autoSpaceDE w:val="0"/>
        <w:autoSpaceDN w:val="0"/>
        <w:adjustRightInd w:val="0"/>
        <w:spacing w:line="360" w:lineRule="auto"/>
        <w:ind w:left="0"/>
        <w:jc w:val="both"/>
        <w:rPr>
          <w:rFonts w:ascii="Palatino Linotype" w:hAnsi="Palatino Linotype" w:cs="Arial"/>
        </w:rPr>
      </w:pPr>
      <w:r w:rsidRPr="006A11E6">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E7E8578" w14:textId="77777777" w:rsidR="00DD587F" w:rsidRPr="006A11E6" w:rsidRDefault="00DD587F" w:rsidP="00DD587F">
      <w:pPr>
        <w:pStyle w:val="Prrafodelista"/>
        <w:autoSpaceDE w:val="0"/>
        <w:autoSpaceDN w:val="0"/>
        <w:adjustRightInd w:val="0"/>
        <w:spacing w:line="360" w:lineRule="auto"/>
        <w:ind w:left="0"/>
        <w:jc w:val="both"/>
        <w:rPr>
          <w:rFonts w:ascii="Palatino Linotype" w:hAnsi="Palatino Linotype" w:cs="Arial"/>
        </w:rPr>
      </w:pPr>
    </w:p>
    <w:p w14:paraId="66D3321F" w14:textId="77777777" w:rsidR="00DD587F" w:rsidRPr="006A11E6" w:rsidRDefault="00DD587F" w:rsidP="00DD587F">
      <w:pPr>
        <w:spacing w:line="360" w:lineRule="auto"/>
        <w:jc w:val="both"/>
        <w:rPr>
          <w:rFonts w:ascii="Palatino Linotype" w:eastAsia="Calibri" w:hAnsi="Palatino Linotype" w:cs="Arial"/>
          <w:sz w:val="28"/>
          <w:szCs w:val="28"/>
        </w:rPr>
      </w:pPr>
      <w:r w:rsidRPr="006A11E6">
        <w:rPr>
          <w:rFonts w:ascii="Palatino Linotype" w:eastAsia="Calibri" w:hAnsi="Palatino Linotype" w:cs="Arial"/>
          <w:b/>
          <w:sz w:val="28"/>
          <w:szCs w:val="28"/>
        </w:rPr>
        <w:t>TERCERO. Cuestiones de previo y especial pronunciamiento.</w:t>
      </w:r>
    </w:p>
    <w:p w14:paraId="4F36ADD2" w14:textId="77777777" w:rsidR="00DD587F" w:rsidRPr="006A11E6" w:rsidRDefault="00DD587F" w:rsidP="00DD587F">
      <w:pPr>
        <w:spacing w:line="360" w:lineRule="auto"/>
        <w:jc w:val="both"/>
        <w:rPr>
          <w:rFonts w:ascii="Palatino Linotype" w:eastAsia="Times New Roman" w:hAnsi="Palatino Linotype" w:cs="Times New Roman"/>
          <w:sz w:val="24"/>
          <w:szCs w:val="24"/>
        </w:rPr>
      </w:pPr>
      <w:r w:rsidRPr="006A11E6">
        <w:rPr>
          <w:rFonts w:ascii="Palatino Linotype" w:hAnsi="Palatino Linotype" w:cs="Arial"/>
        </w:rPr>
        <w:t xml:space="preserve">El Recurso de Revisión en estudio contiene los elementos normativos de validez exigidos en </w:t>
      </w:r>
      <w:r w:rsidRPr="006A11E6">
        <w:rPr>
          <w:rFonts w:ascii="Palatino Linotype" w:hAnsi="Palatino Linotype"/>
        </w:rPr>
        <w:t xml:space="preserve">la Ley de Transparencia y </w:t>
      </w:r>
      <w:r w:rsidRPr="006A11E6">
        <w:rPr>
          <w:rFonts w:ascii="Palatino Linotype" w:hAnsi="Palatino Linotype" w:cs="Arial"/>
          <w:lang w:val="es-ES_tradnl"/>
        </w:rPr>
        <w:t>Acceso a la Información Pública del Estado de México y Municipios</w:t>
      </w:r>
      <w:r w:rsidRPr="006A11E6">
        <w:rPr>
          <w:rFonts w:ascii="Palatino Linotype" w:hAnsi="Palatino Linotype"/>
        </w:rPr>
        <w:t>, establecidos en el artículo 180 que enuncia:</w:t>
      </w:r>
    </w:p>
    <w:p w14:paraId="7FB733F7" w14:textId="77777777" w:rsidR="00DD587F" w:rsidRPr="006A11E6" w:rsidRDefault="00DD587F" w:rsidP="00DD587F">
      <w:pPr>
        <w:spacing w:line="360" w:lineRule="auto"/>
        <w:jc w:val="both"/>
        <w:rPr>
          <w:rFonts w:ascii="Palatino Linotype" w:hAnsi="Palatino Linotype"/>
          <w:sz w:val="18"/>
        </w:rPr>
      </w:pPr>
    </w:p>
    <w:p w14:paraId="32519367"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b/>
          <w:i/>
        </w:rPr>
        <w:t xml:space="preserve">“Artículo 180. </w:t>
      </w:r>
      <w:r w:rsidRPr="006A11E6">
        <w:rPr>
          <w:rFonts w:ascii="Palatino Linotype" w:hAnsi="Palatino Linotype" w:cs="Arial"/>
          <w:i/>
        </w:rPr>
        <w:t>El recurso de revisión contendrá:</w:t>
      </w:r>
    </w:p>
    <w:p w14:paraId="7E9095E1"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i/>
        </w:rPr>
        <w:t>I. El sujeto obligado ante la cual se presentó la solicitud;</w:t>
      </w:r>
    </w:p>
    <w:p w14:paraId="0BD2D32D"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b/>
          <w:i/>
        </w:rPr>
        <w:t>II. El nombre del solicitante que recurre</w:t>
      </w:r>
      <w:r w:rsidRPr="006A11E6">
        <w:rPr>
          <w:rFonts w:ascii="Palatino Linotype" w:hAnsi="Palatino Linotype" w:cs="Arial"/>
          <w:i/>
        </w:rPr>
        <w:t xml:space="preserve"> o de su representante y, en su caso, del tercero interesado, así como la dirección o medio que señale para recibir notificaciones;</w:t>
      </w:r>
    </w:p>
    <w:p w14:paraId="31FC1155"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i/>
        </w:rPr>
        <w:t>III. El número de folio de respuesta de la solicitud de acceso;</w:t>
      </w:r>
    </w:p>
    <w:p w14:paraId="2E31B542"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i/>
        </w:rPr>
        <w:t>IV. La fecha en que fue notificada la respuesta al solicitante o tuvo conocimiento del acto reclamado, o de presentación de la solicitud, en caso de falta de respuesta;</w:t>
      </w:r>
    </w:p>
    <w:p w14:paraId="4403747A"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i/>
        </w:rPr>
        <w:lastRenderedPageBreak/>
        <w:t>V. El acto que se recurre;</w:t>
      </w:r>
    </w:p>
    <w:p w14:paraId="53983B72"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i/>
        </w:rPr>
        <w:t>VI. Las razones o motivos de inconformidad;</w:t>
      </w:r>
    </w:p>
    <w:p w14:paraId="122D5710"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i/>
        </w:rPr>
        <w:t>VII. La copia de la respuesta que se impugna y, en su caso, de la notificación correspondiente, en el caso de respuesta de la solicitud; y</w:t>
      </w:r>
    </w:p>
    <w:p w14:paraId="7071C1B3"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i/>
        </w:rPr>
        <w:t>VIII. Firma del recurrente, en su caso, cuando se presente por escrito, requisito sin el cual se dará trámite al recurso.</w:t>
      </w:r>
    </w:p>
    <w:p w14:paraId="5720D567" w14:textId="77777777" w:rsidR="00DD587F" w:rsidRPr="006A11E6" w:rsidRDefault="00DD587F" w:rsidP="00DD587F">
      <w:pPr>
        <w:ind w:left="567" w:right="616"/>
        <w:jc w:val="both"/>
        <w:rPr>
          <w:rFonts w:ascii="Palatino Linotype" w:hAnsi="Palatino Linotype" w:cs="Arial"/>
          <w:i/>
        </w:rPr>
      </w:pPr>
    </w:p>
    <w:p w14:paraId="21A7C77B"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i/>
        </w:rPr>
        <w:t>Adicionalmente, se podrán anexar las pruebas y demás elementos que considere procedentes someter a juicio del Instituto.</w:t>
      </w:r>
    </w:p>
    <w:p w14:paraId="3C9C8536" w14:textId="77777777" w:rsidR="00DD587F" w:rsidRPr="006A11E6" w:rsidRDefault="00DD587F" w:rsidP="00DD587F">
      <w:pPr>
        <w:ind w:left="567" w:right="616"/>
        <w:jc w:val="both"/>
        <w:rPr>
          <w:rFonts w:ascii="Palatino Linotype" w:hAnsi="Palatino Linotype" w:cs="Arial"/>
          <w:i/>
        </w:rPr>
      </w:pPr>
    </w:p>
    <w:p w14:paraId="5BAF460D"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i/>
        </w:rPr>
        <w:t>En ningún caso será necesario que el particular ratifique el recurso de revisión interpuesto.</w:t>
      </w:r>
    </w:p>
    <w:p w14:paraId="6E1F4DF7" w14:textId="77777777" w:rsidR="00DD587F" w:rsidRPr="006A11E6" w:rsidRDefault="00DD587F" w:rsidP="00DD587F">
      <w:pPr>
        <w:ind w:left="567" w:right="616"/>
        <w:jc w:val="both"/>
        <w:rPr>
          <w:rFonts w:ascii="Palatino Linotype" w:hAnsi="Palatino Linotype" w:cs="Arial"/>
          <w:i/>
        </w:rPr>
      </w:pPr>
    </w:p>
    <w:p w14:paraId="41FEF67D" w14:textId="77777777" w:rsidR="00DD587F" w:rsidRPr="006A11E6" w:rsidRDefault="00DD587F" w:rsidP="00DD587F">
      <w:pPr>
        <w:ind w:left="567" w:right="616"/>
        <w:jc w:val="both"/>
        <w:rPr>
          <w:rFonts w:ascii="Palatino Linotype" w:hAnsi="Palatino Linotype" w:cs="Arial"/>
          <w:i/>
        </w:rPr>
      </w:pPr>
      <w:r w:rsidRPr="006A11E6">
        <w:rPr>
          <w:rFonts w:ascii="Palatino Linotype" w:hAnsi="Palatino Linotype" w:cs="Arial"/>
          <w:b/>
          <w:i/>
        </w:rPr>
        <w:t>En caso de que el recurso se interponga de manera electrónica no será indispensable que contengan los requisitos establecidos en las fracciones II</w:t>
      </w:r>
      <w:r w:rsidRPr="006A11E6">
        <w:rPr>
          <w:rFonts w:ascii="Palatino Linotype" w:hAnsi="Palatino Linotype" w:cs="Arial"/>
          <w:i/>
        </w:rPr>
        <w:t>, IV, VII y VIII.”</w:t>
      </w:r>
    </w:p>
    <w:p w14:paraId="6D42F9B1" w14:textId="77777777" w:rsidR="00DD587F" w:rsidRPr="006A11E6" w:rsidRDefault="00DD587F" w:rsidP="00DD587F">
      <w:pPr>
        <w:ind w:left="567" w:right="616"/>
        <w:jc w:val="right"/>
        <w:rPr>
          <w:rFonts w:ascii="Palatino Linotype" w:hAnsi="Palatino Linotype" w:cs="Arial"/>
          <w:i/>
          <w:sz w:val="20"/>
        </w:rPr>
      </w:pPr>
      <w:r w:rsidRPr="006A11E6">
        <w:rPr>
          <w:rFonts w:ascii="Palatino Linotype" w:hAnsi="Palatino Linotype" w:cs="Arial"/>
          <w:i/>
          <w:sz w:val="20"/>
        </w:rPr>
        <w:t>[Énfasis añadido]</w:t>
      </w:r>
    </w:p>
    <w:p w14:paraId="3D71E4CD" w14:textId="77777777" w:rsidR="00DD587F" w:rsidRPr="006A11E6" w:rsidRDefault="00DD587F" w:rsidP="00DD587F">
      <w:pPr>
        <w:spacing w:line="276" w:lineRule="auto"/>
        <w:ind w:left="851"/>
        <w:jc w:val="right"/>
        <w:rPr>
          <w:rFonts w:ascii="Palatino Linotype" w:hAnsi="Palatino Linotype" w:cs="Arial"/>
          <w:b/>
          <w:i/>
          <w:sz w:val="24"/>
        </w:rPr>
      </w:pPr>
    </w:p>
    <w:p w14:paraId="55635CB8" w14:textId="77777777" w:rsidR="00DD587F" w:rsidRPr="006A11E6" w:rsidRDefault="00DD587F" w:rsidP="00DD587F">
      <w:pPr>
        <w:spacing w:line="360" w:lineRule="auto"/>
        <w:jc w:val="both"/>
        <w:rPr>
          <w:rFonts w:ascii="Palatino Linotype" w:eastAsia="Calibri" w:hAnsi="Palatino Linotype" w:cs="Arial"/>
        </w:rPr>
      </w:pPr>
      <w:r w:rsidRPr="006A11E6">
        <w:rPr>
          <w:rFonts w:ascii="Palatino Linotype" w:eastAsia="Calibri" w:hAnsi="Palatino Linotype" w:cs="Segoe UI"/>
        </w:rPr>
        <w:t xml:space="preserve">Cabe señalar que </w:t>
      </w:r>
      <w:r w:rsidRPr="006A11E6">
        <w:rPr>
          <w:rFonts w:ascii="Palatino Linotype" w:eastAsia="Calibri" w:hAnsi="Palatino Linotype" w:cs="Segoe UI"/>
          <w:b/>
        </w:rPr>
        <w:t>El Recurrente</w:t>
      </w:r>
      <w:r w:rsidRPr="006A11E6">
        <w:rPr>
          <w:rFonts w:ascii="Palatino Linotype" w:eastAsia="Calibri" w:hAnsi="Palatino Linotype" w:cs="Segoe UI"/>
        </w:rPr>
        <w:t xml:space="preserve"> ejerció de manera anónima su derecho de acceso a la información pública</w:t>
      </w:r>
      <w:r w:rsidRPr="006A11E6">
        <w:rPr>
          <w:rFonts w:ascii="Palatino Linotype" w:eastAsia="Calibri" w:hAnsi="Palatino Linotype"/>
        </w:rPr>
        <w:t xml:space="preserve">, sin embargo, no es motivo para desechar las </w:t>
      </w:r>
      <w:r w:rsidRPr="006A11E6">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5FE8ED49" w14:textId="77777777" w:rsidR="00DD587F" w:rsidRPr="006A11E6" w:rsidRDefault="00DD587F" w:rsidP="00DD587F">
      <w:pPr>
        <w:pStyle w:val="Sinespaciado"/>
        <w:rPr>
          <w:rFonts w:eastAsia="Calibri"/>
        </w:rPr>
      </w:pPr>
    </w:p>
    <w:p w14:paraId="05E3FFAF" w14:textId="77777777" w:rsidR="00DD587F" w:rsidRPr="006A11E6" w:rsidRDefault="00DD587F" w:rsidP="00DD587F">
      <w:pPr>
        <w:ind w:left="567" w:right="616"/>
        <w:jc w:val="both"/>
        <w:rPr>
          <w:rFonts w:ascii="Palatino Linotype" w:eastAsia="Calibri" w:hAnsi="Palatino Linotype" w:cs="Arial"/>
          <w:i/>
        </w:rPr>
      </w:pPr>
      <w:r w:rsidRPr="006A11E6">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16D4A136" w14:textId="77777777" w:rsidR="00DD587F" w:rsidRPr="006A11E6" w:rsidRDefault="00DD587F" w:rsidP="00DD587F">
      <w:pPr>
        <w:spacing w:line="360" w:lineRule="auto"/>
        <w:jc w:val="both"/>
        <w:rPr>
          <w:rFonts w:ascii="Palatino Linotype" w:eastAsia="Calibri" w:hAnsi="Palatino Linotype" w:cs="Times New Roman"/>
          <w:sz w:val="24"/>
        </w:rPr>
      </w:pPr>
    </w:p>
    <w:p w14:paraId="763956C7" w14:textId="77777777" w:rsidR="00DD587F" w:rsidRPr="006A11E6" w:rsidRDefault="00DD587F" w:rsidP="00DD587F">
      <w:pPr>
        <w:spacing w:line="360" w:lineRule="auto"/>
        <w:jc w:val="both"/>
        <w:rPr>
          <w:rFonts w:ascii="Palatino Linotype" w:eastAsia="Calibri" w:hAnsi="Palatino Linotype"/>
        </w:rPr>
      </w:pPr>
      <w:r w:rsidRPr="006A11E6">
        <w:rPr>
          <w:rFonts w:ascii="Palatino Linotype" w:eastAsia="Calibri" w:hAnsi="Palatino Linotype"/>
        </w:rPr>
        <w:lastRenderedPageBreak/>
        <w:t xml:space="preserve">Robusteciendo lo anterior se encuentra lo dispuesto en los artículos 6, Apartado A, fracciones III y IV, de la Constitución Política de los Estados Unidos Mexicanos y 5 párrafos </w:t>
      </w:r>
      <w:r w:rsidRPr="006A11E6">
        <w:rPr>
          <w:rFonts w:ascii="Palatino Linotype" w:eastAsia="Calibri" w:hAnsi="Palatino Linotype" w:cs="Arial"/>
        </w:rPr>
        <w:t>vigésimo, vigésimo primero</w:t>
      </w:r>
      <w:r w:rsidRPr="006A11E6">
        <w:rPr>
          <w:rFonts w:ascii="Palatino Linotype" w:hAnsi="Palatino Linotype" w:cs="Arial"/>
        </w:rPr>
        <w:t xml:space="preserve"> y vigésimo segundo</w:t>
      </w:r>
      <w:r w:rsidRPr="006A11E6">
        <w:rPr>
          <w:rFonts w:ascii="Palatino Linotype" w:eastAsia="Calibri" w:hAnsi="Palatino Linotype"/>
        </w:rPr>
        <w:t>, de la Constitución Política del Estado Libre y Soberano de México, se establece lo siguiente:</w:t>
      </w:r>
    </w:p>
    <w:p w14:paraId="10C2F90C" w14:textId="77777777" w:rsidR="00DD587F" w:rsidRPr="006A11E6" w:rsidRDefault="00DD587F" w:rsidP="00DD587F">
      <w:pPr>
        <w:pStyle w:val="Sinespaciado"/>
        <w:rPr>
          <w:rFonts w:eastAsia="Calibri"/>
        </w:rPr>
      </w:pPr>
    </w:p>
    <w:p w14:paraId="22D8F271" w14:textId="77777777" w:rsidR="00DD587F" w:rsidRPr="006A11E6" w:rsidRDefault="00DD587F" w:rsidP="00DD587F">
      <w:pPr>
        <w:spacing w:before="120" w:after="120"/>
        <w:ind w:left="567" w:right="616"/>
        <w:jc w:val="center"/>
        <w:rPr>
          <w:rFonts w:ascii="Palatino Linotype" w:eastAsia="Calibri" w:hAnsi="Palatino Linotype"/>
          <w:b/>
          <w:i/>
        </w:rPr>
      </w:pPr>
      <w:r w:rsidRPr="006A11E6">
        <w:rPr>
          <w:rFonts w:ascii="Palatino Linotype" w:eastAsia="Calibri" w:hAnsi="Palatino Linotype"/>
          <w:b/>
          <w:i/>
        </w:rPr>
        <w:t>Constitución Política de los Estados Unidos Mexicanos</w:t>
      </w:r>
    </w:p>
    <w:p w14:paraId="77D98B8D"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w:t>
      </w:r>
      <w:r w:rsidRPr="006A11E6">
        <w:rPr>
          <w:rFonts w:ascii="Palatino Linotype" w:eastAsia="Calibri" w:hAnsi="Palatino Linotype"/>
          <w:b/>
          <w:i/>
        </w:rPr>
        <w:t>Artículo 6</w:t>
      </w:r>
      <w:r w:rsidRPr="006A11E6">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FCB8A65"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w:t>
      </w:r>
    </w:p>
    <w:p w14:paraId="6E892D5D"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 xml:space="preserve">Para efectos de lo dispuesto en el presente artículo se observará lo siguiente: </w:t>
      </w:r>
    </w:p>
    <w:p w14:paraId="1F9E3F8C"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14F8B3F4"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w:t>
      </w:r>
    </w:p>
    <w:p w14:paraId="241C662B"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708840E2"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362DFFF5" w14:textId="77777777" w:rsidR="00DD587F" w:rsidRPr="006A11E6" w:rsidRDefault="00DD587F" w:rsidP="00DD587F">
      <w:pPr>
        <w:spacing w:before="120" w:after="120"/>
        <w:ind w:left="567" w:right="616"/>
        <w:jc w:val="both"/>
        <w:rPr>
          <w:rFonts w:ascii="Palatino Linotype" w:eastAsia="Calibri" w:hAnsi="Palatino Linotype"/>
          <w:i/>
          <w:sz w:val="24"/>
        </w:rPr>
      </w:pPr>
    </w:p>
    <w:p w14:paraId="1DC13C89" w14:textId="77777777" w:rsidR="00DD587F" w:rsidRPr="006A11E6" w:rsidRDefault="00DD587F" w:rsidP="00DD587F">
      <w:pPr>
        <w:spacing w:before="120" w:after="120"/>
        <w:ind w:left="567" w:right="616"/>
        <w:jc w:val="center"/>
        <w:rPr>
          <w:rFonts w:ascii="Palatino Linotype" w:eastAsia="Calibri" w:hAnsi="Palatino Linotype"/>
          <w:b/>
          <w:i/>
        </w:rPr>
      </w:pPr>
      <w:r w:rsidRPr="006A11E6">
        <w:rPr>
          <w:rFonts w:ascii="Palatino Linotype" w:eastAsia="Calibri" w:hAnsi="Palatino Linotype"/>
          <w:b/>
          <w:i/>
        </w:rPr>
        <w:t>Constitución Política del Estado Libre y Soberano de México</w:t>
      </w:r>
    </w:p>
    <w:p w14:paraId="193C2824"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w:t>
      </w:r>
      <w:r w:rsidRPr="006A11E6">
        <w:rPr>
          <w:rFonts w:ascii="Palatino Linotype" w:eastAsia="Calibri" w:hAnsi="Palatino Linotype"/>
          <w:b/>
          <w:i/>
        </w:rPr>
        <w:t>Artículo 5</w:t>
      </w:r>
      <w:r w:rsidRPr="006A11E6">
        <w:rPr>
          <w:rFonts w:ascii="Palatino Linotype" w:eastAsia="Calibri"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6A11E6">
        <w:rPr>
          <w:rFonts w:ascii="Palatino Linotype" w:eastAsia="Calibri" w:hAnsi="Palatino Linotype"/>
          <w:i/>
        </w:rPr>
        <w:lastRenderedPageBreak/>
        <w:t>podrán restringirse ni suspenderse salvo en los casos y bajo las condiciones que la Constitución Política de los Estados Unidos Mexicanos establece.</w:t>
      </w:r>
    </w:p>
    <w:p w14:paraId="33DCB4C9"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w:t>
      </w:r>
    </w:p>
    <w:p w14:paraId="35105657"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4ECD20D8"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 xml:space="preserve"> (…)</w:t>
      </w:r>
    </w:p>
    <w:p w14:paraId="2E71E51F"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626FAA41"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0E37134" w14:textId="77777777" w:rsidR="00DD587F" w:rsidRPr="006A11E6" w:rsidRDefault="00DD587F" w:rsidP="00DD587F">
      <w:pPr>
        <w:spacing w:before="120" w:after="120"/>
        <w:ind w:left="567" w:right="616"/>
        <w:jc w:val="both"/>
        <w:rPr>
          <w:rFonts w:ascii="Palatino Linotype" w:eastAsia="Calibri" w:hAnsi="Palatino Linotype"/>
          <w:i/>
        </w:rPr>
      </w:pPr>
    </w:p>
    <w:p w14:paraId="607ABFD1"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601D8C5E"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689ECB03"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w:t>
      </w:r>
    </w:p>
    <w:p w14:paraId="2EDF1C44" w14:textId="77777777" w:rsidR="00DD587F" w:rsidRPr="006A11E6" w:rsidRDefault="00DD587F" w:rsidP="00DD587F">
      <w:pPr>
        <w:ind w:left="567" w:right="616"/>
        <w:jc w:val="both"/>
        <w:rPr>
          <w:rFonts w:ascii="Palatino Linotype" w:eastAsia="Calibri" w:hAnsi="Palatino Linotype"/>
          <w:i/>
        </w:rPr>
      </w:pPr>
      <w:r w:rsidRPr="006A11E6">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04C1EF1" w14:textId="77777777" w:rsidR="00DD587F" w:rsidRPr="006A11E6" w:rsidRDefault="00DD587F" w:rsidP="00DD587F">
      <w:pPr>
        <w:spacing w:line="360" w:lineRule="auto"/>
        <w:jc w:val="both"/>
        <w:rPr>
          <w:rFonts w:ascii="Palatino Linotype" w:eastAsia="Calibri" w:hAnsi="Palatino Linotype"/>
          <w:sz w:val="24"/>
        </w:rPr>
      </w:pPr>
    </w:p>
    <w:p w14:paraId="434BCCE8" w14:textId="77777777" w:rsidR="00DD587F" w:rsidRPr="006A11E6" w:rsidRDefault="00DD587F" w:rsidP="00DD587F">
      <w:pPr>
        <w:spacing w:line="360" w:lineRule="auto"/>
        <w:jc w:val="both"/>
        <w:rPr>
          <w:rFonts w:ascii="Palatino Linotype" w:eastAsia="Calibri" w:hAnsi="Palatino Linotype"/>
          <w:sz w:val="24"/>
          <w:szCs w:val="24"/>
        </w:rPr>
      </w:pPr>
      <w:r w:rsidRPr="006A11E6">
        <w:rPr>
          <w:rFonts w:ascii="Palatino Linotype" w:eastAsia="Calibri" w:hAnsi="Palatino Linotype"/>
          <w:sz w:val="24"/>
          <w:szCs w:val="24"/>
        </w:rPr>
        <w:t>Por otra parte, del contenido del artículo 1 de la Constitución Política de los Estados Unidos Mexicanos, se destaca lo siguiente:</w:t>
      </w:r>
    </w:p>
    <w:p w14:paraId="4E00B373" w14:textId="77777777" w:rsidR="00DD587F" w:rsidRPr="006A11E6" w:rsidRDefault="00DD587F" w:rsidP="00DD587F">
      <w:pPr>
        <w:pStyle w:val="Sinespaciado"/>
        <w:rPr>
          <w:rFonts w:eastAsia="Calibri"/>
        </w:rPr>
      </w:pPr>
    </w:p>
    <w:p w14:paraId="0BF13472"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w:t>
      </w:r>
      <w:r w:rsidRPr="006A11E6">
        <w:rPr>
          <w:rFonts w:ascii="Palatino Linotype" w:eastAsia="Calibri" w:hAnsi="Palatino Linotype"/>
          <w:b/>
          <w:i/>
        </w:rPr>
        <w:t>Artículo 1o</w:t>
      </w:r>
      <w:r w:rsidRPr="006A11E6">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75C1F2"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239E3429"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0743DB2B" w14:textId="77777777" w:rsidR="00DD587F" w:rsidRPr="006A11E6" w:rsidRDefault="00DD587F" w:rsidP="00DD587F">
      <w:pPr>
        <w:spacing w:before="120" w:after="120"/>
        <w:ind w:left="567" w:right="616"/>
        <w:jc w:val="both"/>
        <w:rPr>
          <w:rFonts w:ascii="Palatino Linotype" w:eastAsia="Calibri" w:hAnsi="Palatino Linotype"/>
          <w:i/>
        </w:rPr>
      </w:pPr>
      <w:r w:rsidRPr="006A11E6">
        <w:rPr>
          <w:rFonts w:ascii="Palatino Linotype" w:eastAsia="Calibri" w:hAnsi="Palatino Linotype"/>
          <w:i/>
        </w:rPr>
        <w:t>En consecuencia, el Estado deberá prevenir, investigar, sancionar y reparar las violaciones a los derechos humanos, en los términos que establezca la ley.”</w:t>
      </w:r>
    </w:p>
    <w:p w14:paraId="513BC508" w14:textId="77777777" w:rsidR="00DD587F" w:rsidRPr="006A11E6" w:rsidRDefault="00DD587F" w:rsidP="00DD587F">
      <w:pPr>
        <w:rPr>
          <w:rFonts w:ascii="Times New Roman" w:eastAsia="Calibri" w:hAnsi="Times New Roman"/>
          <w:sz w:val="24"/>
        </w:rPr>
      </w:pPr>
    </w:p>
    <w:p w14:paraId="7D029786" w14:textId="77777777" w:rsidR="00DD587F" w:rsidRPr="006A11E6" w:rsidRDefault="00DD587F" w:rsidP="00DD587F">
      <w:pPr>
        <w:spacing w:line="360" w:lineRule="auto"/>
        <w:jc w:val="both"/>
        <w:rPr>
          <w:rFonts w:ascii="Palatino Linotype" w:eastAsia="Calibri" w:hAnsi="Palatino Linotype"/>
          <w:sz w:val="24"/>
          <w:szCs w:val="24"/>
        </w:rPr>
      </w:pPr>
      <w:r w:rsidRPr="006A11E6">
        <w:rPr>
          <w:rFonts w:ascii="Palatino Linotype" w:eastAsia="Calibri"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A11E6">
        <w:rPr>
          <w:rFonts w:ascii="Palatino Linotype" w:eastAsia="Calibri" w:hAnsi="Palatino Linotype"/>
          <w:b/>
          <w:sz w:val="24"/>
          <w:szCs w:val="24"/>
          <w:u w:val="single"/>
        </w:rPr>
        <w:t>incluso, la solicitud de acceso a la información pueda ser anónima o no contener un nombre que identifique al solicitante o que permita tener certeza sobre su identidad</w:t>
      </w:r>
      <w:r w:rsidRPr="006A11E6">
        <w:rPr>
          <w:rFonts w:ascii="Palatino Linotype" w:eastAsia="Calibri" w:hAnsi="Palatino Linotype"/>
          <w:sz w:val="24"/>
          <w:szCs w:val="24"/>
        </w:rPr>
        <w:t>.</w:t>
      </w:r>
    </w:p>
    <w:p w14:paraId="677BE4CA" w14:textId="77777777" w:rsidR="00DD587F" w:rsidRPr="006A11E6" w:rsidRDefault="00DD587F" w:rsidP="00DD587F">
      <w:pPr>
        <w:spacing w:line="360" w:lineRule="auto"/>
        <w:jc w:val="both"/>
        <w:rPr>
          <w:rFonts w:ascii="Palatino Linotype" w:eastAsia="Calibri" w:hAnsi="Palatino Linotype" w:cs="Arial"/>
          <w:sz w:val="24"/>
          <w:szCs w:val="24"/>
        </w:rPr>
      </w:pPr>
    </w:p>
    <w:p w14:paraId="170515FE" w14:textId="77777777" w:rsidR="00DD587F" w:rsidRPr="006A11E6" w:rsidRDefault="00DD587F" w:rsidP="00DD587F">
      <w:pPr>
        <w:autoSpaceDE w:val="0"/>
        <w:autoSpaceDN w:val="0"/>
        <w:adjustRightInd w:val="0"/>
        <w:spacing w:line="360" w:lineRule="auto"/>
        <w:jc w:val="both"/>
        <w:rPr>
          <w:rFonts w:ascii="Palatino Linotype" w:eastAsia="Calibri" w:hAnsi="Palatino Linotype" w:cs="Arial"/>
          <w:sz w:val="24"/>
          <w:szCs w:val="24"/>
        </w:rPr>
      </w:pPr>
      <w:r w:rsidRPr="006A11E6">
        <w:rPr>
          <w:rFonts w:ascii="Palatino Linotype" w:eastAsia="Calibri" w:hAnsi="Palatino Linotype" w:cs="Arial"/>
          <w:sz w:val="24"/>
          <w:szCs w:val="24"/>
        </w:rPr>
        <w:t>En conclusión, se cubrieron los requisitos de procedencia y procedibilidad y conforme a las constancias que obran en el expediente.</w:t>
      </w:r>
    </w:p>
    <w:p w14:paraId="3929675F" w14:textId="77777777" w:rsidR="00DD587F" w:rsidRPr="006A11E6" w:rsidRDefault="00DD587F" w:rsidP="00DD587F">
      <w:pPr>
        <w:autoSpaceDE w:val="0"/>
        <w:autoSpaceDN w:val="0"/>
        <w:adjustRightInd w:val="0"/>
        <w:spacing w:line="360" w:lineRule="auto"/>
        <w:jc w:val="both"/>
        <w:rPr>
          <w:rFonts w:ascii="Palatino Linotype" w:eastAsia="Calibri" w:hAnsi="Palatino Linotype" w:cs="Arial"/>
        </w:rPr>
      </w:pPr>
    </w:p>
    <w:p w14:paraId="046F86E6" w14:textId="77777777" w:rsidR="00DD587F" w:rsidRPr="006A11E6" w:rsidRDefault="00DD587F" w:rsidP="00DD587F">
      <w:pPr>
        <w:autoSpaceDE w:val="0"/>
        <w:autoSpaceDN w:val="0"/>
        <w:adjustRightInd w:val="0"/>
        <w:spacing w:line="360" w:lineRule="auto"/>
        <w:jc w:val="both"/>
        <w:rPr>
          <w:rFonts w:ascii="Palatino Linotype" w:eastAsia="Times New Roman" w:hAnsi="Palatino Linotype" w:cs="Arial"/>
          <w:b/>
          <w:sz w:val="28"/>
        </w:rPr>
      </w:pPr>
      <w:r w:rsidRPr="006A11E6">
        <w:rPr>
          <w:rFonts w:ascii="Palatino Linotype" w:hAnsi="Palatino Linotype" w:cs="Arial"/>
          <w:b/>
          <w:sz w:val="28"/>
        </w:rPr>
        <w:lastRenderedPageBreak/>
        <w:t xml:space="preserve">CUARTO. Del estudio de las causas de improcedencia y sobreseimiento  </w:t>
      </w:r>
    </w:p>
    <w:p w14:paraId="4596E1CC" w14:textId="77777777" w:rsidR="0039181B" w:rsidRPr="006A11E6" w:rsidRDefault="0039181B" w:rsidP="0039181B">
      <w:pPr>
        <w:spacing w:line="360" w:lineRule="auto"/>
        <w:jc w:val="both"/>
        <w:rPr>
          <w:rFonts w:ascii="Palatino Linotype" w:hAnsi="Palatino Linotype"/>
          <w:sz w:val="24"/>
          <w:szCs w:val="24"/>
          <w:lang w:val="es-ES_tradnl" w:eastAsia="es-ES"/>
        </w:rPr>
      </w:pPr>
      <w:r w:rsidRPr="006A11E6">
        <w:rPr>
          <w:rFonts w:ascii="Palatino Linotype" w:hAnsi="Palatino Linotype"/>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48612A72" w14:textId="77777777" w:rsidR="0039181B" w:rsidRPr="006A11E6" w:rsidRDefault="0039181B" w:rsidP="0039181B">
      <w:pPr>
        <w:spacing w:line="360" w:lineRule="auto"/>
        <w:jc w:val="both"/>
        <w:rPr>
          <w:rFonts w:ascii="Palatino Linotype" w:hAnsi="Palatino Linotype"/>
          <w:sz w:val="24"/>
          <w:szCs w:val="24"/>
          <w:lang w:val="es-ES_tradnl" w:eastAsia="es-ES"/>
        </w:rPr>
      </w:pPr>
    </w:p>
    <w:p w14:paraId="52A6415D" w14:textId="77777777" w:rsidR="0039181B" w:rsidRPr="006A11E6" w:rsidRDefault="0039181B" w:rsidP="0039181B">
      <w:pPr>
        <w:spacing w:line="360" w:lineRule="auto"/>
        <w:jc w:val="both"/>
        <w:rPr>
          <w:rFonts w:ascii="Palatino Linotype" w:hAnsi="Palatino Linotype"/>
          <w:sz w:val="24"/>
          <w:szCs w:val="24"/>
          <w:lang w:val="es-ES_tradnl" w:eastAsia="es-ES"/>
        </w:rPr>
      </w:pPr>
      <w:r w:rsidRPr="006A11E6">
        <w:rPr>
          <w:rFonts w:ascii="Palatino Linotype" w:hAnsi="Palatino Linotype"/>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6A11E6">
        <w:rPr>
          <w:rStyle w:val="Refdenotaalpie"/>
          <w:rFonts w:ascii="Palatino Linotype" w:eastAsiaTheme="minorEastAsia" w:hAnsi="Palatino Linotype" w:cs="Arial"/>
          <w:sz w:val="24"/>
          <w:szCs w:val="24"/>
          <w:lang w:val="es-ES_tradnl" w:eastAsia="es-ES"/>
        </w:rPr>
        <w:footnoteReference w:id="1"/>
      </w:r>
      <w:r w:rsidRPr="006A11E6">
        <w:rPr>
          <w:rFonts w:ascii="Palatino Linotype" w:hAnsi="Palatino Linotype"/>
          <w:sz w:val="24"/>
          <w:szCs w:val="24"/>
          <w:lang w:val="es-ES_tradnl" w:eastAsia="es-ES"/>
        </w:rPr>
        <w:t>, de rubro y texto:</w:t>
      </w:r>
    </w:p>
    <w:p w14:paraId="4F26607B" w14:textId="77777777" w:rsidR="0039181B" w:rsidRPr="006A11E6" w:rsidRDefault="0039181B" w:rsidP="0039181B">
      <w:pPr>
        <w:spacing w:line="360" w:lineRule="auto"/>
        <w:jc w:val="both"/>
        <w:rPr>
          <w:rFonts w:ascii="Palatino Linotype" w:hAnsi="Palatino Linotype"/>
          <w:sz w:val="24"/>
          <w:szCs w:val="24"/>
          <w:lang w:val="es-ES_tradnl" w:eastAsia="es-ES"/>
        </w:rPr>
      </w:pPr>
    </w:p>
    <w:p w14:paraId="0E502468" w14:textId="77777777" w:rsidR="0039181B" w:rsidRPr="006A11E6" w:rsidRDefault="0039181B" w:rsidP="0039181B">
      <w:pPr>
        <w:pStyle w:val="Sinespaciado"/>
        <w:spacing w:line="360" w:lineRule="auto"/>
        <w:jc w:val="both"/>
        <w:rPr>
          <w:rFonts w:ascii="Palatino Linotype" w:eastAsiaTheme="minorEastAsia" w:hAnsi="Palatino Linotype"/>
          <w:b/>
          <w:lang w:val="es-ES_tradnl"/>
        </w:rPr>
      </w:pPr>
      <w:r w:rsidRPr="006A11E6">
        <w:rPr>
          <w:rFonts w:ascii="Palatino Linotype" w:eastAsiaTheme="minorEastAsia" w:hAnsi="Palatino Linotype"/>
          <w:b/>
          <w:lang w:val="es-ES_tradnl"/>
        </w:rPr>
        <w:t xml:space="preserve">IMPROCEDENCIA, CAUSALES DE. EN EL JUICIO DE AMPARO. </w:t>
      </w:r>
    </w:p>
    <w:p w14:paraId="33915577" w14:textId="77777777" w:rsidR="0039181B" w:rsidRPr="006A11E6" w:rsidRDefault="0039181B" w:rsidP="0039181B">
      <w:pPr>
        <w:pStyle w:val="Sinespaciado"/>
        <w:spacing w:line="360" w:lineRule="auto"/>
        <w:jc w:val="both"/>
        <w:rPr>
          <w:rFonts w:ascii="Palatino Linotype" w:eastAsiaTheme="minorEastAsia" w:hAnsi="Palatino Linotype"/>
          <w:lang w:val="es-ES_tradnl"/>
        </w:rPr>
      </w:pPr>
      <w:r w:rsidRPr="006A11E6">
        <w:rPr>
          <w:rFonts w:ascii="Palatino Linotype" w:eastAsiaTheme="minorEastAsia" w:hAnsi="Palatino Linotype"/>
          <w:lang w:val="es-ES_tradnl"/>
        </w:rPr>
        <w:t>Las causales de improcedencia del juicio de amparo, por ser de orden público deben estudiarse previamente, lo aleguen o no las partes, cualquiera que sea la instancia</w:t>
      </w:r>
    </w:p>
    <w:p w14:paraId="69888C19" w14:textId="77777777" w:rsidR="0039181B" w:rsidRPr="006A11E6" w:rsidRDefault="0039181B" w:rsidP="0039181B">
      <w:pPr>
        <w:spacing w:line="360" w:lineRule="auto"/>
        <w:jc w:val="both"/>
        <w:rPr>
          <w:rFonts w:ascii="Palatino Linotype" w:hAnsi="Palatino Linotype"/>
          <w:sz w:val="24"/>
          <w:szCs w:val="24"/>
          <w:lang w:val="es-ES_tradnl" w:eastAsia="es-ES"/>
        </w:rPr>
      </w:pPr>
    </w:p>
    <w:p w14:paraId="36737B11" w14:textId="77777777" w:rsidR="0039181B" w:rsidRPr="006A11E6" w:rsidRDefault="0039181B" w:rsidP="0039181B">
      <w:pPr>
        <w:spacing w:line="360" w:lineRule="auto"/>
        <w:jc w:val="both"/>
        <w:rPr>
          <w:rFonts w:ascii="Palatino Linotype" w:hAnsi="Palatino Linotype"/>
          <w:sz w:val="24"/>
          <w:szCs w:val="24"/>
          <w:lang w:val="es-ES_tradnl" w:eastAsia="es-ES"/>
        </w:rPr>
      </w:pPr>
      <w:r w:rsidRPr="006A11E6">
        <w:rPr>
          <w:rFonts w:ascii="Palatino Linotype" w:hAnsi="Palatino Linotype"/>
          <w:sz w:val="24"/>
          <w:szCs w:val="24"/>
          <w:lang w:val="es-ES_tradnl" w:eastAsia="es-ES"/>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w:t>
      </w:r>
      <w:r w:rsidRPr="006A11E6">
        <w:rPr>
          <w:rFonts w:ascii="Palatino Linotype" w:hAnsi="Palatino Linotype"/>
          <w:sz w:val="24"/>
          <w:szCs w:val="24"/>
          <w:lang w:val="es-ES_tradnl" w:eastAsia="es-ES"/>
        </w:rPr>
        <w:lastRenderedPageBreak/>
        <w:t>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6A11E6">
        <w:rPr>
          <w:rFonts w:ascii="Palatino Linotype" w:hAnsi="Palatino Linotype"/>
          <w:sz w:val="24"/>
          <w:szCs w:val="24"/>
          <w:vertAlign w:val="superscript"/>
          <w:lang w:val="es-ES_tradnl" w:eastAsia="es-ES"/>
        </w:rPr>
        <w:footnoteReference w:id="2"/>
      </w:r>
      <w:r w:rsidRPr="006A11E6">
        <w:rPr>
          <w:rFonts w:ascii="Palatino Linotype" w:hAnsi="Palatino Linotype"/>
          <w:sz w:val="24"/>
          <w:szCs w:val="24"/>
          <w:lang w:val="es-ES_tradnl" w:eastAsia="es-ES"/>
        </w:rPr>
        <w:t>.</w:t>
      </w:r>
    </w:p>
    <w:p w14:paraId="074508CE" w14:textId="77777777" w:rsidR="0039181B" w:rsidRPr="006A11E6" w:rsidRDefault="0039181B" w:rsidP="0039181B">
      <w:pPr>
        <w:spacing w:line="360" w:lineRule="auto"/>
        <w:jc w:val="both"/>
        <w:rPr>
          <w:rFonts w:ascii="Palatino Linotype" w:hAnsi="Palatino Linotype"/>
          <w:sz w:val="24"/>
          <w:szCs w:val="24"/>
          <w:lang w:val="es-ES_tradnl"/>
        </w:rPr>
      </w:pPr>
      <w:r w:rsidRPr="006A11E6">
        <w:rPr>
          <w:rFonts w:ascii="Palatino Linotype" w:hAnsi="Palatino Linotype"/>
          <w:sz w:val="24"/>
          <w:szCs w:val="24"/>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7E6F8134" w14:textId="77777777" w:rsidR="0039181B" w:rsidRPr="006A11E6" w:rsidRDefault="0039181B" w:rsidP="0039181B">
      <w:pPr>
        <w:spacing w:beforeLines="20" w:before="48" w:afterLines="20" w:after="48" w:line="360" w:lineRule="auto"/>
        <w:jc w:val="both"/>
        <w:rPr>
          <w:rFonts w:ascii="Palatino Linotype" w:hAnsi="Palatino Linotype" w:cs="Arial"/>
          <w:sz w:val="24"/>
          <w:szCs w:val="24"/>
          <w:lang w:val="es-ES_tradnl"/>
        </w:rPr>
      </w:pPr>
    </w:p>
    <w:p w14:paraId="16BC94D7"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 xml:space="preserve">Artículo 185. </w:t>
      </w:r>
      <w:r w:rsidRPr="006A11E6">
        <w:rPr>
          <w:rFonts w:ascii="Palatino Linotype" w:eastAsia="Calibri" w:hAnsi="Palatino Linotype"/>
          <w:i/>
        </w:rPr>
        <w:t xml:space="preserve">El Instituto resolverá el recurso de revisión conforme a lo siguiente: </w:t>
      </w:r>
    </w:p>
    <w:p w14:paraId="5BA6B3C7"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lastRenderedPageBreak/>
        <w:t>I.</w:t>
      </w:r>
      <w:r w:rsidRPr="006A11E6">
        <w:rPr>
          <w:rFonts w:ascii="Palatino Linotype" w:eastAsia="Calibri" w:hAnsi="Palatino Linotype"/>
          <w: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254BB18F"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hAnsi="Palatino Linotype"/>
          <w:i/>
        </w:rPr>
        <w:t>(</w:t>
      </w:r>
      <w:r w:rsidRPr="006A11E6">
        <w:rPr>
          <w:rFonts w:ascii="Palatino Linotype" w:eastAsia="Calibri" w:hAnsi="Palatino Linotype"/>
          <w:i/>
        </w:rPr>
        <w:t>…</w:t>
      </w:r>
      <w:r w:rsidRPr="006A11E6">
        <w:rPr>
          <w:rFonts w:ascii="Palatino Linotype" w:hAnsi="Palatino Linotype"/>
          <w:i/>
        </w:rPr>
        <w:t>)</w:t>
      </w:r>
    </w:p>
    <w:p w14:paraId="63E793BD" w14:textId="77777777" w:rsidR="0039181B" w:rsidRPr="006A11E6" w:rsidRDefault="0039181B" w:rsidP="0039181B">
      <w:pPr>
        <w:pStyle w:val="Sinespaciado"/>
        <w:spacing w:line="360" w:lineRule="auto"/>
        <w:jc w:val="both"/>
        <w:rPr>
          <w:rFonts w:ascii="Palatino Linotype" w:eastAsia="Calibri" w:hAnsi="Palatino Linotype"/>
        </w:rPr>
      </w:pPr>
    </w:p>
    <w:p w14:paraId="461B9CDD"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Artículo 179</w:t>
      </w:r>
      <w:r w:rsidRPr="006A11E6">
        <w:rPr>
          <w:rFonts w:ascii="Palatino Linotype" w:eastAsia="Calibri" w:hAnsi="Palatino Linotype"/>
          <w:i/>
        </w:rPr>
        <w:t xml:space="preserve">. El recurso de revisión es un medio de protección que la Ley otorga a los particulares, para hacer valer su derecho de acceso a la información pública, y procederá en contra de las siguientes causas: </w:t>
      </w:r>
    </w:p>
    <w:p w14:paraId="2C5DB702"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I.</w:t>
      </w:r>
      <w:r w:rsidRPr="006A11E6">
        <w:rPr>
          <w:rFonts w:ascii="Palatino Linotype" w:eastAsia="Calibri" w:hAnsi="Palatino Linotype"/>
          <w:i/>
        </w:rPr>
        <w:t xml:space="preserve"> La negativa a la información solicitada; </w:t>
      </w:r>
    </w:p>
    <w:p w14:paraId="224290B5"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II.</w:t>
      </w:r>
      <w:r w:rsidRPr="006A11E6">
        <w:rPr>
          <w:rFonts w:ascii="Palatino Linotype" w:eastAsia="Calibri" w:hAnsi="Palatino Linotype"/>
          <w:i/>
        </w:rPr>
        <w:t xml:space="preserve"> La clasificación de la información; </w:t>
      </w:r>
    </w:p>
    <w:p w14:paraId="6EB64672"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III.</w:t>
      </w:r>
      <w:r w:rsidRPr="006A11E6">
        <w:rPr>
          <w:rFonts w:ascii="Palatino Linotype" w:eastAsia="Calibri" w:hAnsi="Palatino Linotype"/>
          <w:i/>
        </w:rPr>
        <w:t xml:space="preserve"> La declaración de inexistencia de la información; </w:t>
      </w:r>
    </w:p>
    <w:p w14:paraId="61B96352"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IV.</w:t>
      </w:r>
      <w:r w:rsidRPr="006A11E6">
        <w:rPr>
          <w:rFonts w:ascii="Palatino Linotype" w:eastAsia="Calibri" w:hAnsi="Palatino Linotype"/>
          <w:i/>
        </w:rPr>
        <w:t xml:space="preserve"> La declaración de incompetencia por el sujeto obligado; </w:t>
      </w:r>
    </w:p>
    <w:p w14:paraId="20242DD0"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V.</w:t>
      </w:r>
      <w:r w:rsidRPr="006A11E6">
        <w:rPr>
          <w:rFonts w:ascii="Palatino Linotype" w:eastAsia="Calibri" w:hAnsi="Palatino Linotype"/>
          <w:i/>
        </w:rPr>
        <w:t xml:space="preserve"> La entrega de información incompleta; </w:t>
      </w:r>
    </w:p>
    <w:p w14:paraId="26FE430E"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VI.</w:t>
      </w:r>
      <w:r w:rsidRPr="006A11E6">
        <w:rPr>
          <w:rFonts w:ascii="Palatino Linotype" w:eastAsia="Calibri" w:hAnsi="Palatino Linotype"/>
          <w:i/>
        </w:rPr>
        <w:t xml:space="preserve"> La entrega de información que no corresponda con lo solicitado; </w:t>
      </w:r>
    </w:p>
    <w:p w14:paraId="035F364C"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VII.</w:t>
      </w:r>
      <w:r w:rsidRPr="006A11E6">
        <w:rPr>
          <w:rFonts w:ascii="Palatino Linotype" w:eastAsia="Calibri" w:hAnsi="Palatino Linotype"/>
          <w:i/>
        </w:rPr>
        <w:t xml:space="preserve"> La falta de respuesta a una solicitud de acceso a la información; </w:t>
      </w:r>
    </w:p>
    <w:p w14:paraId="76B2BCA6"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VIII.</w:t>
      </w:r>
      <w:r w:rsidRPr="006A11E6">
        <w:rPr>
          <w:rFonts w:ascii="Palatino Linotype" w:eastAsia="Calibri" w:hAnsi="Palatino Linotype"/>
          <w:i/>
        </w:rPr>
        <w:t xml:space="preserve"> La notificación, entrega o puesta a disposición de información en una modalidad o formato distinto al solicitado; </w:t>
      </w:r>
    </w:p>
    <w:p w14:paraId="41FC319A"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IX.</w:t>
      </w:r>
      <w:r w:rsidRPr="006A11E6">
        <w:rPr>
          <w:rFonts w:ascii="Palatino Linotype" w:eastAsia="Calibri" w:hAnsi="Palatino Linotype"/>
          <w:i/>
        </w:rPr>
        <w:t xml:space="preserve"> La entrega o puesta a disposición de información en un formato incomprensible y/o no accesible para el solicitante; </w:t>
      </w:r>
    </w:p>
    <w:p w14:paraId="0307C02F"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X.</w:t>
      </w:r>
      <w:r w:rsidRPr="006A11E6">
        <w:rPr>
          <w:rFonts w:ascii="Palatino Linotype" w:eastAsia="Calibri" w:hAnsi="Palatino Linotype"/>
          <w:i/>
        </w:rPr>
        <w:t xml:space="preserve"> Los costos o tiempos de entrega de la información; </w:t>
      </w:r>
    </w:p>
    <w:p w14:paraId="5B647961"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XI.</w:t>
      </w:r>
      <w:r w:rsidRPr="006A11E6">
        <w:rPr>
          <w:rFonts w:ascii="Palatino Linotype" w:eastAsia="Calibri" w:hAnsi="Palatino Linotype"/>
          <w:i/>
        </w:rPr>
        <w:t xml:space="preserve"> La falta de trámite a una solicitud; </w:t>
      </w:r>
    </w:p>
    <w:p w14:paraId="389161D2"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XII.</w:t>
      </w:r>
      <w:r w:rsidRPr="006A11E6">
        <w:rPr>
          <w:rFonts w:ascii="Palatino Linotype" w:eastAsia="Calibri" w:hAnsi="Palatino Linotype"/>
          <w:i/>
        </w:rPr>
        <w:t xml:space="preserve"> La negativa a permitir la consulta directa de la información; </w:t>
      </w:r>
    </w:p>
    <w:p w14:paraId="3C628F21"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lastRenderedPageBreak/>
        <w:t>XIII.</w:t>
      </w:r>
      <w:r w:rsidRPr="006A11E6">
        <w:rPr>
          <w:rFonts w:ascii="Palatino Linotype" w:eastAsia="Calibri" w:hAnsi="Palatino Linotype"/>
          <w:i/>
        </w:rPr>
        <w:t xml:space="preserve"> La falta, deficiencia o insuficiencia de la fundamentación y/o motivación en la respuesta; y </w:t>
      </w:r>
    </w:p>
    <w:p w14:paraId="2C19B6A9"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rPr>
        <w:t>XIV</w:t>
      </w:r>
      <w:r w:rsidRPr="006A11E6">
        <w:rPr>
          <w:rFonts w:ascii="Palatino Linotype" w:eastAsia="Calibri" w:hAnsi="Palatino Linotype"/>
          <w:i/>
        </w:rPr>
        <w:t xml:space="preserve">. La orientación a un trámite específico. </w:t>
      </w:r>
    </w:p>
    <w:p w14:paraId="71814AC8" w14:textId="77777777" w:rsidR="0039181B" w:rsidRPr="006A11E6" w:rsidRDefault="0039181B" w:rsidP="0039181B">
      <w:pPr>
        <w:pStyle w:val="Sinespaciado"/>
        <w:spacing w:line="360" w:lineRule="auto"/>
        <w:jc w:val="both"/>
        <w:rPr>
          <w:rFonts w:ascii="Palatino Linotype" w:eastAsia="Calibri" w:hAnsi="Palatino Linotype"/>
          <w:i/>
        </w:rPr>
      </w:pPr>
    </w:p>
    <w:p w14:paraId="081ECF40" w14:textId="77777777" w:rsidR="0039181B" w:rsidRPr="006A11E6" w:rsidRDefault="0039181B" w:rsidP="0039181B">
      <w:pPr>
        <w:pStyle w:val="Sinespaciado"/>
        <w:spacing w:line="360" w:lineRule="auto"/>
        <w:jc w:val="both"/>
        <w:rPr>
          <w:rFonts w:ascii="Palatino Linotype" w:eastAsia="Calibri" w:hAnsi="Palatino Linotype"/>
          <w:i/>
        </w:rPr>
      </w:pPr>
      <w:r w:rsidRPr="006A11E6">
        <w:rPr>
          <w:rFonts w:ascii="Palatino Linotype" w:eastAsia="Calibri" w:hAnsi="Palatino Linotype"/>
          <w:b/>
          <w:i/>
          <w:u w:val="single"/>
        </w:rPr>
        <w:t>La respuesta que den los sujetos obligados derivada de la resolución a un recurso de revisión que proceda por las causales señaladas en las fracciones</w:t>
      </w:r>
      <w:r w:rsidRPr="006A11E6">
        <w:rPr>
          <w:rFonts w:ascii="Palatino Linotype" w:eastAsia="Calibri" w:hAnsi="Palatino Linotype"/>
          <w:i/>
        </w:rPr>
        <w:t xml:space="preserve"> IV, </w:t>
      </w:r>
      <w:r w:rsidRPr="006A11E6">
        <w:rPr>
          <w:rFonts w:ascii="Palatino Linotype" w:eastAsia="Calibri" w:hAnsi="Palatino Linotype"/>
          <w:b/>
          <w:i/>
        </w:rPr>
        <w:t>VII</w:t>
      </w:r>
      <w:r w:rsidRPr="006A11E6">
        <w:rPr>
          <w:rFonts w:ascii="Palatino Linotype" w:eastAsia="Calibri" w:hAnsi="Palatino Linotype"/>
          <w:i/>
        </w:rPr>
        <w:t xml:space="preserve">, IX, X, </w:t>
      </w:r>
      <w:r w:rsidRPr="006A11E6">
        <w:rPr>
          <w:rFonts w:ascii="Palatino Linotype" w:eastAsia="Calibri" w:hAnsi="Palatino Linotype"/>
          <w:b/>
          <w:i/>
          <w:u w:val="single"/>
        </w:rPr>
        <w:t>XI</w:t>
      </w:r>
      <w:r w:rsidRPr="006A11E6">
        <w:rPr>
          <w:rFonts w:ascii="Palatino Linotype" w:eastAsia="Calibri" w:hAnsi="Palatino Linotype"/>
          <w:i/>
        </w:rPr>
        <w:t xml:space="preserve"> y XII </w:t>
      </w:r>
      <w:r w:rsidRPr="006A11E6">
        <w:rPr>
          <w:rFonts w:ascii="Palatino Linotype" w:eastAsia="Calibri" w:hAnsi="Palatino Linotype"/>
          <w:b/>
          <w:i/>
          <w:u w:val="single"/>
        </w:rPr>
        <w:t>es susceptible de ser impugnada de nueva cuenta, mediante recurso de revisión, ante el Instituto</w:t>
      </w:r>
      <w:r w:rsidRPr="006A11E6">
        <w:rPr>
          <w:rFonts w:ascii="Palatino Linotype" w:eastAsia="Calibri" w:hAnsi="Palatino Linotype"/>
          <w:i/>
        </w:rPr>
        <w:t>.</w:t>
      </w:r>
    </w:p>
    <w:p w14:paraId="21016FA4" w14:textId="77777777" w:rsidR="0039181B" w:rsidRPr="006A11E6" w:rsidRDefault="0039181B" w:rsidP="0039181B">
      <w:pPr>
        <w:spacing w:line="360" w:lineRule="auto"/>
        <w:jc w:val="both"/>
        <w:rPr>
          <w:rFonts w:ascii="Palatino Linotype" w:hAnsi="Palatino Linotype"/>
          <w:sz w:val="24"/>
          <w:szCs w:val="24"/>
        </w:rPr>
      </w:pPr>
    </w:p>
    <w:p w14:paraId="4F24B28E" w14:textId="77777777" w:rsidR="0039181B" w:rsidRPr="006A11E6" w:rsidRDefault="0039181B" w:rsidP="0039181B">
      <w:pPr>
        <w:spacing w:line="360" w:lineRule="auto"/>
        <w:jc w:val="both"/>
        <w:rPr>
          <w:rFonts w:ascii="Palatino Linotype" w:hAnsi="Palatino Linotype"/>
          <w:sz w:val="24"/>
          <w:szCs w:val="24"/>
        </w:rPr>
      </w:pPr>
      <w:r w:rsidRPr="006A11E6">
        <w:rPr>
          <w:rFonts w:ascii="Palatino Linotype" w:hAnsi="Palatino Linotype"/>
          <w:sz w:val="24"/>
          <w:szCs w:val="24"/>
        </w:rPr>
        <w:t xml:space="preserve">Dicho precepto legal establece las causales de procedencia para la interposición del segundo recurso de revisión, tomando particular relevancia el último párrafo que, de manera clara y precisa establece, en el caso particular, </w:t>
      </w:r>
      <w:r w:rsidRPr="006A11E6">
        <w:rPr>
          <w:rFonts w:ascii="Palatino Linotype" w:hAnsi="Palatino Linotype"/>
          <w:b/>
          <w:sz w:val="24"/>
          <w:szCs w:val="24"/>
        </w:rPr>
        <w:t>la procedencia del segundo recurso de revisión contra la respuesta proporcionada por el Sujeto Obligado</w:t>
      </w:r>
      <w:r w:rsidRPr="006A11E6">
        <w:rPr>
          <w:rFonts w:ascii="Palatino Linotype" w:hAnsi="Palatino Linotype"/>
          <w:sz w:val="24"/>
          <w:szCs w:val="24"/>
        </w:rPr>
        <w:t xml:space="preserve"> derivada </w:t>
      </w:r>
      <w:r w:rsidRPr="006A11E6">
        <w:rPr>
          <w:rFonts w:ascii="Palatino Linotype" w:hAnsi="Palatino Linotype"/>
          <w:b/>
          <w:sz w:val="24"/>
          <w:szCs w:val="24"/>
        </w:rPr>
        <w:t xml:space="preserve">del cumplimiento a una resolución. </w:t>
      </w:r>
    </w:p>
    <w:p w14:paraId="4DE2D278" w14:textId="77777777" w:rsidR="0039181B" w:rsidRPr="006A11E6" w:rsidRDefault="00873AF0" w:rsidP="0039181B">
      <w:pPr>
        <w:spacing w:line="360" w:lineRule="auto"/>
        <w:jc w:val="both"/>
        <w:rPr>
          <w:rFonts w:ascii="Palatino Linotype" w:eastAsia="Times New Roman" w:hAnsi="Palatino Linotype" w:cs="Times New Roman"/>
          <w:sz w:val="24"/>
          <w:szCs w:val="24"/>
        </w:rPr>
      </w:pPr>
      <w:r w:rsidRPr="006A11E6">
        <w:rPr>
          <w:rFonts w:ascii="Palatino Linotype" w:eastAsia="Times New Roman" w:hAnsi="Palatino Linotype" w:cs="Times New Roman"/>
          <w:b/>
          <w:bCs/>
          <w:sz w:val="24"/>
          <w:szCs w:val="24"/>
        </w:rPr>
        <w:t>17160/INFOEM/IP/RR/2022</w:t>
      </w:r>
    </w:p>
    <w:p w14:paraId="11B11A1E" w14:textId="77777777" w:rsidR="0039181B" w:rsidRPr="006A11E6" w:rsidRDefault="0039181B" w:rsidP="0039181B">
      <w:pPr>
        <w:spacing w:line="360" w:lineRule="auto"/>
        <w:jc w:val="both"/>
        <w:rPr>
          <w:rFonts w:ascii="Palatino Linotype" w:hAnsi="Palatino Linotype"/>
          <w:sz w:val="24"/>
          <w:szCs w:val="24"/>
        </w:rPr>
      </w:pPr>
      <w:r w:rsidRPr="006A11E6">
        <w:rPr>
          <w:rFonts w:ascii="Palatino Linotype" w:hAnsi="Palatino Linotype"/>
          <w:sz w:val="24"/>
          <w:szCs w:val="24"/>
        </w:rPr>
        <w:t xml:space="preserve">Circunstancia que en el presente caso </w:t>
      </w:r>
      <w:r w:rsidRPr="006A11E6">
        <w:rPr>
          <w:rFonts w:ascii="Palatino Linotype" w:hAnsi="Palatino Linotype"/>
          <w:b/>
          <w:sz w:val="24"/>
          <w:szCs w:val="24"/>
        </w:rPr>
        <w:t>no se actualiza</w:t>
      </w:r>
      <w:r w:rsidRPr="006A11E6">
        <w:rPr>
          <w:rFonts w:ascii="Palatino Linotype" w:hAnsi="Palatino Linotype"/>
          <w:sz w:val="24"/>
          <w:szCs w:val="24"/>
        </w:rPr>
        <w:t>, de conformidad con las consideraciones</w:t>
      </w:r>
      <w:r w:rsidR="00873AF0" w:rsidRPr="006A11E6">
        <w:rPr>
          <w:rFonts w:ascii="Palatino Linotype" w:hAnsi="Palatino Linotype"/>
          <w:sz w:val="24"/>
          <w:szCs w:val="24"/>
        </w:rPr>
        <w:t xml:space="preserve"> de hecho y derecho</w:t>
      </w:r>
      <w:r w:rsidR="00C22257" w:rsidRPr="006A11E6">
        <w:rPr>
          <w:rFonts w:ascii="Palatino Linotype" w:hAnsi="Palatino Linotype"/>
          <w:sz w:val="24"/>
          <w:szCs w:val="24"/>
        </w:rPr>
        <w:t>,</w:t>
      </w:r>
      <w:r w:rsidR="00873AF0" w:rsidRPr="006A11E6">
        <w:rPr>
          <w:rFonts w:ascii="Palatino Linotype" w:hAnsi="Palatino Linotype"/>
          <w:sz w:val="24"/>
          <w:szCs w:val="24"/>
        </w:rPr>
        <w:t xml:space="preserve"> siguientes:</w:t>
      </w:r>
    </w:p>
    <w:p w14:paraId="5243A02D" w14:textId="77777777" w:rsidR="0039181B" w:rsidRPr="006A11E6" w:rsidRDefault="0039181B" w:rsidP="0039181B">
      <w:pPr>
        <w:pStyle w:val="Prrafodelista"/>
        <w:numPr>
          <w:ilvl w:val="0"/>
          <w:numId w:val="2"/>
        </w:numPr>
        <w:spacing w:line="360" w:lineRule="auto"/>
        <w:jc w:val="both"/>
        <w:rPr>
          <w:rFonts w:ascii="Palatino Linotype" w:hAnsi="Palatino Linotype"/>
        </w:rPr>
      </w:pPr>
      <w:r w:rsidRPr="006A11E6">
        <w:rPr>
          <w:rFonts w:ascii="Palatino Linotype" w:eastAsia="Palatino Linotype" w:hAnsi="Palatino Linotype"/>
        </w:rPr>
        <w:t xml:space="preserve">En el </w:t>
      </w:r>
      <w:r w:rsidR="00C22257" w:rsidRPr="006A11E6">
        <w:rPr>
          <w:rFonts w:ascii="Palatino Linotype" w:eastAsia="Palatino Linotype" w:hAnsi="Palatino Linotype"/>
          <w:b/>
        </w:rPr>
        <w:t>Antecedente QUINTO</w:t>
      </w:r>
      <w:r w:rsidRPr="006A11E6">
        <w:rPr>
          <w:rFonts w:ascii="Palatino Linotype" w:eastAsia="Palatino Linotype" w:hAnsi="Palatino Linotype"/>
        </w:rPr>
        <w:t xml:space="preserve">, fracción </w:t>
      </w:r>
      <w:r w:rsidR="00873AF0" w:rsidRPr="006A11E6">
        <w:rPr>
          <w:rFonts w:ascii="Palatino Linotype" w:eastAsia="Palatino Linotype" w:hAnsi="Palatino Linotype"/>
          <w:b/>
        </w:rPr>
        <w:t>VI</w:t>
      </w:r>
      <w:r w:rsidRPr="006A11E6">
        <w:rPr>
          <w:rFonts w:ascii="Palatino Linotype" w:eastAsia="Palatino Linotype" w:hAnsi="Palatino Linotype"/>
        </w:rPr>
        <w:t xml:space="preserve">, se acreditó la emisión de la resolución al recurso de revisión </w:t>
      </w:r>
      <w:r w:rsidR="00C22257" w:rsidRPr="006A11E6">
        <w:rPr>
          <w:rFonts w:ascii="Palatino Linotype" w:hAnsi="Palatino Linotype"/>
          <w:b/>
          <w:bCs/>
        </w:rPr>
        <w:t>17160/INFOEM/IP/RR/2022</w:t>
      </w:r>
      <w:r w:rsidRPr="006A11E6">
        <w:rPr>
          <w:rFonts w:ascii="Palatino Linotype" w:eastAsia="Palatino Linotype" w:hAnsi="Palatino Linotype"/>
        </w:rPr>
        <w:t xml:space="preserve">, al actualizarse la hipótesis prevista en la fracción VII del multicitado artículo 179 de la Ley de la materia; </w:t>
      </w:r>
    </w:p>
    <w:p w14:paraId="0764CFCB" w14:textId="77777777" w:rsidR="0039181B" w:rsidRPr="006A11E6" w:rsidRDefault="0039181B" w:rsidP="0039181B">
      <w:pPr>
        <w:pStyle w:val="Prrafodelista"/>
        <w:spacing w:line="360" w:lineRule="auto"/>
        <w:ind w:left="709"/>
        <w:jc w:val="both"/>
        <w:rPr>
          <w:rFonts w:ascii="Palatino Linotype" w:hAnsi="Palatino Linotype"/>
        </w:rPr>
      </w:pPr>
    </w:p>
    <w:p w14:paraId="4184525F" w14:textId="77777777" w:rsidR="0039181B" w:rsidRPr="006A11E6" w:rsidRDefault="0039181B" w:rsidP="0039181B">
      <w:pPr>
        <w:pStyle w:val="Prrafodelista"/>
        <w:numPr>
          <w:ilvl w:val="0"/>
          <w:numId w:val="2"/>
        </w:numPr>
        <w:spacing w:line="360" w:lineRule="auto"/>
        <w:jc w:val="both"/>
        <w:rPr>
          <w:rFonts w:ascii="Palatino Linotype" w:eastAsia="Palatino Linotype" w:hAnsi="Palatino Linotype"/>
        </w:rPr>
      </w:pPr>
      <w:r w:rsidRPr="006A11E6">
        <w:rPr>
          <w:rFonts w:ascii="Palatino Linotype" w:eastAsia="Palatino Linotype" w:hAnsi="Palatino Linotype"/>
        </w:rPr>
        <w:lastRenderedPageBreak/>
        <w:t xml:space="preserve">Conforme al </w:t>
      </w:r>
      <w:r w:rsidR="00C22257" w:rsidRPr="006A11E6">
        <w:rPr>
          <w:rFonts w:ascii="Palatino Linotype" w:eastAsia="Palatino Linotype" w:hAnsi="Palatino Linotype"/>
          <w:b/>
        </w:rPr>
        <w:t>Antecedente QUINTO</w:t>
      </w:r>
      <w:r w:rsidRPr="006A11E6">
        <w:rPr>
          <w:rFonts w:ascii="Palatino Linotype" w:eastAsia="Palatino Linotype" w:hAnsi="Palatino Linotype"/>
        </w:rPr>
        <w:t xml:space="preserve">, fracción </w:t>
      </w:r>
      <w:r w:rsidRPr="006A11E6">
        <w:rPr>
          <w:rFonts w:ascii="Palatino Linotype" w:eastAsia="Palatino Linotype" w:hAnsi="Palatino Linotype"/>
          <w:b/>
        </w:rPr>
        <w:t>VI</w:t>
      </w:r>
      <w:r w:rsidR="00873AF0" w:rsidRPr="006A11E6">
        <w:rPr>
          <w:rFonts w:ascii="Palatino Linotype" w:eastAsia="Palatino Linotype" w:hAnsi="Palatino Linotype"/>
          <w:b/>
        </w:rPr>
        <w:t>II</w:t>
      </w:r>
      <w:r w:rsidRPr="006A11E6">
        <w:rPr>
          <w:rFonts w:ascii="Palatino Linotype" w:eastAsia="Palatino Linotype" w:hAnsi="Palatino Linotype"/>
        </w:rPr>
        <w:t xml:space="preserve">, se observa que el Sujeto Obligado omitió dar cumplimiento a lo ordenado en la resolución del recurso de revisión </w:t>
      </w:r>
      <w:r w:rsidR="00873AF0" w:rsidRPr="006A11E6">
        <w:rPr>
          <w:rFonts w:ascii="Palatino Linotype" w:hAnsi="Palatino Linotype"/>
          <w:b/>
          <w:bCs/>
        </w:rPr>
        <w:t>17160/INFOEM/IP/RR/2022</w:t>
      </w:r>
      <w:r w:rsidR="00C22257" w:rsidRPr="006A11E6">
        <w:rPr>
          <w:rFonts w:ascii="Palatino Linotype" w:eastAsia="Palatino Linotype" w:hAnsi="Palatino Linotype"/>
        </w:rPr>
        <w:t xml:space="preserve"> </w:t>
      </w:r>
      <w:r w:rsidRPr="006A11E6">
        <w:rPr>
          <w:rFonts w:ascii="Palatino Linotype" w:eastAsia="Palatino Linotype" w:hAnsi="Palatino Linotype"/>
        </w:rPr>
        <w:t>dentro del término establecido;</w:t>
      </w:r>
    </w:p>
    <w:p w14:paraId="0C58E620" w14:textId="77777777" w:rsidR="0039181B" w:rsidRPr="006A11E6" w:rsidRDefault="0039181B" w:rsidP="0039181B">
      <w:pPr>
        <w:pStyle w:val="Prrafodelista"/>
        <w:numPr>
          <w:ilvl w:val="0"/>
          <w:numId w:val="2"/>
        </w:numPr>
        <w:spacing w:line="360" w:lineRule="auto"/>
        <w:jc w:val="both"/>
        <w:rPr>
          <w:rFonts w:ascii="Palatino Linotype" w:eastAsia="Palatino Linotype" w:hAnsi="Palatino Linotype"/>
        </w:rPr>
      </w:pPr>
      <w:r w:rsidRPr="006A11E6">
        <w:rPr>
          <w:rFonts w:ascii="Palatino Linotype" w:eastAsia="Palatino Linotype" w:hAnsi="Palatino Linotype"/>
        </w:rPr>
        <w:t xml:space="preserve">Inconforme con la conducta reiterada por parte del Sujeto Obligado, el Recurrente hizo valer su derecho de poder interponer segundo recurso de revisión. </w:t>
      </w:r>
    </w:p>
    <w:p w14:paraId="49810469" w14:textId="77777777" w:rsidR="0039181B" w:rsidRPr="006A11E6" w:rsidRDefault="0039181B" w:rsidP="0039181B">
      <w:pPr>
        <w:spacing w:line="360" w:lineRule="auto"/>
        <w:jc w:val="both"/>
        <w:rPr>
          <w:rFonts w:ascii="Palatino Linotype" w:eastAsia="Palatino Linotype" w:hAnsi="Palatino Linotype"/>
          <w:sz w:val="24"/>
          <w:szCs w:val="24"/>
        </w:rPr>
      </w:pPr>
    </w:p>
    <w:p w14:paraId="7592FF1E" w14:textId="77777777" w:rsidR="0039181B" w:rsidRPr="006A11E6" w:rsidRDefault="0039181B" w:rsidP="0039181B">
      <w:pPr>
        <w:spacing w:line="360" w:lineRule="auto"/>
        <w:jc w:val="both"/>
        <w:rPr>
          <w:rFonts w:ascii="Palatino Linotype" w:eastAsia="Palatino Linotype" w:hAnsi="Palatino Linotype"/>
          <w:sz w:val="24"/>
          <w:szCs w:val="24"/>
        </w:rPr>
      </w:pPr>
      <w:r w:rsidRPr="006A11E6">
        <w:rPr>
          <w:rFonts w:ascii="Palatino Linotype" w:eastAsia="Palatino Linotype" w:hAnsi="Palatino Linotype"/>
          <w:sz w:val="24"/>
          <w:szCs w:val="24"/>
        </w:rPr>
        <w:t xml:space="preserve">De conformidad con lo anterior, concatenado con las constancias del expediente electrónico, se logra concluir que, </w:t>
      </w:r>
      <w:r w:rsidRPr="006A11E6">
        <w:rPr>
          <w:rFonts w:ascii="Palatino Linotype" w:eastAsia="Palatino Linotype" w:hAnsi="Palatino Linotype"/>
          <w:b/>
          <w:sz w:val="24"/>
          <w:szCs w:val="24"/>
        </w:rPr>
        <w:t>no se acredita la procedencia de la interposición de segundo recurso de revisión</w:t>
      </w:r>
      <w:r w:rsidRPr="006A11E6">
        <w:rPr>
          <w:rFonts w:ascii="Palatino Linotype" w:eastAsia="Palatino Linotype" w:hAnsi="Palatino Linotype"/>
          <w:sz w:val="24"/>
          <w:szCs w:val="24"/>
        </w:rPr>
        <w:t xml:space="preserve">, al </w:t>
      </w:r>
      <w:r w:rsidRPr="006A11E6">
        <w:rPr>
          <w:rFonts w:ascii="Palatino Linotype" w:eastAsia="Palatino Linotype" w:hAnsi="Palatino Linotype"/>
          <w:b/>
          <w:sz w:val="24"/>
          <w:szCs w:val="24"/>
        </w:rPr>
        <w:t>establecerse de manera clara y precisa como requisito, la existencia de respuesta</w:t>
      </w:r>
      <w:r w:rsidRPr="006A11E6">
        <w:rPr>
          <w:rFonts w:ascii="Palatino Linotype" w:eastAsia="Palatino Linotype" w:hAnsi="Palatino Linotype"/>
          <w:sz w:val="24"/>
          <w:szCs w:val="24"/>
        </w:rPr>
        <w:t xml:space="preserve"> por parte del Sujeto Obligado, la cual habrá ser objeto de estudio y análisis en el segundo recurso de revisión.</w:t>
      </w:r>
    </w:p>
    <w:p w14:paraId="23520CF9" w14:textId="77777777" w:rsidR="0039181B" w:rsidRPr="006A11E6" w:rsidRDefault="0039181B" w:rsidP="0039181B">
      <w:pPr>
        <w:widowControl w:val="0"/>
        <w:spacing w:beforeLines="20" w:before="48" w:afterLines="20" w:after="48" w:line="360" w:lineRule="auto"/>
        <w:ind w:hanging="1"/>
        <w:jc w:val="both"/>
        <w:rPr>
          <w:rFonts w:ascii="Palatino Linotype" w:eastAsia="Palatino Linotype" w:hAnsi="Palatino Linotype"/>
          <w:sz w:val="24"/>
          <w:szCs w:val="24"/>
        </w:rPr>
      </w:pPr>
      <w:r w:rsidRPr="006A11E6">
        <w:rPr>
          <w:rFonts w:ascii="Palatino Linotype" w:eastAsia="Palatino Linotype" w:hAnsi="Palatino Linotype"/>
          <w:sz w:val="24"/>
          <w:szCs w:val="24"/>
        </w:rPr>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1DC875AA" w14:textId="77777777" w:rsidR="0039181B" w:rsidRPr="006A11E6" w:rsidRDefault="0039181B" w:rsidP="0039181B">
      <w:pPr>
        <w:widowControl w:val="0"/>
        <w:spacing w:beforeLines="20" w:before="48" w:afterLines="20" w:after="48" w:line="360" w:lineRule="auto"/>
        <w:ind w:hanging="1"/>
        <w:jc w:val="both"/>
        <w:rPr>
          <w:rFonts w:ascii="Palatino Linotype" w:eastAsia="Palatino Linotype" w:hAnsi="Palatino Linotype"/>
          <w:sz w:val="24"/>
          <w:szCs w:val="24"/>
        </w:rPr>
      </w:pPr>
    </w:p>
    <w:p w14:paraId="2E56BFFE" w14:textId="77777777" w:rsidR="0039181B" w:rsidRPr="006A11E6" w:rsidRDefault="0039181B" w:rsidP="0039181B">
      <w:pPr>
        <w:pStyle w:val="Sinespaciado"/>
        <w:spacing w:line="360" w:lineRule="auto"/>
        <w:jc w:val="both"/>
        <w:rPr>
          <w:rFonts w:ascii="Palatino Linotype" w:eastAsia="Palatino Linotype" w:hAnsi="Palatino Linotype"/>
        </w:rPr>
      </w:pPr>
      <w:r w:rsidRPr="006A11E6">
        <w:rPr>
          <w:rFonts w:ascii="Palatino Linotype" w:eastAsia="Palatino Linotype" w:hAnsi="Palatino Linotype"/>
          <w:b/>
        </w:rPr>
        <w:t>Artículo 191</w:t>
      </w:r>
      <w:r w:rsidRPr="006A11E6">
        <w:rPr>
          <w:rFonts w:ascii="Palatino Linotype" w:eastAsia="Palatino Linotype" w:hAnsi="Palatino Linotype"/>
        </w:rPr>
        <w:t>. El recurso será desechado por improcedente cuando:</w:t>
      </w:r>
    </w:p>
    <w:p w14:paraId="511046D1" w14:textId="77777777" w:rsidR="0039181B" w:rsidRPr="006A11E6" w:rsidRDefault="0039181B" w:rsidP="0039181B">
      <w:pPr>
        <w:pStyle w:val="Sinespaciado"/>
        <w:spacing w:line="360" w:lineRule="auto"/>
        <w:jc w:val="both"/>
        <w:rPr>
          <w:rFonts w:ascii="Palatino Linotype" w:eastAsia="Palatino Linotype" w:hAnsi="Palatino Linotype"/>
        </w:rPr>
      </w:pPr>
      <w:r w:rsidRPr="006A11E6">
        <w:rPr>
          <w:rFonts w:ascii="Palatino Linotype" w:hAnsi="Palatino Linotype"/>
        </w:rPr>
        <w:t>(…)</w:t>
      </w:r>
    </w:p>
    <w:p w14:paraId="7879AE11" w14:textId="77777777" w:rsidR="0039181B" w:rsidRPr="006A11E6" w:rsidRDefault="0039181B" w:rsidP="0039181B">
      <w:pPr>
        <w:pStyle w:val="Sinespaciado"/>
        <w:spacing w:line="360" w:lineRule="auto"/>
        <w:jc w:val="both"/>
        <w:rPr>
          <w:rFonts w:ascii="Palatino Linotype" w:eastAsia="Palatino Linotype" w:hAnsi="Palatino Linotype"/>
          <w:b/>
        </w:rPr>
      </w:pPr>
      <w:r w:rsidRPr="006A11E6">
        <w:rPr>
          <w:rFonts w:ascii="Palatino Linotype" w:hAnsi="Palatino Linotype"/>
          <w:b/>
        </w:rPr>
        <w:t xml:space="preserve">III. </w:t>
      </w:r>
      <w:r w:rsidRPr="006A11E6">
        <w:rPr>
          <w:rFonts w:ascii="Palatino Linotype" w:eastAsia="Palatino Linotype" w:hAnsi="Palatino Linotype"/>
          <w:b/>
          <w:u w:val="single"/>
        </w:rPr>
        <w:t>No actualice alguno de los supuestos previstos en la presente Ley</w:t>
      </w:r>
      <w:r w:rsidRPr="006A11E6">
        <w:rPr>
          <w:rFonts w:ascii="Palatino Linotype" w:eastAsia="Palatino Linotype" w:hAnsi="Palatino Linotype"/>
          <w:b/>
        </w:rPr>
        <w:t>;</w:t>
      </w:r>
    </w:p>
    <w:p w14:paraId="6F17C2D3" w14:textId="77777777" w:rsidR="0039181B" w:rsidRPr="006A11E6" w:rsidRDefault="0039181B" w:rsidP="0039181B">
      <w:pPr>
        <w:widowControl w:val="0"/>
        <w:spacing w:beforeLines="20" w:before="48" w:afterLines="20" w:after="48" w:line="360" w:lineRule="auto"/>
        <w:jc w:val="both"/>
        <w:rPr>
          <w:rFonts w:ascii="Palatino Linotype" w:eastAsia="Palatino Linotype" w:hAnsi="Palatino Linotype"/>
          <w:sz w:val="24"/>
          <w:szCs w:val="24"/>
        </w:rPr>
      </w:pPr>
    </w:p>
    <w:p w14:paraId="7D9A1435" w14:textId="77777777" w:rsidR="0039181B" w:rsidRPr="006A11E6" w:rsidRDefault="0039181B" w:rsidP="0039181B">
      <w:pPr>
        <w:spacing w:line="360" w:lineRule="auto"/>
        <w:jc w:val="both"/>
        <w:rPr>
          <w:rFonts w:ascii="Palatino Linotype" w:eastAsiaTheme="minorEastAsia" w:hAnsi="Palatino Linotype" w:cs="Times New Roman"/>
          <w:sz w:val="24"/>
          <w:szCs w:val="24"/>
          <w:lang w:val="es-ES_tradnl" w:eastAsia="es-ES"/>
        </w:rPr>
      </w:pPr>
      <w:r w:rsidRPr="006A11E6">
        <w:rPr>
          <w:rFonts w:ascii="Palatino Linotype" w:eastAsia="Batang" w:hAnsi="Palatino Linotype" w:cs="Arial"/>
          <w:sz w:val="24"/>
          <w:szCs w:val="24"/>
          <w:lang w:val="es-ES" w:eastAsia="es-ES"/>
        </w:rPr>
        <w:t xml:space="preserve">En conclusión, resulta procedente determinar el </w:t>
      </w:r>
      <w:r w:rsidRPr="006A11E6">
        <w:rPr>
          <w:rFonts w:ascii="Palatino Linotype" w:eastAsia="Batang" w:hAnsi="Palatino Linotype" w:cs="Arial"/>
          <w:b/>
          <w:sz w:val="24"/>
          <w:szCs w:val="24"/>
          <w:lang w:val="es-ES" w:eastAsia="es-ES"/>
        </w:rPr>
        <w:t>sobreseimiento</w:t>
      </w:r>
      <w:r w:rsidRPr="006A11E6">
        <w:rPr>
          <w:rFonts w:ascii="Palatino Linotype" w:eastAsia="Batang" w:hAnsi="Palatino Linotype" w:cs="Arial"/>
          <w:sz w:val="24"/>
          <w:szCs w:val="24"/>
          <w:lang w:val="es-ES" w:eastAsia="es-ES"/>
        </w:rPr>
        <w:t xml:space="preserve"> del presente recurso de revisión por improcedente conforme </w:t>
      </w:r>
      <w:r w:rsidRPr="006A11E6">
        <w:rPr>
          <w:rFonts w:ascii="Palatino Linotype" w:eastAsiaTheme="minorEastAsia" w:hAnsi="Palatino Linotype" w:cs="Times New Roman"/>
          <w:sz w:val="24"/>
          <w:szCs w:val="24"/>
          <w:lang w:val="es-ES_tradnl" w:eastAsia="es-ES"/>
        </w:rPr>
        <w:t xml:space="preserve">las consideraciones de hecho y de derecho </w:t>
      </w:r>
      <w:r w:rsidRPr="006A11E6">
        <w:rPr>
          <w:rFonts w:ascii="Palatino Linotype" w:eastAsiaTheme="minorEastAsia" w:hAnsi="Palatino Linotype" w:cs="Times New Roman"/>
          <w:sz w:val="24"/>
          <w:szCs w:val="24"/>
          <w:lang w:val="es-ES_tradnl" w:eastAsia="es-ES"/>
        </w:rPr>
        <w:lastRenderedPageBreak/>
        <w:t>hechas valer en líneas precedente</w:t>
      </w:r>
      <w:r w:rsidR="00873AF0" w:rsidRPr="006A11E6">
        <w:rPr>
          <w:rFonts w:ascii="Palatino Linotype" w:eastAsiaTheme="minorEastAsia" w:hAnsi="Palatino Linotype" w:cs="Times New Roman"/>
          <w:sz w:val="24"/>
          <w:szCs w:val="24"/>
          <w:lang w:val="es-ES_tradnl" w:eastAsia="es-ES"/>
        </w:rPr>
        <w:t>s que fueron materia de estudio</w:t>
      </w:r>
      <w:r w:rsidRPr="006A11E6">
        <w:rPr>
          <w:rFonts w:ascii="Palatino Linotype" w:eastAsiaTheme="minorEastAsia" w:hAnsi="Palatino Linotype" w:cs="Times New Roman"/>
          <w:sz w:val="24"/>
          <w:szCs w:val="24"/>
          <w:lang w:val="es-ES_tradnl" w:eastAsia="es-ES"/>
        </w:rPr>
        <w:t xml:space="preserve">;  por ello </w:t>
      </w:r>
      <w:r w:rsidRPr="006A11E6">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6A11E6">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6A11E6">
        <w:rPr>
          <w:rFonts w:ascii="Palatino Linotype" w:eastAsiaTheme="minorEastAsia" w:hAnsi="Palatino Linotype" w:cs="Arial"/>
          <w:b/>
          <w:sz w:val="24"/>
          <w:szCs w:val="24"/>
          <w:lang w:val="es-ES_tradnl" w:eastAsia="es-ES"/>
        </w:rPr>
        <w:t xml:space="preserve">SOBRESEE </w:t>
      </w:r>
      <w:r w:rsidRPr="006A11E6">
        <w:rPr>
          <w:rFonts w:ascii="Palatino Linotype" w:eastAsiaTheme="minorEastAsia" w:hAnsi="Palatino Linotype" w:cs="Arial"/>
          <w:sz w:val="24"/>
          <w:szCs w:val="24"/>
          <w:lang w:val="es-ES_tradnl" w:eastAsia="es-ES"/>
        </w:rPr>
        <w:t xml:space="preserve">el recurso de revisión </w:t>
      </w:r>
      <w:r w:rsidR="00873AF0" w:rsidRPr="006A11E6">
        <w:rPr>
          <w:rFonts w:ascii="Palatino Linotype" w:hAnsi="Palatino Linotype" w:cs="Arial"/>
          <w:b/>
          <w:bCs/>
          <w:sz w:val="24"/>
          <w:szCs w:val="24"/>
        </w:rPr>
        <w:t>17160/INFOEM/ICR-245/IP/RR/2022</w:t>
      </w:r>
      <w:r w:rsidRPr="006A11E6">
        <w:rPr>
          <w:rFonts w:ascii="Palatino Linotype" w:eastAsiaTheme="minorEastAsia" w:hAnsi="Palatino Linotype" w:cs="Arial"/>
          <w:sz w:val="24"/>
          <w:szCs w:val="24"/>
          <w:lang w:val="es-ES_tradnl" w:eastAsia="es-ES"/>
        </w:rPr>
        <w:t>,</w:t>
      </w:r>
      <w:r w:rsidRPr="006A11E6">
        <w:rPr>
          <w:rFonts w:ascii="Palatino Linotype" w:eastAsiaTheme="minorEastAsia" w:hAnsi="Palatino Linotype" w:cs="Times New Roman"/>
          <w:sz w:val="24"/>
          <w:szCs w:val="24"/>
          <w:lang w:val="es-ES_tradnl" w:eastAsia="es-ES"/>
        </w:rPr>
        <w:t xml:space="preserve"> que ha s</w:t>
      </w:r>
      <w:r w:rsidR="00666C79" w:rsidRPr="006A11E6">
        <w:rPr>
          <w:rFonts w:ascii="Palatino Linotype" w:eastAsiaTheme="minorEastAsia" w:hAnsi="Palatino Linotype" w:cs="Times New Roman"/>
          <w:sz w:val="24"/>
          <w:szCs w:val="24"/>
          <w:lang w:val="es-ES_tradnl" w:eastAsia="es-ES"/>
        </w:rPr>
        <w:t>ido materia del presente fallo.</w:t>
      </w:r>
    </w:p>
    <w:p w14:paraId="1B062353" w14:textId="77777777" w:rsidR="00DD587F" w:rsidRPr="006A11E6" w:rsidRDefault="0039181B" w:rsidP="00666C79">
      <w:pPr>
        <w:spacing w:line="360" w:lineRule="auto"/>
        <w:jc w:val="both"/>
        <w:rPr>
          <w:rFonts w:ascii="Palatino Linotype" w:eastAsia="Times New Roman" w:hAnsi="Palatino Linotype" w:cs="Times New Roman"/>
          <w:sz w:val="24"/>
          <w:szCs w:val="24"/>
          <w:lang w:val="es-ES" w:eastAsia="es-ES"/>
        </w:rPr>
      </w:pPr>
      <w:r w:rsidRPr="006A11E6">
        <w:rPr>
          <w:rFonts w:ascii="Palatino Linotype" w:eastAsia="Times New Roman" w:hAnsi="Palatino Linotype" w:cs="Times New Roman"/>
          <w:sz w:val="24"/>
          <w:szCs w:val="24"/>
          <w:lang w:val="es-ES" w:eastAsia="es-ES"/>
        </w:rPr>
        <w:t>Por lo antes expuest</w:t>
      </w:r>
      <w:r w:rsidR="00666C79" w:rsidRPr="006A11E6">
        <w:rPr>
          <w:rFonts w:ascii="Palatino Linotype" w:eastAsia="Times New Roman" w:hAnsi="Palatino Linotype" w:cs="Times New Roman"/>
          <w:sz w:val="24"/>
          <w:szCs w:val="24"/>
          <w:lang w:val="es-ES" w:eastAsia="es-ES"/>
        </w:rPr>
        <w:t>o y fundado es de resolverse y,</w:t>
      </w:r>
    </w:p>
    <w:p w14:paraId="5585FA8C" w14:textId="77777777" w:rsidR="00DD587F" w:rsidRPr="006A11E6" w:rsidRDefault="00DD587F" w:rsidP="00DD587F">
      <w:pPr>
        <w:spacing w:after="0" w:line="360" w:lineRule="auto"/>
        <w:jc w:val="both"/>
        <w:rPr>
          <w:rFonts w:ascii="Palatino Linotype" w:hAnsi="Palatino Linotype"/>
        </w:rPr>
      </w:pPr>
    </w:p>
    <w:p w14:paraId="0FE9AD12" w14:textId="77777777" w:rsidR="00DD587F" w:rsidRPr="006A11E6" w:rsidRDefault="00DD587F" w:rsidP="00DD587F">
      <w:pPr>
        <w:spacing w:after="0" w:line="360" w:lineRule="auto"/>
        <w:jc w:val="center"/>
        <w:rPr>
          <w:rFonts w:ascii="Palatino Linotype" w:hAnsi="Palatino Linotype"/>
          <w:b/>
          <w:bCs/>
          <w:spacing w:val="60"/>
          <w:sz w:val="28"/>
          <w:lang w:val="es-ES_tradnl"/>
        </w:rPr>
      </w:pPr>
      <w:r w:rsidRPr="006A11E6">
        <w:rPr>
          <w:rFonts w:ascii="Palatino Linotype" w:hAnsi="Palatino Linotype"/>
          <w:b/>
          <w:bCs/>
          <w:spacing w:val="60"/>
          <w:sz w:val="28"/>
          <w:lang w:val="es-ES_tradnl"/>
        </w:rPr>
        <w:t>SE    RESUELVE</w:t>
      </w:r>
    </w:p>
    <w:p w14:paraId="12A147B6" w14:textId="77777777" w:rsidR="00DD587F" w:rsidRPr="006A11E6" w:rsidRDefault="00DD587F" w:rsidP="00DD587F">
      <w:pPr>
        <w:pStyle w:val="Sinespaciado"/>
        <w:spacing w:line="360" w:lineRule="auto"/>
        <w:rPr>
          <w:lang w:eastAsia="en-US"/>
        </w:rPr>
      </w:pPr>
    </w:p>
    <w:p w14:paraId="5048BF1F" w14:textId="77777777" w:rsidR="00DD587F" w:rsidRPr="006A11E6" w:rsidRDefault="00DD587F" w:rsidP="00DD587F">
      <w:pPr>
        <w:tabs>
          <w:tab w:val="left" w:pos="8647"/>
        </w:tabs>
        <w:spacing w:line="360" w:lineRule="auto"/>
        <w:ind w:right="51"/>
        <w:jc w:val="both"/>
        <w:rPr>
          <w:rFonts w:ascii="Palatino Linotype" w:eastAsiaTheme="minorEastAsia" w:hAnsi="Palatino Linotype" w:cs="Arial"/>
          <w:sz w:val="24"/>
          <w:szCs w:val="24"/>
          <w:lang w:val="es-ES_tradnl" w:eastAsia="es-ES"/>
        </w:rPr>
      </w:pPr>
      <w:r w:rsidRPr="006A11E6">
        <w:rPr>
          <w:rFonts w:ascii="Palatino Linotype" w:eastAsiaTheme="minorEastAsia" w:hAnsi="Palatino Linotype" w:cs="Arial"/>
          <w:b/>
          <w:sz w:val="28"/>
          <w:szCs w:val="28"/>
          <w:lang w:val="es-ES_tradnl" w:eastAsia="es-ES"/>
        </w:rPr>
        <w:t>PRIMERO.</w:t>
      </w:r>
      <w:r w:rsidRPr="006A11E6">
        <w:rPr>
          <w:rFonts w:ascii="Palatino Linotype" w:eastAsiaTheme="minorEastAsia" w:hAnsi="Palatino Linotype" w:cs="Arial"/>
          <w:sz w:val="24"/>
          <w:szCs w:val="24"/>
          <w:lang w:val="es-ES_tradnl" w:eastAsia="es-ES"/>
        </w:rPr>
        <w:t xml:space="preserve"> Se </w:t>
      </w:r>
      <w:r w:rsidRPr="006A11E6">
        <w:rPr>
          <w:rFonts w:ascii="Palatino Linotype" w:eastAsiaTheme="minorEastAsia" w:hAnsi="Palatino Linotype" w:cs="Arial"/>
          <w:b/>
          <w:sz w:val="24"/>
          <w:szCs w:val="24"/>
          <w:lang w:val="es-ES_tradnl" w:eastAsia="es-ES"/>
        </w:rPr>
        <w:t>SOBRESEE</w:t>
      </w:r>
      <w:r w:rsidRPr="006A11E6">
        <w:rPr>
          <w:rFonts w:ascii="Palatino Linotype" w:eastAsiaTheme="minorEastAsia" w:hAnsi="Palatino Linotype" w:cs="Arial"/>
          <w:sz w:val="24"/>
          <w:szCs w:val="24"/>
          <w:lang w:val="es-ES_tradnl" w:eastAsia="es-ES"/>
        </w:rPr>
        <w:t xml:space="preserve"> el recurso de revisión número </w:t>
      </w:r>
      <w:r w:rsidR="00873AF0" w:rsidRPr="006A11E6">
        <w:rPr>
          <w:rFonts w:ascii="Palatino Linotype" w:hAnsi="Palatino Linotype" w:cs="Arial"/>
          <w:b/>
          <w:bCs/>
          <w:sz w:val="24"/>
          <w:szCs w:val="24"/>
        </w:rPr>
        <w:t>17160/INFOEM/ICR-245/IP/RR/2022</w:t>
      </w:r>
      <w:r w:rsidRPr="006A11E6">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Pr="006A11E6">
        <w:rPr>
          <w:rFonts w:ascii="Palatino Linotype" w:eastAsiaTheme="minorEastAsia" w:hAnsi="Palatino Linotype" w:cs="Arial"/>
          <w:b/>
          <w:sz w:val="24"/>
          <w:szCs w:val="24"/>
          <w:lang w:val="es-ES_tradnl" w:eastAsia="es-ES"/>
        </w:rPr>
        <w:t xml:space="preserve">Considerando CUARTO </w:t>
      </w:r>
      <w:r w:rsidRPr="006A11E6">
        <w:rPr>
          <w:rFonts w:ascii="Palatino Linotype" w:eastAsiaTheme="minorEastAsia" w:hAnsi="Palatino Linotype" w:cs="Arial"/>
          <w:sz w:val="24"/>
          <w:szCs w:val="24"/>
          <w:lang w:val="es-ES_tradnl" w:eastAsia="es-ES"/>
        </w:rPr>
        <w:t>de la presente resolución.</w:t>
      </w:r>
    </w:p>
    <w:p w14:paraId="11D8F656" w14:textId="77777777" w:rsidR="00DD587F" w:rsidRPr="006A11E6" w:rsidRDefault="00DD587F" w:rsidP="00DD587F">
      <w:pPr>
        <w:tabs>
          <w:tab w:val="left" w:pos="8647"/>
        </w:tabs>
        <w:spacing w:line="360" w:lineRule="auto"/>
        <w:ind w:right="51"/>
        <w:jc w:val="both"/>
        <w:rPr>
          <w:rFonts w:ascii="Palatino Linotype" w:eastAsiaTheme="minorEastAsia" w:hAnsi="Palatino Linotype" w:cs="Arial"/>
          <w:sz w:val="24"/>
          <w:szCs w:val="24"/>
          <w:lang w:val="es-ES_tradnl" w:eastAsia="es-ES"/>
        </w:rPr>
      </w:pPr>
    </w:p>
    <w:p w14:paraId="4B6EEE33" w14:textId="77777777" w:rsidR="00DD587F" w:rsidRPr="006A11E6" w:rsidRDefault="00DD587F" w:rsidP="00DD587F">
      <w:pPr>
        <w:tabs>
          <w:tab w:val="left" w:pos="8647"/>
        </w:tabs>
        <w:spacing w:line="360" w:lineRule="auto"/>
        <w:ind w:right="51"/>
        <w:jc w:val="both"/>
        <w:rPr>
          <w:rFonts w:ascii="Palatino Linotype" w:eastAsiaTheme="minorEastAsia" w:hAnsi="Palatino Linotype" w:cs="Arial"/>
          <w:sz w:val="24"/>
          <w:szCs w:val="24"/>
          <w:lang w:val="es-ES_tradnl" w:eastAsia="es-ES"/>
        </w:rPr>
      </w:pPr>
      <w:r w:rsidRPr="006A11E6">
        <w:rPr>
          <w:rFonts w:ascii="Palatino Linotype" w:eastAsiaTheme="minorEastAsia" w:hAnsi="Palatino Linotype" w:cs="Arial"/>
          <w:b/>
          <w:sz w:val="28"/>
          <w:szCs w:val="28"/>
          <w:lang w:val="es-ES_tradnl" w:eastAsia="es-ES"/>
        </w:rPr>
        <w:t>SEGUNDO.</w:t>
      </w:r>
      <w:r w:rsidRPr="006A11E6">
        <w:rPr>
          <w:rFonts w:ascii="Palatino Linotype" w:eastAsiaTheme="minorEastAsia" w:hAnsi="Palatino Linotype" w:cs="Arial"/>
          <w:sz w:val="24"/>
          <w:szCs w:val="24"/>
          <w:lang w:val="es-ES_tradnl" w:eastAsia="es-ES"/>
        </w:rPr>
        <w:t xml:space="preserve"> </w:t>
      </w:r>
      <w:r w:rsidRPr="006A11E6">
        <w:rPr>
          <w:rFonts w:ascii="Palatino Linotype" w:eastAsiaTheme="minorEastAsia" w:hAnsi="Palatino Linotype" w:cs="Arial"/>
          <w:b/>
          <w:sz w:val="24"/>
          <w:szCs w:val="24"/>
          <w:lang w:val="es-ES_tradnl" w:eastAsia="es-ES"/>
        </w:rPr>
        <w:t>Notifíquese</w:t>
      </w:r>
      <w:r w:rsidRPr="006A11E6">
        <w:rPr>
          <w:rFonts w:ascii="Palatino Linotype" w:eastAsiaTheme="minorEastAsia" w:hAnsi="Palatino Linotype" w:cs="Arial"/>
          <w:sz w:val="24"/>
          <w:szCs w:val="24"/>
          <w:lang w:val="es-ES_tradnl" w:eastAsia="es-ES"/>
        </w:rPr>
        <w:t xml:space="preserve"> vía SAIMEX la presente resolución al Titular de la Unidad de Transparencia del Sujeto Obligado.</w:t>
      </w:r>
    </w:p>
    <w:p w14:paraId="79B4F3C4" w14:textId="77777777" w:rsidR="00DD587F" w:rsidRPr="006A11E6" w:rsidRDefault="00DD587F" w:rsidP="00DD587F">
      <w:pPr>
        <w:tabs>
          <w:tab w:val="left" w:pos="8647"/>
        </w:tabs>
        <w:spacing w:line="360" w:lineRule="auto"/>
        <w:ind w:right="51"/>
        <w:jc w:val="both"/>
        <w:rPr>
          <w:rFonts w:ascii="Palatino Linotype" w:eastAsiaTheme="minorEastAsia" w:hAnsi="Palatino Linotype" w:cs="Arial"/>
          <w:sz w:val="24"/>
          <w:szCs w:val="24"/>
          <w:lang w:val="es-ES_tradnl" w:eastAsia="es-ES"/>
        </w:rPr>
      </w:pPr>
    </w:p>
    <w:p w14:paraId="2DF88CDB" w14:textId="77777777" w:rsidR="00DD587F" w:rsidRPr="006A11E6" w:rsidRDefault="00DD587F" w:rsidP="00DD587F">
      <w:pPr>
        <w:spacing w:line="360" w:lineRule="auto"/>
        <w:jc w:val="both"/>
        <w:rPr>
          <w:rFonts w:ascii="Palatino Linotype" w:eastAsia="Times New Roman" w:hAnsi="Palatino Linotype" w:cs="Arial"/>
          <w:sz w:val="24"/>
          <w:szCs w:val="24"/>
          <w:lang w:val="es-ES" w:eastAsia="es-ES"/>
        </w:rPr>
      </w:pPr>
      <w:r w:rsidRPr="006A11E6">
        <w:rPr>
          <w:rFonts w:ascii="Palatino Linotype" w:eastAsia="Times New Roman" w:hAnsi="Palatino Linotype" w:cs="Arial"/>
          <w:b/>
          <w:sz w:val="28"/>
          <w:szCs w:val="28"/>
          <w:lang w:val="es-ES" w:eastAsia="es-ES"/>
        </w:rPr>
        <w:t>TERCERO.</w:t>
      </w:r>
      <w:r w:rsidRPr="006A11E6">
        <w:rPr>
          <w:rFonts w:ascii="Palatino Linotype" w:eastAsia="Times New Roman" w:hAnsi="Palatino Linotype" w:cs="Arial"/>
          <w:sz w:val="24"/>
          <w:szCs w:val="24"/>
          <w:lang w:val="es-ES" w:eastAsia="es-ES"/>
        </w:rPr>
        <w:t xml:space="preserve"> </w:t>
      </w:r>
      <w:r w:rsidRPr="006A11E6">
        <w:rPr>
          <w:rFonts w:ascii="Palatino Linotype" w:eastAsia="Times New Roman" w:hAnsi="Palatino Linotype" w:cs="Arial"/>
          <w:b/>
          <w:sz w:val="24"/>
          <w:szCs w:val="24"/>
          <w:lang w:val="es-ES" w:eastAsia="es-ES"/>
        </w:rPr>
        <w:t>Notifíquese</w:t>
      </w:r>
      <w:r w:rsidRPr="006A11E6">
        <w:rPr>
          <w:rFonts w:ascii="Palatino Linotype" w:eastAsia="Times New Roman" w:hAnsi="Palatino Linotype" w:cs="Arial"/>
          <w:sz w:val="24"/>
          <w:szCs w:val="24"/>
          <w:lang w:val="es-ES" w:eastAsia="es-ES"/>
        </w:rPr>
        <w:t xml:space="preserve"> a través del</w:t>
      </w:r>
      <w:r w:rsidRPr="006A11E6">
        <w:rPr>
          <w:rFonts w:ascii="Palatino Linotype" w:eastAsia="Times New Roman" w:hAnsi="Palatino Linotype" w:cs="Times New Roman"/>
          <w:sz w:val="24"/>
          <w:szCs w:val="24"/>
          <w:lang w:val="es-ES" w:eastAsia="es-ES"/>
        </w:rPr>
        <w:t xml:space="preserve"> Sistema de Acceso a la Información Mexiquense (SAIMEX)</w:t>
      </w:r>
      <w:r w:rsidRPr="006A11E6">
        <w:rPr>
          <w:rFonts w:ascii="Palatino Linotype" w:eastAsia="Times New Roman" w:hAnsi="Palatino Linotype" w:cs="Arial"/>
          <w:sz w:val="24"/>
          <w:szCs w:val="24"/>
          <w:lang w:val="es-ES" w:eastAsia="es-ES"/>
        </w:rPr>
        <w:t xml:space="preserve">, al Recurrente la presente resolución y hágase del conocimiento que en caso de que considere que la presente resolución le causa algún perjuicio, podrá promover el Juicio de Amparo en los términos de las leyes aplicables, de acuerdo a lo estipulado </w:t>
      </w:r>
      <w:r w:rsidRPr="006A11E6">
        <w:rPr>
          <w:rFonts w:ascii="Palatino Linotype" w:eastAsia="Times New Roman" w:hAnsi="Palatino Linotype" w:cs="Arial"/>
          <w:sz w:val="24"/>
          <w:szCs w:val="24"/>
          <w:lang w:val="es-ES" w:eastAsia="es-ES"/>
        </w:rPr>
        <w:lastRenderedPageBreak/>
        <w:t>por el artículo 196 de la Ley de Transparencia y Acceso a la Información Pública del Estado de México y Municipios.</w:t>
      </w:r>
    </w:p>
    <w:p w14:paraId="334081B4" w14:textId="77777777" w:rsidR="00DD587F" w:rsidRPr="006A11E6" w:rsidRDefault="00DD587F" w:rsidP="00DD587F">
      <w:pPr>
        <w:autoSpaceDE w:val="0"/>
        <w:autoSpaceDN w:val="0"/>
        <w:adjustRightInd w:val="0"/>
        <w:spacing w:after="0" w:line="360" w:lineRule="auto"/>
        <w:ind w:right="51"/>
        <w:jc w:val="both"/>
        <w:rPr>
          <w:rFonts w:ascii="Palatino Linotype" w:hAnsi="Palatino Linotype" w:cs="Arial"/>
          <w:sz w:val="24"/>
          <w:szCs w:val="24"/>
        </w:rPr>
      </w:pPr>
    </w:p>
    <w:p w14:paraId="4CBCAF8E" w14:textId="6FCA4039" w:rsidR="00DD587F" w:rsidRPr="006A11E6" w:rsidRDefault="00DD587F" w:rsidP="00DD587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A11E6">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077108" w:rsidRPr="006A11E6">
        <w:rPr>
          <w:rFonts w:ascii="Palatino Linotype" w:eastAsiaTheme="minorEastAsia" w:hAnsi="Palatino Linotype"/>
          <w:color w:val="000000" w:themeColor="text1"/>
          <w:sz w:val="24"/>
          <w:szCs w:val="24"/>
          <w:lang w:val="es-ES_tradnl" w:eastAsia="es-ES"/>
        </w:rPr>
        <w:t>TRIGÉ</w:t>
      </w:r>
      <w:r w:rsidRPr="006A11E6">
        <w:rPr>
          <w:rFonts w:ascii="Palatino Linotype" w:eastAsiaTheme="minorEastAsia" w:hAnsi="Palatino Linotype"/>
          <w:color w:val="000000" w:themeColor="text1"/>
          <w:sz w:val="24"/>
          <w:szCs w:val="24"/>
          <w:lang w:val="es-ES_tradnl" w:eastAsia="es-ES"/>
        </w:rPr>
        <w:t>SIMA PRIMER</w:t>
      </w:r>
      <w:r w:rsidR="00DA1FE1" w:rsidRPr="006A11E6">
        <w:rPr>
          <w:rFonts w:ascii="Palatino Linotype" w:eastAsiaTheme="minorEastAsia" w:hAnsi="Palatino Linotype"/>
          <w:color w:val="000000" w:themeColor="text1"/>
          <w:sz w:val="24"/>
          <w:szCs w:val="24"/>
          <w:lang w:val="es-ES_tradnl" w:eastAsia="es-ES"/>
        </w:rPr>
        <w:t>A</w:t>
      </w:r>
      <w:r w:rsidRPr="006A11E6">
        <w:rPr>
          <w:rFonts w:ascii="Palatino Linotype" w:eastAsiaTheme="minorEastAsia" w:hAnsi="Palatino Linotype"/>
          <w:color w:val="000000" w:themeColor="text1"/>
          <w:sz w:val="24"/>
          <w:szCs w:val="24"/>
          <w:lang w:val="es-ES_tradnl" w:eastAsia="es-ES"/>
        </w:rPr>
        <w:t xml:space="preserve"> SESIÓN ORDINARIA CELEBRADA EL TREINTA DE AGOSTO DE DOS MIL VEINTITRÉS, ANTE EL SECRETARIO TÉCNICO DEL PLENO ALEXIS TAPIA RAMÍREZ</w:t>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Pr="006A11E6">
        <w:rPr>
          <w:rFonts w:ascii="Palatino Linotype" w:eastAsiaTheme="minorEastAsia" w:hAnsi="Palatino Linotype"/>
          <w:color w:val="000000" w:themeColor="text1"/>
          <w:sz w:val="24"/>
          <w:szCs w:val="24"/>
          <w:lang w:val="es-ES_tradnl" w:eastAsia="es-ES"/>
        </w:rPr>
        <w:softHyphen/>
      </w:r>
      <w:r w:rsidR="00AA43E3" w:rsidRPr="006A11E6">
        <w:rPr>
          <w:rFonts w:ascii="Palatino Linotype" w:eastAsiaTheme="minorEastAsia" w:hAnsi="Palatino Linotype"/>
          <w:color w:val="000000" w:themeColor="text1"/>
          <w:sz w:val="24"/>
          <w:szCs w:val="24"/>
          <w:lang w:val="es-ES_tradnl" w:eastAsia="es-ES"/>
        </w:rPr>
        <w:t>.</w:t>
      </w:r>
      <w:r w:rsidR="00AA43E3" w:rsidRPr="006A11E6">
        <w:rPr>
          <w:rFonts w:ascii="Palatino Linotype" w:hAnsi="Palatino Linotype"/>
          <w:sz w:val="24"/>
        </w:rPr>
        <w:t xml:space="preserve"> ------------------------------------------------------------------------------------------------------------------------------------------------------------------------------------------------------------------------------------------------------------------------------------------------------------------------------------------------------------------------------------------------------------------------------------------------------------------------------------------------------------------------------------------------------------------------------------------------------------------------------------------------------------------------------------------------------------------------------------------------------------------------------------------------------------------------------------------------------------------------------------------------------------------------------------------------------------------------------------------------------------------------------------------------------------------------------------------------------------------------------------------------------------------------------------------------------------------------------------------------------------------------------------------------------------------------------------------------------------</w:t>
      </w:r>
    </w:p>
    <w:p w14:paraId="7DA7BA44" w14:textId="77777777" w:rsidR="00DD587F" w:rsidRPr="00E11432" w:rsidRDefault="00DD587F" w:rsidP="00DD587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A11E6">
        <w:rPr>
          <w:rFonts w:ascii="Palatino Linotype" w:hAnsi="Palatino Linotype"/>
          <w:sz w:val="16"/>
          <w:szCs w:val="18"/>
        </w:rPr>
        <w:t>JMV/CCR/NJMB</w:t>
      </w:r>
      <w:bookmarkStart w:id="0" w:name="_GoBack"/>
      <w:bookmarkEnd w:id="0"/>
    </w:p>
    <w:p w14:paraId="26A1C12F" w14:textId="77777777" w:rsidR="00DD587F" w:rsidRDefault="00DD587F" w:rsidP="00DD587F"/>
    <w:p w14:paraId="267CF2EE" w14:textId="77777777" w:rsidR="00DD587F" w:rsidRDefault="00DD587F" w:rsidP="00DD587F"/>
    <w:p w14:paraId="2280598C" w14:textId="77777777" w:rsidR="00DD587F" w:rsidRDefault="00DD587F" w:rsidP="00DD587F"/>
    <w:p w14:paraId="30F81578" w14:textId="77777777" w:rsidR="00DD587F" w:rsidRDefault="00DD587F" w:rsidP="00DD587F"/>
    <w:p w14:paraId="385C6C9E" w14:textId="77777777" w:rsidR="00DD587F" w:rsidRDefault="00DD587F" w:rsidP="00DD587F"/>
    <w:p w14:paraId="4CBFC2F0" w14:textId="77777777" w:rsidR="00DD587F" w:rsidRDefault="00DD587F" w:rsidP="00DD587F"/>
    <w:p w14:paraId="73A64D59" w14:textId="77777777" w:rsidR="00DD587F" w:rsidRDefault="00DD587F" w:rsidP="00DD587F"/>
    <w:p w14:paraId="4DF23935" w14:textId="77777777" w:rsidR="00DD587F" w:rsidRDefault="00DD587F" w:rsidP="00DD587F"/>
    <w:p w14:paraId="6089730E" w14:textId="77777777" w:rsidR="00DD587F" w:rsidRDefault="00DD587F" w:rsidP="00DD587F"/>
    <w:p w14:paraId="140FC0E5" w14:textId="77777777" w:rsidR="00DD587F" w:rsidRDefault="00DD587F" w:rsidP="00DD587F"/>
    <w:p w14:paraId="3B67DEBE" w14:textId="77777777" w:rsidR="00DD587F" w:rsidRDefault="00DD587F" w:rsidP="00DD587F"/>
    <w:p w14:paraId="1AD8F8CA" w14:textId="77777777" w:rsidR="00DD587F" w:rsidRDefault="00DD587F" w:rsidP="00DD587F"/>
    <w:p w14:paraId="10CD2817" w14:textId="77777777" w:rsidR="00DD587F" w:rsidRDefault="00DD587F" w:rsidP="00DD587F"/>
    <w:p w14:paraId="2987B181" w14:textId="77777777" w:rsidR="00DD587F" w:rsidRDefault="00DD587F" w:rsidP="00DD587F"/>
    <w:p w14:paraId="55B16FB6" w14:textId="77777777" w:rsidR="00DD587F" w:rsidRDefault="00DD587F" w:rsidP="00DD587F"/>
    <w:p w14:paraId="13178EC2" w14:textId="77777777" w:rsidR="00DD587F" w:rsidRDefault="00DD587F" w:rsidP="00DD587F"/>
    <w:p w14:paraId="09CC62B3" w14:textId="77777777" w:rsidR="00DD587F" w:rsidRDefault="00DD587F" w:rsidP="00DD587F"/>
    <w:p w14:paraId="00F325AD" w14:textId="77777777" w:rsidR="00DD587F" w:rsidRDefault="00DD587F" w:rsidP="00DD587F"/>
    <w:p w14:paraId="0AF91D9D" w14:textId="77777777" w:rsidR="00DD587F" w:rsidRDefault="00DD587F" w:rsidP="00DD587F"/>
    <w:p w14:paraId="11F1D99E" w14:textId="77777777" w:rsidR="00DD587F" w:rsidRDefault="00DD587F" w:rsidP="00DD587F"/>
    <w:p w14:paraId="06364F9E" w14:textId="77777777" w:rsidR="00F06F11" w:rsidRDefault="00F06F11"/>
    <w:sectPr w:rsidR="00F06F11" w:rsidSect="00CB09BD">
      <w:headerReference w:type="even" r:id="rId7"/>
      <w:headerReference w:type="default" r:id="rId8"/>
      <w:footerReference w:type="default" r:id="rId9"/>
      <w:headerReference w:type="first" r:id="rId10"/>
      <w:footerReference w:type="first" r:id="rId11"/>
      <w:pgSz w:w="12240" w:h="15840"/>
      <w:pgMar w:top="1418" w:right="14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CBA94" w14:textId="77777777" w:rsidR="00661B46" w:rsidRDefault="00661B46" w:rsidP="00DD587F">
      <w:pPr>
        <w:spacing w:after="0" w:line="240" w:lineRule="auto"/>
      </w:pPr>
      <w:r>
        <w:separator/>
      </w:r>
    </w:p>
  </w:endnote>
  <w:endnote w:type="continuationSeparator" w:id="0">
    <w:p w14:paraId="687C82EB" w14:textId="77777777" w:rsidR="00661B46" w:rsidRDefault="00661B46" w:rsidP="00DD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C151B" w14:textId="77777777" w:rsidR="003042F7" w:rsidRPr="000B69FA" w:rsidRDefault="00576833" w:rsidP="00125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11E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A11E6">
      <w:rPr>
        <w:rFonts w:ascii="Palatino Linotype" w:hAnsi="Palatino Linotype"/>
        <w:bCs/>
        <w:noProof/>
        <w:sz w:val="20"/>
      </w:rPr>
      <w:t>29</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5BAE" w14:textId="77777777" w:rsidR="003042F7" w:rsidRPr="000B69FA" w:rsidRDefault="00576833" w:rsidP="00125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11E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A11E6">
      <w:rPr>
        <w:rFonts w:ascii="Palatino Linotype" w:hAnsi="Palatino Linotype"/>
        <w:bCs/>
        <w:noProof/>
        <w:sz w:val="20"/>
      </w:rPr>
      <w:t>29</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9079F" w14:textId="77777777" w:rsidR="00661B46" w:rsidRDefault="00661B46" w:rsidP="00DD587F">
      <w:pPr>
        <w:spacing w:after="0" w:line="240" w:lineRule="auto"/>
      </w:pPr>
      <w:r>
        <w:separator/>
      </w:r>
    </w:p>
  </w:footnote>
  <w:footnote w:type="continuationSeparator" w:id="0">
    <w:p w14:paraId="63D8E6BC" w14:textId="77777777" w:rsidR="00661B46" w:rsidRDefault="00661B46" w:rsidP="00DD587F">
      <w:pPr>
        <w:spacing w:after="0" w:line="240" w:lineRule="auto"/>
      </w:pPr>
      <w:r>
        <w:continuationSeparator/>
      </w:r>
    </w:p>
  </w:footnote>
  <w:footnote w:id="1">
    <w:p w14:paraId="4D82F9D9" w14:textId="77777777" w:rsidR="0039181B" w:rsidRPr="00A070D9" w:rsidRDefault="0039181B" w:rsidP="0039181B">
      <w:pPr>
        <w:pStyle w:val="Textonotapie"/>
      </w:pPr>
      <w:r>
        <w:rPr>
          <w:rStyle w:val="Refdenotaalpie"/>
        </w:rPr>
        <w:footnoteRef/>
      </w:r>
      <w:r>
        <w:t xml:space="preserve"> Tesis II. 1o. J/5, </w:t>
      </w:r>
      <w:r>
        <w:rPr>
          <w:i/>
        </w:rPr>
        <w:t>Semanario Judicial de la Federación</w:t>
      </w:r>
      <w:r>
        <w:t>, Octava Época. tomo VII, mayo de 1991, pág. 95.</w:t>
      </w:r>
    </w:p>
  </w:footnote>
  <w:footnote w:id="2">
    <w:p w14:paraId="34B7E8BA" w14:textId="77777777" w:rsidR="0039181B" w:rsidRPr="00A070D9" w:rsidRDefault="0039181B" w:rsidP="0039181B">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E67FAD2" w14:textId="77777777" w:rsidR="0039181B" w:rsidRPr="00A070D9" w:rsidRDefault="0039181B" w:rsidP="0039181B">
      <w:pPr>
        <w:spacing w:line="240" w:lineRule="auto"/>
        <w:rPr>
          <w:i/>
          <w:sz w:val="18"/>
          <w:szCs w:val="18"/>
        </w:rPr>
      </w:pPr>
      <w:r w:rsidRPr="00A070D9">
        <w:rPr>
          <w:i/>
          <w:sz w:val="18"/>
          <w:szCs w:val="18"/>
        </w:rPr>
        <w:t xml:space="preserve">Del examen de compatibilidad de los artículos </w:t>
      </w:r>
      <w:hyperlink r:id="rId1" w:history="1">
        <w:r w:rsidRPr="00A070D9">
          <w:rPr>
            <w:rStyle w:val="Hipervnculo"/>
            <w:i/>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sz w:val="18"/>
            <w:szCs w:val="18"/>
          </w:rPr>
          <w:t>25.1 de la Convención Americana sobre Derechos Humanos</w:t>
        </w:r>
      </w:hyperlink>
      <w:r w:rsidRPr="00A070D9">
        <w:rPr>
          <w:rStyle w:val="Hipervnculo"/>
          <w:i/>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FA097" w14:textId="77777777" w:rsidR="003042F7" w:rsidRDefault="006A11E6">
    <w:pPr>
      <w:pStyle w:val="Encabezado"/>
    </w:pPr>
    <w:r>
      <w:rPr>
        <w:noProof/>
      </w:rPr>
      <w:pict w14:anchorId="5C92D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A11E8" w14:textId="77777777" w:rsidR="003042F7" w:rsidRDefault="006A11E6">
    <w:pPr>
      <w:pStyle w:val="Encabezado"/>
    </w:pPr>
    <w:r>
      <w:rPr>
        <w:noProof/>
      </w:rPr>
      <w:pict w14:anchorId="07BDF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3042F7" w14:paraId="72C5B002" w14:textId="77777777" w:rsidTr="00125CCA">
      <w:trPr>
        <w:trHeight w:val="227"/>
      </w:trPr>
      <w:tc>
        <w:tcPr>
          <w:tcW w:w="5949" w:type="dxa"/>
          <w:hideMark/>
        </w:tcPr>
        <w:p w14:paraId="74DDB610" w14:textId="77777777" w:rsidR="003042F7" w:rsidRDefault="00576833"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89E7A45" w14:textId="77777777" w:rsidR="003042F7" w:rsidRPr="00B4142F" w:rsidRDefault="00576833" w:rsidP="008404DD">
          <w:pPr>
            <w:spacing w:after="120" w:line="256" w:lineRule="auto"/>
            <w:ind w:right="214"/>
            <w:rPr>
              <w:rFonts w:ascii="Palatino Linotype" w:hAnsi="Palatino Linotype" w:cs="Arial"/>
              <w:szCs w:val="20"/>
            </w:rPr>
          </w:pPr>
          <w:r>
            <w:rPr>
              <w:rFonts w:ascii="Palatino Linotype" w:hAnsi="Palatino Linotype" w:cs="Arial"/>
              <w:b/>
              <w:bCs/>
              <w:lang w:eastAsia="es-MX"/>
            </w:rPr>
            <w:t>1</w:t>
          </w:r>
          <w:r w:rsidR="00DD587F">
            <w:rPr>
              <w:rFonts w:ascii="Palatino Linotype" w:hAnsi="Palatino Linotype" w:cs="Arial"/>
              <w:b/>
              <w:bCs/>
              <w:lang w:eastAsia="es-MX"/>
            </w:rPr>
            <w:t xml:space="preserve">7160/INFOEM/ICR-245/IP/RR/2022  </w:t>
          </w:r>
        </w:p>
      </w:tc>
    </w:tr>
    <w:tr w:rsidR="003042F7" w14:paraId="5743EDF5" w14:textId="77777777" w:rsidTr="00125CCA">
      <w:trPr>
        <w:trHeight w:val="242"/>
      </w:trPr>
      <w:tc>
        <w:tcPr>
          <w:tcW w:w="5949" w:type="dxa"/>
          <w:hideMark/>
        </w:tcPr>
        <w:p w14:paraId="24FE422D" w14:textId="77777777" w:rsidR="003042F7" w:rsidRDefault="00576833"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93D7F28" w14:textId="77777777" w:rsidR="003042F7" w:rsidRPr="00F06FED" w:rsidRDefault="00576833" w:rsidP="008404DD">
          <w:pPr>
            <w:spacing w:after="120" w:line="256" w:lineRule="auto"/>
            <w:ind w:right="214"/>
            <w:rPr>
              <w:rFonts w:ascii="Palatino Linotype" w:hAnsi="Palatino Linotype" w:cs="Arial"/>
            </w:rPr>
          </w:pPr>
          <w:r>
            <w:rPr>
              <w:rFonts w:ascii="Palatino Linotype" w:hAnsi="Palatino Linotype" w:cs="Arial"/>
              <w:szCs w:val="20"/>
            </w:rPr>
            <w:t>Ayuntamiento de Zinacantepec</w:t>
          </w:r>
        </w:p>
      </w:tc>
    </w:tr>
    <w:tr w:rsidR="003042F7" w14:paraId="7BD44828" w14:textId="77777777" w:rsidTr="00125CCA">
      <w:trPr>
        <w:trHeight w:val="342"/>
      </w:trPr>
      <w:tc>
        <w:tcPr>
          <w:tcW w:w="5949" w:type="dxa"/>
          <w:hideMark/>
        </w:tcPr>
        <w:p w14:paraId="640CB455" w14:textId="77777777" w:rsidR="003042F7" w:rsidRDefault="00576833" w:rsidP="00125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66F0309" w14:textId="77777777" w:rsidR="003042F7" w:rsidRDefault="00576833" w:rsidP="008404DD">
          <w:pPr>
            <w:spacing w:after="120" w:line="256" w:lineRule="auto"/>
            <w:ind w:right="214"/>
            <w:rPr>
              <w:rFonts w:ascii="Palatino Linotype" w:hAnsi="Palatino Linotype" w:cs="Arial"/>
              <w:szCs w:val="20"/>
            </w:rPr>
          </w:pPr>
          <w:r>
            <w:rPr>
              <w:rFonts w:ascii="Palatino Linotype" w:hAnsi="Palatino Linotype" w:cs="Arial"/>
              <w:szCs w:val="20"/>
            </w:rPr>
            <w:t>José Martínez Vilchis</w:t>
          </w:r>
        </w:p>
      </w:tc>
    </w:tr>
  </w:tbl>
  <w:p w14:paraId="19E12935" w14:textId="77777777" w:rsidR="003042F7" w:rsidRDefault="006A11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954"/>
      <w:gridCol w:w="4111"/>
    </w:tblGrid>
    <w:tr w:rsidR="003042F7" w14:paraId="1D74E5E1" w14:textId="77777777" w:rsidTr="00CB09BD">
      <w:trPr>
        <w:trHeight w:val="227"/>
      </w:trPr>
      <w:tc>
        <w:tcPr>
          <w:tcW w:w="5954" w:type="dxa"/>
          <w:hideMark/>
        </w:tcPr>
        <w:p w14:paraId="7639F61B" w14:textId="77777777" w:rsidR="003042F7" w:rsidRDefault="00576833"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28A35808" w14:textId="77777777" w:rsidR="003042F7" w:rsidRPr="008404DD" w:rsidRDefault="00D3475B" w:rsidP="00CB09BD">
          <w:pPr>
            <w:tabs>
              <w:tab w:val="left" w:pos="639"/>
              <w:tab w:val="left" w:pos="2203"/>
            </w:tabs>
            <w:spacing w:after="120" w:line="256" w:lineRule="auto"/>
            <w:ind w:left="497" w:right="355" w:hanging="563"/>
            <w:rPr>
              <w:rFonts w:ascii="Palatino Linotype" w:hAnsi="Palatino Linotype" w:cs="Arial"/>
              <w:b/>
              <w:szCs w:val="20"/>
            </w:rPr>
          </w:pPr>
          <w:r>
            <w:rPr>
              <w:rFonts w:ascii="Palatino Linotype" w:hAnsi="Palatino Linotype" w:cs="Arial"/>
              <w:b/>
              <w:bCs/>
              <w:lang w:eastAsia="es-MX"/>
            </w:rPr>
            <w:t>17</w:t>
          </w:r>
          <w:r w:rsidR="00DD587F">
            <w:rPr>
              <w:rFonts w:ascii="Palatino Linotype" w:hAnsi="Palatino Linotype" w:cs="Arial"/>
              <w:b/>
              <w:bCs/>
              <w:lang w:eastAsia="es-MX"/>
            </w:rPr>
            <w:t>160/INFOEM/ICR-245/IP/RR/2022</w:t>
          </w:r>
          <w:r w:rsidR="00576833" w:rsidRPr="008404DD">
            <w:rPr>
              <w:rFonts w:ascii="Palatino Linotype" w:hAnsi="Palatino Linotype" w:cs="Arial"/>
              <w:b/>
              <w:bCs/>
              <w:sz w:val="24"/>
              <w:lang w:eastAsia="es-MX"/>
            </w:rPr>
            <w:t>.</w:t>
          </w:r>
        </w:p>
      </w:tc>
    </w:tr>
    <w:tr w:rsidR="003042F7" w14:paraId="63C777CA" w14:textId="77777777" w:rsidTr="00CB09BD">
      <w:trPr>
        <w:trHeight w:val="196"/>
      </w:trPr>
      <w:tc>
        <w:tcPr>
          <w:tcW w:w="5954" w:type="dxa"/>
          <w:hideMark/>
        </w:tcPr>
        <w:p w14:paraId="28A39A58" w14:textId="77777777" w:rsidR="003042F7" w:rsidRDefault="00576833"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1" w:type="dxa"/>
          <w:hideMark/>
        </w:tcPr>
        <w:p w14:paraId="2764DEE3" w14:textId="29CA62D8" w:rsidR="003042F7" w:rsidRPr="00F06FED" w:rsidRDefault="00532A74" w:rsidP="00532A74">
          <w:pPr>
            <w:spacing w:after="120" w:line="256" w:lineRule="auto"/>
            <w:ind w:right="214"/>
            <w:rPr>
              <w:rFonts w:ascii="Palatino Linotype" w:hAnsi="Palatino Linotype" w:cs="Arial"/>
            </w:rPr>
          </w:pPr>
          <w:r>
            <w:rPr>
              <w:rFonts w:ascii="Palatino Linotype" w:hAnsi="Palatino Linotype" w:cs="Arial"/>
            </w:rPr>
            <w:t>XXXX</w:t>
          </w:r>
        </w:p>
      </w:tc>
    </w:tr>
    <w:tr w:rsidR="003042F7" w14:paraId="35F16F6A" w14:textId="77777777" w:rsidTr="00CB09BD">
      <w:trPr>
        <w:trHeight w:val="242"/>
      </w:trPr>
      <w:tc>
        <w:tcPr>
          <w:tcW w:w="5954" w:type="dxa"/>
          <w:hideMark/>
        </w:tcPr>
        <w:p w14:paraId="764B6B9A" w14:textId="77777777" w:rsidR="003042F7" w:rsidRDefault="00576833"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466BF060" w14:textId="77777777" w:rsidR="003042F7" w:rsidRDefault="00576833" w:rsidP="00FD3198">
          <w:pPr>
            <w:spacing w:after="120" w:line="256" w:lineRule="auto"/>
            <w:ind w:right="214"/>
            <w:rPr>
              <w:rFonts w:ascii="Palatino Linotype" w:hAnsi="Palatino Linotype" w:cs="Arial"/>
              <w:szCs w:val="20"/>
            </w:rPr>
          </w:pPr>
          <w:r w:rsidRPr="00AD361C">
            <w:rPr>
              <w:rFonts w:ascii="Palatino Linotype" w:hAnsi="Palatino Linotype" w:cs="Arial"/>
              <w:szCs w:val="20"/>
            </w:rPr>
            <w:t>Ayuntamiento de</w:t>
          </w:r>
          <w:r>
            <w:rPr>
              <w:rFonts w:ascii="Palatino Linotype" w:hAnsi="Palatino Linotype" w:cs="Arial"/>
              <w:szCs w:val="20"/>
            </w:rPr>
            <w:t xml:space="preserve"> Zinacantepec</w:t>
          </w:r>
        </w:p>
      </w:tc>
    </w:tr>
    <w:tr w:rsidR="003042F7" w14:paraId="26639A7A" w14:textId="77777777" w:rsidTr="00CB09BD">
      <w:trPr>
        <w:trHeight w:val="342"/>
      </w:trPr>
      <w:tc>
        <w:tcPr>
          <w:tcW w:w="5954" w:type="dxa"/>
          <w:hideMark/>
        </w:tcPr>
        <w:p w14:paraId="0A4BF580" w14:textId="77777777" w:rsidR="003042F7" w:rsidRDefault="00576833" w:rsidP="00125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1F15E7A0" w14:textId="77777777" w:rsidR="003042F7" w:rsidRDefault="00576833" w:rsidP="008404DD">
          <w:pPr>
            <w:spacing w:after="120" w:line="256" w:lineRule="auto"/>
            <w:ind w:right="214"/>
            <w:rPr>
              <w:rFonts w:ascii="Palatino Linotype" w:hAnsi="Palatino Linotype" w:cs="Arial"/>
              <w:szCs w:val="20"/>
            </w:rPr>
          </w:pPr>
          <w:r>
            <w:rPr>
              <w:rFonts w:ascii="Palatino Linotype" w:hAnsi="Palatino Linotype" w:cs="Arial"/>
              <w:szCs w:val="20"/>
            </w:rPr>
            <w:t>José Martínez Vilchis</w:t>
          </w:r>
        </w:p>
      </w:tc>
    </w:tr>
  </w:tbl>
  <w:p w14:paraId="5629FA62" w14:textId="77777777" w:rsidR="003042F7" w:rsidRDefault="006A11E6">
    <w:pPr>
      <w:pStyle w:val="Encabezado"/>
    </w:pPr>
    <w:r>
      <w:rPr>
        <w:noProof/>
      </w:rPr>
      <w:pict w14:anchorId="1E556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3C6D58"/>
    <w:multiLevelType w:val="hybridMultilevel"/>
    <w:tmpl w:val="BC4C460A"/>
    <w:lvl w:ilvl="0" w:tplc="D4E62988">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7F"/>
    <w:rsid w:val="00077108"/>
    <w:rsid w:val="00236F9B"/>
    <w:rsid w:val="003355E1"/>
    <w:rsid w:val="003507B4"/>
    <w:rsid w:val="0039181B"/>
    <w:rsid w:val="00532A74"/>
    <w:rsid w:val="00576833"/>
    <w:rsid w:val="00661B46"/>
    <w:rsid w:val="00666C79"/>
    <w:rsid w:val="006A11E6"/>
    <w:rsid w:val="00873AF0"/>
    <w:rsid w:val="009377A0"/>
    <w:rsid w:val="00A24CC9"/>
    <w:rsid w:val="00AA43E3"/>
    <w:rsid w:val="00B2417D"/>
    <w:rsid w:val="00C22257"/>
    <w:rsid w:val="00C81DAC"/>
    <w:rsid w:val="00CB09BD"/>
    <w:rsid w:val="00D3475B"/>
    <w:rsid w:val="00DA1FE1"/>
    <w:rsid w:val="00DD587F"/>
    <w:rsid w:val="00F06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9EB8CF"/>
  <w15:chartTrackingRefBased/>
  <w15:docId w15:val="{F2E214B2-05CF-4BF7-B6C7-D9757BE9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8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87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D587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D587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D587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D587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D587F"/>
    <w:rPr>
      <w:rFonts w:ascii="Times New Roman" w:eastAsia="Times New Roman" w:hAnsi="Times New Roman" w:cs="Times New Roman"/>
      <w:sz w:val="24"/>
      <w:szCs w:val="24"/>
      <w:lang w:val="es-ES" w:eastAsia="es-ES"/>
    </w:rPr>
  </w:style>
  <w:style w:type="paragraph" w:styleId="Sinespaciado">
    <w:name w:val="No Spacing"/>
    <w:aliases w:val="Francesa,INAI,fundamentos"/>
    <w:link w:val="SinespaciadoCar"/>
    <w:uiPriority w:val="1"/>
    <w:qFormat/>
    <w:rsid w:val="00DD587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DD587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DD587F"/>
    <w:pPr>
      <w:spacing w:after="120"/>
    </w:pPr>
  </w:style>
  <w:style w:type="character" w:customStyle="1" w:styleId="TextoindependienteCar">
    <w:name w:val="Texto independiente Car"/>
    <w:basedOn w:val="Fuentedeprrafopredeter"/>
    <w:link w:val="Textoindependiente"/>
    <w:uiPriority w:val="1"/>
    <w:rsid w:val="00DD587F"/>
  </w:style>
  <w:style w:type="character" w:customStyle="1" w:styleId="apple-converted-space">
    <w:name w:val="apple-converted-space"/>
    <w:basedOn w:val="Fuentedeprrafopredeter"/>
    <w:rsid w:val="00DD587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D587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D587F"/>
    <w:rPr>
      <w:color w:val="0563C1" w:themeColor="hyperlink"/>
      <w:u w:val="single"/>
    </w:rPr>
  </w:style>
  <w:style w:type="character" w:styleId="Refdecomentario">
    <w:name w:val="annotation reference"/>
    <w:basedOn w:val="Fuentedeprrafopredeter"/>
    <w:uiPriority w:val="99"/>
    <w:semiHidden/>
    <w:unhideWhenUsed/>
    <w:rsid w:val="00DD587F"/>
    <w:rPr>
      <w:sz w:val="16"/>
      <w:szCs w:val="1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D587F"/>
    <w:pPr>
      <w:spacing w:after="0" w:line="240" w:lineRule="auto"/>
      <w:jc w:val="both"/>
    </w:pPr>
    <w:rPr>
      <w:rFonts w:ascii="Palatino Linotype" w:eastAsia="Calibri" w:hAnsi="Palatino Linotype" w:cs="Calibri"/>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D587F"/>
    <w:rPr>
      <w:rFonts w:ascii="Palatino Linotype" w:eastAsia="Calibri" w:hAnsi="Palatino Linotype" w:cs="Calibri"/>
      <w:sz w:val="20"/>
      <w:szCs w:val="20"/>
      <w:lang w:eastAsia="es-MX"/>
    </w:rPr>
  </w:style>
  <w:style w:type="paragraph" w:styleId="Textodeglobo">
    <w:name w:val="Balloon Text"/>
    <w:basedOn w:val="Normal"/>
    <w:link w:val="TextodegloboCar"/>
    <w:uiPriority w:val="99"/>
    <w:semiHidden/>
    <w:unhideWhenUsed/>
    <w:rsid w:val="00CB09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0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48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6331</Words>
  <Characters>34822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2023-08-23T17:44:00Z</dcterms:created>
  <dcterms:modified xsi:type="dcterms:W3CDTF">2023-10-10T23:19:00Z</dcterms:modified>
</cp:coreProperties>
</file>