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C7627" w14:textId="4B9CCAA2" w:rsidR="00F8557D" w:rsidRPr="008645E3" w:rsidRDefault="00646B44">
      <w:pPr>
        <w:spacing w:after="0" w:line="360" w:lineRule="auto"/>
        <w:ind w:right="49"/>
        <w:jc w:val="both"/>
        <w:rPr>
          <w:rFonts w:ascii="Palatino Linotype" w:eastAsia="Palatino Linotype" w:hAnsi="Palatino Linotype" w:cs="Palatino Linotype"/>
          <w:sz w:val="24"/>
          <w:szCs w:val="24"/>
        </w:rPr>
      </w:pPr>
      <w:r w:rsidRPr="008645E3">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de fecha </w:t>
      </w:r>
      <w:r w:rsidR="00EF3F9A">
        <w:rPr>
          <w:rFonts w:ascii="Palatino Linotype" w:eastAsia="Palatino Linotype" w:hAnsi="Palatino Linotype" w:cs="Palatino Linotype"/>
          <w:sz w:val="24"/>
          <w:szCs w:val="24"/>
        </w:rPr>
        <w:t>veinticuatro de mayo</w:t>
      </w:r>
      <w:r w:rsidR="00B30C44">
        <w:rPr>
          <w:rFonts w:ascii="Palatino Linotype" w:eastAsia="Palatino Linotype" w:hAnsi="Palatino Linotype" w:cs="Palatino Linotype"/>
          <w:sz w:val="24"/>
          <w:szCs w:val="24"/>
        </w:rPr>
        <w:t xml:space="preserve"> de dos mil veintitrés</w:t>
      </w:r>
      <w:r w:rsidRPr="008645E3">
        <w:rPr>
          <w:rFonts w:ascii="Palatino Linotype" w:eastAsia="Palatino Linotype" w:hAnsi="Palatino Linotype" w:cs="Palatino Linotype"/>
          <w:sz w:val="24"/>
          <w:szCs w:val="24"/>
        </w:rPr>
        <w:t xml:space="preserve">. </w:t>
      </w:r>
    </w:p>
    <w:p w14:paraId="74ED697E" w14:textId="77777777" w:rsidR="00F8557D" w:rsidRPr="008645E3" w:rsidRDefault="00F8557D">
      <w:pPr>
        <w:spacing w:after="0" w:line="360" w:lineRule="auto"/>
        <w:ind w:right="49"/>
        <w:jc w:val="center"/>
        <w:rPr>
          <w:rFonts w:ascii="Palatino Linotype" w:eastAsia="Palatino Linotype" w:hAnsi="Palatino Linotype" w:cs="Palatino Linotype"/>
          <w:sz w:val="24"/>
          <w:szCs w:val="24"/>
        </w:rPr>
      </w:pPr>
    </w:p>
    <w:p w14:paraId="52F4F0DF" w14:textId="128177EB" w:rsidR="00F8557D" w:rsidRPr="008645E3" w:rsidRDefault="00646B44">
      <w:pPr>
        <w:spacing w:after="0" w:line="360" w:lineRule="auto"/>
        <w:ind w:right="49"/>
        <w:jc w:val="both"/>
        <w:rPr>
          <w:rFonts w:ascii="Palatino Linotype" w:eastAsia="Palatino Linotype" w:hAnsi="Palatino Linotype" w:cs="Palatino Linotype"/>
          <w:sz w:val="24"/>
          <w:szCs w:val="24"/>
        </w:rPr>
      </w:pPr>
      <w:r w:rsidRPr="008645E3">
        <w:rPr>
          <w:rFonts w:ascii="Palatino Linotype" w:eastAsia="Palatino Linotype" w:hAnsi="Palatino Linotype" w:cs="Palatino Linotype"/>
          <w:sz w:val="24"/>
          <w:szCs w:val="24"/>
        </w:rPr>
        <w:t xml:space="preserve">Visto el expediente relativo al recurso de revisión </w:t>
      </w:r>
      <w:r w:rsidR="00EF3F9A">
        <w:rPr>
          <w:rFonts w:ascii="Palatino Linotype" w:eastAsia="Palatino Linotype" w:hAnsi="Palatino Linotype" w:cs="Palatino Linotype"/>
          <w:b/>
          <w:sz w:val="24"/>
          <w:szCs w:val="24"/>
        </w:rPr>
        <w:t>17094/INFOEM/IP/RR/2022</w:t>
      </w:r>
      <w:r w:rsidRPr="008645E3">
        <w:rPr>
          <w:rFonts w:ascii="Palatino Linotype" w:eastAsia="Palatino Linotype" w:hAnsi="Palatino Linotype" w:cs="Palatino Linotype"/>
          <w:sz w:val="24"/>
          <w:szCs w:val="24"/>
        </w:rPr>
        <w:t xml:space="preserve">, interpuesto por </w:t>
      </w:r>
      <w:r w:rsidR="00AF40BF">
        <w:rPr>
          <w:rFonts w:ascii="Palatino Linotype" w:eastAsia="Palatino Linotype" w:hAnsi="Palatino Linotype" w:cs="Palatino Linotype"/>
          <w:b/>
          <w:sz w:val="24"/>
          <w:szCs w:val="24"/>
        </w:rPr>
        <w:t>XXXXXX XXXXXXXX XXXX</w:t>
      </w:r>
      <w:r w:rsidRPr="008645E3">
        <w:rPr>
          <w:rFonts w:ascii="Palatino Linotype" w:eastAsia="Palatino Linotype" w:hAnsi="Palatino Linotype" w:cs="Palatino Linotype"/>
          <w:sz w:val="24"/>
          <w:szCs w:val="24"/>
        </w:rPr>
        <w:t xml:space="preserve">, al cual en lo sucesivo se le denominará el </w:t>
      </w:r>
      <w:r w:rsidRPr="008645E3">
        <w:rPr>
          <w:rFonts w:ascii="Palatino Linotype" w:eastAsia="Palatino Linotype" w:hAnsi="Palatino Linotype" w:cs="Palatino Linotype"/>
          <w:b/>
          <w:sz w:val="24"/>
          <w:szCs w:val="24"/>
        </w:rPr>
        <w:t>RECURRENTE</w:t>
      </w:r>
      <w:r w:rsidRPr="008645E3">
        <w:rPr>
          <w:rFonts w:ascii="Palatino Linotype" w:eastAsia="Palatino Linotype" w:hAnsi="Palatino Linotype" w:cs="Palatino Linotype"/>
          <w:sz w:val="24"/>
          <w:szCs w:val="24"/>
        </w:rPr>
        <w:t xml:space="preserve">, en contra de la respuesta a su solicitud de información identificada con número de folio </w:t>
      </w:r>
      <w:r w:rsidR="00EF3F9A">
        <w:rPr>
          <w:rFonts w:ascii="Palatino Linotype" w:eastAsia="Palatino Linotype" w:hAnsi="Palatino Linotype" w:cs="Palatino Linotype"/>
          <w:b/>
          <w:sz w:val="24"/>
          <w:szCs w:val="24"/>
        </w:rPr>
        <w:t>00587</w:t>
      </w:r>
      <w:r w:rsidRPr="008645E3">
        <w:rPr>
          <w:rFonts w:ascii="Palatino Linotype" w:eastAsia="Palatino Linotype" w:hAnsi="Palatino Linotype" w:cs="Palatino Linotype"/>
          <w:b/>
          <w:sz w:val="24"/>
          <w:szCs w:val="24"/>
        </w:rPr>
        <w:t>/</w:t>
      </w:r>
      <w:r w:rsidR="009F6257">
        <w:rPr>
          <w:rFonts w:ascii="Palatino Linotype" w:eastAsia="Palatino Linotype" w:hAnsi="Palatino Linotype" w:cs="Palatino Linotype"/>
          <w:b/>
          <w:sz w:val="24"/>
          <w:szCs w:val="24"/>
        </w:rPr>
        <w:t>UAEM</w:t>
      </w:r>
      <w:r w:rsidRPr="008645E3">
        <w:rPr>
          <w:rFonts w:ascii="Palatino Linotype" w:eastAsia="Palatino Linotype" w:hAnsi="Palatino Linotype" w:cs="Palatino Linotype"/>
          <w:b/>
          <w:sz w:val="24"/>
          <w:szCs w:val="24"/>
        </w:rPr>
        <w:t>/IP/2022</w:t>
      </w:r>
      <w:r w:rsidR="009F6257">
        <w:rPr>
          <w:rFonts w:ascii="Palatino Linotype" w:eastAsia="Palatino Linotype" w:hAnsi="Palatino Linotype" w:cs="Palatino Linotype"/>
          <w:sz w:val="24"/>
          <w:szCs w:val="24"/>
        </w:rPr>
        <w:t xml:space="preserve"> proporcionada por parte de la Universidad Autónoma del Estado de México</w:t>
      </w:r>
      <w:r w:rsidRPr="008645E3">
        <w:rPr>
          <w:rFonts w:ascii="Palatino Linotype" w:eastAsia="Palatino Linotype" w:hAnsi="Palatino Linotype" w:cs="Palatino Linotype"/>
          <w:sz w:val="24"/>
          <w:szCs w:val="24"/>
        </w:rPr>
        <w:t xml:space="preserve">, en lo sucesivo el </w:t>
      </w:r>
      <w:r w:rsidRPr="008645E3">
        <w:rPr>
          <w:rFonts w:ascii="Palatino Linotype" w:eastAsia="Palatino Linotype" w:hAnsi="Palatino Linotype" w:cs="Palatino Linotype"/>
          <w:b/>
          <w:sz w:val="24"/>
          <w:szCs w:val="24"/>
        </w:rPr>
        <w:t>SUJETO OBLIGADO</w:t>
      </w:r>
      <w:r w:rsidRPr="008645E3">
        <w:rPr>
          <w:rFonts w:ascii="Palatino Linotype" w:eastAsia="Palatino Linotype" w:hAnsi="Palatino Linotype" w:cs="Palatino Linotype"/>
          <w:sz w:val="24"/>
          <w:szCs w:val="24"/>
        </w:rPr>
        <w:t>; se procede a dictar la presente resolución, con base en los siguientes:</w:t>
      </w:r>
    </w:p>
    <w:p w14:paraId="19C97CA5" w14:textId="77777777" w:rsidR="00F8557D" w:rsidRPr="008645E3" w:rsidRDefault="00F8557D">
      <w:pPr>
        <w:spacing w:after="0" w:line="360" w:lineRule="auto"/>
        <w:ind w:right="49"/>
        <w:jc w:val="both"/>
        <w:rPr>
          <w:rFonts w:ascii="Palatino Linotype" w:eastAsia="Palatino Linotype" w:hAnsi="Palatino Linotype" w:cs="Palatino Linotype"/>
          <w:sz w:val="24"/>
          <w:szCs w:val="24"/>
        </w:rPr>
      </w:pPr>
    </w:p>
    <w:p w14:paraId="61BF936A" w14:textId="77777777" w:rsidR="00F8557D" w:rsidRPr="008645E3" w:rsidRDefault="00646B44">
      <w:pPr>
        <w:spacing w:after="0" w:line="360" w:lineRule="auto"/>
        <w:ind w:right="49"/>
        <w:jc w:val="center"/>
        <w:rPr>
          <w:rFonts w:ascii="Palatino Linotype" w:eastAsia="Palatino Linotype" w:hAnsi="Palatino Linotype" w:cs="Palatino Linotype"/>
          <w:b/>
          <w:sz w:val="24"/>
          <w:szCs w:val="24"/>
        </w:rPr>
      </w:pPr>
      <w:r w:rsidRPr="008645E3">
        <w:rPr>
          <w:rFonts w:ascii="Palatino Linotype" w:eastAsia="Palatino Linotype" w:hAnsi="Palatino Linotype" w:cs="Palatino Linotype"/>
          <w:b/>
          <w:sz w:val="24"/>
          <w:szCs w:val="24"/>
        </w:rPr>
        <w:t>I.</w:t>
      </w:r>
      <w:r w:rsidRPr="008645E3">
        <w:rPr>
          <w:rFonts w:ascii="Palatino Linotype" w:eastAsia="Palatino Linotype" w:hAnsi="Palatino Linotype" w:cs="Palatino Linotype"/>
          <w:b/>
          <w:sz w:val="24"/>
          <w:szCs w:val="24"/>
        </w:rPr>
        <w:tab/>
        <w:t>A N T E C E D E N T E S</w:t>
      </w:r>
    </w:p>
    <w:p w14:paraId="0D8742AC" w14:textId="77777777" w:rsidR="00F8557D" w:rsidRPr="008645E3" w:rsidRDefault="00F8557D">
      <w:pPr>
        <w:spacing w:after="0" w:line="360" w:lineRule="auto"/>
        <w:ind w:right="49"/>
        <w:jc w:val="both"/>
        <w:rPr>
          <w:rFonts w:ascii="Palatino Linotype" w:eastAsia="Palatino Linotype" w:hAnsi="Palatino Linotype" w:cs="Palatino Linotype"/>
          <w:sz w:val="24"/>
          <w:szCs w:val="24"/>
        </w:rPr>
      </w:pPr>
    </w:p>
    <w:p w14:paraId="191568F3" w14:textId="491565C0" w:rsidR="00F8557D" w:rsidRPr="008645E3" w:rsidRDefault="00646B4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8645E3">
        <w:rPr>
          <w:rFonts w:ascii="Palatino Linotype" w:eastAsia="Palatino Linotype" w:hAnsi="Palatino Linotype" w:cs="Palatino Linotype"/>
          <w:b/>
          <w:color w:val="000000"/>
          <w:sz w:val="24"/>
          <w:szCs w:val="24"/>
        </w:rPr>
        <w:t>Solicitud de acceso a la información.</w:t>
      </w:r>
      <w:r w:rsidRPr="008645E3">
        <w:rPr>
          <w:rFonts w:ascii="Palatino Linotype" w:eastAsia="Palatino Linotype" w:hAnsi="Palatino Linotype" w:cs="Palatino Linotype"/>
          <w:color w:val="000000"/>
          <w:sz w:val="24"/>
          <w:szCs w:val="24"/>
        </w:rPr>
        <w:t xml:space="preserve"> Con fecha </w:t>
      </w:r>
      <w:r w:rsidR="00EF3F9A">
        <w:rPr>
          <w:rFonts w:ascii="Palatino Linotype" w:eastAsia="Palatino Linotype" w:hAnsi="Palatino Linotype" w:cs="Palatino Linotype"/>
          <w:b/>
          <w:color w:val="000000"/>
          <w:sz w:val="24"/>
          <w:szCs w:val="24"/>
        </w:rPr>
        <w:t>diecisiete de octubre</w:t>
      </w:r>
      <w:r w:rsidRPr="008645E3">
        <w:rPr>
          <w:rFonts w:ascii="Palatino Linotype" w:eastAsia="Palatino Linotype" w:hAnsi="Palatino Linotype" w:cs="Palatino Linotype"/>
          <w:b/>
          <w:color w:val="000000"/>
          <w:sz w:val="24"/>
          <w:szCs w:val="24"/>
        </w:rPr>
        <w:t xml:space="preserve"> de dos mil veintidós</w:t>
      </w:r>
      <w:r w:rsidRPr="008645E3">
        <w:rPr>
          <w:rFonts w:ascii="Palatino Linotype" w:eastAsia="Palatino Linotype" w:hAnsi="Palatino Linotype" w:cs="Palatino Linotype"/>
          <w:color w:val="000000"/>
          <w:sz w:val="24"/>
          <w:szCs w:val="24"/>
        </w:rPr>
        <w:t xml:space="preserve">, la parte </w:t>
      </w:r>
      <w:r w:rsidRPr="008645E3">
        <w:rPr>
          <w:rFonts w:ascii="Palatino Linotype" w:eastAsia="Palatino Linotype" w:hAnsi="Palatino Linotype" w:cs="Palatino Linotype"/>
          <w:b/>
          <w:color w:val="000000"/>
          <w:sz w:val="24"/>
          <w:szCs w:val="24"/>
        </w:rPr>
        <w:t>RECURRENTE</w:t>
      </w:r>
      <w:r w:rsidRPr="008645E3">
        <w:rPr>
          <w:rFonts w:ascii="Palatino Linotype" w:eastAsia="Palatino Linotype" w:hAnsi="Palatino Linotype" w:cs="Palatino Linotype"/>
          <w:color w:val="000000"/>
          <w:sz w:val="24"/>
          <w:szCs w:val="24"/>
        </w:rPr>
        <w:t xml:space="preserve"> formuló solicitud de acceso a información pública al</w:t>
      </w:r>
      <w:r w:rsidRPr="008645E3">
        <w:rPr>
          <w:rFonts w:ascii="Palatino Linotype" w:eastAsia="Palatino Linotype" w:hAnsi="Palatino Linotype" w:cs="Palatino Linotype"/>
          <w:b/>
          <w:color w:val="000000"/>
          <w:sz w:val="24"/>
          <w:szCs w:val="24"/>
        </w:rPr>
        <w:t xml:space="preserve"> SUJETO OBLIGADO</w:t>
      </w:r>
      <w:r w:rsidRPr="008645E3">
        <w:rPr>
          <w:rFonts w:ascii="Palatino Linotype" w:eastAsia="Palatino Linotype" w:hAnsi="Palatino Linotype" w:cs="Palatino Linotype"/>
          <w:color w:val="000000"/>
          <w:sz w:val="24"/>
          <w:szCs w:val="24"/>
        </w:rPr>
        <w:t xml:space="preserve"> a través del Sistema de Acceso a la Información Mexiquense, en adelante SAIMEX, en la que requirió lo siguiente: </w:t>
      </w:r>
    </w:p>
    <w:p w14:paraId="6567E90C" w14:textId="77777777" w:rsidR="00F8557D" w:rsidRPr="008645E3" w:rsidRDefault="00F8557D">
      <w:pPr>
        <w:spacing w:after="0" w:line="360" w:lineRule="auto"/>
        <w:ind w:right="49"/>
        <w:jc w:val="both"/>
        <w:rPr>
          <w:rFonts w:ascii="Palatino Linotype" w:eastAsia="Palatino Linotype" w:hAnsi="Palatino Linotype" w:cs="Palatino Linotype"/>
          <w:sz w:val="24"/>
          <w:szCs w:val="24"/>
        </w:rPr>
      </w:pPr>
    </w:p>
    <w:p w14:paraId="5E646918" w14:textId="7144B0A5" w:rsidR="00F8557D" w:rsidRPr="008645E3" w:rsidRDefault="00646B44">
      <w:pPr>
        <w:spacing w:after="0" w:line="276" w:lineRule="auto"/>
        <w:ind w:left="567" w:right="560"/>
        <w:jc w:val="both"/>
        <w:rPr>
          <w:rFonts w:ascii="Palatino Linotype" w:eastAsia="Palatino Linotype" w:hAnsi="Palatino Linotype" w:cs="Palatino Linotype"/>
          <w:i/>
        </w:rPr>
      </w:pPr>
      <w:bookmarkStart w:id="0" w:name="_heading=h.30j0zll" w:colFirst="0" w:colLast="0"/>
      <w:bookmarkEnd w:id="0"/>
      <w:r w:rsidRPr="008645E3">
        <w:rPr>
          <w:rFonts w:ascii="Palatino Linotype" w:eastAsia="Palatino Linotype" w:hAnsi="Palatino Linotype" w:cs="Palatino Linotype"/>
          <w:i/>
        </w:rPr>
        <w:t>“</w:t>
      </w:r>
      <w:r w:rsidR="00EF3F9A" w:rsidRPr="00EF3F9A">
        <w:rPr>
          <w:rFonts w:ascii="Palatino Linotype" w:eastAsia="Palatino Linotype" w:hAnsi="Palatino Linotype" w:cs="Palatino Linotype"/>
          <w:i/>
        </w:rPr>
        <w:t>Firmas por Lugar de Pago de Personalizado General Primera Quincena de octubre de 2022, de la Dirección de Transporte Universitario</w:t>
      </w:r>
      <w:r w:rsidR="00B30C44">
        <w:rPr>
          <w:rFonts w:ascii="Palatino Linotype" w:eastAsia="Palatino Linotype" w:hAnsi="Palatino Linotype" w:cs="Palatino Linotype"/>
          <w:i/>
        </w:rPr>
        <w:t xml:space="preserve">”. </w:t>
      </w:r>
    </w:p>
    <w:p w14:paraId="4D20A199" w14:textId="77777777" w:rsidR="00F8557D" w:rsidRPr="008645E3" w:rsidRDefault="00F8557D">
      <w:pPr>
        <w:spacing w:after="0" w:line="360" w:lineRule="auto"/>
        <w:ind w:left="567" w:right="560"/>
        <w:jc w:val="both"/>
        <w:rPr>
          <w:rFonts w:ascii="Palatino Linotype" w:eastAsia="Palatino Linotype" w:hAnsi="Palatino Linotype" w:cs="Palatino Linotype"/>
          <w:i/>
        </w:rPr>
      </w:pPr>
    </w:p>
    <w:p w14:paraId="77E4494A" w14:textId="77777777" w:rsidR="00F8557D" w:rsidRPr="008645E3" w:rsidRDefault="00646B44">
      <w:pPr>
        <w:spacing w:after="0" w:line="360" w:lineRule="auto"/>
        <w:ind w:right="49"/>
        <w:jc w:val="both"/>
        <w:rPr>
          <w:rFonts w:ascii="Palatino Linotype" w:eastAsia="Palatino Linotype" w:hAnsi="Palatino Linotype" w:cs="Palatino Linotype"/>
          <w:sz w:val="24"/>
          <w:szCs w:val="24"/>
        </w:rPr>
      </w:pPr>
      <w:r w:rsidRPr="008645E3">
        <w:rPr>
          <w:rFonts w:ascii="Palatino Linotype" w:eastAsia="Palatino Linotype" w:hAnsi="Palatino Linotype" w:cs="Palatino Linotype"/>
          <w:b/>
          <w:sz w:val="24"/>
          <w:szCs w:val="24"/>
        </w:rPr>
        <w:t>Modalidad elegida para la entrega de la información:</w:t>
      </w:r>
      <w:r w:rsidRPr="008645E3">
        <w:rPr>
          <w:rFonts w:ascii="Palatino Linotype" w:eastAsia="Palatino Linotype" w:hAnsi="Palatino Linotype" w:cs="Palatino Linotype"/>
          <w:sz w:val="24"/>
          <w:szCs w:val="24"/>
        </w:rPr>
        <w:t xml:space="preserve"> a través del Sistema de Acceso a la Información Mexiquense (SAIMEX). </w:t>
      </w:r>
    </w:p>
    <w:p w14:paraId="7339A87E" w14:textId="10DE45AC" w:rsidR="00EF3F9A" w:rsidRDefault="00EF3F9A">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lastRenderedPageBreak/>
        <w:t xml:space="preserve">Ampliación de Plazo para emitir Respuesta: </w:t>
      </w:r>
      <w:r>
        <w:rPr>
          <w:rFonts w:ascii="Palatino Linotype" w:eastAsia="Palatino Linotype" w:hAnsi="Palatino Linotype" w:cs="Palatino Linotype"/>
          <w:color w:val="000000"/>
          <w:sz w:val="24"/>
          <w:szCs w:val="24"/>
        </w:rPr>
        <w:t xml:space="preserve">En fecha </w:t>
      </w:r>
      <w:r>
        <w:rPr>
          <w:rFonts w:ascii="Palatino Linotype" w:eastAsia="Palatino Linotype" w:hAnsi="Palatino Linotype" w:cs="Palatino Linotype"/>
          <w:b/>
          <w:color w:val="000000"/>
          <w:sz w:val="24"/>
          <w:szCs w:val="24"/>
        </w:rPr>
        <w:t>ocho de noviembre de dos mil veintidós</w:t>
      </w:r>
      <w:r>
        <w:rPr>
          <w:rFonts w:ascii="Palatino Linotype" w:eastAsia="Palatino Linotype" w:hAnsi="Palatino Linotype" w:cs="Palatino Linotype"/>
          <w:color w:val="000000"/>
          <w:sz w:val="24"/>
          <w:szCs w:val="24"/>
        </w:rPr>
        <w:t xml:space="preserve">, el </w:t>
      </w:r>
      <w:r>
        <w:rPr>
          <w:rFonts w:ascii="Palatino Linotype" w:eastAsia="Palatino Linotype" w:hAnsi="Palatino Linotype" w:cs="Palatino Linotype"/>
          <w:b/>
          <w:color w:val="000000"/>
          <w:sz w:val="24"/>
          <w:szCs w:val="24"/>
        </w:rPr>
        <w:t xml:space="preserve">SUJETO OBLIGADO </w:t>
      </w:r>
      <w:r>
        <w:rPr>
          <w:rFonts w:ascii="Palatino Linotype" w:eastAsia="Palatino Linotype" w:hAnsi="Palatino Linotype" w:cs="Palatino Linotype"/>
          <w:color w:val="000000"/>
          <w:sz w:val="24"/>
          <w:szCs w:val="24"/>
        </w:rPr>
        <w:t xml:space="preserve">solicitó una ampliación de plazo al tenor de lo siguiente: </w:t>
      </w:r>
    </w:p>
    <w:p w14:paraId="786E5029" w14:textId="77777777" w:rsidR="00EF3F9A" w:rsidRPr="00EF3F9A" w:rsidRDefault="00EF3F9A" w:rsidP="00EF3F9A">
      <w:pPr>
        <w:pBdr>
          <w:top w:val="nil"/>
          <w:left w:val="nil"/>
          <w:bottom w:val="nil"/>
          <w:right w:val="nil"/>
          <w:between w:val="nil"/>
        </w:pBdr>
        <w:tabs>
          <w:tab w:val="left" w:pos="567"/>
        </w:tabs>
        <w:spacing w:after="0" w:line="276" w:lineRule="auto"/>
        <w:ind w:left="567" w:right="843"/>
        <w:jc w:val="both"/>
        <w:rPr>
          <w:rFonts w:ascii="Palatino Linotype" w:eastAsia="Palatino Linotype" w:hAnsi="Palatino Linotype" w:cs="Palatino Linotype"/>
          <w:i/>
          <w:color w:val="000000"/>
          <w:szCs w:val="24"/>
        </w:rPr>
      </w:pPr>
    </w:p>
    <w:p w14:paraId="6FFD2A29" w14:textId="77777777" w:rsidR="00EF3F9A" w:rsidRPr="00EF3F9A" w:rsidRDefault="00EF3F9A" w:rsidP="00EF3F9A">
      <w:pPr>
        <w:pBdr>
          <w:top w:val="nil"/>
          <w:left w:val="nil"/>
          <w:bottom w:val="nil"/>
          <w:right w:val="nil"/>
          <w:between w:val="nil"/>
        </w:pBdr>
        <w:tabs>
          <w:tab w:val="left" w:pos="567"/>
        </w:tabs>
        <w:spacing w:after="0" w:line="276" w:lineRule="auto"/>
        <w:ind w:left="567" w:right="843"/>
        <w:jc w:val="both"/>
        <w:rPr>
          <w:rFonts w:ascii="Palatino Linotype" w:eastAsia="Palatino Linotype" w:hAnsi="Palatino Linotype" w:cs="Palatino Linotype"/>
          <w:i/>
          <w:color w:val="000000"/>
          <w:szCs w:val="24"/>
        </w:rPr>
      </w:pPr>
      <w:r w:rsidRPr="00EF3F9A">
        <w:rPr>
          <w:rFonts w:ascii="Palatino Linotype" w:eastAsia="Palatino Linotype" w:hAnsi="Palatino Linotype" w:cs="Palatino Linotype"/>
          <w:i/>
          <w:color w:val="000000"/>
          <w:szCs w:val="24"/>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53CA1AAF" w14:textId="77777777" w:rsidR="00EF3F9A" w:rsidRPr="00EF3F9A" w:rsidRDefault="00EF3F9A" w:rsidP="00EF3F9A">
      <w:pPr>
        <w:pBdr>
          <w:top w:val="nil"/>
          <w:left w:val="nil"/>
          <w:bottom w:val="nil"/>
          <w:right w:val="nil"/>
          <w:between w:val="nil"/>
        </w:pBdr>
        <w:tabs>
          <w:tab w:val="left" w:pos="567"/>
        </w:tabs>
        <w:spacing w:after="0" w:line="276" w:lineRule="auto"/>
        <w:ind w:left="567" w:right="843"/>
        <w:jc w:val="both"/>
        <w:rPr>
          <w:rFonts w:ascii="Palatino Linotype" w:eastAsia="Palatino Linotype" w:hAnsi="Palatino Linotype" w:cs="Palatino Linotype"/>
          <w:i/>
          <w:color w:val="000000"/>
          <w:szCs w:val="24"/>
        </w:rPr>
      </w:pPr>
    </w:p>
    <w:p w14:paraId="75CE6D3E" w14:textId="2C820857" w:rsidR="00EF3F9A" w:rsidRPr="00EF3F9A" w:rsidRDefault="00EF3F9A" w:rsidP="00EF3F9A">
      <w:pPr>
        <w:pBdr>
          <w:top w:val="nil"/>
          <w:left w:val="nil"/>
          <w:bottom w:val="nil"/>
          <w:right w:val="nil"/>
          <w:between w:val="nil"/>
        </w:pBdr>
        <w:tabs>
          <w:tab w:val="left" w:pos="567"/>
        </w:tabs>
        <w:spacing w:after="0" w:line="276" w:lineRule="auto"/>
        <w:ind w:left="567" w:right="843"/>
        <w:jc w:val="both"/>
        <w:rPr>
          <w:rFonts w:ascii="Palatino Linotype" w:eastAsia="Palatino Linotype" w:hAnsi="Palatino Linotype" w:cs="Palatino Linotype"/>
          <w:i/>
          <w:color w:val="000000"/>
          <w:szCs w:val="24"/>
        </w:rPr>
      </w:pPr>
      <w:r w:rsidRPr="00EF3F9A">
        <w:rPr>
          <w:rFonts w:ascii="Palatino Linotype" w:eastAsia="Palatino Linotype" w:hAnsi="Palatino Linotype" w:cs="Palatino Linotype"/>
          <w:i/>
          <w:color w:val="000000"/>
          <w:szCs w:val="24"/>
        </w:rPr>
        <w:t>Con fundamento en los artículos 3 fracciones IV, IX, XXIII, XXVII, XXXII, XXXIV, XLV, XLIV, 4. 6, 10, 11, 15, 16, 17, 23 fracción V, 47, 49, 50, 51, 53 fracción X y 163 de la Ley de Transparencia y Acceso a la Información Pública del Estado de México y Municipios y demás disposiciones relativas y aplicables vigentes; el Comité de Transparencia de la Universidad Autónoma del Estado de México aprobó la prórroga de la solicitud de información con número de folio 0587/UAEM/IP/2022, toda vez que se está realizando una búsqueda de la información solicitada con el fin de garantizar el derecho de acceso a la información del particular.</w:t>
      </w:r>
    </w:p>
    <w:p w14:paraId="0B6E9620" w14:textId="77777777" w:rsidR="00EF3F9A" w:rsidRPr="00EF3F9A" w:rsidRDefault="00EF3F9A" w:rsidP="00EF3F9A">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768C055B" w14:textId="567F31DF" w:rsidR="00F8557D" w:rsidRPr="008645E3" w:rsidRDefault="00646B4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8645E3">
        <w:rPr>
          <w:rFonts w:ascii="Palatino Linotype" w:eastAsia="Palatino Linotype" w:hAnsi="Palatino Linotype" w:cs="Palatino Linotype"/>
          <w:b/>
          <w:color w:val="000000"/>
          <w:sz w:val="24"/>
          <w:szCs w:val="24"/>
        </w:rPr>
        <w:t>Respuesta.</w:t>
      </w:r>
      <w:r w:rsidRPr="008645E3">
        <w:rPr>
          <w:rFonts w:ascii="Palatino Linotype" w:eastAsia="Palatino Linotype" w:hAnsi="Palatino Linotype" w:cs="Palatino Linotype"/>
          <w:color w:val="000000"/>
          <w:sz w:val="24"/>
          <w:szCs w:val="24"/>
        </w:rPr>
        <w:t xml:space="preserve"> Con fecha </w:t>
      </w:r>
      <w:r w:rsidR="00EF3F9A">
        <w:rPr>
          <w:rFonts w:ascii="Palatino Linotype" w:eastAsia="Palatino Linotype" w:hAnsi="Palatino Linotype" w:cs="Palatino Linotype"/>
          <w:b/>
          <w:color w:val="000000"/>
          <w:sz w:val="24"/>
          <w:szCs w:val="24"/>
        </w:rPr>
        <w:t>diecisiete de noviembre</w:t>
      </w:r>
      <w:r w:rsidRPr="008645E3">
        <w:rPr>
          <w:rFonts w:ascii="Palatino Linotype" w:eastAsia="Palatino Linotype" w:hAnsi="Palatino Linotype" w:cs="Palatino Linotype"/>
          <w:b/>
          <w:color w:val="000000"/>
          <w:sz w:val="24"/>
          <w:szCs w:val="24"/>
        </w:rPr>
        <w:t xml:space="preserve"> de dos mil veintidós</w:t>
      </w:r>
      <w:r w:rsidRPr="008645E3">
        <w:rPr>
          <w:rFonts w:ascii="Palatino Linotype" w:eastAsia="Palatino Linotype" w:hAnsi="Palatino Linotype" w:cs="Palatino Linotype"/>
          <w:color w:val="000000"/>
          <w:sz w:val="24"/>
          <w:szCs w:val="24"/>
        </w:rPr>
        <w:t xml:space="preserve">, el </w:t>
      </w:r>
      <w:r w:rsidRPr="008645E3">
        <w:rPr>
          <w:rFonts w:ascii="Palatino Linotype" w:eastAsia="Palatino Linotype" w:hAnsi="Palatino Linotype" w:cs="Palatino Linotype"/>
          <w:b/>
          <w:color w:val="000000"/>
          <w:sz w:val="24"/>
          <w:szCs w:val="24"/>
        </w:rPr>
        <w:t>SUJETO OBLIGADO</w:t>
      </w:r>
      <w:r w:rsidRPr="008645E3">
        <w:rPr>
          <w:rFonts w:ascii="Palatino Linotype" w:eastAsia="Palatino Linotype" w:hAnsi="Palatino Linotype" w:cs="Palatino Linotype"/>
          <w:color w:val="000000"/>
          <w:sz w:val="24"/>
          <w:szCs w:val="24"/>
        </w:rPr>
        <w:t xml:space="preserve"> envió su respuesta a la solicitud de acceso a la información a través del SAIMEX, la cual versa como sigue:</w:t>
      </w:r>
    </w:p>
    <w:p w14:paraId="74B6754F" w14:textId="77777777" w:rsidR="00F8557D" w:rsidRPr="008645E3" w:rsidRDefault="00F8557D">
      <w:pPr>
        <w:spacing w:after="0" w:line="360" w:lineRule="auto"/>
        <w:ind w:right="49"/>
        <w:jc w:val="both"/>
        <w:rPr>
          <w:rFonts w:ascii="Palatino Linotype" w:eastAsia="Palatino Linotype" w:hAnsi="Palatino Linotype" w:cs="Palatino Linotype"/>
          <w:sz w:val="24"/>
          <w:szCs w:val="24"/>
        </w:rPr>
      </w:pPr>
    </w:p>
    <w:p w14:paraId="0B44A3E7" w14:textId="77777777" w:rsidR="00EF3F9A" w:rsidRPr="00EF3F9A" w:rsidRDefault="009F6257" w:rsidP="00EF3F9A">
      <w:pPr>
        <w:spacing w:after="0" w:line="276" w:lineRule="auto"/>
        <w:ind w:left="567" w:right="560"/>
        <w:jc w:val="both"/>
        <w:rPr>
          <w:rFonts w:ascii="Palatino Linotype" w:eastAsia="Palatino Linotype" w:hAnsi="Palatino Linotype" w:cs="Palatino Linotype"/>
          <w:i/>
          <w:szCs w:val="24"/>
        </w:rPr>
      </w:pPr>
      <w:r>
        <w:rPr>
          <w:rFonts w:ascii="Palatino Linotype" w:eastAsia="Palatino Linotype" w:hAnsi="Palatino Linotype" w:cs="Palatino Linotype"/>
          <w:i/>
          <w:szCs w:val="24"/>
        </w:rPr>
        <w:t>“</w:t>
      </w:r>
      <w:r w:rsidR="00EF3F9A" w:rsidRPr="00EF3F9A">
        <w:rPr>
          <w:rFonts w:ascii="Palatino Linotype" w:eastAsia="Palatino Linotype" w:hAnsi="Palatino Linotype" w:cs="Palatino Linotype"/>
          <w:i/>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1C4F6E5" w14:textId="25D2023E" w:rsidR="00F8557D" w:rsidRPr="009F6257" w:rsidRDefault="00EF3F9A" w:rsidP="009F6257">
      <w:pPr>
        <w:spacing w:after="0" w:line="276" w:lineRule="auto"/>
        <w:ind w:left="567" w:right="560"/>
        <w:jc w:val="both"/>
        <w:rPr>
          <w:rFonts w:ascii="Palatino Linotype" w:eastAsia="Palatino Linotype" w:hAnsi="Palatino Linotype" w:cs="Palatino Linotype"/>
          <w:i/>
          <w:szCs w:val="24"/>
        </w:rPr>
      </w:pPr>
      <w:r w:rsidRPr="00EF3F9A">
        <w:rPr>
          <w:rFonts w:ascii="Palatino Linotype" w:eastAsia="Palatino Linotype" w:hAnsi="Palatino Linotype" w:cs="Palatino Linotype"/>
          <w:i/>
          <w:szCs w:val="24"/>
        </w:rPr>
        <w:t xml:space="preserve">En respuesta a la solicitud de acceso a la información pública con número de folio 00587/UAEM/IP/2022, con fundamento en lo dispuesto en los artículos 150, 163, y 164 de la Ley de Transparencia y Acceso a la Información Pública del Estado de México y Municipios, el numeral TREINTA Y OCHO de los Lineamientos para la Recepción, Trámite y Resolución de las Solicitudes de Información Pública, Acceso, Modificación, </w:t>
      </w:r>
      <w:r w:rsidRPr="00EF3F9A">
        <w:rPr>
          <w:rFonts w:ascii="Palatino Linotype" w:eastAsia="Palatino Linotype" w:hAnsi="Palatino Linotype" w:cs="Palatino Linotype"/>
          <w:i/>
          <w:szCs w:val="24"/>
        </w:rPr>
        <w:lastRenderedPageBreak/>
        <w:t>Sustitución, Rectificación o Supresión Parcial o Total de Datos Personales, así como los Recursos de Revisión que deberán observar los Sujetos Obligados por la Ley de Transparencia y Acceso a la Información Pública del Estado de México y Municipios; hacemos de su conocimiento con base en la información proporcionada por la Dirección de Transporte Universitario, en archivo electrónico adjunto encontrará la información solicitada, en versión pública así como el Acuerdo de Clasificación de Información Confidencial UAEM/CI/CIC/82/22. Finalmente se hace de su conocimiento que de conformidad con los artículos 176, 177, 178 y demás relativos y aplicables de la Ley de Transparencia, Acceso a la Información Pública del Estado de México y Municipios, el solicitante tiene derecho de presentar recurso de revisión, dentro de los quince días hábiles siguientes a la fecha de notificación de la respuesta. Esperamos que los datos proporcionados le sean de utilidad y le agradeceríamos que diera respuesta a la cédula de evaluación que se anexa, y la envíe al correo electrónico siguiente: transparencia@uaemex.mx</w:t>
      </w:r>
      <w:r w:rsidR="009F6257" w:rsidRPr="009F6257">
        <w:rPr>
          <w:rFonts w:ascii="Palatino Linotype" w:eastAsia="Palatino Linotype" w:hAnsi="Palatino Linotype" w:cs="Palatino Linotype"/>
          <w:i/>
          <w:szCs w:val="24"/>
        </w:rPr>
        <w:t xml:space="preserve">”. </w:t>
      </w:r>
    </w:p>
    <w:p w14:paraId="3B33A173" w14:textId="77777777" w:rsidR="009F6257" w:rsidRPr="008645E3" w:rsidRDefault="009F6257" w:rsidP="009F6257">
      <w:pPr>
        <w:spacing w:after="0" w:line="360" w:lineRule="auto"/>
        <w:ind w:left="567" w:right="560"/>
        <w:jc w:val="both"/>
        <w:rPr>
          <w:rFonts w:ascii="Palatino Linotype" w:eastAsia="Palatino Linotype" w:hAnsi="Palatino Linotype" w:cs="Palatino Linotype"/>
          <w:sz w:val="24"/>
          <w:szCs w:val="24"/>
        </w:rPr>
      </w:pPr>
    </w:p>
    <w:p w14:paraId="3C408582" w14:textId="77777777" w:rsidR="00F8557D" w:rsidRPr="009F6257" w:rsidRDefault="00646B44" w:rsidP="00B30C44">
      <w:pPr>
        <w:spacing w:after="0" w:line="360" w:lineRule="auto"/>
        <w:ind w:right="49"/>
        <w:jc w:val="both"/>
        <w:rPr>
          <w:rFonts w:ascii="Palatino Linotype" w:eastAsia="Palatino Linotype" w:hAnsi="Palatino Linotype" w:cs="Palatino Linotype"/>
          <w:szCs w:val="24"/>
        </w:rPr>
      </w:pPr>
      <w:r w:rsidRPr="009F6257">
        <w:rPr>
          <w:rFonts w:ascii="Palatino Linotype" w:eastAsia="Palatino Linotype" w:hAnsi="Palatino Linotype" w:cs="Palatino Linotype"/>
          <w:szCs w:val="24"/>
        </w:rPr>
        <w:t xml:space="preserve">El Sujeto Obligado a su respuesta adjuntó </w:t>
      </w:r>
      <w:r w:rsidR="00B30C44" w:rsidRPr="009F6257">
        <w:rPr>
          <w:rFonts w:ascii="Palatino Linotype" w:eastAsia="Palatino Linotype" w:hAnsi="Palatino Linotype" w:cs="Palatino Linotype"/>
          <w:szCs w:val="24"/>
        </w:rPr>
        <w:t xml:space="preserve">el documento que se describe a continuación: </w:t>
      </w:r>
      <w:r w:rsidRPr="009F6257">
        <w:rPr>
          <w:rFonts w:ascii="Palatino Linotype" w:eastAsia="Palatino Linotype" w:hAnsi="Palatino Linotype" w:cs="Palatino Linotype"/>
          <w:szCs w:val="24"/>
        </w:rPr>
        <w:t xml:space="preserve"> </w:t>
      </w:r>
    </w:p>
    <w:p w14:paraId="124EAFA9" w14:textId="77777777" w:rsidR="00B30C44" w:rsidRDefault="00B30C44" w:rsidP="00B30C44">
      <w:pPr>
        <w:spacing w:after="0" w:line="360" w:lineRule="auto"/>
        <w:ind w:right="49"/>
        <w:jc w:val="both"/>
        <w:rPr>
          <w:rFonts w:ascii="Palatino Linotype" w:eastAsia="Palatino Linotype" w:hAnsi="Palatino Linotype" w:cs="Palatino Linotype"/>
          <w:sz w:val="24"/>
          <w:szCs w:val="24"/>
        </w:rPr>
      </w:pPr>
    </w:p>
    <w:p w14:paraId="04ACC318" w14:textId="70059968" w:rsidR="00EF3F9A" w:rsidRPr="00EF3F9A" w:rsidRDefault="009F6257" w:rsidP="00EF3F9A">
      <w:pPr>
        <w:pStyle w:val="Prrafodelista"/>
        <w:numPr>
          <w:ilvl w:val="0"/>
          <w:numId w:val="10"/>
        </w:numPr>
        <w:pBdr>
          <w:top w:val="nil"/>
          <w:left w:val="nil"/>
          <w:bottom w:val="nil"/>
          <w:right w:val="nil"/>
          <w:between w:val="nil"/>
        </w:pBdr>
        <w:tabs>
          <w:tab w:val="left" w:pos="993"/>
        </w:tabs>
        <w:spacing w:after="0" w:line="360" w:lineRule="auto"/>
        <w:ind w:left="567" w:right="560"/>
        <w:jc w:val="both"/>
        <w:rPr>
          <w:rFonts w:ascii="Palatino Linotype" w:eastAsia="Palatino Linotype" w:hAnsi="Palatino Linotype" w:cs="Palatino Linotype"/>
          <w:color w:val="000000"/>
        </w:rPr>
      </w:pPr>
      <w:r w:rsidRPr="00EF3F9A">
        <w:rPr>
          <w:rFonts w:ascii="Palatino Linotype" w:eastAsia="Palatino Linotype" w:hAnsi="Palatino Linotype" w:cs="Palatino Linotype"/>
          <w:color w:val="000000"/>
        </w:rPr>
        <w:t xml:space="preserve">Cédula de Evaluación del Servicio para Usuarios Virtuales con Solicitud de Información Pública. </w:t>
      </w:r>
    </w:p>
    <w:p w14:paraId="21DB2331" w14:textId="78645133" w:rsidR="00EF3F9A" w:rsidRPr="00EF3F9A" w:rsidRDefault="00EF3F9A" w:rsidP="00EF3F9A">
      <w:pPr>
        <w:pStyle w:val="Prrafodelista"/>
        <w:numPr>
          <w:ilvl w:val="0"/>
          <w:numId w:val="10"/>
        </w:numPr>
        <w:pBdr>
          <w:top w:val="nil"/>
          <w:left w:val="nil"/>
          <w:bottom w:val="nil"/>
          <w:right w:val="nil"/>
          <w:between w:val="nil"/>
        </w:pBdr>
        <w:tabs>
          <w:tab w:val="left" w:pos="993"/>
        </w:tabs>
        <w:spacing w:after="0" w:line="360" w:lineRule="auto"/>
        <w:ind w:left="567" w:right="560"/>
        <w:jc w:val="both"/>
        <w:rPr>
          <w:rFonts w:ascii="Palatino Linotype" w:eastAsia="Palatino Linotype" w:hAnsi="Palatino Linotype" w:cs="Palatino Linotype"/>
          <w:color w:val="000000"/>
        </w:rPr>
      </w:pPr>
      <w:r w:rsidRPr="00EF3F9A">
        <w:rPr>
          <w:rFonts w:ascii="Palatino Linotype" w:eastAsia="Palatino Linotype" w:hAnsi="Palatino Linotype" w:cs="Palatino Linotype"/>
          <w:color w:val="000000"/>
        </w:rPr>
        <w:t xml:space="preserve">Acuerdo emitido por el Comité de Transparencia de la Universidad Autónoma del Estado de México, mediante el cual se aprueba la clasificación de la información requerida en la solicitud de información. </w:t>
      </w:r>
    </w:p>
    <w:p w14:paraId="0DB874C5" w14:textId="437EF460" w:rsidR="00EF3F9A" w:rsidRPr="00EF3F9A" w:rsidRDefault="00EF3F9A" w:rsidP="00EF3F9A">
      <w:pPr>
        <w:pStyle w:val="Prrafodelista"/>
        <w:numPr>
          <w:ilvl w:val="0"/>
          <w:numId w:val="10"/>
        </w:numPr>
        <w:pBdr>
          <w:top w:val="nil"/>
          <w:left w:val="nil"/>
          <w:bottom w:val="nil"/>
          <w:right w:val="nil"/>
          <w:between w:val="nil"/>
        </w:pBdr>
        <w:tabs>
          <w:tab w:val="left" w:pos="993"/>
        </w:tabs>
        <w:spacing w:after="0" w:line="360" w:lineRule="auto"/>
        <w:ind w:left="567" w:right="560"/>
        <w:jc w:val="both"/>
        <w:rPr>
          <w:rFonts w:ascii="Palatino Linotype" w:eastAsia="Palatino Linotype" w:hAnsi="Palatino Linotype" w:cs="Palatino Linotype"/>
          <w:color w:val="000000"/>
        </w:rPr>
      </w:pPr>
      <w:r w:rsidRPr="00EF3F9A">
        <w:rPr>
          <w:rFonts w:ascii="Palatino Linotype" w:eastAsia="Palatino Linotype" w:hAnsi="Palatino Linotype" w:cs="Palatino Linotype"/>
          <w:color w:val="000000"/>
        </w:rPr>
        <w:t xml:space="preserve">Documentos de Firmas por Lugar de Pago Personalizado de la Segunda Quincena de Marzo de dos mil veintidós de la </w:t>
      </w:r>
      <w:r w:rsidRPr="00A40AF1">
        <w:rPr>
          <w:rFonts w:ascii="Palatino Linotype" w:eastAsia="Palatino Linotype" w:hAnsi="Palatino Linotype" w:cs="Palatino Linotype"/>
          <w:b/>
          <w:color w:val="000000"/>
          <w:u w:val="single"/>
        </w:rPr>
        <w:t>Dirección de Recursos Humanos.</w:t>
      </w:r>
      <w:r w:rsidRPr="00EF3F9A">
        <w:rPr>
          <w:rFonts w:ascii="Palatino Linotype" w:eastAsia="Palatino Linotype" w:hAnsi="Palatino Linotype" w:cs="Palatino Linotype"/>
          <w:color w:val="000000"/>
        </w:rPr>
        <w:t xml:space="preserve"> </w:t>
      </w:r>
    </w:p>
    <w:p w14:paraId="6938E996" w14:textId="77777777" w:rsidR="009F6257" w:rsidRPr="009F6257" w:rsidRDefault="009F6257" w:rsidP="00EF3F9A">
      <w:pPr>
        <w:pStyle w:val="Prrafodelista"/>
        <w:pBdr>
          <w:top w:val="nil"/>
          <w:left w:val="nil"/>
          <w:bottom w:val="nil"/>
          <w:right w:val="nil"/>
          <w:between w:val="nil"/>
        </w:pBdr>
        <w:tabs>
          <w:tab w:val="left" w:pos="993"/>
        </w:tabs>
        <w:spacing w:after="0" w:line="360" w:lineRule="auto"/>
        <w:ind w:left="1287" w:right="560"/>
        <w:jc w:val="both"/>
        <w:rPr>
          <w:rFonts w:ascii="Palatino Linotype" w:eastAsia="Palatino Linotype" w:hAnsi="Palatino Linotype" w:cs="Palatino Linotype"/>
          <w:color w:val="000000"/>
        </w:rPr>
      </w:pPr>
    </w:p>
    <w:p w14:paraId="759EDBF5" w14:textId="651A4F83" w:rsidR="00F8557D" w:rsidRPr="008645E3" w:rsidRDefault="00A40AF1" w:rsidP="00B30C4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A40AF1">
        <w:rPr>
          <w:rFonts w:ascii="Palatino Linotype" w:eastAsia="Palatino Linotype" w:hAnsi="Palatino Linotype" w:cs="Palatino Linotype"/>
          <w:b/>
          <w:color w:val="000000"/>
          <w:sz w:val="24"/>
          <w:szCs w:val="24"/>
        </w:rPr>
        <w:t>Recurso de revisión.</w:t>
      </w:r>
      <w:r>
        <w:rPr>
          <w:rFonts w:ascii="Palatino Linotype" w:eastAsia="Palatino Linotype" w:hAnsi="Palatino Linotype" w:cs="Palatino Linotype"/>
          <w:color w:val="000000"/>
          <w:sz w:val="24"/>
          <w:szCs w:val="24"/>
        </w:rPr>
        <w:t xml:space="preserve"> </w:t>
      </w:r>
      <w:r w:rsidR="00646B44" w:rsidRPr="008645E3">
        <w:rPr>
          <w:rFonts w:ascii="Palatino Linotype" w:eastAsia="Palatino Linotype" w:hAnsi="Palatino Linotype" w:cs="Palatino Linotype"/>
          <w:color w:val="000000"/>
          <w:sz w:val="24"/>
          <w:szCs w:val="24"/>
        </w:rPr>
        <w:t xml:space="preserve">El Particular, derivado de la respuesta del </w:t>
      </w:r>
      <w:r w:rsidR="00646B44" w:rsidRPr="008645E3">
        <w:rPr>
          <w:rFonts w:ascii="Palatino Linotype" w:eastAsia="Palatino Linotype" w:hAnsi="Palatino Linotype" w:cs="Palatino Linotype"/>
          <w:b/>
          <w:color w:val="000000"/>
          <w:sz w:val="24"/>
          <w:szCs w:val="24"/>
        </w:rPr>
        <w:t>SUJETO OBLIGADO</w:t>
      </w:r>
      <w:r w:rsidR="00646B44" w:rsidRPr="008645E3">
        <w:rPr>
          <w:rFonts w:ascii="Palatino Linotype" w:eastAsia="Palatino Linotype" w:hAnsi="Palatino Linotype" w:cs="Palatino Linotype"/>
          <w:color w:val="000000"/>
          <w:sz w:val="24"/>
          <w:szCs w:val="24"/>
        </w:rPr>
        <w:t xml:space="preserve"> interpuso Recurso de Revisión a través del </w:t>
      </w:r>
      <w:r w:rsidR="00646B44" w:rsidRPr="008645E3">
        <w:rPr>
          <w:rFonts w:ascii="Palatino Linotype" w:eastAsia="Palatino Linotype" w:hAnsi="Palatino Linotype" w:cs="Palatino Linotype"/>
          <w:b/>
          <w:color w:val="000000"/>
          <w:sz w:val="24"/>
          <w:szCs w:val="24"/>
        </w:rPr>
        <w:t>SAIMEX</w:t>
      </w:r>
      <w:r w:rsidR="00646B44" w:rsidRPr="008645E3">
        <w:rPr>
          <w:rFonts w:ascii="Palatino Linotype" w:eastAsia="Palatino Linotype" w:hAnsi="Palatino Linotype" w:cs="Palatino Linotype"/>
          <w:color w:val="000000"/>
          <w:sz w:val="24"/>
          <w:szCs w:val="24"/>
        </w:rPr>
        <w:t xml:space="preserve"> en fech</w:t>
      </w:r>
      <w:r w:rsidR="00582034">
        <w:rPr>
          <w:rFonts w:ascii="Palatino Linotype" w:eastAsia="Palatino Linotype" w:hAnsi="Palatino Linotype" w:cs="Palatino Linotype"/>
          <w:color w:val="000000"/>
          <w:sz w:val="24"/>
          <w:szCs w:val="24"/>
        </w:rPr>
        <w:t xml:space="preserve">a </w:t>
      </w:r>
      <w:r w:rsidR="00EF3F9A">
        <w:rPr>
          <w:rFonts w:ascii="Palatino Linotype" w:eastAsia="Palatino Linotype" w:hAnsi="Palatino Linotype" w:cs="Palatino Linotype"/>
          <w:b/>
          <w:bCs/>
          <w:color w:val="000000"/>
          <w:sz w:val="24"/>
          <w:szCs w:val="24"/>
        </w:rPr>
        <w:t>dos de diciembre de dos mil veintidós</w:t>
      </w:r>
      <w:r w:rsidR="00646B44" w:rsidRPr="008645E3">
        <w:rPr>
          <w:rFonts w:ascii="Palatino Linotype" w:eastAsia="Palatino Linotype" w:hAnsi="Palatino Linotype" w:cs="Palatino Linotype"/>
          <w:color w:val="000000"/>
          <w:sz w:val="24"/>
          <w:szCs w:val="24"/>
        </w:rPr>
        <w:t>, a través del cual expresó lo siguiente:</w:t>
      </w:r>
    </w:p>
    <w:p w14:paraId="6A6948AD" w14:textId="77777777" w:rsidR="00F8557D" w:rsidRPr="008645E3" w:rsidRDefault="00F8557D" w:rsidP="00B30C44">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64160CA8" w14:textId="18826C7F" w:rsidR="00F8557D" w:rsidRPr="008645E3" w:rsidRDefault="00646B44" w:rsidP="00B30C44">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b/>
          <w:color w:val="000000"/>
          <w:sz w:val="24"/>
          <w:szCs w:val="24"/>
        </w:rPr>
      </w:pPr>
      <w:r w:rsidRPr="008645E3">
        <w:rPr>
          <w:rFonts w:ascii="Palatino Linotype" w:eastAsia="Palatino Linotype" w:hAnsi="Palatino Linotype" w:cs="Palatino Linotype"/>
          <w:b/>
          <w:color w:val="000000"/>
          <w:sz w:val="24"/>
          <w:szCs w:val="24"/>
        </w:rPr>
        <w:lastRenderedPageBreak/>
        <w:t xml:space="preserve">Acto impugnado. </w:t>
      </w:r>
      <w:r w:rsidRPr="008645E3">
        <w:rPr>
          <w:rFonts w:ascii="Palatino Linotype" w:eastAsia="Palatino Linotype" w:hAnsi="Palatino Linotype" w:cs="Palatino Linotype"/>
          <w:color w:val="000000"/>
        </w:rPr>
        <w:t>“</w:t>
      </w:r>
      <w:r w:rsidR="00EF3F9A" w:rsidRPr="00EF3F9A">
        <w:rPr>
          <w:rFonts w:ascii="Palatino Linotype" w:eastAsia="Palatino Linotype" w:hAnsi="Palatino Linotype" w:cs="Palatino Linotype"/>
          <w:i/>
          <w:color w:val="000000"/>
        </w:rPr>
        <w:t>No entregó la información solicitada aunque afirma estarla entregando mediante un archivo adjunto.</w:t>
      </w:r>
      <w:r w:rsidRPr="008645E3">
        <w:rPr>
          <w:rFonts w:ascii="Palatino Linotype" w:eastAsia="Palatino Linotype" w:hAnsi="Palatino Linotype" w:cs="Palatino Linotype"/>
          <w:i/>
          <w:color w:val="000000"/>
        </w:rPr>
        <w:t>”.</w:t>
      </w:r>
    </w:p>
    <w:p w14:paraId="3CF073E1" w14:textId="77777777" w:rsidR="00F8557D" w:rsidRPr="008645E3" w:rsidRDefault="00F8557D" w:rsidP="00B30C44">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b/>
          <w:color w:val="000000"/>
          <w:sz w:val="24"/>
          <w:szCs w:val="24"/>
        </w:rPr>
      </w:pPr>
    </w:p>
    <w:p w14:paraId="6F9A5953" w14:textId="7A7EC1AA" w:rsidR="00F8557D" w:rsidRPr="009F6257" w:rsidRDefault="00646B44" w:rsidP="00B30C44">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i/>
          <w:color w:val="000000"/>
          <w:sz w:val="24"/>
          <w:szCs w:val="24"/>
        </w:rPr>
      </w:pPr>
      <w:r w:rsidRPr="008645E3">
        <w:rPr>
          <w:rFonts w:ascii="Palatino Linotype" w:eastAsia="Palatino Linotype" w:hAnsi="Palatino Linotype" w:cs="Palatino Linotype"/>
          <w:b/>
          <w:color w:val="000000"/>
          <w:sz w:val="24"/>
          <w:szCs w:val="24"/>
        </w:rPr>
        <w:t xml:space="preserve">Razones o motivos de la inconformidad: </w:t>
      </w:r>
      <w:r w:rsidRPr="008645E3">
        <w:rPr>
          <w:rFonts w:ascii="Palatino Linotype" w:eastAsia="Palatino Linotype" w:hAnsi="Palatino Linotype" w:cs="Palatino Linotype"/>
          <w:color w:val="000000"/>
        </w:rPr>
        <w:t>“</w:t>
      </w:r>
      <w:r w:rsidR="00EF3F9A" w:rsidRPr="00EF3F9A">
        <w:rPr>
          <w:rFonts w:ascii="Palatino Linotype" w:eastAsia="Palatino Linotype" w:hAnsi="Palatino Linotype" w:cs="Palatino Linotype"/>
          <w:i/>
          <w:color w:val="000000"/>
        </w:rPr>
        <w:t xml:space="preserve">El archivo que envió como respuesta </w:t>
      </w:r>
      <w:r w:rsidR="00EF3F9A" w:rsidRPr="00A40AF1">
        <w:rPr>
          <w:rFonts w:ascii="Palatino Linotype" w:eastAsia="Palatino Linotype" w:hAnsi="Palatino Linotype" w:cs="Palatino Linotype"/>
          <w:b/>
          <w:i/>
          <w:color w:val="000000"/>
          <w:u w:val="single"/>
        </w:rPr>
        <w:t>no corresponde a la Dirección de Transporte Universitario</w:t>
      </w:r>
      <w:r w:rsidR="00EF3F9A" w:rsidRPr="00EF3F9A">
        <w:rPr>
          <w:rFonts w:ascii="Palatino Linotype" w:eastAsia="Palatino Linotype" w:hAnsi="Palatino Linotype" w:cs="Palatino Linotype"/>
          <w:i/>
          <w:color w:val="000000"/>
        </w:rPr>
        <w:t>, es de la Dirección de Recursos Humanos. Por lo tanto solicito me sea garantizado mi derecho del acceso a la información públicas.</w:t>
      </w:r>
      <w:r w:rsidR="009F6257">
        <w:rPr>
          <w:rFonts w:ascii="Palatino Linotype" w:eastAsia="Palatino Linotype" w:hAnsi="Palatino Linotype" w:cs="Palatino Linotype"/>
          <w:i/>
          <w:color w:val="000000"/>
        </w:rPr>
        <w:t xml:space="preserve">”. </w:t>
      </w:r>
    </w:p>
    <w:p w14:paraId="0F61B626" w14:textId="77777777" w:rsidR="00F8557D" w:rsidRPr="008645E3" w:rsidRDefault="00F8557D">
      <w:pPr>
        <w:spacing w:after="0" w:line="360" w:lineRule="auto"/>
        <w:ind w:right="49"/>
        <w:jc w:val="both"/>
        <w:rPr>
          <w:rFonts w:ascii="Palatino Linotype" w:eastAsia="Palatino Linotype" w:hAnsi="Palatino Linotype" w:cs="Palatino Linotype"/>
          <w:sz w:val="24"/>
          <w:szCs w:val="24"/>
        </w:rPr>
      </w:pPr>
    </w:p>
    <w:p w14:paraId="32957FFC" w14:textId="69688636" w:rsidR="00F8557D" w:rsidRPr="008645E3" w:rsidRDefault="00646B4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8645E3">
        <w:rPr>
          <w:rFonts w:ascii="Palatino Linotype" w:eastAsia="Palatino Linotype" w:hAnsi="Palatino Linotype" w:cs="Palatino Linotype"/>
          <w:b/>
          <w:color w:val="000000"/>
          <w:sz w:val="24"/>
          <w:szCs w:val="24"/>
        </w:rPr>
        <w:t>Turno.</w:t>
      </w:r>
      <w:r w:rsidRPr="008645E3">
        <w:rPr>
          <w:rFonts w:ascii="Palatino Linotype" w:eastAsia="Palatino Linotype" w:hAnsi="Palatino Linotype" w:cs="Palatino Linotype"/>
          <w:color w:val="000000"/>
          <w:sz w:val="24"/>
          <w:szCs w:val="24"/>
        </w:rPr>
        <w:t xml:space="preserve"> De conformidad con el artículo 185, fracción I de la Ley de Transparencia y Acceso a la Información Pública del Estado de México y Municipios, el recurso de revisión número </w:t>
      </w:r>
      <w:r w:rsidR="00EF3F9A">
        <w:rPr>
          <w:rFonts w:ascii="Palatino Linotype" w:eastAsia="Palatino Linotype" w:hAnsi="Palatino Linotype" w:cs="Palatino Linotype"/>
          <w:b/>
          <w:color w:val="000000"/>
          <w:sz w:val="24"/>
          <w:szCs w:val="24"/>
        </w:rPr>
        <w:t>17094</w:t>
      </w:r>
      <w:r w:rsidRPr="008645E3">
        <w:rPr>
          <w:rFonts w:ascii="Palatino Linotype" w:eastAsia="Palatino Linotype" w:hAnsi="Palatino Linotype" w:cs="Palatino Linotype"/>
          <w:b/>
          <w:color w:val="000000"/>
          <w:sz w:val="24"/>
          <w:szCs w:val="24"/>
        </w:rPr>
        <w:t>/INFOEM/IP/RR/202</w:t>
      </w:r>
      <w:r w:rsidR="00EF3F9A">
        <w:rPr>
          <w:rFonts w:ascii="Palatino Linotype" w:eastAsia="Palatino Linotype" w:hAnsi="Palatino Linotype" w:cs="Palatino Linotype"/>
          <w:b/>
          <w:color w:val="000000"/>
          <w:sz w:val="24"/>
          <w:szCs w:val="24"/>
        </w:rPr>
        <w:t>2</w:t>
      </w:r>
      <w:r w:rsidRPr="008645E3">
        <w:rPr>
          <w:rFonts w:ascii="Palatino Linotype" w:eastAsia="Palatino Linotype" w:hAnsi="Palatino Linotype" w:cs="Palatino Linotype"/>
          <w:color w:val="000000"/>
          <w:sz w:val="24"/>
          <w:szCs w:val="24"/>
        </w:rPr>
        <w:t xml:space="preserve">, se turnó por el sistema electrónico del Instituto de Transparencia, Acceso a la Información Pública y Protección de Datos Personales del Estado de México y Municipios, a la Comisionada </w:t>
      </w:r>
      <w:r w:rsidRPr="00A40AF1">
        <w:rPr>
          <w:rFonts w:ascii="Palatino Linotype" w:eastAsia="Palatino Linotype" w:hAnsi="Palatino Linotype" w:cs="Palatino Linotype"/>
          <w:b/>
          <w:color w:val="000000"/>
          <w:sz w:val="24"/>
          <w:szCs w:val="24"/>
        </w:rPr>
        <w:t>Guadalupe Ramírez Peña</w:t>
      </w:r>
      <w:r w:rsidRPr="008645E3">
        <w:rPr>
          <w:rFonts w:ascii="Palatino Linotype" w:eastAsia="Palatino Linotype" w:hAnsi="Palatino Linotype" w:cs="Palatino Linotype"/>
          <w:color w:val="000000"/>
          <w:sz w:val="24"/>
          <w:szCs w:val="24"/>
        </w:rPr>
        <w:t xml:space="preserve"> para su análisis, estudio, elaboración del proyecto y presentación ante el Pleno de este Instituto.</w:t>
      </w:r>
    </w:p>
    <w:p w14:paraId="2C5BB885" w14:textId="77777777" w:rsidR="00F8557D" w:rsidRPr="008645E3" w:rsidRDefault="00F8557D">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55C29537" w14:textId="31B43D47" w:rsidR="00F8557D" w:rsidRPr="008645E3" w:rsidRDefault="00646B4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8645E3">
        <w:rPr>
          <w:rFonts w:ascii="Palatino Linotype" w:eastAsia="Palatino Linotype" w:hAnsi="Palatino Linotype" w:cs="Palatino Linotype"/>
          <w:b/>
          <w:color w:val="000000"/>
          <w:sz w:val="24"/>
          <w:szCs w:val="24"/>
        </w:rPr>
        <w:t>Admisión del recurso de revisión</w:t>
      </w:r>
      <w:r w:rsidRPr="008645E3">
        <w:rPr>
          <w:rFonts w:ascii="Palatino Linotype" w:eastAsia="Palatino Linotype" w:hAnsi="Palatino Linotype" w:cs="Palatino Linotype"/>
          <w:color w:val="000000"/>
          <w:sz w:val="24"/>
          <w:szCs w:val="24"/>
        </w:rPr>
        <w:t xml:space="preserve">: En fecha </w:t>
      </w:r>
      <w:r w:rsidR="00EF3F9A">
        <w:rPr>
          <w:rFonts w:ascii="Palatino Linotype" w:eastAsia="Palatino Linotype" w:hAnsi="Palatino Linotype" w:cs="Palatino Linotype"/>
          <w:b/>
          <w:color w:val="000000"/>
          <w:sz w:val="24"/>
          <w:szCs w:val="24"/>
        </w:rPr>
        <w:t>siete de diciembre de dos mil veintidós</w:t>
      </w:r>
      <w:r w:rsidRPr="008645E3">
        <w:rPr>
          <w:rFonts w:ascii="Palatino Linotype" w:eastAsia="Palatino Linotype" w:hAnsi="Palatino Linotype" w:cs="Palatino Linotype"/>
          <w:color w:val="000000"/>
          <w:sz w:val="24"/>
          <w:szCs w:val="24"/>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24E34316" w14:textId="77777777" w:rsidR="00F8557D" w:rsidRPr="008645E3" w:rsidRDefault="00F8557D">
      <w:pPr>
        <w:pBdr>
          <w:top w:val="nil"/>
          <w:left w:val="nil"/>
          <w:bottom w:val="nil"/>
          <w:right w:val="nil"/>
          <w:between w:val="nil"/>
        </w:pBdr>
        <w:ind w:left="720"/>
        <w:rPr>
          <w:rFonts w:ascii="Palatino Linotype" w:eastAsia="Palatino Linotype" w:hAnsi="Palatino Linotype" w:cs="Palatino Linotype"/>
          <w:color w:val="000000"/>
          <w:sz w:val="24"/>
          <w:szCs w:val="24"/>
        </w:rPr>
      </w:pPr>
    </w:p>
    <w:p w14:paraId="3D91703E" w14:textId="06F4071E" w:rsidR="00F8557D" w:rsidRDefault="00646B4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8645E3">
        <w:rPr>
          <w:rFonts w:ascii="Palatino Linotype" w:eastAsia="Palatino Linotype" w:hAnsi="Palatino Linotype" w:cs="Palatino Linotype"/>
          <w:b/>
          <w:color w:val="000000"/>
          <w:sz w:val="24"/>
          <w:szCs w:val="24"/>
        </w:rPr>
        <w:t xml:space="preserve">Informe Justificado. </w:t>
      </w:r>
      <w:r w:rsidR="009F6257">
        <w:rPr>
          <w:rFonts w:ascii="Palatino Linotype" w:eastAsia="Palatino Linotype" w:hAnsi="Palatino Linotype" w:cs="Palatino Linotype"/>
          <w:color w:val="000000"/>
          <w:sz w:val="24"/>
          <w:szCs w:val="24"/>
        </w:rPr>
        <w:t xml:space="preserve">En fecha </w:t>
      </w:r>
      <w:r w:rsidR="00EF3F9A">
        <w:rPr>
          <w:rFonts w:ascii="Palatino Linotype" w:eastAsia="Palatino Linotype" w:hAnsi="Palatino Linotype" w:cs="Palatino Linotype"/>
          <w:b/>
          <w:color w:val="000000"/>
          <w:sz w:val="24"/>
          <w:szCs w:val="24"/>
        </w:rPr>
        <w:t xml:space="preserve">catorce de diciembre de </w:t>
      </w:r>
      <w:r w:rsidR="009F6257">
        <w:rPr>
          <w:rFonts w:ascii="Palatino Linotype" w:eastAsia="Palatino Linotype" w:hAnsi="Palatino Linotype" w:cs="Palatino Linotype"/>
          <w:b/>
          <w:color w:val="000000"/>
          <w:sz w:val="24"/>
          <w:szCs w:val="24"/>
        </w:rPr>
        <w:t xml:space="preserve">dos mil veintidós </w:t>
      </w:r>
      <w:r w:rsidR="009F6257">
        <w:rPr>
          <w:rFonts w:ascii="Palatino Linotype" w:eastAsia="Palatino Linotype" w:hAnsi="Palatino Linotype" w:cs="Palatino Linotype"/>
          <w:color w:val="000000"/>
          <w:sz w:val="24"/>
          <w:szCs w:val="24"/>
        </w:rPr>
        <w:t xml:space="preserve">el </w:t>
      </w:r>
      <w:r w:rsidR="009F6257">
        <w:rPr>
          <w:rFonts w:ascii="Palatino Linotype" w:eastAsia="Palatino Linotype" w:hAnsi="Palatino Linotype" w:cs="Palatino Linotype"/>
          <w:b/>
          <w:color w:val="000000"/>
          <w:sz w:val="24"/>
          <w:szCs w:val="24"/>
        </w:rPr>
        <w:t xml:space="preserve">SUJETO OBLIGADO </w:t>
      </w:r>
      <w:r w:rsidR="009F6257">
        <w:rPr>
          <w:rFonts w:ascii="Palatino Linotype" w:eastAsia="Palatino Linotype" w:hAnsi="Palatino Linotype" w:cs="Palatino Linotype"/>
          <w:color w:val="000000"/>
          <w:sz w:val="24"/>
          <w:szCs w:val="24"/>
        </w:rPr>
        <w:t>rindió su informe justificado al tenor de lo siguiente:</w:t>
      </w:r>
    </w:p>
    <w:p w14:paraId="4164EB9A" w14:textId="77777777" w:rsidR="009F6257" w:rsidRDefault="009F6257" w:rsidP="009F6257">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0F8BDEC8" w14:textId="64C37E37" w:rsidR="00DB71F7" w:rsidRDefault="009F6257" w:rsidP="00C60490">
      <w:pPr>
        <w:pStyle w:val="Prrafodelista"/>
        <w:numPr>
          <w:ilvl w:val="0"/>
          <w:numId w:val="13"/>
        </w:numPr>
        <w:pBdr>
          <w:top w:val="nil"/>
          <w:left w:val="nil"/>
          <w:bottom w:val="nil"/>
          <w:right w:val="nil"/>
          <w:between w:val="nil"/>
        </w:pBdr>
        <w:spacing w:after="0" w:line="360" w:lineRule="auto"/>
        <w:ind w:left="567" w:right="49"/>
        <w:jc w:val="both"/>
        <w:rPr>
          <w:rFonts w:ascii="Palatino Linotype" w:eastAsia="Palatino Linotype" w:hAnsi="Palatino Linotype" w:cs="Palatino Linotype"/>
          <w:color w:val="000000"/>
          <w:szCs w:val="24"/>
        </w:rPr>
      </w:pPr>
      <w:r w:rsidRPr="00F100D8">
        <w:rPr>
          <w:rFonts w:ascii="Palatino Linotype" w:eastAsia="Palatino Linotype" w:hAnsi="Palatino Linotype" w:cs="Palatino Linotype"/>
          <w:color w:val="000000"/>
          <w:szCs w:val="24"/>
        </w:rPr>
        <w:lastRenderedPageBreak/>
        <w:t xml:space="preserve">Oficio de fecha </w:t>
      </w:r>
      <w:r w:rsidR="00EF3F9A">
        <w:rPr>
          <w:rFonts w:ascii="Palatino Linotype" w:eastAsia="Palatino Linotype" w:hAnsi="Palatino Linotype" w:cs="Palatino Linotype"/>
          <w:color w:val="000000"/>
          <w:szCs w:val="24"/>
        </w:rPr>
        <w:t xml:space="preserve">nueve de diciembre de dos mil veintidós, signado por el Director de Transparencia, mediante el cual informa que por error involuntario se entregó información que no corresponde con lo solicitado. </w:t>
      </w:r>
    </w:p>
    <w:p w14:paraId="3ACDF965" w14:textId="67870128" w:rsidR="00EF3F9A" w:rsidRDefault="00EF3F9A" w:rsidP="00C60490">
      <w:pPr>
        <w:pStyle w:val="Prrafodelista"/>
        <w:numPr>
          <w:ilvl w:val="0"/>
          <w:numId w:val="13"/>
        </w:numPr>
        <w:pBdr>
          <w:top w:val="nil"/>
          <w:left w:val="nil"/>
          <w:bottom w:val="nil"/>
          <w:right w:val="nil"/>
          <w:between w:val="nil"/>
        </w:pBdr>
        <w:spacing w:after="0" w:line="360" w:lineRule="auto"/>
        <w:ind w:left="567" w:right="49"/>
        <w:jc w:val="both"/>
        <w:rPr>
          <w:rFonts w:ascii="Palatino Linotype" w:eastAsia="Palatino Linotype" w:hAnsi="Palatino Linotype" w:cs="Palatino Linotype"/>
          <w:color w:val="000000"/>
          <w:szCs w:val="24"/>
        </w:rPr>
      </w:pPr>
      <w:r>
        <w:rPr>
          <w:rFonts w:ascii="Palatino Linotype" w:eastAsia="Palatino Linotype" w:hAnsi="Palatino Linotype" w:cs="Palatino Linotype"/>
          <w:color w:val="000000"/>
          <w:szCs w:val="24"/>
        </w:rPr>
        <w:t xml:space="preserve">Documentos relacionados con la Firmas por Lugar de Pago Personalizado de la primera quincena de octubre de dos mil veintidós. </w:t>
      </w:r>
    </w:p>
    <w:p w14:paraId="41444568" w14:textId="1C4C8B69" w:rsidR="00EF3F9A" w:rsidRPr="00F100D8" w:rsidRDefault="00EF3F9A" w:rsidP="00C60490">
      <w:pPr>
        <w:pStyle w:val="Prrafodelista"/>
        <w:numPr>
          <w:ilvl w:val="0"/>
          <w:numId w:val="13"/>
        </w:numPr>
        <w:pBdr>
          <w:top w:val="nil"/>
          <w:left w:val="nil"/>
          <w:bottom w:val="nil"/>
          <w:right w:val="nil"/>
          <w:between w:val="nil"/>
        </w:pBdr>
        <w:spacing w:after="0" w:line="360" w:lineRule="auto"/>
        <w:ind w:left="567" w:right="49"/>
        <w:jc w:val="both"/>
        <w:rPr>
          <w:rFonts w:ascii="Palatino Linotype" w:eastAsia="Palatino Linotype" w:hAnsi="Palatino Linotype" w:cs="Palatino Linotype"/>
          <w:color w:val="000000"/>
          <w:szCs w:val="24"/>
        </w:rPr>
      </w:pPr>
      <w:r>
        <w:rPr>
          <w:rFonts w:ascii="Palatino Linotype" w:eastAsia="Palatino Linotype" w:hAnsi="Palatino Linotype" w:cs="Palatino Linotype"/>
          <w:color w:val="000000"/>
          <w:szCs w:val="24"/>
        </w:rPr>
        <w:t xml:space="preserve">Acuerdo de Clasificación emitido por el Comité de Transparencia, mediante el cual se aprueba la versión pública de la información remitida. </w:t>
      </w:r>
    </w:p>
    <w:p w14:paraId="03EE537C" w14:textId="56A16E2C" w:rsidR="00F8557D" w:rsidRPr="008645E3" w:rsidRDefault="00F8557D">
      <w:pPr>
        <w:spacing w:after="0" w:line="360" w:lineRule="auto"/>
        <w:ind w:right="49"/>
        <w:jc w:val="both"/>
        <w:rPr>
          <w:rFonts w:ascii="Palatino Linotype" w:eastAsia="Palatino Linotype" w:hAnsi="Palatino Linotype" w:cs="Palatino Linotype"/>
          <w:sz w:val="24"/>
          <w:szCs w:val="24"/>
        </w:rPr>
      </w:pPr>
    </w:p>
    <w:p w14:paraId="690571B1" w14:textId="2F6F32CC" w:rsidR="00F8557D" w:rsidRPr="00C60490" w:rsidRDefault="00C60490">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Los documentos a) y c) se hicieron del conocimiento del </w:t>
      </w:r>
      <w:r w:rsidR="00F100D8">
        <w:rPr>
          <w:rFonts w:ascii="Palatino Linotype" w:eastAsia="Palatino Linotype" w:hAnsi="Palatino Linotype" w:cs="Palatino Linotype"/>
          <w:sz w:val="24"/>
          <w:szCs w:val="24"/>
        </w:rPr>
        <w:t xml:space="preserve"> Particular el </w:t>
      </w:r>
      <w:r w:rsidR="00EF3F9A">
        <w:rPr>
          <w:rFonts w:ascii="Palatino Linotype" w:eastAsia="Palatino Linotype" w:hAnsi="Palatino Linotype" w:cs="Palatino Linotype"/>
          <w:b/>
          <w:sz w:val="24"/>
          <w:szCs w:val="24"/>
        </w:rPr>
        <w:t>dieciséi</w:t>
      </w:r>
      <w:r>
        <w:rPr>
          <w:rFonts w:ascii="Palatino Linotype" w:eastAsia="Palatino Linotype" w:hAnsi="Palatino Linotype" w:cs="Palatino Linotype"/>
          <w:b/>
          <w:sz w:val="24"/>
          <w:szCs w:val="24"/>
        </w:rPr>
        <w:t>s de mayo de dos mil veintitrés</w:t>
      </w:r>
      <w:r>
        <w:rPr>
          <w:rFonts w:ascii="Palatino Linotype" w:eastAsia="Palatino Linotype" w:hAnsi="Palatino Linotype" w:cs="Palatino Linotype"/>
          <w:sz w:val="24"/>
          <w:szCs w:val="24"/>
        </w:rPr>
        <w:t xml:space="preserve">, no obstante, el documento b) al advertirse que contenía datos personales que no fueron clasificados no se hizo de su conocimiento. </w:t>
      </w:r>
    </w:p>
    <w:p w14:paraId="1FD5A2DA" w14:textId="77777777" w:rsidR="00F100D8" w:rsidRDefault="00F100D8">
      <w:pPr>
        <w:spacing w:after="0" w:line="360" w:lineRule="auto"/>
        <w:ind w:right="49"/>
        <w:jc w:val="both"/>
        <w:rPr>
          <w:rFonts w:ascii="Palatino Linotype" w:eastAsia="Palatino Linotype" w:hAnsi="Palatino Linotype" w:cs="Palatino Linotype"/>
          <w:b/>
          <w:sz w:val="24"/>
          <w:szCs w:val="24"/>
        </w:rPr>
      </w:pPr>
    </w:p>
    <w:p w14:paraId="4BA13385" w14:textId="17D78274" w:rsidR="00F100D8" w:rsidRDefault="00F100D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 </w:t>
      </w:r>
      <w:r>
        <w:rPr>
          <w:rFonts w:ascii="Palatino Linotype" w:eastAsia="Palatino Linotype" w:hAnsi="Palatino Linotype" w:cs="Palatino Linotype"/>
          <w:b/>
          <w:sz w:val="24"/>
          <w:szCs w:val="24"/>
        </w:rPr>
        <w:t xml:space="preserve">PARTICULAR </w:t>
      </w:r>
      <w:r>
        <w:rPr>
          <w:rFonts w:ascii="Palatino Linotype" w:eastAsia="Palatino Linotype" w:hAnsi="Palatino Linotype" w:cs="Palatino Linotype"/>
          <w:sz w:val="24"/>
          <w:szCs w:val="24"/>
        </w:rPr>
        <w:t xml:space="preserve">no realizó manifestaciones. </w:t>
      </w:r>
    </w:p>
    <w:p w14:paraId="1F6309EB" w14:textId="77777777" w:rsidR="00F8557D" w:rsidRPr="008645E3" w:rsidRDefault="00F8557D">
      <w:pPr>
        <w:spacing w:after="0" w:line="360" w:lineRule="auto"/>
        <w:ind w:right="49"/>
        <w:jc w:val="both"/>
        <w:rPr>
          <w:rFonts w:ascii="Palatino Linotype" w:eastAsia="Palatino Linotype" w:hAnsi="Palatino Linotype" w:cs="Palatino Linotype"/>
          <w:sz w:val="24"/>
          <w:szCs w:val="24"/>
        </w:rPr>
      </w:pPr>
    </w:p>
    <w:p w14:paraId="35802F19" w14:textId="4E807EA5" w:rsidR="00F8557D" w:rsidRPr="00582034" w:rsidRDefault="00646B44">
      <w:pPr>
        <w:numPr>
          <w:ilvl w:val="0"/>
          <w:numId w:val="1"/>
        </w:numPr>
        <w:pBdr>
          <w:top w:val="nil"/>
          <w:left w:val="nil"/>
          <w:bottom w:val="nil"/>
          <w:right w:val="nil"/>
          <w:between w:val="nil"/>
        </w:pBdr>
        <w:tabs>
          <w:tab w:val="left" w:pos="360"/>
        </w:tabs>
        <w:spacing w:after="0" w:line="360" w:lineRule="auto"/>
        <w:ind w:left="0" w:right="49" w:firstLine="0"/>
        <w:jc w:val="both"/>
        <w:rPr>
          <w:rFonts w:ascii="Palatino Linotype" w:eastAsia="Palatino Linotype" w:hAnsi="Palatino Linotype" w:cs="Palatino Linotype"/>
          <w:color w:val="000000"/>
          <w:sz w:val="24"/>
          <w:szCs w:val="24"/>
        </w:rPr>
      </w:pPr>
      <w:r w:rsidRPr="00582034">
        <w:rPr>
          <w:rFonts w:ascii="Palatino Linotype" w:eastAsia="Palatino Linotype" w:hAnsi="Palatino Linotype" w:cs="Palatino Linotype"/>
          <w:b/>
          <w:color w:val="000000"/>
          <w:sz w:val="24"/>
          <w:szCs w:val="24"/>
        </w:rPr>
        <w:t>Ampliación de plazo:</w:t>
      </w:r>
      <w:r w:rsidRPr="00582034">
        <w:rPr>
          <w:rFonts w:ascii="Palatino Linotype" w:eastAsia="Palatino Linotype" w:hAnsi="Palatino Linotype" w:cs="Palatino Linotype"/>
          <w:color w:val="000000"/>
          <w:sz w:val="24"/>
          <w:szCs w:val="24"/>
        </w:rPr>
        <w:t xml:space="preserve"> El </w:t>
      </w:r>
      <w:r w:rsidR="00EF3F9A">
        <w:rPr>
          <w:rFonts w:ascii="Palatino Linotype" w:eastAsia="Palatino Linotype" w:hAnsi="Palatino Linotype" w:cs="Palatino Linotype"/>
          <w:b/>
          <w:color w:val="000000"/>
          <w:sz w:val="24"/>
          <w:szCs w:val="24"/>
        </w:rPr>
        <w:t>dieciséis de mayo de</w:t>
      </w:r>
      <w:r w:rsidR="00F100D8">
        <w:rPr>
          <w:rFonts w:ascii="Palatino Linotype" w:eastAsia="Palatino Linotype" w:hAnsi="Palatino Linotype" w:cs="Palatino Linotype"/>
          <w:b/>
          <w:color w:val="000000"/>
          <w:sz w:val="24"/>
          <w:szCs w:val="24"/>
        </w:rPr>
        <w:t xml:space="preserve"> dos mil veintitrés</w:t>
      </w:r>
      <w:r w:rsidRPr="00582034">
        <w:rPr>
          <w:rFonts w:ascii="Palatino Linotype" w:eastAsia="Palatino Linotype" w:hAnsi="Palatino Linotype" w:cs="Palatino Linotype"/>
          <w:color w:val="000000"/>
          <w:sz w:val="24"/>
          <w:szCs w:val="24"/>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119BAACD" w14:textId="77777777" w:rsidR="00F8557D" w:rsidRPr="008645E3" w:rsidRDefault="00F8557D">
      <w:pPr>
        <w:spacing w:after="0" w:line="360" w:lineRule="auto"/>
        <w:ind w:right="49"/>
        <w:jc w:val="both"/>
        <w:rPr>
          <w:rFonts w:ascii="Palatino Linotype" w:eastAsia="Palatino Linotype" w:hAnsi="Palatino Linotype" w:cs="Palatino Linotype"/>
          <w:sz w:val="24"/>
          <w:szCs w:val="24"/>
        </w:rPr>
      </w:pPr>
    </w:p>
    <w:p w14:paraId="39FAB679" w14:textId="77777777" w:rsidR="00C60490" w:rsidRDefault="00C60490" w:rsidP="00C60490">
      <w:pPr>
        <w:spacing w:after="0" w:line="360" w:lineRule="auto"/>
        <w:ind w:right="49"/>
        <w:jc w:val="both"/>
        <w:rPr>
          <w:rFonts w:ascii="Palatino Linotype" w:eastAsia="Palatino Linotype" w:hAnsi="Palatino Linotype" w:cs="Palatino Linotype"/>
          <w:sz w:val="24"/>
          <w:szCs w:val="24"/>
        </w:rPr>
      </w:pPr>
      <w:r w:rsidRPr="00F7497D">
        <w:rPr>
          <w:rFonts w:ascii="Palatino Linotype" w:eastAsia="Palatino Linotype" w:hAnsi="Palatino Linotype" w:cs="Palatino Linotype"/>
          <w:sz w:val="24"/>
          <w:szCs w:val="24"/>
        </w:rPr>
        <w:t xml:space="preserve">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w:t>
      </w:r>
      <w:r w:rsidRPr="00F7497D">
        <w:rPr>
          <w:rFonts w:ascii="Palatino Linotype" w:eastAsia="Palatino Linotype" w:hAnsi="Palatino Linotype" w:cs="Palatino Linotype"/>
          <w:sz w:val="24"/>
          <w:szCs w:val="24"/>
        </w:rPr>
        <w:lastRenderedPageBreak/>
        <w:t>circunstancia atípica que ha rebasado las capacidades técnicas y humanas del personal encargado de la proyección de las resoluciones a dichos medios de impugnación.</w:t>
      </w:r>
    </w:p>
    <w:p w14:paraId="44421177" w14:textId="77777777" w:rsidR="008755B0" w:rsidRPr="008645E3" w:rsidRDefault="008755B0">
      <w:pPr>
        <w:spacing w:after="0" w:line="360" w:lineRule="auto"/>
        <w:ind w:right="49"/>
        <w:jc w:val="both"/>
        <w:rPr>
          <w:rFonts w:ascii="Palatino Linotype" w:eastAsia="Palatino Linotype" w:hAnsi="Palatino Linotype" w:cs="Palatino Linotype"/>
          <w:sz w:val="24"/>
          <w:szCs w:val="24"/>
        </w:rPr>
      </w:pPr>
    </w:p>
    <w:p w14:paraId="01EF90D1" w14:textId="77777777" w:rsidR="00F8557D" w:rsidRPr="008645E3" w:rsidRDefault="00646B44">
      <w:pPr>
        <w:spacing w:after="0" w:line="360" w:lineRule="auto"/>
        <w:ind w:right="49"/>
        <w:jc w:val="both"/>
        <w:rPr>
          <w:rFonts w:ascii="Palatino Linotype" w:eastAsia="Palatino Linotype" w:hAnsi="Palatino Linotype" w:cs="Palatino Linotype"/>
          <w:sz w:val="24"/>
          <w:szCs w:val="24"/>
        </w:rPr>
      </w:pPr>
      <w:r w:rsidRPr="008645E3">
        <w:rPr>
          <w:rFonts w:ascii="Palatino Linotype" w:eastAsia="Palatino Linotype" w:hAnsi="Palatino Linotype" w:cs="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E93442B" w14:textId="77777777" w:rsidR="00F8557D" w:rsidRPr="008645E3" w:rsidRDefault="00646B44">
      <w:pPr>
        <w:spacing w:after="0" w:line="360" w:lineRule="auto"/>
        <w:ind w:right="49"/>
        <w:jc w:val="both"/>
        <w:rPr>
          <w:rFonts w:ascii="Palatino Linotype" w:eastAsia="Palatino Linotype" w:hAnsi="Palatino Linotype" w:cs="Palatino Linotype"/>
          <w:sz w:val="24"/>
          <w:szCs w:val="24"/>
        </w:rPr>
      </w:pPr>
      <w:r w:rsidRPr="008645E3">
        <w:rPr>
          <w:rFonts w:ascii="Palatino Linotype" w:eastAsia="Palatino Linotype" w:hAnsi="Palatino Linotype" w:cs="Palatino Linotype"/>
          <w:sz w:val="24"/>
          <w:szCs w:val="24"/>
        </w:rPr>
        <w:t xml:space="preserve"> </w:t>
      </w:r>
    </w:p>
    <w:p w14:paraId="52AAFFD6" w14:textId="77777777" w:rsidR="00F8557D" w:rsidRPr="008645E3" w:rsidRDefault="00646B44">
      <w:pPr>
        <w:spacing w:after="0" w:line="360" w:lineRule="auto"/>
        <w:ind w:right="49"/>
        <w:jc w:val="both"/>
        <w:rPr>
          <w:rFonts w:ascii="Palatino Linotype" w:eastAsia="Palatino Linotype" w:hAnsi="Palatino Linotype" w:cs="Palatino Linotype"/>
          <w:sz w:val="24"/>
          <w:szCs w:val="24"/>
        </w:rPr>
      </w:pPr>
      <w:r w:rsidRPr="008645E3">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52599E6" w14:textId="77777777" w:rsidR="00F8557D" w:rsidRPr="008645E3" w:rsidRDefault="00F8557D">
      <w:pPr>
        <w:spacing w:after="0" w:line="360" w:lineRule="auto"/>
        <w:ind w:right="49"/>
        <w:jc w:val="both"/>
        <w:rPr>
          <w:rFonts w:ascii="Palatino Linotype" w:eastAsia="Palatino Linotype" w:hAnsi="Palatino Linotype" w:cs="Palatino Linotype"/>
          <w:sz w:val="24"/>
          <w:szCs w:val="24"/>
        </w:rPr>
      </w:pPr>
    </w:p>
    <w:p w14:paraId="7048F65A" w14:textId="6D76826B" w:rsidR="00F8557D" w:rsidRDefault="00646B44">
      <w:pPr>
        <w:spacing w:after="0" w:line="360" w:lineRule="auto"/>
        <w:ind w:right="49"/>
        <w:jc w:val="both"/>
        <w:rPr>
          <w:rFonts w:ascii="Palatino Linotype" w:eastAsia="Palatino Linotype" w:hAnsi="Palatino Linotype" w:cs="Palatino Linotype"/>
          <w:sz w:val="24"/>
          <w:szCs w:val="24"/>
        </w:rPr>
      </w:pPr>
      <w:r w:rsidRPr="008645E3">
        <w:rPr>
          <w:rFonts w:ascii="Palatino Linotype" w:eastAsia="Palatino Linotype" w:hAnsi="Palatino Linotype" w:cs="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7FC7F3E" w14:textId="77777777" w:rsidR="00C60490" w:rsidRPr="008645E3" w:rsidRDefault="00C60490">
      <w:pPr>
        <w:spacing w:after="0" w:line="360" w:lineRule="auto"/>
        <w:ind w:right="49"/>
        <w:jc w:val="both"/>
        <w:rPr>
          <w:rFonts w:ascii="Palatino Linotype" w:eastAsia="Palatino Linotype" w:hAnsi="Palatino Linotype" w:cs="Palatino Linotype"/>
          <w:sz w:val="24"/>
          <w:szCs w:val="24"/>
        </w:rPr>
      </w:pPr>
    </w:p>
    <w:p w14:paraId="3A1FBB21" w14:textId="77777777" w:rsidR="00F8557D" w:rsidRPr="008645E3" w:rsidRDefault="00646B44">
      <w:pPr>
        <w:spacing w:after="0" w:line="360" w:lineRule="auto"/>
        <w:ind w:right="49"/>
        <w:jc w:val="both"/>
        <w:rPr>
          <w:rFonts w:ascii="Palatino Linotype" w:eastAsia="Palatino Linotype" w:hAnsi="Palatino Linotype" w:cs="Palatino Linotype"/>
          <w:sz w:val="24"/>
          <w:szCs w:val="24"/>
        </w:rPr>
      </w:pPr>
      <w:r w:rsidRPr="008645E3">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6E5AB222" w14:textId="77777777" w:rsidR="00F8557D" w:rsidRPr="008645E3" w:rsidRDefault="00F8557D">
      <w:pPr>
        <w:spacing w:after="0" w:line="360" w:lineRule="auto"/>
        <w:ind w:right="49"/>
        <w:jc w:val="both"/>
        <w:rPr>
          <w:rFonts w:ascii="Palatino Linotype" w:eastAsia="Palatino Linotype" w:hAnsi="Palatino Linotype" w:cs="Palatino Linotype"/>
          <w:sz w:val="24"/>
          <w:szCs w:val="24"/>
        </w:rPr>
      </w:pPr>
    </w:p>
    <w:p w14:paraId="2870B7B1" w14:textId="77777777" w:rsidR="00F8557D" w:rsidRPr="008645E3" w:rsidRDefault="00646B44">
      <w:pPr>
        <w:tabs>
          <w:tab w:val="left" w:pos="709"/>
        </w:tabs>
        <w:spacing w:after="0" w:line="360" w:lineRule="auto"/>
        <w:ind w:left="567" w:right="560"/>
        <w:jc w:val="both"/>
        <w:rPr>
          <w:rFonts w:ascii="Palatino Linotype" w:eastAsia="Palatino Linotype" w:hAnsi="Palatino Linotype" w:cs="Palatino Linotype"/>
        </w:rPr>
      </w:pPr>
      <w:r w:rsidRPr="008645E3">
        <w:rPr>
          <w:rFonts w:ascii="Palatino Linotype" w:eastAsia="Palatino Linotype" w:hAnsi="Palatino Linotype" w:cs="Palatino Linotype"/>
          <w:b/>
          <w:sz w:val="24"/>
          <w:szCs w:val="24"/>
        </w:rPr>
        <w:lastRenderedPageBreak/>
        <w:t>a</w:t>
      </w:r>
      <w:r w:rsidRPr="008645E3">
        <w:rPr>
          <w:rFonts w:ascii="Palatino Linotype" w:eastAsia="Palatino Linotype" w:hAnsi="Palatino Linotype" w:cs="Palatino Linotype"/>
          <w:b/>
        </w:rPr>
        <w:t>)    Complejidad del asunto:</w:t>
      </w:r>
      <w:r w:rsidRPr="008645E3">
        <w:rPr>
          <w:rFonts w:ascii="Palatino Linotype" w:eastAsia="Palatino Linotype" w:hAnsi="Palatino Linotype" w:cs="Palatino Linotype"/>
        </w:rPr>
        <w:t xml:space="preserve"> La complejidad de la prueba, la pluralidad de sujetos procesales, el tiempo transcurrido, las características y contexto del recurso.</w:t>
      </w:r>
    </w:p>
    <w:p w14:paraId="0743C62A" w14:textId="77777777" w:rsidR="00F8557D" w:rsidRPr="008645E3" w:rsidRDefault="00646B44">
      <w:pPr>
        <w:tabs>
          <w:tab w:val="left" w:pos="709"/>
        </w:tabs>
        <w:spacing w:after="0" w:line="360" w:lineRule="auto"/>
        <w:ind w:left="567" w:right="560"/>
        <w:jc w:val="both"/>
        <w:rPr>
          <w:rFonts w:ascii="Palatino Linotype" w:eastAsia="Palatino Linotype" w:hAnsi="Palatino Linotype" w:cs="Palatino Linotype"/>
        </w:rPr>
      </w:pPr>
      <w:r w:rsidRPr="008645E3">
        <w:rPr>
          <w:rFonts w:ascii="Palatino Linotype" w:eastAsia="Palatino Linotype" w:hAnsi="Palatino Linotype" w:cs="Palatino Linotype"/>
          <w:b/>
        </w:rPr>
        <w:t>b)   Actividad Procesal del interesado</w:t>
      </w:r>
      <w:r w:rsidRPr="008645E3">
        <w:rPr>
          <w:rFonts w:ascii="Palatino Linotype" w:eastAsia="Palatino Linotype" w:hAnsi="Palatino Linotype" w:cs="Palatino Linotype"/>
        </w:rPr>
        <w:t>: Acciones u omisiones del interesado.</w:t>
      </w:r>
    </w:p>
    <w:p w14:paraId="4E15E9F6" w14:textId="77777777" w:rsidR="00F8557D" w:rsidRPr="008645E3" w:rsidRDefault="00646B44">
      <w:pPr>
        <w:tabs>
          <w:tab w:val="left" w:pos="851"/>
        </w:tabs>
        <w:spacing w:after="0" w:line="360" w:lineRule="auto"/>
        <w:ind w:left="567" w:right="560"/>
        <w:jc w:val="both"/>
        <w:rPr>
          <w:rFonts w:ascii="Palatino Linotype" w:eastAsia="Palatino Linotype" w:hAnsi="Palatino Linotype" w:cs="Palatino Linotype"/>
        </w:rPr>
      </w:pPr>
      <w:r w:rsidRPr="008645E3">
        <w:rPr>
          <w:rFonts w:ascii="Palatino Linotype" w:eastAsia="Palatino Linotype" w:hAnsi="Palatino Linotype" w:cs="Palatino Linotype"/>
          <w:b/>
        </w:rPr>
        <w:t>c)  Conducta de la Autoridad:</w:t>
      </w:r>
      <w:r w:rsidRPr="008645E3">
        <w:rPr>
          <w:rFonts w:ascii="Palatino Linotype" w:eastAsia="Palatino Linotype" w:hAnsi="Palatino Linotype" w:cs="Palatino Linotype"/>
        </w:rPr>
        <w:t xml:space="preserve"> Las Acciones u omisiones realizadas en el procedimiento. Así como si la autoridad actuó con la debida diligencia.</w:t>
      </w:r>
    </w:p>
    <w:p w14:paraId="39BD5EC1" w14:textId="77777777" w:rsidR="00F8557D" w:rsidRPr="008645E3" w:rsidRDefault="00646B44">
      <w:pPr>
        <w:tabs>
          <w:tab w:val="left" w:pos="851"/>
        </w:tabs>
        <w:spacing w:after="0" w:line="360" w:lineRule="auto"/>
        <w:ind w:left="567" w:right="560"/>
        <w:jc w:val="both"/>
        <w:rPr>
          <w:rFonts w:ascii="Palatino Linotype" w:eastAsia="Palatino Linotype" w:hAnsi="Palatino Linotype" w:cs="Palatino Linotype"/>
        </w:rPr>
      </w:pPr>
      <w:r w:rsidRPr="008645E3">
        <w:rPr>
          <w:rFonts w:ascii="Palatino Linotype" w:eastAsia="Palatino Linotype" w:hAnsi="Palatino Linotype" w:cs="Palatino Linotype"/>
          <w:b/>
        </w:rPr>
        <w:t>d) La afectación generada en la situación jurídica de la persona involucrada en el proceso:</w:t>
      </w:r>
      <w:r w:rsidRPr="008645E3">
        <w:rPr>
          <w:rFonts w:ascii="Palatino Linotype" w:eastAsia="Palatino Linotype" w:hAnsi="Palatino Linotype" w:cs="Palatino Linotype"/>
        </w:rPr>
        <w:t xml:space="preserve"> Violación a sus derechos humanos.</w:t>
      </w:r>
    </w:p>
    <w:p w14:paraId="30E8EA88" w14:textId="77777777" w:rsidR="00F8557D" w:rsidRPr="008645E3" w:rsidRDefault="00F8557D">
      <w:pPr>
        <w:spacing w:after="0" w:line="360" w:lineRule="auto"/>
        <w:ind w:right="49"/>
        <w:jc w:val="both"/>
        <w:rPr>
          <w:rFonts w:ascii="Palatino Linotype" w:eastAsia="Palatino Linotype" w:hAnsi="Palatino Linotype" w:cs="Palatino Linotype"/>
          <w:sz w:val="24"/>
          <w:szCs w:val="24"/>
        </w:rPr>
      </w:pPr>
    </w:p>
    <w:p w14:paraId="727A23C4" w14:textId="77777777" w:rsidR="00F8557D" w:rsidRPr="008645E3" w:rsidRDefault="00646B44">
      <w:pPr>
        <w:spacing w:after="0" w:line="360" w:lineRule="auto"/>
        <w:ind w:right="49"/>
        <w:jc w:val="both"/>
        <w:rPr>
          <w:rFonts w:ascii="Palatino Linotype" w:eastAsia="Palatino Linotype" w:hAnsi="Palatino Linotype" w:cs="Palatino Linotype"/>
          <w:sz w:val="24"/>
          <w:szCs w:val="24"/>
        </w:rPr>
      </w:pPr>
      <w:r w:rsidRPr="008645E3">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2BB1787" w14:textId="77777777" w:rsidR="00F8557D" w:rsidRPr="008645E3" w:rsidRDefault="00646B44">
      <w:pPr>
        <w:spacing w:after="0" w:line="360" w:lineRule="auto"/>
        <w:ind w:right="49"/>
        <w:jc w:val="both"/>
        <w:rPr>
          <w:rFonts w:ascii="Palatino Linotype" w:eastAsia="Palatino Linotype" w:hAnsi="Palatino Linotype" w:cs="Palatino Linotype"/>
          <w:sz w:val="24"/>
          <w:szCs w:val="24"/>
        </w:rPr>
      </w:pPr>
      <w:r w:rsidRPr="008645E3">
        <w:rPr>
          <w:rFonts w:ascii="Palatino Linotype" w:eastAsia="Palatino Linotype" w:hAnsi="Palatino Linotype" w:cs="Palatino Linotype"/>
          <w:sz w:val="24"/>
          <w:szCs w:val="24"/>
        </w:rPr>
        <w:t xml:space="preserve"> </w:t>
      </w:r>
    </w:p>
    <w:p w14:paraId="6E8283A9" w14:textId="77777777" w:rsidR="00F8557D" w:rsidRPr="008645E3" w:rsidRDefault="00646B44">
      <w:pPr>
        <w:spacing w:after="0" w:line="360" w:lineRule="auto"/>
        <w:ind w:right="49"/>
        <w:jc w:val="both"/>
        <w:rPr>
          <w:rFonts w:ascii="Palatino Linotype" w:eastAsia="Palatino Linotype" w:hAnsi="Palatino Linotype" w:cs="Palatino Linotype"/>
          <w:sz w:val="24"/>
          <w:szCs w:val="24"/>
        </w:rPr>
      </w:pPr>
      <w:r w:rsidRPr="008645E3">
        <w:rPr>
          <w:rFonts w:ascii="Palatino Linotype" w:eastAsia="Palatino Linotype" w:hAnsi="Palatino Linotype" w:cs="Palatino Linotype"/>
          <w:sz w:val="24"/>
          <w:szCs w:val="24"/>
        </w:rPr>
        <w:t>Argumento que encuentra sustento en la jurisprudencia P./J. 32/92 emitida por el Pleno de la Suprema Corte de Justicia de la Nación de rubro “</w:t>
      </w:r>
      <w:r w:rsidRPr="008645E3">
        <w:rPr>
          <w:rFonts w:ascii="Palatino Linotype" w:eastAsia="Palatino Linotype" w:hAnsi="Palatino Linotype" w:cs="Palatino Linotype"/>
          <w:b/>
          <w:sz w:val="24"/>
          <w:szCs w:val="24"/>
        </w:rPr>
        <w:t>TÉRMINOS PROCESALES. PARA DETERMINAR SI UN FUNCIONARIO JUDICIAL ACTUÓ INDEBIDAMENTE POR NO RESPETARLOS SE DEBE ATENDER AL PRESUPUESTO QUE CONSIDERÓ EL LEGISLADOR AL FIJARLOS Y LAS CARACTERÍSTICAS DEL CASO.”</w:t>
      </w:r>
      <w:r w:rsidRPr="008645E3">
        <w:rPr>
          <w:rFonts w:ascii="Palatino Linotype" w:eastAsia="Palatino Linotype" w:hAnsi="Palatino Linotype" w:cs="Palatino Linotype"/>
          <w:sz w:val="24"/>
          <w:szCs w:val="24"/>
        </w:rPr>
        <w:t>, visible en la Gaceta del Seminario Judicial de la Federación con el registro digital 205635.</w:t>
      </w:r>
    </w:p>
    <w:p w14:paraId="2001E0A2" w14:textId="77777777" w:rsidR="00F8557D" w:rsidRPr="008645E3" w:rsidRDefault="00646B44">
      <w:pPr>
        <w:spacing w:after="0" w:line="360" w:lineRule="auto"/>
        <w:ind w:right="49"/>
        <w:jc w:val="both"/>
        <w:rPr>
          <w:rFonts w:ascii="Palatino Linotype" w:eastAsia="Palatino Linotype" w:hAnsi="Palatino Linotype" w:cs="Palatino Linotype"/>
          <w:sz w:val="24"/>
          <w:szCs w:val="24"/>
        </w:rPr>
      </w:pPr>
      <w:r w:rsidRPr="008645E3">
        <w:rPr>
          <w:rFonts w:ascii="Palatino Linotype" w:eastAsia="Palatino Linotype" w:hAnsi="Palatino Linotype" w:cs="Palatino Linotype"/>
          <w:sz w:val="24"/>
          <w:szCs w:val="24"/>
        </w:rPr>
        <w:t xml:space="preserve"> </w:t>
      </w:r>
    </w:p>
    <w:p w14:paraId="0313729C" w14:textId="77777777" w:rsidR="00F8557D" w:rsidRPr="008645E3" w:rsidRDefault="00646B44">
      <w:pPr>
        <w:spacing w:after="0" w:line="360" w:lineRule="auto"/>
        <w:ind w:right="49"/>
        <w:jc w:val="both"/>
        <w:rPr>
          <w:rFonts w:ascii="Palatino Linotype" w:eastAsia="Palatino Linotype" w:hAnsi="Palatino Linotype" w:cs="Palatino Linotype"/>
          <w:sz w:val="24"/>
          <w:szCs w:val="24"/>
        </w:rPr>
      </w:pPr>
      <w:r w:rsidRPr="008645E3">
        <w:rPr>
          <w:rFonts w:ascii="Palatino Linotype" w:eastAsia="Palatino Linotype" w:hAnsi="Palatino Linotype" w:cs="Palatino Linotype"/>
          <w:sz w:val="24"/>
          <w:szCs w:val="24"/>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C20704A" w14:textId="77777777" w:rsidR="00F8557D" w:rsidRPr="008645E3" w:rsidRDefault="00F8557D">
      <w:pPr>
        <w:spacing w:after="0" w:line="360" w:lineRule="auto"/>
        <w:ind w:right="49"/>
        <w:jc w:val="both"/>
        <w:rPr>
          <w:rFonts w:ascii="Palatino Linotype" w:eastAsia="Palatino Linotype" w:hAnsi="Palatino Linotype" w:cs="Palatino Linotype"/>
          <w:sz w:val="24"/>
          <w:szCs w:val="24"/>
        </w:rPr>
      </w:pPr>
    </w:p>
    <w:p w14:paraId="23808168" w14:textId="77777777" w:rsidR="00F8557D" w:rsidRPr="008645E3" w:rsidRDefault="00646B44">
      <w:pPr>
        <w:spacing w:after="0" w:line="360" w:lineRule="auto"/>
        <w:ind w:right="49"/>
        <w:jc w:val="both"/>
        <w:rPr>
          <w:rFonts w:ascii="Palatino Linotype" w:eastAsia="Palatino Linotype" w:hAnsi="Palatino Linotype" w:cs="Palatino Linotype"/>
          <w:sz w:val="24"/>
          <w:szCs w:val="24"/>
        </w:rPr>
      </w:pPr>
      <w:r w:rsidRPr="008645E3">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13F137F1" w14:textId="77777777" w:rsidR="00F8557D" w:rsidRPr="008645E3" w:rsidRDefault="00646B44">
      <w:pPr>
        <w:spacing w:after="0" w:line="360" w:lineRule="auto"/>
        <w:ind w:right="49"/>
        <w:jc w:val="both"/>
        <w:rPr>
          <w:rFonts w:ascii="Palatino Linotype" w:eastAsia="Palatino Linotype" w:hAnsi="Palatino Linotype" w:cs="Palatino Linotype"/>
          <w:sz w:val="24"/>
          <w:szCs w:val="24"/>
        </w:rPr>
      </w:pPr>
      <w:r w:rsidRPr="008645E3">
        <w:rPr>
          <w:rFonts w:ascii="Palatino Linotype" w:eastAsia="Palatino Linotype" w:hAnsi="Palatino Linotype" w:cs="Palatino Linotype"/>
          <w:sz w:val="24"/>
          <w:szCs w:val="24"/>
        </w:rPr>
        <w:t xml:space="preserve"> </w:t>
      </w:r>
    </w:p>
    <w:p w14:paraId="27FBE521" w14:textId="77777777" w:rsidR="00F8557D" w:rsidRPr="008C55CC" w:rsidRDefault="00646B44">
      <w:pPr>
        <w:spacing w:after="0" w:line="360" w:lineRule="auto"/>
        <w:ind w:left="567" w:right="560"/>
        <w:jc w:val="both"/>
        <w:rPr>
          <w:rFonts w:ascii="Palatino Linotype" w:eastAsia="Palatino Linotype" w:hAnsi="Palatino Linotype" w:cs="Palatino Linotype"/>
          <w:szCs w:val="24"/>
        </w:rPr>
      </w:pPr>
      <w:r w:rsidRPr="008C55CC">
        <w:rPr>
          <w:rFonts w:ascii="Palatino Linotype" w:eastAsia="Palatino Linotype" w:hAnsi="Palatino Linotype" w:cs="Palatino Linotype"/>
          <w:b/>
          <w:szCs w:val="24"/>
        </w:rPr>
        <w:t xml:space="preserve"> “PLAZO RAZONABLE PARA RESOLVER. DIMENSIÓN Y EFECTOS DE ESTE CONCEPTO CUANDO SE ADUCE EXCESIVA CARGA DE TRABAJO.”</w:t>
      </w:r>
      <w:r w:rsidRPr="008C55CC">
        <w:rPr>
          <w:rFonts w:ascii="Palatino Linotype" w:eastAsia="Palatino Linotype" w:hAnsi="Palatino Linotype" w:cs="Palatino Linotype"/>
          <w:szCs w:val="24"/>
        </w:rPr>
        <w:t xml:space="preserve"> consultable en el Seminario Judicial de la Federación y su gaceta, con el registro digital 2002351.</w:t>
      </w:r>
    </w:p>
    <w:p w14:paraId="0591EEE5" w14:textId="77777777" w:rsidR="00F8557D" w:rsidRPr="008C55CC" w:rsidRDefault="00646B44">
      <w:pPr>
        <w:spacing w:after="0" w:line="360" w:lineRule="auto"/>
        <w:ind w:left="567" w:right="560"/>
        <w:jc w:val="both"/>
        <w:rPr>
          <w:rFonts w:ascii="Palatino Linotype" w:eastAsia="Palatino Linotype" w:hAnsi="Palatino Linotype" w:cs="Palatino Linotype"/>
          <w:szCs w:val="24"/>
        </w:rPr>
      </w:pPr>
      <w:r w:rsidRPr="008C55CC">
        <w:rPr>
          <w:rFonts w:ascii="Palatino Linotype" w:eastAsia="Palatino Linotype" w:hAnsi="Palatino Linotype" w:cs="Palatino Linotype"/>
          <w:szCs w:val="24"/>
        </w:rPr>
        <w:t xml:space="preserve"> </w:t>
      </w:r>
    </w:p>
    <w:p w14:paraId="241FA3AA" w14:textId="32875330" w:rsidR="00F8557D" w:rsidRPr="00EF3F9A" w:rsidRDefault="00646B44">
      <w:pPr>
        <w:spacing w:after="0" w:line="360" w:lineRule="auto"/>
        <w:ind w:left="567" w:right="560"/>
        <w:jc w:val="both"/>
        <w:rPr>
          <w:rFonts w:ascii="Palatino Linotype" w:eastAsia="Palatino Linotype" w:hAnsi="Palatino Linotype" w:cs="Palatino Linotype"/>
          <w:szCs w:val="24"/>
        </w:rPr>
      </w:pPr>
      <w:r w:rsidRPr="008C55CC">
        <w:rPr>
          <w:rFonts w:ascii="Palatino Linotype" w:eastAsia="Palatino Linotype" w:hAnsi="Palatino Linotype" w:cs="Palatino Linotype"/>
          <w:b/>
          <w:szCs w:val="24"/>
        </w:rPr>
        <w:t>“PLAZO RAZONABLE PARA RESOLVER. CONCEPTO Y ELEMENTOS QUE LO INTEGRAN A LA LUZ DEL DERECHO INTERNACIONAL DE LOS DERECHOS HUMANOS.”,</w:t>
      </w:r>
      <w:r w:rsidRPr="008C55CC">
        <w:rPr>
          <w:rFonts w:ascii="Palatino Linotype" w:eastAsia="Palatino Linotype" w:hAnsi="Palatino Linotype" w:cs="Palatino Linotype"/>
          <w:szCs w:val="24"/>
        </w:rPr>
        <w:t xml:space="preserve"> visible en el Seminario Judicial de la Federación y su gaceta, con el registro digital 2002350.</w:t>
      </w:r>
    </w:p>
    <w:p w14:paraId="6CD68606" w14:textId="1DA15107" w:rsidR="00F8557D" w:rsidRDefault="00646B44">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r w:rsidRPr="008645E3">
        <w:rPr>
          <w:rFonts w:ascii="Palatino Linotype" w:eastAsia="Palatino Linotype" w:hAnsi="Palatino Linotype" w:cs="Palatino Linotype"/>
          <w:color w:val="000000"/>
          <w:sz w:val="24"/>
          <w:szCs w:val="24"/>
        </w:rPr>
        <w:lastRenderedPageBreak/>
        <w:t>Por ello, este organismo garante comprometido con la tutela de los derechos humanos confiados señala que este exceso del plazo legal para resolver el presente asunto resulta de carácter excepcional.</w:t>
      </w:r>
    </w:p>
    <w:p w14:paraId="38F5A17B" w14:textId="77777777" w:rsidR="00F100D8" w:rsidRDefault="00F100D8">
      <w:pPr>
        <w:spacing w:after="0" w:line="360" w:lineRule="auto"/>
        <w:ind w:right="49"/>
        <w:jc w:val="both"/>
        <w:rPr>
          <w:rFonts w:ascii="Palatino Linotype" w:eastAsia="Palatino Linotype" w:hAnsi="Palatino Linotype" w:cs="Palatino Linotype"/>
          <w:sz w:val="24"/>
          <w:szCs w:val="24"/>
        </w:rPr>
      </w:pPr>
    </w:p>
    <w:p w14:paraId="464BC0DD" w14:textId="0CE910DF" w:rsidR="00F100D8" w:rsidRPr="008645E3" w:rsidRDefault="00F100D8" w:rsidP="00F100D8">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8645E3">
        <w:rPr>
          <w:rFonts w:ascii="Palatino Linotype" w:eastAsia="Palatino Linotype" w:hAnsi="Palatino Linotype" w:cs="Palatino Linotype"/>
          <w:b/>
          <w:color w:val="000000"/>
          <w:sz w:val="24"/>
          <w:szCs w:val="24"/>
        </w:rPr>
        <w:t>Cierre de instrucción</w:t>
      </w:r>
      <w:r w:rsidRPr="008645E3">
        <w:rPr>
          <w:rFonts w:ascii="Palatino Linotype" w:eastAsia="Palatino Linotype" w:hAnsi="Palatino Linotype" w:cs="Palatino Linotype"/>
          <w:color w:val="000000"/>
          <w:sz w:val="24"/>
          <w:szCs w:val="24"/>
        </w:rPr>
        <w:t xml:space="preserve">. En fecha </w:t>
      </w:r>
      <w:r w:rsidR="00703A70">
        <w:rPr>
          <w:rFonts w:ascii="Palatino Linotype" w:eastAsia="Palatino Linotype" w:hAnsi="Palatino Linotype" w:cs="Palatino Linotype"/>
          <w:b/>
          <w:color w:val="000000"/>
          <w:sz w:val="24"/>
          <w:szCs w:val="24"/>
        </w:rPr>
        <w:t>veintitrés</w:t>
      </w:r>
      <w:r w:rsidR="00EF3F9A">
        <w:rPr>
          <w:rFonts w:ascii="Palatino Linotype" w:eastAsia="Palatino Linotype" w:hAnsi="Palatino Linotype" w:cs="Palatino Linotype"/>
          <w:b/>
          <w:color w:val="000000"/>
          <w:sz w:val="24"/>
          <w:szCs w:val="24"/>
        </w:rPr>
        <w:t xml:space="preserve"> de mayo</w:t>
      </w:r>
      <w:r>
        <w:rPr>
          <w:rFonts w:ascii="Palatino Linotype" w:eastAsia="Palatino Linotype" w:hAnsi="Palatino Linotype" w:cs="Palatino Linotype"/>
          <w:b/>
          <w:color w:val="000000"/>
          <w:sz w:val="24"/>
          <w:szCs w:val="24"/>
        </w:rPr>
        <w:t xml:space="preserve"> de dos mil veintitrés</w:t>
      </w:r>
      <w:r w:rsidRPr="008645E3">
        <w:rPr>
          <w:rFonts w:ascii="Palatino Linotype" w:eastAsia="Palatino Linotype" w:hAnsi="Palatino Linotype" w:cs="Palatino Linotype"/>
          <w:color w:val="000000"/>
          <w:sz w:val="24"/>
          <w:szCs w:val="24"/>
        </w:rPr>
        <w:t>, la Comisionada Ponente determinó el cierre de instrucción en términos de la fracción VI del artículo 185 de la Ley de Transparencia y Acceso a la Información Pública del Estado de México y Municipios.</w:t>
      </w:r>
    </w:p>
    <w:p w14:paraId="4240AD79" w14:textId="77777777" w:rsidR="00F100D8" w:rsidRDefault="00F100D8">
      <w:pPr>
        <w:spacing w:after="0" w:line="360" w:lineRule="auto"/>
        <w:ind w:right="49"/>
        <w:jc w:val="both"/>
        <w:rPr>
          <w:rFonts w:ascii="Palatino Linotype" w:eastAsia="Palatino Linotype" w:hAnsi="Palatino Linotype" w:cs="Palatino Linotype"/>
          <w:sz w:val="24"/>
          <w:szCs w:val="24"/>
        </w:rPr>
      </w:pPr>
    </w:p>
    <w:p w14:paraId="6BF56973" w14:textId="79594CE0" w:rsidR="00DB71F7" w:rsidRDefault="00646B44">
      <w:pPr>
        <w:spacing w:after="0" w:line="360" w:lineRule="auto"/>
        <w:ind w:right="49"/>
        <w:jc w:val="both"/>
        <w:rPr>
          <w:rFonts w:ascii="Palatino Linotype" w:eastAsia="Palatino Linotype" w:hAnsi="Palatino Linotype" w:cs="Palatino Linotype"/>
          <w:sz w:val="24"/>
          <w:szCs w:val="24"/>
        </w:rPr>
      </w:pPr>
      <w:r w:rsidRPr="008645E3">
        <w:rPr>
          <w:rFonts w:ascii="Palatino Linotype" w:eastAsia="Palatino Linotype" w:hAnsi="Palatino Linotype" w:cs="Palatino Linotype"/>
          <w:sz w:val="24"/>
          <w:szCs w:val="24"/>
        </w:rPr>
        <w:t xml:space="preserve">Debido a que fue debidamente sustanciado el expediente electrónico y no existe diligencia pendiente de desahogo, se emite la Resolución que conforme a Derecho proceda, de acuerdo con los siguientes: </w:t>
      </w:r>
    </w:p>
    <w:p w14:paraId="1E319CCA" w14:textId="77777777" w:rsidR="008C55CC" w:rsidRPr="008645E3" w:rsidRDefault="008C55CC">
      <w:pPr>
        <w:spacing w:after="0" w:line="360" w:lineRule="auto"/>
        <w:ind w:right="49"/>
        <w:jc w:val="both"/>
        <w:rPr>
          <w:rFonts w:ascii="Palatino Linotype" w:eastAsia="Palatino Linotype" w:hAnsi="Palatino Linotype" w:cs="Palatino Linotype"/>
          <w:sz w:val="24"/>
          <w:szCs w:val="24"/>
        </w:rPr>
      </w:pPr>
    </w:p>
    <w:p w14:paraId="40DB3F56" w14:textId="77777777" w:rsidR="00F8557D" w:rsidRPr="008645E3" w:rsidRDefault="00646B44">
      <w:pPr>
        <w:spacing w:after="0" w:line="360" w:lineRule="auto"/>
        <w:ind w:right="49"/>
        <w:jc w:val="center"/>
        <w:rPr>
          <w:rFonts w:ascii="Palatino Linotype" w:eastAsia="Palatino Linotype" w:hAnsi="Palatino Linotype" w:cs="Palatino Linotype"/>
          <w:b/>
          <w:sz w:val="24"/>
          <w:szCs w:val="24"/>
        </w:rPr>
      </w:pPr>
      <w:r w:rsidRPr="008645E3">
        <w:rPr>
          <w:rFonts w:ascii="Palatino Linotype" w:eastAsia="Palatino Linotype" w:hAnsi="Palatino Linotype" w:cs="Palatino Linotype"/>
          <w:b/>
          <w:sz w:val="24"/>
          <w:szCs w:val="24"/>
        </w:rPr>
        <w:t>II.</w:t>
      </w:r>
      <w:r w:rsidRPr="008645E3">
        <w:rPr>
          <w:rFonts w:ascii="Palatino Linotype" w:eastAsia="Palatino Linotype" w:hAnsi="Palatino Linotype" w:cs="Palatino Linotype"/>
          <w:b/>
          <w:sz w:val="24"/>
          <w:szCs w:val="24"/>
        </w:rPr>
        <w:tab/>
        <w:t>C O N S I D E R A N D O:</w:t>
      </w:r>
    </w:p>
    <w:p w14:paraId="3619A913" w14:textId="77777777" w:rsidR="00F8557D" w:rsidRPr="008645E3" w:rsidRDefault="00F8557D">
      <w:pPr>
        <w:spacing w:after="0" w:line="360" w:lineRule="auto"/>
        <w:ind w:right="49"/>
        <w:jc w:val="both"/>
        <w:rPr>
          <w:rFonts w:ascii="Palatino Linotype" w:eastAsia="Palatino Linotype" w:hAnsi="Palatino Linotype" w:cs="Palatino Linotype"/>
          <w:sz w:val="24"/>
          <w:szCs w:val="24"/>
        </w:rPr>
      </w:pPr>
    </w:p>
    <w:p w14:paraId="117807C9" w14:textId="7561F364" w:rsidR="00F8557D" w:rsidRPr="008645E3" w:rsidRDefault="00646B44">
      <w:pPr>
        <w:spacing w:after="0" w:line="360" w:lineRule="auto"/>
        <w:ind w:right="49"/>
        <w:jc w:val="both"/>
        <w:rPr>
          <w:rFonts w:ascii="Palatino Linotype" w:eastAsia="Palatino Linotype" w:hAnsi="Palatino Linotype" w:cs="Palatino Linotype"/>
          <w:sz w:val="24"/>
          <w:szCs w:val="24"/>
        </w:rPr>
      </w:pPr>
      <w:r w:rsidRPr="008645E3">
        <w:rPr>
          <w:rFonts w:ascii="Palatino Linotype" w:eastAsia="Palatino Linotype" w:hAnsi="Palatino Linotype" w:cs="Palatino Linotype"/>
          <w:b/>
          <w:sz w:val="24"/>
          <w:szCs w:val="24"/>
        </w:rPr>
        <w:t>Primero. Competencia.</w:t>
      </w:r>
      <w:r w:rsidRPr="008645E3">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w:t>
      </w:r>
      <w:r w:rsidR="00EF3F9A">
        <w:rPr>
          <w:rFonts w:ascii="Palatino Linotype" w:eastAsia="Palatino Linotype" w:hAnsi="Palatino Linotype" w:cs="Palatino Linotype"/>
          <w:sz w:val="24"/>
          <w:szCs w:val="24"/>
        </w:rPr>
        <w:t>II</w:t>
      </w:r>
      <w:r w:rsidRPr="008645E3">
        <w:rPr>
          <w:rFonts w:ascii="Palatino Linotype" w:eastAsia="Palatino Linotype" w:hAnsi="Palatino Linotype" w:cs="Palatino Linotype"/>
          <w:sz w:val="24"/>
          <w:szCs w:val="24"/>
        </w:rPr>
        <w:t xml:space="preserve"> y 11 del Reglamento Interior </w:t>
      </w:r>
      <w:r w:rsidRPr="008645E3">
        <w:rPr>
          <w:rFonts w:ascii="Palatino Linotype" w:eastAsia="Palatino Linotype" w:hAnsi="Palatino Linotype" w:cs="Palatino Linotype"/>
          <w:sz w:val="24"/>
          <w:szCs w:val="24"/>
        </w:rPr>
        <w:lastRenderedPageBreak/>
        <w:t>del Instituto de Transparencia, Acceso a la Información Pública y Protección de Datos Personales del Estado de México y Municipios.</w:t>
      </w:r>
    </w:p>
    <w:p w14:paraId="44CF613E" w14:textId="77777777" w:rsidR="00F8557D" w:rsidRPr="008645E3" w:rsidRDefault="00F8557D">
      <w:pPr>
        <w:spacing w:after="0" w:line="360" w:lineRule="auto"/>
        <w:ind w:right="49"/>
        <w:jc w:val="both"/>
        <w:rPr>
          <w:rFonts w:ascii="Palatino Linotype" w:eastAsia="Palatino Linotype" w:hAnsi="Palatino Linotype" w:cs="Palatino Linotype"/>
          <w:sz w:val="24"/>
          <w:szCs w:val="24"/>
        </w:rPr>
      </w:pPr>
    </w:p>
    <w:p w14:paraId="62D25C57" w14:textId="77777777" w:rsidR="00F8557D" w:rsidRPr="008645E3" w:rsidRDefault="00646B44">
      <w:pPr>
        <w:spacing w:after="0" w:line="360" w:lineRule="auto"/>
        <w:ind w:right="49"/>
        <w:jc w:val="both"/>
        <w:rPr>
          <w:rFonts w:ascii="Palatino Linotype" w:eastAsia="Palatino Linotype" w:hAnsi="Palatino Linotype" w:cs="Palatino Linotype"/>
          <w:sz w:val="24"/>
          <w:szCs w:val="24"/>
        </w:rPr>
      </w:pPr>
      <w:r w:rsidRPr="008645E3">
        <w:rPr>
          <w:rFonts w:ascii="Palatino Linotype" w:eastAsia="Palatino Linotype" w:hAnsi="Palatino Linotype" w:cs="Palatino Linotype"/>
          <w:b/>
          <w:sz w:val="24"/>
          <w:szCs w:val="24"/>
        </w:rPr>
        <w:t>Segundo. Oportunidad y Procedibilidad del Recurso de Revisión.</w:t>
      </w:r>
      <w:r w:rsidRPr="008645E3">
        <w:rPr>
          <w:rFonts w:ascii="Palatino Linotype" w:eastAsia="Palatino Linotype" w:hAnsi="Palatino Linotype" w:cs="Palatino Linotype"/>
          <w:sz w:val="24"/>
          <w:szCs w:val="24"/>
        </w:rPr>
        <w:t xml:space="preserve"> Previo al estudio del fondo del asunto, se procede a analizar los requisitos de oportunidad y procedibilidad que deben reunir el recurso de revisión interpuesto, previstos en los artículos 178 y 180 de la Ley de Transparencia y Acceso a la Información Pública del Estado de México y Municipios. </w:t>
      </w:r>
    </w:p>
    <w:p w14:paraId="3B2D671F" w14:textId="77777777" w:rsidR="00F8557D" w:rsidRPr="008645E3" w:rsidRDefault="00F8557D">
      <w:pPr>
        <w:spacing w:after="0" w:line="360" w:lineRule="auto"/>
        <w:ind w:right="49"/>
        <w:jc w:val="both"/>
        <w:rPr>
          <w:rFonts w:ascii="Palatino Linotype" w:eastAsia="Palatino Linotype" w:hAnsi="Palatino Linotype" w:cs="Palatino Linotype"/>
          <w:sz w:val="24"/>
          <w:szCs w:val="24"/>
        </w:rPr>
      </w:pPr>
    </w:p>
    <w:p w14:paraId="57D9F138" w14:textId="44757BE5" w:rsidR="00F8557D" w:rsidRPr="008645E3" w:rsidRDefault="00646B44">
      <w:pPr>
        <w:spacing w:after="0" w:line="360" w:lineRule="auto"/>
        <w:ind w:right="49"/>
        <w:jc w:val="both"/>
        <w:rPr>
          <w:rFonts w:ascii="Palatino Linotype" w:eastAsia="Palatino Linotype" w:hAnsi="Palatino Linotype" w:cs="Palatino Linotype"/>
          <w:sz w:val="24"/>
          <w:szCs w:val="24"/>
        </w:rPr>
      </w:pPr>
      <w:r w:rsidRPr="008645E3">
        <w:rPr>
          <w:rFonts w:ascii="Palatino Linotype" w:eastAsia="Palatino Linotype" w:hAnsi="Palatino Linotype" w:cs="Palatino Linotype"/>
          <w:sz w:val="24"/>
          <w:szCs w:val="24"/>
        </w:rPr>
        <w:t xml:space="preserve">El recurso de revisión fue interpuesto dentro del plazo de quince días hábiles previstos en el artículo 178 de la Ley de Transparencia y Acceso a la Información Pública del Estado de México y Municipios, toda vez que el </w:t>
      </w:r>
      <w:r w:rsidRPr="008645E3">
        <w:rPr>
          <w:rFonts w:ascii="Palatino Linotype" w:eastAsia="Palatino Linotype" w:hAnsi="Palatino Linotype" w:cs="Palatino Linotype"/>
          <w:b/>
          <w:sz w:val="24"/>
          <w:szCs w:val="24"/>
        </w:rPr>
        <w:t>SUJETO OBLIGADO</w:t>
      </w:r>
      <w:r w:rsidRPr="008645E3">
        <w:rPr>
          <w:rFonts w:ascii="Palatino Linotype" w:eastAsia="Palatino Linotype" w:hAnsi="Palatino Linotype" w:cs="Palatino Linotype"/>
          <w:sz w:val="24"/>
          <w:szCs w:val="24"/>
        </w:rPr>
        <w:t xml:space="preserve"> remitió la respuesta a la solicitud de información el </w:t>
      </w:r>
      <w:r w:rsidR="00EF3F9A">
        <w:rPr>
          <w:rFonts w:ascii="Palatino Linotype" w:eastAsia="Palatino Linotype" w:hAnsi="Palatino Linotype" w:cs="Palatino Linotype"/>
          <w:b/>
          <w:sz w:val="24"/>
          <w:szCs w:val="24"/>
        </w:rPr>
        <w:t>diecisiete de noviembre</w:t>
      </w:r>
      <w:r w:rsidR="00F100D8">
        <w:rPr>
          <w:rFonts w:ascii="Palatino Linotype" w:eastAsia="Palatino Linotype" w:hAnsi="Palatino Linotype" w:cs="Palatino Linotype"/>
          <w:b/>
          <w:sz w:val="24"/>
          <w:szCs w:val="24"/>
        </w:rPr>
        <w:t xml:space="preserve"> de dos mil veintidós</w:t>
      </w:r>
      <w:r w:rsidRPr="008645E3">
        <w:rPr>
          <w:rFonts w:ascii="Palatino Linotype" w:eastAsia="Palatino Linotype" w:hAnsi="Palatino Linotype" w:cs="Palatino Linotype"/>
          <w:sz w:val="24"/>
          <w:szCs w:val="24"/>
        </w:rPr>
        <w:t xml:space="preserve">, mientras que el recurso de revisión interpuesto por la parte </w:t>
      </w:r>
      <w:r w:rsidRPr="008645E3">
        <w:rPr>
          <w:rFonts w:ascii="Palatino Linotype" w:eastAsia="Palatino Linotype" w:hAnsi="Palatino Linotype" w:cs="Palatino Linotype"/>
          <w:b/>
          <w:sz w:val="24"/>
          <w:szCs w:val="24"/>
        </w:rPr>
        <w:t xml:space="preserve">RECURRENTE </w:t>
      </w:r>
      <w:r w:rsidRPr="008645E3">
        <w:rPr>
          <w:rFonts w:ascii="Palatino Linotype" w:eastAsia="Palatino Linotype" w:hAnsi="Palatino Linotype" w:cs="Palatino Linotype"/>
          <w:sz w:val="24"/>
          <w:szCs w:val="24"/>
        </w:rPr>
        <w:t xml:space="preserve">se tuvo por presentado el </w:t>
      </w:r>
      <w:r w:rsidR="00EF3F9A">
        <w:rPr>
          <w:rFonts w:ascii="Palatino Linotype" w:eastAsia="Palatino Linotype" w:hAnsi="Palatino Linotype" w:cs="Palatino Linotype"/>
          <w:b/>
          <w:sz w:val="24"/>
          <w:szCs w:val="24"/>
        </w:rPr>
        <w:t>dos de diciembre de dos mil veintidós</w:t>
      </w:r>
      <w:r w:rsidR="00DB71F7">
        <w:rPr>
          <w:rFonts w:ascii="Palatino Linotype" w:eastAsia="Palatino Linotype" w:hAnsi="Palatino Linotype" w:cs="Palatino Linotype"/>
          <w:sz w:val="24"/>
          <w:szCs w:val="24"/>
        </w:rPr>
        <w:t>, esto es al</w:t>
      </w:r>
      <w:r w:rsidR="00F100D8">
        <w:rPr>
          <w:rFonts w:ascii="Palatino Linotype" w:eastAsia="Palatino Linotype" w:hAnsi="Palatino Linotype" w:cs="Palatino Linotype"/>
          <w:sz w:val="24"/>
          <w:szCs w:val="24"/>
        </w:rPr>
        <w:t xml:space="preserve"> día</w:t>
      </w:r>
      <w:r w:rsidR="00EF3F9A">
        <w:rPr>
          <w:rFonts w:ascii="Palatino Linotype" w:eastAsia="Palatino Linotype" w:hAnsi="Palatino Linotype" w:cs="Palatino Linotype"/>
          <w:sz w:val="24"/>
          <w:szCs w:val="24"/>
        </w:rPr>
        <w:t xml:space="preserve"> décimo</w:t>
      </w:r>
      <w:r w:rsidR="00F100D8">
        <w:rPr>
          <w:rFonts w:ascii="Palatino Linotype" w:eastAsia="Palatino Linotype" w:hAnsi="Palatino Linotype" w:cs="Palatino Linotype"/>
          <w:sz w:val="24"/>
          <w:szCs w:val="24"/>
        </w:rPr>
        <w:t xml:space="preserve"> hábil siguiente en que se tuvo conocimiento de la respuesta. </w:t>
      </w:r>
    </w:p>
    <w:p w14:paraId="5F07CCD4" w14:textId="77777777" w:rsidR="00F8557D" w:rsidRPr="008645E3" w:rsidRDefault="00F8557D">
      <w:pPr>
        <w:spacing w:after="0" w:line="360" w:lineRule="auto"/>
        <w:ind w:right="49"/>
        <w:jc w:val="both"/>
        <w:rPr>
          <w:rFonts w:ascii="Palatino Linotype" w:eastAsia="Palatino Linotype" w:hAnsi="Palatino Linotype" w:cs="Palatino Linotype"/>
          <w:sz w:val="24"/>
          <w:szCs w:val="24"/>
        </w:rPr>
      </w:pPr>
    </w:p>
    <w:p w14:paraId="4949D8E7" w14:textId="77777777" w:rsidR="00F8557D" w:rsidRPr="008645E3" w:rsidRDefault="00646B44">
      <w:pPr>
        <w:spacing w:after="0" w:line="360" w:lineRule="auto"/>
        <w:ind w:right="49"/>
        <w:jc w:val="both"/>
        <w:rPr>
          <w:rFonts w:ascii="Palatino Linotype" w:eastAsia="Palatino Linotype" w:hAnsi="Palatino Linotype" w:cs="Palatino Linotype"/>
          <w:sz w:val="24"/>
          <w:szCs w:val="24"/>
        </w:rPr>
      </w:pPr>
      <w:r w:rsidRPr="008645E3">
        <w:rPr>
          <w:rFonts w:ascii="Palatino Linotype" w:eastAsia="Palatino Linotype" w:hAnsi="Palatino Linotype" w:cs="Palatino Linotype"/>
          <w:sz w:val="24"/>
          <w:szCs w:val="24"/>
        </w:rPr>
        <w:t xml:space="preserve">En este sentido, al considerar la fecha en que se formuló la solicitud y la fecha en que respondió a esta el </w:t>
      </w:r>
      <w:r w:rsidRPr="008645E3">
        <w:rPr>
          <w:rFonts w:ascii="Palatino Linotype" w:eastAsia="Palatino Linotype" w:hAnsi="Palatino Linotype" w:cs="Palatino Linotype"/>
          <w:b/>
          <w:sz w:val="24"/>
          <w:szCs w:val="24"/>
        </w:rPr>
        <w:t>SUJETO OBLIGADO</w:t>
      </w:r>
      <w:r w:rsidRPr="008645E3">
        <w:rPr>
          <w:rFonts w:ascii="Palatino Linotype" w:eastAsia="Palatino Linotype" w:hAnsi="Palatino Linotype" w:cs="Palatino Linotype"/>
          <w:sz w:val="24"/>
          <w:szCs w:val="24"/>
        </w:rPr>
        <w:t xml:space="preserve">; así como la fecha en que se interpuso el recurso de revisión, se concluye que el presente recurso de revisión se encuentra dentro de los márgenes temporales previstos en las disposiciones legales referidas. </w:t>
      </w:r>
    </w:p>
    <w:p w14:paraId="3112E15F" w14:textId="77777777" w:rsidR="00F8557D" w:rsidRDefault="00F8557D">
      <w:pPr>
        <w:spacing w:after="0" w:line="360" w:lineRule="auto"/>
        <w:ind w:right="49"/>
        <w:jc w:val="both"/>
        <w:rPr>
          <w:rFonts w:ascii="Palatino Linotype" w:eastAsia="Palatino Linotype" w:hAnsi="Palatino Linotype" w:cs="Palatino Linotype"/>
          <w:sz w:val="24"/>
          <w:szCs w:val="24"/>
        </w:rPr>
      </w:pPr>
    </w:p>
    <w:p w14:paraId="3C5CCFFB" w14:textId="6A1ECF17" w:rsidR="00DB71F7" w:rsidRDefault="00DB71F7" w:rsidP="00DB71F7">
      <w:pPr>
        <w:spacing w:after="0" w:line="360" w:lineRule="auto"/>
        <w:jc w:val="both"/>
        <w:rPr>
          <w:rFonts w:ascii="Palatino Linotype" w:eastAsia="Palatino Linotype" w:hAnsi="Palatino Linotype" w:cs="Palatino Linotype"/>
          <w:sz w:val="24"/>
          <w:szCs w:val="24"/>
        </w:rPr>
      </w:pPr>
      <w:r w:rsidRPr="00BA6E00">
        <w:rPr>
          <w:rFonts w:ascii="Palatino Linotype" w:eastAsia="Palatino Linotype" w:hAnsi="Palatino Linotype" w:cs="Palatino Linotype"/>
          <w:sz w:val="24"/>
          <w:szCs w:val="24"/>
        </w:rPr>
        <w:t xml:space="preserve">Es de suma importancia mencionar que </w:t>
      </w:r>
      <w:r w:rsidR="00F100D8">
        <w:rPr>
          <w:rFonts w:ascii="Palatino Linotype" w:eastAsia="Palatino Linotype" w:hAnsi="Palatino Linotype" w:cs="Palatino Linotype"/>
          <w:sz w:val="24"/>
          <w:szCs w:val="24"/>
        </w:rPr>
        <w:t xml:space="preserve">la parte recurrente no </w:t>
      </w:r>
      <w:r>
        <w:rPr>
          <w:rFonts w:ascii="Palatino Linotype" w:eastAsia="Palatino Linotype" w:hAnsi="Palatino Linotype" w:cs="Palatino Linotype"/>
          <w:sz w:val="24"/>
          <w:szCs w:val="24"/>
        </w:rPr>
        <w:t xml:space="preserve">proporcionó un </w:t>
      </w:r>
      <w:r w:rsidR="00F100D8">
        <w:rPr>
          <w:rFonts w:ascii="Palatino Linotype" w:eastAsia="Palatino Linotype" w:hAnsi="Palatino Linotype" w:cs="Palatino Linotype"/>
          <w:sz w:val="24"/>
          <w:szCs w:val="24"/>
        </w:rPr>
        <w:t xml:space="preserve">nombre con  el cual fuese identificado, </w:t>
      </w:r>
      <w:r w:rsidRPr="00BA6E00">
        <w:rPr>
          <w:rFonts w:ascii="Palatino Linotype" w:eastAsia="Palatino Linotype" w:hAnsi="Palatino Linotype" w:cs="Palatino Linotype"/>
          <w:sz w:val="24"/>
          <w:szCs w:val="24"/>
        </w:rPr>
        <w:t xml:space="preserve">como se advierte en el detalle de seguimiento del </w:t>
      </w:r>
      <w:r w:rsidRPr="00BA6E00">
        <w:rPr>
          <w:rFonts w:ascii="Palatino Linotype" w:eastAsia="Palatino Linotype" w:hAnsi="Palatino Linotype" w:cs="Palatino Linotype"/>
          <w:sz w:val="24"/>
          <w:szCs w:val="24"/>
        </w:rPr>
        <w:lastRenderedPageBreak/>
        <w:t xml:space="preserve">SAIMEX, </w:t>
      </w:r>
      <w:r w:rsidR="00F100D8">
        <w:rPr>
          <w:rFonts w:ascii="Palatino Linotype" w:eastAsia="Palatino Linotype" w:hAnsi="Palatino Linotype" w:cs="Palatino Linotype"/>
          <w:sz w:val="24"/>
          <w:szCs w:val="24"/>
        </w:rPr>
        <w:t xml:space="preserve">sin embargo, esto </w:t>
      </w:r>
      <w:r w:rsidRPr="00BA6E00">
        <w:rPr>
          <w:rFonts w:ascii="Palatino Linotype" w:eastAsia="Palatino Linotype" w:hAnsi="Palatino Linotype" w:cs="Palatino Linotype"/>
          <w:sz w:val="24"/>
          <w:szCs w:val="24"/>
        </w:rPr>
        <w:t>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FA39B30" w14:textId="77777777" w:rsidR="00DB71F7" w:rsidRPr="00BA6E00" w:rsidRDefault="00DB71F7" w:rsidP="00DB71F7">
      <w:pPr>
        <w:spacing w:after="0" w:line="360" w:lineRule="auto"/>
        <w:jc w:val="both"/>
        <w:rPr>
          <w:rFonts w:ascii="Palatino Linotype" w:eastAsia="Palatino Linotype" w:hAnsi="Palatino Linotype" w:cs="Palatino Linotype"/>
          <w:sz w:val="24"/>
          <w:szCs w:val="24"/>
        </w:rPr>
      </w:pPr>
    </w:p>
    <w:p w14:paraId="52855375" w14:textId="77777777" w:rsidR="00DB71F7" w:rsidRPr="00BA6E00" w:rsidRDefault="00DB71F7" w:rsidP="00DB71F7">
      <w:pPr>
        <w:spacing w:after="0" w:line="276" w:lineRule="auto"/>
        <w:ind w:left="567" w:right="843"/>
        <w:jc w:val="both"/>
        <w:rPr>
          <w:rFonts w:ascii="Palatino Linotype" w:eastAsia="Palatino Linotype" w:hAnsi="Palatino Linotype" w:cs="Palatino Linotype"/>
          <w:i/>
          <w:szCs w:val="24"/>
        </w:rPr>
      </w:pPr>
      <w:r w:rsidRPr="00BA6E00">
        <w:rPr>
          <w:rFonts w:ascii="Palatino Linotype" w:eastAsia="Palatino Linotype" w:hAnsi="Palatino Linotype" w:cs="Palatino Linotype"/>
          <w:i/>
          <w:szCs w:val="24"/>
        </w:rPr>
        <w:t xml:space="preserve">"Las solicitudes anónimas, con nombre incompleto o </w:t>
      </w:r>
      <w:r w:rsidRPr="00BA6E00">
        <w:rPr>
          <w:rFonts w:ascii="Palatino Linotype" w:eastAsia="Palatino Linotype" w:hAnsi="Palatino Linotype" w:cs="Palatino Linotype"/>
          <w:b/>
          <w:i/>
          <w:szCs w:val="24"/>
          <w:u w:val="single"/>
        </w:rPr>
        <w:t>seudónimo</w:t>
      </w:r>
      <w:r w:rsidRPr="00BA6E00">
        <w:rPr>
          <w:rFonts w:ascii="Palatino Linotype" w:eastAsia="Palatino Linotype" w:hAnsi="Palatino Linotype" w:cs="Palatino Linotype"/>
          <w:i/>
          <w:szCs w:val="24"/>
        </w:rPr>
        <w:t xml:space="preserve"> serán procedentes para su trámite por parte del sujeto obligado ante quien se presente. No podrá requerirse información adicional con motivo del nombre proporcionado por el solicitante."</w:t>
      </w:r>
    </w:p>
    <w:p w14:paraId="5FDF933B" w14:textId="77777777" w:rsidR="00DB71F7" w:rsidRPr="008645E3" w:rsidRDefault="00DB71F7">
      <w:pPr>
        <w:spacing w:after="0" w:line="360" w:lineRule="auto"/>
        <w:ind w:right="49"/>
        <w:jc w:val="both"/>
        <w:rPr>
          <w:rFonts w:ascii="Palatino Linotype" w:eastAsia="Palatino Linotype" w:hAnsi="Palatino Linotype" w:cs="Palatino Linotype"/>
          <w:sz w:val="24"/>
          <w:szCs w:val="24"/>
        </w:rPr>
      </w:pPr>
    </w:p>
    <w:p w14:paraId="31B3F489" w14:textId="71E726D5" w:rsidR="00F8557D" w:rsidRDefault="00646B44">
      <w:pPr>
        <w:spacing w:after="0" w:line="360" w:lineRule="auto"/>
        <w:ind w:right="49"/>
        <w:jc w:val="both"/>
        <w:rPr>
          <w:rFonts w:ascii="Palatino Linotype" w:eastAsia="Palatino Linotype" w:hAnsi="Palatino Linotype" w:cs="Palatino Linotype"/>
          <w:sz w:val="24"/>
          <w:szCs w:val="24"/>
        </w:rPr>
      </w:pPr>
      <w:r w:rsidRPr="008645E3">
        <w:rPr>
          <w:rFonts w:ascii="Palatino Linotype" w:eastAsia="Palatino Linotype" w:hAnsi="Palatino Linotype" w:cs="Palatino Linotype"/>
          <w:sz w:val="24"/>
          <w:szCs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w:t>
      </w:r>
      <w:r w:rsidRPr="008645E3">
        <w:rPr>
          <w:rFonts w:ascii="Palatino Linotype" w:eastAsia="Palatino Linotype" w:hAnsi="Palatino Linotype" w:cs="Palatino Linotype"/>
          <w:b/>
          <w:sz w:val="24"/>
          <w:szCs w:val="24"/>
        </w:rPr>
        <w:t>SAIMEX</w:t>
      </w:r>
      <w:r w:rsidRPr="008645E3">
        <w:rPr>
          <w:rFonts w:ascii="Palatino Linotype" w:eastAsia="Palatino Linotype" w:hAnsi="Palatino Linotype" w:cs="Palatino Linotype"/>
          <w:sz w:val="24"/>
          <w:szCs w:val="24"/>
        </w:rPr>
        <w:t xml:space="preserve">.  </w:t>
      </w:r>
    </w:p>
    <w:p w14:paraId="0939D0BA" w14:textId="77777777" w:rsidR="00F100D8" w:rsidRPr="008645E3" w:rsidRDefault="00F100D8">
      <w:pPr>
        <w:spacing w:after="0" w:line="360" w:lineRule="auto"/>
        <w:ind w:right="49"/>
        <w:jc w:val="both"/>
        <w:rPr>
          <w:rFonts w:ascii="Palatino Linotype" w:eastAsia="Palatino Linotype" w:hAnsi="Palatino Linotype" w:cs="Palatino Linotype"/>
          <w:sz w:val="24"/>
          <w:szCs w:val="24"/>
        </w:rPr>
      </w:pPr>
    </w:p>
    <w:p w14:paraId="5FB90515" w14:textId="682F3EF6" w:rsidR="00F8557D" w:rsidRPr="008645E3" w:rsidRDefault="00646B44">
      <w:pPr>
        <w:spacing w:after="0" w:line="360" w:lineRule="auto"/>
        <w:ind w:right="49"/>
        <w:jc w:val="both"/>
        <w:rPr>
          <w:rFonts w:ascii="Palatino Linotype" w:eastAsia="Palatino Linotype" w:hAnsi="Palatino Linotype" w:cs="Palatino Linotype"/>
          <w:sz w:val="24"/>
          <w:szCs w:val="24"/>
        </w:rPr>
      </w:pPr>
      <w:r w:rsidRPr="008645E3">
        <w:rPr>
          <w:rFonts w:ascii="Palatino Linotype" w:eastAsia="Palatino Linotype" w:hAnsi="Palatino Linotype" w:cs="Palatino Linotype"/>
          <w:sz w:val="24"/>
          <w:szCs w:val="24"/>
        </w:rPr>
        <w:t>Finalmente, resulta procedente la interposición del recurso de revisión al rubro ano</w:t>
      </w:r>
      <w:r w:rsidR="00DB71F7">
        <w:rPr>
          <w:rFonts w:ascii="Palatino Linotype" w:eastAsia="Palatino Linotype" w:hAnsi="Palatino Linotype" w:cs="Palatino Linotype"/>
          <w:sz w:val="24"/>
          <w:szCs w:val="24"/>
        </w:rPr>
        <w:t>tado, toda vez que se actualiza</w:t>
      </w:r>
      <w:r w:rsidRPr="008645E3">
        <w:rPr>
          <w:rFonts w:ascii="Palatino Linotype" w:eastAsia="Palatino Linotype" w:hAnsi="Palatino Linotype" w:cs="Palatino Linotype"/>
          <w:sz w:val="24"/>
          <w:szCs w:val="24"/>
        </w:rPr>
        <w:t xml:space="preserve"> la h</w:t>
      </w:r>
      <w:r w:rsidR="00DB71F7">
        <w:rPr>
          <w:rFonts w:ascii="Palatino Linotype" w:eastAsia="Palatino Linotype" w:hAnsi="Palatino Linotype" w:cs="Palatino Linotype"/>
          <w:sz w:val="24"/>
          <w:szCs w:val="24"/>
        </w:rPr>
        <w:t>ipótesis de procedencia prevista</w:t>
      </w:r>
      <w:r w:rsidRPr="008645E3">
        <w:rPr>
          <w:rFonts w:ascii="Palatino Linotype" w:eastAsia="Palatino Linotype" w:hAnsi="Palatino Linotype" w:cs="Palatino Linotype"/>
          <w:sz w:val="24"/>
          <w:szCs w:val="24"/>
        </w:rPr>
        <w:t xml:space="preserve"> en e</w:t>
      </w:r>
      <w:r w:rsidR="00DB71F7">
        <w:rPr>
          <w:rFonts w:ascii="Palatino Linotype" w:eastAsia="Palatino Linotype" w:hAnsi="Palatino Linotype" w:cs="Palatino Linotype"/>
          <w:sz w:val="24"/>
          <w:szCs w:val="24"/>
        </w:rPr>
        <w:t xml:space="preserve">l artículo 179, fracción </w:t>
      </w:r>
      <w:r w:rsidR="00EF3F9A">
        <w:rPr>
          <w:rFonts w:ascii="Palatino Linotype" w:eastAsia="Palatino Linotype" w:hAnsi="Palatino Linotype" w:cs="Palatino Linotype"/>
          <w:sz w:val="24"/>
          <w:szCs w:val="24"/>
        </w:rPr>
        <w:t>VI</w:t>
      </w:r>
      <w:r w:rsidRPr="008645E3">
        <w:rPr>
          <w:rFonts w:ascii="Palatino Linotype" w:eastAsia="Palatino Linotype" w:hAnsi="Palatino Linotype" w:cs="Palatino Linotype"/>
          <w:sz w:val="24"/>
          <w:szCs w:val="24"/>
        </w:rPr>
        <w:t xml:space="preserve"> de la Ley de la materia, que a la letra dice:</w:t>
      </w:r>
    </w:p>
    <w:p w14:paraId="5804E43F" w14:textId="77777777" w:rsidR="00F8557D" w:rsidRPr="008645E3" w:rsidRDefault="00F8557D">
      <w:pPr>
        <w:spacing w:after="0" w:line="360" w:lineRule="auto"/>
        <w:ind w:right="49"/>
        <w:jc w:val="both"/>
        <w:rPr>
          <w:rFonts w:ascii="Palatino Linotype" w:eastAsia="Palatino Linotype" w:hAnsi="Palatino Linotype" w:cs="Palatino Linotype"/>
          <w:sz w:val="24"/>
          <w:szCs w:val="24"/>
        </w:rPr>
      </w:pPr>
    </w:p>
    <w:p w14:paraId="4EB53B1F" w14:textId="77777777" w:rsidR="00DB71F7" w:rsidRDefault="00646B44">
      <w:pPr>
        <w:spacing w:after="0" w:line="276" w:lineRule="auto"/>
        <w:ind w:left="567" w:right="560"/>
        <w:jc w:val="both"/>
        <w:rPr>
          <w:rFonts w:ascii="Palatino Linotype" w:eastAsia="Palatino Linotype" w:hAnsi="Palatino Linotype" w:cs="Palatino Linotype"/>
          <w:i/>
        </w:rPr>
      </w:pPr>
      <w:r w:rsidRPr="008645E3">
        <w:rPr>
          <w:rFonts w:ascii="Palatino Linotype" w:eastAsia="Palatino Linotype" w:hAnsi="Palatino Linotype" w:cs="Palatino Linotype"/>
          <w:i/>
        </w:rPr>
        <w:t>“</w:t>
      </w:r>
      <w:r w:rsidRPr="008645E3">
        <w:rPr>
          <w:rFonts w:ascii="Palatino Linotype" w:eastAsia="Palatino Linotype" w:hAnsi="Palatino Linotype" w:cs="Palatino Linotype"/>
          <w:b/>
          <w:i/>
        </w:rPr>
        <w:t>Artículo 179.</w:t>
      </w:r>
      <w:r w:rsidRPr="008645E3">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19AA063B" w14:textId="77777777" w:rsidR="00F8557D" w:rsidRPr="008645E3" w:rsidRDefault="00646B44">
      <w:pPr>
        <w:spacing w:after="0" w:line="276" w:lineRule="auto"/>
        <w:ind w:left="567" w:right="560"/>
        <w:jc w:val="both"/>
        <w:rPr>
          <w:rFonts w:ascii="Palatino Linotype" w:eastAsia="Palatino Linotype" w:hAnsi="Palatino Linotype" w:cs="Palatino Linotype"/>
          <w:i/>
        </w:rPr>
      </w:pPr>
      <w:r w:rsidRPr="008645E3">
        <w:rPr>
          <w:rFonts w:ascii="Palatino Linotype" w:eastAsia="Palatino Linotype" w:hAnsi="Palatino Linotype" w:cs="Palatino Linotype"/>
          <w:i/>
        </w:rPr>
        <w:t>…</w:t>
      </w:r>
    </w:p>
    <w:p w14:paraId="09DEAE1B" w14:textId="707E10FF" w:rsidR="00F100D8" w:rsidRDefault="00EF3F9A">
      <w:pPr>
        <w:spacing w:after="0" w:line="276" w:lineRule="auto"/>
        <w:ind w:left="567" w:right="560"/>
        <w:jc w:val="both"/>
        <w:rPr>
          <w:rFonts w:ascii="Palatino Linotype" w:eastAsia="Palatino Linotype" w:hAnsi="Palatino Linotype" w:cs="Palatino Linotype"/>
          <w:i/>
        </w:rPr>
      </w:pPr>
      <w:r w:rsidRPr="00EF3F9A">
        <w:rPr>
          <w:rFonts w:ascii="Palatino Linotype" w:eastAsia="Palatino Linotype" w:hAnsi="Palatino Linotype" w:cs="Palatino Linotype"/>
          <w:i/>
        </w:rPr>
        <w:t>VI. La entrega de información que n</w:t>
      </w:r>
      <w:r>
        <w:rPr>
          <w:rFonts w:ascii="Palatino Linotype" w:eastAsia="Palatino Linotype" w:hAnsi="Palatino Linotype" w:cs="Palatino Linotype"/>
          <w:i/>
        </w:rPr>
        <w:t>o corresponda con lo solicitado</w:t>
      </w:r>
      <w:r w:rsidR="00F100D8">
        <w:rPr>
          <w:rFonts w:ascii="Palatino Linotype" w:eastAsia="Palatino Linotype" w:hAnsi="Palatino Linotype" w:cs="Palatino Linotype"/>
          <w:i/>
        </w:rPr>
        <w:t xml:space="preserve">; </w:t>
      </w:r>
    </w:p>
    <w:p w14:paraId="2ABDC37A" w14:textId="5709FB40" w:rsidR="00F8557D" w:rsidRPr="008645E3" w:rsidRDefault="00F100D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w:t>
      </w:r>
    </w:p>
    <w:p w14:paraId="4D00E215" w14:textId="77777777" w:rsidR="00F8557D" w:rsidRPr="008645E3" w:rsidRDefault="00F8557D">
      <w:pPr>
        <w:spacing w:after="0" w:line="360" w:lineRule="auto"/>
        <w:ind w:right="49"/>
        <w:jc w:val="both"/>
        <w:rPr>
          <w:rFonts w:ascii="Palatino Linotype" w:eastAsia="Palatino Linotype" w:hAnsi="Palatino Linotype" w:cs="Palatino Linotype"/>
          <w:sz w:val="24"/>
          <w:szCs w:val="24"/>
        </w:rPr>
      </w:pPr>
    </w:p>
    <w:p w14:paraId="35EE1366" w14:textId="1EAA7C7F" w:rsidR="00F8557D" w:rsidRPr="008645E3" w:rsidRDefault="00646B44">
      <w:pPr>
        <w:spacing w:after="0" w:line="360" w:lineRule="auto"/>
        <w:ind w:right="49"/>
        <w:jc w:val="both"/>
        <w:rPr>
          <w:rFonts w:ascii="Palatino Linotype" w:eastAsia="Palatino Linotype" w:hAnsi="Palatino Linotype" w:cs="Palatino Linotype"/>
          <w:sz w:val="24"/>
          <w:szCs w:val="24"/>
        </w:rPr>
      </w:pPr>
      <w:r w:rsidRPr="008645E3">
        <w:rPr>
          <w:rFonts w:ascii="Palatino Linotype" w:eastAsia="Palatino Linotype" w:hAnsi="Palatino Linotype" w:cs="Palatino Linotype"/>
          <w:b/>
          <w:sz w:val="24"/>
          <w:szCs w:val="24"/>
        </w:rPr>
        <w:lastRenderedPageBreak/>
        <w:t>Tercero. Materia de la revisión</w:t>
      </w:r>
      <w:r w:rsidRPr="008645E3">
        <w:rPr>
          <w:rFonts w:ascii="Palatino Linotype" w:eastAsia="Palatino Linotype" w:hAnsi="Palatino Linotype" w:cs="Palatino Linotype"/>
          <w:sz w:val="24"/>
          <w:szCs w:val="24"/>
        </w:rPr>
        <w:t>. De la revisión a las constancias y documentos que obran en el expediente electrónico se advierte, que el tema sobre el que este Organismo Garante de Transparencia y Acceso a la Información se pronunciará será</w:t>
      </w:r>
      <w:r w:rsidR="00DB71F7">
        <w:rPr>
          <w:rFonts w:ascii="Palatino Linotype" w:eastAsia="Palatino Linotype" w:hAnsi="Palatino Linotype" w:cs="Palatino Linotype"/>
          <w:sz w:val="24"/>
          <w:szCs w:val="24"/>
        </w:rPr>
        <w:t xml:space="preserve"> en determinar, si se actualiza la hipótesis prevista en la fracción</w:t>
      </w:r>
      <w:r w:rsidRPr="008645E3">
        <w:rPr>
          <w:rFonts w:ascii="Palatino Linotype" w:eastAsia="Palatino Linotype" w:hAnsi="Palatino Linotype" w:cs="Palatino Linotype"/>
          <w:sz w:val="24"/>
          <w:szCs w:val="24"/>
        </w:rPr>
        <w:t xml:space="preserve"> </w:t>
      </w:r>
      <w:r w:rsidR="00EF3F9A">
        <w:rPr>
          <w:rFonts w:ascii="Palatino Linotype" w:eastAsia="Palatino Linotype" w:hAnsi="Palatino Linotype" w:cs="Palatino Linotype"/>
          <w:sz w:val="24"/>
          <w:szCs w:val="24"/>
        </w:rPr>
        <w:t>VI</w:t>
      </w:r>
      <w:r w:rsidRPr="008645E3">
        <w:rPr>
          <w:rFonts w:ascii="Palatino Linotype" w:eastAsia="Palatino Linotype" w:hAnsi="Palatino Linotype" w:cs="Palatino Linotype"/>
          <w:sz w:val="24"/>
          <w:szCs w:val="24"/>
        </w:rPr>
        <w:t xml:space="preserve"> del artículo 179 de la Ley en la materia. </w:t>
      </w:r>
    </w:p>
    <w:p w14:paraId="096B0CBF" w14:textId="77777777" w:rsidR="00F8557D" w:rsidRPr="008645E3" w:rsidRDefault="00F8557D">
      <w:pPr>
        <w:spacing w:after="0" w:line="360" w:lineRule="auto"/>
        <w:ind w:right="49"/>
        <w:jc w:val="both"/>
        <w:rPr>
          <w:rFonts w:ascii="Palatino Linotype" w:eastAsia="Palatino Linotype" w:hAnsi="Palatino Linotype" w:cs="Palatino Linotype"/>
          <w:sz w:val="24"/>
          <w:szCs w:val="24"/>
        </w:rPr>
      </w:pPr>
    </w:p>
    <w:p w14:paraId="6AD4A2F2" w14:textId="77777777" w:rsidR="00F8557D" w:rsidRPr="008645E3" w:rsidRDefault="00646B44">
      <w:pPr>
        <w:spacing w:after="0" w:line="360" w:lineRule="auto"/>
        <w:ind w:right="49"/>
        <w:jc w:val="both"/>
        <w:rPr>
          <w:rFonts w:ascii="Palatino Linotype" w:eastAsia="Palatino Linotype" w:hAnsi="Palatino Linotype" w:cs="Palatino Linotype"/>
          <w:sz w:val="24"/>
          <w:szCs w:val="24"/>
        </w:rPr>
      </w:pPr>
      <w:r w:rsidRPr="008645E3">
        <w:rPr>
          <w:rFonts w:ascii="Palatino Linotype" w:eastAsia="Palatino Linotype" w:hAnsi="Palatino Linotype" w:cs="Palatino Linotype"/>
          <w:b/>
          <w:sz w:val="24"/>
          <w:szCs w:val="24"/>
        </w:rPr>
        <w:t>Cuarto.</w:t>
      </w:r>
      <w:r w:rsidRPr="008645E3">
        <w:rPr>
          <w:rFonts w:ascii="Palatino Linotype" w:eastAsia="Palatino Linotype" w:hAnsi="Palatino Linotype" w:cs="Palatino Linotype"/>
          <w:sz w:val="24"/>
          <w:szCs w:val="24"/>
        </w:rPr>
        <w:t xml:space="preserve"> </w:t>
      </w:r>
      <w:r w:rsidRPr="008645E3">
        <w:rPr>
          <w:rFonts w:ascii="Palatino Linotype" w:eastAsia="Palatino Linotype" w:hAnsi="Palatino Linotype" w:cs="Palatino Linotype"/>
          <w:b/>
          <w:sz w:val="24"/>
          <w:szCs w:val="24"/>
        </w:rPr>
        <w:t>Estudio de fondo del asunto.</w:t>
      </w:r>
      <w:r w:rsidRPr="008645E3">
        <w:rPr>
          <w:rFonts w:ascii="Palatino Linotype" w:eastAsia="Palatino Linotype" w:hAnsi="Palatino Linotype" w:cs="Palatino Linotype"/>
          <w:sz w:val="24"/>
          <w:szCs w:val="24"/>
        </w:rPr>
        <w:t xml:space="preserve">  Antes de entrar al análisis de los pronunciamientos del Sujeto Obligado en la respuesta proporcionada, así como en el informe justificado,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7A7C1A84" w14:textId="77777777" w:rsidR="00F8557D" w:rsidRPr="008645E3" w:rsidRDefault="00F8557D">
      <w:pPr>
        <w:spacing w:after="0" w:line="276" w:lineRule="auto"/>
        <w:ind w:left="567" w:right="560"/>
        <w:jc w:val="both"/>
        <w:rPr>
          <w:rFonts w:ascii="Palatino Linotype" w:eastAsia="Palatino Linotype" w:hAnsi="Palatino Linotype" w:cs="Palatino Linotype"/>
          <w:i/>
        </w:rPr>
      </w:pPr>
    </w:p>
    <w:p w14:paraId="06123CDB" w14:textId="77777777" w:rsidR="00F8557D" w:rsidRPr="008645E3" w:rsidRDefault="00646B44">
      <w:pPr>
        <w:spacing w:after="0" w:line="276" w:lineRule="auto"/>
        <w:ind w:left="567" w:right="560"/>
        <w:jc w:val="both"/>
        <w:rPr>
          <w:rFonts w:ascii="Palatino Linotype" w:eastAsia="Palatino Linotype" w:hAnsi="Palatino Linotype" w:cs="Palatino Linotype"/>
          <w:i/>
        </w:rPr>
      </w:pPr>
      <w:r w:rsidRPr="008645E3">
        <w:rPr>
          <w:rFonts w:ascii="Palatino Linotype" w:eastAsia="Palatino Linotype" w:hAnsi="Palatino Linotype" w:cs="Palatino Linotype"/>
          <w:b/>
          <w:i/>
        </w:rPr>
        <w:t>Artículo 1o.</w:t>
      </w:r>
      <w:r w:rsidRPr="008645E3">
        <w:rPr>
          <w:rFonts w:ascii="Palatino Linotype" w:eastAsia="Palatino Linotype" w:hAnsi="Palatino Linotype" w:cs="Palatino Linotype"/>
          <w:i/>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4B55DA0" w14:textId="77777777" w:rsidR="00F8557D" w:rsidRPr="008645E3" w:rsidRDefault="00646B44">
      <w:pPr>
        <w:spacing w:after="0" w:line="276" w:lineRule="auto"/>
        <w:ind w:left="567" w:right="560"/>
        <w:jc w:val="both"/>
        <w:rPr>
          <w:rFonts w:ascii="Palatino Linotype" w:eastAsia="Palatino Linotype" w:hAnsi="Palatino Linotype" w:cs="Palatino Linotype"/>
          <w:i/>
        </w:rPr>
      </w:pPr>
      <w:r w:rsidRPr="008645E3">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3CD58237" w14:textId="77777777" w:rsidR="00F8557D" w:rsidRPr="008645E3" w:rsidRDefault="00646B44">
      <w:pPr>
        <w:spacing w:after="0" w:line="276" w:lineRule="auto"/>
        <w:ind w:left="567" w:right="560"/>
        <w:jc w:val="both"/>
        <w:rPr>
          <w:rFonts w:ascii="Palatino Linotype" w:eastAsia="Palatino Linotype" w:hAnsi="Palatino Linotype" w:cs="Palatino Linotype"/>
          <w:i/>
        </w:rPr>
      </w:pPr>
      <w:r w:rsidRPr="008645E3">
        <w:rPr>
          <w:rFonts w:ascii="Palatino Linotype" w:eastAsia="Palatino Linotype" w:hAnsi="Palatino Linotype" w:cs="Palatino Linotype"/>
          <w:i/>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w:t>
      </w:r>
      <w:r w:rsidRPr="008645E3">
        <w:rPr>
          <w:rFonts w:ascii="Palatino Linotype" w:eastAsia="Palatino Linotype" w:hAnsi="Palatino Linotype" w:cs="Palatino Linotype"/>
          <w:i/>
        </w:rPr>
        <w:lastRenderedPageBreak/>
        <w:t>Estado deberá prevenir, investigar, sancionar y reparar las violaciones a los derechos humanos, en los términos que establezca la ley</w:t>
      </w:r>
    </w:p>
    <w:p w14:paraId="65F14F92" w14:textId="77777777" w:rsidR="00F8557D" w:rsidRPr="008645E3" w:rsidRDefault="00646B44">
      <w:pPr>
        <w:spacing w:after="0" w:line="276" w:lineRule="auto"/>
        <w:ind w:left="567" w:right="560"/>
        <w:jc w:val="both"/>
        <w:rPr>
          <w:rFonts w:ascii="Palatino Linotype" w:eastAsia="Palatino Linotype" w:hAnsi="Palatino Linotype" w:cs="Palatino Linotype"/>
          <w:i/>
        </w:rPr>
      </w:pPr>
      <w:r w:rsidRPr="008645E3">
        <w:rPr>
          <w:rFonts w:ascii="Palatino Linotype" w:eastAsia="Palatino Linotype" w:hAnsi="Palatino Linotype" w:cs="Palatino Linotype"/>
          <w:i/>
        </w:rPr>
        <w:t>[…]</w:t>
      </w:r>
    </w:p>
    <w:p w14:paraId="75867AD6" w14:textId="77777777" w:rsidR="00F8557D" w:rsidRPr="008645E3" w:rsidRDefault="00646B44">
      <w:pPr>
        <w:spacing w:after="0" w:line="276" w:lineRule="auto"/>
        <w:ind w:left="567" w:right="560"/>
        <w:jc w:val="both"/>
        <w:rPr>
          <w:rFonts w:ascii="Palatino Linotype" w:eastAsia="Palatino Linotype" w:hAnsi="Palatino Linotype" w:cs="Palatino Linotype"/>
          <w:b/>
          <w:i/>
        </w:rPr>
      </w:pPr>
      <w:r w:rsidRPr="008645E3">
        <w:rPr>
          <w:rFonts w:ascii="Palatino Linotype" w:eastAsia="Palatino Linotype" w:hAnsi="Palatino Linotype" w:cs="Palatino Linotype"/>
          <w:b/>
          <w:i/>
        </w:rPr>
        <w:t>“Artículo 6o.</w:t>
      </w:r>
    </w:p>
    <w:p w14:paraId="43236C09" w14:textId="77777777" w:rsidR="00F8557D" w:rsidRPr="008645E3" w:rsidRDefault="00646B44">
      <w:pPr>
        <w:spacing w:after="0" w:line="276" w:lineRule="auto"/>
        <w:ind w:left="567" w:right="560"/>
        <w:jc w:val="both"/>
        <w:rPr>
          <w:rFonts w:ascii="Palatino Linotype" w:eastAsia="Palatino Linotype" w:hAnsi="Palatino Linotype" w:cs="Palatino Linotype"/>
          <w:i/>
        </w:rPr>
      </w:pPr>
      <w:r w:rsidRPr="008645E3">
        <w:rPr>
          <w:rFonts w:ascii="Palatino Linotype" w:eastAsia="Palatino Linotype" w:hAnsi="Palatino Linotype" w:cs="Palatino Linotype"/>
          <w:i/>
        </w:rPr>
        <w:t>[...]</w:t>
      </w:r>
    </w:p>
    <w:p w14:paraId="40F47EB2" w14:textId="77777777" w:rsidR="00F8557D" w:rsidRPr="008645E3" w:rsidRDefault="00646B44">
      <w:pPr>
        <w:spacing w:after="0" w:line="276" w:lineRule="auto"/>
        <w:ind w:left="567" w:right="560"/>
        <w:jc w:val="both"/>
        <w:rPr>
          <w:rFonts w:ascii="Palatino Linotype" w:eastAsia="Palatino Linotype" w:hAnsi="Palatino Linotype" w:cs="Palatino Linotype"/>
          <w:i/>
        </w:rPr>
      </w:pPr>
      <w:r w:rsidRPr="008645E3">
        <w:rPr>
          <w:rFonts w:ascii="Palatino Linotype" w:eastAsia="Palatino Linotype" w:hAnsi="Palatino Linotype" w:cs="Palatino Linotype"/>
          <w:i/>
        </w:rPr>
        <w:t>A. Para el ejercicio del derecho de acceso a la información, la Federación y las entidades federativas, en el ámbito de sus respectivas competencias, se regirán por los siguientes principios y bases:</w:t>
      </w:r>
    </w:p>
    <w:p w14:paraId="7EAD3BF1" w14:textId="77777777" w:rsidR="00F8557D" w:rsidRPr="008645E3" w:rsidRDefault="00646B44">
      <w:pPr>
        <w:spacing w:after="0" w:line="276" w:lineRule="auto"/>
        <w:ind w:left="567" w:right="560"/>
        <w:jc w:val="both"/>
        <w:rPr>
          <w:rFonts w:ascii="Palatino Linotype" w:eastAsia="Palatino Linotype" w:hAnsi="Palatino Linotype" w:cs="Palatino Linotype"/>
          <w:i/>
        </w:rPr>
      </w:pPr>
      <w:r w:rsidRPr="008645E3">
        <w:rPr>
          <w:rFonts w:ascii="Palatino Linotype" w:eastAsia="Palatino Linotype" w:hAnsi="Palatino Linotype" w:cs="Palatino Linotype"/>
          <w:i/>
        </w:rPr>
        <w:t xml:space="preserve"> 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6E17F1D" w14:textId="77777777" w:rsidR="00F8557D" w:rsidRPr="008645E3" w:rsidRDefault="00646B44">
      <w:pPr>
        <w:spacing w:after="0" w:line="276" w:lineRule="auto"/>
        <w:ind w:left="567" w:right="560"/>
        <w:jc w:val="both"/>
        <w:rPr>
          <w:rFonts w:ascii="Palatino Linotype" w:eastAsia="Palatino Linotype" w:hAnsi="Palatino Linotype" w:cs="Palatino Linotype"/>
          <w:i/>
        </w:rPr>
      </w:pPr>
      <w:r w:rsidRPr="008645E3">
        <w:rPr>
          <w:rFonts w:ascii="Palatino Linotype" w:eastAsia="Palatino Linotype" w:hAnsi="Palatino Linotype" w:cs="Palatino Linotype"/>
          <w:i/>
        </w:rPr>
        <w:t xml:space="preserve"> II. La información que se refiere a la vida privada y los datos personales será protegida en los términos y con las excepciones que fijen las leyes.</w:t>
      </w:r>
    </w:p>
    <w:p w14:paraId="23D67166" w14:textId="77777777" w:rsidR="00F8557D" w:rsidRPr="008645E3" w:rsidRDefault="00646B44">
      <w:pPr>
        <w:spacing w:after="0" w:line="276" w:lineRule="auto"/>
        <w:ind w:left="567" w:right="560"/>
        <w:jc w:val="both"/>
        <w:rPr>
          <w:rFonts w:ascii="Palatino Linotype" w:eastAsia="Palatino Linotype" w:hAnsi="Palatino Linotype" w:cs="Palatino Linotype"/>
          <w:i/>
        </w:rPr>
      </w:pPr>
      <w:r w:rsidRPr="008645E3">
        <w:rPr>
          <w:rFonts w:ascii="Palatino Linotype" w:eastAsia="Palatino Linotype" w:hAnsi="Palatino Linotype" w:cs="Palatino Linotype"/>
          <w:i/>
        </w:rPr>
        <w:t xml:space="preserve"> III. Toda persona, sin necesidad de acreditar interés alguno o justificar su utilización, tendrá acceso gratuito a la información pública, a sus datos personales o a la rectificación de éstos.</w:t>
      </w:r>
    </w:p>
    <w:p w14:paraId="74C9252D" w14:textId="77777777" w:rsidR="00F8557D" w:rsidRPr="008645E3" w:rsidRDefault="00646B44">
      <w:pPr>
        <w:spacing w:after="0" w:line="276" w:lineRule="auto"/>
        <w:ind w:left="567" w:right="560"/>
        <w:jc w:val="both"/>
        <w:rPr>
          <w:rFonts w:ascii="Palatino Linotype" w:eastAsia="Palatino Linotype" w:hAnsi="Palatino Linotype" w:cs="Palatino Linotype"/>
          <w:i/>
        </w:rPr>
      </w:pPr>
      <w:r w:rsidRPr="008645E3">
        <w:rPr>
          <w:rFonts w:ascii="Palatino Linotype" w:eastAsia="Palatino Linotype" w:hAnsi="Palatino Linotype" w:cs="Palatino Linotype"/>
          <w:i/>
        </w:rPr>
        <w:t xml:space="preserve"> IV. Se establecerán mecanismos de acceso a la información y procedimientos de revisión expeditos que se sustanciarán ante los organismos autónomos especializados e imparciales que establece esta Constitución.</w:t>
      </w:r>
    </w:p>
    <w:p w14:paraId="63A4285B" w14:textId="77777777" w:rsidR="00F8557D" w:rsidRPr="008645E3" w:rsidRDefault="00646B44">
      <w:pPr>
        <w:spacing w:after="0" w:line="276" w:lineRule="auto"/>
        <w:ind w:left="567" w:right="560"/>
        <w:jc w:val="both"/>
        <w:rPr>
          <w:rFonts w:ascii="Palatino Linotype" w:eastAsia="Palatino Linotype" w:hAnsi="Palatino Linotype" w:cs="Palatino Linotype"/>
          <w:i/>
        </w:rPr>
      </w:pPr>
      <w:r w:rsidRPr="008645E3">
        <w:rPr>
          <w:rFonts w:ascii="Palatino Linotype" w:eastAsia="Palatino Linotype" w:hAnsi="Palatino Linotype" w:cs="Palatino Linotype"/>
          <w:i/>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2BAD1263" w14:textId="77777777" w:rsidR="00F8557D" w:rsidRPr="008645E3" w:rsidRDefault="00646B44">
      <w:pPr>
        <w:spacing w:after="0" w:line="276" w:lineRule="auto"/>
        <w:ind w:left="567" w:right="560"/>
        <w:jc w:val="both"/>
        <w:rPr>
          <w:rFonts w:ascii="Palatino Linotype" w:eastAsia="Palatino Linotype" w:hAnsi="Palatino Linotype" w:cs="Palatino Linotype"/>
          <w:i/>
        </w:rPr>
      </w:pPr>
      <w:r w:rsidRPr="008645E3">
        <w:rPr>
          <w:rFonts w:ascii="Palatino Linotype" w:eastAsia="Palatino Linotype" w:hAnsi="Palatino Linotype" w:cs="Palatino Linotype"/>
          <w:i/>
        </w:rPr>
        <w:t xml:space="preserve"> VI. Las leyes determinarán la manera en que los sujetos obligados deberán hacer pública la información relativa a los recursos públicos que entreguen a personas físicas o morales.</w:t>
      </w:r>
    </w:p>
    <w:p w14:paraId="29A725F3" w14:textId="77777777" w:rsidR="00F8557D" w:rsidRPr="008645E3" w:rsidRDefault="00646B44">
      <w:pPr>
        <w:spacing w:after="0" w:line="276" w:lineRule="auto"/>
        <w:ind w:left="567" w:right="560"/>
        <w:jc w:val="both"/>
        <w:rPr>
          <w:rFonts w:ascii="Palatino Linotype" w:eastAsia="Palatino Linotype" w:hAnsi="Palatino Linotype" w:cs="Palatino Linotype"/>
          <w:i/>
        </w:rPr>
      </w:pPr>
      <w:r w:rsidRPr="008645E3">
        <w:rPr>
          <w:rFonts w:ascii="Palatino Linotype" w:eastAsia="Palatino Linotype" w:hAnsi="Palatino Linotype" w:cs="Palatino Linotype"/>
          <w:i/>
        </w:rPr>
        <w:lastRenderedPageBreak/>
        <w:t xml:space="preserve"> VII. La inobservancia a las disposiciones en materia de acceso a la información pública será sancionada en los términos que dispongan las leyes. [...]</w:t>
      </w:r>
    </w:p>
    <w:p w14:paraId="0C67A7C8" w14:textId="77777777" w:rsidR="00F8557D" w:rsidRPr="008645E3" w:rsidRDefault="00F8557D">
      <w:pPr>
        <w:spacing w:after="0" w:line="360" w:lineRule="auto"/>
        <w:ind w:right="49"/>
        <w:jc w:val="both"/>
        <w:rPr>
          <w:rFonts w:ascii="Palatino Linotype" w:eastAsia="Palatino Linotype" w:hAnsi="Palatino Linotype" w:cs="Palatino Linotype"/>
          <w:sz w:val="24"/>
          <w:szCs w:val="24"/>
        </w:rPr>
      </w:pPr>
    </w:p>
    <w:p w14:paraId="7F9C6896" w14:textId="77777777" w:rsidR="00F8557D" w:rsidRPr="008645E3" w:rsidRDefault="00646B44">
      <w:pPr>
        <w:spacing w:after="0" w:line="360" w:lineRule="auto"/>
        <w:ind w:right="49"/>
        <w:jc w:val="both"/>
        <w:rPr>
          <w:rFonts w:ascii="Palatino Linotype" w:eastAsia="Palatino Linotype" w:hAnsi="Palatino Linotype" w:cs="Palatino Linotype"/>
          <w:sz w:val="24"/>
          <w:szCs w:val="24"/>
        </w:rPr>
      </w:pPr>
      <w:r w:rsidRPr="008645E3">
        <w:rPr>
          <w:rFonts w:ascii="Palatino Linotype" w:eastAsia="Palatino Linotype" w:hAnsi="Palatino Linotype" w:cs="Palatino Linotype"/>
          <w:sz w:val="24"/>
          <w:szCs w:val="24"/>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2E6546E4" w14:textId="77777777" w:rsidR="00F8557D" w:rsidRPr="008645E3" w:rsidRDefault="00F8557D">
      <w:pPr>
        <w:spacing w:after="0" w:line="360" w:lineRule="auto"/>
        <w:ind w:right="49"/>
        <w:jc w:val="both"/>
        <w:rPr>
          <w:rFonts w:ascii="Palatino Linotype" w:eastAsia="Palatino Linotype" w:hAnsi="Palatino Linotype" w:cs="Palatino Linotype"/>
          <w:sz w:val="24"/>
          <w:szCs w:val="24"/>
        </w:rPr>
      </w:pPr>
    </w:p>
    <w:p w14:paraId="7E5D712A" w14:textId="77777777" w:rsidR="00F8557D" w:rsidRPr="008645E3" w:rsidRDefault="00646B44">
      <w:pPr>
        <w:spacing w:after="0" w:line="276" w:lineRule="auto"/>
        <w:ind w:left="567" w:right="560"/>
        <w:jc w:val="both"/>
        <w:rPr>
          <w:rFonts w:ascii="Palatino Linotype" w:eastAsia="Palatino Linotype" w:hAnsi="Palatino Linotype" w:cs="Palatino Linotype"/>
          <w:i/>
        </w:rPr>
      </w:pPr>
      <w:r w:rsidRPr="008645E3">
        <w:rPr>
          <w:rFonts w:ascii="Palatino Linotype" w:eastAsia="Palatino Linotype" w:hAnsi="Palatino Linotype" w:cs="Palatino Linotype"/>
          <w:i/>
        </w:rPr>
        <w:t>“</w:t>
      </w:r>
      <w:r w:rsidRPr="008645E3">
        <w:rPr>
          <w:rFonts w:ascii="Palatino Linotype" w:eastAsia="Palatino Linotype" w:hAnsi="Palatino Linotype" w:cs="Palatino Linotype"/>
          <w:b/>
          <w:i/>
        </w:rPr>
        <w:t>Artículo 4.</w:t>
      </w:r>
      <w:r w:rsidRPr="008645E3">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1CB5E61" w14:textId="77777777" w:rsidR="00F8557D" w:rsidRPr="008645E3" w:rsidRDefault="00646B44">
      <w:pPr>
        <w:spacing w:after="0" w:line="276" w:lineRule="auto"/>
        <w:ind w:left="567" w:right="560"/>
        <w:jc w:val="both"/>
        <w:rPr>
          <w:rFonts w:ascii="Palatino Linotype" w:eastAsia="Palatino Linotype" w:hAnsi="Palatino Linotype" w:cs="Palatino Linotype"/>
          <w:i/>
        </w:rPr>
      </w:pPr>
      <w:r w:rsidRPr="008645E3">
        <w:rPr>
          <w:rFonts w:ascii="Palatino Linotype" w:eastAsia="Palatino Linotype" w:hAnsi="Palatino Linotype" w:cs="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1F08E79" w14:textId="77777777" w:rsidR="00F8557D" w:rsidRPr="008645E3" w:rsidRDefault="00646B44">
      <w:pPr>
        <w:spacing w:after="0" w:line="276" w:lineRule="auto"/>
        <w:ind w:left="567" w:right="560"/>
        <w:jc w:val="both"/>
        <w:rPr>
          <w:rFonts w:ascii="Palatino Linotype" w:eastAsia="Palatino Linotype" w:hAnsi="Palatino Linotype" w:cs="Palatino Linotype"/>
          <w:i/>
        </w:rPr>
      </w:pPr>
      <w:r w:rsidRPr="008645E3">
        <w:rPr>
          <w:rFonts w:ascii="Palatino Linotype" w:eastAsia="Palatino Linotype" w:hAnsi="Palatino Linotype" w:cs="Palatino Linotype"/>
          <w:i/>
        </w:rPr>
        <w:t>Los sujetos obligados deben poner en práctica, políticas y programas de acceso a la información que se apeguen a criterios de publicidad, veracidad, oportunidad, precisión y suficiencia en beneficio de los solicitantes.”</w:t>
      </w:r>
    </w:p>
    <w:p w14:paraId="14968CA1" w14:textId="77777777" w:rsidR="00F8557D" w:rsidRPr="008645E3" w:rsidRDefault="00F8557D">
      <w:pPr>
        <w:spacing w:after="0" w:line="360" w:lineRule="auto"/>
        <w:ind w:left="567" w:right="560"/>
        <w:jc w:val="both"/>
        <w:rPr>
          <w:rFonts w:ascii="Palatino Linotype" w:eastAsia="Palatino Linotype" w:hAnsi="Palatino Linotype" w:cs="Palatino Linotype"/>
          <w:i/>
          <w:sz w:val="24"/>
          <w:szCs w:val="24"/>
        </w:rPr>
      </w:pPr>
    </w:p>
    <w:p w14:paraId="6E9DB9B4" w14:textId="77777777" w:rsidR="00F8557D" w:rsidRPr="008645E3" w:rsidRDefault="00646B44">
      <w:pPr>
        <w:spacing w:after="0" w:line="360" w:lineRule="auto"/>
        <w:ind w:right="49"/>
        <w:jc w:val="both"/>
        <w:rPr>
          <w:rFonts w:ascii="Palatino Linotype" w:eastAsia="Palatino Linotype" w:hAnsi="Palatino Linotype" w:cs="Palatino Linotype"/>
          <w:sz w:val="24"/>
          <w:szCs w:val="24"/>
        </w:rPr>
      </w:pPr>
      <w:r w:rsidRPr="008645E3">
        <w:rPr>
          <w:rFonts w:ascii="Palatino Linotype" w:eastAsia="Palatino Linotype" w:hAnsi="Palatino Linotype" w:cs="Palatino Linotype"/>
          <w:sz w:val="24"/>
          <w:szCs w:val="24"/>
        </w:rPr>
        <w:lastRenderedPageBreak/>
        <w:t>De lo precedente,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33EA1797" w14:textId="77777777" w:rsidR="00F8557D" w:rsidRPr="008645E3" w:rsidRDefault="00F8557D">
      <w:pPr>
        <w:spacing w:after="0" w:line="360" w:lineRule="auto"/>
        <w:ind w:right="49"/>
        <w:jc w:val="both"/>
        <w:rPr>
          <w:rFonts w:ascii="Palatino Linotype" w:eastAsia="Palatino Linotype" w:hAnsi="Palatino Linotype" w:cs="Palatino Linotype"/>
          <w:sz w:val="24"/>
          <w:szCs w:val="24"/>
        </w:rPr>
      </w:pPr>
    </w:p>
    <w:p w14:paraId="3697D698" w14:textId="77777777" w:rsidR="00F8557D" w:rsidRPr="008645E3" w:rsidRDefault="00646B44">
      <w:pPr>
        <w:spacing w:after="0" w:line="276" w:lineRule="auto"/>
        <w:ind w:left="567" w:right="560"/>
        <w:jc w:val="both"/>
        <w:rPr>
          <w:rFonts w:ascii="Palatino Linotype" w:eastAsia="Palatino Linotype" w:hAnsi="Palatino Linotype" w:cs="Palatino Linotype"/>
          <w:i/>
        </w:rPr>
      </w:pPr>
      <w:r w:rsidRPr="008645E3">
        <w:rPr>
          <w:rFonts w:ascii="Palatino Linotype" w:eastAsia="Palatino Linotype" w:hAnsi="Palatino Linotype" w:cs="Palatino Linotype"/>
          <w:i/>
        </w:rPr>
        <w:t>“</w:t>
      </w:r>
      <w:r w:rsidRPr="008645E3">
        <w:rPr>
          <w:rFonts w:ascii="Palatino Linotype" w:eastAsia="Palatino Linotype" w:hAnsi="Palatino Linotype" w:cs="Palatino Linotype"/>
          <w:b/>
          <w:i/>
        </w:rPr>
        <w:t>Artículo 12.</w:t>
      </w:r>
      <w:r w:rsidRPr="008645E3">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7A105DC8" w14:textId="77777777" w:rsidR="00F8557D" w:rsidRPr="008645E3" w:rsidRDefault="00646B44">
      <w:pPr>
        <w:spacing w:after="0" w:line="276" w:lineRule="auto"/>
        <w:ind w:left="567" w:right="560"/>
        <w:jc w:val="both"/>
        <w:rPr>
          <w:rFonts w:ascii="Palatino Linotype" w:eastAsia="Palatino Linotype" w:hAnsi="Palatino Linotype" w:cs="Palatino Linotype"/>
          <w:i/>
        </w:rPr>
      </w:pPr>
      <w:r w:rsidRPr="008645E3">
        <w:rPr>
          <w:rFonts w:ascii="Palatino Linotype" w:eastAsia="Palatino Linotype" w:hAnsi="Palatino Linotype" w:cs="Palatino Linotype"/>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0EAB651" w14:textId="77777777" w:rsidR="00F8557D" w:rsidRPr="008645E3" w:rsidRDefault="00F8557D">
      <w:pPr>
        <w:spacing w:after="0" w:line="360" w:lineRule="auto"/>
        <w:ind w:right="49"/>
        <w:jc w:val="both"/>
        <w:rPr>
          <w:rFonts w:ascii="Palatino Linotype" w:eastAsia="Palatino Linotype" w:hAnsi="Palatino Linotype" w:cs="Palatino Linotype"/>
          <w:sz w:val="24"/>
          <w:szCs w:val="24"/>
        </w:rPr>
      </w:pPr>
    </w:p>
    <w:p w14:paraId="27613A96" w14:textId="77777777" w:rsidR="00F8557D" w:rsidRPr="008645E3" w:rsidRDefault="00646B44">
      <w:pPr>
        <w:spacing w:after="0" w:line="360" w:lineRule="auto"/>
        <w:ind w:right="49"/>
        <w:jc w:val="both"/>
        <w:rPr>
          <w:rFonts w:ascii="Palatino Linotype" w:eastAsia="Palatino Linotype" w:hAnsi="Palatino Linotype" w:cs="Palatino Linotype"/>
          <w:sz w:val="24"/>
          <w:szCs w:val="24"/>
        </w:rPr>
      </w:pPr>
      <w:r w:rsidRPr="008645E3">
        <w:rPr>
          <w:rFonts w:ascii="Palatino Linotype" w:eastAsia="Palatino Linotype" w:hAnsi="Palatino Linotype" w:cs="Palatino Linotype"/>
          <w:sz w:val="24"/>
          <w:szCs w:val="24"/>
        </w:rPr>
        <w:t>Es decir, que el derecho de acceso a la información pública se satisface en aquellos casos en que se entregue documento en que conste la información requerida, toda vez que, los Sujetos Obligados no tienen el deber de generar, poseer o administrar la información pública con el grado de detalle solicitado; esto es, que no tienen el deber de generar un documento ad hoc, para satisfacer el derecho de acceso a la información pública, como así lo establece el Criterio 03/17 emitido por el Instituto Nacional de Transparencia, Acceso a la Información Pública y Protección de Datos Personales, el cual señala lo siguiente:</w:t>
      </w:r>
    </w:p>
    <w:p w14:paraId="58115B51" w14:textId="77777777" w:rsidR="00F8557D" w:rsidRPr="008645E3" w:rsidRDefault="00F8557D">
      <w:pPr>
        <w:spacing w:after="0" w:line="360" w:lineRule="auto"/>
        <w:ind w:right="49"/>
        <w:jc w:val="both"/>
        <w:rPr>
          <w:rFonts w:ascii="Palatino Linotype" w:eastAsia="Palatino Linotype" w:hAnsi="Palatino Linotype" w:cs="Palatino Linotype"/>
          <w:sz w:val="24"/>
          <w:szCs w:val="24"/>
        </w:rPr>
      </w:pPr>
    </w:p>
    <w:p w14:paraId="2CE90F90" w14:textId="77777777" w:rsidR="00F8557D" w:rsidRPr="008645E3" w:rsidRDefault="00646B44">
      <w:pPr>
        <w:spacing w:after="0" w:line="276" w:lineRule="auto"/>
        <w:ind w:left="567" w:right="560"/>
        <w:jc w:val="both"/>
        <w:rPr>
          <w:rFonts w:ascii="Palatino Linotype" w:eastAsia="Palatino Linotype" w:hAnsi="Palatino Linotype" w:cs="Palatino Linotype"/>
          <w:b/>
          <w:i/>
        </w:rPr>
      </w:pPr>
      <w:r w:rsidRPr="008645E3">
        <w:rPr>
          <w:rFonts w:ascii="Palatino Linotype" w:eastAsia="Palatino Linotype" w:hAnsi="Palatino Linotype" w:cs="Palatino Linotype"/>
          <w:b/>
          <w:i/>
        </w:rPr>
        <w:t>Criterio 03/17</w:t>
      </w:r>
    </w:p>
    <w:p w14:paraId="0406D8B0" w14:textId="77777777" w:rsidR="00F8557D" w:rsidRPr="008645E3" w:rsidRDefault="00646B44">
      <w:pPr>
        <w:spacing w:after="0" w:line="276" w:lineRule="auto"/>
        <w:ind w:left="567" w:right="560"/>
        <w:jc w:val="both"/>
        <w:rPr>
          <w:rFonts w:ascii="Palatino Linotype" w:eastAsia="Palatino Linotype" w:hAnsi="Palatino Linotype" w:cs="Palatino Linotype"/>
          <w:i/>
        </w:rPr>
      </w:pPr>
      <w:r w:rsidRPr="008645E3">
        <w:rPr>
          <w:rFonts w:ascii="Palatino Linotype" w:eastAsia="Palatino Linotype" w:hAnsi="Palatino Linotype" w:cs="Palatino Linotype"/>
          <w:b/>
          <w:i/>
        </w:rPr>
        <w:t xml:space="preserve">“NO EXISTE OBLIGACIÓN DE ELABORAR DOCUMENTOS AD HOC PARA ATENDER LAS SOLICITUDES DE ACCESO A LA INFORMACIÓN. </w:t>
      </w:r>
      <w:r w:rsidRPr="008645E3">
        <w:rPr>
          <w:rFonts w:ascii="Palatino Linotype" w:eastAsia="Palatino Linotype" w:hAnsi="Palatino Linotype" w:cs="Palatino Linotype"/>
          <w:i/>
        </w:rPr>
        <w:t xml:space="preserve">Los artículos </w:t>
      </w:r>
      <w:r w:rsidRPr="008645E3">
        <w:rPr>
          <w:rFonts w:ascii="Palatino Linotype" w:eastAsia="Palatino Linotype" w:hAnsi="Palatino Linotype" w:cs="Palatino Linotype"/>
          <w:i/>
        </w:rPr>
        <w:lastRenderedPageBreak/>
        <w:t>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5B39575" w14:textId="77777777" w:rsidR="00F8557D" w:rsidRPr="008645E3" w:rsidRDefault="00F8557D">
      <w:pPr>
        <w:spacing w:after="0" w:line="360" w:lineRule="auto"/>
        <w:ind w:left="567" w:right="560"/>
        <w:jc w:val="both"/>
        <w:rPr>
          <w:rFonts w:ascii="Palatino Linotype" w:eastAsia="Palatino Linotype" w:hAnsi="Palatino Linotype" w:cs="Palatino Linotype"/>
          <w:b/>
          <w:i/>
          <w:sz w:val="24"/>
          <w:szCs w:val="24"/>
        </w:rPr>
      </w:pPr>
    </w:p>
    <w:p w14:paraId="257961DA" w14:textId="77777777" w:rsidR="00F8557D" w:rsidRPr="008645E3" w:rsidRDefault="00646B44">
      <w:pPr>
        <w:spacing w:after="0" w:line="360" w:lineRule="auto"/>
        <w:ind w:right="49"/>
        <w:jc w:val="both"/>
        <w:rPr>
          <w:rFonts w:ascii="Palatino Linotype" w:eastAsia="Palatino Linotype" w:hAnsi="Palatino Linotype" w:cs="Palatino Linotype"/>
          <w:sz w:val="24"/>
          <w:szCs w:val="24"/>
        </w:rPr>
      </w:pPr>
      <w:r w:rsidRPr="008645E3">
        <w:rPr>
          <w:rFonts w:ascii="Palatino Linotype" w:eastAsia="Palatino Linotype" w:hAnsi="Palatino Linotype" w:cs="Palatino Linotype"/>
          <w:sz w:val="24"/>
          <w:szCs w:val="24"/>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CABB273" w14:textId="77777777" w:rsidR="00F8557D" w:rsidRPr="008645E3" w:rsidRDefault="00F8557D">
      <w:pPr>
        <w:spacing w:after="0" w:line="360" w:lineRule="auto"/>
        <w:ind w:right="49"/>
        <w:jc w:val="both"/>
        <w:rPr>
          <w:rFonts w:ascii="Palatino Linotype" w:eastAsia="Palatino Linotype" w:hAnsi="Palatino Linotype" w:cs="Palatino Linotype"/>
          <w:sz w:val="24"/>
          <w:szCs w:val="24"/>
        </w:rPr>
      </w:pPr>
    </w:p>
    <w:p w14:paraId="21E9BFD8" w14:textId="77777777" w:rsidR="00F8557D" w:rsidRPr="008645E3" w:rsidRDefault="00646B44">
      <w:pPr>
        <w:spacing w:after="0" w:line="360" w:lineRule="auto"/>
        <w:ind w:right="49"/>
        <w:jc w:val="both"/>
        <w:rPr>
          <w:rFonts w:ascii="Palatino Linotype" w:eastAsia="Palatino Linotype" w:hAnsi="Palatino Linotype" w:cs="Palatino Linotype"/>
          <w:sz w:val="24"/>
          <w:szCs w:val="24"/>
        </w:rPr>
      </w:pPr>
      <w:r w:rsidRPr="008645E3">
        <w:rPr>
          <w:rFonts w:ascii="Palatino Linotype" w:eastAsia="Palatino Linotype" w:hAnsi="Palatino Linotype" w:cs="Palatino Linotype"/>
          <w:sz w:val="24"/>
          <w:szCs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F7181AF" w14:textId="77777777" w:rsidR="00F8557D" w:rsidRPr="008645E3" w:rsidRDefault="00F8557D">
      <w:pPr>
        <w:spacing w:after="0" w:line="360" w:lineRule="auto"/>
        <w:ind w:right="49"/>
        <w:jc w:val="both"/>
        <w:rPr>
          <w:rFonts w:ascii="Palatino Linotype" w:eastAsia="Palatino Linotype" w:hAnsi="Palatino Linotype" w:cs="Palatino Linotype"/>
          <w:sz w:val="24"/>
          <w:szCs w:val="24"/>
        </w:rPr>
      </w:pPr>
    </w:p>
    <w:p w14:paraId="6088E399" w14:textId="77777777" w:rsidR="00F8557D" w:rsidRPr="008645E3" w:rsidRDefault="00646B44">
      <w:pPr>
        <w:spacing w:after="0" w:line="360" w:lineRule="auto"/>
        <w:ind w:right="49"/>
        <w:jc w:val="both"/>
        <w:rPr>
          <w:rFonts w:ascii="Palatino Linotype" w:eastAsia="Palatino Linotype" w:hAnsi="Palatino Linotype" w:cs="Palatino Linotype"/>
          <w:sz w:val="24"/>
          <w:szCs w:val="24"/>
        </w:rPr>
      </w:pPr>
      <w:r w:rsidRPr="008645E3">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w:t>
      </w:r>
      <w:r w:rsidRPr="008645E3">
        <w:rPr>
          <w:rFonts w:ascii="Palatino Linotype" w:eastAsia="Palatino Linotype" w:hAnsi="Palatino Linotype" w:cs="Palatino Linotype"/>
          <w:sz w:val="24"/>
          <w:szCs w:val="24"/>
        </w:rPr>
        <w:lastRenderedPageBreak/>
        <w:t xml:space="preserve">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7E905A4A" w14:textId="77777777" w:rsidR="00F8557D" w:rsidRPr="008645E3" w:rsidRDefault="00F8557D" w:rsidP="00DB71F7">
      <w:pPr>
        <w:spacing w:after="0" w:line="360" w:lineRule="auto"/>
        <w:ind w:left="567" w:right="560"/>
        <w:jc w:val="both"/>
        <w:rPr>
          <w:rFonts w:ascii="Palatino Linotype" w:eastAsia="Palatino Linotype" w:hAnsi="Palatino Linotype" w:cs="Palatino Linotype"/>
          <w:i/>
        </w:rPr>
      </w:pPr>
    </w:p>
    <w:p w14:paraId="02E4D6CD" w14:textId="77777777" w:rsidR="00F8557D" w:rsidRPr="008645E3" w:rsidRDefault="00646B44">
      <w:pPr>
        <w:spacing w:after="0" w:line="276" w:lineRule="auto"/>
        <w:ind w:left="567" w:right="560"/>
        <w:jc w:val="both"/>
        <w:rPr>
          <w:rFonts w:ascii="Palatino Linotype" w:eastAsia="Palatino Linotype" w:hAnsi="Palatino Linotype" w:cs="Palatino Linotype"/>
          <w:i/>
        </w:rPr>
      </w:pPr>
      <w:r w:rsidRPr="008645E3">
        <w:rPr>
          <w:rFonts w:ascii="Palatino Linotype" w:eastAsia="Palatino Linotype" w:hAnsi="Palatino Linotype" w:cs="Palatino Linotype"/>
          <w:i/>
        </w:rPr>
        <w:t>“</w:t>
      </w:r>
      <w:r w:rsidRPr="008645E3">
        <w:rPr>
          <w:rFonts w:ascii="Palatino Linotype" w:eastAsia="Palatino Linotype" w:hAnsi="Palatino Linotype" w:cs="Palatino Linotype"/>
          <w:b/>
          <w:i/>
        </w:rPr>
        <w:t>Artículo 3.</w:t>
      </w:r>
      <w:r w:rsidRPr="008645E3">
        <w:rPr>
          <w:rFonts w:ascii="Palatino Linotype" w:eastAsia="Palatino Linotype" w:hAnsi="Palatino Linotype" w:cs="Palatino Linotype"/>
          <w:i/>
        </w:rPr>
        <w:t xml:space="preserve"> Para los efectos de la presente Ley se entenderá por:</w:t>
      </w:r>
    </w:p>
    <w:p w14:paraId="20112B26" w14:textId="77777777" w:rsidR="00F8557D" w:rsidRPr="008645E3" w:rsidRDefault="00646B44">
      <w:pPr>
        <w:spacing w:after="0" w:line="276" w:lineRule="auto"/>
        <w:ind w:left="567" w:right="560"/>
        <w:jc w:val="both"/>
        <w:rPr>
          <w:rFonts w:ascii="Palatino Linotype" w:eastAsia="Palatino Linotype" w:hAnsi="Palatino Linotype" w:cs="Palatino Linotype"/>
          <w:i/>
        </w:rPr>
      </w:pPr>
      <w:r w:rsidRPr="008645E3">
        <w:rPr>
          <w:rFonts w:ascii="Palatino Linotype" w:eastAsia="Palatino Linotype" w:hAnsi="Palatino Linotype" w:cs="Palatino Linotype"/>
          <w:i/>
        </w:rPr>
        <w:t>…</w:t>
      </w:r>
    </w:p>
    <w:p w14:paraId="4DB11EE2" w14:textId="77777777" w:rsidR="00F8557D" w:rsidRPr="008645E3" w:rsidRDefault="00646B44">
      <w:pPr>
        <w:spacing w:after="0" w:line="276" w:lineRule="auto"/>
        <w:ind w:left="567" w:right="560"/>
        <w:jc w:val="both"/>
        <w:rPr>
          <w:rFonts w:ascii="Palatino Linotype" w:eastAsia="Palatino Linotype" w:hAnsi="Palatino Linotype" w:cs="Palatino Linotype"/>
          <w:i/>
        </w:rPr>
      </w:pPr>
      <w:r w:rsidRPr="008645E3">
        <w:rPr>
          <w:rFonts w:ascii="Palatino Linotype" w:eastAsia="Palatino Linotype" w:hAnsi="Palatino Linotype" w:cs="Palatino Linotype"/>
          <w:b/>
          <w:i/>
        </w:rPr>
        <w:t>XI. Documento:</w:t>
      </w:r>
      <w:r w:rsidRPr="008645E3">
        <w:rPr>
          <w:rFonts w:ascii="Palatino Linotype" w:eastAsia="Palatino Linotype" w:hAnsi="Palatino Linotype" w:cs="Palatino Linotype"/>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1EFA98EC" w14:textId="77777777" w:rsidR="00F8557D" w:rsidRPr="008645E3" w:rsidRDefault="00F8557D">
      <w:pPr>
        <w:spacing w:after="0" w:line="360" w:lineRule="auto"/>
        <w:ind w:right="49"/>
        <w:jc w:val="both"/>
        <w:rPr>
          <w:rFonts w:ascii="Palatino Linotype" w:eastAsia="Palatino Linotype" w:hAnsi="Palatino Linotype" w:cs="Palatino Linotype"/>
          <w:sz w:val="24"/>
          <w:szCs w:val="24"/>
        </w:rPr>
      </w:pPr>
    </w:p>
    <w:p w14:paraId="0EC960E4" w14:textId="77777777" w:rsidR="00F8557D" w:rsidRPr="008645E3" w:rsidRDefault="00646B44">
      <w:pPr>
        <w:spacing w:after="0" w:line="360" w:lineRule="auto"/>
        <w:ind w:right="49"/>
        <w:jc w:val="both"/>
        <w:rPr>
          <w:rFonts w:ascii="Palatino Linotype" w:eastAsia="Palatino Linotype" w:hAnsi="Palatino Linotype" w:cs="Palatino Linotype"/>
          <w:sz w:val="24"/>
          <w:szCs w:val="24"/>
        </w:rPr>
      </w:pPr>
      <w:r w:rsidRPr="008645E3">
        <w:rPr>
          <w:rFonts w:ascii="Palatino Linotype" w:eastAsia="Palatino Linotype" w:hAnsi="Palatino Linotype" w:cs="Palatino Linotype"/>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E96C56C" w14:textId="77777777" w:rsidR="00F8557D" w:rsidRPr="008645E3" w:rsidRDefault="00F8557D">
      <w:pPr>
        <w:spacing w:after="0" w:line="360" w:lineRule="auto"/>
        <w:ind w:right="49"/>
        <w:jc w:val="both"/>
        <w:rPr>
          <w:rFonts w:ascii="Palatino Linotype" w:eastAsia="Palatino Linotype" w:hAnsi="Palatino Linotype" w:cs="Palatino Linotype"/>
          <w:sz w:val="24"/>
          <w:szCs w:val="24"/>
        </w:rPr>
      </w:pPr>
    </w:p>
    <w:p w14:paraId="59209BB8" w14:textId="77777777" w:rsidR="00F8557D" w:rsidRPr="008645E3" w:rsidRDefault="00646B44">
      <w:pPr>
        <w:spacing w:after="0" w:line="276" w:lineRule="auto"/>
        <w:ind w:left="567" w:right="560"/>
        <w:jc w:val="both"/>
        <w:rPr>
          <w:rFonts w:ascii="Palatino Linotype" w:eastAsia="Palatino Linotype" w:hAnsi="Palatino Linotype" w:cs="Palatino Linotype"/>
          <w:b/>
          <w:i/>
        </w:rPr>
      </w:pPr>
      <w:r w:rsidRPr="008645E3">
        <w:rPr>
          <w:rFonts w:ascii="Palatino Linotype" w:eastAsia="Palatino Linotype" w:hAnsi="Palatino Linotype" w:cs="Palatino Linotype"/>
          <w:i/>
        </w:rPr>
        <w:t>“</w:t>
      </w:r>
      <w:r w:rsidRPr="008645E3">
        <w:rPr>
          <w:rFonts w:ascii="Palatino Linotype" w:eastAsia="Palatino Linotype" w:hAnsi="Palatino Linotype" w:cs="Palatino Linotype"/>
          <w:b/>
          <w:i/>
        </w:rPr>
        <w:t>CRITERIO 0002-11</w:t>
      </w:r>
    </w:p>
    <w:p w14:paraId="5302D9BA" w14:textId="77777777" w:rsidR="00F8557D" w:rsidRPr="008645E3" w:rsidRDefault="00646B44">
      <w:pPr>
        <w:spacing w:after="0" w:line="276" w:lineRule="auto"/>
        <w:ind w:left="567" w:right="560"/>
        <w:jc w:val="both"/>
        <w:rPr>
          <w:rFonts w:ascii="Palatino Linotype" w:eastAsia="Palatino Linotype" w:hAnsi="Palatino Linotype" w:cs="Palatino Linotype"/>
          <w:i/>
        </w:rPr>
      </w:pPr>
      <w:r w:rsidRPr="008645E3">
        <w:rPr>
          <w:rFonts w:ascii="Palatino Linotype" w:eastAsia="Palatino Linotype" w:hAnsi="Palatino Linotype" w:cs="Palatino Linotype"/>
          <w:b/>
          <w:i/>
        </w:rPr>
        <w:t xml:space="preserve">INFORMACIÓN PÚBLICA, CONCEPTO DE, EN MATERIA DE TRANSPARENCIA. INTERPRETACIÓN SISTEMÁTICA DE LOS ARTÍCULOS </w:t>
      </w:r>
      <w:r w:rsidRPr="008645E3">
        <w:rPr>
          <w:rFonts w:ascii="Palatino Linotype" w:eastAsia="Palatino Linotype" w:hAnsi="Palatino Linotype" w:cs="Palatino Linotype"/>
          <w:b/>
          <w:i/>
        </w:rPr>
        <w:lastRenderedPageBreak/>
        <w:t>2°, FRACCIÓN V, XV, Y XVI, 3°, 4°, 11 Y 41.</w:t>
      </w:r>
      <w:r w:rsidRPr="008645E3">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F67A663" w14:textId="77777777" w:rsidR="00F8557D" w:rsidRPr="008645E3" w:rsidRDefault="00646B44">
      <w:pPr>
        <w:spacing w:after="0" w:line="276" w:lineRule="auto"/>
        <w:ind w:left="567" w:right="560"/>
        <w:jc w:val="both"/>
        <w:rPr>
          <w:rFonts w:ascii="Palatino Linotype" w:eastAsia="Palatino Linotype" w:hAnsi="Palatino Linotype" w:cs="Palatino Linotype"/>
          <w:i/>
        </w:rPr>
      </w:pPr>
      <w:r w:rsidRPr="008645E3">
        <w:rPr>
          <w:rFonts w:ascii="Palatino Linotype" w:eastAsia="Palatino Linotype" w:hAnsi="Palatino Linotype" w:cs="Palatino Linotype"/>
          <w:i/>
        </w:rPr>
        <w:t>En consecuencia el acceso a la información se refiere a que se cumplan cualquiera de los siguientes tres supuestos:</w:t>
      </w:r>
    </w:p>
    <w:p w14:paraId="3666FA6F" w14:textId="77777777" w:rsidR="00F8557D" w:rsidRPr="008645E3" w:rsidRDefault="00646B44">
      <w:pPr>
        <w:spacing w:after="0" w:line="276" w:lineRule="auto"/>
        <w:ind w:left="567" w:right="560"/>
        <w:jc w:val="both"/>
        <w:rPr>
          <w:rFonts w:ascii="Palatino Linotype" w:eastAsia="Palatino Linotype" w:hAnsi="Palatino Linotype" w:cs="Palatino Linotype"/>
          <w:i/>
        </w:rPr>
      </w:pPr>
      <w:r w:rsidRPr="008645E3">
        <w:rPr>
          <w:rFonts w:ascii="Palatino Linotype" w:eastAsia="Palatino Linotype" w:hAnsi="Palatino Linotype" w:cs="Palatino Linotype"/>
          <w:i/>
        </w:rPr>
        <w:t>1)</w:t>
      </w:r>
      <w:r w:rsidRPr="008645E3">
        <w:rPr>
          <w:rFonts w:ascii="Palatino Linotype" w:eastAsia="Palatino Linotype" w:hAnsi="Palatino Linotype" w:cs="Palatino Linotype"/>
          <w:i/>
        </w:rPr>
        <w:tab/>
        <w:t>Que se trate de información registrada en cualquier soporte documental, que en ejercicio de las atribuciones conferidas, sea generada por los Sujetos Obligados;</w:t>
      </w:r>
    </w:p>
    <w:p w14:paraId="27A23F54" w14:textId="77777777" w:rsidR="00F8557D" w:rsidRPr="008645E3" w:rsidRDefault="00646B44">
      <w:pPr>
        <w:spacing w:after="0" w:line="276" w:lineRule="auto"/>
        <w:ind w:left="567" w:right="560"/>
        <w:jc w:val="both"/>
        <w:rPr>
          <w:rFonts w:ascii="Palatino Linotype" w:eastAsia="Palatino Linotype" w:hAnsi="Palatino Linotype" w:cs="Palatino Linotype"/>
          <w:i/>
        </w:rPr>
      </w:pPr>
      <w:r w:rsidRPr="008645E3">
        <w:rPr>
          <w:rFonts w:ascii="Palatino Linotype" w:eastAsia="Palatino Linotype" w:hAnsi="Palatino Linotype" w:cs="Palatino Linotype"/>
          <w:i/>
        </w:rPr>
        <w:t>2)</w:t>
      </w:r>
      <w:r w:rsidRPr="008645E3">
        <w:rPr>
          <w:rFonts w:ascii="Palatino Linotype" w:eastAsia="Palatino Linotype" w:hAnsi="Palatino Linotype" w:cs="Palatino Linotype"/>
          <w:i/>
        </w:rPr>
        <w:tab/>
        <w:t>Que se trate de información registrada en cualquier soporte documental, que en ejercicio de las atribuciones conferidas, sea administrada por los Sujetos Obligados, y</w:t>
      </w:r>
    </w:p>
    <w:p w14:paraId="16644C8A" w14:textId="77777777" w:rsidR="00F8557D" w:rsidRPr="008645E3" w:rsidRDefault="00646B44">
      <w:pPr>
        <w:spacing w:after="0" w:line="276" w:lineRule="auto"/>
        <w:ind w:left="567" w:right="560"/>
        <w:jc w:val="both"/>
        <w:rPr>
          <w:rFonts w:ascii="Palatino Linotype" w:eastAsia="Palatino Linotype" w:hAnsi="Palatino Linotype" w:cs="Palatino Linotype"/>
          <w:i/>
        </w:rPr>
      </w:pPr>
      <w:r w:rsidRPr="008645E3">
        <w:rPr>
          <w:rFonts w:ascii="Palatino Linotype" w:eastAsia="Palatino Linotype" w:hAnsi="Palatino Linotype" w:cs="Palatino Linotype"/>
          <w:i/>
        </w:rPr>
        <w:t xml:space="preserve">3) Que se trate de información registrada en cualquier soporte documental, que en ejercicio de las atribuciones conferidas, se encuentre en posesión de los Sujetos Obligados.” </w:t>
      </w:r>
    </w:p>
    <w:p w14:paraId="20D90780" w14:textId="77777777" w:rsidR="00F8557D" w:rsidRPr="008645E3" w:rsidRDefault="00F8557D">
      <w:pPr>
        <w:spacing w:after="0" w:line="360" w:lineRule="auto"/>
        <w:ind w:right="49"/>
        <w:jc w:val="both"/>
        <w:rPr>
          <w:rFonts w:ascii="Palatino Linotype" w:eastAsia="Palatino Linotype" w:hAnsi="Palatino Linotype" w:cs="Palatino Linotype"/>
          <w:sz w:val="24"/>
          <w:szCs w:val="24"/>
        </w:rPr>
      </w:pPr>
    </w:p>
    <w:p w14:paraId="732271EC" w14:textId="32305F2F" w:rsidR="00F8557D" w:rsidRDefault="00646B44">
      <w:pPr>
        <w:spacing w:after="0" w:line="360" w:lineRule="auto"/>
        <w:ind w:right="49"/>
        <w:jc w:val="both"/>
        <w:rPr>
          <w:rFonts w:ascii="Palatino Linotype" w:eastAsia="Palatino Linotype" w:hAnsi="Palatino Linotype" w:cs="Palatino Linotype"/>
          <w:sz w:val="24"/>
          <w:szCs w:val="24"/>
        </w:rPr>
      </w:pPr>
      <w:r w:rsidRPr="008645E3">
        <w:rPr>
          <w:rFonts w:ascii="Palatino Linotype" w:eastAsia="Palatino Linotype" w:hAnsi="Palatino Linotype" w:cs="Palatino Linotype"/>
          <w:sz w:val="24"/>
          <w:szCs w:val="24"/>
        </w:rPr>
        <w:t>De ahí que el Sujeto Obligado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 .</w:t>
      </w:r>
    </w:p>
    <w:p w14:paraId="0D76DD45" w14:textId="77777777" w:rsidR="00EF3F9A" w:rsidRPr="008645E3" w:rsidRDefault="00EF3F9A">
      <w:pPr>
        <w:spacing w:after="0" w:line="360" w:lineRule="auto"/>
        <w:ind w:right="49"/>
        <w:jc w:val="both"/>
        <w:rPr>
          <w:rFonts w:ascii="Palatino Linotype" w:eastAsia="Palatino Linotype" w:hAnsi="Palatino Linotype" w:cs="Palatino Linotype"/>
          <w:sz w:val="24"/>
          <w:szCs w:val="24"/>
        </w:rPr>
      </w:pPr>
    </w:p>
    <w:p w14:paraId="0B796A6A" w14:textId="54119550" w:rsidR="00F8557D" w:rsidRPr="008645E3" w:rsidRDefault="00646B44">
      <w:pPr>
        <w:spacing w:after="0" w:line="360" w:lineRule="auto"/>
        <w:ind w:right="49"/>
        <w:jc w:val="both"/>
        <w:rPr>
          <w:rFonts w:ascii="Palatino Linotype" w:eastAsia="Palatino Linotype" w:hAnsi="Palatino Linotype" w:cs="Palatino Linotype"/>
          <w:sz w:val="24"/>
          <w:szCs w:val="24"/>
        </w:rPr>
      </w:pPr>
      <w:r w:rsidRPr="008645E3">
        <w:rPr>
          <w:rFonts w:ascii="Palatino Linotype" w:eastAsia="Palatino Linotype" w:hAnsi="Palatino Linotype" w:cs="Palatino Linotype"/>
          <w:sz w:val="24"/>
          <w:szCs w:val="24"/>
        </w:rPr>
        <w:t>De las actuaciones que integran el expediente electrónico, se procede al análisis de los agravios hechos valer por el R</w:t>
      </w:r>
      <w:r w:rsidR="00DB71F7">
        <w:rPr>
          <w:rFonts w:ascii="Palatino Linotype" w:eastAsia="Palatino Linotype" w:hAnsi="Palatino Linotype" w:cs="Palatino Linotype"/>
          <w:sz w:val="24"/>
          <w:szCs w:val="24"/>
        </w:rPr>
        <w:t xml:space="preserve">ecurrente, relativos a </w:t>
      </w:r>
      <w:r w:rsidR="00EF3F9A">
        <w:rPr>
          <w:rFonts w:ascii="Palatino Linotype" w:eastAsia="Palatino Linotype" w:hAnsi="Palatino Linotype" w:cs="Palatino Linotype"/>
          <w:sz w:val="24"/>
          <w:szCs w:val="24"/>
        </w:rPr>
        <w:t>la entrega de la información que no corresponde con lo solicitado</w:t>
      </w:r>
      <w:r w:rsidR="00DB71F7">
        <w:rPr>
          <w:rFonts w:ascii="Palatino Linotype" w:eastAsia="Palatino Linotype" w:hAnsi="Palatino Linotype" w:cs="Palatino Linotype"/>
          <w:sz w:val="24"/>
          <w:szCs w:val="24"/>
        </w:rPr>
        <w:t xml:space="preserve">, lo que actualiza la causal de procedencia prevista en </w:t>
      </w:r>
      <w:r w:rsidR="00DB71F7">
        <w:rPr>
          <w:rFonts w:ascii="Palatino Linotype" w:eastAsia="Palatino Linotype" w:hAnsi="Palatino Linotype" w:cs="Palatino Linotype"/>
          <w:sz w:val="24"/>
          <w:szCs w:val="24"/>
        </w:rPr>
        <w:lastRenderedPageBreak/>
        <w:t xml:space="preserve">la fracción </w:t>
      </w:r>
      <w:r w:rsidR="00EF3F9A">
        <w:rPr>
          <w:rFonts w:ascii="Palatino Linotype" w:eastAsia="Palatino Linotype" w:hAnsi="Palatino Linotype" w:cs="Palatino Linotype"/>
          <w:sz w:val="24"/>
          <w:szCs w:val="24"/>
        </w:rPr>
        <w:t>V</w:t>
      </w:r>
      <w:r w:rsidR="00F100D8">
        <w:rPr>
          <w:rFonts w:ascii="Palatino Linotype" w:eastAsia="Palatino Linotype" w:hAnsi="Palatino Linotype" w:cs="Palatino Linotype"/>
          <w:sz w:val="24"/>
          <w:szCs w:val="24"/>
        </w:rPr>
        <w:t>I</w:t>
      </w:r>
      <w:r w:rsidRPr="008645E3">
        <w:rPr>
          <w:rFonts w:ascii="Palatino Linotype" w:eastAsia="Palatino Linotype" w:hAnsi="Palatino Linotype" w:cs="Palatino Linotype"/>
          <w:sz w:val="24"/>
          <w:szCs w:val="24"/>
        </w:rPr>
        <w:t xml:space="preserve"> del artículo 179 de la Ley de Transparencia y Acceso a la Información Pública del Estado de México y Municipios. </w:t>
      </w:r>
    </w:p>
    <w:p w14:paraId="4BF42BC4" w14:textId="77777777" w:rsidR="00F8557D" w:rsidRPr="008645E3" w:rsidRDefault="00F8557D">
      <w:pPr>
        <w:spacing w:after="0" w:line="360" w:lineRule="auto"/>
        <w:ind w:right="49"/>
        <w:jc w:val="both"/>
        <w:rPr>
          <w:rFonts w:ascii="Palatino Linotype" w:eastAsia="Palatino Linotype" w:hAnsi="Palatino Linotype" w:cs="Palatino Linotype"/>
          <w:sz w:val="24"/>
          <w:szCs w:val="24"/>
        </w:rPr>
      </w:pPr>
    </w:p>
    <w:p w14:paraId="713FCE13" w14:textId="77777777" w:rsidR="00F8557D" w:rsidRPr="008645E3" w:rsidRDefault="00646B44">
      <w:pPr>
        <w:spacing w:after="0" w:line="360" w:lineRule="auto"/>
        <w:ind w:right="49"/>
        <w:jc w:val="both"/>
        <w:rPr>
          <w:rFonts w:ascii="Palatino Linotype" w:eastAsia="Palatino Linotype" w:hAnsi="Palatino Linotype" w:cs="Palatino Linotype"/>
          <w:sz w:val="24"/>
          <w:szCs w:val="24"/>
        </w:rPr>
      </w:pPr>
      <w:r w:rsidRPr="008645E3">
        <w:rPr>
          <w:rFonts w:ascii="Palatino Linotype" w:eastAsia="Palatino Linotype" w:hAnsi="Palatino Linotype" w:cs="Palatino Linotype"/>
          <w:sz w:val="24"/>
          <w:szCs w:val="24"/>
        </w:rPr>
        <w:t xml:space="preserve">Para ello, en principio resulta recordar que la pretensión del ahora Recurrente es obtener la siguiente información: </w:t>
      </w:r>
    </w:p>
    <w:p w14:paraId="37D1A0DE" w14:textId="77777777" w:rsidR="00F8557D" w:rsidRPr="008645E3" w:rsidRDefault="00F8557D">
      <w:pPr>
        <w:spacing w:after="0" w:line="360" w:lineRule="auto"/>
        <w:ind w:right="49"/>
        <w:jc w:val="both"/>
        <w:rPr>
          <w:rFonts w:ascii="Palatino Linotype" w:eastAsia="Palatino Linotype" w:hAnsi="Palatino Linotype" w:cs="Palatino Linotype"/>
          <w:sz w:val="24"/>
          <w:szCs w:val="24"/>
        </w:rPr>
      </w:pPr>
    </w:p>
    <w:p w14:paraId="00154922" w14:textId="1866FFE9" w:rsidR="00F8557D" w:rsidRPr="00DB71F7" w:rsidRDefault="00EF3F9A" w:rsidP="00EF3F9A">
      <w:pPr>
        <w:numPr>
          <w:ilvl w:val="0"/>
          <w:numId w:val="5"/>
        </w:numPr>
        <w:pBdr>
          <w:top w:val="nil"/>
          <w:left w:val="nil"/>
          <w:bottom w:val="nil"/>
          <w:right w:val="nil"/>
          <w:between w:val="nil"/>
        </w:pBdr>
        <w:tabs>
          <w:tab w:val="left" w:pos="851"/>
          <w:tab w:val="left" w:pos="993"/>
        </w:tabs>
        <w:spacing w:after="0" w:line="360" w:lineRule="auto"/>
        <w:ind w:right="49"/>
        <w:jc w:val="both"/>
        <w:rPr>
          <w:rFonts w:ascii="Palatino Linotype" w:eastAsia="Palatino Linotype" w:hAnsi="Palatino Linotype" w:cs="Palatino Linotype"/>
          <w:b/>
          <w:color w:val="000000"/>
        </w:rPr>
      </w:pPr>
      <w:r w:rsidRPr="00EF3F9A">
        <w:rPr>
          <w:rFonts w:ascii="Palatino Linotype" w:eastAsia="Palatino Linotype" w:hAnsi="Palatino Linotype" w:cs="Palatino Linotype"/>
          <w:b/>
          <w:color w:val="000000"/>
        </w:rPr>
        <w:t xml:space="preserve">Firmas por Lugar de Pago de Personalizado General Primera Quincena de octubre de 2022, de la </w:t>
      </w:r>
      <w:r w:rsidRPr="00EA23E3">
        <w:rPr>
          <w:rFonts w:ascii="Palatino Linotype" w:eastAsia="Palatino Linotype" w:hAnsi="Palatino Linotype" w:cs="Palatino Linotype"/>
          <w:b/>
          <w:color w:val="000000"/>
          <w:u w:val="single"/>
        </w:rPr>
        <w:t>Dirección de Transporte Universitario</w:t>
      </w:r>
      <w:r w:rsidR="00F100D8">
        <w:rPr>
          <w:rFonts w:ascii="Palatino Linotype" w:eastAsia="Palatino Linotype" w:hAnsi="Palatino Linotype" w:cs="Palatino Linotype"/>
          <w:b/>
          <w:color w:val="000000"/>
        </w:rPr>
        <w:t xml:space="preserve">. </w:t>
      </w:r>
    </w:p>
    <w:p w14:paraId="074E4E44" w14:textId="13941C9B" w:rsidR="00E2699F" w:rsidRPr="00F100D8" w:rsidRDefault="00646B44" w:rsidP="00F100D8">
      <w:pPr>
        <w:pBdr>
          <w:top w:val="nil"/>
          <w:left w:val="nil"/>
          <w:bottom w:val="nil"/>
          <w:right w:val="nil"/>
          <w:between w:val="nil"/>
        </w:pBdr>
        <w:tabs>
          <w:tab w:val="left" w:pos="993"/>
        </w:tabs>
        <w:spacing w:after="0" w:line="360" w:lineRule="auto"/>
        <w:ind w:left="1287" w:right="49"/>
        <w:jc w:val="both"/>
        <w:rPr>
          <w:rFonts w:ascii="Palatino Linotype" w:eastAsia="Palatino Linotype" w:hAnsi="Palatino Linotype" w:cs="Palatino Linotype"/>
          <w:color w:val="000000"/>
          <w:sz w:val="24"/>
          <w:szCs w:val="24"/>
        </w:rPr>
      </w:pPr>
      <w:r w:rsidRPr="008645E3">
        <w:rPr>
          <w:rFonts w:ascii="Palatino Linotype" w:eastAsia="Palatino Linotype" w:hAnsi="Palatino Linotype" w:cs="Palatino Linotype"/>
          <w:color w:val="000000"/>
          <w:sz w:val="24"/>
          <w:szCs w:val="24"/>
        </w:rPr>
        <w:t xml:space="preserve">      </w:t>
      </w:r>
    </w:p>
    <w:p w14:paraId="6B5B8329" w14:textId="2E09DC25" w:rsidR="00F100D8" w:rsidRPr="00EA23E3" w:rsidRDefault="00F100D8">
      <w:pPr>
        <w:spacing w:after="0" w:line="360" w:lineRule="auto"/>
        <w:ind w:right="49"/>
        <w:jc w:val="both"/>
        <w:rPr>
          <w:rFonts w:ascii="Palatino Linotype" w:eastAsia="Palatino Linotype" w:hAnsi="Palatino Linotype" w:cs="Palatino Linotype"/>
          <w:b/>
          <w:sz w:val="24"/>
          <w:szCs w:val="24"/>
          <w:u w:val="single"/>
        </w:rPr>
      </w:pPr>
      <w:r w:rsidRPr="00730163">
        <w:rPr>
          <w:rFonts w:ascii="Palatino Linotype" w:eastAsia="Palatino Linotype" w:hAnsi="Palatino Linotype" w:cs="Palatino Linotype"/>
          <w:sz w:val="24"/>
          <w:szCs w:val="24"/>
        </w:rPr>
        <w:t>En respuesta el Sujeto Obligado,</w:t>
      </w:r>
      <w:r w:rsidR="00730163" w:rsidRPr="00730163">
        <w:rPr>
          <w:rFonts w:ascii="Palatino Linotype" w:eastAsia="Palatino Linotype" w:hAnsi="Palatino Linotype" w:cs="Palatino Linotype"/>
          <w:sz w:val="24"/>
          <w:szCs w:val="24"/>
        </w:rPr>
        <w:t xml:space="preserve"> remitió los documentos de firmas por lugar de pago personalizado de la segunda quincena de marzo de dos mil veintidós de </w:t>
      </w:r>
      <w:r w:rsidR="00730163" w:rsidRPr="00EA23E3">
        <w:rPr>
          <w:rFonts w:ascii="Palatino Linotype" w:eastAsia="Palatino Linotype" w:hAnsi="Palatino Linotype" w:cs="Palatino Linotype"/>
          <w:b/>
          <w:sz w:val="24"/>
          <w:szCs w:val="24"/>
          <w:u w:val="single"/>
        </w:rPr>
        <w:t>la Dirección de Recursos Humanos</w:t>
      </w:r>
      <w:r w:rsidR="00730163" w:rsidRPr="00730163">
        <w:rPr>
          <w:rFonts w:ascii="Palatino Linotype" w:eastAsia="Palatino Linotype" w:hAnsi="Palatino Linotype" w:cs="Palatino Linotype"/>
          <w:sz w:val="24"/>
          <w:szCs w:val="24"/>
        </w:rPr>
        <w:t xml:space="preserve">, sin embargo, el Particular se inconformó arguyendo que esta no correspondía con su solicitud, toda vez que había requerido la información de la </w:t>
      </w:r>
      <w:r w:rsidR="00730163" w:rsidRPr="00EA23E3">
        <w:rPr>
          <w:rFonts w:ascii="Palatino Linotype" w:eastAsia="Palatino Linotype" w:hAnsi="Palatino Linotype" w:cs="Palatino Linotype"/>
          <w:b/>
          <w:sz w:val="24"/>
          <w:szCs w:val="24"/>
          <w:u w:val="single"/>
        </w:rPr>
        <w:t xml:space="preserve">Dirección de Transporte Universitario. </w:t>
      </w:r>
    </w:p>
    <w:p w14:paraId="64BBA7AF" w14:textId="77777777" w:rsidR="00F100D8" w:rsidRPr="00730163" w:rsidRDefault="00F100D8">
      <w:pPr>
        <w:spacing w:after="0" w:line="360" w:lineRule="auto"/>
        <w:ind w:right="49"/>
        <w:jc w:val="both"/>
        <w:rPr>
          <w:rFonts w:ascii="Palatino Linotype" w:eastAsia="Palatino Linotype" w:hAnsi="Palatino Linotype" w:cs="Palatino Linotype"/>
          <w:sz w:val="24"/>
          <w:szCs w:val="24"/>
        </w:rPr>
      </w:pPr>
    </w:p>
    <w:p w14:paraId="4360219A" w14:textId="34CBFB6D" w:rsidR="00730163" w:rsidRDefault="00730163">
      <w:pPr>
        <w:spacing w:after="0" w:line="360" w:lineRule="auto"/>
        <w:ind w:right="49"/>
        <w:jc w:val="both"/>
        <w:rPr>
          <w:rFonts w:ascii="Palatino Linotype" w:eastAsia="Palatino Linotype" w:hAnsi="Palatino Linotype" w:cs="Palatino Linotype"/>
          <w:sz w:val="24"/>
          <w:szCs w:val="24"/>
        </w:rPr>
      </w:pPr>
      <w:r w:rsidRPr="00730163">
        <w:rPr>
          <w:rFonts w:ascii="Palatino Linotype" w:eastAsia="Palatino Linotype" w:hAnsi="Palatino Linotype" w:cs="Palatino Linotype"/>
          <w:sz w:val="24"/>
          <w:szCs w:val="24"/>
        </w:rPr>
        <w:t>Es así que, mediante informe justificado, refirió que por error involuntario había remitido la información que no correspondía con el requerimiento del Particular, proporcionando con ello los documentos relacionados con la Firmas por Lugar de Pago Personalizado de la primera quincena de octubre de dos mil veintidós.</w:t>
      </w:r>
    </w:p>
    <w:p w14:paraId="10794736" w14:textId="77777777" w:rsidR="00730163" w:rsidRPr="00730163" w:rsidRDefault="00730163">
      <w:pPr>
        <w:spacing w:after="0" w:line="360" w:lineRule="auto"/>
        <w:ind w:right="49"/>
        <w:jc w:val="both"/>
        <w:rPr>
          <w:rFonts w:ascii="Palatino Linotype" w:eastAsia="Palatino Linotype" w:hAnsi="Palatino Linotype" w:cs="Palatino Linotype"/>
          <w:sz w:val="24"/>
          <w:szCs w:val="24"/>
          <w:highlight w:val="yellow"/>
        </w:rPr>
      </w:pPr>
    </w:p>
    <w:p w14:paraId="0F0F7C55" w14:textId="5AE5649D" w:rsidR="0078543E" w:rsidRDefault="0078543E">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w:t>
      </w:r>
      <w:r w:rsidR="00F100D8">
        <w:rPr>
          <w:rFonts w:ascii="Palatino Linotype" w:eastAsia="Palatino Linotype" w:hAnsi="Palatino Linotype" w:cs="Palatino Linotype"/>
          <w:sz w:val="24"/>
          <w:szCs w:val="24"/>
        </w:rPr>
        <w:t xml:space="preserve">icho lo anterior, se procede a contextualizar la información solicitada, por lo que, de </w:t>
      </w:r>
      <w:r>
        <w:rPr>
          <w:rFonts w:ascii="Palatino Linotype" w:eastAsia="Palatino Linotype" w:hAnsi="Palatino Linotype" w:cs="Palatino Linotype"/>
          <w:sz w:val="24"/>
          <w:szCs w:val="24"/>
        </w:rPr>
        <w:t xml:space="preserve">conformidad con el artículo 147 de la Constitución Política del Estado Libre y Soberano de México, los trabajadores al servicio del Estado, como los miembros de los Ayuntamientos, recibirán una remuneración adecuada e irrenunciable por el </w:t>
      </w:r>
      <w:r>
        <w:rPr>
          <w:rFonts w:ascii="Palatino Linotype" w:eastAsia="Palatino Linotype" w:hAnsi="Palatino Linotype" w:cs="Palatino Linotype"/>
          <w:sz w:val="24"/>
          <w:szCs w:val="24"/>
        </w:rPr>
        <w:lastRenderedPageBreak/>
        <w:t xml:space="preserve">desempeño de su empleo, cargo o comisión que será determinada en el presupuesto de egresos que corresponda. </w:t>
      </w:r>
    </w:p>
    <w:p w14:paraId="3EFFE57F" w14:textId="7A14057C" w:rsidR="0078543E" w:rsidRDefault="0078543E">
      <w:pPr>
        <w:spacing w:after="0" w:line="360" w:lineRule="auto"/>
        <w:ind w:right="49"/>
        <w:jc w:val="both"/>
        <w:rPr>
          <w:rFonts w:ascii="Palatino Linotype" w:eastAsia="Palatino Linotype" w:hAnsi="Palatino Linotype" w:cs="Palatino Linotype"/>
          <w:sz w:val="24"/>
          <w:szCs w:val="24"/>
        </w:rPr>
      </w:pPr>
    </w:p>
    <w:p w14:paraId="6D2369C5" w14:textId="1E23DA6C" w:rsidR="0078543E" w:rsidRDefault="0078543E">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ese orden de ideas, el artículo 3, fracción XXXII del Código Financiero del Estado de México y Municipios establece que la remuneración consiste en los pagos hechos por concepto de sueldo, compensaciones, gratificaciones, habitación, primas, comisiones, </w:t>
      </w:r>
      <w:r w:rsidR="00D80548">
        <w:rPr>
          <w:rFonts w:ascii="Palatino Linotype" w:eastAsia="Palatino Linotype" w:hAnsi="Palatino Linotype" w:cs="Palatino Linotype"/>
          <w:sz w:val="24"/>
          <w:szCs w:val="24"/>
        </w:rPr>
        <w:t xml:space="preserve">prestaciones en especie y cualquier otra percepción o prestación que se entregue al servidor por su trabajo. </w:t>
      </w:r>
    </w:p>
    <w:p w14:paraId="607F1BE7" w14:textId="075E4F61" w:rsidR="00D80548" w:rsidRDefault="00D80548">
      <w:pPr>
        <w:spacing w:after="0" w:line="360" w:lineRule="auto"/>
        <w:ind w:right="49"/>
        <w:jc w:val="both"/>
        <w:rPr>
          <w:rFonts w:ascii="Palatino Linotype" w:eastAsia="Palatino Linotype" w:hAnsi="Palatino Linotype" w:cs="Palatino Linotype"/>
          <w:sz w:val="24"/>
          <w:szCs w:val="24"/>
        </w:rPr>
      </w:pPr>
    </w:p>
    <w:p w14:paraId="1D9CB581" w14:textId="14AFF107" w:rsidR="00D80548" w:rsidRDefault="00D80548" w:rsidP="00D80548">
      <w:pPr>
        <w:autoSpaceDE w:val="0"/>
        <w:autoSpaceDN w:val="0"/>
        <w:adjustRightInd w:val="0"/>
        <w:spacing w:line="360" w:lineRule="auto"/>
        <w:jc w:val="both"/>
        <w:rPr>
          <w:rFonts w:ascii="Palatino Linotype" w:hAnsi="Palatino Linotype" w:cs="Tahoma"/>
          <w:bCs/>
          <w:iCs/>
          <w:color w:val="000000"/>
          <w:sz w:val="24"/>
          <w:szCs w:val="24"/>
        </w:rPr>
      </w:pPr>
      <w:r w:rsidRPr="00D80548">
        <w:rPr>
          <w:rFonts w:ascii="Palatino Linotype" w:hAnsi="Palatino Linotype" w:cs="Tahoma"/>
          <w:bCs/>
          <w:iCs/>
          <w:color w:val="000000"/>
          <w:sz w:val="24"/>
          <w:szCs w:val="24"/>
        </w:rPr>
        <w:t>Da la misma manera, el Anexo IV.5 Glosario de Términos, del Manual para la Planeación, Programación y Presupuesto de Egresos Municipal</w:t>
      </w:r>
      <w:r>
        <w:rPr>
          <w:rFonts w:ascii="Palatino Linotype" w:hAnsi="Palatino Linotype" w:cs="Tahoma"/>
          <w:bCs/>
          <w:iCs/>
          <w:color w:val="000000"/>
          <w:sz w:val="24"/>
          <w:szCs w:val="24"/>
        </w:rPr>
        <w:t xml:space="preserve">, </w:t>
      </w:r>
      <w:r w:rsidRPr="00D80548">
        <w:rPr>
          <w:rFonts w:ascii="Palatino Linotype" w:hAnsi="Palatino Linotype" w:cs="Tahoma"/>
          <w:bCs/>
          <w:iCs/>
          <w:color w:val="000000"/>
          <w:sz w:val="24"/>
          <w:szCs w:val="24"/>
        </w:rPr>
        <w:t>establece que la remuneración es la percepción de un trabajador o retribución monetaria que se da en pago por su servicio o actividad desarrollada.</w:t>
      </w:r>
    </w:p>
    <w:p w14:paraId="0460B17A" w14:textId="0C853937" w:rsidR="0098482D" w:rsidRDefault="0098482D" w:rsidP="0098482D">
      <w:pPr>
        <w:spacing w:after="0" w:line="276" w:lineRule="auto"/>
        <w:ind w:right="843"/>
        <w:jc w:val="both"/>
        <w:rPr>
          <w:rFonts w:ascii="Palatino Linotype" w:eastAsia="Palatino Linotype" w:hAnsi="Palatino Linotype" w:cs="Palatino Linotype"/>
          <w:i/>
          <w:sz w:val="24"/>
          <w:szCs w:val="24"/>
        </w:rPr>
      </w:pPr>
    </w:p>
    <w:p w14:paraId="203113A5" w14:textId="77777777" w:rsidR="0098482D" w:rsidRDefault="0098482D" w:rsidP="0098482D">
      <w:pPr>
        <w:autoSpaceDE w:val="0"/>
        <w:autoSpaceDN w:val="0"/>
        <w:adjustRightInd w:val="0"/>
        <w:spacing w:after="0" w:line="360" w:lineRule="auto"/>
        <w:jc w:val="both"/>
        <w:rPr>
          <w:rFonts w:ascii="Palatino Linotype" w:hAnsi="Palatino Linotype" w:cs="Tahoma"/>
          <w:bCs/>
          <w:iCs/>
          <w:color w:val="000000"/>
          <w:sz w:val="24"/>
          <w:szCs w:val="24"/>
        </w:rPr>
      </w:pPr>
      <w:r>
        <w:rPr>
          <w:rFonts w:ascii="Palatino Linotype" w:hAnsi="Palatino Linotype" w:cs="Tahoma"/>
          <w:bCs/>
          <w:iCs/>
          <w:color w:val="000000"/>
          <w:sz w:val="24"/>
          <w:szCs w:val="24"/>
        </w:rPr>
        <w:t>Por su parte</w:t>
      </w:r>
      <w:r w:rsidRPr="0098482D">
        <w:rPr>
          <w:rFonts w:ascii="Palatino Linotype" w:hAnsi="Palatino Linotype" w:cs="Tahoma"/>
          <w:bCs/>
          <w:iCs/>
          <w:color w:val="000000"/>
          <w:sz w:val="24"/>
          <w:szCs w:val="24"/>
        </w:rPr>
        <w:t xml:space="preserve">, la Ley del Trabajo de los Servidores Públicos del Estado y Municipios, en su artículo 220 K, fracciones II y IV, establece </w:t>
      </w:r>
      <w:r>
        <w:rPr>
          <w:rFonts w:ascii="Palatino Linotype" w:hAnsi="Palatino Linotype" w:cs="Tahoma"/>
          <w:bCs/>
          <w:iCs/>
          <w:color w:val="000000"/>
          <w:sz w:val="24"/>
          <w:szCs w:val="24"/>
        </w:rPr>
        <w:t xml:space="preserve">que: </w:t>
      </w:r>
    </w:p>
    <w:p w14:paraId="397184FE" w14:textId="0AC1A643" w:rsidR="0098482D" w:rsidRDefault="0098482D" w:rsidP="0098482D">
      <w:pPr>
        <w:autoSpaceDE w:val="0"/>
        <w:autoSpaceDN w:val="0"/>
        <w:adjustRightInd w:val="0"/>
        <w:spacing w:after="0" w:line="360" w:lineRule="auto"/>
        <w:jc w:val="both"/>
        <w:rPr>
          <w:rFonts w:ascii="Palatino Linotype" w:hAnsi="Palatino Linotype" w:cs="Tahoma"/>
          <w:bCs/>
          <w:iCs/>
          <w:color w:val="000000"/>
          <w:sz w:val="24"/>
          <w:szCs w:val="24"/>
        </w:rPr>
      </w:pPr>
    </w:p>
    <w:p w14:paraId="4213FD6E" w14:textId="099C5E09" w:rsidR="0098482D" w:rsidRPr="0098482D" w:rsidRDefault="0098482D" w:rsidP="0098482D">
      <w:pPr>
        <w:autoSpaceDE w:val="0"/>
        <w:autoSpaceDN w:val="0"/>
        <w:adjustRightInd w:val="0"/>
        <w:spacing w:after="0" w:line="276" w:lineRule="auto"/>
        <w:ind w:left="567" w:right="843"/>
        <w:jc w:val="both"/>
        <w:rPr>
          <w:rFonts w:ascii="Palatino Linotype" w:hAnsi="Palatino Linotype"/>
          <w:i/>
          <w:iCs/>
        </w:rPr>
      </w:pPr>
      <w:r w:rsidRPr="0098482D">
        <w:rPr>
          <w:rFonts w:ascii="Palatino Linotype" w:hAnsi="Palatino Linotype"/>
          <w:b/>
          <w:bCs/>
          <w:i/>
          <w:iCs/>
        </w:rPr>
        <w:t>ARTÍCULO 220 K</w:t>
      </w:r>
      <w:r w:rsidRPr="0098482D">
        <w:rPr>
          <w:rFonts w:ascii="Palatino Linotype" w:hAnsi="Palatino Linotype"/>
          <w:i/>
          <w:iCs/>
        </w:rPr>
        <w:t>.- La institución o dependencia pública tiene la obligación de conservar y exhibir en el proceso los documentos que a continuación se precisan:</w:t>
      </w:r>
    </w:p>
    <w:p w14:paraId="4ED04614" w14:textId="4D2BA553" w:rsidR="0098482D" w:rsidRPr="0098482D" w:rsidRDefault="0098482D" w:rsidP="0098482D">
      <w:pPr>
        <w:autoSpaceDE w:val="0"/>
        <w:autoSpaceDN w:val="0"/>
        <w:adjustRightInd w:val="0"/>
        <w:spacing w:after="0" w:line="276" w:lineRule="auto"/>
        <w:ind w:left="567" w:right="843"/>
        <w:jc w:val="both"/>
        <w:rPr>
          <w:rFonts w:ascii="Palatino Linotype" w:hAnsi="Palatino Linotype"/>
          <w:i/>
          <w:iCs/>
        </w:rPr>
      </w:pPr>
      <w:r w:rsidRPr="0098482D">
        <w:rPr>
          <w:rFonts w:ascii="Palatino Linotype" w:hAnsi="Palatino Linotype"/>
          <w:i/>
          <w:iCs/>
        </w:rPr>
        <w:t>…</w:t>
      </w:r>
    </w:p>
    <w:p w14:paraId="273B1FA2" w14:textId="2FE19698" w:rsidR="0098482D" w:rsidRPr="0098482D" w:rsidRDefault="0098482D" w:rsidP="0098482D">
      <w:pPr>
        <w:autoSpaceDE w:val="0"/>
        <w:autoSpaceDN w:val="0"/>
        <w:adjustRightInd w:val="0"/>
        <w:spacing w:after="0" w:line="276" w:lineRule="auto"/>
        <w:ind w:left="567" w:right="843"/>
        <w:jc w:val="both"/>
        <w:rPr>
          <w:rFonts w:ascii="Palatino Linotype" w:hAnsi="Palatino Linotype" w:cs="Tahoma"/>
          <w:bCs/>
          <w:i/>
          <w:iCs/>
          <w:color w:val="000000"/>
          <w:sz w:val="24"/>
          <w:szCs w:val="24"/>
        </w:rPr>
      </w:pPr>
      <w:r w:rsidRPr="0098482D">
        <w:rPr>
          <w:rFonts w:ascii="Palatino Linotype" w:hAnsi="Palatino Linotype"/>
          <w:i/>
          <w:iCs/>
        </w:rPr>
        <w:t>II. Recibos de pagos de salarios o las constancias documentales del pago de salario cuando sea por depósito o mediante información electrónica;</w:t>
      </w:r>
    </w:p>
    <w:p w14:paraId="70F1E3EB" w14:textId="1FBB93A5" w:rsidR="0098482D" w:rsidRPr="0098482D" w:rsidRDefault="0098482D" w:rsidP="0098482D">
      <w:pPr>
        <w:autoSpaceDE w:val="0"/>
        <w:autoSpaceDN w:val="0"/>
        <w:adjustRightInd w:val="0"/>
        <w:spacing w:after="0" w:line="276" w:lineRule="auto"/>
        <w:ind w:left="567" w:right="843"/>
        <w:jc w:val="both"/>
        <w:rPr>
          <w:rFonts w:ascii="Palatino Linotype" w:hAnsi="Palatino Linotype" w:cs="Tahoma"/>
          <w:bCs/>
          <w:i/>
          <w:iCs/>
          <w:color w:val="000000"/>
          <w:sz w:val="24"/>
          <w:szCs w:val="24"/>
        </w:rPr>
      </w:pPr>
      <w:r w:rsidRPr="0098482D">
        <w:rPr>
          <w:rFonts w:ascii="Palatino Linotype" w:hAnsi="Palatino Linotype" w:cs="Tahoma"/>
          <w:bCs/>
          <w:i/>
          <w:iCs/>
          <w:color w:val="000000"/>
          <w:sz w:val="24"/>
          <w:szCs w:val="24"/>
        </w:rPr>
        <w:t>…</w:t>
      </w:r>
    </w:p>
    <w:p w14:paraId="2889A9E2" w14:textId="7C2428B4" w:rsidR="005134AB" w:rsidRPr="00730163" w:rsidRDefault="0098482D" w:rsidP="00730163">
      <w:pPr>
        <w:autoSpaceDE w:val="0"/>
        <w:autoSpaceDN w:val="0"/>
        <w:adjustRightInd w:val="0"/>
        <w:spacing w:after="0" w:line="276" w:lineRule="auto"/>
        <w:ind w:left="567" w:right="843"/>
        <w:jc w:val="both"/>
        <w:rPr>
          <w:rFonts w:ascii="Palatino Linotype" w:hAnsi="Palatino Linotype"/>
          <w:i/>
          <w:iCs/>
        </w:rPr>
      </w:pPr>
      <w:r w:rsidRPr="0098482D">
        <w:rPr>
          <w:rFonts w:ascii="Palatino Linotype" w:hAnsi="Palatino Linotype"/>
          <w:i/>
          <w:iCs/>
        </w:rPr>
        <w:t xml:space="preserve">IV. Recibos o las constancias de </w:t>
      </w:r>
      <w:proofErr w:type="spellStart"/>
      <w:r w:rsidRPr="0098482D">
        <w:rPr>
          <w:rFonts w:ascii="Palatino Linotype" w:hAnsi="Palatino Linotype"/>
          <w:i/>
          <w:iCs/>
        </w:rPr>
        <w:t>deposito</w:t>
      </w:r>
      <w:proofErr w:type="spellEnd"/>
      <w:r w:rsidRPr="0098482D">
        <w:rPr>
          <w:rFonts w:ascii="Palatino Linotype" w:hAnsi="Palatino Linotype"/>
          <w:i/>
          <w:iCs/>
        </w:rPr>
        <w:t xml:space="preserve"> o del medio de información magnética o electrónica que sean utilizadas para el pago de salarios, prima vacacional, aguinaldo y demás prestaciones establecidas en la presente ley; </w:t>
      </w:r>
    </w:p>
    <w:p w14:paraId="1E3A7182" w14:textId="6FF9B9E5" w:rsidR="0098482D" w:rsidRDefault="0098482D" w:rsidP="0098482D">
      <w:pPr>
        <w:autoSpaceDE w:val="0"/>
        <w:autoSpaceDN w:val="0"/>
        <w:adjustRightInd w:val="0"/>
        <w:spacing w:after="0" w:line="360" w:lineRule="auto"/>
        <w:jc w:val="both"/>
        <w:rPr>
          <w:rFonts w:ascii="Palatino Linotype" w:hAnsi="Palatino Linotype" w:cs="Tahoma"/>
          <w:bCs/>
          <w:iCs/>
          <w:color w:val="000000"/>
          <w:sz w:val="24"/>
          <w:szCs w:val="24"/>
          <w:lang w:val="es-ES"/>
        </w:rPr>
      </w:pPr>
      <w:r>
        <w:rPr>
          <w:rFonts w:ascii="Palatino Linotype" w:hAnsi="Palatino Linotype" w:cs="Tahoma"/>
          <w:bCs/>
          <w:iCs/>
          <w:color w:val="000000"/>
          <w:sz w:val="24"/>
          <w:szCs w:val="24"/>
        </w:rPr>
        <w:lastRenderedPageBreak/>
        <w:t xml:space="preserve">Es decir, del precepto normativo se advierte que entre </w:t>
      </w:r>
      <w:r w:rsidRPr="0098482D">
        <w:rPr>
          <w:rFonts w:ascii="Palatino Linotype" w:hAnsi="Palatino Linotype" w:cs="Tahoma"/>
          <w:bCs/>
          <w:iCs/>
          <w:color w:val="000000"/>
          <w:sz w:val="24"/>
          <w:szCs w:val="24"/>
        </w:rPr>
        <w:t xml:space="preserve">los documentos que tiene la obligación de conservar el Sujeto Obligado, </w:t>
      </w:r>
      <w:r>
        <w:rPr>
          <w:rFonts w:ascii="Palatino Linotype" w:hAnsi="Palatino Linotype" w:cs="Tahoma"/>
          <w:bCs/>
          <w:iCs/>
          <w:color w:val="000000"/>
          <w:sz w:val="24"/>
          <w:szCs w:val="24"/>
        </w:rPr>
        <w:t>se e</w:t>
      </w:r>
      <w:r w:rsidRPr="0098482D">
        <w:rPr>
          <w:rFonts w:ascii="Palatino Linotype" w:hAnsi="Palatino Linotype" w:cs="Tahoma"/>
          <w:bCs/>
          <w:iCs/>
          <w:color w:val="000000"/>
          <w:sz w:val="24"/>
          <w:szCs w:val="24"/>
        </w:rPr>
        <w:t>ncuentra</w:t>
      </w:r>
      <w:r>
        <w:rPr>
          <w:rFonts w:ascii="Palatino Linotype" w:hAnsi="Palatino Linotype" w:cs="Tahoma"/>
          <w:bCs/>
          <w:iCs/>
          <w:color w:val="000000"/>
          <w:sz w:val="24"/>
          <w:szCs w:val="24"/>
        </w:rPr>
        <w:t>n</w:t>
      </w:r>
      <w:r w:rsidRPr="0098482D">
        <w:rPr>
          <w:rFonts w:ascii="Palatino Linotype" w:hAnsi="Palatino Linotype" w:cs="Tahoma"/>
          <w:bCs/>
          <w:iCs/>
          <w:color w:val="000000"/>
          <w:sz w:val="24"/>
          <w:szCs w:val="24"/>
        </w:rPr>
        <w:t xml:space="preserve"> los </w:t>
      </w:r>
      <w:r w:rsidRPr="0098482D">
        <w:rPr>
          <w:rFonts w:ascii="Palatino Linotype" w:hAnsi="Palatino Linotype" w:cs="Tahoma"/>
          <w:b/>
          <w:bCs/>
          <w:iCs/>
          <w:color w:val="000000"/>
          <w:sz w:val="24"/>
          <w:szCs w:val="24"/>
        </w:rPr>
        <w:t>recibos de pago de salarios o las</w:t>
      </w:r>
      <w:r w:rsidRPr="0098482D">
        <w:rPr>
          <w:rFonts w:ascii="Palatino Linotype" w:hAnsi="Palatino Linotype" w:cs="Tahoma"/>
          <w:bCs/>
          <w:iCs/>
          <w:color w:val="000000"/>
          <w:sz w:val="24"/>
          <w:szCs w:val="24"/>
        </w:rPr>
        <w:t xml:space="preserve"> </w:t>
      </w:r>
      <w:r w:rsidRPr="0098482D">
        <w:rPr>
          <w:rFonts w:ascii="Palatino Linotype" w:hAnsi="Palatino Linotype" w:cs="Tahoma"/>
          <w:b/>
          <w:bCs/>
          <w:iCs/>
          <w:color w:val="000000"/>
          <w:sz w:val="24"/>
          <w:szCs w:val="24"/>
        </w:rPr>
        <w:t>constancias documentales del pago de sueldos</w:t>
      </w:r>
      <w:r w:rsidRPr="0098482D">
        <w:rPr>
          <w:rFonts w:ascii="Palatino Linotype" w:hAnsi="Palatino Linotype" w:cs="Tahoma"/>
          <w:iCs/>
          <w:color w:val="000000"/>
          <w:sz w:val="24"/>
          <w:szCs w:val="24"/>
        </w:rPr>
        <w:t>,</w:t>
      </w:r>
      <w:r w:rsidRPr="0098482D">
        <w:rPr>
          <w:rFonts w:ascii="Palatino Linotype" w:hAnsi="Palatino Linotype" w:cs="Tahoma"/>
          <w:b/>
          <w:bCs/>
          <w:iCs/>
          <w:color w:val="000000"/>
          <w:sz w:val="24"/>
          <w:szCs w:val="24"/>
        </w:rPr>
        <w:t xml:space="preserve"> </w:t>
      </w:r>
      <w:r w:rsidRPr="0098482D">
        <w:rPr>
          <w:rFonts w:ascii="Palatino Linotype" w:hAnsi="Palatino Linotype" w:cs="Tahoma"/>
          <w:bCs/>
          <w:iCs/>
          <w:color w:val="000000"/>
          <w:sz w:val="24"/>
          <w:szCs w:val="24"/>
        </w:rPr>
        <w:t xml:space="preserve">cuando sea por depósito o mediante información electrónica; así como los recibos o constancias de depósito o del medio de información magnética o electrónica que sean utilizadas para el pago de salarios, prima </w:t>
      </w:r>
      <w:r w:rsidRPr="0098482D">
        <w:rPr>
          <w:rFonts w:ascii="Palatino Linotype" w:hAnsi="Palatino Linotype" w:cs="Tahoma"/>
          <w:bCs/>
          <w:iCs/>
          <w:color w:val="000000"/>
          <w:sz w:val="24"/>
          <w:szCs w:val="24"/>
          <w:lang w:val="es-ES"/>
        </w:rPr>
        <w:t>vacacional, aguinaldo y demás prestaciones.</w:t>
      </w:r>
    </w:p>
    <w:p w14:paraId="2FFB7984" w14:textId="77777777" w:rsidR="005134AB" w:rsidRDefault="005134AB" w:rsidP="0098482D">
      <w:pPr>
        <w:autoSpaceDE w:val="0"/>
        <w:autoSpaceDN w:val="0"/>
        <w:adjustRightInd w:val="0"/>
        <w:spacing w:after="0" w:line="360" w:lineRule="auto"/>
        <w:jc w:val="both"/>
        <w:rPr>
          <w:rFonts w:ascii="Palatino Linotype" w:hAnsi="Palatino Linotype" w:cs="Tahoma"/>
          <w:b/>
          <w:bCs/>
          <w:iCs/>
          <w:color w:val="000000"/>
          <w:sz w:val="24"/>
          <w:szCs w:val="24"/>
          <w:lang w:val="es-ES"/>
        </w:rPr>
      </w:pPr>
    </w:p>
    <w:p w14:paraId="44B3BC05" w14:textId="77777777" w:rsidR="005134AB" w:rsidRDefault="005134AB" w:rsidP="005134AB">
      <w:pPr>
        <w:autoSpaceDE w:val="0"/>
        <w:autoSpaceDN w:val="0"/>
        <w:adjustRightInd w:val="0"/>
        <w:spacing w:after="0" w:line="360" w:lineRule="auto"/>
        <w:jc w:val="both"/>
        <w:rPr>
          <w:rFonts w:ascii="Palatino Linotype" w:hAnsi="Palatino Linotype" w:cs="Tahoma"/>
          <w:bCs/>
          <w:iCs/>
          <w:color w:val="000000"/>
          <w:sz w:val="24"/>
          <w:szCs w:val="24"/>
          <w:lang w:val="es-ES"/>
        </w:rPr>
      </w:pPr>
      <w:r w:rsidRPr="00D80548">
        <w:rPr>
          <w:rFonts w:ascii="Palatino Linotype" w:hAnsi="Palatino Linotype" w:cs="Tahoma"/>
          <w:bCs/>
          <w:iCs/>
          <w:color w:val="000000"/>
          <w:sz w:val="24"/>
          <w:szCs w:val="24"/>
          <w:lang w:val="es-ES"/>
        </w:rPr>
        <w:t xml:space="preserve">En </w:t>
      </w:r>
      <w:r>
        <w:rPr>
          <w:rFonts w:ascii="Palatino Linotype" w:hAnsi="Palatino Linotype" w:cs="Tahoma"/>
          <w:bCs/>
          <w:iCs/>
          <w:color w:val="000000"/>
          <w:sz w:val="24"/>
          <w:szCs w:val="24"/>
          <w:lang w:val="es-ES"/>
        </w:rPr>
        <w:t xml:space="preserve">relación con nuestra materia, </w:t>
      </w:r>
      <w:r w:rsidRPr="00D80548">
        <w:rPr>
          <w:rFonts w:ascii="Palatino Linotype" w:hAnsi="Palatino Linotype" w:cs="Tahoma"/>
          <w:bCs/>
          <w:iCs/>
          <w:color w:val="000000"/>
          <w:sz w:val="24"/>
          <w:szCs w:val="24"/>
          <w:lang w:val="es-ES"/>
        </w:rPr>
        <w:t>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r>
        <w:rPr>
          <w:rFonts w:ascii="Palatino Linotype" w:hAnsi="Palatino Linotype" w:cs="Tahoma"/>
          <w:bCs/>
          <w:iCs/>
          <w:color w:val="000000"/>
          <w:sz w:val="24"/>
          <w:szCs w:val="24"/>
          <w:lang w:val="es-ES"/>
        </w:rPr>
        <w:t xml:space="preserve">, tal como se aprecia a continuación: </w:t>
      </w:r>
    </w:p>
    <w:p w14:paraId="3E40EFFF" w14:textId="77777777" w:rsidR="005134AB" w:rsidRPr="00D80548" w:rsidRDefault="005134AB" w:rsidP="005134AB">
      <w:pPr>
        <w:autoSpaceDE w:val="0"/>
        <w:autoSpaceDN w:val="0"/>
        <w:adjustRightInd w:val="0"/>
        <w:spacing w:after="0" w:line="360" w:lineRule="auto"/>
        <w:jc w:val="both"/>
        <w:rPr>
          <w:rFonts w:ascii="Palatino Linotype" w:hAnsi="Palatino Linotype" w:cs="Tahoma"/>
          <w:bCs/>
          <w:iCs/>
          <w:color w:val="000000"/>
          <w:sz w:val="24"/>
          <w:szCs w:val="24"/>
          <w:lang w:val="es-ES"/>
        </w:rPr>
      </w:pPr>
    </w:p>
    <w:p w14:paraId="5C43DDDB" w14:textId="77777777" w:rsidR="005134AB" w:rsidRPr="00D80548" w:rsidRDefault="005134AB" w:rsidP="005134AB">
      <w:pPr>
        <w:autoSpaceDE w:val="0"/>
        <w:autoSpaceDN w:val="0"/>
        <w:adjustRightInd w:val="0"/>
        <w:spacing w:after="0" w:line="276" w:lineRule="auto"/>
        <w:ind w:left="567" w:right="843"/>
        <w:jc w:val="center"/>
        <w:rPr>
          <w:rFonts w:ascii="Palatino Linotype" w:hAnsi="Palatino Linotype" w:cs="Tahoma"/>
          <w:b/>
          <w:i/>
          <w:color w:val="000000"/>
          <w:lang w:val="es-ES"/>
        </w:rPr>
      </w:pPr>
      <w:r w:rsidRPr="00D80548">
        <w:rPr>
          <w:rFonts w:ascii="Palatino Linotype" w:hAnsi="Palatino Linotype" w:cs="Tahoma"/>
          <w:b/>
          <w:i/>
          <w:color w:val="000000"/>
          <w:lang w:val="es-ES"/>
        </w:rPr>
        <w:t>Ley General de Transparencia y Acceso a la Información Pública</w:t>
      </w:r>
    </w:p>
    <w:p w14:paraId="32A2FAB1" w14:textId="77777777" w:rsidR="005134AB" w:rsidRPr="00D80548" w:rsidRDefault="005134AB" w:rsidP="005134AB">
      <w:pPr>
        <w:autoSpaceDE w:val="0"/>
        <w:autoSpaceDN w:val="0"/>
        <w:adjustRightInd w:val="0"/>
        <w:spacing w:after="0" w:line="276" w:lineRule="auto"/>
        <w:ind w:left="567" w:right="843"/>
        <w:jc w:val="both"/>
        <w:rPr>
          <w:rFonts w:ascii="Palatino Linotype" w:hAnsi="Palatino Linotype" w:cs="Tahoma"/>
          <w:bCs/>
          <w:i/>
          <w:color w:val="000000"/>
        </w:rPr>
      </w:pPr>
    </w:p>
    <w:p w14:paraId="317833DD" w14:textId="77777777" w:rsidR="005134AB" w:rsidRPr="00D80548" w:rsidRDefault="005134AB" w:rsidP="005134AB">
      <w:pPr>
        <w:autoSpaceDE w:val="0"/>
        <w:autoSpaceDN w:val="0"/>
        <w:adjustRightInd w:val="0"/>
        <w:spacing w:after="0" w:line="276" w:lineRule="auto"/>
        <w:ind w:left="567" w:right="843"/>
        <w:jc w:val="both"/>
        <w:rPr>
          <w:rFonts w:ascii="Palatino Linotype" w:hAnsi="Palatino Linotype"/>
          <w:i/>
        </w:rPr>
      </w:pPr>
      <w:r w:rsidRPr="00D80548">
        <w:rPr>
          <w:rFonts w:ascii="Palatino Linotype" w:hAnsi="Palatino Linotype"/>
          <w:b/>
          <w:bCs/>
          <w:i/>
        </w:rPr>
        <w:t>Artículo 70.</w:t>
      </w:r>
      <w:r w:rsidRPr="00D80548">
        <w:rPr>
          <w:rFonts w:ascii="Palatino Linotype" w:hAnsi="Palatino Linotype"/>
          <w:i/>
        </w:rPr>
        <w:t xml:space="preserve">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14:paraId="6B6A7DC6" w14:textId="77777777" w:rsidR="005134AB" w:rsidRPr="00D80548" w:rsidRDefault="005134AB" w:rsidP="005134AB">
      <w:pPr>
        <w:autoSpaceDE w:val="0"/>
        <w:autoSpaceDN w:val="0"/>
        <w:adjustRightInd w:val="0"/>
        <w:spacing w:after="0" w:line="276" w:lineRule="auto"/>
        <w:ind w:left="567" w:right="843"/>
        <w:jc w:val="both"/>
        <w:rPr>
          <w:rFonts w:ascii="Palatino Linotype" w:hAnsi="Palatino Linotype"/>
          <w:i/>
        </w:rPr>
      </w:pPr>
      <w:r w:rsidRPr="00D80548">
        <w:rPr>
          <w:rFonts w:ascii="Palatino Linotype" w:hAnsi="Palatino Linotype"/>
          <w:i/>
        </w:rPr>
        <w:t>…</w:t>
      </w:r>
    </w:p>
    <w:p w14:paraId="6F68029F" w14:textId="77777777" w:rsidR="005134AB" w:rsidRPr="00D80548" w:rsidRDefault="005134AB" w:rsidP="005134AB">
      <w:pPr>
        <w:spacing w:after="0" w:line="276" w:lineRule="auto"/>
        <w:ind w:left="567" w:right="843"/>
        <w:jc w:val="both"/>
        <w:rPr>
          <w:rFonts w:ascii="Palatino Linotype" w:hAnsi="Palatino Linotype"/>
          <w:i/>
        </w:rPr>
      </w:pPr>
      <w:r w:rsidRPr="00D80548">
        <w:rPr>
          <w:rFonts w:ascii="Palatino Linotype" w:hAnsi="Palatino Linotype"/>
          <w:i/>
        </w:rPr>
        <w:t xml:space="preserve">VIII. La remuneración bruta y neta de todos los Servidores Públicos de base o de confianza, de todas las percepciones, incluyendo sueldos, prestaciones, gratificaciones, </w:t>
      </w:r>
      <w:r w:rsidRPr="00D80548">
        <w:rPr>
          <w:rFonts w:ascii="Palatino Linotype" w:hAnsi="Palatino Linotype"/>
          <w:i/>
        </w:rPr>
        <w:lastRenderedPageBreak/>
        <w:t>primas, comisiones, dietas, bonos, estímulos, ingresos y sistemas de compensación, señalando la periodicidad de dicha remuneración;</w:t>
      </w:r>
    </w:p>
    <w:p w14:paraId="04398AF9" w14:textId="77777777" w:rsidR="005134AB" w:rsidRPr="00D80548" w:rsidRDefault="005134AB" w:rsidP="005134AB">
      <w:pPr>
        <w:spacing w:after="0" w:line="276" w:lineRule="auto"/>
        <w:ind w:left="567" w:right="843"/>
        <w:jc w:val="both"/>
        <w:rPr>
          <w:rFonts w:ascii="Palatino Linotype" w:eastAsia="Palatino Linotype" w:hAnsi="Palatino Linotype" w:cs="Palatino Linotype"/>
          <w:i/>
        </w:rPr>
      </w:pPr>
      <w:r w:rsidRPr="00D80548">
        <w:rPr>
          <w:rFonts w:ascii="Palatino Linotype" w:hAnsi="Palatino Linotype"/>
          <w:i/>
        </w:rPr>
        <w:t>…</w:t>
      </w:r>
    </w:p>
    <w:p w14:paraId="2E9513A7" w14:textId="77777777" w:rsidR="005134AB" w:rsidRPr="00D80548" w:rsidRDefault="005134AB" w:rsidP="005134AB">
      <w:pPr>
        <w:spacing w:after="0" w:line="276" w:lineRule="auto"/>
        <w:ind w:left="567" w:right="843"/>
        <w:jc w:val="both"/>
        <w:rPr>
          <w:rFonts w:ascii="Palatino Linotype" w:eastAsia="Palatino Linotype" w:hAnsi="Palatino Linotype" w:cs="Palatino Linotype"/>
          <w:i/>
        </w:rPr>
      </w:pPr>
    </w:p>
    <w:p w14:paraId="281FB30E" w14:textId="77777777" w:rsidR="005134AB" w:rsidRPr="0098482D" w:rsidRDefault="005134AB" w:rsidP="005134AB">
      <w:pPr>
        <w:spacing w:after="0" w:line="276" w:lineRule="auto"/>
        <w:ind w:left="567" w:right="843"/>
        <w:jc w:val="center"/>
        <w:rPr>
          <w:rFonts w:ascii="Palatino Linotype" w:hAnsi="Palatino Linotype" w:cs="Tahoma"/>
          <w:b/>
          <w:i/>
          <w:color w:val="000000"/>
          <w:sz w:val="24"/>
          <w:szCs w:val="24"/>
          <w:lang w:val="es-ES"/>
        </w:rPr>
      </w:pPr>
      <w:r w:rsidRPr="0098482D">
        <w:rPr>
          <w:rFonts w:ascii="Palatino Linotype" w:hAnsi="Palatino Linotype" w:cs="Tahoma"/>
          <w:b/>
          <w:i/>
          <w:color w:val="000000"/>
          <w:sz w:val="24"/>
          <w:szCs w:val="24"/>
          <w:lang w:val="es-ES"/>
        </w:rPr>
        <w:t>Ley de Transparencia y Acceso a la Información Pública del Estado de México y Municipios</w:t>
      </w:r>
    </w:p>
    <w:p w14:paraId="6324DB34" w14:textId="77777777" w:rsidR="005134AB" w:rsidRPr="0098482D" w:rsidRDefault="005134AB" w:rsidP="005134AB">
      <w:pPr>
        <w:spacing w:after="0" w:line="276" w:lineRule="auto"/>
        <w:ind w:left="567" w:right="843"/>
        <w:jc w:val="both"/>
        <w:rPr>
          <w:rFonts w:ascii="Palatino Linotype" w:eastAsia="Palatino Linotype" w:hAnsi="Palatino Linotype" w:cs="Palatino Linotype"/>
          <w:i/>
          <w:sz w:val="24"/>
          <w:szCs w:val="24"/>
        </w:rPr>
      </w:pPr>
    </w:p>
    <w:p w14:paraId="17FA3FCC" w14:textId="77777777" w:rsidR="005134AB" w:rsidRPr="0098482D" w:rsidRDefault="005134AB" w:rsidP="005134AB">
      <w:pPr>
        <w:spacing w:after="0" w:line="276" w:lineRule="auto"/>
        <w:ind w:left="567" w:right="843"/>
        <w:jc w:val="both"/>
        <w:rPr>
          <w:rFonts w:ascii="Palatino Linotype" w:eastAsia="Palatino Linotype" w:hAnsi="Palatino Linotype" w:cs="Palatino Linotype"/>
          <w:i/>
          <w:sz w:val="24"/>
          <w:szCs w:val="24"/>
        </w:rPr>
      </w:pPr>
      <w:r w:rsidRPr="0098482D">
        <w:rPr>
          <w:rFonts w:ascii="Palatino Linotype" w:hAnsi="Palatino Linotype"/>
          <w:b/>
          <w:bCs/>
          <w:i/>
        </w:rPr>
        <w:t>Artículo 92.</w:t>
      </w:r>
      <w:r w:rsidRPr="0098482D">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66E29C8" w14:textId="77777777" w:rsidR="005134AB" w:rsidRPr="0098482D" w:rsidRDefault="005134AB" w:rsidP="005134AB">
      <w:pPr>
        <w:spacing w:after="0" w:line="276" w:lineRule="auto"/>
        <w:ind w:left="567" w:right="843"/>
        <w:jc w:val="both"/>
        <w:rPr>
          <w:rFonts w:ascii="Palatino Linotype" w:eastAsia="Palatino Linotype" w:hAnsi="Palatino Linotype" w:cs="Palatino Linotype"/>
          <w:i/>
          <w:sz w:val="24"/>
          <w:szCs w:val="24"/>
        </w:rPr>
      </w:pPr>
      <w:r w:rsidRPr="0098482D">
        <w:rPr>
          <w:rFonts w:ascii="Palatino Linotype" w:eastAsia="Palatino Linotype" w:hAnsi="Palatino Linotype" w:cs="Palatino Linotype"/>
          <w:i/>
          <w:sz w:val="24"/>
          <w:szCs w:val="24"/>
        </w:rPr>
        <w:t>…</w:t>
      </w:r>
    </w:p>
    <w:p w14:paraId="7B45D217" w14:textId="77777777" w:rsidR="005134AB" w:rsidRPr="0098482D" w:rsidRDefault="005134AB" w:rsidP="005134AB">
      <w:pPr>
        <w:spacing w:after="0" w:line="276" w:lineRule="auto"/>
        <w:ind w:left="567" w:right="843"/>
        <w:jc w:val="both"/>
        <w:rPr>
          <w:rFonts w:ascii="Palatino Linotype" w:eastAsia="Palatino Linotype" w:hAnsi="Palatino Linotype" w:cs="Palatino Linotype"/>
          <w:i/>
          <w:sz w:val="24"/>
          <w:szCs w:val="24"/>
        </w:rPr>
      </w:pPr>
      <w:r w:rsidRPr="0098482D">
        <w:rPr>
          <w:rFonts w:ascii="Palatino Linotype" w:hAnsi="Palatino Linotype"/>
          <w:i/>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4099C70C" w14:textId="77777777" w:rsidR="005134AB" w:rsidRDefault="005134AB" w:rsidP="005134AB">
      <w:pPr>
        <w:spacing w:after="0" w:line="276" w:lineRule="auto"/>
        <w:ind w:left="567" w:right="843"/>
        <w:jc w:val="both"/>
        <w:rPr>
          <w:rFonts w:ascii="Palatino Linotype" w:eastAsia="Palatino Linotype" w:hAnsi="Palatino Linotype" w:cs="Palatino Linotype"/>
          <w:i/>
          <w:sz w:val="24"/>
          <w:szCs w:val="24"/>
        </w:rPr>
      </w:pPr>
      <w:r w:rsidRPr="0098482D">
        <w:rPr>
          <w:rFonts w:ascii="Palatino Linotype" w:eastAsia="Palatino Linotype" w:hAnsi="Palatino Linotype" w:cs="Palatino Linotype"/>
          <w:i/>
          <w:sz w:val="24"/>
          <w:szCs w:val="24"/>
        </w:rPr>
        <w:t>…</w:t>
      </w:r>
    </w:p>
    <w:p w14:paraId="6DF0A6AE" w14:textId="77777777" w:rsidR="0098482D" w:rsidRPr="0098482D" w:rsidRDefault="0098482D" w:rsidP="0098482D">
      <w:pPr>
        <w:spacing w:after="0" w:line="276" w:lineRule="auto"/>
        <w:ind w:left="567" w:right="843"/>
        <w:jc w:val="both"/>
        <w:rPr>
          <w:rFonts w:ascii="Palatino Linotype" w:eastAsia="Palatino Linotype" w:hAnsi="Palatino Linotype" w:cs="Palatino Linotype"/>
          <w:i/>
          <w:sz w:val="24"/>
          <w:szCs w:val="24"/>
        </w:rPr>
      </w:pPr>
    </w:p>
    <w:p w14:paraId="41B21F14" w14:textId="72E7AAAF" w:rsidR="005134AB" w:rsidRDefault="0098482D">
      <w:pPr>
        <w:spacing w:after="0" w:line="360" w:lineRule="auto"/>
        <w:ind w:right="49"/>
        <w:jc w:val="both"/>
        <w:rPr>
          <w:rFonts w:ascii="Palatino Linotype" w:eastAsia="Palatino Linotype" w:hAnsi="Palatino Linotype" w:cs="Palatino Linotype"/>
          <w:sz w:val="24"/>
          <w:szCs w:val="24"/>
        </w:rPr>
      </w:pPr>
      <w:r w:rsidRPr="005134AB">
        <w:rPr>
          <w:rFonts w:ascii="Palatino Linotype" w:eastAsia="Palatino Linotype" w:hAnsi="Palatino Linotype" w:cs="Palatino Linotype"/>
          <w:sz w:val="24"/>
          <w:szCs w:val="24"/>
        </w:rPr>
        <w:t xml:space="preserve">Ahora bien, en relación con </w:t>
      </w:r>
      <w:r w:rsidR="005134AB" w:rsidRPr="005134AB">
        <w:rPr>
          <w:rFonts w:ascii="Palatino Linotype" w:eastAsia="Palatino Linotype" w:hAnsi="Palatino Linotype" w:cs="Palatino Linotype"/>
          <w:sz w:val="24"/>
          <w:szCs w:val="24"/>
        </w:rPr>
        <w:t>el Sujeto O</w:t>
      </w:r>
      <w:r w:rsidR="005134AB">
        <w:rPr>
          <w:rFonts w:ascii="Palatino Linotype" w:eastAsia="Palatino Linotype" w:hAnsi="Palatino Linotype" w:cs="Palatino Linotype"/>
          <w:sz w:val="24"/>
          <w:szCs w:val="24"/>
        </w:rPr>
        <w:t xml:space="preserve">bligado que ahora nos ocupa, la Ley de la Universidad Autónoma del Estado de México, establece en su artículo 1 que es un organismo público descentralizado del Estado de México, con personalidad jurídica y patrimonio propio, dotada de plena autonomía en su régimen interior en todo lo concerniente a sus aspectos académicos, técnicos, de gobierno, administrativo y económico. </w:t>
      </w:r>
    </w:p>
    <w:p w14:paraId="17ADA874" w14:textId="77777777" w:rsidR="00730163" w:rsidRDefault="00730163">
      <w:pPr>
        <w:spacing w:after="0" w:line="360" w:lineRule="auto"/>
        <w:ind w:right="49"/>
        <w:jc w:val="both"/>
        <w:rPr>
          <w:rFonts w:ascii="Palatino Linotype" w:eastAsia="Palatino Linotype" w:hAnsi="Palatino Linotype" w:cs="Palatino Linotype"/>
          <w:sz w:val="24"/>
          <w:szCs w:val="24"/>
        </w:rPr>
      </w:pPr>
    </w:p>
    <w:p w14:paraId="59BF0353" w14:textId="42819D27" w:rsidR="001F0EA1" w:rsidRDefault="001F0EA1">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ese sentido, de acuerdo con el Estatuto Universitario de la Universidad A</w:t>
      </w:r>
      <w:r w:rsidR="005740A2">
        <w:rPr>
          <w:rFonts w:ascii="Palatino Linotype" w:eastAsia="Palatino Linotype" w:hAnsi="Palatino Linotype" w:cs="Palatino Linotype"/>
          <w:sz w:val="24"/>
          <w:szCs w:val="24"/>
        </w:rPr>
        <w:t xml:space="preserve">utónoma del Estado de México, se establece en su artículo 134 lo siguiente: </w:t>
      </w:r>
    </w:p>
    <w:p w14:paraId="0176A9C7" w14:textId="77777777" w:rsidR="005740A2" w:rsidRDefault="005740A2">
      <w:pPr>
        <w:spacing w:after="0" w:line="360" w:lineRule="auto"/>
        <w:ind w:right="49"/>
        <w:jc w:val="both"/>
        <w:rPr>
          <w:rFonts w:ascii="Palatino Linotype" w:eastAsia="Palatino Linotype" w:hAnsi="Palatino Linotype" w:cs="Palatino Linotype"/>
          <w:sz w:val="24"/>
          <w:szCs w:val="24"/>
        </w:rPr>
      </w:pPr>
    </w:p>
    <w:p w14:paraId="4CFA7B2E" w14:textId="77777777" w:rsidR="005740A2" w:rsidRDefault="005740A2" w:rsidP="005740A2">
      <w:pPr>
        <w:spacing w:after="0" w:line="276" w:lineRule="auto"/>
        <w:ind w:left="567" w:right="843"/>
        <w:jc w:val="both"/>
        <w:rPr>
          <w:rFonts w:ascii="Palatino Linotype" w:hAnsi="Palatino Linotype"/>
          <w:i/>
        </w:rPr>
      </w:pPr>
      <w:r w:rsidRPr="005740A2">
        <w:rPr>
          <w:rFonts w:ascii="Palatino Linotype" w:hAnsi="Palatino Linotype"/>
          <w:b/>
          <w:i/>
        </w:rPr>
        <w:lastRenderedPageBreak/>
        <w:t>Artículo 134.-</w:t>
      </w:r>
      <w:r w:rsidRPr="005740A2">
        <w:rPr>
          <w:rFonts w:ascii="Palatino Linotype" w:hAnsi="Palatino Linotype"/>
          <w:i/>
        </w:rPr>
        <w:t xml:space="preserve"> La Administración Central es la instancia de apoyo con que cuenta el Rector para la coordinación, dirección, seguimiento y evaluación de las actividades que coadyuvan al cumplimiento del objeto y fines institucionales. </w:t>
      </w:r>
    </w:p>
    <w:p w14:paraId="405BEB25" w14:textId="405462C3" w:rsidR="005740A2" w:rsidRPr="005740A2" w:rsidRDefault="005740A2" w:rsidP="005740A2">
      <w:pPr>
        <w:spacing w:after="0" w:line="276" w:lineRule="auto"/>
        <w:ind w:left="567" w:right="843"/>
        <w:jc w:val="both"/>
        <w:rPr>
          <w:rFonts w:ascii="Palatino Linotype" w:eastAsia="Palatino Linotype" w:hAnsi="Palatino Linotype" w:cs="Palatino Linotype"/>
          <w:b/>
          <w:i/>
          <w:sz w:val="24"/>
          <w:szCs w:val="24"/>
          <w:u w:val="single"/>
        </w:rPr>
      </w:pPr>
      <w:r w:rsidRPr="005740A2">
        <w:rPr>
          <w:rFonts w:ascii="Palatino Linotype" w:hAnsi="Palatino Linotype"/>
          <w:b/>
          <w:i/>
          <w:u w:val="single"/>
        </w:rPr>
        <w:t>Se integrará con Dependencias Administrativas que llevarán el nombre de Secretarías, Direcciones Generales, Coordinaciones Generales y Abogado General, las cuales contarán con una jerarquía de niveles de delegación compuesta de Directores, Coordinadores y Jefes de Departamento o Unidad.</w:t>
      </w:r>
    </w:p>
    <w:p w14:paraId="3C8BEBD1" w14:textId="77777777" w:rsidR="005134AB" w:rsidRPr="005134AB" w:rsidRDefault="005134AB">
      <w:pPr>
        <w:spacing w:after="0" w:line="360" w:lineRule="auto"/>
        <w:ind w:right="49"/>
        <w:jc w:val="both"/>
        <w:rPr>
          <w:rFonts w:ascii="Palatino Linotype" w:eastAsia="Palatino Linotype" w:hAnsi="Palatino Linotype" w:cs="Palatino Linotype"/>
          <w:sz w:val="24"/>
          <w:szCs w:val="24"/>
        </w:rPr>
      </w:pPr>
    </w:p>
    <w:p w14:paraId="5FF2DA93" w14:textId="77777777" w:rsidR="005740A2" w:rsidRDefault="005740A2">
      <w:pPr>
        <w:spacing w:after="0" w:line="360" w:lineRule="auto"/>
        <w:ind w:right="49"/>
        <w:jc w:val="both"/>
        <w:rPr>
          <w:rFonts w:ascii="Palatino Linotype" w:eastAsia="Palatino Linotype" w:hAnsi="Palatino Linotype" w:cs="Palatino Linotype"/>
          <w:sz w:val="24"/>
          <w:szCs w:val="24"/>
        </w:rPr>
      </w:pPr>
      <w:r w:rsidRPr="005740A2">
        <w:rPr>
          <w:rFonts w:ascii="Palatino Linotype" w:eastAsia="Palatino Linotype" w:hAnsi="Palatino Linotype" w:cs="Palatino Linotype"/>
          <w:sz w:val="24"/>
          <w:szCs w:val="24"/>
        </w:rPr>
        <w:t xml:space="preserve">Por </w:t>
      </w:r>
      <w:r>
        <w:rPr>
          <w:rFonts w:ascii="Palatino Linotype" w:eastAsia="Palatino Linotype" w:hAnsi="Palatino Linotype" w:cs="Palatino Linotype"/>
          <w:sz w:val="24"/>
          <w:szCs w:val="24"/>
        </w:rPr>
        <w:t>otro lado, el Reglamento de la Administración Universitaria de la Universidad Autónoma del Estado de México precisa que la administración central se conformará por las siguientes dependencias administrativas:</w:t>
      </w:r>
    </w:p>
    <w:p w14:paraId="6CB28D14" w14:textId="77777777" w:rsidR="005740A2" w:rsidRDefault="005740A2">
      <w:pPr>
        <w:spacing w:after="0" w:line="360" w:lineRule="auto"/>
        <w:ind w:right="49"/>
        <w:jc w:val="both"/>
        <w:rPr>
          <w:rFonts w:ascii="Palatino Linotype" w:eastAsia="Palatino Linotype" w:hAnsi="Palatino Linotype" w:cs="Palatino Linotype"/>
          <w:sz w:val="24"/>
          <w:szCs w:val="24"/>
        </w:rPr>
      </w:pPr>
    </w:p>
    <w:p w14:paraId="665F4ED1" w14:textId="77777777" w:rsidR="005740A2" w:rsidRPr="005740A2" w:rsidRDefault="005740A2" w:rsidP="005740A2">
      <w:pPr>
        <w:spacing w:after="0" w:line="276" w:lineRule="auto"/>
        <w:ind w:left="567" w:right="843"/>
        <w:jc w:val="both"/>
        <w:rPr>
          <w:rFonts w:ascii="Palatino Linotype" w:hAnsi="Palatino Linotype"/>
          <w:b/>
          <w:i/>
          <w:u w:val="single"/>
        </w:rPr>
      </w:pPr>
      <w:r w:rsidRPr="005740A2">
        <w:rPr>
          <w:rFonts w:ascii="Palatino Linotype" w:hAnsi="Palatino Linotype"/>
          <w:b/>
          <w:i/>
          <w:u w:val="single"/>
        </w:rPr>
        <w:t>Artículo 10. La Administración Central</w:t>
      </w:r>
      <w:r w:rsidRPr="005740A2">
        <w:rPr>
          <w:rFonts w:ascii="Palatino Linotype" w:hAnsi="Palatino Linotype"/>
          <w:i/>
          <w:u w:val="single"/>
        </w:rPr>
        <w:t xml:space="preserve"> </w:t>
      </w:r>
      <w:r w:rsidRPr="005740A2">
        <w:rPr>
          <w:rFonts w:ascii="Palatino Linotype" w:hAnsi="Palatino Linotype"/>
          <w:b/>
          <w:i/>
          <w:u w:val="single"/>
        </w:rPr>
        <w:t xml:space="preserve">se conforma por las Dependencias Administrativas siguientes: </w:t>
      </w:r>
    </w:p>
    <w:p w14:paraId="792FE04B" w14:textId="77777777" w:rsidR="005740A2" w:rsidRPr="005740A2" w:rsidRDefault="005740A2" w:rsidP="005740A2">
      <w:pPr>
        <w:spacing w:after="0" w:line="276" w:lineRule="auto"/>
        <w:ind w:left="567" w:right="843"/>
        <w:jc w:val="both"/>
        <w:rPr>
          <w:rFonts w:ascii="Palatino Linotype" w:hAnsi="Palatino Linotype"/>
          <w:i/>
        </w:rPr>
      </w:pPr>
      <w:r w:rsidRPr="005740A2">
        <w:rPr>
          <w:rFonts w:ascii="Palatino Linotype" w:hAnsi="Palatino Linotype"/>
          <w:i/>
        </w:rPr>
        <w:t xml:space="preserve">I. Oficina de Rectoría. </w:t>
      </w:r>
    </w:p>
    <w:p w14:paraId="2947A9AB" w14:textId="77777777" w:rsidR="005740A2" w:rsidRPr="005740A2" w:rsidRDefault="005740A2" w:rsidP="005740A2">
      <w:pPr>
        <w:spacing w:after="0" w:line="276" w:lineRule="auto"/>
        <w:ind w:left="567" w:right="843"/>
        <w:jc w:val="both"/>
        <w:rPr>
          <w:rFonts w:ascii="Palatino Linotype" w:hAnsi="Palatino Linotype"/>
          <w:i/>
        </w:rPr>
      </w:pPr>
      <w:r w:rsidRPr="005740A2">
        <w:rPr>
          <w:rFonts w:ascii="Palatino Linotype" w:hAnsi="Palatino Linotype"/>
          <w:i/>
        </w:rPr>
        <w:t xml:space="preserve">II. Secretaría de Docencia. </w:t>
      </w:r>
    </w:p>
    <w:p w14:paraId="7E4655AF" w14:textId="77777777" w:rsidR="005740A2" w:rsidRPr="005740A2" w:rsidRDefault="005740A2" w:rsidP="005740A2">
      <w:pPr>
        <w:spacing w:after="0" w:line="276" w:lineRule="auto"/>
        <w:ind w:left="567" w:right="843"/>
        <w:jc w:val="both"/>
        <w:rPr>
          <w:rFonts w:ascii="Palatino Linotype" w:hAnsi="Palatino Linotype"/>
          <w:i/>
        </w:rPr>
      </w:pPr>
      <w:r w:rsidRPr="005740A2">
        <w:rPr>
          <w:rFonts w:ascii="Palatino Linotype" w:hAnsi="Palatino Linotype"/>
          <w:i/>
        </w:rPr>
        <w:t xml:space="preserve">III. Secretaría de Investigación y Estudios Avanzados. </w:t>
      </w:r>
    </w:p>
    <w:p w14:paraId="44873C52" w14:textId="77777777" w:rsidR="005740A2" w:rsidRPr="005740A2" w:rsidRDefault="005740A2" w:rsidP="005740A2">
      <w:pPr>
        <w:spacing w:after="0" w:line="276" w:lineRule="auto"/>
        <w:ind w:left="567" w:right="843"/>
        <w:jc w:val="both"/>
        <w:rPr>
          <w:rFonts w:ascii="Palatino Linotype" w:hAnsi="Palatino Linotype"/>
          <w:i/>
        </w:rPr>
      </w:pPr>
      <w:r w:rsidRPr="005740A2">
        <w:rPr>
          <w:rFonts w:ascii="Palatino Linotype" w:hAnsi="Palatino Linotype"/>
          <w:i/>
        </w:rPr>
        <w:t xml:space="preserve">IV. Secretaría de Rectoría. </w:t>
      </w:r>
    </w:p>
    <w:p w14:paraId="10CF32BB" w14:textId="1321EE6F" w:rsidR="005740A2" w:rsidRPr="005740A2" w:rsidRDefault="005740A2" w:rsidP="005740A2">
      <w:pPr>
        <w:spacing w:after="0" w:line="276" w:lineRule="auto"/>
        <w:ind w:left="567" w:right="843"/>
        <w:jc w:val="both"/>
        <w:rPr>
          <w:rFonts w:ascii="Palatino Linotype" w:hAnsi="Palatino Linotype"/>
          <w:i/>
        </w:rPr>
      </w:pPr>
      <w:r w:rsidRPr="005740A2">
        <w:rPr>
          <w:rFonts w:ascii="Palatino Linotype" w:hAnsi="Palatino Linotype"/>
          <w:i/>
        </w:rPr>
        <w:t xml:space="preserve">V. Secretaría de Difusión Cultural. </w:t>
      </w:r>
    </w:p>
    <w:p w14:paraId="17C4C73B" w14:textId="77777777" w:rsidR="005740A2" w:rsidRPr="005740A2" w:rsidRDefault="005740A2" w:rsidP="005740A2">
      <w:pPr>
        <w:spacing w:after="0" w:line="276" w:lineRule="auto"/>
        <w:ind w:left="567" w:right="843"/>
        <w:jc w:val="both"/>
        <w:rPr>
          <w:rFonts w:ascii="Palatino Linotype" w:hAnsi="Palatino Linotype"/>
          <w:i/>
        </w:rPr>
      </w:pPr>
      <w:r w:rsidRPr="005740A2">
        <w:rPr>
          <w:rFonts w:ascii="Palatino Linotype" w:hAnsi="Palatino Linotype"/>
          <w:i/>
        </w:rPr>
        <w:t xml:space="preserve">VI. Secretaría de Extensión y Vinculación. </w:t>
      </w:r>
    </w:p>
    <w:p w14:paraId="11FAAE81" w14:textId="77777777" w:rsidR="005740A2" w:rsidRPr="005740A2" w:rsidRDefault="005740A2" w:rsidP="005740A2">
      <w:pPr>
        <w:spacing w:after="0" w:line="276" w:lineRule="auto"/>
        <w:ind w:left="567" w:right="843"/>
        <w:jc w:val="both"/>
        <w:rPr>
          <w:rFonts w:ascii="Palatino Linotype" w:hAnsi="Palatino Linotype"/>
          <w:b/>
          <w:i/>
          <w:u w:val="single"/>
        </w:rPr>
      </w:pPr>
      <w:r w:rsidRPr="005740A2">
        <w:rPr>
          <w:rFonts w:ascii="Palatino Linotype" w:hAnsi="Palatino Linotype"/>
          <w:b/>
          <w:i/>
          <w:u w:val="single"/>
        </w:rPr>
        <w:t xml:space="preserve">VII. Secretaría de Administración. </w:t>
      </w:r>
    </w:p>
    <w:p w14:paraId="39CADA8E" w14:textId="77777777" w:rsidR="005740A2" w:rsidRPr="005740A2" w:rsidRDefault="005740A2" w:rsidP="005740A2">
      <w:pPr>
        <w:spacing w:after="0" w:line="276" w:lineRule="auto"/>
        <w:ind w:left="567" w:right="843"/>
        <w:jc w:val="both"/>
        <w:rPr>
          <w:rFonts w:ascii="Palatino Linotype" w:hAnsi="Palatino Linotype"/>
          <w:i/>
        </w:rPr>
      </w:pPr>
      <w:r w:rsidRPr="005740A2">
        <w:rPr>
          <w:rFonts w:ascii="Palatino Linotype" w:hAnsi="Palatino Linotype"/>
          <w:i/>
        </w:rPr>
        <w:t xml:space="preserve">VIII. Secretaría de Planeación y Desarrollo Institucional. </w:t>
      </w:r>
    </w:p>
    <w:p w14:paraId="4BE626AF" w14:textId="77777777" w:rsidR="005740A2" w:rsidRPr="005740A2" w:rsidRDefault="005740A2" w:rsidP="005740A2">
      <w:pPr>
        <w:spacing w:after="0" w:line="276" w:lineRule="auto"/>
        <w:ind w:left="567" w:right="843"/>
        <w:jc w:val="both"/>
        <w:rPr>
          <w:rFonts w:ascii="Palatino Linotype" w:hAnsi="Palatino Linotype"/>
          <w:i/>
        </w:rPr>
      </w:pPr>
      <w:r w:rsidRPr="005740A2">
        <w:rPr>
          <w:rFonts w:ascii="Palatino Linotype" w:hAnsi="Palatino Linotype"/>
          <w:i/>
        </w:rPr>
        <w:t xml:space="preserve">IX. Derogada </w:t>
      </w:r>
    </w:p>
    <w:p w14:paraId="4D30B5D8" w14:textId="5766D6C6" w:rsidR="005740A2" w:rsidRPr="005740A2" w:rsidRDefault="005740A2" w:rsidP="005740A2">
      <w:pPr>
        <w:spacing w:after="0" w:line="276" w:lineRule="auto"/>
        <w:ind w:left="567" w:right="843"/>
        <w:jc w:val="both"/>
        <w:rPr>
          <w:rFonts w:ascii="Palatino Linotype" w:hAnsi="Palatino Linotype"/>
          <w:i/>
        </w:rPr>
      </w:pPr>
      <w:r w:rsidRPr="005740A2">
        <w:rPr>
          <w:rFonts w:ascii="Palatino Linotype" w:hAnsi="Palatino Linotype"/>
          <w:i/>
        </w:rPr>
        <w:t xml:space="preserve">X. Abogado General. </w:t>
      </w:r>
    </w:p>
    <w:p w14:paraId="1F4A438C" w14:textId="77777777" w:rsidR="005740A2" w:rsidRPr="005740A2" w:rsidRDefault="005740A2" w:rsidP="005740A2">
      <w:pPr>
        <w:spacing w:after="0" w:line="276" w:lineRule="auto"/>
        <w:ind w:left="567" w:right="843"/>
        <w:jc w:val="both"/>
        <w:rPr>
          <w:rFonts w:ascii="Palatino Linotype" w:hAnsi="Palatino Linotype"/>
          <w:i/>
        </w:rPr>
      </w:pPr>
      <w:r w:rsidRPr="005740A2">
        <w:rPr>
          <w:rFonts w:ascii="Palatino Linotype" w:hAnsi="Palatino Linotype"/>
          <w:i/>
        </w:rPr>
        <w:t xml:space="preserve">XI. Dirección General de Comunicación Universitaria. </w:t>
      </w:r>
    </w:p>
    <w:p w14:paraId="59302124" w14:textId="77777777" w:rsidR="005740A2" w:rsidRDefault="005740A2" w:rsidP="005740A2">
      <w:pPr>
        <w:spacing w:after="0" w:line="276" w:lineRule="auto"/>
        <w:ind w:left="567" w:right="843"/>
        <w:jc w:val="both"/>
        <w:rPr>
          <w:rFonts w:ascii="Palatino Linotype" w:hAnsi="Palatino Linotype"/>
          <w:i/>
        </w:rPr>
      </w:pPr>
      <w:r w:rsidRPr="005740A2">
        <w:rPr>
          <w:rFonts w:ascii="Palatino Linotype" w:hAnsi="Palatino Linotype"/>
          <w:i/>
        </w:rPr>
        <w:t xml:space="preserve">XII. Dirección General de Centros Universitarios y Unidades Académicas Profesionales. </w:t>
      </w:r>
    </w:p>
    <w:p w14:paraId="58953C38" w14:textId="77777777" w:rsidR="005740A2" w:rsidRDefault="005740A2" w:rsidP="005740A2">
      <w:pPr>
        <w:spacing w:after="0" w:line="276" w:lineRule="auto"/>
        <w:ind w:left="567" w:right="843"/>
        <w:jc w:val="both"/>
        <w:rPr>
          <w:rFonts w:ascii="Palatino Linotype" w:hAnsi="Palatino Linotype"/>
          <w:i/>
        </w:rPr>
      </w:pPr>
      <w:r w:rsidRPr="005740A2">
        <w:rPr>
          <w:rFonts w:ascii="Palatino Linotype" w:hAnsi="Palatino Linotype"/>
          <w:i/>
        </w:rPr>
        <w:t xml:space="preserve">XIII. Contraloría Universitaria. </w:t>
      </w:r>
    </w:p>
    <w:p w14:paraId="7FD0A44D" w14:textId="70341EB6" w:rsidR="005740A2" w:rsidRDefault="005740A2" w:rsidP="005740A2">
      <w:pPr>
        <w:spacing w:after="0" w:line="276" w:lineRule="auto"/>
        <w:ind w:left="567" w:right="843"/>
        <w:jc w:val="both"/>
        <w:rPr>
          <w:rFonts w:ascii="Palatino Linotype" w:hAnsi="Palatino Linotype"/>
          <w:i/>
        </w:rPr>
      </w:pPr>
      <w:r w:rsidRPr="005740A2">
        <w:rPr>
          <w:rFonts w:ascii="Palatino Linotype" w:hAnsi="Palatino Linotype"/>
          <w:i/>
        </w:rPr>
        <w:t xml:space="preserve">XIV. Secretaría Técnica del Gabinete Universitario. </w:t>
      </w:r>
    </w:p>
    <w:p w14:paraId="7F86F7D5" w14:textId="023C2A51" w:rsidR="005134AB" w:rsidRPr="005740A2" w:rsidRDefault="005740A2" w:rsidP="005740A2">
      <w:pPr>
        <w:spacing w:after="0" w:line="276" w:lineRule="auto"/>
        <w:ind w:left="567" w:right="843"/>
        <w:jc w:val="both"/>
        <w:rPr>
          <w:rFonts w:ascii="Palatino Linotype" w:eastAsia="Palatino Linotype" w:hAnsi="Palatino Linotype" w:cs="Palatino Linotype"/>
          <w:i/>
          <w:sz w:val="24"/>
          <w:szCs w:val="24"/>
        </w:rPr>
      </w:pPr>
      <w:r w:rsidRPr="005740A2">
        <w:rPr>
          <w:rFonts w:ascii="Palatino Linotype" w:hAnsi="Palatino Linotype"/>
          <w:i/>
        </w:rPr>
        <w:t>XV. Las demás que se acuerden en términos de la legislación universitaria</w:t>
      </w:r>
      <w:r w:rsidRPr="005740A2">
        <w:rPr>
          <w:rFonts w:ascii="Palatino Linotype" w:eastAsia="Palatino Linotype" w:hAnsi="Palatino Linotype" w:cs="Palatino Linotype"/>
          <w:i/>
          <w:sz w:val="24"/>
          <w:szCs w:val="24"/>
        </w:rPr>
        <w:t xml:space="preserve"> </w:t>
      </w:r>
    </w:p>
    <w:p w14:paraId="098525B4" w14:textId="77777777" w:rsidR="005740A2" w:rsidRPr="005740A2" w:rsidRDefault="005740A2" w:rsidP="005740A2">
      <w:pPr>
        <w:spacing w:after="0" w:line="276" w:lineRule="auto"/>
        <w:ind w:left="567" w:right="843"/>
        <w:jc w:val="both"/>
        <w:rPr>
          <w:rFonts w:ascii="Palatino Linotype" w:eastAsia="Palatino Linotype" w:hAnsi="Palatino Linotype" w:cs="Palatino Linotype"/>
          <w:i/>
          <w:sz w:val="24"/>
          <w:szCs w:val="24"/>
        </w:rPr>
      </w:pPr>
    </w:p>
    <w:p w14:paraId="04B5A8B8" w14:textId="47F7367C" w:rsidR="005740A2" w:rsidRDefault="005740A2">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De tal forma que, para el caso que ahora nos ocupa tenemos que los artículos 38, 39</w:t>
      </w:r>
      <w:r w:rsidR="000665F6">
        <w:rPr>
          <w:rFonts w:ascii="Palatino Linotype" w:eastAsia="Palatino Linotype" w:hAnsi="Palatino Linotype" w:cs="Palatino Linotype"/>
          <w:sz w:val="24"/>
          <w:szCs w:val="24"/>
        </w:rPr>
        <w:t xml:space="preserve">, </w:t>
      </w:r>
      <w:r>
        <w:rPr>
          <w:rFonts w:ascii="Palatino Linotype" w:eastAsia="Palatino Linotype" w:hAnsi="Palatino Linotype" w:cs="Palatino Linotype"/>
          <w:sz w:val="24"/>
          <w:szCs w:val="24"/>
        </w:rPr>
        <w:t xml:space="preserve">40 </w:t>
      </w:r>
      <w:r w:rsidR="000665F6">
        <w:rPr>
          <w:rFonts w:ascii="Palatino Linotype" w:eastAsia="Palatino Linotype" w:hAnsi="Palatino Linotype" w:cs="Palatino Linotype"/>
          <w:sz w:val="24"/>
          <w:szCs w:val="24"/>
        </w:rPr>
        <w:t xml:space="preserve">y 41 </w:t>
      </w:r>
      <w:r>
        <w:rPr>
          <w:rFonts w:ascii="Palatino Linotype" w:eastAsia="Palatino Linotype" w:hAnsi="Palatino Linotype" w:cs="Palatino Linotype"/>
          <w:sz w:val="24"/>
          <w:szCs w:val="24"/>
        </w:rPr>
        <w:t>del Reglamento de la Administración Universitaria de la Universidad Autónoma del Estado de México establecen lo siguiente:</w:t>
      </w:r>
    </w:p>
    <w:p w14:paraId="65499DAB" w14:textId="77777777" w:rsidR="005740A2" w:rsidRDefault="005740A2">
      <w:pPr>
        <w:spacing w:after="0" w:line="360" w:lineRule="auto"/>
        <w:ind w:right="49"/>
        <w:jc w:val="both"/>
        <w:rPr>
          <w:rFonts w:ascii="Palatino Linotype" w:eastAsia="Palatino Linotype" w:hAnsi="Palatino Linotype" w:cs="Palatino Linotype"/>
          <w:sz w:val="24"/>
          <w:szCs w:val="24"/>
        </w:rPr>
      </w:pPr>
    </w:p>
    <w:p w14:paraId="618358CC" w14:textId="5D56684F" w:rsidR="005740A2" w:rsidRPr="000665F6" w:rsidRDefault="005740A2" w:rsidP="005740A2">
      <w:pPr>
        <w:spacing w:after="0" w:line="276" w:lineRule="auto"/>
        <w:ind w:left="567" w:right="843"/>
        <w:jc w:val="both"/>
        <w:rPr>
          <w:rFonts w:ascii="Palatino Linotype" w:hAnsi="Palatino Linotype"/>
          <w:b/>
          <w:i/>
          <w:u w:val="single"/>
        </w:rPr>
      </w:pPr>
      <w:r w:rsidRPr="005740A2">
        <w:rPr>
          <w:rFonts w:ascii="Palatino Linotype" w:hAnsi="Palatino Linotype"/>
          <w:b/>
          <w:i/>
        </w:rPr>
        <w:t>Artículo 38.</w:t>
      </w:r>
      <w:r w:rsidRPr="005740A2">
        <w:rPr>
          <w:rFonts w:ascii="Palatino Linotype" w:hAnsi="Palatino Linotype"/>
          <w:i/>
        </w:rPr>
        <w:t xml:space="preserve"> La Secretaría de Administración es la dependencia encargada de contribuir al logro de los fines institucionales a través de la planeación, organización, suministro y control de los recursos materiales, financieros y técnicos, así como del </w:t>
      </w:r>
      <w:r w:rsidRPr="000665F6">
        <w:rPr>
          <w:rFonts w:ascii="Palatino Linotype" w:hAnsi="Palatino Linotype"/>
          <w:b/>
          <w:i/>
          <w:u w:val="single"/>
        </w:rPr>
        <w:t>personal necesario para dar respuesta a los requerimientos de la Universidad.</w:t>
      </w:r>
    </w:p>
    <w:p w14:paraId="0A7FA132" w14:textId="77777777" w:rsidR="005740A2" w:rsidRPr="005740A2" w:rsidRDefault="005740A2" w:rsidP="005740A2">
      <w:pPr>
        <w:spacing w:after="0" w:line="276" w:lineRule="auto"/>
        <w:ind w:left="567" w:right="843"/>
        <w:jc w:val="both"/>
        <w:rPr>
          <w:rFonts w:ascii="Palatino Linotype" w:hAnsi="Palatino Linotype"/>
          <w:i/>
        </w:rPr>
      </w:pPr>
    </w:p>
    <w:p w14:paraId="30532C7C" w14:textId="77777777" w:rsidR="005740A2" w:rsidRPr="000665F6" w:rsidRDefault="005740A2" w:rsidP="005740A2">
      <w:pPr>
        <w:spacing w:after="0" w:line="276" w:lineRule="auto"/>
        <w:ind w:left="567" w:right="843"/>
        <w:jc w:val="both"/>
        <w:rPr>
          <w:rFonts w:ascii="Palatino Linotype" w:hAnsi="Palatino Linotype"/>
          <w:b/>
          <w:i/>
        </w:rPr>
      </w:pPr>
      <w:r w:rsidRPr="000665F6">
        <w:rPr>
          <w:rFonts w:ascii="Palatino Linotype" w:hAnsi="Palatino Linotype"/>
          <w:b/>
          <w:i/>
        </w:rPr>
        <w:t xml:space="preserve">Artículo 39. La Secretaría de Administración tendrá las siguientes atribuciones y funciones: </w:t>
      </w:r>
    </w:p>
    <w:p w14:paraId="6D1A0E11" w14:textId="64D75FA2" w:rsidR="005740A2" w:rsidRPr="005740A2" w:rsidRDefault="005740A2" w:rsidP="005740A2">
      <w:pPr>
        <w:spacing w:after="0" w:line="276" w:lineRule="auto"/>
        <w:ind w:left="567" w:right="843"/>
        <w:jc w:val="both"/>
        <w:rPr>
          <w:rFonts w:ascii="Palatino Linotype" w:hAnsi="Palatino Linotype"/>
          <w:i/>
        </w:rPr>
      </w:pPr>
      <w:r w:rsidRPr="005740A2">
        <w:rPr>
          <w:rFonts w:ascii="Palatino Linotype" w:hAnsi="Palatino Linotype"/>
          <w:i/>
        </w:rPr>
        <w:t>…</w:t>
      </w:r>
    </w:p>
    <w:p w14:paraId="18FC850F" w14:textId="0B723A06" w:rsidR="005740A2" w:rsidRPr="005740A2" w:rsidRDefault="005740A2" w:rsidP="005740A2">
      <w:pPr>
        <w:spacing w:after="0" w:line="276" w:lineRule="auto"/>
        <w:ind w:left="567" w:right="843"/>
        <w:jc w:val="both"/>
        <w:rPr>
          <w:rFonts w:ascii="Palatino Linotype" w:hAnsi="Palatino Linotype"/>
          <w:i/>
        </w:rPr>
      </w:pPr>
      <w:r w:rsidRPr="005740A2">
        <w:rPr>
          <w:rFonts w:ascii="Palatino Linotype" w:hAnsi="Palatino Linotype"/>
          <w:i/>
        </w:rPr>
        <w:t xml:space="preserve">IV. Vigilar el cumplimiento de las disposiciones legales que rijan las relaciones laborales entre la Universidad y su personal; </w:t>
      </w:r>
    </w:p>
    <w:p w14:paraId="3828C222" w14:textId="6DF9D2B5" w:rsidR="005740A2" w:rsidRPr="005740A2" w:rsidRDefault="005740A2" w:rsidP="005740A2">
      <w:pPr>
        <w:spacing w:after="0" w:line="276" w:lineRule="auto"/>
        <w:ind w:left="567" w:right="843"/>
        <w:jc w:val="both"/>
        <w:rPr>
          <w:rFonts w:ascii="Palatino Linotype" w:hAnsi="Palatino Linotype"/>
          <w:i/>
        </w:rPr>
      </w:pPr>
      <w:r w:rsidRPr="005740A2">
        <w:rPr>
          <w:rFonts w:ascii="Palatino Linotype" w:hAnsi="Palatino Linotype"/>
          <w:i/>
        </w:rPr>
        <w:t>…</w:t>
      </w:r>
    </w:p>
    <w:p w14:paraId="260614B5" w14:textId="77777777" w:rsidR="005740A2" w:rsidRPr="005740A2" w:rsidRDefault="005740A2" w:rsidP="005740A2">
      <w:pPr>
        <w:spacing w:after="0" w:line="276" w:lineRule="auto"/>
        <w:ind w:left="567" w:right="843"/>
        <w:jc w:val="both"/>
        <w:rPr>
          <w:rFonts w:ascii="Palatino Linotype" w:hAnsi="Palatino Linotype"/>
          <w:i/>
        </w:rPr>
      </w:pPr>
      <w:r w:rsidRPr="005740A2">
        <w:rPr>
          <w:rFonts w:ascii="Palatino Linotype" w:hAnsi="Palatino Linotype"/>
          <w:i/>
        </w:rPr>
        <w:t xml:space="preserve">XII. Vigilar que se efectúen los pagos y erogaciones de fondos con cargo al presupuesto de egresos, conforme a los requisitos establecidos; </w:t>
      </w:r>
    </w:p>
    <w:p w14:paraId="2ADB2562" w14:textId="2FBD08D4" w:rsidR="005740A2" w:rsidRPr="005740A2" w:rsidRDefault="005740A2" w:rsidP="005740A2">
      <w:pPr>
        <w:spacing w:after="0" w:line="276" w:lineRule="auto"/>
        <w:ind w:left="567" w:right="843"/>
        <w:jc w:val="both"/>
        <w:rPr>
          <w:rFonts w:ascii="Palatino Linotype" w:hAnsi="Palatino Linotype"/>
          <w:i/>
        </w:rPr>
      </w:pPr>
      <w:r w:rsidRPr="005740A2">
        <w:rPr>
          <w:rFonts w:ascii="Palatino Linotype" w:hAnsi="Palatino Linotype"/>
          <w:i/>
        </w:rPr>
        <w:t>…</w:t>
      </w:r>
    </w:p>
    <w:p w14:paraId="02088C41" w14:textId="77777777" w:rsidR="005740A2" w:rsidRPr="005740A2" w:rsidRDefault="005740A2" w:rsidP="005740A2">
      <w:pPr>
        <w:spacing w:after="0" w:line="276" w:lineRule="auto"/>
        <w:ind w:left="567" w:right="843"/>
        <w:jc w:val="both"/>
        <w:rPr>
          <w:rFonts w:ascii="Palatino Linotype" w:hAnsi="Palatino Linotype"/>
          <w:i/>
        </w:rPr>
      </w:pPr>
      <w:r w:rsidRPr="005740A2">
        <w:rPr>
          <w:rFonts w:ascii="Palatino Linotype" w:hAnsi="Palatino Linotype"/>
          <w:i/>
        </w:rPr>
        <w:t>XIII. Avalar los lineamientos para el control contable y presupuestal de los movimientos financieros de la Universidad;</w:t>
      </w:r>
    </w:p>
    <w:p w14:paraId="36268BDE" w14:textId="446B8F3E" w:rsidR="005740A2" w:rsidRPr="005740A2" w:rsidRDefault="005740A2" w:rsidP="005740A2">
      <w:pPr>
        <w:spacing w:after="0" w:line="276" w:lineRule="auto"/>
        <w:ind w:left="567" w:right="843"/>
        <w:jc w:val="both"/>
        <w:rPr>
          <w:rFonts w:ascii="Palatino Linotype" w:hAnsi="Palatino Linotype"/>
          <w:i/>
        </w:rPr>
      </w:pPr>
      <w:r w:rsidRPr="005740A2">
        <w:rPr>
          <w:rFonts w:ascii="Palatino Linotype" w:hAnsi="Palatino Linotype"/>
          <w:i/>
        </w:rPr>
        <w:t>…</w:t>
      </w:r>
    </w:p>
    <w:p w14:paraId="6D630707" w14:textId="77777777" w:rsidR="005740A2" w:rsidRPr="005740A2" w:rsidRDefault="005740A2" w:rsidP="005740A2">
      <w:pPr>
        <w:spacing w:after="0" w:line="276" w:lineRule="auto"/>
        <w:ind w:left="567" w:right="843"/>
        <w:jc w:val="both"/>
        <w:rPr>
          <w:rFonts w:ascii="Palatino Linotype" w:hAnsi="Palatino Linotype"/>
          <w:i/>
        </w:rPr>
      </w:pPr>
    </w:p>
    <w:p w14:paraId="2472B6F6" w14:textId="77777777" w:rsidR="005740A2" w:rsidRDefault="005740A2" w:rsidP="005740A2">
      <w:pPr>
        <w:spacing w:after="0" w:line="276" w:lineRule="auto"/>
        <w:ind w:left="567" w:right="843"/>
        <w:jc w:val="both"/>
        <w:rPr>
          <w:rFonts w:ascii="Palatino Linotype" w:hAnsi="Palatino Linotype"/>
          <w:i/>
        </w:rPr>
      </w:pPr>
      <w:r w:rsidRPr="000665F6">
        <w:rPr>
          <w:rFonts w:ascii="Palatino Linotype" w:hAnsi="Palatino Linotype"/>
          <w:b/>
          <w:i/>
        </w:rPr>
        <w:t>Artículo 40.</w:t>
      </w:r>
      <w:r w:rsidRPr="005740A2">
        <w:rPr>
          <w:rFonts w:ascii="Palatino Linotype" w:hAnsi="Palatino Linotype"/>
          <w:i/>
        </w:rPr>
        <w:t xml:space="preserve"> La Secretaría de Administración, para el cumplimiento de su objetivo, se integrará con las siguientes Direcciones de Área y Fondo: </w:t>
      </w:r>
    </w:p>
    <w:p w14:paraId="27F74768" w14:textId="77777777" w:rsidR="000665F6" w:rsidRPr="005740A2" w:rsidRDefault="000665F6" w:rsidP="005740A2">
      <w:pPr>
        <w:spacing w:after="0" w:line="276" w:lineRule="auto"/>
        <w:ind w:left="567" w:right="843"/>
        <w:jc w:val="both"/>
        <w:rPr>
          <w:rFonts w:ascii="Palatino Linotype" w:hAnsi="Palatino Linotype"/>
          <w:i/>
        </w:rPr>
      </w:pPr>
    </w:p>
    <w:p w14:paraId="73787E0C" w14:textId="77777777" w:rsidR="005740A2" w:rsidRDefault="005740A2" w:rsidP="005740A2">
      <w:pPr>
        <w:spacing w:after="0" w:line="276" w:lineRule="auto"/>
        <w:ind w:left="567" w:right="843"/>
        <w:jc w:val="both"/>
        <w:rPr>
          <w:rFonts w:ascii="Palatino Linotype" w:hAnsi="Palatino Linotype"/>
          <w:i/>
        </w:rPr>
      </w:pPr>
      <w:r w:rsidRPr="005740A2">
        <w:rPr>
          <w:rFonts w:ascii="Palatino Linotype" w:hAnsi="Palatino Linotype"/>
          <w:i/>
          <w:u w:val="single"/>
        </w:rPr>
        <w:t>I. Dirección de Recursos Humanos</w:t>
      </w:r>
      <w:r w:rsidRPr="005740A2">
        <w:rPr>
          <w:rFonts w:ascii="Palatino Linotype" w:hAnsi="Palatino Linotype"/>
          <w:i/>
        </w:rPr>
        <w:t xml:space="preserve">. </w:t>
      </w:r>
    </w:p>
    <w:p w14:paraId="5D449290" w14:textId="73E5948B" w:rsidR="005740A2" w:rsidRDefault="005740A2" w:rsidP="005740A2">
      <w:pPr>
        <w:spacing w:after="0" w:line="276" w:lineRule="auto"/>
        <w:ind w:left="567" w:right="843"/>
        <w:jc w:val="both"/>
        <w:rPr>
          <w:rFonts w:ascii="Palatino Linotype" w:hAnsi="Palatino Linotype"/>
          <w:i/>
        </w:rPr>
      </w:pPr>
      <w:r>
        <w:rPr>
          <w:rFonts w:ascii="Palatino Linotype" w:hAnsi="Palatino Linotype"/>
          <w:i/>
        </w:rPr>
        <w:t>…</w:t>
      </w:r>
    </w:p>
    <w:p w14:paraId="547B1D9F" w14:textId="77777777" w:rsidR="000665F6" w:rsidRDefault="000665F6" w:rsidP="005740A2">
      <w:pPr>
        <w:spacing w:after="0" w:line="276" w:lineRule="auto"/>
        <w:ind w:left="567" w:right="843"/>
        <w:jc w:val="both"/>
        <w:rPr>
          <w:rFonts w:ascii="Palatino Linotype" w:hAnsi="Palatino Linotype"/>
          <w:i/>
        </w:rPr>
      </w:pPr>
    </w:p>
    <w:p w14:paraId="0ADFA131" w14:textId="77777777" w:rsidR="000665F6" w:rsidRDefault="000665F6" w:rsidP="005740A2">
      <w:pPr>
        <w:spacing w:after="0" w:line="276" w:lineRule="auto"/>
        <w:ind w:left="567" w:right="843"/>
        <w:jc w:val="both"/>
        <w:rPr>
          <w:rFonts w:ascii="Palatino Linotype" w:hAnsi="Palatino Linotype"/>
          <w:i/>
        </w:rPr>
      </w:pPr>
      <w:r w:rsidRPr="000665F6">
        <w:rPr>
          <w:rFonts w:ascii="Palatino Linotype" w:hAnsi="Palatino Linotype"/>
          <w:b/>
          <w:i/>
        </w:rPr>
        <w:t>Artículo 41</w:t>
      </w:r>
      <w:r w:rsidRPr="000665F6">
        <w:rPr>
          <w:rFonts w:ascii="Palatino Linotype" w:hAnsi="Palatino Linotype"/>
          <w:i/>
        </w:rPr>
        <w:t xml:space="preserve">. Las Direcciones de Área que integran la Secretaría de Administración tendrán los siguientes objetivos: </w:t>
      </w:r>
    </w:p>
    <w:p w14:paraId="305F3BD7" w14:textId="77777777" w:rsidR="000665F6" w:rsidRDefault="000665F6" w:rsidP="005740A2">
      <w:pPr>
        <w:spacing w:after="0" w:line="276" w:lineRule="auto"/>
        <w:ind w:left="567" w:right="843"/>
        <w:jc w:val="both"/>
        <w:rPr>
          <w:rFonts w:ascii="Palatino Linotype" w:hAnsi="Palatino Linotype"/>
          <w:i/>
        </w:rPr>
      </w:pPr>
    </w:p>
    <w:p w14:paraId="122C497C" w14:textId="40379BC2" w:rsidR="000665F6" w:rsidRPr="000665F6" w:rsidRDefault="000665F6" w:rsidP="005740A2">
      <w:pPr>
        <w:spacing w:after="0" w:line="276" w:lineRule="auto"/>
        <w:ind w:left="567" w:right="843"/>
        <w:jc w:val="both"/>
        <w:rPr>
          <w:rFonts w:ascii="Palatino Linotype" w:hAnsi="Palatino Linotype"/>
          <w:i/>
        </w:rPr>
      </w:pPr>
      <w:r w:rsidRPr="000665F6">
        <w:rPr>
          <w:rFonts w:ascii="Palatino Linotype" w:hAnsi="Palatino Linotype"/>
          <w:i/>
        </w:rPr>
        <w:lastRenderedPageBreak/>
        <w:t>I. La Dirección de Recursos Humanos: planificar, coordinar, dirigir y ejecutar las políticas, programas y procesos para la eficiente administración de los recursos humanos;</w:t>
      </w:r>
    </w:p>
    <w:p w14:paraId="309BB5AD" w14:textId="742A03C5" w:rsidR="000665F6" w:rsidRPr="000665F6" w:rsidRDefault="000665F6" w:rsidP="005740A2">
      <w:pPr>
        <w:spacing w:after="0" w:line="276" w:lineRule="auto"/>
        <w:ind w:left="567" w:right="843"/>
        <w:jc w:val="both"/>
        <w:rPr>
          <w:rFonts w:ascii="Palatino Linotype" w:hAnsi="Palatino Linotype"/>
          <w:i/>
        </w:rPr>
      </w:pPr>
      <w:r>
        <w:rPr>
          <w:rFonts w:ascii="Palatino Linotype" w:hAnsi="Palatino Linotype"/>
          <w:i/>
        </w:rPr>
        <w:t>…</w:t>
      </w:r>
    </w:p>
    <w:p w14:paraId="06646BF8" w14:textId="6E412DFF" w:rsidR="003355E2" w:rsidRDefault="003355E2" w:rsidP="000665F6">
      <w:pPr>
        <w:spacing w:after="0" w:line="360" w:lineRule="auto"/>
        <w:ind w:right="49"/>
        <w:jc w:val="both"/>
        <w:rPr>
          <w:rFonts w:ascii="Palatino Linotype" w:eastAsia="Palatino Linotype" w:hAnsi="Palatino Linotype" w:cs="Palatino Linotype"/>
          <w:sz w:val="24"/>
          <w:szCs w:val="24"/>
        </w:rPr>
      </w:pPr>
    </w:p>
    <w:p w14:paraId="40E6DBE0" w14:textId="6FC275CD" w:rsidR="00730163" w:rsidRPr="00730163" w:rsidRDefault="008E6C40" w:rsidP="00730163">
      <w:pPr>
        <w:spacing w:after="0" w:line="360" w:lineRule="auto"/>
        <w:ind w:right="49"/>
        <w:jc w:val="both"/>
        <w:rPr>
          <w:rFonts w:ascii="Palatino Linotype" w:eastAsia="Palatino Linotype" w:hAnsi="Palatino Linotype" w:cs="Palatino Linotype"/>
          <w:b/>
          <w:sz w:val="24"/>
          <w:szCs w:val="24"/>
          <w:u w:val="single"/>
        </w:rPr>
      </w:pPr>
      <w:r w:rsidRPr="00730163">
        <w:rPr>
          <w:rFonts w:ascii="Palatino Linotype" w:eastAsia="Palatino Linotype" w:hAnsi="Palatino Linotype" w:cs="Palatino Linotype"/>
          <w:b/>
          <w:sz w:val="24"/>
          <w:szCs w:val="24"/>
          <w:u w:val="single"/>
        </w:rPr>
        <w:t xml:space="preserve">De lo anterior, se colige que el Sujeto Obligado, cuenta con las competencias, facultades y atribuciones para conocer, administrar y generar la información </w:t>
      </w:r>
      <w:r w:rsidR="000665F6" w:rsidRPr="00730163">
        <w:rPr>
          <w:rFonts w:ascii="Palatino Linotype" w:eastAsia="Palatino Linotype" w:hAnsi="Palatino Linotype" w:cs="Palatino Linotype"/>
          <w:b/>
          <w:sz w:val="24"/>
          <w:szCs w:val="24"/>
          <w:u w:val="single"/>
        </w:rPr>
        <w:t xml:space="preserve">relacionada con </w:t>
      </w:r>
      <w:r w:rsidR="00730163" w:rsidRPr="00730163">
        <w:rPr>
          <w:rFonts w:ascii="Palatino Linotype" w:eastAsia="Palatino Linotype" w:hAnsi="Palatino Linotype" w:cs="Palatino Linotype"/>
          <w:b/>
          <w:sz w:val="24"/>
          <w:szCs w:val="24"/>
          <w:u w:val="single"/>
        </w:rPr>
        <w:t xml:space="preserve">los documentos de Firmas </w:t>
      </w:r>
      <w:r w:rsidR="00730163" w:rsidRPr="00730163">
        <w:rPr>
          <w:rFonts w:ascii="Palatino Linotype" w:eastAsia="Palatino Linotype" w:hAnsi="Palatino Linotype" w:cs="Palatino Linotype"/>
          <w:b/>
          <w:color w:val="000000"/>
          <w:sz w:val="24"/>
          <w:szCs w:val="24"/>
          <w:u w:val="single"/>
        </w:rPr>
        <w:t xml:space="preserve">por Lugar de Pago Personalizado de la primera quincena </w:t>
      </w:r>
      <w:r w:rsidR="00591B94">
        <w:rPr>
          <w:rFonts w:ascii="Palatino Linotype" w:eastAsia="Palatino Linotype" w:hAnsi="Palatino Linotype" w:cs="Palatino Linotype"/>
          <w:b/>
          <w:color w:val="000000"/>
          <w:sz w:val="24"/>
          <w:szCs w:val="24"/>
          <w:u w:val="single"/>
        </w:rPr>
        <w:t xml:space="preserve">de octubre de dos mil veintidós. </w:t>
      </w:r>
    </w:p>
    <w:p w14:paraId="33F2C683" w14:textId="77777777" w:rsidR="00730163" w:rsidRDefault="00730163">
      <w:pPr>
        <w:spacing w:after="0" w:line="360" w:lineRule="auto"/>
        <w:ind w:right="49"/>
        <w:jc w:val="both"/>
        <w:rPr>
          <w:rFonts w:ascii="Palatino Linotype" w:hAnsi="Palatino Linotype"/>
          <w:b/>
          <w:lang w:eastAsia="en-US"/>
        </w:rPr>
      </w:pPr>
    </w:p>
    <w:p w14:paraId="4587968C" w14:textId="319FB644" w:rsidR="00730163" w:rsidRDefault="008C55CC">
      <w:pPr>
        <w:spacing w:after="0" w:line="360" w:lineRule="auto"/>
        <w:ind w:right="49"/>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Ahora bien, </w:t>
      </w:r>
      <w:r w:rsidR="00730163">
        <w:rPr>
          <w:rFonts w:ascii="Palatino Linotype" w:eastAsia="Palatino Linotype" w:hAnsi="Palatino Linotype" w:cs="Palatino Linotype"/>
          <w:color w:val="000000"/>
          <w:sz w:val="24"/>
          <w:szCs w:val="24"/>
        </w:rPr>
        <w:t xml:space="preserve">en relación con el agravio hecho valer por el Recurrente, se tiene que este se inconformó arguyendo que la información enviada en respuesta correspondía a la Dirección de Recursos Humanos, dependencia de la cual no había solicitado información, es por lo que, en informe justificado el Sujeto Obligado aceptó haber enviado por error información que no correspondía con la pretensión del ahora Recurrente y enviando de nueva cuenta, los documentos s de la unidad administrativa solicitada. </w:t>
      </w:r>
    </w:p>
    <w:p w14:paraId="1094A58C" w14:textId="77777777" w:rsidR="00730163" w:rsidRDefault="00730163">
      <w:pPr>
        <w:spacing w:after="0" w:line="360" w:lineRule="auto"/>
        <w:ind w:right="49"/>
        <w:jc w:val="both"/>
        <w:rPr>
          <w:rFonts w:ascii="Palatino Linotype" w:eastAsia="Palatino Linotype" w:hAnsi="Palatino Linotype" w:cs="Palatino Linotype"/>
          <w:color w:val="000000"/>
          <w:sz w:val="24"/>
          <w:szCs w:val="24"/>
        </w:rPr>
      </w:pPr>
    </w:p>
    <w:p w14:paraId="57201057" w14:textId="249E73D0" w:rsidR="00730163" w:rsidRDefault="00730163">
      <w:pPr>
        <w:spacing w:after="0" w:line="360" w:lineRule="auto"/>
        <w:ind w:right="49"/>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No obstante, si bien, del análisis realizado al informe justificado se advirtió que los documentos corresponden a la Dirección de Transporte Universitario y Servicios Generales, también lo es que se apreció que se dejó visible un dato personal susceptible de ser clasificado como confidencial en términos de la fracción I del artículo 143 de la Ley de Transparencia y Acceso a la Información Pública del Estado de México y Municipios, el cual es el siguiente: </w:t>
      </w:r>
    </w:p>
    <w:p w14:paraId="340E534D" w14:textId="77777777" w:rsidR="00730163" w:rsidRDefault="00730163">
      <w:pPr>
        <w:spacing w:after="0" w:line="360" w:lineRule="auto"/>
        <w:ind w:right="49"/>
        <w:jc w:val="both"/>
        <w:rPr>
          <w:rFonts w:ascii="Palatino Linotype" w:eastAsia="Palatino Linotype" w:hAnsi="Palatino Linotype" w:cs="Palatino Linotype"/>
          <w:color w:val="000000"/>
          <w:sz w:val="24"/>
          <w:szCs w:val="24"/>
        </w:rPr>
      </w:pPr>
    </w:p>
    <w:p w14:paraId="093D0FD1" w14:textId="77777777" w:rsidR="00730163" w:rsidRPr="00320C33" w:rsidRDefault="00730163" w:rsidP="00730163">
      <w:pPr>
        <w:pStyle w:val="Prrafodelista"/>
        <w:numPr>
          <w:ilvl w:val="2"/>
          <w:numId w:val="8"/>
        </w:numPr>
        <w:tabs>
          <w:tab w:val="left" w:pos="851"/>
        </w:tabs>
        <w:spacing w:after="0" w:line="360" w:lineRule="auto"/>
        <w:ind w:left="567" w:right="49" w:firstLine="0"/>
        <w:jc w:val="both"/>
        <w:rPr>
          <w:rFonts w:ascii="Palatino Linotype" w:hAnsi="Palatino Linotype"/>
        </w:rPr>
      </w:pPr>
      <w:r w:rsidRPr="00320C33">
        <w:rPr>
          <w:rFonts w:ascii="Palatino Linotype" w:hAnsi="Palatino Linotype"/>
          <w:b/>
          <w:bCs/>
        </w:rPr>
        <w:lastRenderedPageBreak/>
        <w:t>Préstamos o descuentos que se le hagan a los servidores públicos (créditos personales, fondo de resistencia del Sindicato Único de Trabajadores de los Poderes, Municipios e Institución Descentralizadas del Estado de México, seguro de vida, accidentes y enfermedades, pensiones alimenticias).</w:t>
      </w:r>
      <w:r w:rsidRPr="00320C33">
        <w:rPr>
          <w:rFonts w:ascii="Palatino Linotype" w:hAnsi="Palatino Linotype"/>
        </w:rPr>
        <w:t xml:space="preserve"> Es necesario precisar que existen deducciones que se generan con motivo de una decisión libre y voluntaria de los servidores públicos, como son: créditos personales, fondo de resistencia del Sindicato Único de Trabajadores de los Poderes, Municipios e Institución Descentralizadas del Estado de México, seguro de vida, accidentes y enfermedades. </w:t>
      </w:r>
    </w:p>
    <w:p w14:paraId="0694831F" w14:textId="77777777" w:rsidR="00730163" w:rsidRPr="00320C33" w:rsidRDefault="00730163" w:rsidP="00730163">
      <w:pPr>
        <w:pStyle w:val="Prrafodelista"/>
        <w:tabs>
          <w:tab w:val="left" w:pos="851"/>
        </w:tabs>
        <w:spacing w:after="0" w:line="360" w:lineRule="auto"/>
        <w:ind w:left="567" w:right="49"/>
        <w:jc w:val="both"/>
        <w:rPr>
          <w:rFonts w:ascii="Palatino Linotype" w:hAnsi="Palatino Linotype"/>
        </w:rPr>
      </w:pPr>
      <w:r w:rsidRPr="00320C33">
        <w:rPr>
          <w:rFonts w:ascii="Palatino Linotype" w:hAnsi="Palatino Linotype"/>
        </w:rPr>
        <w:t xml:space="preserve">Asimismo, hay otras que se generan con motivo de una sentencia judicial, como es la pensión alimenticia que periódicamente se retira de la cuenta de un empleado, a efecto de que sea entregado a un tercero. </w:t>
      </w:r>
    </w:p>
    <w:p w14:paraId="0A76E69A" w14:textId="77777777" w:rsidR="00730163" w:rsidRPr="00320C33" w:rsidRDefault="00730163" w:rsidP="00730163">
      <w:pPr>
        <w:pStyle w:val="Prrafodelista"/>
        <w:tabs>
          <w:tab w:val="left" w:pos="851"/>
        </w:tabs>
        <w:spacing w:after="0" w:line="360" w:lineRule="auto"/>
        <w:ind w:left="567" w:right="49"/>
        <w:jc w:val="both"/>
        <w:rPr>
          <w:rFonts w:ascii="Palatino Linotype" w:hAnsi="Palatino Linotype"/>
        </w:rPr>
      </w:pPr>
      <w:r w:rsidRPr="00320C33">
        <w:rPr>
          <w:rFonts w:ascii="Palatino Linotype" w:hAnsi="Palatino Linotype"/>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0E79471D" w14:textId="77777777" w:rsidR="00730163" w:rsidRPr="00730163" w:rsidRDefault="00730163" w:rsidP="00730163">
      <w:pPr>
        <w:pStyle w:val="Prrafodelista"/>
        <w:tabs>
          <w:tab w:val="left" w:pos="851"/>
        </w:tabs>
        <w:spacing w:after="0" w:line="360" w:lineRule="auto"/>
        <w:ind w:left="567" w:right="49"/>
        <w:jc w:val="both"/>
        <w:rPr>
          <w:rFonts w:ascii="Palatino Linotype" w:hAnsi="Palatino Linotype"/>
          <w:b/>
          <w:u w:val="single"/>
        </w:rPr>
      </w:pPr>
      <w:r w:rsidRPr="00730163">
        <w:rPr>
          <w:rFonts w:ascii="Palatino Linotype" w:hAnsi="Palatino Linotype"/>
          <w:b/>
          <w:u w:val="single"/>
        </w:rPr>
        <w:t>Así, dichas deducciones reflejan el destino que un servidor público da a su patrimonio y, por lo tanto, resulta procedente clasificar dichos datos, en el caso, que obren, en los documentos que dan cuenta de lo requerido, en términos del artículo 143, fracción I de la Ley de Transparencia y Acceso a la Información Pública del Estado de México y Municipios.</w:t>
      </w:r>
    </w:p>
    <w:p w14:paraId="5ADDC78B" w14:textId="77777777" w:rsidR="00730163" w:rsidRDefault="00730163">
      <w:pPr>
        <w:spacing w:after="0" w:line="360" w:lineRule="auto"/>
        <w:ind w:right="49"/>
        <w:jc w:val="both"/>
        <w:rPr>
          <w:rFonts w:ascii="Palatino Linotype" w:eastAsia="Palatino Linotype" w:hAnsi="Palatino Linotype" w:cs="Palatino Linotype"/>
          <w:color w:val="000000"/>
          <w:sz w:val="24"/>
          <w:szCs w:val="24"/>
        </w:rPr>
      </w:pPr>
    </w:p>
    <w:p w14:paraId="6DCDA6EF" w14:textId="6BF6F514" w:rsidR="00730163" w:rsidRPr="00730163" w:rsidRDefault="00730163">
      <w:pPr>
        <w:spacing w:after="0" w:line="360" w:lineRule="auto"/>
        <w:ind w:right="49"/>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lastRenderedPageBreak/>
        <w:t xml:space="preserve">Es por lo que, al advertirse un dato susceptible de ser clasificado en términos de la fracción I del artículo 143 de la Ley en la materia y, por ende, al no haberse hecho del conocimiento del Particular, se colige que este requerimiento </w:t>
      </w:r>
      <w:r>
        <w:rPr>
          <w:rFonts w:ascii="Palatino Linotype" w:eastAsia="Palatino Linotype" w:hAnsi="Palatino Linotype" w:cs="Palatino Linotype"/>
          <w:b/>
          <w:color w:val="000000"/>
          <w:sz w:val="24"/>
          <w:szCs w:val="24"/>
        </w:rPr>
        <w:t xml:space="preserve">no se tiene por colmado. </w:t>
      </w:r>
    </w:p>
    <w:p w14:paraId="11A7B31D" w14:textId="77777777" w:rsidR="008C55CC" w:rsidRPr="008C55CC" w:rsidRDefault="008C55CC">
      <w:pPr>
        <w:spacing w:after="0" w:line="360" w:lineRule="auto"/>
        <w:ind w:right="49"/>
        <w:jc w:val="both"/>
        <w:rPr>
          <w:rFonts w:ascii="Palatino Linotype" w:eastAsia="Palatino Linotype" w:hAnsi="Palatino Linotype" w:cs="Palatino Linotype"/>
          <w:color w:val="000000"/>
          <w:sz w:val="24"/>
          <w:szCs w:val="24"/>
        </w:rPr>
      </w:pPr>
    </w:p>
    <w:p w14:paraId="0E851A21" w14:textId="6609FB7D" w:rsidR="00720498" w:rsidRPr="00730163" w:rsidRDefault="00720498" w:rsidP="00720498">
      <w:pPr>
        <w:pBdr>
          <w:top w:val="nil"/>
          <w:left w:val="nil"/>
          <w:bottom w:val="nil"/>
          <w:right w:val="nil"/>
          <w:between w:val="nil"/>
        </w:pBdr>
        <w:spacing w:after="0" w:line="360" w:lineRule="auto"/>
        <w:ind w:right="49"/>
        <w:jc w:val="both"/>
        <w:rPr>
          <w:rFonts w:ascii="Palatino Linotype" w:eastAsia="Palatino Linotype" w:hAnsi="Palatino Linotype" w:cs="Palatino Linotype"/>
          <w:b/>
          <w:sz w:val="24"/>
          <w:szCs w:val="24"/>
        </w:rPr>
      </w:pPr>
      <w:r w:rsidRPr="00720498">
        <w:rPr>
          <w:rFonts w:ascii="Palatino Linotype" w:eastAsia="Palatino Linotype" w:hAnsi="Palatino Linotype" w:cs="Palatino Linotype"/>
          <w:color w:val="000000"/>
          <w:sz w:val="24"/>
          <w:szCs w:val="24"/>
        </w:rPr>
        <w:t>Dicho esto, este Organismo Garante determina que los a</w:t>
      </w:r>
      <w:r w:rsidR="00646B44" w:rsidRPr="00720498">
        <w:rPr>
          <w:rFonts w:ascii="Palatino Linotype" w:eastAsia="Palatino Linotype" w:hAnsi="Palatino Linotype" w:cs="Palatino Linotype"/>
          <w:sz w:val="24"/>
          <w:szCs w:val="24"/>
        </w:rPr>
        <w:t xml:space="preserve">gravios hechos valer por el Particular en su recurso de revisión devienen </w:t>
      </w:r>
      <w:r w:rsidR="00646B44" w:rsidRPr="00720498">
        <w:rPr>
          <w:rFonts w:ascii="Palatino Linotype" w:eastAsia="Palatino Linotype" w:hAnsi="Palatino Linotype" w:cs="Palatino Linotype"/>
          <w:b/>
          <w:sz w:val="24"/>
          <w:szCs w:val="24"/>
        </w:rPr>
        <w:t xml:space="preserve">FUNDADOS </w:t>
      </w:r>
      <w:r w:rsidR="00646B44" w:rsidRPr="00720498">
        <w:rPr>
          <w:rFonts w:ascii="Palatino Linotype" w:eastAsia="Palatino Linotype" w:hAnsi="Palatino Linotype" w:cs="Palatino Linotype"/>
          <w:sz w:val="24"/>
          <w:szCs w:val="24"/>
        </w:rPr>
        <w:t xml:space="preserve">y, por ende, </w:t>
      </w:r>
      <w:r w:rsidRPr="00720498">
        <w:rPr>
          <w:rFonts w:ascii="Palatino Linotype" w:eastAsia="Palatino Linotype" w:hAnsi="Palatino Linotype" w:cs="Palatino Linotype"/>
          <w:sz w:val="24"/>
          <w:szCs w:val="24"/>
        </w:rPr>
        <w:t xml:space="preserve">resulta procedente </w:t>
      </w:r>
      <w:r w:rsidR="0047227E">
        <w:rPr>
          <w:rFonts w:ascii="Palatino Linotype" w:eastAsia="Palatino Linotype" w:hAnsi="Palatino Linotype" w:cs="Palatino Linotype"/>
          <w:b/>
          <w:sz w:val="24"/>
          <w:szCs w:val="24"/>
        </w:rPr>
        <w:t>REVOCAR</w:t>
      </w:r>
      <w:r w:rsidR="00646B44" w:rsidRPr="00720498">
        <w:rPr>
          <w:rFonts w:ascii="Palatino Linotype" w:eastAsia="Palatino Linotype" w:hAnsi="Palatino Linotype" w:cs="Palatino Linotype"/>
          <w:b/>
          <w:sz w:val="24"/>
          <w:szCs w:val="24"/>
        </w:rPr>
        <w:t xml:space="preserve"> </w:t>
      </w:r>
      <w:r w:rsidR="00646B44" w:rsidRPr="00720498">
        <w:rPr>
          <w:rFonts w:ascii="Palatino Linotype" w:eastAsia="Palatino Linotype" w:hAnsi="Palatino Linotype" w:cs="Palatino Linotype"/>
          <w:sz w:val="24"/>
          <w:szCs w:val="24"/>
        </w:rPr>
        <w:t xml:space="preserve">la respuesta del Sujeto Obligado y </w:t>
      </w:r>
      <w:r w:rsidR="00646B44" w:rsidRPr="00720498">
        <w:rPr>
          <w:rFonts w:ascii="Palatino Linotype" w:eastAsia="Palatino Linotype" w:hAnsi="Palatino Linotype" w:cs="Palatino Linotype"/>
          <w:b/>
          <w:sz w:val="24"/>
          <w:szCs w:val="24"/>
        </w:rPr>
        <w:t xml:space="preserve">ORDENAR </w:t>
      </w:r>
      <w:r w:rsidR="00646B44" w:rsidRPr="00720498">
        <w:rPr>
          <w:rFonts w:ascii="Palatino Linotype" w:eastAsia="Palatino Linotype" w:hAnsi="Palatino Linotype" w:cs="Palatino Linotype"/>
          <w:sz w:val="24"/>
          <w:szCs w:val="24"/>
        </w:rPr>
        <w:t>la entrega, vía Sistema de Acceso a la Información Mexiquense, en</w:t>
      </w:r>
      <w:r w:rsidR="00730163">
        <w:rPr>
          <w:rFonts w:ascii="Palatino Linotype" w:eastAsia="Palatino Linotype" w:hAnsi="Palatino Linotype" w:cs="Palatino Linotype"/>
          <w:sz w:val="24"/>
          <w:szCs w:val="24"/>
        </w:rPr>
        <w:t xml:space="preserve"> correcta</w:t>
      </w:r>
      <w:r w:rsidR="00646B44" w:rsidRPr="00720498">
        <w:rPr>
          <w:rFonts w:ascii="Palatino Linotype" w:eastAsia="Palatino Linotype" w:hAnsi="Palatino Linotype" w:cs="Palatino Linotype"/>
          <w:sz w:val="24"/>
          <w:szCs w:val="24"/>
        </w:rPr>
        <w:t xml:space="preserve"> versión pública, </w:t>
      </w:r>
      <w:r w:rsidR="00730163">
        <w:rPr>
          <w:rFonts w:ascii="Palatino Linotype" w:eastAsia="Palatino Linotype" w:hAnsi="Palatino Linotype" w:cs="Palatino Linotype"/>
          <w:sz w:val="24"/>
          <w:szCs w:val="24"/>
        </w:rPr>
        <w:t xml:space="preserve">de las </w:t>
      </w:r>
      <w:r w:rsidR="00730163">
        <w:rPr>
          <w:rFonts w:ascii="Palatino Linotype" w:eastAsia="Palatino Linotype" w:hAnsi="Palatino Linotype" w:cs="Palatino Linotype"/>
          <w:b/>
          <w:sz w:val="24"/>
          <w:szCs w:val="24"/>
        </w:rPr>
        <w:t>Firmas por Lugar de Pago Personalizado</w:t>
      </w:r>
      <w:r w:rsidR="00C60490">
        <w:rPr>
          <w:rFonts w:ascii="Palatino Linotype" w:eastAsia="Palatino Linotype" w:hAnsi="Palatino Linotype" w:cs="Palatino Linotype"/>
          <w:b/>
          <w:sz w:val="24"/>
          <w:szCs w:val="24"/>
        </w:rPr>
        <w:t xml:space="preserve"> de la Dirección de Transporte Universitario y Servicios Generales de la primera quincena de octubre de dos mil veintidós, enviados en informe justificado. </w:t>
      </w:r>
    </w:p>
    <w:p w14:paraId="35D765F3" w14:textId="77777777" w:rsidR="00F8557D" w:rsidRPr="008645E3" w:rsidRDefault="00F8557D">
      <w:pPr>
        <w:spacing w:after="0" w:line="360" w:lineRule="auto"/>
        <w:ind w:right="49"/>
        <w:jc w:val="both"/>
        <w:rPr>
          <w:rFonts w:ascii="Palatino Linotype" w:eastAsia="Palatino Linotype" w:hAnsi="Palatino Linotype" w:cs="Palatino Linotype"/>
          <w:sz w:val="24"/>
          <w:szCs w:val="24"/>
        </w:rPr>
      </w:pPr>
    </w:p>
    <w:p w14:paraId="236EE05D" w14:textId="77777777" w:rsidR="00F8557D" w:rsidRPr="008C55CC" w:rsidRDefault="00646B44">
      <w:pPr>
        <w:spacing w:after="0" w:line="360" w:lineRule="auto"/>
        <w:ind w:right="49"/>
        <w:jc w:val="both"/>
        <w:rPr>
          <w:rFonts w:ascii="Palatino Linotype" w:eastAsia="Palatino Linotype" w:hAnsi="Palatino Linotype" w:cs="Palatino Linotype"/>
          <w:i/>
          <w:sz w:val="24"/>
          <w:szCs w:val="24"/>
        </w:rPr>
      </w:pPr>
      <w:r w:rsidRPr="008C55CC">
        <w:rPr>
          <w:rFonts w:ascii="Palatino Linotype" w:eastAsia="Palatino Linotype" w:hAnsi="Palatino Linotype" w:cs="Palatino Linotype"/>
          <w:i/>
          <w:sz w:val="24"/>
          <w:szCs w:val="24"/>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6FA21564" w14:textId="77777777" w:rsidR="00F8557D" w:rsidRPr="008645E3" w:rsidRDefault="00F8557D">
      <w:pPr>
        <w:tabs>
          <w:tab w:val="left" w:pos="993"/>
        </w:tabs>
        <w:spacing w:after="0" w:line="360" w:lineRule="auto"/>
        <w:ind w:right="-28"/>
        <w:jc w:val="both"/>
        <w:rPr>
          <w:rFonts w:ascii="Palatino Linotype" w:eastAsia="Palatino Linotype" w:hAnsi="Palatino Linotype" w:cs="Palatino Linotype"/>
          <w:sz w:val="24"/>
          <w:szCs w:val="24"/>
        </w:rPr>
      </w:pPr>
    </w:p>
    <w:p w14:paraId="42501659" w14:textId="2F069550" w:rsidR="00582034" w:rsidRPr="00320C33" w:rsidRDefault="00646B44">
      <w:pPr>
        <w:spacing w:after="0" w:line="360" w:lineRule="auto"/>
        <w:ind w:right="49"/>
        <w:jc w:val="both"/>
        <w:rPr>
          <w:rFonts w:ascii="Palatino Linotype" w:eastAsia="Palatino Linotype" w:hAnsi="Palatino Linotype" w:cs="Palatino Linotype"/>
          <w:sz w:val="24"/>
          <w:szCs w:val="24"/>
        </w:rPr>
      </w:pPr>
      <w:r w:rsidRPr="00320C33">
        <w:rPr>
          <w:rFonts w:ascii="Palatino Linotype" w:eastAsia="Palatino Linotype" w:hAnsi="Palatino Linotype" w:cs="Palatino Linotype"/>
          <w:b/>
          <w:sz w:val="24"/>
          <w:szCs w:val="24"/>
        </w:rPr>
        <w:t>Quinto. De la versión pública.</w:t>
      </w:r>
      <w:r w:rsidRPr="00320C33">
        <w:rPr>
          <w:rFonts w:ascii="Palatino Linotype" w:eastAsia="Palatino Linotype" w:hAnsi="Palatino Linotype" w:cs="Palatino Linotype"/>
          <w:sz w:val="24"/>
          <w:szCs w:val="24"/>
        </w:rPr>
        <w:t xml:space="preserve"> </w:t>
      </w:r>
      <w:r w:rsidR="00582034" w:rsidRPr="00320C33">
        <w:rPr>
          <w:rFonts w:ascii="Palatino Linotype" w:eastAsia="Palatino Linotype" w:hAnsi="Palatino Linotype" w:cs="Palatino Linotype"/>
          <w:sz w:val="24"/>
          <w:szCs w:val="24"/>
        </w:rPr>
        <w:t>Debido a que lo solicitado por el Recurrente</w:t>
      </w:r>
      <w:r w:rsidR="008701A3" w:rsidRPr="00320C33">
        <w:rPr>
          <w:rFonts w:ascii="Palatino Linotype" w:eastAsia="Palatino Linotype" w:hAnsi="Palatino Linotype" w:cs="Palatino Linotype"/>
          <w:sz w:val="24"/>
          <w:szCs w:val="24"/>
        </w:rPr>
        <w:t xml:space="preserve"> consisten en recibos de nómina, </w:t>
      </w:r>
      <w:r w:rsidR="00347010" w:rsidRPr="00320C33">
        <w:rPr>
          <w:rFonts w:ascii="Palatino Linotype" w:eastAsia="Palatino Linotype" w:hAnsi="Palatino Linotype" w:cs="Palatino Linotype"/>
          <w:sz w:val="24"/>
          <w:szCs w:val="24"/>
        </w:rPr>
        <w:t xml:space="preserve">se identificó que el Sujeto Obligado hizo entrega de información en donde clasificó diversos datos, los cuales no se logra identificar a cuáles pertenecen, sin embargo, es importante destacar que los recibos de nómina contienen datos personales relativos al RFC, CURP, Clave de ISSEMyM, Código QR, deducciones personales, entre otros, por lo cual, la información que deberá ser puesta a disposición </w:t>
      </w:r>
      <w:r w:rsidR="00347010" w:rsidRPr="00320C33">
        <w:rPr>
          <w:rFonts w:ascii="Palatino Linotype" w:eastAsia="Palatino Linotype" w:hAnsi="Palatino Linotype" w:cs="Palatino Linotype"/>
          <w:sz w:val="24"/>
          <w:szCs w:val="24"/>
        </w:rPr>
        <w:lastRenderedPageBreak/>
        <w:t xml:space="preserve">del Particular será en versión pública, lo que se considera procedente analizar esos datos personales y en su caso, confirmar la clasificación en términos del artículo 143, fracción  I de la Ley de Transparencia y Acceso a la Información Pública, al tenor de lo siguiente: </w:t>
      </w:r>
    </w:p>
    <w:p w14:paraId="55B2DB1E" w14:textId="77777777" w:rsidR="00320C33" w:rsidRPr="00320C33" w:rsidRDefault="00320C33">
      <w:pPr>
        <w:spacing w:after="0" w:line="360" w:lineRule="auto"/>
        <w:ind w:right="49"/>
        <w:jc w:val="both"/>
        <w:rPr>
          <w:rFonts w:ascii="Palatino Linotype" w:eastAsia="Palatino Linotype" w:hAnsi="Palatino Linotype" w:cs="Palatino Linotype"/>
          <w:sz w:val="24"/>
          <w:szCs w:val="24"/>
        </w:rPr>
      </w:pPr>
    </w:p>
    <w:p w14:paraId="2A9AFA27" w14:textId="03CC0A3A" w:rsidR="00347010" w:rsidRPr="00320C33" w:rsidRDefault="00347010" w:rsidP="00347010">
      <w:pPr>
        <w:pStyle w:val="Prrafodelista"/>
        <w:numPr>
          <w:ilvl w:val="0"/>
          <w:numId w:val="9"/>
        </w:numPr>
        <w:spacing w:after="0" w:line="360" w:lineRule="auto"/>
        <w:ind w:right="49"/>
        <w:jc w:val="both"/>
        <w:rPr>
          <w:rFonts w:ascii="Palatino Linotype" w:hAnsi="Palatino Linotype"/>
        </w:rPr>
      </w:pPr>
      <w:r w:rsidRPr="00320C33">
        <w:rPr>
          <w:rFonts w:ascii="Palatino Linotype" w:hAnsi="Palatino Linotype"/>
          <w:b/>
          <w:bCs/>
        </w:rPr>
        <w:t>Clave Única de Registro de Población (CURP</w:t>
      </w:r>
      <w:r w:rsidRPr="00320C33">
        <w:rPr>
          <w:rFonts w:ascii="Palatino Linotype" w:hAnsi="Palatino Linotype"/>
        </w:rPr>
        <w:t xml:space="preserve">). 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 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 </w:t>
      </w:r>
    </w:p>
    <w:p w14:paraId="45B115AE" w14:textId="4F55DA07" w:rsidR="00347010" w:rsidRPr="00320C33" w:rsidRDefault="00347010" w:rsidP="00347010">
      <w:pPr>
        <w:pStyle w:val="Prrafodelista"/>
        <w:spacing w:after="0" w:line="360" w:lineRule="auto"/>
        <w:ind w:right="49"/>
        <w:jc w:val="both"/>
        <w:rPr>
          <w:rFonts w:ascii="Palatino Linotype" w:hAnsi="Palatino Linotype"/>
        </w:rPr>
      </w:pPr>
      <w:r w:rsidRPr="00320C33">
        <w:rPr>
          <w:rFonts w:ascii="Palatino Linotype" w:hAnsi="Palatino Linotype"/>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2B9A1A08" w14:textId="3B694881" w:rsidR="00347010" w:rsidRPr="00320C33" w:rsidRDefault="00347010" w:rsidP="00347010">
      <w:pPr>
        <w:pStyle w:val="Prrafodelista"/>
        <w:spacing w:after="0" w:line="360" w:lineRule="auto"/>
        <w:ind w:right="49"/>
        <w:jc w:val="both"/>
        <w:rPr>
          <w:rFonts w:ascii="Palatino Linotype" w:hAnsi="Palatino Linotype"/>
        </w:rPr>
      </w:pPr>
      <w:r w:rsidRPr="00320C33">
        <w:rPr>
          <w:rFonts w:ascii="Palatino Linotype" w:hAnsi="Palatino Linotype"/>
        </w:rPr>
        <w:t>Situación que se robustece, con el Criterio 18/17, emitido por el Instituto Nacional de Transparencia, Acceso a la Información y Protección de Datos Personales, que establece lo siguiente:</w:t>
      </w:r>
    </w:p>
    <w:p w14:paraId="510F5FFE" w14:textId="77777777" w:rsidR="00347010" w:rsidRPr="00320C33" w:rsidRDefault="00347010" w:rsidP="00347010">
      <w:pPr>
        <w:pStyle w:val="Prrafodelista"/>
        <w:spacing w:after="0" w:line="360" w:lineRule="auto"/>
        <w:ind w:right="49"/>
        <w:jc w:val="both"/>
        <w:rPr>
          <w:rFonts w:ascii="Palatino Linotype" w:hAnsi="Palatino Linotype"/>
        </w:rPr>
      </w:pPr>
    </w:p>
    <w:p w14:paraId="63F5A979" w14:textId="77777777" w:rsidR="00347010" w:rsidRDefault="00347010" w:rsidP="00347010">
      <w:pPr>
        <w:pStyle w:val="Prrafodelista"/>
        <w:spacing w:after="0" w:line="276" w:lineRule="auto"/>
        <w:ind w:left="1134" w:right="560"/>
        <w:jc w:val="both"/>
        <w:rPr>
          <w:rFonts w:ascii="Palatino Linotype" w:hAnsi="Palatino Linotype"/>
          <w:i/>
          <w:iCs/>
        </w:rPr>
      </w:pPr>
      <w:r w:rsidRPr="00320C33">
        <w:rPr>
          <w:rFonts w:ascii="Palatino Linotype" w:hAnsi="Palatino Linotype"/>
          <w:i/>
          <w:iCs/>
        </w:rPr>
        <w:lastRenderedPageBreak/>
        <w:t>“</w:t>
      </w:r>
      <w:r w:rsidRPr="00320C33">
        <w:rPr>
          <w:rFonts w:ascii="Palatino Linotype" w:hAnsi="Palatino Linotype"/>
          <w:b/>
          <w:bCs/>
          <w:i/>
          <w:iCs/>
        </w:rPr>
        <w:t xml:space="preserve">Clave Única de Registro de Población (CURP). </w:t>
      </w:r>
      <w:r w:rsidRPr="00320C33">
        <w:rPr>
          <w:rFonts w:ascii="Palatino Linotype" w:hAnsi="Palatino Linotype"/>
          <w:i/>
          <w:iCs/>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498CE9C3" w14:textId="77777777" w:rsidR="00320C33" w:rsidRPr="00320C33" w:rsidRDefault="00320C33" w:rsidP="00347010">
      <w:pPr>
        <w:pStyle w:val="Prrafodelista"/>
        <w:spacing w:after="0" w:line="276" w:lineRule="auto"/>
        <w:ind w:left="1134" w:right="560"/>
        <w:jc w:val="both"/>
        <w:rPr>
          <w:rFonts w:ascii="Palatino Linotype" w:hAnsi="Palatino Linotype"/>
          <w:i/>
          <w:iCs/>
        </w:rPr>
      </w:pPr>
    </w:p>
    <w:p w14:paraId="46405A1E" w14:textId="76AAAE52" w:rsidR="00347010" w:rsidRDefault="00347010" w:rsidP="00320C33">
      <w:pPr>
        <w:pStyle w:val="Prrafodelista"/>
        <w:spacing w:after="0" w:line="360" w:lineRule="auto"/>
        <w:ind w:right="49"/>
        <w:jc w:val="both"/>
        <w:rPr>
          <w:rFonts w:ascii="Palatino Linotype" w:hAnsi="Palatino Linotype"/>
        </w:rPr>
      </w:pPr>
      <w:r w:rsidRPr="00320C33">
        <w:rPr>
          <w:rFonts w:ascii="Palatino Linotype" w:hAnsi="Palatino Linotype"/>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w:t>
      </w:r>
      <w:r w:rsidR="00320C33">
        <w:rPr>
          <w:rFonts w:ascii="Palatino Linotype" w:hAnsi="Palatino Linotype"/>
        </w:rPr>
        <w:t>México y Municipios.</w:t>
      </w:r>
    </w:p>
    <w:p w14:paraId="73DA9019" w14:textId="77777777" w:rsidR="00095932" w:rsidRPr="00320C33" w:rsidRDefault="00095932" w:rsidP="00320C33">
      <w:pPr>
        <w:pStyle w:val="Prrafodelista"/>
        <w:spacing w:after="0" w:line="360" w:lineRule="auto"/>
        <w:ind w:right="49"/>
        <w:jc w:val="both"/>
        <w:rPr>
          <w:rFonts w:ascii="Palatino Linotype" w:hAnsi="Palatino Linotype"/>
        </w:rPr>
      </w:pPr>
    </w:p>
    <w:p w14:paraId="44E8072F" w14:textId="77777777" w:rsidR="00347010" w:rsidRPr="00320C33" w:rsidRDefault="00347010" w:rsidP="00347010">
      <w:pPr>
        <w:pStyle w:val="Prrafodelista"/>
        <w:numPr>
          <w:ilvl w:val="0"/>
          <w:numId w:val="9"/>
        </w:numPr>
        <w:spacing w:after="0" w:line="360" w:lineRule="auto"/>
        <w:ind w:right="49"/>
        <w:jc w:val="both"/>
        <w:rPr>
          <w:rFonts w:ascii="Palatino Linotype" w:hAnsi="Palatino Linotype"/>
        </w:rPr>
      </w:pPr>
      <w:r w:rsidRPr="00320C33">
        <w:rPr>
          <w:rFonts w:ascii="Palatino Linotype" w:hAnsi="Palatino Linotype"/>
          <w:b/>
          <w:bCs/>
        </w:rPr>
        <w:t>Registro Federal de Contribuyentes (RFC).</w:t>
      </w:r>
      <w:r w:rsidRPr="00320C33">
        <w:rPr>
          <w:rFonts w:ascii="Palatino Linotype" w:hAnsi="Palatino Linotype"/>
        </w:rPr>
        <w:t xml:space="preserve"> 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 </w:t>
      </w:r>
    </w:p>
    <w:p w14:paraId="6E58594B" w14:textId="09C692C4" w:rsidR="00347010" w:rsidRPr="00320C33" w:rsidRDefault="00347010" w:rsidP="00347010">
      <w:pPr>
        <w:pStyle w:val="Prrafodelista"/>
        <w:spacing w:after="0" w:line="360" w:lineRule="auto"/>
        <w:ind w:right="49"/>
        <w:jc w:val="both"/>
        <w:rPr>
          <w:rFonts w:ascii="Palatino Linotype" w:hAnsi="Palatino Linotype"/>
        </w:rPr>
      </w:pPr>
      <w:r w:rsidRPr="00320C33">
        <w:rPr>
          <w:rFonts w:ascii="Palatino Linotype" w:hAnsi="Palatino Linotype"/>
        </w:rPr>
        <w:t xml:space="preserve">De acuerdo con lo establecido en el artículo en comento, esta clave se compone de trece caracteres alfanuméricos, con datos obtenidos de los apellidos, nombre(s), fecha de nacimiento del titular, más una </w:t>
      </w:r>
      <w:proofErr w:type="spellStart"/>
      <w:r w:rsidRPr="00320C33">
        <w:rPr>
          <w:rFonts w:ascii="Palatino Linotype" w:hAnsi="Palatino Linotype"/>
        </w:rPr>
        <w:t>homoclave</w:t>
      </w:r>
      <w:proofErr w:type="spellEnd"/>
      <w:r w:rsidRPr="00320C33">
        <w:rPr>
          <w:rFonts w:ascii="Palatino Linotype" w:hAnsi="Palatino Linotype"/>
        </w:rPr>
        <w:t xml:space="preserve"> que establece el sistema automático del Servicio de Administración Tributaria.</w:t>
      </w:r>
    </w:p>
    <w:p w14:paraId="0333115C" w14:textId="7652C172" w:rsidR="00347010" w:rsidRPr="00320C33" w:rsidRDefault="00347010" w:rsidP="00347010">
      <w:pPr>
        <w:pStyle w:val="Prrafodelista"/>
        <w:spacing w:after="0" w:line="360" w:lineRule="auto"/>
        <w:ind w:right="49"/>
        <w:jc w:val="both"/>
        <w:rPr>
          <w:rFonts w:ascii="Palatino Linotype" w:hAnsi="Palatino Linotype"/>
        </w:rPr>
      </w:pPr>
      <w:r w:rsidRPr="00320C33">
        <w:rPr>
          <w:rFonts w:ascii="Palatino Linotype" w:hAnsi="Palatino Linotype"/>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w:t>
      </w:r>
      <w:r w:rsidRPr="00320C33">
        <w:rPr>
          <w:rFonts w:ascii="Palatino Linotype" w:hAnsi="Palatino Linotype"/>
        </w:rPr>
        <w:lastRenderedPageBreak/>
        <w:t>relevante únicamente para las personas involucrada, en el pago de estos, en el presente caso, del pago del Impuesto Sobre el Producto del Trabajo.</w:t>
      </w:r>
    </w:p>
    <w:p w14:paraId="6E82FD39" w14:textId="77777777" w:rsidR="00347010" w:rsidRPr="00320C33" w:rsidRDefault="00347010" w:rsidP="00347010">
      <w:pPr>
        <w:pStyle w:val="Prrafodelista"/>
        <w:spacing w:after="0" w:line="360" w:lineRule="auto"/>
        <w:ind w:right="49"/>
        <w:jc w:val="both"/>
        <w:rPr>
          <w:rFonts w:ascii="Palatino Linotype" w:hAnsi="Palatino Linotype"/>
        </w:rPr>
      </w:pPr>
      <w:r w:rsidRPr="00320C33">
        <w:rPr>
          <w:rFonts w:ascii="Palatino Linotype" w:hAnsi="Palatino Linotype"/>
        </w:rPr>
        <w:t xml:space="preserve">Lo anterior, resulta congruente con el Criterio 19/17 emitido por el Instituto Nacional de Transparencia, Acceso a la Información y Protección de Datos Personales, en el cual se señala lo siguiente: </w:t>
      </w:r>
    </w:p>
    <w:p w14:paraId="2C015D0D" w14:textId="4A0EC452" w:rsidR="00347010" w:rsidRPr="00320C33" w:rsidRDefault="00347010" w:rsidP="00320C33">
      <w:pPr>
        <w:pStyle w:val="Prrafodelista"/>
        <w:spacing w:after="0" w:line="360" w:lineRule="auto"/>
        <w:ind w:right="49"/>
        <w:jc w:val="both"/>
        <w:rPr>
          <w:rFonts w:ascii="Palatino Linotype" w:hAnsi="Palatino Linotype"/>
          <w:iCs/>
        </w:rPr>
      </w:pPr>
      <w:r w:rsidRPr="00320C33">
        <w:rPr>
          <w:rFonts w:ascii="Palatino Linotype" w:hAnsi="Palatino Linotype"/>
          <w:b/>
          <w:bCs/>
          <w:iCs/>
        </w:rPr>
        <w:t>Registro Federal de Contribuyentes (RFC) de personas físicas.</w:t>
      </w:r>
      <w:r w:rsidRPr="00320C33">
        <w:rPr>
          <w:rFonts w:ascii="Palatino Linotype" w:hAnsi="Palatino Linotype"/>
          <w:iCs/>
        </w:rPr>
        <w:t xml:space="preserve"> El RFC es una clave de carácter fiscal, única e irrepetible, que permite identificar al titular, su edad y fecha de nacimiento, por lo que es un dato personal de carácter confidencial.”</w:t>
      </w:r>
    </w:p>
    <w:p w14:paraId="069A72FC" w14:textId="57BEB411" w:rsidR="0089546B" w:rsidRDefault="00347010" w:rsidP="00347010">
      <w:pPr>
        <w:pStyle w:val="Prrafodelista"/>
        <w:spacing w:after="0" w:line="360" w:lineRule="auto"/>
        <w:ind w:right="49"/>
        <w:jc w:val="both"/>
        <w:rPr>
          <w:rFonts w:ascii="Palatino Linotype" w:hAnsi="Palatino Linotype"/>
        </w:rPr>
      </w:pPr>
      <w:r w:rsidRPr="00320C33">
        <w:rPr>
          <w:rFonts w:ascii="Palatino Linotype" w:hAnsi="Palatino Linotype"/>
        </w:rPr>
        <w:t xml:space="preserve"> 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 </w:t>
      </w:r>
    </w:p>
    <w:p w14:paraId="44370B21" w14:textId="77777777" w:rsidR="00095932" w:rsidRPr="00320C33" w:rsidRDefault="00095932" w:rsidP="00347010">
      <w:pPr>
        <w:pStyle w:val="Prrafodelista"/>
        <w:spacing w:after="0" w:line="360" w:lineRule="auto"/>
        <w:ind w:right="49"/>
        <w:jc w:val="both"/>
        <w:rPr>
          <w:rFonts w:ascii="Palatino Linotype" w:hAnsi="Palatino Linotype"/>
        </w:rPr>
      </w:pPr>
    </w:p>
    <w:p w14:paraId="681B1B85" w14:textId="77777777" w:rsidR="0089546B" w:rsidRPr="00320C33" w:rsidRDefault="00347010" w:rsidP="0089546B">
      <w:pPr>
        <w:pStyle w:val="Prrafodelista"/>
        <w:numPr>
          <w:ilvl w:val="0"/>
          <w:numId w:val="9"/>
        </w:numPr>
        <w:spacing w:after="0" w:line="360" w:lineRule="auto"/>
        <w:ind w:right="49"/>
        <w:jc w:val="both"/>
        <w:rPr>
          <w:rFonts w:ascii="Palatino Linotype" w:eastAsia="Palatino Linotype" w:hAnsi="Palatino Linotype" w:cs="Palatino Linotype"/>
          <w:sz w:val="24"/>
          <w:szCs w:val="24"/>
        </w:rPr>
      </w:pPr>
      <w:r w:rsidRPr="00320C33">
        <w:rPr>
          <w:rFonts w:ascii="Palatino Linotype" w:hAnsi="Palatino Linotype"/>
          <w:b/>
          <w:bCs/>
        </w:rPr>
        <w:t xml:space="preserve">Código bidimensional o </w:t>
      </w:r>
      <w:proofErr w:type="spellStart"/>
      <w:r w:rsidRPr="00320C33">
        <w:rPr>
          <w:rFonts w:ascii="Palatino Linotype" w:hAnsi="Palatino Linotype"/>
          <w:b/>
          <w:bCs/>
        </w:rPr>
        <w:t>Qr</w:t>
      </w:r>
      <w:proofErr w:type="spellEnd"/>
      <w:r w:rsidRPr="00320C33">
        <w:rPr>
          <w:rFonts w:ascii="Palatino Linotype" w:hAnsi="Palatino Linotype"/>
          <w:b/>
          <w:bCs/>
        </w:rPr>
        <w:t>.</w:t>
      </w:r>
      <w:r w:rsidRPr="00320C33">
        <w:rPr>
          <w:rFonts w:ascii="Palatino Linotype" w:hAnsi="Palatino Linotype"/>
        </w:rPr>
        <w:t xml:space="preserve"> En principio, resulta necesario señalar que los comprobantes fiscales digitales por Internet, deben de incluir un código bidimensional conforme al formato QR </w:t>
      </w:r>
      <w:proofErr w:type="spellStart"/>
      <w:r w:rsidRPr="00320C33">
        <w:rPr>
          <w:rFonts w:ascii="Palatino Linotype" w:hAnsi="Palatino Linotype"/>
        </w:rPr>
        <w:t>Code</w:t>
      </w:r>
      <w:proofErr w:type="spellEnd"/>
      <w:r w:rsidRPr="00320C33">
        <w:rPr>
          <w:rFonts w:ascii="Palatino Linotype" w:hAnsi="Palatino Linotype"/>
        </w:rPr>
        <w:t xml:space="preserve"> (Quick Response </w:t>
      </w:r>
      <w:proofErr w:type="spellStart"/>
      <w:r w:rsidRPr="00320C33">
        <w:rPr>
          <w:rFonts w:ascii="Palatino Linotype" w:hAnsi="Palatino Linotype"/>
        </w:rPr>
        <w:t>Code</w:t>
      </w:r>
      <w:proofErr w:type="spellEnd"/>
      <w:r w:rsidRPr="00320C33">
        <w:rPr>
          <w:rFonts w:ascii="Palatino Linotype" w:hAnsi="Palatino Linotype"/>
        </w:rPr>
        <w:t xml:space="preserve">), el cual contiene el Registro Federal de Contribuyentes del receptor, del emisor, o de ambos. </w:t>
      </w:r>
    </w:p>
    <w:p w14:paraId="3975449C" w14:textId="77777777" w:rsidR="0089546B" w:rsidRPr="00320C33" w:rsidRDefault="00347010" w:rsidP="0089546B">
      <w:pPr>
        <w:pStyle w:val="Prrafodelista"/>
        <w:spacing w:after="0" w:line="360" w:lineRule="auto"/>
        <w:ind w:right="49"/>
        <w:jc w:val="both"/>
        <w:rPr>
          <w:rFonts w:ascii="Palatino Linotype" w:hAnsi="Palatino Linotype"/>
        </w:rPr>
      </w:pPr>
      <w:r w:rsidRPr="00320C33">
        <w:rPr>
          <w:rFonts w:ascii="Palatino Linotype" w:hAnsi="Palatino Linotype"/>
        </w:rPr>
        <w:t xml:space="preserve">Incluso con la captura de dicho código, a través de la aplicación móvil del Servicio de Administración Tributaria, permite el acceso al Registro Federal de Contribuyentes, como del Sujeto Obligado, como de los servidores públicos. </w:t>
      </w:r>
    </w:p>
    <w:p w14:paraId="678CDF93" w14:textId="42FBFA50" w:rsidR="0089546B" w:rsidRPr="00320C33" w:rsidRDefault="00347010" w:rsidP="0089546B">
      <w:pPr>
        <w:pStyle w:val="Prrafodelista"/>
        <w:spacing w:after="0" w:line="360" w:lineRule="auto"/>
        <w:ind w:right="49"/>
        <w:jc w:val="both"/>
        <w:rPr>
          <w:rFonts w:ascii="Palatino Linotype" w:eastAsia="Palatino Linotype" w:hAnsi="Palatino Linotype" w:cs="Palatino Linotype"/>
          <w:sz w:val="24"/>
          <w:szCs w:val="24"/>
        </w:rPr>
      </w:pPr>
      <w:r w:rsidRPr="00320C33">
        <w:rPr>
          <w:rFonts w:ascii="Palatino Linotype" w:hAnsi="Palatino Linotype"/>
        </w:rPr>
        <w:t xml:space="preserve">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 </w:t>
      </w:r>
    </w:p>
    <w:p w14:paraId="2E1D25CA" w14:textId="16401B1A" w:rsidR="0089546B" w:rsidRPr="00320C33" w:rsidRDefault="0089546B" w:rsidP="0089546B">
      <w:pPr>
        <w:pStyle w:val="Prrafodelista"/>
        <w:numPr>
          <w:ilvl w:val="0"/>
          <w:numId w:val="9"/>
        </w:numPr>
        <w:spacing w:after="0" w:line="360" w:lineRule="auto"/>
        <w:ind w:right="49"/>
        <w:jc w:val="both"/>
        <w:rPr>
          <w:rFonts w:ascii="Palatino Linotype" w:hAnsi="Palatino Linotype"/>
        </w:rPr>
      </w:pPr>
      <w:r w:rsidRPr="00320C33">
        <w:rPr>
          <w:rFonts w:ascii="Palatino Linotype" w:hAnsi="Palatino Linotype"/>
          <w:b/>
          <w:bCs/>
        </w:rPr>
        <w:lastRenderedPageBreak/>
        <w:t>Número de seguridad social del Instituto de Seguridad Social del Estado de México y Municipios.</w:t>
      </w:r>
      <w:r w:rsidRPr="00320C33">
        <w:rPr>
          <w:rFonts w:ascii="Palatino Linotype" w:hAnsi="Palatino Linotype"/>
        </w:rPr>
        <w:t xml:space="preserve"> 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40900933" w14:textId="77777777" w:rsidR="0089546B" w:rsidRPr="00320C33" w:rsidRDefault="0089546B" w:rsidP="0089546B">
      <w:pPr>
        <w:pStyle w:val="Prrafodelista"/>
        <w:spacing w:after="0" w:line="360" w:lineRule="auto"/>
        <w:ind w:right="49"/>
        <w:jc w:val="both"/>
        <w:rPr>
          <w:rFonts w:ascii="Palatino Linotype" w:hAnsi="Palatino Linotype"/>
        </w:rPr>
      </w:pPr>
      <w:r w:rsidRPr="00320C33">
        <w:rPr>
          <w:rFonts w:ascii="Palatino Linotype" w:hAnsi="Palatino Linotype"/>
        </w:rPr>
        <w:t xml:space="preserve">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w:t>
      </w:r>
    </w:p>
    <w:p w14:paraId="39D1CC45" w14:textId="77777777" w:rsidR="0089546B" w:rsidRPr="00320C33" w:rsidRDefault="0089546B" w:rsidP="0089546B">
      <w:pPr>
        <w:pStyle w:val="Prrafodelista"/>
        <w:spacing w:after="0" w:line="360" w:lineRule="auto"/>
        <w:ind w:right="49"/>
        <w:jc w:val="both"/>
        <w:rPr>
          <w:rFonts w:ascii="Palatino Linotype" w:hAnsi="Palatino Linotype"/>
        </w:rPr>
      </w:pPr>
      <w:r w:rsidRPr="00320C33">
        <w:rPr>
          <w:rFonts w:ascii="Palatino Linotype" w:hAnsi="Palatino Linotype"/>
        </w:rPr>
        <w:t xml:space="preserve">En esta credencial se consignan diversos datos personales y se le asigna una clave para hacer identificable al trabajador con el objetivo de poder proporcionar los servicios que brinda el Instituto de Seguridad Social del Estado de México y Municipios. 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 </w:t>
      </w:r>
    </w:p>
    <w:p w14:paraId="345C6E97" w14:textId="40965333" w:rsidR="0089546B" w:rsidRDefault="0089546B" w:rsidP="0089546B">
      <w:pPr>
        <w:pStyle w:val="Prrafodelista"/>
        <w:spacing w:after="0" w:line="360" w:lineRule="auto"/>
        <w:ind w:right="49"/>
        <w:jc w:val="both"/>
        <w:rPr>
          <w:rFonts w:ascii="Palatino Linotype" w:hAnsi="Palatino Linotype"/>
        </w:rPr>
      </w:pPr>
      <w:r w:rsidRPr="00320C33">
        <w:rPr>
          <w:rFonts w:ascii="Palatino Linotype" w:hAnsi="Palatino Linotype"/>
        </w:rPr>
        <w:t xml:space="preserve">En ese sentido, contar con la prestación de seguridad social que brinda el Instituto de Seguridad Social del Estado de México y Municipios no es una obligación para entrar a trabajar, por el contrario, es un derecho que se adquiere cuando se ingresa al servicio </w:t>
      </w:r>
      <w:r w:rsidRPr="00320C33">
        <w:rPr>
          <w:rFonts w:ascii="Palatino Linotype" w:hAnsi="Palatino Linotype"/>
        </w:rPr>
        <w:lastRenderedPageBreak/>
        <w:t>público, por tal motivo, es un dato personal confidencial, que actualiza el supuesto de confidencialidad, establecido en el artículo 143, fracción I, de la Ley de Transparencia y Acceso a la Información Pública del Estado de México y Municipios.</w:t>
      </w:r>
    </w:p>
    <w:p w14:paraId="0EB2D924" w14:textId="77777777" w:rsidR="00095932" w:rsidRPr="00320C33" w:rsidRDefault="00095932" w:rsidP="0089546B">
      <w:pPr>
        <w:pStyle w:val="Prrafodelista"/>
        <w:spacing w:after="0" w:line="360" w:lineRule="auto"/>
        <w:ind w:right="49"/>
        <w:jc w:val="both"/>
        <w:rPr>
          <w:rFonts w:ascii="Palatino Linotype" w:hAnsi="Palatino Linotype"/>
        </w:rPr>
      </w:pPr>
    </w:p>
    <w:p w14:paraId="20F59D10" w14:textId="36D66A8E" w:rsidR="00095932" w:rsidRPr="00095932" w:rsidRDefault="00095932" w:rsidP="00730163">
      <w:pPr>
        <w:pStyle w:val="Prrafodelista"/>
        <w:spacing w:after="0" w:line="360" w:lineRule="auto"/>
        <w:jc w:val="both"/>
        <w:rPr>
          <w:rFonts w:ascii="Palatino Linotype" w:hAnsi="Palatino Linotype"/>
        </w:rPr>
      </w:pPr>
      <w:r w:rsidRPr="00095932">
        <w:rPr>
          <w:rFonts w:ascii="Palatino Linotype" w:hAnsi="Palatino Linotype"/>
          <w:b/>
          <w:bCs/>
        </w:rPr>
        <w:t>De la información fiscal</w:t>
      </w:r>
      <w:r w:rsidRPr="00095932">
        <w:rPr>
          <w:rFonts w:ascii="Palatino Linotype" w:hAnsi="Palatino Linotype"/>
        </w:rPr>
        <w:t xml:space="preserve">: La </w:t>
      </w:r>
      <w:r w:rsidRPr="00095932">
        <w:rPr>
          <w:rFonts w:ascii="Palatino Linotype" w:hAnsi="Palatino Linotype"/>
          <w:b/>
        </w:rPr>
        <w:t>Cadena Original</w:t>
      </w:r>
      <w:r w:rsidRPr="00095932">
        <w:rPr>
          <w:rFonts w:ascii="Palatino Linotype" w:hAnsi="Palatino Linotype"/>
        </w:rPr>
        <w:t xml:space="preserve"> es la secuencia de datos formada con la información contenida dentro de los comprobantes fiscales, entre los que podría encontrarse de manera enunciativa, más no limitativa, el RFC del receptor, es decir del servidor público. En dicho supuesto, la cadena original constituiría información que únicamente atañe al contribuyente, siendo tarea del </w:t>
      </w:r>
      <w:r w:rsidRPr="00095932">
        <w:rPr>
          <w:rFonts w:ascii="Palatino Linotype" w:hAnsi="Palatino Linotype"/>
          <w:b/>
          <w:bCs/>
        </w:rPr>
        <w:t>Sujeto Obligado</w:t>
      </w:r>
      <w:r w:rsidRPr="00095932">
        <w:rPr>
          <w:rFonts w:ascii="Palatino Linotype" w:hAnsi="Palatino Linotype"/>
        </w:rPr>
        <w:t xml:space="preserve"> analizar dicha circunstancia con la finalidad de proteger, de ser el caso, la información a través de su clasificación por actualizarse el supuesto de confidencialidad.</w:t>
      </w:r>
    </w:p>
    <w:p w14:paraId="09973B2B" w14:textId="77777777" w:rsidR="00095932" w:rsidRPr="00095932" w:rsidRDefault="00095932" w:rsidP="00095932">
      <w:pPr>
        <w:pStyle w:val="Prrafodelista"/>
        <w:spacing w:after="0" w:line="360" w:lineRule="auto"/>
        <w:jc w:val="both"/>
        <w:rPr>
          <w:rFonts w:ascii="Palatino Linotype" w:hAnsi="Palatino Linotype"/>
        </w:rPr>
      </w:pPr>
      <w:r w:rsidRPr="00095932">
        <w:rPr>
          <w:rFonts w:ascii="Palatino Linotype" w:hAnsi="Palatino Linotype" w:cs="Arial"/>
        </w:rPr>
        <w:t xml:space="preserve">Los </w:t>
      </w:r>
      <w:r w:rsidRPr="00095932">
        <w:rPr>
          <w:rFonts w:ascii="Palatino Linotype" w:hAnsi="Palatino Linotype" w:cs="Arial"/>
          <w:b/>
        </w:rPr>
        <w:t>códigos bidimensionales</w:t>
      </w:r>
      <w:r w:rsidRPr="00095932">
        <w:rPr>
          <w:rFonts w:ascii="Palatino Linotype" w:hAnsi="Palatino Linotype" w:cs="Arial"/>
        </w:rPr>
        <w:t xml:space="preserve"> o </w:t>
      </w:r>
      <w:r w:rsidRPr="00095932">
        <w:rPr>
          <w:rFonts w:ascii="Palatino Linotype" w:hAnsi="Palatino Linotype" w:cs="Arial"/>
          <w:b/>
        </w:rPr>
        <w:t xml:space="preserve">códigos QR, </w:t>
      </w:r>
      <w:r w:rsidRPr="00095932">
        <w:rPr>
          <w:rFonts w:ascii="Palatino Linotype" w:hAnsi="Palatino Linotype" w:cs="Arial"/>
        </w:rPr>
        <w:t>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w:t>
      </w:r>
      <w:r w:rsidRPr="00095932">
        <w:rPr>
          <w:rFonts w:ascii="Palatino Linotype" w:hAnsi="Palatino Linotype"/>
        </w:rPr>
        <w:t xml:space="preserve">, debiendo el </w:t>
      </w:r>
      <w:r w:rsidRPr="00095932">
        <w:rPr>
          <w:rFonts w:ascii="Palatino Linotype" w:hAnsi="Palatino Linotype"/>
          <w:b/>
          <w:bCs/>
        </w:rPr>
        <w:t xml:space="preserve">Sujeto Obligado </w:t>
      </w:r>
      <w:r w:rsidRPr="00095932">
        <w:rPr>
          <w:rFonts w:ascii="Palatino Linotype" w:hAnsi="Palatino Linotype"/>
        </w:rPr>
        <w:t>analizar dicha circunstancia con la finalidad de determinar si se actualiza algún supuesto de confidencialidad.</w:t>
      </w:r>
    </w:p>
    <w:p w14:paraId="3413F1D0" w14:textId="1AE0BA5E" w:rsidR="0089546B" w:rsidRDefault="00095932" w:rsidP="00095932">
      <w:pPr>
        <w:pStyle w:val="Prrafodelista"/>
        <w:spacing w:after="0" w:line="360" w:lineRule="auto"/>
        <w:jc w:val="both"/>
        <w:rPr>
          <w:rFonts w:ascii="Palatino Linotype" w:hAnsi="Palatino Linotype" w:cs="Arial"/>
        </w:rPr>
      </w:pPr>
      <w:r w:rsidRPr="00095932">
        <w:rPr>
          <w:rFonts w:ascii="Palatino Linotype" w:hAnsi="Palatino Linotype" w:cs="Arial"/>
        </w:rPr>
        <w:t xml:space="preserve">En tal sentido, si derivado del análisis efectuado por </w:t>
      </w:r>
      <w:r w:rsidRPr="00095932">
        <w:rPr>
          <w:rFonts w:ascii="Palatino Linotype" w:hAnsi="Palatino Linotype" w:cs="Arial"/>
          <w:b/>
        </w:rPr>
        <w:t xml:space="preserve">Sujeto Obligado </w:t>
      </w:r>
      <w:r w:rsidRPr="00095932">
        <w:rPr>
          <w:rFonts w:ascii="Palatino Linotype" w:hAnsi="Palatino Linotype" w:cs="Arial"/>
          <w:bCs/>
        </w:rPr>
        <w:t>en el presente caso,</w:t>
      </w:r>
      <w:r w:rsidRPr="00095932">
        <w:rPr>
          <w:rFonts w:ascii="Palatino Linotype" w:hAnsi="Palatino Linotype" w:cs="Arial"/>
        </w:rPr>
        <w:t xml:space="preserve"> se desprende que, de la información fiscal contenida en los comprobantes fiscales digitales por internet, tales como cadenas, sellos digitales y/o códigos bidimensionales, se pueden obtener datos personales como el Registro Federal de Contribuyentes, la Clave Única del Registro de Población, entre otros no susceptibles de conocimiento público que, de difundirse, pudieran hacer identificable a una persona, deberá clasificarla como confidencial, de manera fundada y motivada en términos del artículo </w:t>
      </w:r>
      <w:r w:rsidRPr="00095932">
        <w:rPr>
          <w:rFonts w:ascii="Palatino Linotype" w:hAnsi="Palatino Linotype" w:cs="Arial"/>
        </w:rPr>
        <w:lastRenderedPageBreak/>
        <w:t>143, fracción I de la Ley de Transparencia y Acceso a la Información Pública del Estado de México y Municipios.</w:t>
      </w:r>
    </w:p>
    <w:p w14:paraId="5AC2A91E" w14:textId="77777777" w:rsidR="00095932" w:rsidRPr="00095932" w:rsidRDefault="00095932" w:rsidP="00095932">
      <w:pPr>
        <w:pStyle w:val="Prrafodelista"/>
        <w:spacing w:after="0" w:line="360" w:lineRule="auto"/>
        <w:jc w:val="both"/>
        <w:rPr>
          <w:rFonts w:ascii="Palatino Linotype" w:hAnsi="Palatino Linotype" w:cs="Arial"/>
        </w:rPr>
      </w:pPr>
    </w:p>
    <w:p w14:paraId="381B93B7" w14:textId="38DC9462" w:rsidR="00F8557D" w:rsidRPr="0089546B" w:rsidRDefault="0089546B" w:rsidP="0089546B">
      <w:pPr>
        <w:pStyle w:val="Prrafodelista"/>
        <w:spacing w:after="0" w:line="360" w:lineRule="auto"/>
        <w:ind w:left="0"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w:t>
      </w:r>
      <w:r w:rsidR="00646B44" w:rsidRPr="0089546B">
        <w:rPr>
          <w:rFonts w:ascii="Palatino Linotype" w:eastAsia="Palatino Linotype" w:hAnsi="Palatino Linotype" w:cs="Palatino Linotype"/>
          <w:sz w:val="24"/>
          <w:szCs w:val="24"/>
        </w:rPr>
        <w:t>n atención a ello, es conveniente referir que el derecho de acceso a la información pública tiene como limitante el respeto a la intimidad y a la vida privada de las personas, es por ello que</w:t>
      </w:r>
      <w:r>
        <w:rPr>
          <w:rFonts w:ascii="Palatino Linotype" w:eastAsia="Palatino Linotype" w:hAnsi="Palatino Linotype" w:cs="Palatino Linotype"/>
          <w:sz w:val="24"/>
          <w:szCs w:val="24"/>
        </w:rPr>
        <w:t xml:space="preserve">, </w:t>
      </w:r>
      <w:r w:rsidR="00646B44" w:rsidRPr="0089546B">
        <w:rPr>
          <w:rFonts w:ascii="Palatino Linotype" w:eastAsia="Palatino Linotype" w:hAnsi="Palatino Linotype" w:cs="Palatino Linotype"/>
          <w:sz w:val="24"/>
          <w:szCs w:val="24"/>
        </w:rPr>
        <w:t>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14FEAD06" w14:textId="77777777" w:rsidR="00F8557D" w:rsidRPr="008645E3" w:rsidRDefault="00F8557D">
      <w:pPr>
        <w:spacing w:after="0" w:line="360" w:lineRule="auto"/>
        <w:ind w:right="49"/>
        <w:jc w:val="both"/>
        <w:rPr>
          <w:rFonts w:ascii="Palatino Linotype" w:eastAsia="Palatino Linotype" w:hAnsi="Palatino Linotype" w:cs="Palatino Linotype"/>
          <w:sz w:val="24"/>
          <w:szCs w:val="24"/>
        </w:rPr>
      </w:pPr>
    </w:p>
    <w:p w14:paraId="094074FB" w14:textId="77777777" w:rsidR="00F8557D" w:rsidRPr="008645E3" w:rsidRDefault="00646B44">
      <w:pPr>
        <w:spacing w:after="0" w:line="360" w:lineRule="auto"/>
        <w:ind w:right="49"/>
        <w:jc w:val="both"/>
        <w:rPr>
          <w:rFonts w:ascii="Palatino Linotype" w:eastAsia="Palatino Linotype" w:hAnsi="Palatino Linotype" w:cs="Palatino Linotype"/>
          <w:sz w:val="24"/>
          <w:szCs w:val="24"/>
        </w:rPr>
      </w:pPr>
      <w:r w:rsidRPr="008645E3">
        <w:rPr>
          <w:rFonts w:ascii="Palatino Linotype" w:eastAsia="Palatino Linotype" w:hAnsi="Palatino Linotype" w:cs="Palatino Linotype"/>
          <w:sz w:val="24"/>
          <w:szCs w:val="24"/>
        </w:rPr>
        <w:t>De este modo, en armonía entre los principios constitucionales de máxima publicidad y de protección de datos personales, la Ley de Transparencia y Acceso a la Información Pública, permite la elaboración de versiones públicas en las que se suprima aquella información relacionada con la vida privada de las personas, tal como se prevé a continuación:</w:t>
      </w:r>
    </w:p>
    <w:p w14:paraId="08D484B3" w14:textId="77777777" w:rsidR="00F8557D" w:rsidRPr="008645E3" w:rsidRDefault="00F8557D">
      <w:pPr>
        <w:spacing w:after="0" w:line="360" w:lineRule="auto"/>
        <w:ind w:right="49"/>
        <w:jc w:val="both"/>
        <w:rPr>
          <w:rFonts w:ascii="Palatino Linotype" w:eastAsia="Palatino Linotype" w:hAnsi="Palatino Linotype" w:cs="Palatino Linotype"/>
          <w:sz w:val="24"/>
          <w:szCs w:val="24"/>
        </w:rPr>
      </w:pPr>
    </w:p>
    <w:p w14:paraId="5BF36D64" w14:textId="77777777" w:rsidR="00F8557D" w:rsidRPr="008645E3" w:rsidRDefault="00646B44">
      <w:pPr>
        <w:spacing w:after="0" w:line="276" w:lineRule="auto"/>
        <w:ind w:left="567" w:right="560"/>
        <w:jc w:val="both"/>
        <w:rPr>
          <w:rFonts w:ascii="Palatino Linotype" w:eastAsia="Palatino Linotype" w:hAnsi="Palatino Linotype" w:cs="Palatino Linotype"/>
          <w:i/>
        </w:rPr>
      </w:pPr>
      <w:r w:rsidRPr="008645E3">
        <w:rPr>
          <w:rFonts w:ascii="Palatino Linotype" w:eastAsia="Palatino Linotype" w:hAnsi="Palatino Linotype" w:cs="Palatino Linotype"/>
          <w:b/>
          <w:sz w:val="24"/>
          <w:szCs w:val="24"/>
        </w:rPr>
        <w:t xml:space="preserve"> </w:t>
      </w:r>
      <w:r w:rsidRPr="008645E3">
        <w:rPr>
          <w:rFonts w:ascii="Palatino Linotype" w:eastAsia="Palatino Linotype" w:hAnsi="Palatino Linotype" w:cs="Palatino Linotype"/>
          <w:b/>
          <w:i/>
        </w:rPr>
        <w:t>Artículo 143.</w:t>
      </w:r>
      <w:r w:rsidRPr="008645E3">
        <w:rPr>
          <w:rFonts w:ascii="Palatino Linotype" w:eastAsia="Palatino Linotype" w:hAnsi="Palatino Linotype" w:cs="Palatino Linotype"/>
          <w:i/>
        </w:rPr>
        <w:t xml:space="preserve"> Para los efectos de esta Ley se considera información confidencial, la clasificada como tal, de manera permanente, por su naturaleza, cuando:</w:t>
      </w:r>
    </w:p>
    <w:p w14:paraId="24B86F2B" w14:textId="77777777" w:rsidR="00F8557D" w:rsidRPr="008645E3" w:rsidRDefault="00646B44">
      <w:pPr>
        <w:spacing w:after="0" w:line="276" w:lineRule="auto"/>
        <w:ind w:left="567" w:right="560"/>
        <w:jc w:val="both"/>
        <w:rPr>
          <w:rFonts w:ascii="Palatino Linotype" w:eastAsia="Palatino Linotype" w:hAnsi="Palatino Linotype" w:cs="Palatino Linotype"/>
          <w:i/>
        </w:rPr>
      </w:pPr>
      <w:r w:rsidRPr="008645E3">
        <w:rPr>
          <w:rFonts w:ascii="Palatino Linotype" w:eastAsia="Palatino Linotype" w:hAnsi="Palatino Linotype" w:cs="Palatino Linotype"/>
          <w:i/>
        </w:rPr>
        <w:t>I.</w:t>
      </w:r>
      <w:r w:rsidRPr="008645E3">
        <w:rPr>
          <w:rFonts w:ascii="Palatino Linotype" w:eastAsia="Palatino Linotype" w:hAnsi="Palatino Linotype" w:cs="Palatino Linotype"/>
          <w:i/>
        </w:rPr>
        <w:tab/>
        <w:t>Se refiera a la información privada y los datos personales concernientes a una persona física o jurídico colectiva identificada o identificable…</w:t>
      </w:r>
    </w:p>
    <w:p w14:paraId="528D964B" w14:textId="77777777" w:rsidR="00F8557D" w:rsidRPr="008645E3" w:rsidRDefault="00F8557D">
      <w:pPr>
        <w:spacing w:after="0" w:line="360" w:lineRule="auto"/>
        <w:ind w:right="49"/>
        <w:jc w:val="both"/>
        <w:rPr>
          <w:rFonts w:ascii="Palatino Linotype" w:eastAsia="Palatino Linotype" w:hAnsi="Palatino Linotype" w:cs="Palatino Linotype"/>
          <w:sz w:val="24"/>
          <w:szCs w:val="24"/>
        </w:rPr>
      </w:pPr>
    </w:p>
    <w:p w14:paraId="4911FF71" w14:textId="6398D9EB" w:rsidR="00F8557D" w:rsidRPr="008645E3" w:rsidRDefault="00646B44">
      <w:pPr>
        <w:spacing w:after="0" w:line="360" w:lineRule="auto"/>
        <w:ind w:right="49"/>
        <w:jc w:val="both"/>
        <w:rPr>
          <w:rFonts w:ascii="Palatino Linotype" w:eastAsia="Palatino Linotype" w:hAnsi="Palatino Linotype" w:cs="Palatino Linotype"/>
          <w:sz w:val="24"/>
          <w:szCs w:val="24"/>
        </w:rPr>
      </w:pPr>
      <w:r w:rsidRPr="008645E3">
        <w:rPr>
          <w:rFonts w:ascii="Palatino Linotype" w:eastAsia="Palatino Linotype" w:hAnsi="Palatino Linotype" w:cs="Palatino Linotype"/>
          <w:sz w:val="24"/>
          <w:szCs w:val="24"/>
        </w:rPr>
        <w:t>De los preceptos anteriores se desprende que cuando un documento sea proporcionado vía acceso a la información pública, deberá ser entregado testando las secciones o datos que deban ser clasificados, o en su caso, negar el acceso absoluto, cuando se actualicen los supuestos pre</w:t>
      </w:r>
      <w:r w:rsidR="00C60490">
        <w:rPr>
          <w:rFonts w:ascii="Palatino Linotype" w:eastAsia="Palatino Linotype" w:hAnsi="Palatino Linotype" w:cs="Palatino Linotype"/>
          <w:sz w:val="24"/>
          <w:szCs w:val="24"/>
        </w:rPr>
        <w:t>vistos por la Ley en la materia</w:t>
      </w:r>
    </w:p>
    <w:p w14:paraId="52815DCD" w14:textId="77777777" w:rsidR="00F8557D" w:rsidRDefault="00646B44">
      <w:pPr>
        <w:spacing w:after="0" w:line="360" w:lineRule="auto"/>
        <w:ind w:right="49"/>
        <w:jc w:val="both"/>
        <w:rPr>
          <w:rFonts w:ascii="Palatino Linotype" w:eastAsia="Palatino Linotype" w:hAnsi="Palatino Linotype" w:cs="Palatino Linotype"/>
          <w:sz w:val="24"/>
          <w:szCs w:val="24"/>
        </w:rPr>
      </w:pPr>
      <w:r w:rsidRPr="008645E3">
        <w:rPr>
          <w:rFonts w:ascii="Palatino Linotype" w:eastAsia="Palatino Linotype" w:hAnsi="Palatino Linotype" w:cs="Palatino Linotype"/>
          <w:sz w:val="24"/>
          <w:szCs w:val="24"/>
        </w:rPr>
        <w:lastRenderedPageBreak/>
        <w:t>Ahora bien, es de señalar que la clasificación de la información no opera con la simple supresión de datos que se haga en los documentos de que se trate, sino que deberá seguirse el proceso que disponen los artículos 49 fracción VIII, 53, fracción X y 59, fracción V, de la Ley en consulta, que refieren lo siguiente:</w:t>
      </w:r>
    </w:p>
    <w:p w14:paraId="47F873D0" w14:textId="77777777" w:rsidR="008645E3" w:rsidRPr="008645E3" w:rsidRDefault="008645E3">
      <w:pPr>
        <w:spacing w:after="0" w:line="360" w:lineRule="auto"/>
        <w:ind w:right="49"/>
        <w:jc w:val="both"/>
        <w:rPr>
          <w:rFonts w:ascii="Palatino Linotype" w:eastAsia="Palatino Linotype" w:hAnsi="Palatino Linotype" w:cs="Palatino Linotype"/>
          <w:sz w:val="24"/>
          <w:szCs w:val="24"/>
        </w:rPr>
      </w:pPr>
    </w:p>
    <w:p w14:paraId="217FD372" w14:textId="77777777" w:rsidR="00F8557D" w:rsidRPr="008645E3" w:rsidRDefault="00646B44">
      <w:pPr>
        <w:spacing w:after="0" w:line="276" w:lineRule="auto"/>
        <w:ind w:left="567" w:right="560"/>
        <w:jc w:val="both"/>
        <w:rPr>
          <w:rFonts w:ascii="Palatino Linotype" w:eastAsia="Palatino Linotype" w:hAnsi="Palatino Linotype" w:cs="Palatino Linotype"/>
          <w:i/>
        </w:rPr>
      </w:pPr>
      <w:r w:rsidRPr="008645E3">
        <w:rPr>
          <w:rFonts w:ascii="Palatino Linotype" w:eastAsia="Palatino Linotype" w:hAnsi="Palatino Linotype" w:cs="Palatino Linotype"/>
          <w:b/>
          <w:i/>
        </w:rPr>
        <w:t>Artículo 49.</w:t>
      </w:r>
      <w:r w:rsidRPr="008645E3">
        <w:rPr>
          <w:rFonts w:ascii="Palatino Linotype" w:eastAsia="Palatino Linotype" w:hAnsi="Palatino Linotype" w:cs="Palatino Linotype"/>
          <w:i/>
        </w:rPr>
        <w:t xml:space="preserve"> Los Comités de Transparencia tendrán las siguientes atribuciones:</w:t>
      </w:r>
    </w:p>
    <w:p w14:paraId="3FDF90EF" w14:textId="77777777" w:rsidR="00F8557D" w:rsidRPr="008645E3" w:rsidRDefault="00646B44">
      <w:pPr>
        <w:spacing w:after="0" w:line="276" w:lineRule="auto"/>
        <w:ind w:left="567" w:right="560"/>
        <w:jc w:val="both"/>
        <w:rPr>
          <w:rFonts w:ascii="Palatino Linotype" w:eastAsia="Palatino Linotype" w:hAnsi="Palatino Linotype" w:cs="Palatino Linotype"/>
          <w:i/>
        </w:rPr>
      </w:pPr>
      <w:r w:rsidRPr="008645E3">
        <w:rPr>
          <w:rFonts w:ascii="Palatino Linotype" w:eastAsia="Palatino Linotype" w:hAnsi="Palatino Linotype" w:cs="Palatino Linotype"/>
          <w:i/>
        </w:rPr>
        <w:t>…</w:t>
      </w:r>
    </w:p>
    <w:p w14:paraId="7EC7F677" w14:textId="77777777" w:rsidR="00F8557D" w:rsidRPr="008645E3" w:rsidRDefault="00646B44">
      <w:pPr>
        <w:spacing w:after="0" w:line="276" w:lineRule="auto"/>
        <w:ind w:left="567" w:right="560"/>
        <w:jc w:val="both"/>
        <w:rPr>
          <w:rFonts w:ascii="Palatino Linotype" w:eastAsia="Palatino Linotype" w:hAnsi="Palatino Linotype" w:cs="Palatino Linotype"/>
          <w:i/>
        </w:rPr>
      </w:pPr>
      <w:r w:rsidRPr="008645E3">
        <w:rPr>
          <w:rFonts w:ascii="Palatino Linotype" w:eastAsia="Palatino Linotype" w:hAnsi="Palatino Linotype" w:cs="Palatino Linotype"/>
          <w:i/>
        </w:rPr>
        <w:t>VIII. Aprobar, modificar o revocar la clasificación de la información</w:t>
      </w:r>
    </w:p>
    <w:p w14:paraId="584724AC" w14:textId="77777777" w:rsidR="00F8557D" w:rsidRPr="008645E3" w:rsidRDefault="00646B44">
      <w:pPr>
        <w:spacing w:after="0" w:line="276" w:lineRule="auto"/>
        <w:ind w:left="567" w:right="560"/>
        <w:jc w:val="both"/>
        <w:rPr>
          <w:rFonts w:ascii="Palatino Linotype" w:eastAsia="Palatino Linotype" w:hAnsi="Palatino Linotype" w:cs="Palatino Linotype"/>
          <w:i/>
        </w:rPr>
      </w:pPr>
      <w:r w:rsidRPr="008645E3">
        <w:rPr>
          <w:rFonts w:ascii="Palatino Linotype" w:eastAsia="Palatino Linotype" w:hAnsi="Palatino Linotype" w:cs="Palatino Linotype"/>
          <w:i/>
        </w:rPr>
        <w:t>…</w:t>
      </w:r>
    </w:p>
    <w:p w14:paraId="3C56B4A0" w14:textId="77777777" w:rsidR="00F8557D" w:rsidRPr="008645E3" w:rsidRDefault="00F8557D">
      <w:pPr>
        <w:spacing w:after="0" w:line="276" w:lineRule="auto"/>
        <w:ind w:left="567" w:right="560"/>
        <w:jc w:val="both"/>
        <w:rPr>
          <w:rFonts w:ascii="Palatino Linotype" w:eastAsia="Palatino Linotype" w:hAnsi="Palatino Linotype" w:cs="Palatino Linotype"/>
          <w:i/>
        </w:rPr>
      </w:pPr>
    </w:p>
    <w:p w14:paraId="655C254E" w14:textId="77777777" w:rsidR="00F8557D" w:rsidRPr="008645E3" w:rsidRDefault="00646B44">
      <w:pPr>
        <w:spacing w:after="0" w:line="276" w:lineRule="auto"/>
        <w:ind w:left="567" w:right="560"/>
        <w:jc w:val="both"/>
        <w:rPr>
          <w:rFonts w:ascii="Palatino Linotype" w:eastAsia="Palatino Linotype" w:hAnsi="Palatino Linotype" w:cs="Palatino Linotype"/>
          <w:i/>
        </w:rPr>
      </w:pPr>
      <w:r w:rsidRPr="008645E3">
        <w:rPr>
          <w:rFonts w:ascii="Palatino Linotype" w:eastAsia="Palatino Linotype" w:hAnsi="Palatino Linotype" w:cs="Palatino Linotype"/>
          <w:b/>
          <w:i/>
        </w:rPr>
        <w:t>Artículo 53.</w:t>
      </w:r>
      <w:r w:rsidRPr="008645E3">
        <w:rPr>
          <w:rFonts w:ascii="Palatino Linotype" w:eastAsia="Palatino Linotype" w:hAnsi="Palatino Linotype" w:cs="Palatino Linotype"/>
          <w:i/>
        </w:rPr>
        <w:t xml:space="preserve"> Las Unidades de Transparencia tendrán las siguientes funciones:</w:t>
      </w:r>
    </w:p>
    <w:p w14:paraId="1B10109B" w14:textId="77777777" w:rsidR="00F8557D" w:rsidRPr="008645E3" w:rsidRDefault="00646B44">
      <w:pPr>
        <w:spacing w:after="0" w:line="276" w:lineRule="auto"/>
        <w:ind w:left="567" w:right="560"/>
        <w:jc w:val="both"/>
        <w:rPr>
          <w:rFonts w:ascii="Palatino Linotype" w:eastAsia="Palatino Linotype" w:hAnsi="Palatino Linotype" w:cs="Palatino Linotype"/>
          <w:i/>
        </w:rPr>
      </w:pPr>
      <w:r w:rsidRPr="008645E3">
        <w:rPr>
          <w:rFonts w:ascii="Palatino Linotype" w:eastAsia="Palatino Linotype" w:hAnsi="Palatino Linotype" w:cs="Palatino Linotype"/>
          <w:i/>
        </w:rPr>
        <w:t>…</w:t>
      </w:r>
    </w:p>
    <w:p w14:paraId="5259DA08" w14:textId="77777777" w:rsidR="00F8557D" w:rsidRPr="008645E3" w:rsidRDefault="00646B44">
      <w:pPr>
        <w:spacing w:after="0" w:line="276" w:lineRule="auto"/>
        <w:ind w:left="567" w:right="560"/>
        <w:jc w:val="both"/>
        <w:rPr>
          <w:rFonts w:ascii="Palatino Linotype" w:eastAsia="Palatino Linotype" w:hAnsi="Palatino Linotype" w:cs="Palatino Linotype"/>
          <w:i/>
        </w:rPr>
      </w:pPr>
      <w:r w:rsidRPr="008645E3">
        <w:rPr>
          <w:rFonts w:ascii="Palatino Linotype" w:eastAsia="Palatino Linotype" w:hAnsi="Palatino Linotype" w:cs="Palatino Linotype"/>
          <w:i/>
        </w:rPr>
        <w:t xml:space="preserve">X. Presentar ante el Comité, el proyecto de clasificación de información…” </w:t>
      </w:r>
    </w:p>
    <w:p w14:paraId="2B10E579" w14:textId="6E39D242" w:rsidR="00F8557D" w:rsidRPr="008645E3" w:rsidRDefault="00646B44" w:rsidP="0089546B">
      <w:pPr>
        <w:spacing w:after="0" w:line="276" w:lineRule="auto"/>
        <w:ind w:left="567" w:right="560"/>
        <w:jc w:val="both"/>
        <w:rPr>
          <w:rFonts w:ascii="Palatino Linotype" w:eastAsia="Palatino Linotype" w:hAnsi="Palatino Linotype" w:cs="Palatino Linotype"/>
          <w:i/>
        </w:rPr>
      </w:pPr>
      <w:r w:rsidRPr="008645E3">
        <w:rPr>
          <w:rFonts w:ascii="Palatino Linotype" w:eastAsia="Palatino Linotype" w:hAnsi="Palatino Linotype" w:cs="Palatino Linotype"/>
          <w:i/>
        </w:rPr>
        <w:t>…</w:t>
      </w:r>
    </w:p>
    <w:p w14:paraId="424014F8" w14:textId="77777777" w:rsidR="00F8557D" w:rsidRPr="008645E3" w:rsidRDefault="00646B44">
      <w:pPr>
        <w:spacing w:after="0" w:line="276" w:lineRule="auto"/>
        <w:ind w:left="567" w:right="560"/>
        <w:jc w:val="both"/>
        <w:rPr>
          <w:rFonts w:ascii="Palatino Linotype" w:eastAsia="Palatino Linotype" w:hAnsi="Palatino Linotype" w:cs="Palatino Linotype"/>
          <w:i/>
        </w:rPr>
      </w:pPr>
      <w:r w:rsidRPr="008645E3">
        <w:rPr>
          <w:rFonts w:ascii="Palatino Linotype" w:eastAsia="Palatino Linotype" w:hAnsi="Palatino Linotype" w:cs="Palatino Linotype"/>
          <w:b/>
          <w:i/>
        </w:rPr>
        <w:t>Artículo 59.</w:t>
      </w:r>
      <w:r w:rsidRPr="008645E3">
        <w:rPr>
          <w:rFonts w:ascii="Palatino Linotype" w:eastAsia="Palatino Linotype" w:hAnsi="Palatino Linotype" w:cs="Palatino Linotype"/>
          <w:i/>
        </w:rPr>
        <w:t xml:space="preserve"> Los servidores públicos habilitados tendrán las funciones siguientes:</w:t>
      </w:r>
    </w:p>
    <w:p w14:paraId="2F7148E8" w14:textId="77777777" w:rsidR="00F8557D" w:rsidRPr="008645E3" w:rsidRDefault="00646B44">
      <w:pPr>
        <w:spacing w:after="0" w:line="276" w:lineRule="auto"/>
        <w:ind w:left="567" w:right="560"/>
        <w:jc w:val="both"/>
        <w:rPr>
          <w:rFonts w:ascii="Palatino Linotype" w:eastAsia="Palatino Linotype" w:hAnsi="Palatino Linotype" w:cs="Palatino Linotype"/>
          <w:i/>
        </w:rPr>
      </w:pPr>
      <w:r w:rsidRPr="008645E3">
        <w:rPr>
          <w:rFonts w:ascii="Palatino Linotype" w:eastAsia="Palatino Linotype" w:hAnsi="Palatino Linotype" w:cs="Palatino Linotype"/>
          <w:i/>
        </w:rPr>
        <w:t>….</w:t>
      </w:r>
    </w:p>
    <w:p w14:paraId="2806CBD1" w14:textId="77777777" w:rsidR="00F8557D" w:rsidRPr="008645E3" w:rsidRDefault="00646B44">
      <w:pPr>
        <w:spacing w:after="0" w:line="276" w:lineRule="auto"/>
        <w:ind w:left="567" w:right="560"/>
        <w:jc w:val="both"/>
        <w:rPr>
          <w:rFonts w:ascii="Palatino Linotype" w:eastAsia="Palatino Linotype" w:hAnsi="Palatino Linotype" w:cs="Palatino Linotype"/>
          <w:i/>
        </w:rPr>
      </w:pPr>
      <w:r w:rsidRPr="008645E3">
        <w:rPr>
          <w:rFonts w:ascii="Palatino Linotype" w:eastAsia="Palatino Linotype" w:hAnsi="Palatino Linotype" w:cs="Palatino Linotype"/>
          <w:i/>
        </w:rPr>
        <w:t>V. Integrar y presentar al responsable de la Unidad de Transparencia la propuesta de clasificación de información, la cual tendrá los fundamentos y argumentos en que se basa dicha propuesta</w:t>
      </w:r>
    </w:p>
    <w:p w14:paraId="27C5DB1B" w14:textId="77777777" w:rsidR="00F8557D" w:rsidRPr="008645E3" w:rsidRDefault="00646B44">
      <w:pPr>
        <w:spacing w:after="0" w:line="276" w:lineRule="auto"/>
        <w:ind w:left="567" w:right="560"/>
        <w:jc w:val="both"/>
        <w:rPr>
          <w:rFonts w:ascii="Palatino Linotype" w:eastAsia="Palatino Linotype" w:hAnsi="Palatino Linotype" w:cs="Palatino Linotype"/>
          <w:i/>
        </w:rPr>
      </w:pPr>
      <w:r w:rsidRPr="008645E3">
        <w:rPr>
          <w:rFonts w:ascii="Palatino Linotype" w:eastAsia="Palatino Linotype" w:hAnsi="Palatino Linotype" w:cs="Palatino Linotype"/>
          <w:i/>
        </w:rPr>
        <w:t>…</w:t>
      </w:r>
    </w:p>
    <w:p w14:paraId="6C736DE7" w14:textId="77777777" w:rsidR="00F8557D" w:rsidRPr="008645E3" w:rsidRDefault="00646B44">
      <w:pPr>
        <w:spacing w:after="0" w:line="276" w:lineRule="auto"/>
        <w:ind w:left="567" w:right="560"/>
        <w:jc w:val="both"/>
        <w:rPr>
          <w:rFonts w:ascii="Palatino Linotype" w:eastAsia="Palatino Linotype" w:hAnsi="Palatino Linotype" w:cs="Palatino Linotype"/>
          <w:i/>
        </w:rPr>
      </w:pPr>
      <w:r w:rsidRPr="008645E3">
        <w:rPr>
          <w:rFonts w:ascii="Palatino Linotype" w:eastAsia="Palatino Linotype" w:hAnsi="Palatino Linotype" w:cs="Palatino Linotype"/>
          <w:i/>
        </w:rPr>
        <w:t xml:space="preserve"> </w:t>
      </w:r>
    </w:p>
    <w:p w14:paraId="234C219E" w14:textId="77777777" w:rsidR="00F8557D" w:rsidRPr="008645E3" w:rsidRDefault="00646B44">
      <w:pPr>
        <w:spacing w:after="0" w:line="360" w:lineRule="auto"/>
        <w:ind w:right="49"/>
        <w:jc w:val="both"/>
        <w:rPr>
          <w:rFonts w:ascii="Palatino Linotype" w:eastAsia="Palatino Linotype" w:hAnsi="Palatino Linotype" w:cs="Palatino Linotype"/>
          <w:sz w:val="24"/>
          <w:szCs w:val="24"/>
        </w:rPr>
      </w:pPr>
      <w:r w:rsidRPr="008645E3">
        <w:rPr>
          <w:rFonts w:ascii="Palatino Linotype" w:eastAsia="Palatino Linotype" w:hAnsi="Palatino Linotype" w:cs="Palatino Linotype"/>
          <w:sz w:val="24"/>
          <w:szCs w:val="24"/>
        </w:rPr>
        <w:t xml:space="preserve">Por último, cabe resaltar que respecto a la versión pública de los documentos que contenga la información solicitada, el Comité de Transparencia del sujeto obligado, deberá emitir el acuerdo de clasificación de información debidamente fundado y motivado, en términos del artículo 149 de la Ley en la materia, que establece: </w:t>
      </w:r>
    </w:p>
    <w:p w14:paraId="3AB2770D" w14:textId="77777777" w:rsidR="00F8557D" w:rsidRPr="008645E3" w:rsidRDefault="00F8557D">
      <w:pPr>
        <w:spacing w:after="0" w:line="360" w:lineRule="auto"/>
        <w:ind w:right="49"/>
        <w:jc w:val="both"/>
        <w:rPr>
          <w:rFonts w:ascii="Palatino Linotype" w:eastAsia="Palatino Linotype" w:hAnsi="Palatino Linotype" w:cs="Palatino Linotype"/>
          <w:sz w:val="24"/>
          <w:szCs w:val="24"/>
        </w:rPr>
      </w:pPr>
    </w:p>
    <w:p w14:paraId="6B8E0097" w14:textId="77777777" w:rsidR="00F8557D" w:rsidRPr="008645E3" w:rsidRDefault="00646B44">
      <w:pPr>
        <w:spacing w:after="0" w:line="360" w:lineRule="auto"/>
        <w:ind w:left="567" w:right="560"/>
        <w:jc w:val="both"/>
        <w:rPr>
          <w:rFonts w:ascii="Palatino Linotype" w:eastAsia="Palatino Linotype" w:hAnsi="Palatino Linotype" w:cs="Palatino Linotype"/>
          <w:i/>
        </w:rPr>
      </w:pPr>
      <w:r w:rsidRPr="008645E3">
        <w:rPr>
          <w:rFonts w:ascii="Palatino Linotype" w:eastAsia="Palatino Linotype" w:hAnsi="Palatino Linotype" w:cs="Palatino Linotype"/>
          <w:b/>
          <w:i/>
        </w:rPr>
        <w:t>Artículo 149.</w:t>
      </w:r>
      <w:r w:rsidRPr="008645E3">
        <w:rPr>
          <w:rFonts w:ascii="Palatino Linotype" w:eastAsia="Palatino Linotype" w:hAnsi="Palatino Linotype" w:cs="Palatino Linotype"/>
          <w:i/>
        </w:rPr>
        <w:t xml:space="preserve"> El acuerdo que clasifique la información como confidencial deberá contener un razonamiento lógico en el que demuestre que la información se encuentra en alguna o algunas de las hipótesis previstas en la presente Ley.</w:t>
      </w:r>
    </w:p>
    <w:p w14:paraId="41B99D03" w14:textId="77777777" w:rsidR="00F8557D" w:rsidRPr="008645E3" w:rsidRDefault="00646B44">
      <w:pPr>
        <w:spacing w:after="0" w:line="360" w:lineRule="auto"/>
        <w:ind w:right="49"/>
        <w:jc w:val="both"/>
        <w:rPr>
          <w:rFonts w:ascii="Palatino Linotype" w:eastAsia="Palatino Linotype" w:hAnsi="Palatino Linotype" w:cs="Palatino Linotype"/>
          <w:sz w:val="24"/>
          <w:szCs w:val="24"/>
        </w:rPr>
      </w:pPr>
      <w:r w:rsidRPr="008645E3">
        <w:rPr>
          <w:rFonts w:ascii="Palatino Linotype" w:eastAsia="Palatino Linotype" w:hAnsi="Palatino Linotype" w:cs="Palatino Linotype"/>
          <w:sz w:val="24"/>
          <w:szCs w:val="24"/>
        </w:rPr>
        <w:lastRenderedPageBreak/>
        <w:t xml:space="preserve"> </w:t>
      </w:r>
    </w:p>
    <w:p w14:paraId="08C9552F" w14:textId="77777777" w:rsidR="00F8557D" w:rsidRDefault="00646B44">
      <w:pPr>
        <w:spacing w:after="0" w:line="360" w:lineRule="auto"/>
        <w:ind w:right="49"/>
        <w:jc w:val="both"/>
        <w:rPr>
          <w:rFonts w:ascii="Palatino Linotype" w:eastAsia="Palatino Linotype" w:hAnsi="Palatino Linotype" w:cs="Palatino Linotype"/>
          <w:sz w:val="24"/>
          <w:szCs w:val="24"/>
        </w:rPr>
      </w:pPr>
      <w:r w:rsidRPr="008645E3">
        <w:rPr>
          <w:rFonts w:ascii="Palatino Linotype" w:eastAsia="Palatino Linotype" w:hAnsi="Palatino Linotype" w:cs="Palatino Linotype"/>
          <w:sz w:val="24"/>
          <w:szCs w:val="24"/>
        </w:rPr>
        <w:t xml:space="preserve">Asimismo, deberá observar los numerales Quincuagésimo tercero y Quincuagésimo quinto de los Lineamientos Generales en Materia de Clasificación y Desclasificación de la Información </w:t>
      </w:r>
      <w:proofErr w:type="spellStart"/>
      <w:r w:rsidRPr="008645E3">
        <w:rPr>
          <w:rFonts w:ascii="Palatino Linotype" w:eastAsia="Palatino Linotype" w:hAnsi="Palatino Linotype" w:cs="Palatino Linotype"/>
          <w:sz w:val="24"/>
          <w:szCs w:val="24"/>
        </w:rPr>
        <w:t>supraindicados</w:t>
      </w:r>
      <w:proofErr w:type="spellEnd"/>
      <w:r w:rsidRPr="008645E3">
        <w:rPr>
          <w:rFonts w:ascii="Palatino Linotype" w:eastAsia="Palatino Linotype" w:hAnsi="Palatino Linotype" w:cs="Palatino Linotype"/>
          <w:sz w:val="24"/>
          <w:szCs w:val="24"/>
        </w:rPr>
        <w:t xml:space="preserve">, que establecen los formatos para la clasificación parcial y total de los documentos, conforme a lo siguiente: </w:t>
      </w:r>
    </w:p>
    <w:p w14:paraId="2ED59E6D" w14:textId="77777777" w:rsidR="00F8557D" w:rsidRPr="008645E3" w:rsidRDefault="00F8557D">
      <w:pPr>
        <w:spacing w:after="0" w:line="360" w:lineRule="auto"/>
        <w:ind w:right="49"/>
        <w:jc w:val="both"/>
        <w:rPr>
          <w:rFonts w:ascii="Palatino Linotype" w:eastAsia="Palatino Linotype" w:hAnsi="Palatino Linotype" w:cs="Palatino Linotype"/>
          <w:sz w:val="24"/>
          <w:szCs w:val="24"/>
        </w:rPr>
      </w:pPr>
    </w:p>
    <w:tbl>
      <w:tblPr>
        <w:tblStyle w:val="a2"/>
        <w:tblW w:w="9049" w:type="dxa"/>
        <w:tblInd w:w="-123" w:type="dxa"/>
        <w:tblBorders>
          <w:top w:val="single" w:sz="6" w:space="0" w:color="BFBFBF"/>
          <w:left w:val="single" w:sz="6" w:space="0" w:color="BFBFBF"/>
          <w:bottom w:val="single" w:sz="6" w:space="0" w:color="BFBFBF"/>
          <w:right w:val="single" w:sz="6" w:space="0" w:color="BFBFBF"/>
        </w:tblBorders>
        <w:tblLayout w:type="fixed"/>
        <w:tblLook w:val="0400" w:firstRow="0" w:lastRow="0" w:firstColumn="0" w:lastColumn="0" w:noHBand="0" w:noVBand="1"/>
      </w:tblPr>
      <w:tblGrid>
        <w:gridCol w:w="1386"/>
        <w:gridCol w:w="2848"/>
        <w:gridCol w:w="1501"/>
        <w:gridCol w:w="3314"/>
      </w:tblGrid>
      <w:tr w:rsidR="00F8557D" w:rsidRPr="008645E3" w14:paraId="10BDCE51" w14:textId="77777777">
        <w:tc>
          <w:tcPr>
            <w:tcW w:w="4234" w:type="dxa"/>
            <w:gridSpan w:val="2"/>
            <w:tcBorders>
              <w:top w:val="single" w:sz="6" w:space="0" w:color="BFBFBF"/>
              <w:left w:val="single" w:sz="6" w:space="0" w:color="BFBFBF"/>
              <w:bottom w:val="single" w:sz="6" w:space="0" w:color="BFBFBF"/>
              <w:right w:val="single" w:sz="6" w:space="0" w:color="BFBFBF"/>
            </w:tcBorders>
          </w:tcPr>
          <w:p w14:paraId="542B97D5" w14:textId="77777777" w:rsidR="00F8557D" w:rsidRPr="008645E3" w:rsidRDefault="00646B44" w:rsidP="00095932">
            <w:pPr>
              <w:spacing w:after="0" w:line="360" w:lineRule="auto"/>
              <w:jc w:val="both"/>
              <w:rPr>
                <w:rFonts w:ascii="Palatino Linotype" w:eastAsia="Palatino Linotype" w:hAnsi="Palatino Linotype" w:cs="Palatino Linotype"/>
                <w:sz w:val="18"/>
                <w:szCs w:val="18"/>
              </w:rPr>
            </w:pPr>
            <w:r w:rsidRPr="008645E3">
              <w:rPr>
                <w:rFonts w:ascii="Palatino Linotype" w:eastAsia="Palatino Linotype" w:hAnsi="Palatino Linotype" w:cs="Palatino Linotype"/>
                <w:sz w:val="18"/>
                <w:szCs w:val="18"/>
              </w:rPr>
              <w:t>Parcial</w:t>
            </w:r>
          </w:p>
        </w:tc>
        <w:tc>
          <w:tcPr>
            <w:tcW w:w="4815" w:type="dxa"/>
            <w:gridSpan w:val="2"/>
            <w:tcBorders>
              <w:top w:val="single" w:sz="6" w:space="0" w:color="BFBFBF"/>
              <w:left w:val="single" w:sz="6" w:space="0" w:color="BFBFBF"/>
              <w:bottom w:val="single" w:sz="6" w:space="0" w:color="BFBFBF"/>
              <w:right w:val="single" w:sz="6" w:space="0" w:color="BFBFBF"/>
            </w:tcBorders>
          </w:tcPr>
          <w:p w14:paraId="276CB739" w14:textId="77777777" w:rsidR="00F8557D" w:rsidRPr="008645E3" w:rsidRDefault="00646B44" w:rsidP="00095932">
            <w:pPr>
              <w:spacing w:after="0" w:line="360" w:lineRule="auto"/>
              <w:jc w:val="both"/>
              <w:rPr>
                <w:rFonts w:ascii="Palatino Linotype" w:eastAsia="Palatino Linotype" w:hAnsi="Palatino Linotype" w:cs="Palatino Linotype"/>
                <w:sz w:val="18"/>
                <w:szCs w:val="18"/>
              </w:rPr>
            </w:pPr>
            <w:r w:rsidRPr="008645E3">
              <w:rPr>
                <w:rFonts w:ascii="Palatino Linotype" w:eastAsia="Palatino Linotype" w:hAnsi="Palatino Linotype" w:cs="Palatino Linotype"/>
                <w:sz w:val="18"/>
                <w:szCs w:val="18"/>
              </w:rPr>
              <w:t>Total</w:t>
            </w:r>
          </w:p>
        </w:tc>
      </w:tr>
      <w:tr w:rsidR="00F8557D" w:rsidRPr="008645E3" w14:paraId="3E969D22" w14:textId="77777777">
        <w:tc>
          <w:tcPr>
            <w:tcW w:w="1386" w:type="dxa"/>
            <w:tcBorders>
              <w:top w:val="single" w:sz="6" w:space="0" w:color="BFBFBF"/>
              <w:left w:val="single" w:sz="6" w:space="0" w:color="BFBFBF"/>
              <w:bottom w:val="single" w:sz="6" w:space="0" w:color="BFBFBF"/>
              <w:right w:val="single" w:sz="6" w:space="0" w:color="BFBFBF"/>
            </w:tcBorders>
          </w:tcPr>
          <w:p w14:paraId="5CA0AD46" w14:textId="77777777" w:rsidR="00F8557D" w:rsidRPr="008645E3" w:rsidRDefault="00646B44" w:rsidP="00095932">
            <w:pPr>
              <w:spacing w:after="0" w:line="360" w:lineRule="auto"/>
              <w:jc w:val="both"/>
              <w:rPr>
                <w:rFonts w:ascii="Palatino Linotype" w:eastAsia="Palatino Linotype" w:hAnsi="Palatino Linotype" w:cs="Palatino Linotype"/>
                <w:sz w:val="18"/>
                <w:szCs w:val="18"/>
              </w:rPr>
            </w:pPr>
            <w:r w:rsidRPr="008645E3">
              <w:rPr>
                <w:rFonts w:ascii="Palatino Linotype" w:eastAsia="Palatino Linotype" w:hAnsi="Palatino Linotype" w:cs="Palatino Linotype"/>
                <w:sz w:val="18"/>
                <w:szCs w:val="18"/>
              </w:rPr>
              <w:t>Concepto</w:t>
            </w:r>
          </w:p>
        </w:tc>
        <w:tc>
          <w:tcPr>
            <w:tcW w:w="2848" w:type="dxa"/>
            <w:tcBorders>
              <w:top w:val="single" w:sz="6" w:space="0" w:color="BFBFBF"/>
              <w:left w:val="single" w:sz="6" w:space="0" w:color="BFBFBF"/>
              <w:bottom w:val="single" w:sz="6" w:space="0" w:color="BFBFBF"/>
              <w:right w:val="single" w:sz="6" w:space="0" w:color="BFBFBF"/>
            </w:tcBorders>
          </w:tcPr>
          <w:p w14:paraId="1B244AF2" w14:textId="77777777" w:rsidR="00F8557D" w:rsidRPr="008645E3" w:rsidRDefault="00646B44" w:rsidP="00095932">
            <w:pPr>
              <w:spacing w:after="0" w:line="360" w:lineRule="auto"/>
              <w:jc w:val="both"/>
              <w:rPr>
                <w:rFonts w:ascii="Palatino Linotype" w:eastAsia="Palatino Linotype" w:hAnsi="Palatino Linotype" w:cs="Palatino Linotype"/>
                <w:sz w:val="18"/>
                <w:szCs w:val="18"/>
              </w:rPr>
            </w:pPr>
            <w:r w:rsidRPr="008645E3">
              <w:rPr>
                <w:rFonts w:ascii="Palatino Linotype" w:eastAsia="Palatino Linotype" w:hAnsi="Palatino Linotype" w:cs="Palatino Linotype"/>
                <w:b/>
                <w:sz w:val="18"/>
                <w:szCs w:val="18"/>
              </w:rPr>
              <w:t>Dónde</w:t>
            </w:r>
          </w:p>
        </w:tc>
        <w:tc>
          <w:tcPr>
            <w:tcW w:w="1501" w:type="dxa"/>
            <w:tcBorders>
              <w:top w:val="single" w:sz="6" w:space="0" w:color="BFBFBF"/>
              <w:left w:val="single" w:sz="6" w:space="0" w:color="BFBFBF"/>
              <w:bottom w:val="single" w:sz="6" w:space="0" w:color="BFBFBF"/>
              <w:right w:val="single" w:sz="6" w:space="0" w:color="BFBFBF"/>
            </w:tcBorders>
          </w:tcPr>
          <w:p w14:paraId="5A5BEAB2" w14:textId="77777777" w:rsidR="00F8557D" w:rsidRPr="008645E3" w:rsidRDefault="00646B44" w:rsidP="00095932">
            <w:pPr>
              <w:spacing w:after="0" w:line="360" w:lineRule="auto"/>
              <w:jc w:val="both"/>
              <w:rPr>
                <w:rFonts w:ascii="Palatino Linotype" w:eastAsia="Palatino Linotype" w:hAnsi="Palatino Linotype" w:cs="Palatino Linotype"/>
                <w:sz w:val="18"/>
                <w:szCs w:val="18"/>
              </w:rPr>
            </w:pPr>
            <w:r w:rsidRPr="008645E3">
              <w:rPr>
                <w:rFonts w:ascii="Palatino Linotype" w:eastAsia="Palatino Linotype" w:hAnsi="Palatino Linotype" w:cs="Palatino Linotype"/>
                <w:b/>
                <w:sz w:val="18"/>
                <w:szCs w:val="18"/>
              </w:rPr>
              <w:t>Concepto</w:t>
            </w:r>
          </w:p>
        </w:tc>
        <w:tc>
          <w:tcPr>
            <w:tcW w:w="3314" w:type="dxa"/>
            <w:tcBorders>
              <w:top w:val="single" w:sz="6" w:space="0" w:color="BFBFBF"/>
              <w:left w:val="single" w:sz="6" w:space="0" w:color="BFBFBF"/>
              <w:bottom w:val="single" w:sz="6" w:space="0" w:color="BFBFBF"/>
              <w:right w:val="single" w:sz="6" w:space="0" w:color="BFBFBF"/>
            </w:tcBorders>
          </w:tcPr>
          <w:p w14:paraId="1347A521" w14:textId="77777777" w:rsidR="00F8557D" w:rsidRPr="008645E3" w:rsidRDefault="00646B44" w:rsidP="00095932">
            <w:pPr>
              <w:spacing w:after="0" w:line="360" w:lineRule="auto"/>
              <w:jc w:val="both"/>
              <w:rPr>
                <w:rFonts w:ascii="Palatino Linotype" w:eastAsia="Palatino Linotype" w:hAnsi="Palatino Linotype" w:cs="Palatino Linotype"/>
                <w:sz w:val="18"/>
                <w:szCs w:val="18"/>
              </w:rPr>
            </w:pPr>
            <w:r w:rsidRPr="008645E3">
              <w:rPr>
                <w:rFonts w:ascii="Palatino Linotype" w:eastAsia="Palatino Linotype" w:hAnsi="Palatino Linotype" w:cs="Palatino Linotype"/>
                <w:b/>
                <w:sz w:val="18"/>
                <w:szCs w:val="18"/>
              </w:rPr>
              <w:t>Dónde</w:t>
            </w:r>
          </w:p>
        </w:tc>
      </w:tr>
      <w:tr w:rsidR="00F8557D" w:rsidRPr="008645E3" w14:paraId="136A5B94" w14:textId="77777777">
        <w:tc>
          <w:tcPr>
            <w:tcW w:w="9049" w:type="dxa"/>
            <w:gridSpan w:val="4"/>
            <w:tcBorders>
              <w:top w:val="single" w:sz="6" w:space="0" w:color="BFBFBF"/>
              <w:left w:val="single" w:sz="6" w:space="0" w:color="BFBFBF"/>
              <w:bottom w:val="single" w:sz="6" w:space="0" w:color="BFBFBF"/>
              <w:right w:val="single" w:sz="6" w:space="0" w:color="BFBFBF"/>
            </w:tcBorders>
          </w:tcPr>
          <w:p w14:paraId="3316F965" w14:textId="77777777" w:rsidR="00F8557D" w:rsidRPr="008645E3" w:rsidRDefault="00646B44" w:rsidP="00095932">
            <w:pPr>
              <w:spacing w:after="0" w:line="360" w:lineRule="auto"/>
              <w:jc w:val="both"/>
              <w:rPr>
                <w:rFonts w:ascii="Palatino Linotype" w:eastAsia="Palatino Linotype" w:hAnsi="Palatino Linotype" w:cs="Palatino Linotype"/>
                <w:sz w:val="18"/>
                <w:szCs w:val="18"/>
              </w:rPr>
            </w:pPr>
            <w:r w:rsidRPr="008645E3">
              <w:rPr>
                <w:rFonts w:ascii="Palatino Linotype" w:eastAsia="Palatino Linotype" w:hAnsi="Palatino Linotype" w:cs="Palatino Linotype"/>
                <w:sz w:val="18"/>
                <w:szCs w:val="18"/>
              </w:rPr>
              <w:t>Sello oficial o logotipo del sujeto obligado</w:t>
            </w:r>
          </w:p>
        </w:tc>
      </w:tr>
      <w:tr w:rsidR="00F8557D" w:rsidRPr="008645E3" w14:paraId="57AC5C53" w14:textId="77777777">
        <w:tc>
          <w:tcPr>
            <w:tcW w:w="1386" w:type="dxa"/>
            <w:tcBorders>
              <w:top w:val="single" w:sz="6" w:space="0" w:color="BFBFBF"/>
              <w:left w:val="single" w:sz="6" w:space="0" w:color="BFBFBF"/>
              <w:bottom w:val="single" w:sz="6" w:space="0" w:color="BFBFBF"/>
              <w:right w:val="single" w:sz="6" w:space="0" w:color="BFBFBF"/>
            </w:tcBorders>
          </w:tcPr>
          <w:p w14:paraId="724805F8" w14:textId="77777777" w:rsidR="00F8557D" w:rsidRPr="008645E3" w:rsidRDefault="00646B44" w:rsidP="00095932">
            <w:pPr>
              <w:spacing w:after="0" w:line="360" w:lineRule="auto"/>
              <w:jc w:val="both"/>
              <w:rPr>
                <w:rFonts w:ascii="Palatino Linotype" w:eastAsia="Palatino Linotype" w:hAnsi="Palatino Linotype" w:cs="Palatino Linotype"/>
                <w:sz w:val="18"/>
                <w:szCs w:val="18"/>
              </w:rPr>
            </w:pPr>
            <w:r w:rsidRPr="008645E3">
              <w:rPr>
                <w:rFonts w:ascii="Palatino Linotype" w:eastAsia="Palatino Linotype" w:hAnsi="Palatino Linotype" w:cs="Palatino Linotype"/>
                <w:sz w:val="18"/>
                <w:szCs w:val="18"/>
              </w:rPr>
              <w:t>Fecha de clasificación</w:t>
            </w:r>
          </w:p>
        </w:tc>
        <w:tc>
          <w:tcPr>
            <w:tcW w:w="2848" w:type="dxa"/>
            <w:tcBorders>
              <w:top w:val="single" w:sz="6" w:space="0" w:color="BFBFBF"/>
              <w:left w:val="single" w:sz="6" w:space="0" w:color="BFBFBF"/>
              <w:bottom w:val="single" w:sz="6" w:space="0" w:color="BFBFBF"/>
              <w:right w:val="single" w:sz="6" w:space="0" w:color="BFBFBF"/>
            </w:tcBorders>
          </w:tcPr>
          <w:p w14:paraId="5019E6B1" w14:textId="77777777" w:rsidR="00F8557D" w:rsidRPr="008645E3" w:rsidRDefault="00646B44" w:rsidP="00095932">
            <w:pPr>
              <w:spacing w:after="0" w:line="360" w:lineRule="auto"/>
              <w:jc w:val="both"/>
              <w:rPr>
                <w:rFonts w:ascii="Palatino Linotype" w:eastAsia="Palatino Linotype" w:hAnsi="Palatino Linotype" w:cs="Palatino Linotype"/>
                <w:sz w:val="18"/>
                <w:szCs w:val="18"/>
              </w:rPr>
            </w:pPr>
            <w:r w:rsidRPr="008645E3">
              <w:rPr>
                <w:rFonts w:ascii="Palatino Linotype" w:eastAsia="Palatino Linotype" w:hAnsi="Palatino Linotype" w:cs="Palatino Linotype"/>
                <w:sz w:val="18"/>
                <w:szCs w:val="18"/>
              </w:rPr>
              <w:t>Se anotará la fecha en la que el Comité de Transparencia confirmó la clasificación del documento, en su caso.</w:t>
            </w:r>
          </w:p>
        </w:tc>
        <w:tc>
          <w:tcPr>
            <w:tcW w:w="1501" w:type="dxa"/>
            <w:tcBorders>
              <w:top w:val="single" w:sz="6" w:space="0" w:color="BFBFBF"/>
              <w:left w:val="single" w:sz="6" w:space="0" w:color="BFBFBF"/>
              <w:bottom w:val="single" w:sz="6" w:space="0" w:color="BFBFBF"/>
              <w:right w:val="single" w:sz="6" w:space="0" w:color="BFBFBF"/>
            </w:tcBorders>
          </w:tcPr>
          <w:p w14:paraId="0CB3E7D9" w14:textId="77777777" w:rsidR="00F8557D" w:rsidRPr="008645E3" w:rsidRDefault="00646B44" w:rsidP="00095932">
            <w:pPr>
              <w:spacing w:after="0" w:line="360" w:lineRule="auto"/>
              <w:jc w:val="both"/>
              <w:rPr>
                <w:rFonts w:ascii="Palatino Linotype" w:eastAsia="Palatino Linotype" w:hAnsi="Palatino Linotype" w:cs="Palatino Linotype"/>
                <w:sz w:val="18"/>
                <w:szCs w:val="18"/>
              </w:rPr>
            </w:pPr>
            <w:r w:rsidRPr="008645E3">
              <w:rPr>
                <w:rFonts w:ascii="Palatino Linotype" w:eastAsia="Palatino Linotype" w:hAnsi="Palatino Linotype" w:cs="Palatino Linotype"/>
                <w:b/>
                <w:sz w:val="18"/>
                <w:szCs w:val="18"/>
              </w:rPr>
              <w:t>Fecha de clasificación</w:t>
            </w:r>
          </w:p>
        </w:tc>
        <w:tc>
          <w:tcPr>
            <w:tcW w:w="3314" w:type="dxa"/>
            <w:tcBorders>
              <w:top w:val="single" w:sz="6" w:space="0" w:color="BFBFBF"/>
              <w:left w:val="single" w:sz="6" w:space="0" w:color="BFBFBF"/>
              <w:bottom w:val="single" w:sz="6" w:space="0" w:color="BFBFBF"/>
              <w:right w:val="single" w:sz="6" w:space="0" w:color="BFBFBF"/>
            </w:tcBorders>
          </w:tcPr>
          <w:p w14:paraId="6CD2379C" w14:textId="77777777" w:rsidR="00F8557D" w:rsidRPr="008645E3" w:rsidRDefault="00646B44" w:rsidP="00095932">
            <w:pPr>
              <w:spacing w:after="0" w:line="360" w:lineRule="auto"/>
              <w:jc w:val="both"/>
              <w:rPr>
                <w:rFonts w:ascii="Palatino Linotype" w:eastAsia="Palatino Linotype" w:hAnsi="Palatino Linotype" w:cs="Palatino Linotype"/>
                <w:sz w:val="18"/>
                <w:szCs w:val="18"/>
              </w:rPr>
            </w:pPr>
            <w:r w:rsidRPr="008645E3">
              <w:rPr>
                <w:rFonts w:ascii="Palatino Linotype" w:eastAsia="Palatino Linotype" w:hAnsi="Palatino Linotype" w:cs="Palatino Linotype"/>
                <w:sz w:val="18"/>
                <w:szCs w:val="18"/>
              </w:rPr>
              <w:t>Se anotará la fecha en la que el Comité de Transparencia confirmó la clasificación del documento, en su caso.</w:t>
            </w:r>
          </w:p>
        </w:tc>
      </w:tr>
      <w:tr w:rsidR="00F8557D" w:rsidRPr="008645E3" w14:paraId="26AECC22" w14:textId="77777777">
        <w:tc>
          <w:tcPr>
            <w:tcW w:w="1386" w:type="dxa"/>
            <w:tcBorders>
              <w:top w:val="single" w:sz="6" w:space="0" w:color="BFBFBF"/>
              <w:left w:val="single" w:sz="6" w:space="0" w:color="BFBFBF"/>
              <w:bottom w:val="single" w:sz="6" w:space="0" w:color="BFBFBF"/>
              <w:right w:val="single" w:sz="6" w:space="0" w:color="BFBFBF"/>
            </w:tcBorders>
          </w:tcPr>
          <w:p w14:paraId="0A5EB159" w14:textId="77777777" w:rsidR="00F8557D" w:rsidRPr="008645E3" w:rsidRDefault="00646B44" w:rsidP="00095932">
            <w:pPr>
              <w:spacing w:after="0" w:line="360" w:lineRule="auto"/>
              <w:jc w:val="both"/>
              <w:rPr>
                <w:rFonts w:ascii="Palatino Linotype" w:eastAsia="Palatino Linotype" w:hAnsi="Palatino Linotype" w:cs="Palatino Linotype"/>
                <w:sz w:val="18"/>
                <w:szCs w:val="18"/>
              </w:rPr>
            </w:pPr>
            <w:r w:rsidRPr="008645E3">
              <w:rPr>
                <w:rFonts w:ascii="Palatino Linotype" w:eastAsia="Palatino Linotype" w:hAnsi="Palatino Linotype" w:cs="Palatino Linotype"/>
                <w:sz w:val="18"/>
                <w:szCs w:val="18"/>
              </w:rPr>
              <w:t>Área</w:t>
            </w:r>
          </w:p>
        </w:tc>
        <w:tc>
          <w:tcPr>
            <w:tcW w:w="2848" w:type="dxa"/>
            <w:tcBorders>
              <w:top w:val="single" w:sz="6" w:space="0" w:color="BFBFBF"/>
              <w:left w:val="single" w:sz="6" w:space="0" w:color="BFBFBF"/>
              <w:bottom w:val="single" w:sz="6" w:space="0" w:color="BFBFBF"/>
              <w:right w:val="single" w:sz="6" w:space="0" w:color="BFBFBF"/>
            </w:tcBorders>
          </w:tcPr>
          <w:p w14:paraId="6DC66AF6" w14:textId="77777777" w:rsidR="00F8557D" w:rsidRPr="008645E3" w:rsidRDefault="00646B44" w:rsidP="00095932">
            <w:pPr>
              <w:spacing w:after="0" w:line="360" w:lineRule="auto"/>
              <w:jc w:val="both"/>
              <w:rPr>
                <w:rFonts w:ascii="Palatino Linotype" w:eastAsia="Palatino Linotype" w:hAnsi="Palatino Linotype" w:cs="Palatino Linotype"/>
                <w:sz w:val="18"/>
                <w:szCs w:val="18"/>
              </w:rPr>
            </w:pPr>
            <w:r w:rsidRPr="008645E3">
              <w:rPr>
                <w:rFonts w:ascii="Palatino Linotype" w:eastAsia="Palatino Linotype" w:hAnsi="Palatino Linotype" w:cs="Palatino Linotype"/>
                <w:sz w:val="18"/>
                <w:szCs w:val="18"/>
              </w:rPr>
              <w:t>Se señalará el nombre del área del cual es titular quien clasifica.</w:t>
            </w:r>
          </w:p>
        </w:tc>
        <w:tc>
          <w:tcPr>
            <w:tcW w:w="1501" w:type="dxa"/>
            <w:tcBorders>
              <w:top w:val="single" w:sz="6" w:space="0" w:color="BFBFBF"/>
              <w:left w:val="single" w:sz="6" w:space="0" w:color="BFBFBF"/>
              <w:bottom w:val="single" w:sz="6" w:space="0" w:color="BFBFBF"/>
              <w:right w:val="single" w:sz="6" w:space="0" w:color="BFBFBF"/>
            </w:tcBorders>
          </w:tcPr>
          <w:p w14:paraId="70025214" w14:textId="77777777" w:rsidR="00F8557D" w:rsidRPr="008645E3" w:rsidRDefault="00646B44" w:rsidP="00095932">
            <w:pPr>
              <w:spacing w:after="0" w:line="360" w:lineRule="auto"/>
              <w:jc w:val="both"/>
              <w:rPr>
                <w:rFonts w:ascii="Palatino Linotype" w:eastAsia="Palatino Linotype" w:hAnsi="Palatino Linotype" w:cs="Palatino Linotype"/>
                <w:sz w:val="18"/>
                <w:szCs w:val="18"/>
              </w:rPr>
            </w:pPr>
            <w:r w:rsidRPr="008645E3">
              <w:rPr>
                <w:rFonts w:ascii="Palatino Linotype" w:eastAsia="Palatino Linotype" w:hAnsi="Palatino Linotype" w:cs="Palatino Linotype"/>
                <w:b/>
                <w:sz w:val="18"/>
                <w:szCs w:val="18"/>
              </w:rPr>
              <w:t>Área</w:t>
            </w:r>
          </w:p>
        </w:tc>
        <w:tc>
          <w:tcPr>
            <w:tcW w:w="3314" w:type="dxa"/>
            <w:tcBorders>
              <w:top w:val="single" w:sz="6" w:space="0" w:color="BFBFBF"/>
              <w:left w:val="single" w:sz="6" w:space="0" w:color="BFBFBF"/>
              <w:bottom w:val="single" w:sz="6" w:space="0" w:color="BFBFBF"/>
              <w:right w:val="single" w:sz="6" w:space="0" w:color="BFBFBF"/>
            </w:tcBorders>
          </w:tcPr>
          <w:p w14:paraId="2413CD11" w14:textId="77777777" w:rsidR="00F8557D" w:rsidRPr="008645E3" w:rsidRDefault="00646B44" w:rsidP="00095932">
            <w:pPr>
              <w:spacing w:after="0" w:line="360" w:lineRule="auto"/>
              <w:jc w:val="both"/>
              <w:rPr>
                <w:rFonts w:ascii="Palatino Linotype" w:eastAsia="Palatino Linotype" w:hAnsi="Palatino Linotype" w:cs="Palatino Linotype"/>
                <w:sz w:val="18"/>
                <w:szCs w:val="18"/>
              </w:rPr>
            </w:pPr>
            <w:r w:rsidRPr="008645E3">
              <w:rPr>
                <w:rFonts w:ascii="Palatino Linotype" w:eastAsia="Palatino Linotype" w:hAnsi="Palatino Linotype" w:cs="Palatino Linotype"/>
                <w:sz w:val="18"/>
                <w:szCs w:val="18"/>
              </w:rPr>
              <w:t>Se señalará el nombre del área de la cual es el titular quien clasifica.</w:t>
            </w:r>
          </w:p>
        </w:tc>
      </w:tr>
      <w:tr w:rsidR="00F8557D" w:rsidRPr="008645E3" w14:paraId="6D157F5B" w14:textId="77777777">
        <w:tc>
          <w:tcPr>
            <w:tcW w:w="1386" w:type="dxa"/>
            <w:tcBorders>
              <w:top w:val="single" w:sz="6" w:space="0" w:color="BFBFBF"/>
              <w:left w:val="single" w:sz="6" w:space="0" w:color="BFBFBF"/>
              <w:bottom w:val="single" w:sz="6" w:space="0" w:color="BFBFBF"/>
              <w:right w:val="single" w:sz="6" w:space="0" w:color="BFBFBF"/>
            </w:tcBorders>
          </w:tcPr>
          <w:p w14:paraId="1ADA0EB8" w14:textId="77777777" w:rsidR="00F8557D" w:rsidRPr="008645E3" w:rsidRDefault="00646B44" w:rsidP="00095932">
            <w:pPr>
              <w:spacing w:after="0" w:line="360" w:lineRule="auto"/>
              <w:jc w:val="both"/>
              <w:rPr>
                <w:rFonts w:ascii="Palatino Linotype" w:eastAsia="Palatino Linotype" w:hAnsi="Palatino Linotype" w:cs="Palatino Linotype"/>
                <w:sz w:val="18"/>
                <w:szCs w:val="18"/>
              </w:rPr>
            </w:pPr>
            <w:r w:rsidRPr="008645E3">
              <w:rPr>
                <w:rFonts w:ascii="Palatino Linotype" w:eastAsia="Palatino Linotype" w:hAnsi="Palatino Linotype" w:cs="Palatino Linotype"/>
                <w:sz w:val="18"/>
                <w:szCs w:val="18"/>
              </w:rPr>
              <w:t>Información reservada</w:t>
            </w:r>
          </w:p>
        </w:tc>
        <w:tc>
          <w:tcPr>
            <w:tcW w:w="2848" w:type="dxa"/>
            <w:tcBorders>
              <w:top w:val="single" w:sz="6" w:space="0" w:color="BFBFBF"/>
              <w:left w:val="single" w:sz="6" w:space="0" w:color="BFBFBF"/>
              <w:bottom w:val="single" w:sz="6" w:space="0" w:color="BFBFBF"/>
              <w:right w:val="single" w:sz="6" w:space="0" w:color="BFBFBF"/>
            </w:tcBorders>
          </w:tcPr>
          <w:p w14:paraId="3A735E91" w14:textId="77777777" w:rsidR="00F8557D" w:rsidRPr="008645E3" w:rsidRDefault="00646B44" w:rsidP="00095932">
            <w:pPr>
              <w:spacing w:after="0" w:line="360" w:lineRule="auto"/>
              <w:jc w:val="both"/>
              <w:rPr>
                <w:rFonts w:ascii="Palatino Linotype" w:eastAsia="Palatino Linotype" w:hAnsi="Palatino Linotype" w:cs="Palatino Linotype"/>
                <w:sz w:val="18"/>
                <w:szCs w:val="18"/>
              </w:rPr>
            </w:pPr>
            <w:r w:rsidRPr="008645E3">
              <w:rPr>
                <w:rFonts w:ascii="Palatino Linotype" w:eastAsia="Palatino Linotype" w:hAnsi="Palatino Linotype" w:cs="Palatino Linotype"/>
                <w:sz w:val="18"/>
                <w:szCs w:val="18"/>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1501" w:type="dxa"/>
            <w:tcBorders>
              <w:top w:val="single" w:sz="6" w:space="0" w:color="BFBFBF"/>
              <w:left w:val="single" w:sz="6" w:space="0" w:color="BFBFBF"/>
              <w:bottom w:val="single" w:sz="6" w:space="0" w:color="BFBFBF"/>
              <w:right w:val="single" w:sz="6" w:space="0" w:color="BFBFBF"/>
            </w:tcBorders>
          </w:tcPr>
          <w:p w14:paraId="76FFC394" w14:textId="77777777" w:rsidR="00F8557D" w:rsidRPr="008645E3" w:rsidRDefault="00646B44" w:rsidP="00095932">
            <w:pPr>
              <w:spacing w:after="0" w:line="360" w:lineRule="auto"/>
              <w:jc w:val="both"/>
              <w:rPr>
                <w:rFonts w:ascii="Palatino Linotype" w:eastAsia="Palatino Linotype" w:hAnsi="Palatino Linotype" w:cs="Palatino Linotype"/>
                <w:sz w:val="18"/>
                <w:szCs w:val="18"/>
              </w:rPr>
            </w:pPr>
            <w:r w:rsidRPr="008645E3">
              <w:rPr>
                <w:rFonts w:ascii="Palatino Linotype" w:eastAsia="Palatino Linotype" w:hAnsi="Palatino Linotype" w:cs="Palatino Linotype"/>
                <w:b/>
                <w:sz w:val="18"/>
                <w:szCs w:val="18"/>
              </w:rPr>
              <w:t>Reservado</w:t>
            </w:r>
          </w:p>
        </w:tc>
        <w:tc>
          <w:tcPr>
            <w:tcW w:w="3314" w:type="dxa"/>
            <w:tcBorders>
              <w:top w:val="single" w:sz="6" w:space="0" w:color="BFBFBF"/>
              <w:left w:val="single" w:sz="6" w:space="0" w:color="BFBFBF"/>
              <w:bottom w:val="single" w:sz="6" w:space="0" w:color="BFBFBF"/>
              <w:right w:val="single" w:sz="6" w:space="0" w:color="BFBFBF"/>
            </w:tcBorders>
          </w:tcPr>
          <w:p w14:paraId="4CFEFBFA" w14:textId="77777777" w:rsidR="00F8557D" w:rsidRPr="008645E3" w:rsidRDefault="00646B44" w:rsidP="00095932">
            <w:pPr>
              <w:spacing w:after="0" w:line="360" w:lineRule="auto"/>
              <w:jc w:val="both"/>
              <w:rPr>
                <w:rFonts w:ascii="Palatino Linotype" w:eastAsia="Palatino Linotype" w:hAnsi="Palatino Linotype" w:cs="Palatino Linotype"/>
                <w:sz w:val="18"/>
                <w:szCs w:val="18"/>
              </w:rPr>
            </w:pPr>
            <w:r w:rsidRPr="008645E3">
              <w:rPr>
                <w:rFonts w:ascii="Palatino Linotype" w:eastAsia="Palatino Linotype" w:hAnsi="Palatino Linotype" w:cs="Palatino Linotype"/>
                <w:sz w:val="18"/>
                <w:szCs w:val="18"/>
              </w:rPr>
              <w:t>Leyenda de información RESERVADA.</w:t>
            </w:r>
          </w:p>
        </w:tc>
      </w:tr>
      <w:tr w:rsidR="00F8557D" w:rsidRPr="008645E3" w14:paraId="25273F22" w14:textId="77777777">
        <w:tc>
          <w:tcPr>
            <w:tcW w:w="1386" w:type="dxa"/>
            <w:tcBorders>
              <w:top w:val="single" w:sz="6" w:space="0" w:color="BFBFBF"/>
              <w:left w:val="single" w:sz="6" w:space="0" w:color="BFBFBF"/>
              <w:bottom w:val="single" w:sz="6" w:space="0" w:color="BFBFBF"/>
              <w:right w:val="single" w:sz="6" w:space="0" w:color="BFBFBF"/>
            </w:tcBorders>
          </w:tcPr>
          <w:p w14:paraId="6CC3C895" w14:textId="77777777" w:rsidR="00F8557D" w:rsidRPr="008645E3" w:rsidRDefault="00646B44" w:rsidP="00095932">
            <w:pPr>
              <w:spacing w:after="0" w:line="360" w:lineRule="auto"/>
              <w:jc w:val="both"/>
              <w:rPr>
                <w:rFonts w:ascii="Palatino Linotype" w:eastAsia="Palatino Linotype" w:hAnsi="Palatino Linotype" w:cs="Palatino Linotype"/>
                <w:sz w:val="18"/>
                <w:szCs w:val="18"/>
              </w:rPr>
            </w:pPr>
            <w:r w:rsidRPr="008645E3">
              <w:rPr>
                <w:rFonts w:ascii="Palatino Linotype" w:eastAsia="Palatino Linotype" w:hAnsi="Palatino Linotype" w:cs="Palatino Linotype"/>
                <w:sz w:val="18"/>
                <w:szCs w:val="18"/>
              </w:rPr>
              <w:t>Fundamento legal</w:t>
            </w:r>
          </w:p>
        </w:tc>
        <w:tc>
          <w:tcPr>
            <w:tcW w:w="2848" w:type="dxa"/>
            <w:tcBorders>
              <w:top w:val="single" w:sz="6" w:space="0" w:color="BFBFBF"/>
              <w:left w:val="single" w:sz="6" w:space="0" w:color="BFBFBF"/>
              <w:bottom w:val="single" w:sz="6" w:space="0" w:color="BFBFBF"/>
              <w:right w:val="single" w:sz="6" w:space="0" w:color="BFBFBF"/>
            </w:tcBorders>
          </w:tcPr>
          <w:p w14:paraId="2DF2E627" w14:textId="77777777" w:rsidR="00F8557D" w:rsidRPr="008645E3" w:rsidRDefault="00646B44" w:rsidP="00095932">
            <w:pPr>
              <w:spacing w:after="0" w:line="360" w:lineRule="auto"/>
              <w:jc w:val="both"/>
              <w:rPr>
                <w:rFonts w:ascii="Palatino Linotype" w:eastAsia="Palatino Linotype" w:hAnsi="Palatino Linotype" w:cs="Palatino Linotype"/>
                <w:sz w:val="18"/>
                <w:szCs w:val="18"/>
              </w:rPr>
            </w:pPr>
            <w:r w:rsidRPr="008645E3">
              <w:rPr>
                <w:rFonts w:ascii="Palatino Linotype" w:eastAsia="Palatino Linotype" w:hAnsi="Palatino Linotype" w:cs="Palatino Linotype"/>
                <w:sz w:val="18"/>
                <w:szCs w:val="18"/>
              </w:rPr>
              <w:t xml:space="preserve">Se señalará el nombre del ordenamiento, el o los artículos, fracción(es), párrafo(s) con base </w:t>
            </w:r>
            <w:r w:rsidRPr="008645E3">
              <w:rPr>
                <w:rFonts w:ascii="Palatino Linotype" w:eastAsia="Palatino Linotype" w:hAnsi="Palatino Linotype" w:cs="Palatino Linotype"/>
                <w:sz w:val="18"/>
                <w:szCs w:val="18"/>
              </w:rPr>
              <w:lastRenderedPageBreak/>
              <w:t>en los cuales se sustente la reserva.</w:t>
            </w:r>
          </w:p>
        </w:tc>
        <w:tc>
          <w:tcPr>
            <w:tcW w:w="1501" w:type="dxa"/>
            <w:tcBorders>
              <w:top w:val="single" w:sz="6" w:space="0" w:color="BFBFBF"/>
              <w:left w:val="single" w:sz="6" w:space="0" w:color="BFBFBF"/>
              <w:bottom w:val="single" w:sz="6" w:space="0" w:color="BFBFBF"/>
              <w:right w:val="single" w:sz="6" w:space="0" w:color="BFBFBF"/>
            </w:tcBorders>
          </w:tcPr>
          <w:p w14:paraId="5A7440E8" w14:textId="77777777" w:rsidR="00F8557D" w:rsidRPr="008645E3" w:rsidRDefault="00646B44" w:rsidP="00095932">
            <w:pPr>
              <w:spacing w:after="0" w:line="360" w:lineRule="auto"/>
              <w:jc w:val="both"/>
              <w:rPr>
                <w:rFonts w:ascii="Palatino Linotype" w:eastAsia="Palatino Linotype" w:hAnsi="Palatino Linotype" w:cs="Palatino Linotype"/>
                <w:sz w:val="18"/>
                <w:szCs w:val="18"/>
              </w:rPr>
            </w:pPr>
            <w:r w:rsidRPr="008645E3">
              <w:rPr>
                <w:rFonts w:ascii="Palatino Linotype" w:eastAsia="Palatino Linotype" w:hAnsi="Palatino Linotype" w:cs="Palatino Linotype"/>
                <w:b/>
                <w:sz w:val="18"/>
                <w:szCs w:val="18"/>
              </w:rPr>
              <w:lastRenderedPageBreak/>
              <w:t>Periodo de reserva</w:t>
            </w:r>
          </w:p>
        </w:tc>
        <w:tc>
          <w:tcPr>
            <w:tcW w:w="3314" w:type="dxa"/>
            <w:tcBorders>
              <w:top w:val="single" w:sz="6" w:space="0" w:color="BFBFBF"/>
              <w:left w:val="single" w:sz="6" w:space="0" w:color="BFBFBF"/>
              <w:bottom w:val="single" w:sz="6" w:space="0" w:color="BFBFBF"/>
              <w:right w:val="single" w:sz="6" w:space="0" w:color="BFBFBF"/>
            </w:tcBorders>
          </w:tcPr>
          <w:p w14:paraId="38EADCD9" w14:textId="77777777" w:rsidR="00F8557D" w:rsidRPr="008645E3" w:rsidRDefault="00646B44" w:rsidP="00095932">
            <w:pPr>
              <w:spacing w:after="0" w:line="360" w:lineRule="auto"/>
              <w:jc w:val="both"/>
              <w:rPr>
                <w:rFonts w:ascii="Palatino Linotype" w:eastAsia="Palatino Linotype" w:hAnsi="Palatino Linotype" w:cs="Palatino Linotype"/>
                <w:sz w:val="18"/>
                <w:szCs w:val="18"/>
              </w:rPr>
            </w:pPr>
            <w:r w:rsidRPr="008645E3">
              <w:rPr>
                <w:rFonts w:ascii="Palatino Linotype" w:eastAsia="Palatino Linotype" w:hAnsi="Palatino Linotype" w:cs="Palatino Linotype"/>
                <w:sz w:val="18"/>
                <w:szCs w:val="18"/>
              </w:rPr>
              <w:t xml:space="preserve">Se anotará el número de años o meses por los que se mantendrá el documento o las partes del mismo </w:t>
            </w:r>
            <w:r w:rsidRPr="008645E3">
              <w:rPr>
                <w:rFonts w:ascii="Palatino Linotype" w:eastAsia="Palatino Linotype" w:hAnsi="Palatino Linotype" w:cs="Palatino Linotype"/>
                <w:sz w:val="18"/>
                <w:szCs w:val="18"/>
              </w:rPr>
              <w:lastRenderedPageBreak/>
              <w:t>como reservado. Si el expediente no es reservado, sino confidencial, deberá tacharse este apartado.</w:t>
            </w:r>
          </w:p>
        </w:tc>
      </w:tr>
      <w:tr w:rsidR="00F8557D" w:rsidRPr="008645E3" w14:paraId="6B3C9089" w14:textId="77777777">
        <w:tc>
          <w:tcPr>
            <w:tcW w:w="1386" w:type="dxa"/>
            <w:tcBorders>
              <w:top w:val="single" w:sz="6" w:space="0" w:color="BFBFBF"/>
              <w:left w:val="single" w:sz="6" w:space="0" w:color="BFBFBF"/>
              <w:bottom w:val="single" w:sz="6" w:space="0" w:color="BFBFBF"/>
              <w:right w:val="single" w:sz="6" w:space="0" w:color="BFBFBF"/>
            </w:tcBorders>
          </w:tcPr>
          <w:p w14:paraId="6DADCE12" w14:textId="77777777" w:rsidR="00F8557D" w:rsidRPr="008645E3" w:rsidRDefault="00646B44" w:rsidP="00095932">
            <w:pPr>
              <w:spacing w:after="0" w:line="360" w:lineRule="auto"/>
              <w:jc w:val="both"/>
              <w:rPr>
                <w:rFonts w:ascii="Palatino Linotype" w:eastAsia="Palatino Linotype" w:hAnsi="Palatino Linotype" w:cs="Palatino Linotype"/>
                <w:sz w:val="18"/>
                <w:szCs w:val="18"/>
              </w:rPr>
            </w:pPr>
            <w:r w:rsidRPr="008645E3">
              <w:rPr>
                <w:rFonts w:ascii="Palatino Linotype" w:eastAsia="Palatino Linotype" w:hAnsi="Palatino Linotype" w:cs="Palatino Linotype"/>
                <w:sz w:val="18"/>
                <w:szCs w:val="18"/>
              </w:rPr>
              <w:lastRenderedPageBreak/>
              <w:t>Ampliación del periodo de reserva</w:t>
            </w:r>
          </w:p>
        </w:tc>
        <w:tc>
          <w:tcPr>
            <w:tcW w:w="2848" w:type="dxa"/>
            <w:tcBorders>
              <w:top w:val="single" w:sz="6" w:space="0" w:color="BFBFBF"/>
              <w:left w:val="single" w:sz="6" w:space="0" w:color="BFBFBF"/>
              <w:bottom w:val="single" w:sz="6" w:space="0" w:color="BFBFBF"/>
              <w:right w:val="single" w:sz="6" w:space="0" w:color="BFBFBF"/>
            </w:tcBorders>
          </w:tcPr>
          <w:p w14:paraId="3FC776C2" w14:textId="77777777" w:rsidR="00F8557D" w:rsidRPr="008645E3" w:rsidRDefault="00646B44" w:rsidP="00095932">
            <w:pPr>
              <w:spacing w:after="0" w:line="360" w:lineRule="auto"/>
              <w:jc w:val="both"/>
              <w:rPr>
                <w:rFonts w:ascii="Palatino Linotype" w:eastAsia="Palatino Linotype" w:hAnsi="Palatino Linotype" w:cs="Palatino Linotype"/>
                <w:sz w:val="18"/>
                <w:szCs w:val="18"/>
              </w:rPr>
            </w:pPr>
            <w:r w:rsidRPr="008645E3">
              <w:rPr>
                <w:rFonts w:ascii="Palatino Linotype" w:eastAsia="Palatino Linotype" w:hAnsi="Palatino Linotype" w:cs="Palatino Linotype"/>
                <w:sz w:val="18"/>
                <w:szCs w:val="18"/>
              </w:rPr>
              <w:t>En caso de haber solicitado la ampliación del periodo de reserva originalmente establecido, se deberá anotar el número de años o meses por los que se amplía la reserva.</w:t>
            </w:r>
          </w:p>
        </w:tc>
        <w:tc>
          <w:tcPr>
            <w:tcW w:w="1501" w:type="dxa"/>
            <w:tcBorders>
              <w:top w:val="single" w:sz="6" w:space="0" w:color="BFBFBF"/>
              <w:left w:val="single" w:sz="6" w:space="0" w:color="BFBFBF"/>
              <w:bottom w:val="single" w:sz="6" w:space="0" w:color="BFBFBF"/>
              <w:right w:val="single" w:sz="6" w:space="0" w:color="BFBFBF"/>
            </w:tcBorders>
          </w:tcPr>
          <w:p w14:paraId="6223D1CF" w14:textId="77777777" w:rsidR="00F8557D" w:rsidRPr="008645E3" w:rsidRDefault="00646B44" w:rsidP="00095932">
            <w:pPr>
              <w:spacing w:after="0" w:line="360" w:lineRule="auto"/>
              <w:jc w:val="both"/>
              <w:rPr>
                <w:rFonts w:ascii="Palatino Linotype" w:eastAsia="Palatino Linotype" w:hAnsi="Palatino Linotype" w:cs="Palatino Linotype"/>
                <w:sz w:val="18"/>
                <w:szCs w:val="18"/>
              </w:rPr>
            </w:pPr>
            <w:r w:rsidRPr="008645E3">
              <w:rPr>
                <w:rFonts w:ascii="Palatino Linotype" w:eastAsia="Palatino Linotype" w:hAnsi="Palatino Linotype" w:cs="Palatino Linotype"/>
                <w:b/>
                <w:sz w:val="18"/>
                <w:szCs w:val="18"/>
              </w:rPr>
              <w:t>Fundamento legal</w:t>
            </w:r>
          </w:p>
        </w:tc>
        <w:tc>
          <w:tcPr>
            <w:tcW w:w="3314" w:type="dxa"/>
            <w:tcBorders>
              <w:top w:val="single" w:sz="6" w:space="0" w:color="BFBFBF"/>
              <w:left w:val="single" w:sz="6" w:space="0" w:color="BFBFBF"/>
              <w:bottom w:val="single" w:sz="6" w:space="0" w:color="BFBFBF"/>
              <w:right w:val="single" w:sz="6" w:space="0" w:color="BFBFBF"/>
            </w:tcBorders>
          </w:tcPr>
          <w:p w14:paraId="1334CA2B" w14:textId="77777777" w:rsidR="00F8557D" w:rsidRPr="008645E3" w:rsidRDefault="00646B44" w:rsidP="00095932">
            <w:pPr>
              <w:spacing w:after="0" w:line="360" w:lineRule="auto"/>
              <w:jc w:val="both"/>
              <w:rPr>
                <w:rFonts w:ascii="Palatino Linotype" w:eastAsia="Palatino Linotype" w:hAnsi="Palatino Linotype" w:cs="Palatino Linotype"/>
                <w:sz w:val="18"/>
                <w:szCs w:val="18"/>
              </w:rPr>
            </w:pPr>
            <w:r w:rsidRPr="008645E3">
              <w:rPr>
                <w:rFonts w:ascii="Palatino Linotype" w:eastAsia="Palatino Linotype" w:hAnsi="Palatino Linotype" w:cs="Palatino Linotype"/>
                <w:sz w:val="18"/>
                <w:szCs w:val="18"/>
              </w:rPr>
              <w:t>Se señalará el nombre del o de los ordenamientos jurídicos, el o los artículos, fracción(es), párrafo(s) con base en los cuales se sustenta la reserva.</w:t>
            </w:r>
          </w:p>
        </w:tc>
      </w:tr>
      <w:tr w:rsidR="00F8557D" w:rsidRPr="008645E3" w14:paraId="65EE515C" w14:textId="77777777">
        <w:tc>
          <w:tcPr>
            <w:tcW w:w="1386" w:type="dxa"/>
            <w:tcBorders>
              <w:top w:val="single" w:sz="6" w:space="0" w:color="BFBFBF"/>
              <w:left w:val="single" w:sz="6" w:space="0" w:color="BFBFBF"/>
              <w:bottom w:val="single" w:sz="6" w:space="0" w:color="BFBFBF"/>
              <w:right w:val="single" w:sz="6" w:space="0" w:color="BFBFBF"/>
            </w:tcBorders>
          </w:tcPr>
          <w:p w14:paraId="0D81CB76" w14:textId="77777777" w:rsidR="00F8557D" w:rsidRPr="008645E3" w:rsidRDefault="00646B44" w:rsidP="00095932">
            <w:pPr>
              <w:spacing w:after="0" w:line="360" w:lineRule="auto"/>
              <w:jc w:val="both"/>
              <w:rPr>
                <w:rFonts w:ascii="Palatino Linotype" w:eastAsia="Palatino Linotype" w:hAnsi="Palatino Linotype" w:cs="Palatino Linotype"/>
                <w:sz w:val="18"/>
                <w:szCs w:val="18"/>
              </w:rPr>
            </w:pPr>
            <w:r w:rsidRPr="008645E3">
              <w:rPr>
                <w:rFonts w:ascii="Palatino Linotype" w:eastAsia="Palatino Linotype" w:hAnsi="Palatino Linotype" w:cs="Palatino Linotype"/>
                <w:sz w:val="18"/>
                <w:szCs w:val="18"/>
              </w:rPr>
              <w:t>Confidencial</w:t>
            </w:r>
          </w:p>
        </w:tc>
        <w:tc>
          <w:tcPr>
            <w:tcW w:w="2848" w:type="dxa"/>
            <w:tcBorders>
              <w:top w:val="single" w:sz="6" w:space="0" w:color="BFBFBF"/>
              <w:left w:val="single" w:sz="6" w:space="0" w:color="BFBFBF"/>
              <w:bottom w:val="single" w:sz="6" w:space="0" w:color="BFBFBF"/>
              <w:right w:val="single" w:sz="6" w:space="0" w:color="BFBFBF"/>
            </w:tcBorders>
          </w:tcPr>
          <w:p w14:paraId="476732BA" w14:textId="77777777" w:rsidR="00F8557D" w:rsidRPr="008645E3" w:rsidRDefault="00646B44" w:rsidP="00095932">
            <w:pPr>
              <w:spacing w:after="0" w:line="360" w:lineRule="auto"/>
              <w:jc w:val="both"/>
              <w:rPr>
                <w:rFonts w:ascii="Palatino Linotype" w:eastAsia="Palatino Linotype" w:hAnsi="Palatino Linotype" w:cs="Palatino Linotype"/>
                <w:sz w:val="18"/>
                <w:szCs w:val="18"/>
              </w:rPr>
            </w:pPr>
            <w:r w:rsidRPr="008645E3">
              <w:rPr>
                <w:rFonts w:ascii="Palatino Linotype" w:eastAsia="Palatino Linotype" w:hAnsi="Palatino Linotype" w:cs="Palatino Linotype"/>
                <w:sz w:val="18"/>
                <w:szCs w:val="18"/>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1501" w:type="dxa"/>
            <w:tcBorders>
              <w:top w:val="single" w:sz="6" w:space="0" w:color="BFBFBF"/>
              <w:left w:val="single" w:sz="6" w:space="0" w:color="BFBFBF"/>
              <w:bottom w:val="single" w:sz="6" w:space="0" w:color="BFBFBF"/>
              <w:right w:val="single" w:sz="6" w:space="0" w:color="BFBFBF"/>
            </w:tcBorders>
          </w:tcPr>
          <w:p w14:paraId="5D11E0A3" w14:textId="77777777" w:rsidR="00F8557D" w:rsidRPr="008645E3" w:rsidRDefault="00646B44" w:rsidP="00095932">
            <w:pPr>
              <w:spacing w:after="0" w:line="360" w:lineRule="auto"/>
              <w:jc w:val="both"/>
              <w:rPr>
                <w:rFonts w:ascii="Palatino Linotype" w:eastAsia="Palatino Linotype" w:hAnsi="Palatino Linotype" w:cs="Palatino Linotype"/>
                <w:sz w:val="18"/>
                <w:szCs w:val="18"/>
              </w:rPr>
            </w:pPr>
            <w:r w:rsidRPr="008645E3">
              <w:rPr>
                <w:rFonts w:ascii="Palatino Linotype" w:eastAsia="Palatino Linotype" w:hAnsi="Palatino Linotype" w:cs="Palatino Linotype"/>
                <w:b/>
                <w:sz w:val="18"/>
                <w:szCs w:val="18"/>
              </w:rPr>
              <w:t>Ampliación del periodo de reserva</w:t>
            </w:r>
          </w:p>
        </w:tc>
        <w:tc>
          <w:tcPr>
            <w:tcW w:w="3314" w:type="dxa"/>
            <w:tcBorders>
              <w:top w:val="single" w:sz="6" w:space="0" w:color="BFBFBF"/>
              <w:left w:val="single" w:sz="6" w:space="0" w:color="BFBFBF"/>
              <w:bottom w:val="single" w:sz="6" w:space="0" w:color="BFBFBF"/>
              <w:right w:val="single" w:sz="6" w:space="0" w:color="BFBFBF"/>
            </w:tcBorders>
          </w:tcPr>
          <w:p w14:paraId="11E3A99B" w14:textId="77777777" w:rsidR="00F8557D" w:rsidRPr="008645E3" w:rsidRDefault="00646B44" w:rsidP="00095932">
            <w:pPr>
              <w:spacing w:after="0" w:line="360" w:lineRule="auto"/>
              <w:jc w:val="both"/>
              <w:rPr>
                <w:rFonts w:ascii="Palatino Linotype" w:eastAsia="Palatino Linotype" w:hAnsi="Palatino Linotype" w:cs="Palatino Linotype"/>
                <w:sz w:val="18"/>
                <w:szCs w:val="18"/>
              </w:rPr>
            </w:pPr>
            <w:r w:rsidRPr="008645E3">
              <w:rPr>
                <w:rFonts w:ascii="Palatino Linotype" w:eastAsia="Palatino Linotype" w:hAnsi="Palatino Linotype" w:cs="Palatino Linotype"/>
                <w:sz w:val="18"/>
                <w:szCs w:val="18"/>
              </w:rPr>
              <w:t>En caso de haber solicitado la ampliación del periodo de reserva originalmente establecido, se deberá anotar el número de años o meses por los que se amplía la reserva.</w:t>
            </w:r>
          </w:p>
        </w:tc>
      </w:tr>
      <w:tr w:rsidR="00F8557D" w:rsidRPr="008645E3" w14:paraId="3143B63D" w14:textId="77777777">
        <w:tc>
          <w:tcPr>
            <w:tcW w:w="1386" w:type="dxa"/>
            <w:tcBorders>
              <w:top w:val="single" w:sz="6" w:space="0" w:color="BFBFBF"/>
              <w:left w:val="single" w:sz="6" w:space="0" w:color="BFBFBF"/>
              <w:bottom w:val="single" w:sz="6" w:space="0" w:color="BFBFBF"/>
              <w:right w:val="single" w:sz="6" w:space="0" w:color="BFBFBF"/>
            </w:tcBorders>
          </w:tcPr>
          <w:p w14:paraId="02B41D27" w14:textId="77777777" w:rsidR="00F8557D" w:rsidRPr="008645E3" w:rsidRDefault="00646B44" w:rsidP="00095932">
            <w:pPr>
              <w:spacing w:after="0" w:line="360" w:lineRule="auto"/>
              <w:jc w:val="both"/>
              <w:rPr>
                <w:rFonts w:ascii="Palatino Linotype" w:eastAsia="Palatino Linotype" w:hAnsi="Palatino Linotype" w:cs="Palatino Linotype"/>
                <w:sz w:val="18"/>
                <w:szCs w:val="18"/>
              </w:rPr>
            </w:pPr>
            <w:r w:rsidRPr="008645E3">
              <w:rPr>
                <w:rFonts w:ascii="Palatino Linotype" w:eastAsia="Palatino Linotype" w:hAnsi="Palatino Linotype" w:cs="Palatino Linotype"/>
                <w:sz w:val="18"/>
                <w:szCs w:val="18"/>
              </w:rPr>
              <w:t>Fundamento legal</w:t>
            </w:r>
          </w:p>
        </w:tc>
        <w:tc>
          <w:tcPr>
            <w:tcW w:w="2848" w:type="dxa"/>
            <w:tcBorders>
              <w:top w:val="single" w:sz="6" w:space="0" w:color="BFBFBF"/>
              <w:left w:val="single" w:sz="6" w:space="0" w:color="BFBFBF"/>
              <w:bottom w:val="single" w:sz="6" w:space="0" w:color="BFBFBF"/>
              <w:right w:val="single" w:sz="6" w:space="0" w:color="BFBFBF"/>
            </w:tcBorders>
          </w:tcPr>
          <w:p w14:paraId="52CF15C4" w14:textId="77777777" w:rsidR="00F8557D" w:rsidRPr="008645E3" w:rsidRDefault="00646B44" w:rsidP="00095932">
            <w:pPr>
              <w:spacing w:after="0" w:line="360" w:lineRule="auto"/>
              <w:jc w:val="both"/>
              <w:rPr>
                <w:rFonts w:ascii="Palatino Linotype" w:eastAsia="Palatino Linotype" w:hAnsi="Palatino Linotype" w:cs="Palatino Linotype"/>
                <w:sz w:val="18"/>
                <w:szCs w:val="18"/>
              </w:rPr>
            </w:pPr>
            <w:r w:rsidRPr="008645E3">
              <w:rPr>
                <w:rFonts w:ascii="Palatino Linotype" w:eastAsia="Palatino Linotype" w:hAnsi="Palatino Linotype" w:cs="Palatino Linotype"/>
                <w:sz w:val="18"/>
                <w:szCs w:val="18"/>
              </w:rPr>
              <w:t>Se señalará el nombre del ordenamiento, el o los artículos, fracción(es), párrafo(s) con base en los cuales se sustente la confidencialidad.</w:t>
            </w:r>
          </w:p>
        </w:tc>
        <w:tc>
          <w:tcPr>
            <w:tcW w:w="1501" w:type="dxa"/>
            <w:tcBorders>
              <w:top w:val="single" w:sz="6" w:space="0" w:color="BFBFBF"/>
              <w:left w:val="single" w:sz="6" w:space="0" w:color="BFBFBF"/>
              <w:bottom w:val="single" w:sz="6" w:space="0" w:color="BFBFBF"/>
              <w:right w:val="single" w:sz="6" w:space="0" w:color="BFBFBF"/>
            </w:tcBorders>
          </w:tcPr>
          <w:p w14:paraId="6D82EDAC" w14:textId="77777777" w:rsidR="00F8557D" w:rsidRPr="008645E3" w:rsidRDefault="00646B44" w:rsidP="00095932">
            <w:pPr>
              <w:spacing w:after="0" w:line="360" w:lineRule="auto"/>
              <w:jc w:val="both"/>
              <w:rPr>
                <w:rFonts w:ascii="Palatino Linotype" w:eastAsia="Palatino Linotype" w:hAnsi="Palatino Linotype" w:cs="Palatino Linotype"/>
                <w:sz w:val="18"/>
                <w:szCs w:val="18"/>
              </w:rPr>
            </w:pPr>
            <w:r w:rsidRPr="008645E3">
              <w:rPr>
                <w:rFonts w:ascii="Palatino Linotype" w:eastAsia="Palatino Linotype" w:hAnsi="Palatino Linotype" w:cs="Palatino Linotype"/>
                <w:b/>
                <w:sz w:val="18"/>
                <w:szCs w:val="18"/>
              </w:rPr>
              <w:t>Confidencial</w:t>
            </w:r>
          </w:p>
        </w:tc>
        <w:tc>
          <w:tcPr>
            <w:tcW w:w="3314" w:type="dxa"/>
            <w:tcBorders>
              <w:top w:val="single" w:sz="6" w:space="0" w:color="BFBFBF"/>
              <w:left w:val="single" w:sz="6" w:space="0" w:color="BFBFBF"/>
              <w:bottom w:val="single" w:sz="6" w:space="0" w:color="BFBFBF"/>
              <w:right w:val="single" w:sz="6" w:space="0" w:color="BFBFBF"/>
            </w:tcBorders>
          </w:tcPr>
          <w:p w14:paraId="52E4DEC9" w14:textId="77777777" w:rsidR="00F8557D" w:rsidRPr="008645E3" w:rsidRDefault="00646B44" w:rsidP="00095932">
            <w:pPr>
              <w:spacing w:after="0" w:line="360" w:lineRule="auto"/>
              <w:jc w:val="both"/>
              <w:rPr>
                <w:rFonts w:ascii="Palatino Linotype" w:eastAsia="Palatino Linotype" w:hAnsi="Palatino Linotype" w:cs="Palatino Linotype"/>
                <w:sz w:val="18"/>
                <w:szCs w:val="18"/>
              </w:rPr>
            </w:pPr>
            <w:r w:rsidRPr="008645E3">
              <w:rPr>
                <w:rFonts w:ascii="Palatino Linotype" w:eastAsia="Palatino Linotype" w:hAnsi="Palatino Linotype" w:cs="Palatino Linotype"/>
                <w:sz w:val="18"/>
                <w:szCs w:val="18"/>
              </w:rPr>
              <w:t>Leyenda de información CONFIDENCIAL.</w:t>
            </w:r>
          </w:p>
        </w:tc>
      </w:tr>
      <w:tr w:rsidR="00F8557D" w:rsidRPr="008645E3" w14:paraId="33C9217D" w14:textId="77777777">
        <w:tc>
          <w:tcPr>
            <w:tcW w:w="1386" w:type="dxa"/>
            <w:tcBorders>
              <w:top w:val="single" w:sz="6" w:space="0" w:color="BFBFBF"/>
              <w:left w:val="single" w:sz="6" w:space="0" w:color="BFBFBF"/>
              <w:bottom w:val="single" w:sz="6" w:space="0" w:color="BFBFBF"/>
              <w:right w:val="single" w:sz="6" w:space="0" w:color="BFBFBF"/>
            </w:tcBorders>
          </w:tcPr>
          <w:p w14:paraId="0DB3073F" w14:textId="77777777" w:rsidR="00F8557D" w:rsidRPr="008645E3" w:rsidRDefault="00646B44" w:rsidP="00095932">
            <w:pPr>
              <w:spacing w:after="0" w:line="360" w:lineRule="auto"/>
              <w:jc w:val="both"/>
              <w:rPr>
                <w:rFonts w:ascii="Palatino Linotype" w:eastAsia="Palatino Linotype" w:hAnsi="Palatino Linotype" w:cs="Palatino Linotype"/>
                <w:sz w:val="18"/>
                <w:szCs w:val="18"/>
              </w:rPr>
            </w:pPr>
            <w:r w:rsidRPr="008645E3">
              <w:rPr>
                <w:rFonts w:ascii="Palatino Linotype" w:eastAsia="Palatino Linotype" w:hAnsi="Palatino Linotype" w:cs="Palatino Linotype"/>
                <w:sz w:val="18"/>
                <w:szCs w:val="18"/>
              </w:rPr>
              <w:t>Rúbrica del titular del área</w:t>
            </w:r>
          </w:p>
        </w:tc>
        <w:tc>
          <w:tcPr>
            <w:tcW w:w="2848" w:type="dxa"/>
            <w:tcBorders>
              <w:top w:val="single" w:sz="6" w:space="0" w:color="BFBFBF"/>
              <w:left w:val="single" w:sz="6" w:space="0" w:color="BFBFBF"/>
              <w:bottom w:val="single" w:sz="6" w:space="0" w:color="BFBFBF"/>
              <w:right w:val="single" w:sz="6" w:space="0" w:color="BFBFBF"/>
            </w:tcBorders>
          </w:tcPr>
          <w:p w14:paraId="2829C17F" w14:textId="77777777" w:rsidR="00F8557D" w:rsidRPr="008645E3" w:rsidRDefault="00646B44" w:rsidP="00095932">
            <w:pPr>
              <w:spacing w:after="0" w:line="360" w:lineRule="auto"/>
              <w:jc w:val="both"/>
              <w:rPr>
                <w:rFonts w:ascii="Palatino Linotype" w:eastAsia="Palatino Linotype" w:hAnsi="Palatino Linotype" w:cs="Palatino Linotype"/>
                <w:sz w:val="18"/>
                <w:szCs w:val="18"/>
              </w:rPr>
            </w:pPr>
            <w:r w:rsidRPr="008645E3">
              <w:rPr>
                <w:rFonts w:ascii="Palatino Linotype" w:eastAsia="Palatino Linotype" w:hAnsi="Palatino Linotype" w:cs="Palatino Linotype"/>
                <w:sz w:val="18"/>
                <w:szCs w:val="18"/>
              </w:rPr>
              <w:t>Rúbrica autógrafa de quien clasifica.</w:t>
            </w:r>
          </w:p>
        </w:tc>
        <w:tc>
          <w:tcPr>
            <w:tcW w:w="1501" w:type="dxa"/>
            <w:tcBorders>
              <w:top w:val="single" w:sz="6" w:space="0" w:color="BFBFBF"/>
              <w:left w:val="single" w:sz="6" w:space="0" w:color="BFBFBF"/>
              <w:bottom w:val="single" w:sz="6" w:space="0" w:color="BFBFBF"/>
              <w:right w:val="single" w:sz="6" w:space="0" w:color="BFBFBF"/>
            </w:tcBorders>
          </w:tcPr>
          <w:p w14:paraId="64F0F529" w14:textId="77777777" w:rsidR="00F8557D" w:rsidRPr="008645E3" w:rsidRDefault="00646B44" w:rsidP="00095932">
            <w:pPr>
              <w:spacing w:after="0" w:line="360" w:lineRule="auto"/>
              <w:jc w:val="both"/>
              <w:rPr>
                <w:rFonts w:ascii="Palatino Linotype" w:eastAsia="Palatino Linotype" w:hAnsi="Palatino Linotype" w:cs="Palatino Linotype"/>
                <w:sz w:val="18"/>
                <w:szCs w:val="18"/>
              </w:rPr>
            </w:pPr>
            <w:r w:rsidRPr="008645E3">
              <w:rPr>
                <w:rFonts w:ascii="Palatino Linotype" w:eastAsia="Palatino Linotype" w:hAnsi="Palatino Linotype" w:cs="Palatino Linotype"/>
                <w:b/>
                <w:sz w:val="18"/>
                <w:szCs w:val="18"/>
              </w:rPr>
              <w:t>Fundamento legal</w:t>
            </w:r>
          </w:p>
        </w:tc>
        <w:tc>
          <w:tcPr>
            <w:tcW w:w="3314" w:type="dxa"/>
            <w:tcBorders>
              <w:top w:val="single" w:sz="6" w:space="0" w:color="BFBFBF"/>
              <w:left w:val="single" w:sz="6" w:space="0" w:color="BFBFBF"/>
              <w:bottom w:val="single" w:sz="6" w:space="0" w:color="BFBFBF"/>
              <w:right w:val="single" w:sz="6" w:space="0" w:color="BFBFBF"/>
            </w:tcBorders>
          </w:tcPr>
          <w:p w14:paraId="0AF9FF70" w14:textId="77777777" w:rsidR="00F8557D" w:rsidRPr="008645E3" w:rsidRDefault="00646B44" w:rsidP="00095932">
            <w:pPr>
              <w:spacing w:after="0" w:line="360" w:lineRule="auto"/>
              <w:jc w:val="both"/>
              <w:rPr>
                <w:rFonts w:ascii="Palatino Linotype" w:eastAsia="Palatino Linotype" w:hAnsi="Palatino Linotype" w:cs="Palatino Linotype"/>
                <w:sz w:val="18"/>
                <w:szCs w:val="18"/>
              </w:rPr>
            </w:pPr>
            <w:r w:rsidRPr="008645E3">
              <w:rPr>
                <w:rFonts w:ascii="Palatino Linotype" w:eastAsia="Palatino Linotype" w:hAnsi="Palatino Linotype" w:cs="Palatino Linotype"/>
                <w:sz w:val="18"/>
                <w:szCs w:val="18"/>
              </w:rPr>
              <w:t>Se señalará el nombre del o de los ordenamientos jurídicos, el o los artículos, fracción(es), párrafo(s) con base en los cuales se sustente la confidencialidad.</w:t>
            </w:r>
          </w:p>
        </w:tc>
      </w:tr>
      <w:tr w:rsidR="00F8557D" w:rsidRPr="008645E3" w14:paraId="1E5EC0FD" w14:textId="77777777">
        <w:tc>
          <w:tcPr>
            <w:tcW w:w="1386" w:type="dxa"/>
            <w:tcBorders>
              <w:top w:val="single" w:sz="6" w:space="0" w:color="BFBFBF"/>
              <w:left w:val="single" w:sz="6" w:space="0" w:color="BFBFBF"/>
              <w:bottom w:val="single" w:sz="6" w:space="0" w:color="BFBFBF"/>
              <w:right w:val="single" w:sz="6" w:space="0" w:color="BFBFBF"/>
            </w:tcBorders>
          </w:tcPr>
          <w:p w14:paraId="46167BEC" w14:textId="77777777" w:rsidR="00F8557D" w:rsidRPr="008645E3" w:rsidRDefault="00646B44" w:rsidP="00095932">
            <w:pPr>
              <w:spacing w:after="0" w:line="360" w:lineRule="auto"/>
              <w:jc w:val="both"/>
              <w:rPr>
                <w:rFonts w:ascii="Palatino Linotype" w:eastAsia="Palatino Linotype" w:hAnsi="Palatino Linotype" w:cs="Palatino Linotype"/>
                <w:sz w:val="18"/>
                <w:szCs w:val="18"/>
              </w:rPr>
            </w:pPr>
            <w:r w:rsidRPr="008645E3">
              <w:rPr>
                <w:rFonts w:ascii="Palatino Linotype" w:eastAsia="Palatino Linotype" w:hAnsi="Palatino Linotype" w:cs="Palatino Linotype"/>
                <w:sz w:val="18"/>
                <w:szCs w:val="18"/>
              </w:rPr>
              <w:lastRenderedPageBreak/>
              <w:t>Fecha de desclasificación</w:t>
            </w:r>
          </w:p>
        </w:tc>
        <w:tc>
          <w:tcPr>
            <w:tcW w:w="2848" w:type="dxa"/>
            <w:tcBorders>
              <w:top w:val="single" w:sz="6" w:space="0" w:color="BFBFBF"/>
              <w:left w:val="single" w:sz="6" w:space="0" w:color="BFBFBF"/>
              <w:bottom w:val="single" w:sz="6" w:space="0" w:color="BFBFBF"/>
              <w:right w:val="single" w:sz="6" w:space="0" w:color="BFBFBF"/>
            </w:tcBorders>
          </w:tcPr>
          <w:p w14:paraId="679CD975" w14:textId="77777777" w:rsidR="00F8557D" w:rsidRPr="008645E3" w:rsidRDefault="00646B44" w:rsidP="00095932">
            <w:pPr>
              <w:spacing w:after="0" w:line="360" w:lineRule="auto"/>
              <w:jc w:val="both"/>
              <w:rPr>
                <w:rFonts w:ascii="Palatino Linotype" w:eastAsia="Palatino Linotype" w:hAnsi="Palatino Linotype" w:cs="Palatino Linotype"/>
                <w:sz w:val="18"/>
                <w:szCs w:val="18"/>
              </w:rPr>
            </w:pPr>
            <w:r w:rsidRPr="008645E3">
              <w:rPr>
                <w:rFonts w:ascii="Palatino Linotype" w:eastAsia="Palatino Linotype" w:hAnsi="Palatino Linotype" w:cs="Palatino Linotype"/>
                <w:sz w:val="18"/>
                <w:szCs w:val="18"/>
              </w:rPr>
              <w:t>Se anotará la fecha en que se desclasifica el documento.</w:t>
            </w:r>
          </w:p>
        </w:tc>
        <w:tc>
          <w:tcPr>
            <w:tcW w:w="1501" w:type="dxa"/>
            <w:tcBorders>
              <w:top w:val="single" w:sz="6" w:space="0" w:color="BFBFBF"/>
              <w:left w:val="single" w:sz="6" w:space="0" w:color="BFBFBF"/>
              <w:bottom w:val="single" w:sz="6" w:space="0" w:color="BFBFBF"/>
              <w:right w:val="single" w:sz="6" w:space="0" w:color="BFBFBF"/>
            </w:tcBorders>
          </w:tcPr>
          <w:p w14:paraId="074F5DB6" w14:textId="77777777" w:rsidR="00F8557D" w:rsidRPr="008645E3" w:rsidRDefault="00646B44" w:rsidP="00095932">
            <w:pPr>
              <w:spacing w:after="0" w:line="360" w:lineRule="auto"/>
              <w:jc w:val="both"/>
              <w:rPr>
                <w:rFonts w:ascii="Palatino Linotype" w:eastAsia="Palatino Linotype" w:hAnsi="Palatino Linotype" w:cs="Palatino Linotype"/>
                <w:sz w:val="18"/>
                <w:szCs w:val="18"/>
              </w:rPr>
            </w:pPr>
            <w:r w:rsidRPr="008645E3">
              <w:rPr>
                <w:rFonts w:ascii="Palatino Linotype" w:eastAsia="Palatino Linotype" w:hAnsi="Palatino Linotype" w:cs="Palatino Linotype"/>
                <w:b/>
                <w:sz w:val="18"/>
                <w:szCs w:val="18"/>
              </w:rPr>
              <w:t>Rúbrica del titular del área</w:t>
            </w:r>
          </w:p>
        </w:tc>
        <w:tc>
          <w:tcPr>
            <w:tcW w:w="3314" w:type="dxa"/>
            <w:tcBorders>
              <w:top w:val="single" w:sz="6" w:space="0" w:color="BFBFBF"/>
              <w:left w:val="single" w:sz="6" w:space="0" w:color="BFBFBF"/>
              <w:bottom w:val="single" w:sz="6" w:space="0" w:color="BFBFBF"/>
              <w:right w:val="single" w:sz="6" w:space="0" w:color="BFBFBF"/>
            </w:tcBorders>
          </w:tcPr>
          <w:p w14:paraId="0ACABA6E" w14:textId="77777777" w:rsidR="00F8557D" w:rsidRPr="008645E3" w:rsidRDefault="00646B44" w:rsidP="00095932">
            <w:pPr>
              <w:spacing w:after="0" w:line="360" w:lineRule="auto"/>
              <w:jc w:val="both"/>
              <w:rPr>
                <w:rFonts w:ascii="Palatino Linotype" w:eastAsia="Palatino Linotype" w:hAnsi="Palatino Linotype" w:cs="Palatino Linotype"/>
                <w:sz w:val="18"/>
                <w:szCs w:val="18"/>
              </w:rPr>
            </w:pPr>
            <w:r w:rsidRPr="008645E3">
              <w:rPr>
                <w:rFonts w:ascii="Palatino Linotype" w:eastAsia="Palatino Linotype" w:hAnsi="Palatino Linotype" w:cs="Palatino Linotype"/>
                <w:sz w:val="18"/>
                <w:szCs w:val="18"/>
              </w:rPr>
              <w:t>Rúbrica autógrafa de quien clasifica.</w:t>
            </w:r>
          </w:p>
        </w:tc>
      </w:tr>
      <w:tr w:rsidR="00F8557D" w:rsidRPr="008645E3" w14:paraId="48DDB841" w14:textId="77777777">
        <w:tc>
          <w:tcPr>
            <w:tcW w:w="1386" w:type="dxa"/>
            <w:tcBorders>
              <w:top w:val="single" w:sz="6" w:space="0" w:color="BFBFBF"/>
              <w:left w:val="single" w:sz="6" w:space="0" w:color="BFBFBF"/>
              <w:bottom w:val="single" w:sz="6" w:space="0" w:color="BFBFBF"/>
              <w:right w:val="single" w:sz="6" w:space="0" w:color="BFBFBF"/>
            </w:tcBorders>
          </w:tcPr>
          <w:p w14:paraId="341E7823" w14:textId="77777777" w:rsidR="00F8557D" w:rsidRPr="008645E3" w:rsidRDefault="00646B44" w:rsidP="00095932">
            <w:pPr>
              <w:spacing w:after="0" w:line="360" w:lineRule="auto"/>
              <w:jc w:val="both"/>
              <w:rPr>
                <w:rFonts w:ascii="Palatino Linotype" w:eastAsia="Palatino Linotype" w:hAnsi="Palatino Linotype" w:cs="Palatino Linotype"/>
                <w:sz w:val="18"/>
                <w:szCs w:val="18"/>
              </w:rPr>
            </w:pPr>
            <w:r w:rsidRPr="008645E3">
              <w:rPr>
                <w:rFonts w:ascii="Palatino Linotype" w:eastAsia="Palatino Linotype" w:hAnsi="Palatino Linotype" w:cs="Palatino Linotype"/>
                <w:sz w:val="18"/>
                <w:szCs w:val="18"/>
              </w:rPr>
              <w:t>Rúbrica y cargo del servidor público</w:t>
            </w:r>
          </w:p>
        </w:tc>
        <w:tc>
          <w:tcPr>
            <w:tcW w:w="2848" w:type="dxa"/>
            <w:tcBorders>
              <w:top w:val="single" w:sz="6" w:space="0" w:color="BFBFBF"/>
              <w:left w:val="single" w:sz="6" w:space="0" w:color="BFBFBF"/>
              <w:bottom w:val="single" w:sz="6" w:space="0" w:color="BFBFBF"/>
              <w:right w:val="single" w:sz="6" w:space="0" w:color="BFBFBF"/>
            </w:tcBorders>
          </w:tcPr>
          <w:p w14:paraId="0FF3A278" w14:textId="77777777" w:rsidR="00F8557D" w:rsidRPr="008645E3" w:rsidRDefault="00646B44" w:rsidP="00095932">
            <w:pPr>
              <w:spacing w:after="0" w:line="360" w:lineRule="auto"/>
              <w:jc w:val="both"/>
              <w:rPr>
                <w:rFonts w:ascii="Palatino Linotype" w:eastAsia="Palatino Linotype" w:hAnsi="Palatino Linotype" w:cs="Palatino Linotype"/>
                <w:sz w:val="18"/>
                <w:szCs w:val="18"/>
              </w:rPr>
            </w:pPr>
            <w:r w:rsidRPr="008645E3">
              <w:rPr>
                <w:rFonts w:ascii="Palatino Linotype" w:eastAsia="Palatino Linotype" w:hAnsi="Palatino Linotype" w:cs="Palatino Linotype"/>
                <w:sz w:val="18"/>
                <w:szCs w:val="18"/>
              </w:rPr>
              <w:t>Rúbrica autógrafa de quien desclasifica.</w:t>
            </w:r>
          </w:p>
        </w:tc>
        <w:tc>
          <w:tcPr>
            <w:tcW w:w="1501" w:type="dxa"/>
            <w:tcBorders>
              <w:top w:val="single" w:sz="6" w:space="0" w:color="BFBFBF"/>
              <w:left w:val="single" w:sz="6" w:space="0" w:color="BFBFBF"/>
              <w:bottom w:val="single" w:sz="6" w:space="0" w:color="BFBFBF"/>
              <w:right w:val="single" w:sz="6" w:space="0" w:color="BFBFBF"/>
            </w:tcBorders>
          </w:tcPr>
          <w:p w14:paraId="10ACA193" w14:textId="77777777" w:rsidR="00F8557D" w:rsidRPr="008645E3" w:rsidRDefault="00646B44" w:rsidP="00095932">
            <w:pPr>
              <w:spacing w:after="0" w:line="360" w:lineRule="auto"/>
              <w:jc w:val="both"/>
              <w:rPr>
                <w:rFonts w:ascii="Palatino Linotype" w:eastAsia="Palatino Linotype" w:hAnsi="Palatino Linotype" w:cs="Palatino Linotype"/>
                <w:sz w:val="18"/>
                <w:szCs w:val="18"/>
              </w:rPr>
            </w:pPr>
            <w:r w:rsidRPr="008645E3">
              <w:rPr>
                <w:rFonts w:ascii="Palatino Linotype" w:eastAsia="Palatino Linotype" w:hAnsi="Palatino Linotype" w:cs="Palatino Linotype"/>
                <w:b/>
                <w:sz w:val="18"/>
                <w:szCs w:val="18"/>
              </w:rPr>
              <w:t>Fecha de desclasificación</w:t>
            </w:r>
          </w:p>
        </w:tc>
        <w:tc>
          <w:tcPr>
            <w:tcW w:w="3314" w:type="dxa"/>
            <w:tcBorders>
              <w:top w:val="single" w:sz="6" w:space="0" w:color="BFBFBF"/>
              <w:left w:val="single" w:sz="6" w:space="0" w:color="BFBFBF"/>
              <w:bottom w:val="single" w:sz="6" w:space="0" w:color="BFBFBF"/>
              <w:right w:val="single" w:sz="6" w:space="0" w:color="BFBFBF"/>
            </w:tcBorders>
          </w:tcPr>
          <w:p w14:paraId="49BF3EEC" w14:textId="77777777" w:rsidR="00F8557D" w:rsidRPr="008645E3" w:rsidRDefault="00646B44" w:rsidP="00095932">
            <w:pPr>
              <w:spacing w:after="0" w:line="360" w:lineRule="auto"/>
              <w:jc w:val="both"/>
              <w:rPr>
                <w:rFonts w:ascii="Palatino Linotype" w:eastAsia="Palatino Linotype" w:hAnsi="Palatino Linotype" w:cs="Palatino Linotype"/>
                <w:sz w:val="18"/>
                <w:szCs w:val="18"/>
              </w:rPr>
            </w:pPr>
            <w:r w:rsidRPr="008645E3">
              <w:rPr>
                <w:rFonts w:ascii="Palatino Linotype" w:eastAsia="Palatino Linotype" w:hAnsi="Palatino Linotype" w:cs="Palatino Linotype"/>
                <w:sz w:val="18"/>
                <w:szCs w:val="18"/>
              </w:rPr>
              <w:t>Se anotará la fecha en que se desclasifica.</w:t>
            </w:r>
          </w:p>
        </w:tc>
      </w:tr>
      <w:tr w:rsidR="00F8557D" w:rsidRPr="008645E3" w14:paraId="1EF98F64" w14:textId="77777777">
        <w:tc>
          <w:tcPr>
            <w:tcW w:w="1386" w:type="dxa"/>
            <w:tcBorders>
              <w:top w:val="single" w:sz="6" w:space="0" w:color="BFBFBF"/>
              <w:left w:val="single" w:sz="6" w:space="0" w:color="BFBFBF"/>
              <w:bottom w:val="single" w:sz="6" w:space="0" w:color="BFBFBF"/>
              <w:right w:val="single" w:sz="6" w:space="0" w:color="BFBFBF"/>
            </w:tcBorders>
          </w:tcPr>
          <w:p w14:paraId="7CF26B41" w14:textId="77777777" w:rsidR="00F8557D" w:rsidRPr="008645E3" w:rsidRDefault="00646B44" w:rsidP="00095932">
            <w:pPr>
              <w:spacing w:after="0" w:line="360" w:lineRule="auto"/>
              <w:jc w:val="both"/>
              <w:rPr>
                <w:rFonts w:ascii="Palatino Linotype" w:eastAsia="Palatino Linotype" w:hAnsi="Palatino Linotype" w:cs="Palatino Linotype"/>
                <w:sz w:val="18"/>
                <w:szCs w:val="18"/>
              </w:rPr>
            </w:pPr>
            <w:r w:rsidRPr="008645E3">
              <w:rPr>
                <w:rFonts w:ascii="Palatino Linotype" w:eastAsia="Palatino Linotype" w:hAnsi="Palatino Linotype" w:cs="Palatino Linotype"/>
                <w:sz w:val="18"/>
                <w:szCs w:val="18"/>
              </w:rPr>
              <w:t> </w:t>
            </w:r>
          </w:p>
        </w:tc>
        <w:tc>
          <w:tcPr>
            <w:tcW w:w="2848" w:type="dxa"/>
            <w:tcBorders>
              <w:top w:val="single" w:sz="6" w:space="0" w:color="BFBFBF"/>
              <w:left w:val="single" w:sz="6" w:space="0" w:color="BFBFBF"/>
              <w:bottom w:val="single" w:sz="6" w:space="0" w:color="BFBFBF"/>
              <w:right w:val="single" w:sz="6" w:space="0" w:color="BFBFBF"/>
            </w:tcBorders>
          </w:tcPr>
          <w:p w14:paraId="7B098E0D" w14:textId="77777777" w:rsidR="00F8557D" w:rsidRPr="008645E3" w:rsidRDefault="00646B44" w:rsidP="00095932">
            <w:pPr>
              <w:spacing w:after="0" w:line="360" w:lineRule="auto"/>
              <w:jc w:val="both"/>
              <w:rPr>
                <w:rFonts w:ascii="Palatino Linotype" w:eastAsia="Palatino Linotype" w:hAnsi="Palatino Linotype" w:cs="Palatino Linotype"/>
                <w:sz w:val="18"/>
                <w:szCs w:val="18"/>
              </w:rPr>
            </w:pPr>
            <w:r w:rsidRPr="008645E3">
              <w:rPr>
                <w:rFonts w:ascii="Palatino Linotype" w:eastAsia="Palatino Linotype" w:hAnsi="Palatino Linotype" w:cs="Palatino Linotype"/>
                <w:sz w:val="18"/>
                <w:szCs w:val="18"/>
              </w:rPr>
              <w:t> </w:t>
            </w:r>
          </w:p>
        </w:tc>
        <w:tc>
          <w:tcPr>
            <w:tcW w:w="1501" w:type="dxa"/>
            <w:tcBorders>
              <w:top w:val="single" w:sz="6" w:space="0" w:color="BFBFBF"/>
              <w:left w:val="single" w:sz="6" w:space="0" w:color="BFBFBF"/>
              <w:bottom w:val="single" w:sz="6" w:space="0" w:color="BFBFBF"/>
              <w:right w:val="single" w:sz="6" w:space="0" w:color="BFBFBF"/>
            </w:tcBorders>
          </w:tcPr>
          <w:p w14:paraId="389B893A" w14:textId="77777777" w:rsidR="00F8557D" w:rsidRPr="008645E3" w:rsidRDefault="00646B44" w:rsidP="00095932">
            <w:pPr>
              <w:spacing w:after="0" w:line="360" w:lineRule="auto"/>
              <w:jc w:val="both"/>
              <w:rPr>
                <w:rFonts w:ascii="Palatino Linotype" w:eastAsia="Palatino Linotype" w:hAnsi="Palatino Linotype" w:cs="Palatino Linotype"/>
                <w:sz w:val="18"/>
                <w:szCs w:val="18"/>
              </w:rPr>
            </w:pPr>
            <w:r w:rsidRPr="008645E3">
              <w:rPr>
                <w:rFonts w:ascii="Palatino Linotype" w:eastAsia="Palatino Linotype" w:hAnsi="Palatino Linotype" w:cs="Palatino Linotype"/>
                <w:b/>
                <w:sz w:val="18"/>
                <w:szCs w:val="18"/>
              </w:rPr>
              <w:t>Partes o secciones reservadas o confidenciales</w:t>
            </w:r>
          </w:p>
        </w:tc>
        <w:tc>
          <w:tcPr>
            <w:tcW w:w="3314" w:type="dxa"/>
            <w:tcBorders>
              <w:top w:val="single" w:sz="6" w:space="0" w:color="BFBFBF"/>
              <w:left w:val="single" w:sz="6" w:space="0" w:color="BFBFBF"/>
              <w:bottom w:val="single" w:sz="6" w:space="0" w:color="BFBFBF"/>
              <w:right w:val="single" w:sz="6" w:space="0" w:color="BFBFBF"/>
            </w:tcBorders>
          </w:tcPr>
          <w:p w14:paraId="41EC3D54" w14:textId="77777777" w:rsidR="00F8557D" w:rsidRPr="008645E3" w:rsidRDefault="00646B44" w:rsidP="00095932">
            <w:pPr>
              <w:spacing w:after="0" w:line="360" w:lineRule="auto"/>
              <w:jc w:val="both"/>
              <w:rPr>
                <w:rFonts w:ascii="Palatino Linotype" w:eastAsia="Palatino Linotype" w:hAnsi="Palatino Linotype" w:cs="Palatino Linotype"/>
                <w:sz w:val="18"/>
                <w:szCs w:val="18"/>
              </w:rPr>
            </w:pPr>
            <w:r w:rsidRPr="008645E3">
              <w:rPr>
                <w:rFonts w:ascii="Palatino Linotype" w:eastAsia="Palatino Linotype" w:hAnsi="Palatino Linotype" w:cs="Palatino Linotype"/>
                <w:sz w:val="18"/>
                <w:szCs w:val="18"/>
              </w:rPr>
              <w:t>En caso que una vez desclasificado el expediente, </w:t>
            </w:r>
            <w:proofErr w:type="spellStart"/>
            <w:r w:rsidRPr="008645E3">
              <w:rPr>
                <w:rFonts w:ascii="Palatino Linotype" w:eastAsia="Palatino Linotype" w:hAnsi="Palatino Linotype" w:cs="Palatino Linotype"/>
                <w:sz w:val="18"/>
                <w:szCs w:val="18"/>
              </w:rPr>
              <w:t>subsistanpartes</w:t>
            </w:r>
            <w:proofErr w:type="spellEnd"/>
            <w:r w:rsidRPr="008645E3">
              <w:rPr>
                <w:rFonts w:ascii="Palatino Linotype" w:eastAsia="Palatino Linotype" w:hAnsi="Palatino Linotype" w:cs="Palatino Linotype"/>
                <w:sz w:val="18"/>
                <w:szCs w:val="18"/>
              </w:rPr>
              <w:t> o secciones del mismo reservadas o confidenciales, se señalará este hecho.</w:t>
            </w:r>
          </w:p>
        </w:tc>
      </w:tr>
      <w:tr w:rsidR="00F8557D" w:rsidRPr="008645E3" w14:paraId="10C6FFB3" w14:textId="77777777">
        <w:tc>
          <w:tcPr>
            <w:tcW w:w="1386" w:type="dxa"/>
            <w:tcBorders>
              <w:top w:val="single" w:sz="6" w:space="0" w:color="BFBFBF"/>
              <w:left w:val="single" w:sz="6" w:space="0" w:color="BFBFBF"/>
              <w:bottom w:val="single" w:sz="6" w:space="0" w:color="BFBFBF"/>
              <w:right w:val="single" w:sz="6" w:space="0" w:color="BFBFBF"/>
            </w:tcBorders>
          </w:tcPr>
          <w:p w14:paraId="66FEBAEE" w14:textId="77777777" w:rsidR="00F8557D" w:rsidRPr="008645E3" w:rsidRDefault="00646B44" w:rsidP="00095932">
            <w:pPr>
              <w:spacing w:after="0" w:line="360" w:lineRule="auto"/>
              <w:jc w:val="both"/>
              <w:rPr>
                <w:rFonts w:ascii="Palatino Linotype" w:eastAsia="Palatino Linotype" w:hAnsi="Palatino Linotype" w:cs="Palatino Linotype"/>
                <w:sz w:val="18"/>
                <w:szCs w:val="18"/>
              </w:rPr>
            </w:pPr>
            <w:r w:rsidRPr="008645E3">
              <w:rPr>
                <w:rFonts w:ascii="Palatino Linotype" w:eastAsia="Palatino Linotype" w:hAnsi="Palatino Linotype" w:cs="Palatino Linotype"/>
                <w:sz w:val="18"/>
                <w:szCs w:val="18"/>
              </w:rPr>
              <w:t> </w:t>
            </w:r>
          </w:p>
        </w:tc>
        <w:tc>
          <w:tcPr>
            <w:tcW w:w="2848" w:type="dxa"/>
            <w:tcBorders>
              <w:top w:val="single" w:sz="6" w:space="0" w:color="BFBFBF"/>
              <w:left w:val="single" w:sz="6" w:space="0" w:color="BFBFBF"/>
              <w:bottom w:val="single" w:sz="6" w:space="0" w:color="BFBFBF"/>
              <w:right w:val="single" w:sz="6" w:space="0" w:color="BFBFBF"/>
            </w:tcBorders>
          </w:tcPr>
          <w:p w14:paraId="555620DD" w14:textId="77777777" w:rsidR="00F8557D" w:rsidRPr="008645E3" w:rsidRDefault="00646B44" w:rsidP="00095932">
            <w:pPr>
              <w:spacing w:after="0" w:line="360" w:lineRule="auto"/>
              <w:jc w:val="both"/>
              <w:rPr>
                <w:rFonts w:ascii="Palatino Linotype" w:eastAsia="Palatino Linotype" w:hAnsi="Palatino Linotype" w:cs="Palatino Linotype"/>
                <w:sz w:val="18"/>
                <w:szCs w:val="18"/>
              </w:rPr>
            </w:pPr>
            <w:r w:rsidRPr="008645E3">
              <w:rPr>
                <w:rFonts w:ascii="Palatino Linotype" w:eastAsia="Palatino Linotype" w:hAnsi="Palatino Linotype" w:cs="Palatino Linotype"/>
                <w:sz w:val="18"/>
                <w:szCs w:val="18"/>
              </w:rPr>
              <w:t> </w:t>
            </w:r>
          </w:p>
        </w:tc>
        <w:tc>
          <w:tcPr>
            <w:tcW w:w="1501" w:type="dxa"/>
            <w:tcBorders>
              <w:top w:val="single" w:sz="6" w:space="0" w:color="BFBFBF"/>
              <w:left w:val="single" w:sz="6" w:space="0" w:color="BFBFBF"/>
              <w:bottom w:val="single" w:sz="6" w:space="0" w:color="BFBFBF"/>
              <w:right w:val="single" w:sz="6" w:space="0" w:color="BFBFBF"/>
            </w:tcBorders>
          </w:tcPr>
          <w:p w14:paraId="6437A768" w14:textId="77777777" w:rsidR="00F8557D" w:rsidRPr="008645E3" w:rsidRDefault="00646B44" w:rsidP="00095932">
            <w:pPr>
              <w:spacing w:after="0" w:line="360" w:lineRule="auto"/>
              <w:jc w:val="both"/>
              <w:rPr>
                <w:rFonts w:ascii="Palatino Linotype" w:eastAsia="Palatino Linotype" w:hAnsi="Palatino Linotype" w:cs="Palatino Linotype"/>
                <w:sz w:val="18"/>
                <w:szCs w:val="18"/>
              </w:rPr>
            </w:pPr>
            <w:r w:rsidRPr="008645E3">
              <w:rPr>
                <w:rFonts w:ascii="Palatino Linotype" w:eastAsia="Palatino Linotype" w:hAnsi="Palatino Linotype" w:cs="Palatino Linotype"/>
                <w:b/>
                <w:sz w:val="18"/>
                <w:szCs w:val="18"/>
              </w:rPr>
              <w:t>Rúbrica y cargo del servidor público</w:t>
            </w:r>
          </w:p>
        </w:tc>
        <w:tc>
          <w:tcPr>
            <w:tcW w:w="3314" w:type="dxa"/>
            <w:tcBorders>
              <w:top w:val="single" w:sz="6" w:space="0" w:color="BFBFBF"/>
              <w:left w:val="single" w:sz="6" w:space="0" w:color="BFBFBF"/>
              <w:bottom w:val="single" w:sz="6" w:space="0" w:color="BFBFBF"/>
              <w:right w:val="single" w:sz="6" w:space="0" w:color="BFBFBF"/>
            </w:tcBorders>
          </w:tcPr>
          <w:p w14:paraId="461E3AEA" w14:textId="77777777" w:rsidR="00F8557D" w:rsidRPr="008645E3" w:rsidRDefault="00646B44" w:rsidP="00095932">
            <w:pPr>
              <w:spacing w:after="0" w:line="360" w:lineRule="auto"/>
              <w:jc w:val="both"/>
              <w:rPr>
                <w:rFonts w:ascii="Palatino Linotype" w:eastAsia="Palatino Linotype" w:hAnsi="Palatino Linotype" w:cs="Palatino Linotype"/>
                <w:sz w:val="18"/>
                <w:szCs w:val="18"/>
              </w:rPr>
            </w:pPr>
            <w:r w:rsidRPr="008645E3">
              <w:rPr>
                <w:rFonts w:ascii="Palatino Linotype" w:eastAsia="Palatino Linotype" w:hAnsi="Palatino Linotype" w:cs="Palatino Linotype"/>
                <w:sz w:val="18"/>
                <w:szCs w:val="18"/>
              </w:rPr>
              <w:t>Rúbrica autógrafa de quien desclasifica.</w:t>
            </w:r>
          </w:p>
        </w:tc>
      </w:tr>
    </w:tbl>
    <w:p w14:paraId="1A4CB731" w14:textId="77777777" w:rsidR="008C55CC" w:rsidRDefault="008C55CC">
      <w:pPr>
        <w:spacing w:after="0" w:line="360" w:lineRule="auto"/>
        <w:ind w:right="49"/>
        <w:jc w:val="both"/>
        <w:rPr>
          <w:rFonts w:ascii="Palatino Linotype" w:eastAsia="Palatino Linotype" w:hAnsi="Palatino Linotype" w:cs="Palatino Linotype"/>
          <w:sz w:val="24"/>
          <w:szCs w:val="24"/>
        </w:rPr>
      </w:pPr>
    </w:p>
    <w:p w14:paraId="2C180019" w14:textId="0DB9C36F" w:rsidR="00F8557D" w:rsidRPr="008645E3" w:rsidRDefault="00646B44">
      <w:pPr>
        <w:spacing w:after="0" w:line="360" w:lineRule="auto"/>
        <w:ind w:right="49"/>
        <w:jc w:val="both"/>
        <w:rPr>
          <w:rFonts w:ascii="Palatino Linotype" w:eastAsia="Palatino Linotype" w:hAnsi="Palatino Linotype" w:cs="Palatino Linotype"/>
          <w:sz w:val="24"/>
          <w:szCs w:val="24"/>
        </w:rPr>
      </w:pPr>
      <w:r w:rsidRPr="008645E3">
        <w:rPr>
          <w:rFonts w:ascii="Palatino Linotype" w:eastAsia="Palatino Linotype" w:hAnsi="Palatino Linotype" w:cs="Palatino Linotype"/>
          <w:sz w:val="24"/>
          <w:szCs w:val="24"/>
        </w:rPr>
        <w:t xml:space="preserve">Es así como, en mérito de lo expuesto en líneas anteriores, resultan fundadas las razones o motivos de inconformidad hechos valer por el </w:t>
      </w:r>
      <w:r w:rsidRPr="00B16261">
        <w:rPr>
          <w:rFonts w:ascii="Palatino Linotype" w:eastAsia="Palatino Linotype" w:hAnsi="Palatino Linotype" w:cs="Palatino Linotype"/>
          <w:b/>
          <w:bCs/>
          <w:sz w:val="24"/>
          <w:szCs w:val="24"/>
        </w:rPr>
        <w:t>RECURRENTE</w:t>
      </w:r>
      <w:r w:rsidRPr="008645E3">
        <w:rPr>
          <w:rFonts w:ascii="Palatino Linotype" w:eastAsia="Palatino Linotype" w:hAnsi="Palatino Linotype" w:cs="Palatino Linotype"/>
          <w:sz w:val="24"/>
          <w:szCs w:val="24"/>
        </w:rPr>
        <w:t xml:space="preserve"> dentro del recurso de revisión </w:t>
      </w:r>
      <w:r w:rsidR="00C60490">
        <w:rPr>
          <w:rFonts w:ascii="Palatino Linotype" w:eastAsia="Palatino Linotype" w:hAnsi="Palatino Linotype" w:cs="Palatino Linotype"/>
          <w:b/>
          <w:sz w:val="24"/>
          <w:szCs w:val="24"/>
        </w:rPr>
        <w:t>17094/INFOEM/IP/RR/2022</w:t>
      </w:r>
      <w:r w:rsidRPr="008645E3">
        <w:rPr>
          <w:rFonts w:ascii="Palatino Linotype" w:eastAsia="Palatino Linotype" w:hAnsi="Palatino Linotype" w:cs="Palatino Linotype"/>
          <w:sz w:val="24"/>
          <w:szCs w:val="24"/>
        </w:rPr>
        <w:t xml:space="preserve">; por ello, y con fundamento en la fracción III del numeral 186 de la Ley de Transparencia y Acceso a la Información Pública del Estado de México y Municipios, se </w:t>
      </w:r>
      <w:r w:rsidR="00320C33">
        <w:rPr>
          <w:rFonts w:ascii="Palatino Linotype" w:eastAsia="Palatino Linotype" w:hAnsi="Palatino Linotype" w:cs="Palatino Linotype"/>
          <w:b/>
          <w:sz w:val="24"/>
          <w:szCs w:val="24"/>
        </w:rPr>
        <w:t>REVOCA</w:t>
      </w:r>
      <w:r w:rsidRPr="008645E3">
        <w:rPr>
          <w:rFonts w:ascii="Palatino Linotype" w:eastAsia="Palatino Linotype" w:hAnsi="Palatino Linotype" w:cs="Palatino Linotype"/>
          <w:b/>
          <w:sz w:val="24"/>
          <w:szCs w:val="24"/>
        </w:rPr>
        <w:t xml:space="preserve"> </w:t>
      </w:r>
      <w:r w:rsidRPr="008645E3">
        <w:rPr>
          <w:rFonts w:ascii="Palatino Linotype" w:eastAsia="Palatino Linotype" w:hAnsi="Palatino Linotype" w:cs="Palatino Linotype"/>
          <w:sz w:val="24"/>
          <w:szCs w:val="24"/>
        </w:rPr>
        <w:t xml:space="preserve">la respuesta a la solicitud de información número </w:t>
      </w:r>
      <w:r w:rsidRPr="008645E3">
        <w:rPr>
          <w:rFonts w:ascii="Palatino Linotype" w:eastAsia="Palatino Linotype" w:hAnsi="Palatino Linotype" w:cs="Palatino Linotype"/>
          <w:b/>
          <w:sz w:val="24"/>
          <w:szCs w:val="24"/>
        </w:rPr>
        <w:t>00</w:t>
      </w:r>
      <w:r w:rsidR="00C60490">
        <w:rPr>
          <w:rFonts w:ascii="Palatino Linotype" w:eastAsia="Palatino Linotype" w:hAnsi="Palatino Linotype" w:cs="Palatino Linotype"/>
          <w:b/>
          <w:sz w:val="24"/>
          <w:szCs w:val="24"/>
        </w:rPr>
        <w:t>587</w:t>
      </w:r>
      <w:r w:rsidR="00320C33">
        <w:rPr>
          <w:rFonts w:ascii="Palatino Linotype" w:eastAsia="Palatino Linotype" w:hAnsi="Palatino Linotype" w:cs="Palatino Linotype"/>
          <w:b/>
          <w:sz w:val="24"/>
          <w:szCs w:val="24"/>
        </w:rPr>
        <w:t>/UAEM</w:t>
      </w:r>
      <w:r w:rsidR="00320C33" w:rsidRPr="008645E3">
        <w:rPr>
          <w:rFonts w:ascii="Palatino Linotype" w:eastAsia="Palatino Linotype" w:hAnsi="Palatino Linotype" w:cs="Palatino Linotype"/>
          <w:b/>
          <w:sz w:val="24"/>
          <w:szCs w:val="24"/>
        </w:rPr>
        <w:t xml:space="preserve"> </w:t>
      </w:r>
      <w:r w:rsidRPr="008645E3">
        <w:rPr>
          <w:rFonts w:ascii="Palatino Linotype" w:eastAsia="Palatino Linotype" w:hAnsi="Palatino Linotype" w:cs="Palatino Linotype"/>
          <w:b/>
          <w:sz w:val="24"/>
          <w:szCs w:val="24"/>
        </w:rPr>
        <w:t>/IP/2022.</w:t>
      </w:r>
    </w:p>
    <w:p w14:paraId="47C72419" w14:textId="77777777" w:rsidR="0089546B" w:rsidRDefault="0089546B">
      <w:pPr>
        <w:spacing w:after="0" w:line="360" w:lineRule="auto"/>
        <w:ind w:right="49"/>
        <w:jc w:val="both"/>
        <w:rPr>
          <w:rFonts w:ascii="Palatino Linotype" w:eastAsia="Palatino Linotype" w:hAnsi="Palatino Linotype" w:cs="Palatino Linotype"/>
          <w:color w:val="FF0000"/>
          <w:sz w:val="24"/>
          <w:szCs w:val="24"/>
        </w:rPr>
      </w:pPr>
    </w:p>
    <w:p w14:paraId="3FA848D3" w14:textId="2A8B3797" w:rsidR="008C55CC" w:rsidRDefault="00646B44">
      <w:pPr>
        <w:spacing w:after="0" w:line="360" w:lineRule="auto"/>
        <w:ind w:right="49"/>
        <w:jc w:val="both"/>
        <w:rPr>
          <w:rFonts w:ascii="Palatino Linotype" w:eastAsia="Palatino Linotype" w:hAnsi="Palatino Linotype" w:cs="Palatino Linotype"/>
          <w:sz w:val="24"/>
          <w:szCs w:val="24"/>
        </w:rPr>
      </w:pPr>
      <w:r w:rsidRPr="008645E3">
        <w:rPr>
          <w:rFonts w:ascii="Palatino Linotype" w:eastAsia="Palatino Linotype" w:hAnsi="Palatino Linotype" w:cs="Palatino Linotype"/>
          <w:sz w:val="24"/>
          <w:szCs w:val="24"/>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r w:rsidR="00203460">
        <w:rPr>
          <w:rFonts w:ascii="Palatino Linotype" w:eastAsia="Palatino Linotype" w:hAnsi="Palatino Linotype" w:cs="Palatino Linotype"/>
          <w:sz w:val="24"/>
          <w:szCs w:val="24"/>
        </w:rPr>
        <w:t>:</w:t>
      </w:r>
    </w:p>
    <w:p w14:paraId="0A838F4F" w14:textId="77777777" w:rsidR="00F8557D" w:rsidRPr="008645E3" w:rsidRDefault="00646B44">
      <w:pPr>
        <w:spacing w:after="0" w:line="360" w:lineRule="auto"/>
        <w:ind w:right="49"/>
        <w:jc w:val="center"/>
        <w:rPr>
          <w:rFonts w:ascii="Palatino Linotype" w:eastAsia="Palatino Linotype" w:hAnsi="Palatino Linotype" w:cs="Palatino Linotype"/>
          <w:b/>
          <w:sz w:val="24"/>
          <w:szCs w:val="24"/>
        </w:rPr>
      </w:pPr>
      <w:r w:rsidRPr="008645E3">
        <w:rPr>
          <w:rFonts w:ascii="Palatino Linotype" w:eastAsia="Palatino Linotype" w:hAnsi="Palatino Linotype" w:cs="Palatino Linotype"/>
          <w:b/>
          <w:sz w:val="24"/>
          <w:szCs w:val="24"/>
        </w:rPr>
        <w:lastRenderedPageBreak/>
        <w:t>III.</w:t>
      </w:r>
      <w:r w:rsidRPr="008645E3">
        <w:rPr>
          <w:rFonts w:ascii="Palatino Linotype" w:eastAsia="Palatino Linotype" w:hAnsi="Palatino Linotype" w:cs="Palatino Linotype"/>
          <w:b/>
          <w:sz w:val="24"/>
          <w:szCs w:val="24"/>
        </w:rPr>
        <w:tab/>
        <w:t>R E S U E L V E:</w:t>
      </w:r>
    </w:p>
    <w:p w14:paraId="741D8D48" w14:textId="77777777" w:rsidR="00F8557D" w:rsidRPr="008C55CC" w:rsidRDefault="00F8557D">
      <w:pPr>
        <w:spacing w:after="0" w:line="360" w:lineRule="auto"/>
        <w:ind w:right="49"/>
        <w:jc w:val="both"/>
        <w:rPr>
          <w:rFonts w:ascii="Palatino Linotype" w:eastAsia="Palatino Linotype" w:hAnsi="Palatino Linotype" w:cs="Palatino Linotype"/>
          <w:szCs w:val="24"/>
        </w:rPr>
      </w:pPr>
    </w:p>
    <w:p w14:paraId="2CC1FD37" w14:textId="4D938232" w:rsidR="00F8557D" w:rsidRPr="008645E3" w:rsidRDefault="00646B44">
      <w:pPr>
        <w:spacing w:after="0" w:line="360" w:lineRule="auto"/>
        <w:ind w:right="49"/>
        <w:jc w:val="both"/>
        <w:rPr>
          <w:rFonts w:ascii="Palatino Linotype" w:eastAsia="Palatino Linotype" w:hAnsi="Palatino Linotype" w:cs="Palatino Linotype"/>
          <w:sz w:val="24"/>
          <w:szCs w:val="24"/>
        </w:rPr>
      </w:pPr>
      <w:r w:rsidRPr="008645E3">
        <w:rPr>
          <w:rFonts w:ascii="Palatino Linotype" w:eastAsia="Palatino Linotype" w:hAnsi="Palatino Linotype" w:cs="Palatino Linotype"/>
          <w:b/>
          <w:sz w:val="24"/>
          <w:szCs w:val="24"/>
        </w:rPr>
        <w:t>Primero.</w:t>
      </w:r>
      <w:r w:rsidRPr="008645E3">
        <w:rPr>
          <w:rFonts w:ascii="Palatino Linotype" w:eastAsia="Palatino Linotype" w:hAnsi="Palatino Linotype" w:cs="Palatino Linotype"/>
          <w:sz w:val="24"/>
          <w:szCs w:val="24"/>
        </w:rPr>
        <w:t xml:space="preserve"> Resultan</w:t>
      </w:r>
      <w:r w:rsidRPr="008645E3">
        <w:rPr>
          <w:rFonts w:ascii="Palatino Linotype" w:eastAsia="Palatino Linotype" w:hAnsi="Palatino Linotype" w:cs="Palatino Linotype"/>
          <w:b/>
          <w:sz w:val="24"/>
          <w:szCs w:val="24"/>
        </w:rPr>
        <w:t xml:space="preserve"> FUNDADOS</w:t>
      </w:r>
      <w:r w:rsidRPr="008645E3">
        <w:rPr>
          <w:rFonts w:ascii="Palatino Linotype" w:eastAsia="Palatino Linotype" w:hAnsi="Palatino Linotype" w:cs="Palatino Linotype"/>
          <w:sz w:val="24"/>
          <w:szCs w:val="24"/>
        </w:rPr>
        <w:t xml:space="preserve"> los motivos de inconformidad hechos valer por el </w:t>
      </w:r>
      <w:r w:rsidRPr="008645E3">
        <w:rPr>
          <w:rFonts w:ascii="Palatino Linotype" w:eastAsia="Palatino Linotype" w:hAnsi="Palatino Linotype" w:cs="Palatino Linotype"/>
          <w:b/>
          <w:sz w:val="24"/>
          <w:szCs w:val="24"/>
        </w:rPr>
        <w:t>RECURRENTE</w:t>
      </w:r>
      <w:r w:rsidRPr="008645E3">
        <w:rPr>
          <w:rFonts w:ascii="Palatino Linotype" w:eastAsia="Palatino Linotype" w:hAnsi="Palatino Linotype" w:cs="Palatino Linotype"/>
          <w:sz w:val="24"/>
          <w:szCs w:val="24"/>
        </w:rPr>
        <w:t xml:space="preserve"> en el Recurso de Revisión </w:t>
      </w:r>
      <w:r w:rsidR="00C60490">
        <w:rPr>
          <w:rFonts w:ascii="Palatino Linotype" w:eastAsia="Palatino Linotype" w:hAnsi="Palatino Linotype" w:cs="Palatino Linotype"/>
          <w:b/>
          <w:sz w:val="24"/>
          <w:szCs w:val="24"/>
        </w:rPr>
        <w:t>17094/INFOEM/IP/RR/2022</w:t>
      </w:r>
      <w:r w:rsidRPr="008645E3">
        <w:rPr>
          <w:rFonts w:ascii="Palatino Linotype" w:eastAsia="Palatino Linotype" w:hAnsi="Palatino Linotype" w:cs="Palatino Linotype"/>
          <w:sz w:val="24"/>
          <w:szCs w:val="24"/>
        </w:rPr>
        <w:t xml:space="preserve">, por lo que, en términos del </w:t>
      </w:r>
      <w:r w:rsidRPr="008645E3">
        <w:rPr>
          <w:rFonts w:ascii="Palatino Linotype" w:eastAsia="Palatino Linotype" w:hAnsi="Palatino Linotype" w:cs="Palatino Linotype"/>
          <w:b/>
          <w:sz w:val="24"/>
          <w:szCs w:val="24"/>
        </w:rPr>
        <w:t>Considerando Cuarto</w:t>
      </w:r>
      <w:r w:rsidRPr="008645E3">
        <w:rPr>
          <w:rFonts w:ascii="Palatino Linotype" w:eastAsia="Palatino Linotype" w:hAnsi="Palatino Linotype" w:cs="Palatino Linotype"/>
          <w:sz w:val="24"/>
          <w:szCs w:val="24"/>
        </w:rPr>
        <w:t xml:space="preserve"> de esta resolución, se </w:t>
      </w:r>
      <w:r w:rsidR="00320C33">
        <w:rPr>
          <w:rFonts w:ascii="Palatino Linotype" w:eastAsia="Palatino Linotype" w:hAnsi="Palatino Linotype" w:cs="Palatino Linotype"/>
          <w:b/>
          <w:sz w:val="24"/>
          <w:szCs w:val="24"/>
        </w:rPr>
        <w:t>REVOCA</w:t>
      </w:r>
      <w:r w:rsidRPr="008645E3">
        <w:rPr>
          <w:rFonts w:ascii="Palatino Linotype" w:eastAsia="Palatino Linotype" w:hAnsi="Palatino Linotype" w:cs="Palatino Linotype"/>
          <w:sz w:val="24"/>
          <w:szCs w:val="24"/>
        </w:rPr>
        <w:t xml:space="preserve"> la respuesta emitida por el </w:t>
      </w:r>
      <w:r w:rsidRPr="008645E3">
        <w:rPr>
          <w:rFonts w:ascii="Palatino Linotype" w:eastAsia="Palatino Linotype" w:hAnsi="Palatino Linotype" w:cs="Palatino Linotype"/>
          <w:b/>
          <w:sz w:val="24"/>
          <w:szCs w:val="24"/>
        </w:rPr>
        <w:t>SUJETO OBLIGADO</w:t>
      </w:r>
      <w:r w:rsidRPr="008645E3">
        <w:rPr>
          <w:rFonts w:ascii="Palatino Linotype" w:eastAsia="Palatino Linotype" w:hAnsi="Palatino Linotype" w:cs="Palatino Linotype"/>
          <w:sz w:val="24"/>
          <w:szCs w:val="24"/>
        </w:rPr>
        <w:t>.</w:t>
      </w:r>
    </w:p>
    <w:p w14:paraId="291BFCC6" w14:textId="77777777" w:rsidR="00F8557D" w:rsidRPr="008645E3" w:rsidRDefault="00F8557D">
      <w:pPr>
        <w:spacing w:after="0" w:line="360" w:lineRule="auto"/>
        <w:ind w:right="49"/>
        <w:jc w:val="both"/>
        <w:rPr>
          <w:rFonts w:ascii="Palatino Linotype" w:eastAsia="Palatino Linotype" w:hAnsi="Palatino Linotype" w:cs="Palatino Linotype"/>
          <w:sz w:val="24"/>
          <w:szCs w:val="24"/>
        </w:rPr>
      </w:pPr>
    </w:p>
    <w:p w14:paraId="53ACDFEB" w14:textId="2EF69D52" w:rsidR="008C55CC" w:rsidRDefault="00646B44" w:rsidP="008C55CC">
      <w:pPr>
        <w:spacing w:after="0" w:line="360" w:lineRule="auto"/>
        <w:ind w:right="49"/>
        <w:jc w:val="both"/>
        <w:rPr>
          <w:rFonts w:ascii="Palatino Linotype" w:eastAsia="Palatino Linotype" w:hAnsi="Palatino Linotype" w:cs="Palatino Linotype"/>
          <w:sz w:val="24"/>
          <w:szCs w:val="24"/>
        </w:rPr>
      </w:pPr>
      <w:r w:rsidRPr="008645E3">
        <w:rPr>
          <w:rFonts w:ascii="Palatino Linotype" w:eastAsia="Palatino Linotype" w:hAnsi="Palatino Linotype" w:cs="Palatino Linotype"/>
          <w:b/>
          <w:sz w:val="24"/>
          <w:szCs w:val="24"/>
        </w:rPr>
        <w:t>Segundo</w:t>
      </w:r>
      <w:r w:rsidRPr="008645E3">
        <w:rPr>
          <w:rFonts w:ascii="Palatino Linotype" w:eastAsia="Palatino Linotype" w:hAnsi="Palatino Linotype" w:cs="Palatino Linotype"/>
          <w:sz w:val="24"/>
          <w:szCs w:val="24"/>
        </w:rPr>
        <w:t xml:space="preserve">. Se </w:t>
      </w:r>
      <w:r w:rsidRPr="008645E3">
        <w:rPr>
          <w:rFonts w:ascii="Palatino Linotype" w:eastAsia="Palatino Linotype" w:hAnsi="Palatino Linotype" w:cs="Palatino Linotype"/>
          <w:b/>
          <w:sz w:val="24"/>
          <w:szCs w:val="24"/>
        </w:rPr>
        <w:t>ORDENA</w:t>
      </w:r>
      <w:r w:rsidRPr="008645E3">
        <w:rPr>
          <w:rFonts w:ascii="Palatino Linotype" w:eastAsia="Palatino Linotype" w:hAnsi="Palatino Linotype" w:cs="Palatino Linotype"/>
          <w:sz w:val="24"/>
          <w:szCs w:val="24"/>
        </w:rPr>
        <w:t xml:space="preserve"> al </w:t>
      </w:r>
      <w:r w:rsidRPr="008645E3">
        <w:rPr>
          <w:rFonts w:ascii="Palatino Linotype" w:eastAsia="Palatino Linotype" w:hAnsi="Palatino Linotype" w:cs="Palatino Linotype"/>
          <w:b/>
          <w:sz w:val="24"/>
          <w:szCs w:val="24"/>
        </w:rPr>
        <w:t>SUJETO OBLIGADO</w:t>
      </w:r>
      <w:r w:rsidRPr="008645E3">
        <w:rPr>
          <w:rFonts w:ascii="Palatino Linotype" w:eastAsia="Palatino Linotype" w:hAnsi="Palatino Linotype" w:cs="Palatino Linotype"/>
          <w:sz w:val="24"/>
          <w:szCs w:val="24"/>
        </w:rPr>
        <w:t xml:space="preserve"> a que, en términos del Considerando Cuarto y Quinto, haga entrega vía Sistema de Acceso a la Informaci</w:t>
      </w:r>
      <w:r w:rsidR="008C55CC">
        <w:rPr>
          <w:rFonts w:ascii="Palatino Linotype" w:eastAsia="Palatino Linotype" w:hAnsi="Palatino Linotype" w:cs="Palatino Linotype"/>
          <w:sz w:val="24"/>
          <w:szCs w:val="24"/>
        </w:rPr>
        <w:t>ón Mexiquense</w:t>
      </w:r>
      <w:r w:rsidRPr="008645E3">
        <w:rPr>
          <w:rFonts w:ascii="Palatino Linotype" w:eastAsia="Palatino Linotype" w:hAnsi="Palatino Linotype" w:cs="Palatino Linotype"/>
          <w:sz w:val="24"/>
          <w:szCs w:val="24"/>
        </w:rPr>
        <w:t xml:space="preserve">, en </w:t>
      </w:r>
      <w:r w:rsidR="00C60490">
        <w:rPr>
          <w:rFonts w:ascii="Palatino Linotype" w:eastAsia="Palatino Linotype" w:hAnsi="Palatino Linotype" w:cs="Palatino Linotype"/>
          <w:sz w:val="24"/>
          <w:szCs w:val="24"/>
        </w:rPr>
        <w:t xml:space="preserve">correcta </w:t>
      </w:r>
      <w:r w:rsidRPr="008645E3">
        <w:rPr>
          <w:rFonts w:ascii="Palatino Linotype" w:eastAsia="Palatino Linotype" w:hAnsi="Palatino Linotype" w:cs="Palatino Linotype"/>
          <w:sz w:val="24"/>
          <w:szCs w:val="24"/>
        </w:rPr>
        <w:t>versión pública, de la siguiente información:</w:t>
      </w:r>
      <w:bookmarkStart w:id="1" w:name="_heading=h.1fob9te" w:colFirst="0" w:colLast="0"/>
      <w:bookmarkEnd w:id="1"/>
    </w:p>
    <w:p w14:paraId="35FE9B19" w14:textId="77777777" w:rsidR="008C55CC" w:rsidRDefault="008C55CC" w:rsidP="008C55CC">
      <w:pPr>
        <w:spacing w:after="0" w:line="360" w:lineRule="auto"/>
        <w:ind w:right="49"/>
        <w:jc w:val="both"/>
        <w:rPr>
          <w:rFonts w:ascii="Palatino Linotype" w:eastAsia="Palatino Linotype" w:hAnsi="Palatino Linotype" w:cs="Palatino Linotype"/>
          <w:sz w:val="24"/>
          <w:szCs w:val="24"/>
        </w:rPr>
      </w:pPr>
    </w:p>
    <w:p w14:paraId="45FE0E82" w14:textId="77777777" w:rsidR="00C60490" w:rsidRPr="00C60490" w:rsidRDefault="00C60490" w:rsidP="00C60490">
      <w:pPr>
        <w:pStyle w:val="Prrafodelista"/>
        <w:numPr>
          <w:ilvl w:val="0"/>
          <w:numId w:val="9"/>
        </w:numPr>
        <w:pBdr>
          <w:top w:val="nil"/>
          <w:left w:val="nil"/>
          <w:bottom w:val="nil"/>
          <w:right w:val="nil"/>
          <w:between w:val="nil"/>
        </w:pBdr>
        <w:spacing w:after="0" w:line="360" w:lineRule="auto"/>
        <w:ind w:right="49"/>
        <w:jc w:val="both"/>
        <w:rPr>
          <w:rFonts w:ascii="Palatino Linotype" w:eastAsia="Palatino Linotype" w:hAnsi="Palatino Linotype" w:cs="Palatino Linotype"/>
          <w:b/>
          <w:sz w:val="24"/>
          <w:szCs w:val="24"/>
        </w:rPr>
      </w:pPr>
      <w:r w:rsidRPr="00C60490">
        <w:rPr>
          <w:rFonts w:ascii="Palatino Linotype" w:eastAsia="Palatino Linotype" w:hAnsi="Palatino Linotype" w:cs="Palatino Linotype"/>
          <w:b/>
          <w:sz w:val="24"/>
          <w:szCs w:val="24"/>
        </w:rPr>
        <w:t xml:space="preserve">Firmas por Lugar de Pago Personalizado de la Dirección de Transporte Universitario y Servicios Generales de la primera quincena de octubre de dos mil veintidós, enviados en informe justificado. </w:t>
      </w:r>
    </w:p>
    <w:p w14:paraId="3A1DD532" w14:textId="77777777" w:rsidR="008C55CC" w:rsidRPr="00B16261" w:rsidRDefault="008C55CC" w:rsidP="00634588">
      <w:pPr>
        <w:pStyle w:val="Prrafodelista"/>
        <w:pBdr>
          <w:top w:val="nil"/>
          <w:left w:val="nil"/>
          <w:bottom w:val="nil"/>
          <w:right w:val="nil"/>
          <w:between w:val="nil"/>
        </w:pBdr>
        <w:tabs>
          <w:tab w:val="left" w:pos="993"/>
        </w:tabs>
        <w:spacing w:after="0" w:line="360" w:lineRule="auto"/>
        <w:ind w:right="-28"/>
        <w:jc w:val="both"/>
        <w:rPr>
          <w:rFonts w:ascii="Palatino Linotype" w:eastAsia="Palatino Linotype" w:hAnsi="Palatino Linotype" w:cs="Palatino Linotype"/>
          <w:b/>
          <w:color w:val="FF0000"/>
          <w:sz w:val="24"/>
          <w:szCs w:val="24"/>
        </w:rPr>
      </w:pPr>
    </w:p>
    <w:p w14:paraId="180CD279" w14:textId="21F655A5" w:rsidR="00F8557D" w:rsidRPr="008C55CC" w:rsidRDefault="008C55CC" w:rsidP="00C60490">
      <w:pPr>
        <w:pStyle w:val="Prrafodelista"/>
        <w:pBdr>
          <w:top w:val="nil"/>
          <w:left w:val="nil"/>
          <w:bottom w:val="nil"/>
          <w:right w:val="nil"/>
          <w:between w:val="nil"/>
        </w:pBdr>
        <w:tabs>
          <w:tab w:val="left" w:pos="993"/>
        </w:tabs>
        <w:spacing w:after="0" w:line="360" w:lineRule="auto"/>
        <w:ind w:left="426" w:right="-28"/>
        <w:jc w:val="both"/>
        <w:rPr>
          <w:rFonts w:ascii="Palatino Linotype" w:eastAsia="Palatino Linotype" w:hAnsi="Palatino Linotype" w:cs="Palatino Linotype"/>
          <w:b/>
          <w:i/>
          <w:color w:val="FF0000"/>
          <w:sz w:val="24"/>
          <w:szCs w:val="24"/>
        </w:rPr>
      </w:pPr>
      <w:r>
        <w:rPr>
          <w:rFonts w:ascii="Palatino Linotype" w:eastAsia="Palatino Linotype" w:hAnsi="Palatino Linotype" w:cs="Palatino Linotype"/>
          <w:i/>
          <w:sz w:val="24"/>
          <w:szCs w:val="24"/>
        </w:rPr>
        <w:t>Se</w:t>
      </w:r>
      <w:r w:rsidR="00646B44" w:rsidRPr="008C55CC">
        <w:rPr>
          <w:rFonts w:ascii="Palatino Linotype" w:eastAsia="Palatino Linotype" w:hAnsi="Palatino Linotype" w:cs="Palatino Linotype"/>
          <w:i/>
          <w:sz w:val="24"/>
          <w:szCs w:val="24"/>
        </w:rPr>
        <w:t xml:space="preserv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3EF3346A" w14:textId="77777777" w:rsidR="00F8557D" w:rsidRPr="008645E3" w:rsidRDefault="00F8557D">
      <w:pPr>
        <w:tabs>
          <w:tab w:val="left" w:pos="993"/>
        </w:tabs>
        <w:spacing w:after="0" w:line="360" w:lineRule="auto"/>
        <w:ind w:right="-28"/>
        <w:jc w:val="both"/>
        <w:rPr>
          <w:rFonts w:ascii="Palatino Linotype" w:eastAsia="Palatino Linotype" w:hAnsi="Palatino Linotype" w:cs="Palatino Linotype"/>
          <w:b/>
          <w:sz w:val="24"/>
          <w:szCs w:val="24"/>
        </w:rPr>
      </w:pPr>
    </w:p>
    <w:p w14:paraId="7CC1FF69" w14:textId="2DC672A4" w:rsidR="00F8557D" w:rsidRPr="00C60490" w:rsidRDefault="00C60490">
      <w:pPr>
        <w:spacing w:after="0" w:line="360" w:lineRule="auto"/>
        <w:ind w:right="49"/>
        <w:jc w:val="both"/>
        <w:rPr>
          <w:rFonts w:ascii="Palatino Linotype" w:eastAsia="Palatino Linotype" w:hAnsi="Palatino Linotype" w:cs="Palatino Linotype"/>
          <w:sz w:val="24"/>
        </w:rPr>
      </w:pPr>
      <w:r w:rsidRPr="00C60490">
        <w:rPr>
          <w:rFonts w:ascii="Palatino Linotype" w:eastAsia="Palatino Linotype" w:hAnsi="Palatino Linotype" w:cs="Palatino Linotype"/>
          <w:b/>
          <w:sz w:val="24"/>
        </w:rPr>
        <w:t>Tercero.</w:t>
      </w:r>
      <w:r w:rsidRPr="00C60490">
        <w:rPr>
          <w:rFonts w:ascii="Palatino Linotype" w:eastAsia="Palatino Linotype" w:hAnsi="Palatino Linotype" w:cs="Palatino Linotype"/>
          <w:sz w:val="24"/>
        </w:rPr>
        <w:t xml:space="preserve"> </w:t>
      </w:r>
      <w:r w:rsidRPr="00C60490">
        <w:rPr>
          <w:rFonts w:ascii="Palatino Linotype" w:eastAsia="Palatino Linotype" w:hAnsi="Palatino Linotype" w:cs="Palatino Linotype"/>
          <w:b/>
          <w:sz w:val="24"/>
        </w:rPr>
        <w:t xml:space="preserve">Notifíquese </w:t>
      </w:r>
      <w:r w:rsidRPr="00C60490">
        <w:rPr>
          <w:rFonts w:ascii="Palatino Linotype" w:eastAsia="Palatino Linotype" w:hAnsi="Palatino Linotype" w:cs="Palatino Linotype"/>
          <w:sz w:val="24"/>
        </w:rPr>
        <w:t>la presente resolución al T</w:t>
      </w:r>
      <w:r w:rsidRPr="00C60490">
        <w:rPr>
          <w:rFonts w:ascii="Palatino Linotype" w:eastAsia="Palatino Linotype" w:hAnsi="Palatino Linotype" w:cs="Palatino Linotype"/>
          <w:b/>
          <w:sz w:val="24"/>
        </w:rPr>
        <w:t xml:space="preserve">itular de la Unidad de Transparencia </w:t>
      </w:r>
      <w:r w:rsidRPr="00C60490">
        <w:rPr>
          <w:rFonts w:ascii="Palatino Linotype" w:eastAsia="Palatino Linotype" w:hAnsi="Palatino Linotype" w:cs="Palatino Linotype"/>
          <w:sz w:val="24"/>
        </w:rPr>
        <w:t xml:space="preserve">del </w:t>
      </w:r>
      <w:r w:rsidRPr="00C60490">
        <w:rPr>
          <w:rFonts w:ascii="Palatino Linotype" w:eastAsia="Palatino Linotype" w:hAnsi="Palatino Linotype" w:cs="Palatino Linotype"/>
          <w:b/>
          <w:sz w:val="24"/>
        </w:rPr>
        <w:t>SUJETO OBLIGADO</w:t>
      </w:r>
      <w:r w:rsidRPr="00C60490">
        <w:rPr>
          <w:rFonts w:ascii="Palatino Linotype" w:eastAsia="Palatino Linotype" w:hAnsi="Palatino Linotype" w:cs="Palatino Linotype"/>
          <w:sz w:val="24"/>
        </w:rPr>
        <w:t xml:space="preserve">, para que conforme al artículo 186 último párrafo, 189 segundo párrafo y 194 de la Ley de Transparencia y Acceso a la Información Pública </w:t>
      </w:r>
      <w:r w:rsidRPr="00C60490">
        <w:rPr>
          <w:rFonts w:ascii="Palatino Linotype" w:eastAsia="Palatino Linotype" w:hAnsi="Palatino Linotype" w:cs="Palatino Linotype"/>
          <w:sz w:val="24"/>
        </w:rPr>
        <w:lastRenderedPageBreak/>
        <w:t>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9E0BD2F" w14:textId="77777777" w:rsidR="00C60490" w:rsidRPr="008645E3" w:rsidRDefault="00C60490">
      <w:pPr>
        <w:spacing w:after="0" w:line="360" w:lineRule="auto"/>
        <w:ind w:right="49"/>
        <w:jc w:val="both"/>
        <w:rPr>
          <w:rFonts w:ascii="Palatino Linotype" w:eastAsia="Palatino Linotype" w:hAnsi="Palatino Linotype" w:cs="Palatino Linotype"/>
          <w:sz w:val="24"/>
          <w:szCs w:val="24"/>
        </w:rPr>
      </w:pPr>
    </w:p>
    <w:p w14:paraId="3970498B" w14:textId="78199E9A" w:rsidR="00F8557D" w:rsidRPr="00CA2CD1" w:rsidRDefault="00646B44">
      <w:pPr>
        <w:spacing w:after="0" w:line="360" w:lineRule="auto"/>
        <w:ind w:right="49"/>
        <w:jc w:val="both"/>
        <w:rPr>
          <w:rFonts w:ascii="Palatino Linotype" w:eastAsia="Palatino Linotype" w:hAnsi="Palatino Linotype" w:cs="Palatino Linotype"/>
          <w:color w:val="FF0000"/>
          <w:sz w:val="24"/>
          <w:szCs w:val="24"/>
        </w:rPr>
      </w:pPr>
      <w:r w:rsidRPr="008645E3">
        <w:rPr>
          <w:rFonts w:ascii="Palatino Linotype" w:eastAsia="Palatino Linotype" w:hAnsi="Palatino Linotype" w:cs="Palatino Linotype"/>
          <w:b/>
          <w:sz w:val="24"/>
          <w:szCs w:val="24"/>
        </w:rPr>
        <w:t>Cuarto.</w:t>
      </w:r>
      <w:r w:rsidRPr="008645E3">
        <w:rPr>
          <w:rFonts w:ascii="Palatino Linotype" w:eastAsia="Palatino Linotype" w:hAnsi="Palatino Linotype" w:cs="Palatino Linotype"/>
          <w:sz w:val="24"/>
          <w:szCs w:val="24"/>
        </w:rPr>
        <w:t xml:space="preserve"> </w:t>
      </w:r>
      <w:r w:rsidRPr="008645E3">
        <w:rPr>
          <w:rFonts w:ascii="Palatino Linotype" w:eastAsia="Palatino Linotype" w:hAnsi="Palatino Linotype" w:cs="Palatino Linotype"/>
          <w:b/>
          <w:sz w:val="24"/>
          <w:szCs w:val="24"/>
        </w:rPr>
        <w:t>Notifíquese vía SAIMEX</w:t>
      </w:r>
      <w:r w:rsidRPr="008645E3">
        <w:rPr>
          <w:rFonts w:ascii="Palatino Linotype" w:eastAsia="Palatino Linotype" w:hAnsi="Palatino Linotype" w:cs="Palatino Linotype"/>
          <w:sz w:val="24"/>
          <w:szCs w:val="24"/>
        </w:rPr>
        <w:t xml:space="preserve"> a la parte </w:t>
      </w:r>
      <w:r w:rsidRPr="008645E3">
        <w:rPr>
          <w:rFonts w:ascii="Palatino Linotype" w:eastAsia="Palatino Linotype" w:hAnsi="Palatino Linotype" w:cs="Palatino Linotype"/>
          <w:b/>
          <w:sz w:val="24"/>
          <w:szCs w:val="24"/>
        </w:rPr>
        <w:t xml:space="preserve">RECURRENTE </w:t>
      </w:r>
      <w:r w:rsidRPr="008645E3">
        <w:rPr>
          <w:rFonts w:ascii="Palatino Linotype" w:eastAsia="Palatino Linotype" w:hAnsi="Palatino Linotype" w:cs="Palatino Linotype"/>
          <w:sz w:val="24"/>
          <w:szCs w:val="24"/>
        </w:rPr>
        <w:t>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w:t>
      </w:r>
      <w:r w:rsidR="0089546B">
        <w:rPr>
          <w:rFonts w:ascii="Palatino Linotype" w:eastAsia="Palatino Linotype" w:hAnsi="Palatino Linotype" w:cs="Palatino Linotype"/>
          <w:sz w:val="24"/>
          <w:szCs w:val="24"/>
        </w:rPr>
        <w:t xml:space="preserve">. </w:t>
      </w:r>
    </w:p>
    <w:p w14:paraId="23C230A4" w14:textId="77777777" w:rsidR="00F8557D" w:rsidRPr="008645E3" w:rsidRDefault="00F8557D">
      <w:pPr>
        <w:spacing w:after="0" w:line="360" w:lineRule="auto"/>
        <w:ind w:right="49"/>
        <w:jc w:val="both"/>
        <w:rPr>
          <w:rFonts w:ascii="Palatino Linotype" w:eastAsia="Palatino Linotype" w:hAnsi="Palatino Linotype" w:cs="Palatino Linotype"/>
          <w:sz w:val="24"/>
          <w:szCs w:val="24"/>
        </w:rPr>
      </w:pPr>
    </w:p>
    <w:p w14:paraId="6BD0C091" w14:textId="77777777" w:rsidR="00F8557D" w:rsidRPr="008645E3" w:rsidRDefault="00646B44">
      <w:pPr>
        <w:spacing w:after="0" w:line="360" w:lineRule="auto"/>
        <w:ind w:right="49"/>
        <w:jc w:val="both"/>
        <w:rPr>
          <w:rFonts w:ascii="Palatino Linotype" w:eastAsia="Palatino Linotype" w:hAnsi="Palatino Linotype" w:cs="Palatino Linotype"/>
          <w:sz w:val="24"/>
          <w:szCs w:val="24"/>
        </w:rPr>
      </w:pPr>
      <w:r w:rsidRPr="008645E3">
        <w:rPr>
          <w:rFonts w:ascii="Palatino Linotype" w:eastAsia="Palatino Linotype" w:hAnsi="Palatino Linotype" w:cs="Palatino Linotype"/>
          <w:b/>
          <w:sz w:val="24"/>
          <w:szCs w:val="24"/>
        </w:rPr>
        <w:t>Quinto.</w:t>
      </w:r>
      <w:r w:rsidRPr="008645E3">
        <w:rPr>
          <w:rFonts w:ascii="Palatino Linotype" w:eastAsia="Palatino Linotype" w:hAnsi="Palatino Linotype" w:cs="Palatino Linotype"/>
          <w:sz w:val="24"/>
          <w:szCs w:val="24"/>
        </w:rPr>
        <w:t xml:space="preserve"> De conformidad con el artículo 198 de la Ley de Transparencia y Acceso a la Información Pública del Estado de México y Municipios, de considerarlo procedente, el </w:t>
      </w:r>
      <w:r w:rsidRPr="008645E3">
        <w:rPr>
          <w:rFonts w:ascii="Palatino Linotype" w:eastAsia="Palatino Linotype" w:hAnsi="Palatino Linotype" w:cs="Palatino Linotype"/>
          <w:b/>
          <w:sz w:val="24"/>
          <w:szCs w:val="24"/>
        </w:rPr>
        <w:t>SUJETO OBLIGADO</w:t>
      </w:r>
      <w:r w:rsidRPr="008645E3">
        <w:rPr>
          <w:rFonts w:ascii="Palatino Linotype" w:eastAsia="Palatino Linotype" w:hAnsi="Palatino Linotype" w:cs="Palatino Linotype"/>
          <w:sz w:val="24"/>
          <w:szCs w:val="24"/>
        </w:rPr>
        <w:t xml:space="preserve"> de manera fundada y motivada, podrá solicitar una ampliación de plazo para el cumplimiento de la presente resolución.</w:t>
      </w:r>
    </w:p>
    <w:p w14:paraId="42787555" w14:textId="77777777" w:rsidR="00F8557D" w:rsidRPr="008C55CC" w:rsidRDefault="00F8557D">
      <w:pPr>
        <w:spacing w:after="0" w:line="360" w:lineRule="auto"/>
        <w:ind w:right="49"/>
        <w:jc w:val="both"/>
        <w:rPr>
          <w:rFonts w:ascii="Palatino Linotype" w:eastAsia="Palatino Linotype" w:hAnsi="Palatino Linotype" w:cs="Palatino Linotype"/>
          <w:sz w:val="24"/>
          <w:szCs w:val="24"/>
        </w:rPr>
      </w:pPr>
    </w:p>
    <w:p w14:paraId="0026736C" w14:textId="2E2F4387" w:rsidR="00F8557D" w:rsidRDefault="00646B44">
      <w:pPr>
        <w:spacing w:after="0" w:line="360" w:lineRule="auto"/>
        <w:ind w:right="49"/>
        <w:jc w:val="both"/>
        <w:rPr>
          <w:rFonts w:ascii="Palatino Linotype" w:eastAsia="Palatino Linotype" w:hAnsi="Palatino Linotype" w:cs="Palatino Linotype"/>
          <w:sz w:val="24"/>
        </w:rPr>
      </w:pPr>
      <w:r w:rsidRPr="00C60490">
        <w:rPr>
          <w:rFonts w:ascii="Palatino Linotype" w:eastAsia="Palatino Linotype" w:hAnsi="Palatino Linotype" w:cs="Palatino Linotype"/>
          <w:sz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w:t>
      </w:r>
      <w:r w:rsidRPr="00C60490">
        <w:rPr>
          <w:rFonts w:ascii="Palatino Linotype" w:eastAsia="Palatino Linotype" w:hAnsi="Palatino Linotype" w:cs="Palatino Linotype"/>
          <w:sz w:val="24"/>
        </w:rPr>
        <w:lastRenderedPageBreak/>
        <w:t xml:space="preserve">GUSTAVO PARRA NORIEGA Y GUADALUPE RAMÍREZ PEÑA; EN LA </w:t>
      </w:r>
      <w:r w:rsidR="008C55CC" w:rsidRPr="00C60490">
        <w:rPr>
          <w:rFonts w:ascii="Palatino Linotype" w:eastAsia="Palatino Linotype" w:hAnsi="Palatino Linotype" w:cs="Palatino Linotype"/>
          <w:sz w:val="24"/>
        </w:rPr>
        <w:t xml:space="preserve">DÉCIMA </w:t>
      </w:r>
      <w:r w:rsidR="00C60490">
        <w:rPr>
          <w:rFonts w:ascii="Palatino Linotype" w:eastAsia="Palatino Linotype" w:hAnsi="Palatino Linotype" w:cs="Palatino Linotype"/>
          <w:sz w:val="24"/>
        </w:rPr>
        <w:t>NOVENA</w:t>
      </w:r>
      <w:r w:rsidR="008C55CC" w:rsidRPr="00C60490">
        <w:rPr>
          <w:rFonts w:ascii="Palatino Linotype" w:eastAsia="Palatino Linotype" w:hAnsi="Palatino Linotype" w:cs="Palatino Linotype"/>
          <w:sz w:val="24"/>
        </w:rPr>
        <w:t xml:space="preserve"> </w:t>
      </w:r>
      <w:r w:rsidR="00B16261" w:rsidRPr="00C60490">
        <w:rPr>
          <w:rFonts w:ascii="Palatino Linotype" w:eastAsia="Palatino Linotype" w:hAnsi="Palatino Linotype" w:cs="Palatino Linotype"/>
          <w:sz w:val="24"/>
        </w:rPr>
        <w:t xml:space="preserve">SESIÓN ORDINARIA </w:t>
      </w:r>
      <w:r w:rsidRPr="00C60490">
        <w:rPr>
          <w:rFonts w:ascii="Palatino Linotype" w:eastAsia="Palatino Linotype" w:hAnsi="Palatino Linotype" w:cs="Palatino Linotype"/>
          <w:sz w:val="24"/>
        </w:rPr>
        <w:t xml:space="preserve">CELEBRADA EL </w:t>
      </w:r>
      <w:r w:rsidR="00C32B9B">
        <w:rPr>
          <w:rFonts w:ascii="Palatino Linotype" w:eastAsia="Palatino Linotype" w:hAnsi="Palatino Linotype" w:cs="Palatino Linotype"/>
          <w:sz w:val="24"/>
        </w:rPr>
        <w:t>VEINTICUATRO</w:t>
      </w:r>
      <w:r w:rsidR="00C60490">
        <w:rPr>
          <w:rFonts w:ascii="Palatino Linotype" w:eastAsia="Palatino Linotype" w:hAnsi="Palatino Linotype" w:cs="Palatino Linotype"/>
          <w:sz w:val="24"/>
        </w:rPr>
        <w:t xml:space="preserve"> DE MAYO</w:t>
      </w:r>
      <w:r w:rsidRPr="00C60490">
        <w:rPr>
          <w:rFonts w:ascii="Palatino Linotype" w:eastAsia="Palatino Linotype" w:hAnsi="Palatino Linotype" w:cs="Palatino Linotype"/>
          <w:sz w:val="24"/>
        </w:rPr>
        <w:t xml:space="preserve"> DE DOS MIL VEINTI</w:t>
      </w:r>
      <w:r w:rsidR="00B16261" w:rsidRPr="00C60490">
        <w:rPr>
          <w:rFonts w:ascii="Palatino Linotype" w:eastAsia="Palatino Linotype" w:hAnsi="Palatino Linotype" w:cs="Palatino Linotype"/>
          <w:sz w:val="24"/>
        </w:rPr>
        <w:t>TRÉS</w:t>
      </w:r>
      <w:r w:rsidRPr="00C60490">
        <w:rPr>
          <w:rFonts w:ascii="Palatino Linotype" w:eastAsia="Palatino Linotype" w:hAnsi="Palatino Linotype" w:cs="Palatino Linotype"/>
          <w:sz w:val="24"/>
        </w:rPr>
        <w:t>, ANTE EL SECRETARIO TÉCNICO DEL PLENO ALEXIS TAPIA RAMÍRE</w:t>
      </w:r>
      <w:r w:rsidR="008C55CC" w:rsidRPr="00C60490">
        <w:rPr>
          <w:rFonts w:ascii="Palatino Linotype" w:eastAsia="Palatino Linotype" w:hAnsi="Palatino Linotype" w:cs="Palatino Linotype"/>
          <w:sz w:val="24"/>
        </w:rPr>
        <w:t>Z</w:t>
      </w:r>
      <w:r w:rsidR="00C32B9B">
        <w:rPr>
          <w:rFonts w:ascii="Palatino Linotype" w:eastAsia="Palatino Linotype" w:hAnsi="Palatino Linotype" w:cs="Palatino Linotype"/>
          <w:sz w:val="24"/>
        </w:rPr>
        <w:t>.</w:t>
      </w:r>
    </w:p>
    <w:p w14:paraId="4FE8B9DD" w14:textId="77777777" w:rsidR="00C32B9B" w:rsidRDefault="00C32B9B">
      <w:pPr>
        <w:spacing w:after="0" w:line="360" w:lineRule="auto"/>
        <w:ind w:right="49"/>
        <w:jc w:val="both"/>
        <w:rPr>
          <w:rFonts w:ascii="Palatino Linotype" w:eastAsia="Palatino Linotype" w:hAnsi="Palatino Linotype" w:cs="Palatino Linotype"/>
          <w:sz w:val="24"/>
        </w:rPr>
      </w:pPr>
    </w:p>
    <w:p w14:paraId="663E6FA0" w14:textId="7286985F" w:rsidR="00C32B9B" w:rsidRDefault="00C32B9B">
      <w:pPr>
        <w:spacing w:after="0" w:line="360" w:lineRule="auto"/>
        <w:ind w:right="49"/>
        <w:jc w:val="both"/>
        <w:rPr>
          <w:rFonts w:ascii="Palatino Linotype" w:eastAsia="Palatino Linotype" w:hAnsi="Palatino Linotype" w:cs="Palatino Linotype"/>
          <w:sz w:val="24"/>
        </w:rPr>
      </w:pPr>
      <w:r>
        <w:rPr>
          <w:rFonts w:ascii="Palatino Linotype" w:eastAsia="Palatino Linotype" w:hAnsi="Palatino Linotype" w:cs="Palatino Linotype"/>
          <w:noProof/>
          <w:sz w:val="24"/>
        </w:rPr>
        <mc:AlternateContent>
          <mc:Choice Requires="wps">
            <w:drawing>
              <wp:anchor distT="0" distB="0" distL="114300" distR="114300" simplePos="0" relativeHeight="251659264" behindDoc="0" locked="0" layoutInCell="1" allowOverlap="1" wp14:anchorId="30905F70" wp14:editId="4D4B739D">
                <wp:simplePos x="0" y="0"/>
                <wp:positionH relativeFrom="column">
                  <wp:posOffset>302098</wp:posOffset>
                </wp:positionH>
                <wp:positionV relativeFrom="paragraph">
                  <wp:posOffset>180118</wp:posOffset>
                </wp:positionV>
                <wp:extent cx="5422604" cy="5252484"/>
                <wp:effectExtent l="0" t="0" r="26035" b="24765"/>
                <wp:wrapNone/>
                <wp:docPr id="1" name="Conector recto 1"/>
                <wp:cNvGraphicFramePr/>
                <a:graphic xmlns:a="http://schemas.openxmlformats.org/drawingml/2006/main">
                  <a:graphicData uri="http://schemas.microsoft.com/office/word/2010/wordprocessingShape">
                    <wps:wsp>
                      <wps:cNvCnPr/>
                      <wps:spPr>
                        <a:xfrm>
                          <a:off x="0" y="0"/>
                          <a:ext cx="5422604" cy="5252484"/>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72BBC87A"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8pt,14.2pt" to="450.8pt,4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" strokecolor="#ed7d31 [3205]" strokeweight=".5pt">
                <v:stroke joinstyle="miter"/>
              </v:line>
            </w:pict>
          </mc:Fallback>
        </mc:AlternateContent>
      </w:r>
    </w:p>
    <w:p w14:paraId="044D4850" w14:textId="77777777" w:rsidR="00C32B9B" w:rsidRDefault="00C32B9B">
      <w:pPr>
        <w:spacing w:after="0" w:line="360" w:lineRule="auto"/>
        <w:ind w:right="49"/>
        <w:jc w:val="both"/>
        <w:rPr>
          <w:rFonts w:ascii="Palatino Linotype" w:eastAsia="Palatino Linotype" w:hAnsi="Palatino Linotype" w:cs="Palatino Linotype"/>
          <w:sz w:val="24"/>
        </w:rPr>
      </w:pPr>
    </w:p>
    <w:p w14:paraId="23DBC9DB" w14:textId="77777777" w:rsidR="00C32B9B" w:rsidRDefault="00C32B9B">
      <w:pPr>
        <w:spacing w:after="0" w:line="360" w:lineRule="auto"/>
        <w:ind w:right="49"/>
        <w:jc w:val="both"/>
        <w:rPr>
          <w:rFonts w:ascii="Palatino Linotype" w:eastAsia="Palatino Linotype" w:hAnsi="Palatino Linotype" w:cs="Palatino Linotype"/>
          <w:sz w:val="24"/>
        </w:rPr>
      </w:pPr>
    </w:p>
    <w:p w14:paraId="41DB9127" w14:textId="77777777" w:rsidR="00C32B9B" w:rsidRDefault="00C32B9B">
      <w:pPr>
        <w:spacing w:after="0" w:line="360" w:lineRule="auto"/>
        <w:ind w:right="49"/>
        <w:jc w:val="both"/>
        <w:rPr>
          <w:rFonts w:ascii="Palatino Linotype" w:eastAsia="Palatino Linotype" w:hAnsi="Palatino Linotype" w:cs="Palatino Linotype"/>
          <w:sz w:val="24"/>
        </w:rPr>
      </w:pPr>
    </w:p>
    <w:p w14:paraId="1F5C60A8" w14:textId="77777777" w:rsidR="00C32B9B" w:rsidRDefault="00C32B9B">
      <w:pPr>
        <w:spacing w:after="0" w:line="360" w:lineRule="auto"/>
        <w:ind w:right="49"/>
        <w:jc w:val="both"/>
        <w:rPr>
          <w:rFonts w:ascii="Palatino Linotype" w:eastAsia="Palatino Linotype" w:hAnsi="Palatino Linotype" w:cs="Palatino Linotype"/>
          <w:sz w:val="24"/>
        </w:rPr>
      </w:pPr>
    </w:p>
    <w:p w14:paraId="35F4DE8E" w14:textId="77777777" w:rsidR="00C32B9B" w:rsidRDefault="00C32B9B">
      <w:pPr>
        <w:spacing w:after="0" w:line="360" w:lineRule="auto"/>
        <w:ind w:right="49"/>
        <w:jc w:val="both"/>
        <w:rPr>
          <w:rFonts w:ascii="Palatino Linotype" w:eastAsia="Palatino Linotype" w:hAnsi="Palatino Linotype" w:cs="Palatino Linotype"/>
          <w:sz w:val="24"/>
        </w:rPr>
      </w:pPr>
    </w:p>
    <w:p w14:paraId="0E0AB90B" w14:textId="77777777" w:rsidR="00C32B9B" w:rsidRDefault="00C32B9B">
      <w:pPr>
        <w:spacing w:after="0" w:line="360" w:lineRule="auto"/>
        <w:ind w:right="49"/>
        <w:jc w:val="both"/>
        <w:rPr>
          <w:rFonts w:ascii="Palatino Linotype" w:eastAsia="Palatino Linotype" w:hAnsi="Palatino Linotype" w:cs="Palatino Linotype"/>
          <w:sz w:val="24"/>
        </w:rPr>
      </w:pPr>
    </w:p>
    <w:p w14:paraId="4C698B1A" w14:textId="77777777" w:rsidR="00C32B9B" w:rsidRDefault="00C32B9B">
      <w:pPr>
        <w:spacing w:after="0" w:line="360" w:lineRule="auto"/>
        <w:ind w:right="49"/>
        <w:jc w:val="both"/>
        <w:rPr>
          <w:rFonts w:ascii="Palatino Linotype" w:eastAsia="Palatino Linotype" w:hAnsi="Palatino Linotype" w:cs="Palatino Linotype"/>
          <w:sz w:val="24"/>
        </w:rPr>
      </w:pPr>
    </w:p>
    <w:p w14:paraId="080A2F74" w14:textId="77777777" w:rsidR="00C32B9B" w:rsidRDefault="00C32B9B">
      <w:pPr>
        <w:spacing w:after="0" w:line="360" w:lineRule="auto"/>
        <w:ind w:right="49"/>
        <w:jc w:val="both"/>
        <w:rPr>
          <w:rFonts w:ascii="Palatino Linotype" w:eastAsia="Palatino Linotype" w:hAnsi="Palatino Linotype" w:cs="Palatino Linotype"/>
          <w:sz w:val="24"/>
        </w:rPr>
      </w:pPr>
    </w:p>
    <w:p w14:paraId="09CB21CD" w14:textId="77777777" w:rsidR="00C32B9B" w:rsidRDefault="00C32B9B">
      <w:pPr>
        <w:spacing w:after="0" w:line="360" w:lineRule="auto"/>
        <w:ind w:right="49"/>
        <w:jc w:val="both"/>
        <w:rPr>
          <w:rFonts w:ascii="Palatino Linotype" w:eastAsia="Palatino Linotype" w:hAnsi="Palatino Linotype" w:cs="Palatino Linotype"/>
          <w:sz w:val="24"/>
        </w:rPr>
      </w:pPr>
    </w:p>
    <w:p w14:paraId="50DC72D7" w14:textId="77777777" w:rsidR="00C32B9B" w:rsidRDefault="00C32B9B">
      <w:pPr>
        <w:spacing w:after="0" w:line="360" w:lineRule="auto"/>
        <w:ind w:right="49"/>
        <w:jc w:val="both"/>
        <w:rPr>
          <w:rFonts w:ascii="Palatino Linotype" w:eastAsia="Palatino Linotype" w:hAnsi="Palatino Linotype" w:cs="Palatino Linotype"/>
          <w:sz w:val="24"/>
        </w:rPr>
      </w:pPr>
    </w:p>
    <w:p w14:paraId="342E72E1" w14:textId="77777777" w:rsidR="00C32B9B" w:rsidRDefault="00C32B9B">
      <w:pPr>
        <w:spacing w:after="0" w:line="360" w:lineRule="auto"/>
        <w:ind w:right="49"/>
        <w:jc w:val="both"/>
        <w:rPr>
          <w:rFonts w:ascii="Palatino Linotype" w:eastAsia="Palatino Linotype" w:hAnsi="Palatino Linotype" w:cs="Palatino Linotype"/>
          <w:sz w:val="24"/>
        </w:rPr>
      </w:pPr>
    </w:p>
    <w:p w14:paraId="74F9F43B" w14:textId="77777777" w:rsidR="00C32B9B" w:rsidRDefault="00C32B9B">
      <w:pPr>
        <w:spacing w:after="0" w:line="360" w:lineRule="auto"/>
        <w:ind w:right="49"/>
        <w:jc w:val="both"/>
        <w:rPr>
          <w:rFonts w:ascii="Palatino Linotype" w:eastAsia="Palatino Linotype" w:hAnsi="Palatino Linotype" w:cs="Palatino Linotype"/>
          <w:sz w:val="24"/>
        </w:rPr>
      </w:pPr>
    </w:p>
    <w:p w14:paraId="341B7B1D" w14:textId="77777777" w:rsidR="00C32B9B" w:rsidRDefault="00C32B9B">
      <w:pPr>
        <w:spacing w:after="0" w:line="360" w:lineRule="auto"/>
        <w:ind w:right="49"/>
        <w:jc w:val="both"/>
        <w:rPr>
          <w:rFonts w:ascii="Palatino Linotype" w:eastAsia="Palatino Linotype" w:hAnsi="Palatino Linotype" w:cs="Palatino Linotype"/>
          <w:sz w:val="24"/>
        </w:rPr>
      </w:pPr>
    </w:p>
    <w:p w14:paraId="1D4ECECB" w14:textId="77777777" w:rsidR="00C32B9B" w:rsidRDefault="00C32B9B">
      <w:pPr>
        <w:spacing w:after="0" w:line="360" w:lineRule="auto"/>
        <w:ind w:right="49"/>
        <w:jc w:val="both"/>
        <w:rPr>
          <w:rFonts w:ascii="Palatino Linotype" w:eastAsia="Palatino Linotype" w:hAnsi="Palatino Linotype" w:cs="Palatino Linotype"/>
          <w:sz w:val="24"/>
        </w:rPr>
      </w:pPr>
    </w:p>
    <w:p w14:paraId="7360119E" w14:textId="77777777" w:rsidR="00C32B9B" w:rsidRDefault="00C32B9B">
      <w:pPr>
        <w:spacing w:after="0" w:line="360" w:lineRule="auto"/>
        <w:ind w:right="49"/>
        <w:jc w:val="both"/>
        <w:rPr>
          <w:rFonts w:ascii="Palatino Linotype" w:eastAsia="Palatino Linotype" w:hAnsi="Palatino Linotype" w:cs="Palatino Linotype"/>
          <w:sz w:val="24"/>
        </w:rPr>
      </w:pPr>
    </w:p>
    <w:p w14:paraId="4790CC5D" w14:textId="77777777" w:rsidR="00C32B9B" w:rsidRDefault="00C32B9B">
      <w:pPr>
        <w:spacing w:after="0" w:line="360" w:lineRule="auto"/>
        <w:ind w:right="49"/>
        <w:jc w:val="both"/>
        <w:rPr>
          <w:rFonts w:ascii="Palatino Linotype" w:eastAsia="Palatino Linotype" w:hAnsi="Palatino Linotype" w:cs="Palatino Linotype"/>
          <w:sz w:val="24"/>
        </w:rPr>
      </w:pPr>
    </w:p>
    <w:p w14:paraId="18FCF044" w14:textId="77777777" w:rsidR="00C32B9B" w:rsidRDefault="00C32B9B">
      <w:pPr>
        <w:spacing w:after="0" w:line="360" w:lineRule="auto"/>
        <w:ind w:right="49"/>
        <w:jc w:val="both"/>
        <w:rPr>
          <w:rFonts w:ascii="Palatino Linotype" w:eastAsia="Palatino Linotype" w:hAnsi="Palatino Linotype" w:cs="Palatino Linotype"/>
          <w:sz w:val="24"/>
        </w:rPr>
      </w:pPr>
    </w:p>
    <w:p w14:paraId="3A9A2A6F" w14:textId="77777777" w:rsidR="00C32B9B" w:rsidRPr="00C60490" w:rsidRDefault="00C32B9B">
      <w:pPr>
        <w:spacing w:after="0" w:line="360" w:lineRule="auto"/>
        <w:ind w:right="49"/>
        <w:jc w:val="both"/>
        <w:rPr>
          <w:rFonts w:ascii="Palatino Linotype" w:eastAsia="Palatino Linotype" w:hAnsi="Palatino Linotype" w:cs="Palatino Linotype"/>
          <w:sz w:val="28"/>
          <w:szCs w:val="24"/>
        </w:rPr>
      </w:pPr>
    </w:p>
    <w:sectPr w:rsidR="00C32B9B" w:rsidRPr="00C60490">
      <w:headerReference w:type="default" r:id="rId8"/>
      <w:footerReference w:type="default" r:id="rId9"/>
      <w:headerReference w:type="first" r:id="rId10"/>
      <w:footerReference w:type="first" r:id="rId11"/>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84C20" w14:textId="77777777" w:rsidR="001E22A9" w:rsidRDefault="001E22A9">
      <w:pPr>
        <w:spacing w:after="0" w:line="240" w:lineRule="auto"/>
      </w:pPr>
      <w:r>
        <w:separator/>
      </w:r>
    </w:p>
  </w:endnote>
  <w:endnote w:type="continuationSeparator" w:id="0">
    <w:p w14:paraId="1A3305C6" w14:textId="77777777" w:rsidR="001E22A9" w:rsidRDefault="001E2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21C3D" w14:textId="3E616CA6" w:rsidR="00EF3F9A" w:rsidRDefault="00EF3F9A">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214CCE">
      <w:rPr>
        <w:b/>
        <w:noProof/>
        <w:color w:val="000000"/>
        <w:sz w:val="24"/>
        <w:szCs w:val="24"/>
      </w:rPr>
      <w:t>41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214CCE">
      <w:rPr>
        <w:b/>
        <w:noProof/>
        <w:color w:val="000000"/>
        <w:sz w:val="24"/>
        <w:szCs w:val="24"/>
      </w:rPr>
      <w:t>41</w:t>
    </w:r>
    <w:r>
      <w:rPr>
        <w:b/>
        <w:color w:val="000000"/>
        <w:sz w:val="24"/>
        <w:szCs w:val="24"/>
      </w:rPr>
      <w:fldChar w:fldCharType="end"/>
    </w:r>
  </w:p>
  <w:p w14:paraId="693219AA" w14:textId="77777777" w:rsidR="00EF3F9A" w:rsidRDefault="00EF3F9A">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86C6E" w14:textId="3D27EFA9" w:rsidR="00EF3F9A" w:rsidRDefault="00EF3F9A">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214CCE">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214CCE">
      <w:rPr>
        <w:b/>
        <w:noProof/>
        <w:color w:val="000000"/>
        <w:sz w:val="24"/>
        <w:szCs w:val="24"/>
      </w:rPr>
      <w:t>41</w:t>
    </w:r>
    <w:r>
      <w:rPr>
        <w:b/>
        <w:color w:val="000000"/>
        <w:sz w:val="24"/>
        <w:szCs w:val="24"/>
      </w:rPr>
      <w:fldChar w:fldCharType="end"/>
    </w:r>
  </w:p>
  <w:p w14:paraId="54B4B9F6" w14:textId="77777777" w:rsidR="00EF3F9A" w:rsidRDefault="00EF3F9A">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DB425" w14:textId="77777777" w:rsidR="001E22A9" w:rsidRDefault="001E22A9">
      <w:pPr>
        <w:spacing w:after="0" w:line="240" w:lineRule="auto"/>
      </w:pPr>
      <w:r>
        <w:separator/>
      </w:r>
    </w:p>
  </w:footnote>
  <w:footnote w:type="continuationSeparator" w:id="0">
    <w:p w14:paraId="0516CC74" w14:textId="77777777" w:rsidR="001E22A9" w:rsidRDefault="001E22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7E2F0" w14:textId="77777777" w:rsidR="00EF3F9A" w:rsidRDefault="00EF3F9A">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3F5B294A" wp14:editId="274BBFD8">
          <wp:simplePos x="0" y="0"/>
          <wp:positionH relativeFrom="column">
            <wp:posOffset>-774700</wp:posOffset>
          </wp:positionH>
          <wp:positionV relativeFrom="paragraph">
            <wp:posOffset>-345440</wp:posOffset>
          </wp:positionV>
          <wp:extent cx="7809876" cy="10165823"/>
          <wp:effectExtent l="0" t="0" r="0" b="0"/>
          <wp:wrapNone/>
          <wp:docPr id="2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4"/>
      <w:tblW w:w="5603" w:type="dxa"/>
      <w:tblInd w:w="3611" w:type="dxa"/>
      <w:tblLayout w:type="fixed"/>
      <w:tblLook w:val="0400" w:firstRow="0" w:lastRow="0" w:firstColumn="0" w:lastColumn="0" w:noHBand="0" w:noVBand="1"/>
    </w:tblPr>
    <w:tblGrid>
      <w:gridCol w:w="2551"/>
      <w:gridCol w:w="3052"/>
    </w:tblGrid>
    <w:tr w:rsidR="00EF3F9A" w14:paraId="3D10BF48" w14:textId="77777777">
      <w:tc>
        <w:tcPr>
          <w:tcW w:w="2551" w:type="dxa"/>
          <w:vAlign w:val="center"/>
        </w:tcPr>
        <w:p w14:paraId="3489D479" w14:textId="77777777" w:rsidR="00EF3F9A" w:rsidRDefault="00EF3F9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26A90425" w14:textId="61D4F610" w:rsidR="00EF3F9A" w:rsidRDefault="00EF3F9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17094/INFOEM/IP/RR/2022</w:t>
          </w:r>
        </w:p>
      </w:tc>
    </w:tr>
    <w:tr w:rsidR="00EF3F9A" w14:paraId="537DBD70" w14:textId="77777777" w:rsidTr="00634588">
      <w:trPr>
        <w:trHeight w:val="643"/>
      </w:trPr>
      <w:tc>
        <w:tcPr>
          <w:tcW w:w="2551" w:type="dxa"/>
          <w:vAlign w:val="center"/>
        </w:tcPr>
        <w:p w14:paraId="4686FDB4" w14:textId="77777777" w:rsidR="00EF3F9A" w:rsidRDefault="00EF3F9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43BFC658" w14:textId="77777777" w:rsidR="00EF3F9A" w:rsidRDefault="00EF3F9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2F2903A6" w14:textId="6A3CA383" w:rsidR="00EF3F9A" w:rsidRDefault="00EF3F9A" w:rsidP="00B30C44">
          <w:pPr>
            <w:pBdr>
              <w:top w:val="nil"/>
              <w:left w:val="nil"/>
              <w:bottom w:val="nil"/>
              <w:right w:val="nil"/>
              <w:between w:val="nil"/>
            </w:pBdr>
            <w:tabs>
              <w:tab w:val="center" w:pos="4419"/>
              <w:tab w:val="right" w:pos="8838"/>
            </w:tabs>
            <w:spacing w:after="0" w:line="240" w:lineRule="auto"/>
            <w:ind w:right="168"/>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Universidad Autónoma del Estado de México</w:t>
          </w:r>
        </w:p>
      </w:tc>
    </w:tr>
    <w:tr w:rsidR="00EF3F9A" w14:paraId="7D1FD3FE" w14:textId="77777777">
      <w:tc>
        <w:tcPr>
          <w:tcW w:w="2551" w:type="dxa"/>
          <w:vAlign w:val="center"/>
        </w:tcPr>
        <w:p w14:paraId="19D94C21" w14:textId="77777777" w:rsidR="00EF3F9A" w:rsidRDefault="00EF3F9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404A4AAE" w14:textId="77777777" w:rsidR="00EF3F9A" w:rsidRDefault="00EF3F9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4914AEDC" w14:textId="77777777" w:rsidR="00EF3F9A" w:rsidRDefault="00EF3F9A">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35AB5" w14:textId="73027287" w:rsidR="00EF3F9A" w:rsidRDefault="00EF3F9A">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200B91A5" wp14:editId="50969879">
          <wp:simplePos x="0" y="0"/>
          <wp:positionH relativeFrom="column">
            <wp:posOffset>-647065</wp:posOffset>
          </wp:positionH>
          <wp:positionV relativeFrom="paragraph">
            <wp:posOffset>-2540</wp:posOffset>
          </wp:positionV>
          <wp:extent cx="7809876" cy="10165823"/>
          <wp:effectExtent l="0" t="0" r="0" b="0"/>
          <wp:wrapNone/>
          <wp:docPr id="2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3"/>
      <w:tblW w:w="5603" w:type="dxa"/>
      <w:tblInd w:w="3611" w:type="dxa"/>
      <w:tblLayout w:type="fixed"/>
      <w:tblLook w:val="0400" w:firstRow="0" w:lastRow="0" w:firstColumn="0" w:lastColumn="0" w:noHBand="0" w:noVBand="1"/>
    </w:tblPr>
    <w:tblGrid>
      <w:gridCol w:w="2551"/>
      <w:gridCol w:w="3052"/>
    </w:tblGrid>
    <w:tr w:rsidR="00EF3F9A" w14:paraId="7C8FDD66" w14:textId="77777777">
      <w:tc>
        <w:tcPr>
          <w:tcW w:w="2551" w:type="dxa"/>
          <w:vAlign w:val="center"/>
        </w:tcPr>
        <w:p w14:paraId="63FBC165" w14:textId="77777777" w:rsidR="00EF3F9A" w:rsidRDefault="00EF3F9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4C373242" w14:textId="7B392EBA" w:rsidR="00EF3F9A" w:rsidRDefault="00EF3F9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17094/INFOEM/IP/RR/2022</w:t>
          </w:r>
        </w:p>
      </w:tc>
    </w:tr>
    <w:tr w:rsidR="00EF3F9A" w14:paraId="44EE5E5E" w14:textId="77777777">
      <w:tc>
        <w:tcPr>
          <w:tcW w:w="2551" w:type="dxa"/>
          <w:vAlign w:val="center"/>
        </w:tcPr>
        <w:p w14:paraId="362D8093" w14:textId="77777777" w:rsidR="00EF3F9A" w:rsidRDefault="00EF3F9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0AAA5E3F" w14:textId="691A2315" w:rsidR="00EF3F9A" w:rsidRDefault="00AF40BF">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XXXXXX XXXXXXXX XXXX</w:t>
          </w:r>
        </w:p>
      </w:tc>
    </w:tr>
    <w:tr w:rsidR="00EF3F9A" w14:paraId="62AB0F25" w14:textId="77777777" w:rsidTr="00634588">
      <w:trPr>
        <w:trHeight w:val="743"/>
      </w:trPr>
      <w:tc>
        <w:tcPr>
          <w:tcW w:w="2551" w:type="dxa"/>
          <w:vAlign w:val="center"/>
        </w:tcPr>
        <w:p w14:paraId="07A720EE" w14:textId="77777777" w:rsidR="00EF3F9A" w:rsidRDefault="00EF3F9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31A709B4" w14:textId="77777777" w:rsidR="00EF3F9A" w:rsidRDefault="00EF3F9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702BFD8D" w14:textId="76ADD6C6" w:rsidR="00EF3F9A" w:rsidRDefault="00EF3F9A" w:rsidP="00634588">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Universidad Autónoma del Estado de México </w:t>
          </w:r>
        </w:p>
      </w:tc>
    </w:tr>
    <w:tr w:rsidR="00EF3F9A" w14:paraId="43D52849" w14:textId="77777777">
      <w:tc>
        <w:tcPr>
          <w:tcW w:w="2551" w:type="dxa"/>
          <w:vAlign w:val="center"/>
        </w:tcPr>
        <w:p w14:paraId="5770E145" w14:textId="77777777" w:rsidR="00EF3F9A" w:rsidRDefault="00EF3F9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207F0450" w14:textId="77777777" w:rsidR="00EF3F9A" w:rsidRDefault="00EF3F9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63774D56" w14:textId="769FFEE4" w:rsidR="00EF3F9A" w:rsidRDefault="00EF3F9A">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E55F9"/>
    <w:multiLevelType w:val="multilevel"/>
    <w:tmpl w:val="F61E76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B1027D9"/>
    <w:multiLevelType w:val="multilevel"/>
    <w:tmpl w:val="CA000D1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3656DE0"/>
    <w:multiLevelType w:val="multilevel"/>
    <w:tmpl w:val="EE0281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4317490"/>
    <w:multiLevelType w:val="hybridMultilevel"/>
    <w:tmpl w:val="9AA2B000"/>
    <w:lvl w:ilvl="0" w:tplc="5EFE98EE">
      <w:start w:val="1"/>
      <w:numFmt w:val="decimal"/>
      <w:lvlText w:val="%1."/>
      <w:lvlJc w:val="left"/>
      <w:pPr>
        <w:ind w:left="360" w:hanging="360"/>
      </w:pPr>
      <w:rPr>
        <w:rFonts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FDC19B3"/>
    <w:multiLevelType w:val="multilevel"/>
    <w:tmpl w:val="33DE588A"/>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6B95DB4"/>
    <w:multiLevelType w:val="hybridMultilevel"/>
    <w:tmpl w:val="E542CC1C"/>
    <w:lvl w:ilvl="0" w:tplc="E760F230">
      <w:start w:val="1"/>
      <w:numFmt w:val="bullet"/>
      <w:lvlText w:val=""/>
      <w:lvlJc w:val="left"/>
      <w:pPr>
        <w:ind w:left="720" w:hanging="360"/>
      </w:pPr>
      <w:rPr>
        <w:rFonts w:ascii="Symbol" w:hAnsi="Symbol" w:hint="default"/>
        <w:color w:val="auto"/>
      </w:rPr>
    </w:lvl>
    <w:lvl w:ilvl="1" w:tplc="A68AAD32">
      <w:numFmt w:val="bullet"/>
      <w:lvlText w:val="•"/>
      <w:lvlJc w:val="left"/>
      <w:pPr>
        <w:ind w:left="1440" w:hanging="360"/>
      </w:pPr>
      <w:rPr>
        <w:rFonts w:ascii="Palatino Linotype" w:eastAsia="Calibri" w:hAnsi="Palatino Linotype" w:cs="Calibri" w:hint="default"/>
      </w:rPr>
    </w:lvl>
    <w:lvl w:ilvl="2" w:tplc="E760F230">
      <w:start w:val="1"/>
      <w:numFmt w:val="bullet"/>
      <w:lvlText w:val=""/>
      <w:lvlJc w:val="left"/>
      <w:pPr>
        <w:ind w:left="2160" w:hanging="360"/>
      </w:pPr>
      <w:rPr>
        <w:rFonts w:ascii="Symbol" w:hAnsi="Symbol" w:hint="default"/>
        <w:color w:val="auto"/>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AD201AE"/>
    <w:multiLevelType w:val="multilevel"/>
    <w:tmpl w:val="229ADED8"/>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31C7696"/>
    <w:multiLevelType w:val="multilevel"/>
    <w:tmpl w:val="59266FDE"/>
    <w:lvl w:ilvl="0">
      <w:start w:val="1"/>
      <w:numFmt w:val="lowerLetter"/>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7B30AE0"/>
    <w:multiLevelType w:val="hybridMultilevel"/>
    <w:tmpl w:val="37FAEF24"/>
    <w:lvl w:ilvl="0" w:tplc="EB060B96">
      <w:start w:val="1"/>
      <w:numFmt w:val="lowerLetter"/>
      <w:lvlText w:val="%1)"/>
      <w:lvlJc w:val="left"/>
      <w:pPr>
        <w:ind w:left="720" w:hanging="360"/>
      </w:pPr>
      <w:rPr>
        <w:rFonts w:ascii="Palatino Linotype" w:hAnsi="Palatino Linotype" w:hint="default"/>
        <w:b/>
        <w:color w:val="auto"/>
        <w:sz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699833AA"/>
    <w:multiLevelType w:val="hybridMultilevel"/>
    <w:tmpl w:val="7CFC6F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CCD4399"/>
    <w:multiLevelType w:val="multilevel"/>
    <w:tmpl w:val="EDEE68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8D256A8"/>
    <w:multiLevelType w:val="hybridMultilevel"/>
    <w:tmpl w:val="6FB85A34"/>
    <w:lvl w:ilvl="0" w:tplc="080A0017">
      <w:start w:val="1"/>
      <w:numFmt w:val="lowerLetter"/>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15:restartNumberingAfterBreak="0">
    <w:nsid w:val="7E9F66D3"/>
    <w:multiLevelType w:val="hybridMultilevel"/>
    <w:tmpl w:val="132CC39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
  </w:num>
  <w:num w:numId="2">
    <w:abstractNumId w:val="7"/>
  </w:num>
  <w:num w:numId="3">
    <w:abstractNumId w:val="0"/>
  </w:num>
  <w:num w:numId="4">
    <w:abstractNumId w:val="10"/>
  </w:num>
  <w:num w:numId="5">
    <w:abstractNumId w:val="2"/>
  </w:num>
  <w:num w:numId="6">
    <w:abstractNumId w:val="6"/>
  </w:num>
  <w:num w:numId="7">
    <w:abstractNumId w:val="4"/>
  </w:num>
  <w:num w:numId="8">
    <w:abstractNumId w:val="5"/>
  </w:num>
  <w:num w:numId="9">
    <w:abstractNumId w:val="9"/>
  </w:num>
  <w:num w:numId="10">
    <w:abstractNumId w:val="12"/>
  </w:num>
  <w:num w:numId="11">
    <w:abstractNumId w:val="8"/>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57D"/>
    <w:rsid w:val="000665F6"/>
    <w:rsid w:val="00095932"/>
    <w:rsid w:val="000A51EA"/>
    <w:rsid w:val="001217EF"/>
    <w:rsid w:val="00182ED3"/>
    <w:rsid w:val="001C1291"/>
    <w:rsid w:val="001E22A9"/>
    <w:rsid w:val="001F0EA1"/>
    <w:rsid w:val="00203460"/>
    <w:rsid w:val="00214CCE"/>
    <w:rsid w:val="00250DD8"/>
    <w:rsid w:val="002C3EC3"/>
    <w:rsid w:val="00320C33"/>
    <w:rsid w:val="0032615A"/>
    <w:rsid w:val="003355E2"/>
    <w:rsid w:val="003373DE"/>
    <w:rsid w:val="00347010"/>
    <w:rsid w:val="003D26AE"/>
    <w:rsid w:val="00440E52"/>
    <w:rsid w:val="0047227E"/>
    <w:rsid w:val="005134AB"/>
    <w:rsid w:val="005740A2"/>
    <w:rsid w:val="00582034"/>
    <w:rsid w:val="00591B94"/>
    <w:rsid w:val="005F0F3C"/>
    <w:rsid w:val="00614986"/>
    <w:rsid w:val="00634588"/>
    <w:rsid w:val="00646B44"/>
    <w:rsid w:val="0070149A"/>
    <w:rsid w:val="00703A70"/>
    <w:rsid w:val="00720498"/>
    <w:rsid w:val="00730163"/>
    <w:rsid w:val="0078543E"/>
    <w:rsid w:val="008645E3"/>
    <w:rsid w:val="008701A3"/>
    <w:rsid w:val="008755B0"/>
    <w:rsid w:val="00886D95"/>
    <w:rsid w:val="0089546B"/>
    <w:rsid w:val="008C55CC"/>
    <w:rsid w:val="008C7B3C"/>
    <w:rsid w:val="008E6C40"/>
    <w:rsid w:val="0098482D"/>
    <w:rsid w:val="009B60EB"/>
    <w:rsid w:val="009E0646"/>
    <w:rsid w:val="009F6257"/>
    <w:rsid w:val="00A23CC3"/>
    <w:rsid w:val="00A400BB"/>
    <w:rsid w:val="00A40AF1"/>
    <w:rsid w:val="00AF40BF"/>
    <w:rsid w:val="00B16261"/>
    <w:rsid w:val="00B30C44"/>
    <w:rsid w:val="00B53D73"/>
    <w:rsid w:val="00B540DB"/>
    <w:rsid w:val="00B63FC6"/>
    <w:rsid w:val="00BD7178"/>
    <w:rsid w:val="00C166B9"/>
    <w:rsid w:val="00C32B9B"/>
    <w:rsid w:val="00C60490"/>
    <w:rsid w:val="00CA2CD1"/>
    <w:rsid w:val="00D80548"/>
    <w:rsid w:val="00DB71F7"/>
    <w:rsid w:val="00E2699F"/>
    <w:rsid w:val="00EA23E3"/>
    <w:rsid w:val="00EE0730"/>
    <w:rsid w:val="00EF3F9A"/>
    <w:rsid w:val="00F100D8"/>
    <w:rsid w:val="00F855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591FD"/>
  <w15:docId w15:val="{9F59D952-6ECE-4E76-B996-BC59277C0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5" w:type="dxa"/>
        <w:left w:w="15" w:type="dxa"/>
        <w:bottom w:w="15" w:type="dxa"/>
        <w:right w:w="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top w:w="15" w:type="dxa"/>
        <w:left w:w="115" w:type="dxa"/>
        <w:bottom w:w="15" w:type="dxa"/>
        <w:right w:w="115" w:type="dxa"/>
      </w:tblCellMar>
    </w:tblPr>
  </w:style>
  <w:style w:type="table" w:customStyle="1" w:styleId="a3">
    <w:basedOn w:val="TableNormal0"/>
    <w:tblPr>
      <w:tblStyleRowBandSize w:val="1"/>
      <w:tblStyleColBandSize w:val="1"/>
      <w:tblCellMar>
        <w:top w:w="15" w:type="dxa"/>
        <w:left w:w="115" w:type="dxa"/>
        <w:bottom w:w="15" w:type="dxa"/>
        <w:right w:w="115" w:type="dxa"/>
      </w:tblCellMar>
    </w:tblPr>
  </w:style>
  <w:style w:type="table" w:customStyle="1" w:styleId="a4">
    <w:basedOn w:val="TableNormal0"/>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paragraph" w:styleId="Textonotapie">
    <w:name w:val="footnote text"/>
    <w:basedOn w:val="Normal"/>
    <w:link w:val="TextonotapieCar"/>
    <w:uiPriority w:val="99"/>
    <w:unhideWhenUsed/>
    <w:rsid w:val="00B53D73"/>
    <w:pPr>
      <w:spacing w:after="0" w:line="240" w:lineRule="auto"/>
    </w:pPr>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rsid w:val="00B53D73"/>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B53D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899918">
      <w:bodyDiv w:val="1"/>
      <w:marLeft w:val="0"/>
      <w:marRight w:val="0"/>
      <w:marTop w:val="0"/>
      <w:marBottom w:val="0"/>
      <w:divBdr>
        <w:top w:val="none" w:sz="0" w:space="0" w:color="auto"/>
        <w:left w:val="none" w:sz="0" w:space="0" w:color="auto"/>
        <w:bottom w:val="none" w:sz="0" w:space="0" w:color="auto"/>
        <w:right w:val="none" w:sz="0" w:space="0" w:color="auto"/>
      </w:divBdr>
    </w:div>
    <w:div w:id="291445581">
      <w:bodyDiv w:val="1"/>
      <w:marLeft w:val="0"/>
      <w:marRight w:val="0"/>
      <w:marTop w:val="0"/>
      <w:marBottom w:val="0"/>
      <w:divBdr>
        <w:top w:val="none" w:sz="0" w:space="0" w:color="auto"/>
        <w:left w:val="none" w:sz="0" w:space="0" w:color="auto"/>
        <w:bottom w:val="none" w:sz="0" w:space="0" w:color="auto"/>
        <w:right w:val="none" w:sz="0" w:space="0" w:color="auto"/>
      </w:divBdr>
    </w:div>
    <w:div w:id="421874277">
      <w:bodyDiv w:val="1"/>
      <w:marLeft w:val="0"/>
      <w:marRight w:val="0"/>
      <w:marTop w:val="0"/>
      <w:marBottom w:val="0"/>
      <w:divBdr>
        <w:top w:val="none" w:sz="0" w:space="0" w:color="auto"/>
        <w:left w:val="none" w:sz="0" w:space="0" w:color="auto"/>
        <w:bottom w:val="none" w:sz="0" w:space="0" w:color="auto"/>
        <w:right w:val="none" w:sz="0" w:space="0" w:color="auto"/>
      </w:divBdr>
    </w:div>
    <w:div w:id="777678598">
      <w:bodyDiv w:val="1"/>
      <w:marLeft w:val="0"/>
      <w:marRight w:val="0"/>
      <w:marTop w:val="0"/>
      <w:marBottom w:val="0"/>
      <w:divBdr>
        <w:top w:val="none" w:sz="0" w:space="0" w:color="auto"/>
        <w:left w:val="none" w:sz="0" w:space="0" w:color="auto"/>
        <w:bottom w:val="none" w:sz="0" w:space="0" w:color="auto"/>
        <w:right w:val="none" w:sz="0" w:space="0" w:color="auto"/>
      </w:divBdr>
    </w:div>
    <w:div w:id="896089696">
      <w:bodyDiv w:val="1"/>
      <w:marLeft w:val="0"/>
      <w:marRight w:val="0"/>
      <w:marTop w:val="0"/>
      <w:marBottom w:val="0"/>
      <w:divBdr>
        <w:top w:val="none" w:sz="0" w:space="0" w:color="auto"/>
        <w:left w:val="none" w:sz="0" w:space="0" w:color="auto"/>
        <w:bottom w:val="none" w:sz="0" w:space="0" w:color="auto"/>
        <w:right w:val="none" w:sz="0" w:space="0" w:color="auto"/>
      </w:divBdr>
    </w:div>
    <w:div w:id="964701033">
      <w:bodyDiv w:val="1"/>
      <w:marLeft w:val="0"/>
      <w:marRight w:val="0"/>
      <w:marTop w:val="0"/>
      <w:marBottom w:val="0"/>
      <w:divBdr>
        <w:top w:val="none" w:sz="0" w:space="0" w:color="auto"/>
        <w:left w:val="none" w:sz="0" w:space="0" w:color="auto"/>
        <w:bottom w:val="none" w:sz="0" w:space="0" w:color="auto"/>
        <w:right w:val="none" w:sz="0" w:space="0" w:color="auto"/>
      </w:divBdr>
    </w:div>
    <w:div w:id="1038549371">
      <w:bodyDiv w:val="1"/>
      <w:marLeft w:val="0"/>
      <w:marRight w:val="0"/>
      <w:marTop w:val="0"/>
      <w:marBottom w:val="0"/>
      <w:divBdr>
        <w:top w:val="none" w:sz="0" w:space="0" w:color="auto"/>
        <w:left w:val="none" w:sz="0" w:space="0" w:color="auto"/>
        <w:bottom w:val="none" w:sz="0" w:space="0" w:color="auto"/>
        <w:right w:val="none" w:sz="0" w:space="0" w:color="auto"/>
      </w:divBdr>
    </w:div>
    <w:div w:id="1371105464">
      <w:bodyDiv w:val="1"/>
      <w:marLeft w:val="0"/>
      <w:marRight w:val="0"/>
      <w:marTop w:val="0"/>
      <w:marBottom w:val="0"/>
      <w:divBdr>
        <w:top w:val="none" w:sz="0" w:space="0" w:color="auto"/>
        <w:left w:val="none" w:sz="0" w:space="0" w:color="auto"/>
        <w:bottom w:val="none" w:sz="0" w:space="0" w:color="auto"/>
        <w:right w:val="none" w:sz="0" w:space="0" w:color="auto"/>
      </w:divBdr>
    </w:div>
    <w:div w:id="1557818016">
      <w:bodyDiv w:val="1"/>
      <w:marLeft w:val="0"/>
      <w:marRight w:val="0"/>
      <w:marTop w:val="0"/>
      <w:marBottom w:val="0"/>
      <w:divBdr>
        <w:top w:val="none" w:sz="0" w:space="0" w:color="auto"/>
        <w:left w:val="none" w:sz="0" w:space="0" w:color="auto"/>
        <w:bottom w:val="none" w:sz="0" w:space="0" w:color="auto"/>
        <w:right w:val="none" w:sz="0" w:space="0" w:color="auto"/>
      </w:divBdr>
    </w:div>
    <w:div w:id="1664121913">
      <w:bodyDiv w:val="1"/>
      <w:marLeft w:val="0"/>
      <w:marRight w:val="0"/>
      <w:marTop w:val="0"/>
      <w:marBottom w:val="0"/>
      <w:divBdr>
        <w:top w:val="none" w:sz="0" w:space="0" w:color="auto"/>
        <w:left w:val="none" w:sz="0" w:space="0" w:color="auto"/>
        <w:bottom w:val="none" w:sz="0" w:space="0" w:color="auto"/>
        <w:right w:val="none" w:sz="0" w:space="0" w:color="auto"/>
      </w:divBdr>
    </w:div>
    <w:div w:id="1698462716">
      <w:bodyDiv w:val="1"/>
      <w:marLeft w:val="0"/>
      <w:marRight w:val="0"/>
      <w:marTop w:val="0"/>
      <w:marBottom w:val="0"/>
      <w:divBdr>
        <w:top w:val="none" w:sz="0" w:space="0" w:color="auto"/>
        <w:left w:val="none" w:sz="0" w:space="0" w:color="auto"/>
        <w:bottom w:val="none" w:sz="0" w:space="0" w:color="auto"/>
        <w:right w:val="none" w:sz="0" w:space="0" w:color="auto"/>
      </w:divBdr>
    </w:div>
    <w:div w:id="1955137646">
      <w:bodyDiv w:val="1"/>
      <w:marLeft w:val="0"/>
      <w:marRight w:val="0"/>
      <w:marTop w:val="0"/>
      <w:marBottom w:val="0"/>
      <w:divBdr>
        <w:top w:val="none" w:sz="0" w:space="0" w:color="auto"/>
        <w:left w:val="none" w:sz="0" w:space="0" w:color="auto"/>
        <w:bottom w:val="none" w:sz="0" w:space="0" w:color="auto"/>
        <w:right w:val="none" w:sz="0" w:space="0" w:color="auto"/>
      </w:divBdr>
    </w:div>
    <w:div w:id="20292864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Qwx/qnwRJo3Bl3ndIi459mVUguw==">AMUW2mXP5BkU+hN5ZJ56qa9szAHfXOA1F3Nn+poboyJ0/edI8Q5h0SImNKyKyAffNDdYB3aBCG7PYwMJoyuwfwqHjO4aOTGvd7xL5BhaEFdpFDOD3P8yt4xlw9XPQl+9e1hU3ShL7nTYl899id23V05Pk6/cvMdV3A==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41</Pages>
  <Words>9841</Words>
  <Characters>54131</Characters>
  <Application>Microsoft Office Word</Application>
  <DocSecurity>0</DocSecurity>
  <Lines>451</Lines>
  <Paragraphs>127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VILLAGOMEZ</cp:lastModifiedBy>
  <cp:revision>2</cp:revision>
  <cp:lastPrinted>2023-05-26T17:00:00Z</cp:lastPrinted>
  <dcterms:created xsi:type="dcterms:W3CDTF">2023-06-05T18:28:00Z</dcterms:created>
  <dcterms:modified xsi:type="dcterms:W3CDTF">2023-06-05T18:28:00Z</dcterms:modified>
</cp:coreProperties>
</file>