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7FE3F" w14:textId="009FF864" w:rsidR="00397333" w:rsidRDefault="00B1690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1634C5">
        <w:rPr>
          <w:rFonts w:ascii="Palatino Linotype" w:eastAsia="Palatino Linotype" w:hAnsi="Palatino Linotype" w:cs="Palatino Linotype"/>
        </w:rPr>
        <w:t xml:space="preserve">fecha diecinueve </w:t>
      </w:r>
      <w:r w:rsidR="009B5E1D">
        <w:rPr>
          <w:rFonts w:ascii="Palatino Linotype" w:eastAsia="Palatino Linotype" w:hAnsi="Palatino Linotype" w:cs="Palatino Linotype"/>
        </w:rPr>
        <w:t>de abril</w:t>
      </w:r>
      <w:r w:rsidR="00A94A15">
        <w:rPr>
          <w:rFonts w:ascii="Palatino Linotype" w:eastAsia="Palatino Linotype" w:hAnsi="Palatino Linotype" w:cs="Palatino Linotype"/>
        </w:rPr>
        <w:t xml:space="preserve"> de dos mil veintitrés</w:t>
      </w:r>
      <w:r w:rsidR="00C33785">
        <w:rPr>
          <w:rFonts w:ascii="Palatino Linotype" w:eastAsia="Palatino Linotype" w:hAnsi="Palatino Linotype" w:cs="Palatino Linotype"/>
        </w:rPr>
        <w:t xml:space="preserve">. </w:t>
      </w:r>
    </w:p>
    <w:p w14:paraId="0641B12C" w14:textId="77777777" w:rsidR="00397333" w:rsidRDefault="00397333">
      <w:pPr>
        <w:spacing w:line="360" w:lineRule="auto"/>
        <w:jc w:val="both"/>
        <w:rPr>
          <w:rFonts w:ascii="Palatino Linotype" w:eastAsia="Palatino Linotype" w:hAnsi="Palatino Linotype" w:cs="Palatino Linotype"/>
        </w:rPr>
      </w:pPr>
    </w:p>
    <w:p w14:paraId="2136A93F" w14:textId="4A808940" w:rsidR="00397333" w:rsidRDefault="00B1690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sidR="009B5E1D">
        <w:rPr>
          <w:rFonts w:ascii="Palatino Linotype" w:eastAsia="Palatino Linotype" w:hAnsi="Palatino Linotype" w:cs="Palatino Linotype"/>
          <w:b/>
        </w:rPr>
        <w:t>14189</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486AAF">
        <w:rPr>
          <w:rFonts w:ascii="Palatino Linotype" w:eastAsia="Palatino Linotype" w:hAnsi="Palatino Linotype" w:cs="Palatino Linotype"/>
          <w:b/>
        </w:rPr>
        <w:t>XXXX XXXXXX,</w:t>
      </w:r>
      <w:bookmarkStart w:id="0" w:name="_GoBack"/>
      <w:bookmarkEnd w:id="0"/>
      <w:r>
        <w:rPr>
          <w:rFonts w:ascii="Palatino Linotype" w:eastAsia="Palatino Linotype" w:hAnsi="Palatino Linotype" w:cs="Palatino Linotype"/>
        </w:rPr>
        <w:t xml:space="preserve"> lo sucesivo se le denominará 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en contra de la respuesta a su solicitud de información con número de folio</w:t>
      </w:r>
      <w:r w:rsidR="009B5E1D">
        <w:rPr>
          <w:rFonts w:ascii="Palatino Linotype" w:eastAsia="Palatino Linotype" w:hAnsi="Palatino Linotype" w:cs="Palatino Linotype"/>
          <w:b/>
        </w:rPr>
        <w:t xml:space="preserve"> 00113</w:t>
      </w:r>
      <w:r w:rsidR="005532C7">
        <w:rPr>
          <w:rFonts w:ascii="Palatino Linotype" w:eastAsia="Palatino Linotype" w:hAnsi="Palatino Linotype" w:cs="Palatino Linotype"/>
          <w:b/>
        </w:rPr>
        <w:t>/</w:t>
      </w:r>
      <w:r w:rsidR="009B5E1D">
        <w:rPr>
          <w:rFonts w:ascii="Palatino Linotype" w:eastAsia="Palatino Linotype" w:hAnsi="Palatino Linotype" w:cs="Palatino Linotype"/>
          <w:b/>
        </w:rPr>
        <w:t>OASTOL</w:t>
      </w:r>
      <w:r>
        <w:rPr>
          <w:rFonts w:ascii="Palatino Linotype" w:eastAsia="Palatino Linotype" w:hAnsi="Palatino Linotype" w:cs="Palatino Linotype"/>
          <w:b/>
        </w:rPr>
        <w:t>/IP/2022</w:t>
      </w:r>
      <w:r>
        <w:rPr>
          <w:rFonts w:ascii="Palatino Linotype" w:eastAsia="Palatino Linotype" w:hAnsi="Palatino Linotype" w:cs="Palatino Linotype"/>
        </w:rPr>
        <w:t xml:space="preserve">, por parte del </w:t>
      </w:r>
      <w:r w:rsidR="009B5E1D">
        <w:rPr>
          <w:rFonts w:ascii="Palatino Linotype" w:eastAsia="Palatino Linotype" w:hAnsi="Palatino Linotype" w:cs="Palatino Linotype"/>
          <w:b/>
        </w:rPr>
        <w:t>Organismo Agua y Saneamiento de Toluca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los siguientes:</w:t>
      </w:r>
    </w:p>
    <w:p w14:paraId="43E80708" w14:textId="77777777" w:rsidR="00397333" w:rsidRDefault="00B16908">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14:paraId="37629353" w14:textId="77777777" w:rsidR="00397333"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5BBAB3B0" w14:textId="766909D0" w:rsidR="00397333"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Solicitud de acceso a la información. </w:t>
      </w:r>
      <w:r>
        <w:rPr>
          <w:rFonts w:ascii="Palatino Linotype" w:eastAsia="Palatino Linotype" w:hAnsi="Palatino Linotype" w:cs="Palatino Linotype"/>
          <w:color w:val="000000"/>
        </w:rPr>
        <w:t xml:space="preserve">Con fecha </w:t>
      </w:r>
      <w:r w:rsidR="009B5E1D">
        <w:rPr>
          <w:rFonts w:ascii="Palatino Linotype" w:eastAsia="Palatino Linotype" w:hAnsi="Palatino Linotype" w:cs="Palatino Linotype"/>
          <w:b/>
          <w:color w:val="000000"/>
        </w:rPr>
        <w:t>diecinueve de agosto de</w:t>
      </w:r>
      <w:r w:rsidR="00C33785">
        <w:rPr>
          <w:rFonts w:ascii="Palatino Linotype" w:eastAsia="Palatino Linotype" w:hAnsi="Palatino Linotype" w:cs="Palatino Linotype"/>
          <w:b/>
          <w:color w:val="000000"/>
        </w:rPr>
        <w:t xml:space="preserve"> dos mil veintidós</w:t>
      </w:r>
      <w:r>
        <w:rPr>
          <w:rFonts w:ascii="Palatino Linotype" w:eastAsia="Palatino Linotype" w:hAnsi="Palatino Linotype" w:cs="Palatino Linotype"/>
          <w:color w:val="000000"/>
        </w:rPr>
        <w:t xml:space="preserve">,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formuló solicitud de acceso a información pública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 través del Sistema de Acceso a la Información Mexiquense, en adelante </w:t>
      </w:r>
      <w:r>
        <w:rPr>
          <w:rFonts w:ascii="Palatino Linotype" w:eastAsia="Palatino Linotype" w:hAnsi="Palatino Linotype" w:cs="Palatino Linotype"/>
          <w:b/>
          <w:color w:val="000000"/>
        </w:rPr>
        <w:t>SAIMEX</w:t>
      </w:r>
      <w:r w:rsidRPr="005532C7">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requiriéndole lo siguiente:</w:t>
      </w:r>
    </w:p>
    <w:p w14:paraId="248C4D4B" w14:textId="77777777" w:rsidR="00397333" w:rsidRDefault="00397333">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357DEE5E" w14:textId="3913EF9C" w:rsidR="00397333" w:rsidRPr="00934C19" w:rsidRDefault="00C33785" w:rsidP="00934C19">
      <w:pPr>
        <w:ind w:left="567" w:right="900"/>
        <w:jc w:val="both"/>
        <w:rPr>
          <w:rFonts w:ascii="Palatino Linotype" w:hAnsi="Palatino Linotype"/>
          <w:i/>
          <w:sz w:val="22"/>
          <w:szCs w:val="22"/>
        </w:rPr>
      </w:pPr>
      <w:r w:rsidRPr="00934C19">
        <w:rPr>
          <w:rFonts w:ascii="Palatino Linotype" w:hAnsi="Palatino Linotype"/>
          <w:i/>
          <w:sz w:val="22"/>
          <w:szCs w:val="22"/>
        </w:rPr>
        <w:t>“</w:t>
      </w:r>
      <w:r w:rsidR="009B5E1D" w:rsidRPr="00934C19">
        <w:rPr>
          <w:rFonts w:ascii="Palatino Linotype" w:hAnsi="Palatino Linotype"/>
          <w:i/>
          <w:sz w:val="22"/>
          <w:szCs w:val="22"/>
        </w:rPr>
        <w:t xml:space="preserve">sirva el presente para </w:t>
      </w:r>
      <w:proofErr w:type="spellStart"/>
      <w:r w:rsidR="009B5E1D" w:rsidRPr="00934C19">
        <w:rPr>
          <w:rFonts w:ascii="Palatino Linotype" w:hAnsi="Palatino Linotype"/>
          <w:i/>
          <w:sz w:val="22"/>
          <w:szCs w:val="22"/>
        </w:rPr>
        <w:t>solcitar</w:t>
      </w:r>
      <w:proofErr w:type="spellEnd"/>
      <w:r w:rsidR="009B5E1D" w:rsidRPr="00934C19">
        <w:rPr>
          <w:rFonts w:ascii="Palatino Linotype" w:hAnsi="Palatino Linotype"/>
          <w:i/>
          <w:sz w:val="22"/>
          <w:szCs w:val="22"/>
        </w:rPr>
        <w:t xml:space="preserve"> respetuosamente </w:t>
      </w:r>
      <w:proofErr w:type="spellStart"/>
      <w:r w:rsidR="009B5E1D" w:rsidRPr="00934C19">
        <w:rPr>
          <w:rFonts w:ascii="Palatino Linotype" w:hAnsi="Palatino Linotype"/>
          <w:i/>
          <w:sz w:val="22"/>
          <w:szCs w:val="22"/>
        </w:rPr>
        <w:t>informacion</w:t>
      </w:r>
      <w:proofErr w:type="spellEnd"/>
      <w:r w:rsidR="009B5E1D" w:rsidRPr="00934C19">
        <w:rPr>
          <w:rFonts w:ascii="Palatino Linotype" w:hAnsi="Palatino Linotype"/>
          <w:i/>
          <w:sz w:val="22"/>
          <w:szCs w:val="22"/>
        </w:rPr>
        <w:t xml:space="preserve"> con respecto a la </w:t>
      </w:r>
      <w:proofErr w:type="spellStart"/>
      <w:r w:rsidR="009B5E1D" w:rsidRPr="00934C19">
        <w:rPr>
          <w:rFonts w:ascii="Palatino Linotype" w:hAnsi="Palatino Linotype"/>
          <w:i/>
          <w:sz w:val="22"/>
          <w:szCs w:val="22"/>
        </w:rPr>
        <w:t>contratacion</w:t>
      </w:r>
      <w:proofErr w:type="spellEnd"/>
      <w:r w:rsidR="009B5E1D" w:rsidRPr="00934C19">
        <w:rPr>
          <w:rFonts w:ascii="Palatino Linotype" w:hAnsi="Palatino Linotype"/>
          <w:i/>
          <w:sz w:val="22"/>
          <w:szCs w:val="22"/>
        </w:rPr>
        <w:t xml:space="preserve"> de la empresa EROAGUA (fiscales del agua </w:t>
      </w:r>
      <w:proofErr w:type="spellStart"/>
      <w:r w:rsidR="009B5E1D" w:rsidRPr="00934C19">
        <w:rPr>
          <w:rFonts w:ascii="Palatino Linotype" w:hAnsi="Palatino Linotype"/>
          <w:i/>
          <w:sz w:val="22"/>
          <w:szCs w:val="22"/>
        </w:rPr>
        <w:t>mex</w:t>
      </w:r>
      <w:proofErr w:type="spellEnd"/>
      <w:r w:rsidR="009B5E1D" w:rsidRPr="00934C19">
        <w:rPr>
          <w:rFonts w:ascii="Palatino Linotype" w:hAnsi="Palatino Linotype"/>
          <w:i/>
          <w:sz w:val="22"/>
          <w:szCs w:val="22"/>
        </w:rPr>
        <w:t xml:space="preserve"> </w:t>
      </w:r>
      <w:proofErr w:type="spellStart"/>
      <w:r w:rsidR="009B5E1D" w:rsidRPr="00934C19">
        <w:rPr>
          <w:rFonts w:ascii="Palatino Linotype" w:hAnsi="Palatino Linotype"/>
          <w:i/>
          <w:sz w:val="22"/>
          <w:szCs w:val="22"/>
        </w:rPr>
        <w:t>sa</w:t>
      </w:r>
      <w:proofErr w:type="spellEnd"/>
      <w:r w:rsidR="009B5E1D" w:rsidRPr="00934C19">
        <w:rPr>
          <w:rFonts w:ascii="Palatino Linotype" w:hAnsi="Palatino Linotype"/>
          <w:i/>
          <w:sz w:val="22"/>
          <w:szCs w:val="22"/>
        </w:rPr>
        <w:t xml:space="preserve"> de cv), cual es el monto de sus servicios mensual y en total a la fecha, cuanto es el monto de </w:t>
      </w:r>
      <w:proofErr w:type="spellStart"/>
      <w:r w:rsidR="009B5E1D" w:rsidRPr="00934C19">
        <w:rPr>
          <w:rFonts w:ascii="Palatino Linotype" w:hAnsi="Palatino Linotype"/>
          <w:i/>
          <w:sz w:val="22"/>
          <w:szCs w:val="22"/>
        </w:rPr>
        <w:t>recuperacion</w:t>
      </w:r>
      <w:proofErr w:type="spellEnd"/>
      <w:r w:rsidR="009B5E1D" w:rsidRPr="00934C19">
        <w:rPr>
          <w:rFonts w:ascii="Palatino Linotype" w:hAnsi="Palatino Linotype"/>
          <w:i/>
          <w:sz w:val="22"/>
          <w:szCs w:val="22"/>
        </w:rPr>
        <w:t xml:space="preserve"> de su cartera vencida hasta el momento, y </w:t>
      </w:r>
      <w:proofErr w:type="spellStart"/>
      <w:r w:rsidR="009B5E1D" w:rsidRPr="00934C19">
        <w:rPr>
          <w:rFonts w:ascii="Palatino Linotype" w:hAnsi="Palatino Linotype"/>
          <w:i/>
          <w:sz w:val="22"/>
          <w:szCs w:val="22"/>
        </w:rPr>
        <w:t>cual</w:t>
      </w:r>
      <w:proofErr w:type="spellEnd"/>
      <w:r w:rsidR="009B5E1D" w:rsidRPr="00934C19">
        <w:rPr>
          <w:rFonts w:ascii="Palatino Linotype" w:hAnsi="Palatino Linotype"/>
          <w:i/>
          <w:sz w:val="22"/>
          <w:szCs w:val="22"/>
        </w:rPr>
        <w:t xml:space="preserve"> es el monto total de su contrato. gracias!!!!</w:t>
      </w:r>
      <w:r w:rsidR="005532C7" w:rsidRPr="00934C19">
        <w:rPr>
          <w:rFonts w:ascii="Palatino Linotype" w:hAnsi="Palatino Linotype"/>
          <w:i/>
          <w:sz w:val="22"/>
          <w:szCs w:val="22"/>
        </w:rPr>
        <w:t>”</w:t>
      </w:r>
    </w:p>
    <w:p w14:paraId="3B2E67DC" w14:textId="77777777" w:rsidR="00C33785" w:rsidRPr="00C33785" w:rsidRDefault="00C33785" w:rsidP="00C33785">
      <w:pPr>
        <w:spacing w:line="360" w:lineRule="auto"/>
        <w:ind w:left="709" w:right="900"/>
        <w:jc w:val="both"/>
        <w:rPr>
          <w:rFonts w:ascii="Palatino Linotype" w:eastAsia="Palatino Linotype" w:hAnsi="Palatino Linotype" w:cs="Palatino Linotype"/>
          <w:b/>
          <w:i/>
        </w:rPr>
      </w:pPr>
    </w:p>
    <w:p w14:paraId="7E534958" w14:textId="77777777" w:rsidR="00397333" w:rsidRDefault="00B1690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Sistema de Acce</w:t>
      </w:r>
      <w:r w:rsidR="00C33785">
        <w:rPr>
          <w:rFonts w:ascii="Palatino Linotype" w:eastAsia="Palatino Linotype" w:hAnsi="Palatino Linotype" w:cs="Palatino Linotype"/>
        </w:rPr>
        <w:t xml:space="preserve">so a la Información Mexiquense. </w:t>
      </w:r>
      <w:r>
        <w:rPr>
          <w:rFonts w:ascii="Palatino Linotype" w:eastAsia="Palatino Linotype" w:hAnsi="Palatino Linotype" w:cs="Palatino Linotype"/>
        </w:rPr>
        <w:t xml:space="preserve"> </w:t>
      </w:r>
    </w:p>
    <w:p w14:paraId="7BBDB6C2" w14:textId="02FF17E6" w:rsidR="00397333" w:rsidRPr="00E77807" w:rsidRDefault="00B16908" w:rsidP="00E778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 xml:space="preserve">Respuesta. </w:t>
      </w:r>
      <w:r>
        <w:rPr>
          <w:rFonts w:ascii="Palatino Linotype" w:eastAsia="Palatino Linotype" w:hAnsi="Palatino Linotype" w:cs="Palatino Linotype"/>
          <w:color w:val="000000"/>
        </w:rPr>
        <w:t xml:space="preserve">Con fecha </w:t>
      </w:r>
      <w:r w:rsidR="009B5E1D">
        <w:rPr>
          <w:rFonts w:ascii="Palatino Linotype" w:eastAsia="Palatino Linotype" w:hAnsi="Palatino Linotype" w:cs="Palatino Linotype"/>
          <w:b/>
          <w:color w:val="000000"/>
        </w:rPr>
        <w:t>dos de septiembre de dos mil veintidós</w:t>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envió su respuesta a la solicitud de acceso a la información a través del SAIMEX, la cual versa como sigue: </w:t>
      </w:r>
    </w:p>
    <w:p w14:paraId="38192537" w14:textId="77777777" w:rsidR="00C33785" w:rsidRPr="00C33785" w:rsidRDefault="00C33785" w:rsidP="00C33785">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14:paraId="4ACF799A" w14:textId="77777777" w:rsidR="009B5E1D" w:rsidRPr="009B5E1D" w:rsidRDefault="009B5E1D" w:rsidP="00934C19">
      <w:pPr>
        <w:tabs>
          <w:tab w:val="left" w:pos="7371"/>
        </w:tabs>
        <w:ind w:left="567" w:right="616"/>
        <w:jc w:val="both"/>
        <w:rPr>
          <w:rFonts w:ascii="Palatino Linotype" w:eastAsia="Palatino Linotype" w:hAnsi="Palatino Linotype" w:cs="Palatino Linotype"/>
          <w:i/>
          <w:sz w:val="22"/>
          <w:szCs w:val="22"/>
        </w:rPr>
      </w:pPr>
      <w:r w:rsidRPr="009B5E1D">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E1692F" w14:textId="77777777" w:rsidR="009B5E1D" w:rsidRDefault="009B5E1D" w:rsidP="00934C19">
      <w:pPr>
        <w:tabs>
          <w:tab w:val="left" w:pos="7371"/>
        </w:tabs>
        <w:ind w:left="567" w:right="616"/>
        <w:jc w:val="both"/>
        <w:rPr>
          <w:rFonts w:ascii="Palatino Linotype" w:eastAsia="Palatino Linotype" w:hAnsi="Palatino Linotype" w:cs="Palatino Linotype"/>
          <w:i/>
          <w:sz w:val="22"/>
          <w:szCs w:val="22"/>
        </w:rPr>
      </w:pPr>
      <w:r w:rsidRPr="009B5E1D">
        <w:rPr>
          <w:rFonts w:ascii="Palatino Linotype" w:eastAsia="Palatino Linotype" w:hAnsi="Palatino Linotype" w:cs="Palatino Linotype"/>
          <w:i/>
          <w:sz w:val="22"/>
          <w:szCs w:val="22"/>
        </w:rPr>
        <w:t>C. Solicitante. Por medio del presente se adjunta el oficio número 200C16003/277/2022, mediante el cual se da respuesta a su solicitud de acceso a información pública.</w:t>
      </w:r>
    </w:p>
    <w:p w14:paraId="492F0BD2" w14:textId="77777777" w:rsidR="009B5E1D" w:rsidRDefault="009B5E1D" w:rsidP="009B5E1D">
      <w:pPr>
        <w:tabs>
          <w:tab w:val="left" w:pos="7371"/>
        </w:tabs>
        <w:spacing w:line="360" w:lineRule="auto"/>
        <w:ind w:left="567" w:right="616"/>
        <w:jc w:val="both"/>
        <w:rPr>
          <w:rFonts w:ascii="Palatino Linotype" w:eastAsia="Palatino Linotype" w:hAnsi="Palatino Linotype" w:cs="Palatino Linotype"/>
          <w:i/>
          <w:sz w:val="22"/>
          <w:szCs w:val="22"/>
        </w:rPr>
      </w:pPr>
    </w:p>
    <w:p w14:paraId="5CB2F7B3" w14:textId="1D8D1A1A" w:rsidR="00397333" w:rsidRDefault="00B16908" w:rsidP="009B5E1D">
      <w:pPr>
        <w:tabs>
          <w:tab w:val="left" w:pos="7371"/>
        </w:tabs>
        <w:spacing w:line="360" w:lineRule="auto"/>
        <w:ind w:right="6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Del mismo modo, el Sujeto Obligado adjuntó a su respuesta lo siguiente: </w:t>
      </w:r>
    </w:p>
    <w:p w14:paraId="58D58024" w14:textId="77777777" w:rsidR="00397333" w:rsidRDefault="00397333">
      <w:pPr>
        <w:spacing w:line="360" w:lineRule="auto"/>
        <w:ind w:right="49"/>
        <w:jc w:val="both"/>
        <w:rPr>
          <w:rFonts w:ascii="Palatino Linotype" w:eastAsia="Palatino Linotype" w:hAnsi="Palatino Linotype" w:cs="Palatino Linotype"/>
          <w:color w:val="000000"/>
        </w:rPr>
      </w:pPr>
    </w:p>
    <w:p w14:paraId="11A1D76C" w14:textId="73F0D51F" w:rsidR="00397333" w:rsidRPr="00A94A15" w:rsidRDefault="005532C7">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Oficio </w:t>
      </w:r>
      <w:r w:rsidR="009B5E1D">
        <w:rPr>
          <w:rFonts w:ascii="Palatino Linotype" w:eastAsia="Palatino Linotype" w:hAnsi="Palatino Linotype" w:cs="Palatino Linotype"/>
          <w:color w:val="000000"/>
          <w:sz w:val="22"/>
          <w:szCs w:val="22"/>
        </w:rPr>
        <w:t xml:space="preserve">de fecha dos de septiembre de dos mil veintidós, signado por el titular de la Unidad de Transparencia mediante el cual informa que derivado de una búsqueda efectuada en los archivos del Organismo, se tiene que </w:t>
      </w:r>
      <w:r w:rsidR="009B5E1D">
        <w:rPr>
          <w:rFonts w:ascii="Palatino Linotype" w:eastAsia="Palatino Linotype" w:hAnsi="Palatino Linotype" w:cs="Palatino Linotype"/>
          <w:b/>
          <w:color w:val="000000"/>
          <w:sz w:val="22"/>
          <w:szCs w:val="22"/>
        </w:rPr>
        <w:t>la relación contractual con la empresa señalada terminó el quince de julio de dos mil veintidós</w:t>
      </w:r>
      <w:r w:rsidR="009B5E1D">
        <w:rPr>
          <w:rFonts w:ascii="Palatino Linotype" w:eastAsia="Palatino Linotype" w:hAnsi="Palatino Linotype" w:cs="Palatino Linotype"/>
          <w:color w:val="000000"/>
          <w:sz w:val="22"/>
          <w:szCs w:val="22"/>
        </w:rPr>
        <w:t xml:space="preserve">, sin embargo, respecto del pago de los servicios contratados esta se determinada de acuerdo con los resultados obtenidos y de la cantidad recaudada, derivada de las gestiones que la empresa realizaba. </w:t>
      </w:r>
      <w:r>
        <w:rPr>
          <w:rFonts w:ascii="Palatino Linotype" w:eastAsia="Palatino Linotype" w:hAnsi="Palatino Linotype" w:cs="Palatino Linotype"/>
          <w:color w:val="000000"/>
          <w:sz w:val="22"/>
          <w:szCs w:val="22"/>
        </w:rPr>
        <w:t xml:space="preserve"> </w:t>
      </w:r>
    </w:p>
    <w:p w14:paraId="4803521A" w14:textId="77777777" w:rsidR="00A94A15" w:rsidRPr="00C33785" w:rsidRDefault="00A94A15" w:rsidP="00A94A15">
      <w:pPr>
        <w:pBdr>
          <w:top w:val="nil"/>
          <w:left w:val="nil"/>
          <w:bottom w:val="nil"/>
          <w:right w:val="nil"/>
          <w:between w:val="nil"/>
        </w:pBdr>
        <w:spacing w:line="360" w:lineRule="auto"/>
        <w:ind w:left="720" w:right="49"/>
        <w:jc w:val="both"/>
        <w:rPr>
          <w:rFonts w:ascii="Palatino Linotype" w:eastAsia="Palatino Linotype" w:hAnsi="Palatino Linotype" w:cs="Palatino Linotype"/>
          <w:b/>
          <w:color w:val="000000"/>
          <w:sz w:val="22"/>
          <w:szCs w:val="22"/>
        </w:rPr>
      </w:pPr>
    </w:p>
    <w:p w14:paraId="21A9007F" w14:textId="4F7A93AF" w:rsidR="00397333" w:rsidRDefault="00B16908">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Interposición del recurso de revisión. </w:t>
      </w:r>
      <w:r>
        <w:rPr>
          <w:rFonts w:ascii="Palatino Linotype" w:eastAsia="Palatino Linotype" w:hAnsi="Palatino Linotype" w:cs="Palatino Linotype"/>
          <w:color w:val="000000"/>
        </w:rPr>
        <w:t xml:space="preserve">Inconforme con la respuesta del </w:t>
      </w:r>
      <w:r>
        <w:rPr>
          <w:rFonts w:ascii="Palatino Linotype" w:eastAsia="Palatino Linotype" w:hAnsi="Palatino Linotype" w:cs="Palatino Linotype"/>
          <w:b/>
          <w:color w:val="000000"/>
        </w:rPr>
        <w:t>SUJETO OBLIGADO el ahora RECURRENTE</w:t>
      </w:r>
      <w:r>
        <w:rPr>
          <w:rFonts w:ascii="Palatino Linotype" w:eastAsia="Palatino Linotype" w:hAnsi="Palatino Linotype" w:cs="Palatino Linotype"/>
          <w:color w:val="000000"/>
        </w:rPr>
        <w:t xml:space="preserve"> interpuso recurso de revisión a través del SAIMEX en fecha </w:t>
      </w:r>
      <w:r w:rsidR="009B5E1D">
        <w:rPr>
          <w:rFonts w:ascii="Palatino Linotype" w:eastAsia="Palatino Linotype" w:hAnsi="Palatino Linotype" w:cs="Palatino Linotype"/>
          <w:b/>
          <w:color w:val="000000"/>
        </w:rPr>
        <w:t xml:space="preserve">dos de septiembre </w:t>
      </w:r>
      <w:r w:rsidR="00C33785">
        <w:rPr>
          <w:rFonts w:ascii="Palatino Linotype" w:eastAsia="Palatino Linotype" w:hAnsi="Palatino Linotype" w:cs="Palatino Linotype"/>
          <w:b/>
          <w:color w:val="000000"/>
        </w:rPr>
        <w:t>de dos mil veintidós</w:t>
      </w:r>
      <w:r>
        <w:rPr>
          <w:rFonts w:ascii="Palatino Linotype" w:eastAsia="Palatino Linotype" w:hAnsi="Palatino Linotype" w:cs="Palatino Linotype"/>
          <w:color w:val="000000"/>
        </w:rPr>
        <w:t>, a través del cual expresó lo siguiente:</w:t>
      </w:r>
    </w:p>
    <w:p w14:paraId="6B84D34A" w14:textId="77777777" w:rsidR="00397333" w:rsidRDefault="00397333">
      <w:pPr>
        <w:spacing w:line="360" w:lineRule="auto"/>
        <w:ind w:right="49"/>
        <w:jc w:val="both"/>
        <w:rPr>
          <w:rFonts w:ascii="Palatino Linotype" w:eastAsia="Palatino Linotype" w:hAnsi="Palatino Linotype" w:cs="Palatino Linotype"/>
        </w:rPr>
      </w:pPr>
    </w:p>
    <w:p w14:paraId="61AA9ED7" w14:textId="21CECEAE" w:rsidR="00397333" w:rsidRDefault="00B16908" w:rsidP="00C81AB2">
      <w:pPr>
        <w:spacing w:line="360" w:lineRule="auto"/>
        <w:ind w:left="567"/>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color w:val="000000"/>
          <w:sz w:val="22"/>
          <w:szCs w:val="22"/>
        </w:rPr>
        <w:t xml:space="preserve">Acto impugnado. </w:t>
      </w:r>
      <w:r w:rsidRPr="00A94A15">
        <w:rPr>
          <w:rFonts w:ascii="Palatino Linotype" w:eastAsia="Palatino Linotype" w:hAnsi="Palatino Linotype" w:cs="Palatino Linotype"/>
          <w:i/>
          <w:color w:val="000000"/>
          <w:sz w:val="22"/>
          <w:szCs w:val="22"/>
        </w:rPr>
        <w:t>“</w:t>
      </w:r>
      <w:r w:rsidR="009B5E1D" w:rsidRPr="009B5E1D">
        <w:rPr>
          <w:rFonts w:ascii="Palatino Linotype" w:hAnsi="Palatino Linotype"/>
          <w:i/>
          <w:sz w:val="22"/>
          <w:szCs w:val="22"/>
        </w:rPr>
        <w:t>NO CONTESTO EL PLANTEAMIENTO...SE HIZO MUY PUNTUAL Y ESPECIFICO</w:t>
      </w:r>
      <w:proofErr w:type="gramStart"/>
      <w:r w:rsidR="009B5E1D" w:rsidRPr="009B5E1D">
        <w:rPr>
          <w:rFonts w:ascii="Palatino Linotype" w:hAnsi="Palatino Linotype"/>
          <w:i/>
          <w:sz w:val="22"/>
          <w:szCs w:val="22"/>
        </w:rPr>
        <w:t>..</w:t>
      </w:r>
      <w:proofErr w:type="spellStart"/>
      <w:proofErr w:type="gramEnd"/>
      <w:r w:rsidR="009B5E1D" w:rsidRPr="009B5E1D">
        <w:rPr>
          <w:rFonts w:ascii="Palatino Linotype" w:hAnsi="Palatino Linotype"/>
          <w:i/>
          <w:sz w:val="22"/>
          <w:szCs w:val="22"/>
        </w:rPr>
        <w:t>cual</w:t>
      </w:r>
      <w:proofErr w:type="spellEnd"/>
      <w:r w:rsidR="009B5E1D" w:rsidRPr="009B5E1D">
        <w:rPr>
          <w:rFonts w:ascii="Palatino Linotype" w:hAnsi="Palatino Linotype"/>
          <w:i/>
          <w:sz w:val="22"/>
          <w:szCs w:val="22"/>
        </w:rPr>
        <w:t xml:space="preserve"> es el monto de sus servicios mensual y en total a la fecha, </w:t>
      </w:r>
      <w:r w:rsidR="009B5E1D" w:rsidRPr="009B5E1D">
        <w:rPr>
          <w:rFonts w:ascii="Palatino Linotype" w:hAnsi="Palatino Linotype"/>
          <w:i/>
          <w:sz w:val="22"/>
          <w:szCs w:val="22"/>
        </w:rPr>
        <w:lastRenderedPageBreak/>
        <w:t xml:space="preserve">cuanto es el monto de </w:t>
      </w:r>
      <w:proofErr w:type="spellStart"/>
      <w:r w:rsidR="009B5E1D" w:rsidRPr="009B5E1D">
        <w:rPr>
          <w:rFonts w:ascii="Palatino Linotype" w:hAnsi="Palatino Linotype"/>
          <w:i/>
          <w:sz w:val="22"/>
          <w:szCs w:val="22"/>
        </w:rPr>
        <w:t>recuperacion</w:t>
      </w:r>
      <w:proofErr w:type="spellEnd"/>
      <w:r w:rsidR="009B5E1D" w:rsidRPr="009B5E1D">
        <w:rPr>
          <w:rFonts w:ascii="Palatino Linotype" w:hAnsi="Palatino Linotype"/>
          <w:i/>
          <w:sz w:val="22"/>
          <w:szCs w:val="22"/>
        </w:rPr>
        <w:t xml:space="preserve"> de su cartera vencida hasta el momento, y </w:t>
      </w:r>
      <w:proofErr w:type="spellStart"/>
      <w:r w:rsidR="009B5E1D" w:rsidRPr="009B5E1D">
        <w:rPr>
          <w:rFonts w:ascii="Palatino Linotype" w:hAnsi="Palatino Linotype"/>
          <w:i/>
          <w:sz w:val="22"/>
          <w:szCs w:val="22"/>
        </w:rPr>
        <w:t>cual</w:t>
      </w:r>
      <w:proofErr w:type="spellEnd"/>
      <w:r w:rsidR="009B5E1D" w:rsidRPr="009B5E1D">
        <w:rPr>
          <w:rFonts w:ascii="Palatino Linotype" w:hAnsi="Palatino Linotype"/>
          <w:i/>
          <w:sz w:val="22"/>
          <w:szCs w:val="22"/>
        </w:rPr>
        <w:t xml:space="preserve"> es el monto total de su contrato. gracias!!!!</w:t>
      </w:r>
      <w:r w:rsidRPr="00A94A15">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i/>
          <w:color w:val="000000"/>
          <w:sz w:val="22"/>
          <w:szCs w:val="22"/>
        </w:rPr>
        <w:t xml:space="preserve"> </w:t>
      </w:r>
    </w:p>
    <w:p w14:paraId="15DB9CFD" w14:textId="77777777" w:rsidR="009B5E1D" w:rsidRPr="009B5E1D" w:rsidRDefault="009B5E1D" w:rsidP="00C81AB2">
      <w:pPr>
        <w:spacing w:line="360" w:lineRule="auto"/>
        <w:ind w:left="567"/>
        <w:rPr>
          <w:rFonts w:ascii="Palatino Linotype" w:hAnsi="Palatino Linotype"/>
          <w:i/>
          <w:sz w:val="22"/>
          <w:szCs w:val="22"/>
        </w:rPr>
      </w:pPr>
    </w:p>
    <w:p w14:paraId="64B1EF90" w14:textId="51B1AA99" w:rsidR="00A94A15" w:rsidRDefault="00B16908" w:rsidP="00C81AB2">
      <w:pPr>
        <w:pBdr>
          <w:top w:val="nil"/>
          <w:left w:val="nil"/>
          <w:bottom w:val="nil"/>
          <w:right w:val="nil"/>
          <w:between w:val="nil"/>
        </w:pBdr>
        <w:spacing w:line="360" w:lineRule="auto"/>
        <w:ind w:lef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color w:val="000000"/>
          <w:sz w:val="22"/>
          <w:szCs w:val="22"/>
        </w:rPr>
        <w:t xml:space="preserve">Motivos de inconformidad. </w:t>
      </w:r>
      <w:r>
        <w:rPr>
          <w:rFonts w:ascii="Palatino Linotype" w:eastAsia="Palatino Linotype" w:hAnsi="Palatino Linotype" w:cs="Palatino Linotype"/>
          <w:i/>
          <w:color w:val="000000"/>
          <w:sz w:val="22"/>
          <w:szCs w:val="22"/>
        </w:rPr>
        <w:t>“</w:t>
      </w:r>
      <w:r w:rsidR="009B5E1D" w:rsidRPr="009B5E1D">
        <w:rPr>
          <w:rFonts w:ascii="Palatino Linotype" w:eastAsia="Palatino Linotype" w:hAnsi="Palatino Linotype" w:cs="Palatino Linotype"/>
          <w:i/>
          <w:color w:val="000000"/>
          <w:sz w:val="22"/>
          <w:szCs w:val="22"/>
        </w:rPr>
        <w:t>NO CONTESTO EL PLANTEAMIENTO...SE HIZO MUY PUNTUAL Y ESPECIFICO</w:t>
      </w:r>
      <w:proofErr w:type="gramStart"/>
      <w:r w:rsidR="009B5E1D" w:rsidRPr="009B5E1D">
        <w:rPr>
          <w:rFonts w:ascii="Palatino Linotype" w:eastAsia="Palatino Linotype" w:hAnsi="Palatino Linotype" w:cs="Palatino Linotype"/>
          <w:i/>
          <w:color w:val="000000"/>
          <w:sz w:val="22"/>
          <w:szCs w:val="22"/>
        </w:rPr>
        <w:t>..</w:t>
      </w:r>
      <w:proofErr w:type="spellStart"/>
      <w:proofErr w:type="gramEnd"/>
      <w:r w:rsidR="009B5E1D" w:rsidRPr="009B5E1D">
        <w:rPr>
          <w:rFonts w:ascii="Palatino Linotype" w:eastAsia="Palatino Linotype" w:hAnsi="Palatino Linotype" w:cs="Palatino Linotype"/>
          <w:i/>
          <w:color w:val="000000"/>
          <w:sz w:val="22"/>
          <w:szCs w:val="22"/>
        </w:rPr>
        <w:t>cual</w:t>
      </w:r>
      <w:proofErr w:type="spellEnd"/>
      <w:r w:rsidR="009B5E1D" w:rsidRPr="009B5E1D">
        <w:rPr>
          <w:rFonts w:ascii="Palatino Linotype" w:eastAsia="Palatino Linotype" w:hAnsi="Palatino Linotype" w:cs="Palatino Linotype"/>
          <w:i/>
          <w:color w:val="000000"/>
          <w:sz w:val="22"/>
          <w:szCs w:val="22"/>
        </w:rPr>
        <w:t xml:space="preserve"> es el monto de sus servicios mensual y en total a la fecha, cuanto es el monto de </w:t>
      </w:r>
      <w:proofErr w:type="spellStart"/>
      <w:r w:rsidR="009B5E1D" w:rsidRPr="009B5E1D">
        <w:rPr>
          <w:rFonts w:ascii="Palatino Linotype" w:eastAsia="Palatino Linotype" w:hAnsi="Palatino Linotype" w:cs="Palatino Linotype"/>
          <w:i/>
          <w:color w:val="000000"/>
          <w:sz w:val="22"/>
          <w:szCs w:val="22"/>
        </w:rPr>
        <w:t>recuperacion</w:t>
      </w:r>
      <w:proofErr w:type="spellEnd"/>
      <w:r w:rsidR="009B5E1D" w:rsidRPr="009B5E1D">
        <w:rPr>
          <w:rFonts w:ascii="Palatino Linotype" w:eastAsia="Palatino Linotype" w:hAnsi="Palatino Linotype" w:cs="Palatino Linotype"/>
          <w:i/>
          <w:color w:val="000000"/>
          <w:sz w:val="22"/>
          <w:szCs w:val="22"/>
        </w:rPr>
        <w:t xml:space="preserve"> de su cartera vencida hasta el momento, y </w:t>
      </w:r>
      <w:proofErr w:type="spellStart"/>
      <w:r w:rsidR="009B5E1D" w:rsidRPr="009B5E1D">
        <w:rPr>
          <w:rFonts w:ascii="Palatino Linotype" w:eastAsia="Palatino Linotype" w:hAnsi="Palatino Linotype" w:cs="Palatino Linotype"/>
          <w:i/>
          <w:color w:val="000000"/>
          <w:sz w:val="22"/>
          <w:szCs w:val="22"/>
        </w:rPr>
        <w:t>cual</w:t>
      </w:r>
      <w:proofErr w:type="spellEnd"/>
      <w:r w:rsidR="009B5E1D" w:rsidRPr="009B5E1D">
        <w:rPr>
          <w:rFonts w:ascii="Palatino Linotype" w:eastAsia="Palatino Linotype" w:hAnsi="Palatino Linotype" w:cs="Palatino Linotype"/>
          <w:i/>
          <w:color w:val="000000"/>
          <w:sz w:val="22"/>
          <w:szCs w:val="22"/>
        </w:rPr>
        <w:t xml:space="preserve"> es el monto total de su contrato. gracias!!!! SIN JUEGO DE PALABRAS...</w:t>
      </w:r>
      <w:r w:rsidR="009B5E1D" w:rsidRPr="009B5E1D">
        <w:rPr>
          <w:rFonts w:ascii="Palatino Linotype" w:eastAsia="Palatino Linotype" w:hAnsi="Palatino Linotype" w:cs="Palatino Linotype"/>
          <w:b/>
          <w:i/>
          <w:color w:val="000000"/>
          <w:sz w:val="22"/>
          <w:szCs w:val="22"/>
          <w:u w:val="single"/>
        </w:rPr>
        <w:t>ESPECIFIQUE MONTOS PAGADOS A EROAGUA, Y MONTOS RECUPERADOS EN EL TIEMPO QUE FACTURO AL ORGANISMO DE AGUA Y SANEAMIENTO DE TOLUCA SU RESPUESTA NO DA CIFRAS Y ESO ES LO QUE SOLICITÉ</w:t>
      </w:r>
      <w:r w:rsidRPr="009B5E1D">
        <w:rPr>
          <w:rFonts w:ascii="Palatino Linotype" w:eastAsia="Palatino Linotype" w:hAnsi="Palatino Linotype" w:cs="Palatino Linotype"/>
          <w:b/>
          <w:i/>
          <w:color w:val="000000"/>
          <w:sz w:val="22"/>
          <w:szCs w:val="22"/>
          <w:u w:val="single"/>
        </w:rPr>
        <w:t>”</w:t>
      </w:r>
      <w:r>
        <w:rPr>
          <w:rFonts w:ascii="Palatino Linotype" w:eastAsia="Palatino Linotype" w:hAnsi="Palatino Linotype" w:cs="Palatino Linotype"/>
          <w:i/>
          <w:color w:val="000000"/>
          <w:sz w:val="22"/>
          <w:szCs w:val="22"/>
        </w:rPr>
        <w:t>.</w:t>
      </w:r>
    </w:p>
    <w:p w14:paraId="163E978B" w14:textId="77777777" w:rsidR="005532C7" w:rsidRPr="005532C7" w:rsidRDefault="005532C7" w:rsidP="005532C7">
      <w:pPr>
        <w:pBdr>
          <w:top w:val="nil"/>
          <w:left w:val="nil"/>
          <w:bottom w:val="nil"/>
          <w:right w:val="nil"/>
          <w:between w:val="nil"/>
        </w:pBdr>
        <w:spacing w:line="360" w:lineRule="auto"/>
        <w:ind w:left="567"/>
        <w:jc w:val="both"/>
        <w:rPr>
          <w:rFonts w:ascii="Palatino Linotype" w:eastAsia="Palatino Linotype" w:hAnsi="Palatino Linotype" w:cs="Palatino Linotype"/>
          <w:i/>
          <w:color w:val="000000"/>
          <w:szCs w:val="22"/>
        </w:rPr>
      </w:pPr>
    </w:p>
    <w:p w14:paraId="32F74D7C" w14:textId="6F8F18E6" w:rsidR="00397333"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Turno. </w:t>
      </w:r>
      <w:r>
        <w:rPr>
          <w:rFonts w:ascii="Palatino Linotype" w:eastAsia="Palatino Linotype" w:hAnsi="Palatino Linotype" w:cs="Palatino Linotype"/>
          <w:color w:val="000000"/>
        </w:rPr>
        <w:t xml:space="preserve">De conformidad con el artículo 185, fracción I de la Ley de Transparencia y Acceso a la Información Pública del Estado de México y Municipios, el recurso de revisión número </w:t>
      </w:r>
      <w:r w:rsidR="005532C7">
        <w:rPr>
          <w:rFonts w:ascii="Palatino Linotype" w:eastAsia="Palatino Linotype" w:hAnsi="Palatino Linotype" w:cs="Palatino Linotype"/>
          <w:b/>
          <w:color w:val="000000"/>
        </w:rPr>
        <w:t>1</w:t>
      </w:r>
      <w:r w:rsidR="009B5E1D">
        <w:rPr>
          <w:rFonts w:ascii="Palatino Linotype" w:eastAsia="Palatino Linotype" w:hAnsi="Palatino Linotype" w:cs="Palatino Linotype"/>
          <w:b/>
          <w:color w:val="000000"/>
        </w:rPr>
        <w:t>4189</w:t>
      </w:r>
      <w:r>
        <w:rPr>
          <w:rFonts w:ascii="Palatino Linotype" w:eastAsia="Palatino Linotype" w:hAnsi="Palatino Linotype" w:cs="Palatino Linotype"/>
          <w:b/>
          <w:color w:val="000000"/>
        </w:rPr>
        <w:t>/INFOEM/IP/RR/2022</w:t>
      </w:r>
      <w:r>
        <w:rPr>
          <w:rFonts w:ascii="Palatino Linotype" w:eastAsia="Palatino Linotype" w:hAnsi="Palatino Linotype" w:cs="Palatino Linotype"/>
          <w:color w:val="000000"/>
        </w:rPr>
        <w:t xml:space="preserve">,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color w:val="000000"/>
        </w:rPr>
        <w:t>Guadalupe Ramírez Peña</w:t>
      </w:r>
      <w:r>
        <w:rPr>
          <w:rFonts w:ascii="Palatino Linotype" w:eastAsia="Palatino Linotype" w:hAnsi="Palatino Linotype" w:cs="Palatino Linotype"/>
          <w:color w:val="000000"/>
        </w:rPr>
        <w:t>, para su análisis, estudio, elaboración del proyecto y presentación ante el Pleno de este Instituto.</w:t>
      </w:r>
    </w:p>
    <w:p w14:paraId="54645142" w14:textId="77777777" w:rsidR="00397333"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278E2832" w14:textId="28DF5159" w:rsidR="00397333"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bookmarkStart w:id="2" w:name="_heading=h.gjdgxs" w:colFirst="0" w:colLast="0"/>
      <w:bookmarkEnd w:id="2"/>
      <w:r>
        <w:rPr>
          <w:rFonts w:ascii="Palatino Linotype" w:eastAsia="Palatino Linotype" w:hAnsi="Palatino Linotype" w:cs="Palatino Linotype"/>
          <w:b/>
          <w:color w:val="000000"/>
        </w:rPr>
        <w:t xml:space="preserve">Admisión del recurso de revisión: </w:t>
      </w:r>
      <w:r>
        <w:rPr>
          <w:rFonts w:ascii="Palatino Linotype" w:eastAsia="Palatino Linotype" w:hAnsi="Palatino Linotype" w:cs="Palatino Linotype"/>
          <w:color w:val="000000"/>
        </w:rPr>
        <w:t xml:space="preserve">En fecha </w:t>
      </w:r>
      <w:r w:rsidR="009B5E1D">
        <w:rPr>
          <w:rFonts w:ascii="Palatino Linotype" w:eastAsia="Palatino Linotype" w:hAnsi="Palatino Linotype" w:cs="Palatino Linotype"/>
          <w:b/>
          <w:color w:val="000000"/>
        </w:rPr>
        <w:t>siete de septiembre</w:t>
      </w:r>
      <w:r>
        <w:rPr>
          <w:rFonts w:ascii="Palatino Linotype" w:eastAsia="Palatino Linotype" w:hAnsi="Palatino Linotype" w:cs="Palatino Linotype"/>
          <w:b/>
          <w:color w:val="000000"/>
        </w:rPr>
        <w:t xml:space="preserve"> de dos mil veintidós</w:t>
      </w:r>
      <w:r>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presentara su informe justificado.</w:t>
      </w:r>
    </w:p>
    <w:p w14:paraId="13A8CA21" w14:textId="77777777" w:rsidR="00397333"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5A1ED4F0" w14:textId="77777777" w:rsidR="009B5E1D" w:rsidRDefault="005532C7" w:rsidP="00613B06">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Manifestacione</w:t>
      </w:r>
      <w:r w:rsidR="00B16908">
        <w:rPr>
          <w:rFonts w:ascii="Palatino Linotype" w:eastAsia="Palatino Linotype" w:hAnsi="Palatino Linotype" w:cs="Palatino Linotype"/>
          <w:b/>
          <w:color w:val="000000"/>
        </w:rPr>
        <w:t>s</w:t>
      </w:r>
      <w:r w:rsidR="00B16908">
        <w:rPr>
          <w:rFonts w:ascii="Palatino Linotype" w:eastAsia="Palatino Linotype" w:hAnsi="Palatino Linotype" w:cs="Palatino Linotype"/>
          <w:color w:val="000000"/>
        </w:rPr>
        <w:t xml:space="preserve">: </w:t>
      </w:r>
      <w:r w:rsidR="009B5E1D">
        <w:rPr>
          <w:rFonts w:ascii="Palatino Linotype" w:eastAsia="Palatino Linotype" w:hAnsi="Palatino Linotype" w:cs="Palatino Linotype"/>
          <w:color w:val="000000"/>
        </w:rPr>
        <w:t xml:space="preserve">En fecha </w:t>
      </w:r>
      <w:r w:rsidR="009B5E1D">
        <w:rPr>
          <w:rFonts w:ascii="Palatino Linotype" w:eastAsia="Palatino Linotype" w:hAnsi="Palatino Linotype" w:cs="Palatino Linotype"/>
          <w:b/>
          <w:color w:val="000000"/>
        </w:rPr>
        <w:t>diecinueve de septiembre de dos mil veintidós</w:t>
      </w:r>
      <w:r w:rsidR="009B5E1D">
        <w:rPr>
          <w:rFonts w:ascii="Palatino Linotype" w:eastAsia="Palatino Linotype" w:hAnsi="Palatino Linotype" w:cs="Palatino Linotype"/>
          <w:color w:val="000000"/>
        </w:rPr>
        <w:t xml:space="preserve">, el </w:t>
      </w:r>
      <w:r w:rsidR="009B5E1D">
        <w:rPr>
          <w:rFonts w:ascii="Palatino Linotype" w:eastAsia="Palatino Linotype" w:hAnsi="Palatino Linotype" w:cs="Palatino Linotype"/>
          <w:b/>
          <w:color w:val="000000"/>
        </w:rPr>
        <w:t xml:space="preserve">SUJETO OBLIGADO </w:t>
      </w:r>
      <w:r w:rsidR="009B5E1D">
        <w:rPr>
          <w:rFonts w:ascii="Palatino Linotype" w:eastAsia="Palatino Linotype" w:hAnsi="Palatino Linotype" w:cs="Palatino Linotype"/>
          <w:color w:val="000000"/>
        </w:rPr>
        <w:t xml:space="preserve">rindió su informe justificado, a través del documento que se describe a continuación: </w:t>
      </w:r>
    </w:p>
    <w:p w14:paraId="6AE74674" w14:textId="77777777" w:rsidR="009B5E1D" w:rsidRDefault="009B5E1D" w:rsidP="009B5E1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503B6296" w14:textId="1DEA5425" w:rsidR="00613B06" w:rsidRPr="009B5E1D" w:rsidRDefault="009B5E1D" w:rsidP="009B5E1D">
      <w:pPr>
        <w:pStyle w:val="Prrafodelista"/>
        <w:numPr>
          <w:ilvl w:val="0"/>
          <w:numId w:val="1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Oficio de fecha catorce de septiembre de dos mil veintidós, signado por la titular de la Unidad de Transparencia mediante el cual medularmente ratificó su respuesta inicial. </w:t>
      </w:r>
    </w:p>
    <w:p w14:paraId="040B6CC2" w14:textId="77777777" w:rsidR="005532C7" w:rsidRDefault="005532C7" w:rsidP="005532C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41AACE15" w14:textId="70D0FDDF" w:rsidR="009B5E1D" w:rsidRPr="009B5E1D" w:rsidRDefault="009B5E1D" w:rsidP="005532C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Documento que se hizo del conocimiento del Particular en fecha </w:t>
      </w:r>
      <w:r>
        <w:rPr>
          <w:rFonts w:ascii="Palatino Linotype" w:eastAsia="Palatino Linotype" w:hAnsi="Palatino Linotype" w:cs="Palatino Linotype"/>
          <w:b/>
          <w:color w:val="000000"/>
        </w:rPr>
        <w:t xml:space="preserve">doce de abril de dos mil veintitrés. </w:t>
      </w:r>
    </w:p>
    <w:p w14:paraId="508A0BD1" w14:textId="1A409827" w:rsidR="00C81AB2" w:rsidRDefault="00C81AB2" w:rsidP="005532C7">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p>
    <w:p w14:paraId="776DC044" w14:textId="146DBBF2" w:rsidR="009B5E1D" w:rsidRPr="009B5E1D" w:rsidRDefault="009B5E1D" w:rsidP="005532C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Por su parte, el Particular no realizó manifestaciones. </w:t>
      </w:r>
    </w:p>
    <w:p w14:paraId="162B8B3F" w14:textId="77777777" w:rsidR="00613B06" w:rsidRDefault="00613B06" w:rsidP="00613B0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14:paraId="1F899EF2" w14:textId="53F14E8D" w:rsidR="00613B06" w:rsidRPr="003804FB" w:rsidRDefault="00613B06" w:rsidP="00613B06">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C81AB2">
        <w:rPr>
          <w:rFonts w:ascii="Palatino Linotype" w:eastAsia="Palatino Linotype" w:hAnsi="Palatino Linotype" w:cs="Palatino Linotype"/>
          <w:b/>
          <w:color w:val="000000"/>
        </w:rPr>
        <w:t>Ampliación del plazo.</w:t>
      </w:r>
      <w:r w:rsidRPr="00C81AB2">
        <w:rPr>
          <w:rFonts w:ascii="Palatino Linotype" w:eastAsia="Palatino Linotype" w:hAnsi="Palatino Linotype" w:cs="Palatino Linotype"/>
          <w:color w:val="000000"/>
        </w:rPr>
        <w:t xml:space="preserve"> En fecha </w:t>
      </w:r>
      <w:r w:rsidR="009B5E1D">
        <w:rPr>
          <w:rFonts w:ascii="Palatino Linotype" w:eastAsia="Palatino Linotype" w:hAnsi="Palatino Linotype" w:cs="Palatino Linotype"/>
          <w:b/>
          <w:color w:val="000000"/>
        </w:rPr>
        <w:t>doce de abril</w:t>
      </w:r>
      <w:r w:rsidRPr="00C81AB2">
        <w:rPr>
          <w:rFonts w:ascii="Palatino Linotype" w:eastAsia="Palatino Linotype" w:hAnsi="Palatino Linotype" w:cs="Palatino Linotype"/>
          <w:b/>
          <w:color w:val="000000"/>
        </w:rPr>
        <w:t xml:space="preserve"> de dos mil veintitrés</w:t>
      </w:r>
      <w:r w:rsidRPr="00C81AB2">
        <w:rPr>
          <w:rFonts w:ascii="Palatino Linotype" w:eastAsia="Palatino Linotype" w:hAnsi="Palatino Linotype" w:cs="Palatino Linotype"/>
          <w:color w:val="000000"/>
        </w:rPr>
        <w:t>, con</w:t>
      </w:r>
      <w:r w:rsidRPr="003804FB">
        <w:rPr>
          <w:rFonts w:ascii="Palatino Linotype" w:eastAsia="Palatino Linotype" w:hAnsi="Palatino Linotype" w:cs="Palatino Linotype"/>
          <w:color w:val="000000"/>
        </w:rPr>
        <w:t xml:space="preserve"> fundamento en el artículo 181, párrafo tercero de la Ley de Transparencia y Acceso a la Información Pública del Estado de México y Municipios, se acordó la ampliación del plazo para su resolución.</w:t>
      </w:r>
    </w:p>
    <w:p w14:paraId="7DA37716" w14:textId="77777777" w:rsidR="00613B06" w:rsidRDefault="00613B06" w:rsidP="00613B06">
      <w:pPr>
        <w:widowControl w:val="0"/>
        <w:spacing w:line="360" w:lineRule="auto"/>
        <w:jc w:val="both"/>
        <w:rPr>
          <w:rFonts w:ascii="Palatino Linotype" w:eastAsia="Palatino Linotype" w:hAnsi="Palatino Linotype" w:cs="Palatino Linotype"/>
        </w:rPr>
      </w:pPr>
    </w:p>
    <w:p w14:paraId="57F248AD" w14:textId="77777777" w:rsidR="006B1BA0" w:rsidRDefault="006B1BA0" w:rsidP="00613B06">
      <w:pPr>
        <w:spacing w:line="360" w:lineRule="auto"/>
        <w:jc w:val="both"/>
        <w:rPr>
          <w:rFonts w:ascii="Palatino Linotype" w:eastAsia="Palatino Linotype" w:hAnsi="Palatino Linotype" w:cs="Palatino Linotype"/>
        </w:rPr>
      </w:pPr>
      <w:r w:rsidRPr="006B1BA0">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w:t>
      </w:r>
      <w:r w:rsidRPr="006B1BA0">
        <w:rPr>
          <w:rFonts w:ascii="Palatino Linotype" w:eastAsia="Palatino Linotype" w:hAnsi="Palatino Linotype" w:cs="Palatino Linotype"/>
        </w:rPr>
        <w:lastRenderedPageBreak/>
        <w:t>personal encargado de la proyección de las resoluciones a dichos medios de impugnación.</w:t>
      </w:r>
    </w:p>
    <w:p w14:paraId="62451698" w14:textId="77777777" w:rsidR="006B1BA0" w:rsidRDefault="006B1BA0" w:rsidP="00613B06">
      <w:pPr>
        <w:spacing w:line="360" w:lineRule="auto"/>
        <w:jc w:val="both"/>
        <w:rPr>
          <w:rFonts w:ascii="Palatino Linotype" w:eastAsia="Palatino Linotype" w:hAnsi="Palatino Linotype" w:cs="Palatino Linotype"/>
        </w:rPr>
      </w:pPr>
    </w:p>
    <w:p w14:paraId="000283FB" w14:textId="04DB0B17" w:rsidR="00613B06" w:rsidRDefault="00613B06" w:rsidP="00613B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B8DD9DF" w14:textId="77777777" w:rsidR="00613B06" w:rsidRDefault="00613B06" w:rsidP="00613B06">
      <w:pPr>
        <w:spacing w:line="360" w:lineRule="auto"/>
        <w:jc w:val="both"/>
        <w:rPr>
          <w:rFonts w:ascii="Palatino Linotype" w:eastAsia="Palatino Linotype" w:hAnsi="Palatino Linotype" w:cs="Palatino Linotype"/>
        </w:rPr>
      </w:pPr>
    </w:p>
    <w:p w14:paraId="0BEC27DE" w14:textId="77777777" w:rsidR="00613B06" w:rsidRDefault="00613B06" w:rsidP="00613B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C2279E" w14:textId="77777777" w:rsidR="00613B06" w:rsidRDefault="00613B06" w:rsidP="00613B06">
      <w:pPr>
        <w:spacing w:line="360" w:lineRule="auto"/>
        <w:jc w:val="both"/>
        <w:rPr>
          <w:rFonts w:ascii="Palatino Linotype" w:eastAsia="Palatino Linotype" w:hAnsi="Palatino Linotype" w:cs="Palatino Linotype"/>
        </w:rPr>
      </w:pPr>
    </w:p>
    <w:p w14:paraId="1C76CC8A" w14:textId="77777777" w:rsidR="00613B06" w:rsidRDefault="00613B06" w:rsidP="00613B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4919297" w14:textId="77777777" w:rsidR="00613B06" w:rsidRDefault="00613B06" w:rsidP="00613B06">
      <w:pPr>
        <w:spacing w:line="360" w:lineRule="auto"/>
        <w:jc w:val="both"/>
        <w:rPr>
          <w:rFonts w:ascii="Palatino Linotype" w:eastAsia="Palatino Linotype" w:hAnsi="Palatino Linotype" w:cs="Palatino Linotype"/>
        </w:rPr>
      </w:pPr>
    </w:p>
    <w:p w14:paraId="2FB17722" w14:textId="77777777" w:rsidR="00613B06" w:rsidRDefault="00613B06" w:rsidP="00613B06">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3429BE" w14:textId="77777777" w:rsidR="00613B06" w:rsidRDefault="00613B06" w:rsidP="00613B06">
      <w:pPr>
        <w:spacing w:line="360" w:lineRule="auto"/>
        <w:jc w:val="both"/>
        <w:rPr>
          <w:rFonts w:ascii="Palatino Linotype" w:eastAsia="Palatino Linotype" w:hAnsi="Palatino Linotype" w:cs="Palatino Linotype"/>
        </w:rPr>
      </w:pPr>
    </w:p>
    <w:p w14:paraId="5A32486C" w14:textId="77777777" w:rsidR="00613B06" w:rsidRDefault="00613B06" w:rsidP="00613B06">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Complejidad del Asunto: La complejidad de la prueba, la pluralidad de sujetos procesales, el tiempo transcurrido, las características y contexto del recurso. </w:t>
      </w:r>
    </w:p>
    <w:p w14:paraId="56112E60" w14:textId="77777777" w:rsidR="00613B06" w:rsidRDefault="00613B06" w:rsidP="00613B06">
      <w:pPr>
        <w:spacing w:line="360" w:lineRule="auto"/>
        <w:ind w:left="927"/>
        <w:jc w:val="both"/>
        <w:rPr>
          <w:rFonts w:ascii="Palatino Linotype" w:eastAsia="Palatino Linotype" w:hAnsi="Palatino Linotype" w:cs="Palatino Linotype"/>
          <w:sz w:val="22"/>
          <w:szCs w:val="22"/>
        </w:rPr>
      </w:pPr>
    </w:p>
    <w:p w14:paraId="6C2CFC3A" w14:textId="77777777" w:rsidR="00613B06" w:rsidRDefault="00613B06" w:rsidP="00613B06">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Actividad Procesal del interesado. Acciones u omisiones del interesado.</w:t>
      </w:r>
    </w:p>
    <w:p w14:paraId="14D537BB" w14:textId="77777777" w:rsidR="00613B06" w:rsidRDefault="00613B06" w:rsidP="00613B06">
      <w:pPr>
        <w:spacing w:line="360" w:lineRule="auto"/>
        <w:ind w:left="927"/>
        <w:jc w:val="both"/>
        <w:rPr>
          <w:rFonts w:ascii="Palatino Linotype" w:eastAsia="Palatino Linotype" w:hAnsi="Palatino Linotype" w:cs="Palatino Linotype"/>
          <w:sz w:val="22"/>
          <w:szCs w:val="22"/>
        </w:rPr>
      </w:pPr>
    </w:p>
    <w:p w14:paraId="52C7C1BF" w14:textId="77777777" w:rsidR="00613B06" w:rsidRDefault="00613B06" w:rsidP="00613B06">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54609ACC" w14:textId="77777777" w:rsidR="00613B06" w:rsidRDefault="00613B06" w:rsidP="00613B06">
      <w:pPr>
        <w:spacing w:line="360" w:lineRule="auto"/>
        <w:ind w:left="927"/>
        <w:jc w:val="both"/>
        <w:rPr>
          <w:rFonts w:ascii="Palatino Linotype" w:eastAsia="Palatino Linotype" w:hAnsi="Palatino Linotype" w:cs="Palatino Linotype"/>
          <w:sz w:val="22"/>
          <w:szCs w:val="22"/>
        </w:rPr>
      </w:pPr>
    </w:p>
    <w:p w14:paraId="191F58DB" w14:textId="77777777" w:rsidR="00613B06" w:rsidRDefault="00613B06" w:rsidP="00613B06">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La afectación generada en la situación jurídica de la persona involucrada en el proceso: Violación a sus derechos humanos.</w:t>
      </w:r>
    </w:p>
    <w:p w14:paraId="62A08DBE" w14:textId="77777777" w:rsidR="00613B06" w:rsidRDefault="00613B06" w:rsidP="00613B06">
      <w:pPr>
        <w:spacing w:line="360" w:lineRule="auto"/>
        <w:jc w:val="both"/>
        <w:rPr>
          <w:rFonts w:ascii="Palatino Linotype" w:eastAsia="Palatino Linotype" w:hAnsi="Palatino Linotype" w:cs="Palatino Linotype"/>
        </w:rPr>
      </w:pPr>
    </w:p>
    <w:p w14:paraId="446A971A" w14:textId="77777777" w:rsidR="00613B06" w:rsidRDefault="00613B06" w:rsidP="00613B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339B8F" w14:textId="77777777" w:rsidR="00613B06" w:rsidRDefault="00613B06" w:rsidP="00613B06">
      <w:pPr>
        <w:spacing w:line="360" w:lineRule="auto"/>
        <w:jc w:val="both"/>
        <w:rPr>
          <w:rFonts w:ascii="Palatino Linotype" w:eastAsia="Palatino Linotype" w:hAnsi="Palatino Linotype" w:cs="Palatino Linotype"/>
        </w:rPr>
      </w:pPr>
    </w:p>
    <w:p w14:paraId="7EE391FD" w14:textId="77777777" w:rsidR="00613B06" w:rsidRDefault="00613B06" w:rsidP="00613B0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7B649D54" w14:textId="77777777" w:rsidR="00613B06" w:rsidRDefault="00613B06" w:rsidP="00613B06">
      <w:pPr>
        <w:spacing w:line="360" w:lineRule="auto"/>
        <w:jc w:val="both"/>
        <w:rPr>
          <w:rFonts w:ascii="Palatino Linotype" w:eastAsia="Palatino Linotype" w:hAnsi="Palatino Linotype" w:cs="Palatino Linotype"/>
        </w:rPr>
      </w:pPr>
    </w:p>
    <w:p w14:paraId="5DF49A9F" w14:textId="77777777" w:rsidR="00613B06" w:rsidRDefault="00613B06" w:rsidP="00613B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BDCB063" w14:textId="77777777" w:rsidR="00613B06" w:rsidRDefault="00613B06" w:rsidP="00613B06">
      <w:pPr>
        <w:spacing w:line="360" w:lineRule="auto"/>
        <w:jc w:val="both"/>
        <w:rPr>
          <w:rFonts w:ascii="Palatino Linotype" w:eastAsia="Palatino Linotype" w:hAnsi="Palatino Linotype" w:cs="Palatino Linotype"/>
        </w:rPr>
      </w:pPr>
    </w:p>
    <w:p w14:paraId="2C678BA6" w14:textId="77777777" w:rsidR="00613B06" w:rsidRDefault="00613B06" w:rsidP="00613B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B65364D" w14:textId="77777777" w:rsidR="00613B06" w:rsidRDefault="00613B06" w:rsidP="00613B06">
      <w:pPr>
        <w:spacing w:line="360" w:lineRule="auto"/>
        <w:jc w:val="both"/>
        <w:rPr>
          <w:rFonts w:ascii="Palatino Linotype" w:eastAsia="Palatino Linotype" w:hAnsi="Palatino Linotype" w:cs="Palatino Linotype"/>
        </w:rPr>
      </w:pPr>
    </w:p>
    <w:p w14:paraId="14E0D708" w14:textId="77777777" w:rsidR="00613B06" w:rsidRDefault="00613B06" w:rsidP="00613B06">
      <w:pPr>
        <w:spacing w:line="360" w:lineRule="auto"/>
        <w:ind w:left="567"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“PLAZO RAZONABLE PARA RESOLVER. DIMENSIÓN Y EFECTOS DE ESTE CONCEPTO CUANDO SE ADUCE EXCESIVA CARGA DE TRABAJO.”</w:t>
      </w:r>
      <w:r>
        <w:rPr>
          <w:rFonts w:ascii="Palatino Linotype" w:eastAsia="Palatino Linotype" w:hAnsi="Palatino Linotype" w:cs="Palatino Linotype"/>
          <w:sz w:val="22"/>
          <w:szCs w:val="22"/>
        </w:rPr>
        <w:t xml:space="preserve"> consultable en el Seminario Judicial de la Federación y su gaceta, con el registro digital 2002351.</w:t>
      </w:r>
    </w:p>
    <w:p w14:paraId="10A60415" w14:textId="77777777" w:rsidR="00613B06" w:rsidRDefault="00613B06" w:rsidP="00613B06">
      <w:pPr>
        <w:spacing w:line="360" w:lineRule="auto"/>
        <w:ind w:left="567" w:right="616"/>
        <w:jc w:val="both"/>
        <w:rPr>
          <w:rFonts w:ascii="Palatino Linotype" w:eastAsia="Palatino Linotype" w:hAnsi="Palatino Linotype" w:cs="Palatino Linotype"/>
          <w:b/>
          <w:sz w:val="22"/>
          <w:szCs w:val="22"/>
        </w:rPr>
      </w:pPr>
    </w:p>
    <w:p w14:paraId="4BF7599E" w14:textId="77777777" w:rsidR="00613B06" w:rsidRDefault="00613B06" w:rsidP="00613B06">
      <w:pPr>
        <w:spacing w:line="360" w:lineRule="auto"/>
        <w:ind w:left="567"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“PLAZO RAZONABLE PARA RESOLVER. CONCEPTO Y ELEMENTOS QUE LO INTEGRAN A LA LUZ DEL DERECHO INTERNACIONAL DE LOS </w:t>
      </w:r>
      <w:r>
        <w:rPr>
          <w:rFonts w:ascii="Palatino Linotype" w:eastAsia="Palatino Linotype" w:hAnsi="Palatino Linotype" w:cs="Palatino Linotype"/>
          <w:i/>
          <w:sz w:val="22"/>
          <w:szCs w:val="22"/>
        </w:rPr>
        <w:lastRenderedPageBreak/>
        <w:t>DERECHOS HUMANOS.”</w:t>
      </w:r>
      <w:r>
        <w:rPr>
          <w:rFonts w:ascii="Palatino Linotype" w:eastAsia="Palatino Linotype" w:hAnsi="Palatino Linotype" w:cs="Palatino Linotype"/>
          <w:sz w:val="22"/>
          <w:szCs w:val="22"/>
        </w:rPr>
        <w:t>, visible en el Seminario Judicial de la Federación y su gaceta, con el registro digital 2002350.</w:t>
      </w:r>
    </w:p>
    <w:p w14:paraId="6B35E0E1" w14:textId="77777777" w:rsidR="00613B06" w:rsidRDefault="00613B06" w:rsidP="00613B06">
      <w:pPr>
        <w:spacing w:line="360" w:lineRule="auto"/>
        <w:ind w:left="567" w:right="616"/>
        <w:jc w:val="both"/>
        <w:rPr>
          <w:rFonts w:ascii="Palatino Linotype" w:eastAsia="Palatino Linotype" w:hAnsi="Palatino Linotype" w:cs="Palatino Linotype"/>
          <w:sz w:val="22"/>
          <w:szCs w:val="22"/>
        </w:rPr>
      </w:pPr>
    </w:p>
    <w:p w14:paraId="0D0119D1" w14:textId="77777777" w:rsidR="00613B06" w:rsidRDefault="00613B06" w:rsidP="00613B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7E4826FC" w14:textId="77777777" w:rsidR="00613B06" w:rsidRPr="00613B06" w:rsidRDefault="00613B06" w:rsidP="00613B0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310C9D5D" w14:textId="4088DDDA" w:rsidR="00397333" w:rsidRDefault="00B16908" w:rsidP="00613B06">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Cierre de instrucción. </w:t>
      </w:r>
      <w:r>
        <w:rPr>
          <w:rFonts w:ascii="Palatino Linotype" w:eastAsia="Palatino Linotype" w:hAnsi="Palatino Linotype" w:cs="Palatino Linotype"/>
          <w:color w:val="000000"/>
        </w:rPr>
        <w:t xml:space="preserve">El </w:t>
      </w:r>
      <w:r w:rsidR="009B5E1D">
        <w:rPr>
          <w:rFonts w:ascii="Palatino Linotype" w:eastAsia="Palatino Linotype" w:hAnsi="Palatino Linotype" w:cs="Palatino Linotype"/>
          <w:b/>
          <w:color w:val="000000"/>
        </w:rPr>
        <w:t>diecinueve de abril</w:t>
      </w:r>
      <w:r w:rsidR="00613B06">
        <w:rPr>
          <w:rFonts w:ascii="Palatino Linotype" w:eastAsia="Palatino Linotype" w:hAnsi="Palatino Linotype" w:cs="Palatino Linotype"/>
          <w:b/>
          <w:color w:val="000000"/>
        </w:rPr>
        <w:t xml:space="preserve"> de dos mil veintitrés</w:t>
      </w:r>
      <w:r>
        <w:rPr>
          <w:rFonts w:ascii="Palatino Linotype" w:eastAsia="Palatino Linotype" w:hAnsi="Palatino Linotype" w:cs="Palatino Linotype"/>
          <w:color w:val="000000"/>
        </w:rPr>
        <w:t>, la Comisionada Ponente determinó el cierre de instrucción en términos de la fracción VI del artículo 185 de la Ley de Transparencia y Acceso a la Información Pública del Estado de México y Municipios.</w:t>
      </w:r>
    </w:p>
    <w:p w14:paraId="530874FF" w14:textId="77777777" w:rsidR="00215DEF" w:rsidRPr="00613B06" w:rsidRDefault="00215DEF" w:rsidP="00215DE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4BFDD087" w14:textId="77777777" w:rsidR="00397333" w:rsidRDefault="00B1690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335996B" w14:textId="77777777" w:rsidR="00397333" w:rsidRDefault="00397333">
      <w:pPr>
        <w:spacing w:line="360" w:lineRule="auto"/>
        <w:jc w:val="both"/>
        <w:rPr>
          <w:rFonts w:ascii="Palatino Linotype" w:eastAsia="Palatino Linotype" w:hAnsi="Palatino Linotype" w:cs="Palatino Linotype"/>
        </w:rPr>
      </w:pPr>
    </w:p>
    <w:p w14:paraId="1A4B7790" w14:textId="77777777" w:rsidR="00397333" w:rsidRDefault="00B16908">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bookmarkStart w:id="3" w:name="_heading=h.30j0zll" w:colFirst="0" w:colLast="0"/>
      <w:bookmarkEnd w:id="3"/>
      <w:r>
        <w:rPr>
          <w:rFonts w:ascii="Palatino Linotype" w:eastAsia="Palatino Linotype" w:hAnsi="Palatino Linotype" w:cs="Palatino Linotype"/>
          <w:b/>
          <w:color w:val="000000"/>
          <w:sz w:val="22"/>
          <w:szCs w:val="22"/>
        </w:rPr>
        <w:t>C O N S I D E R A N D O:</w:t>
      </w:r>
    </w:p>
    <w:p w14:paraId="5C36930C" w14:textId="77777777" w:rsidR="00397333"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34B414FE" w14:textId="0015412F" w:rsidR="00397333" w:rsidRDefault="00B16908">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w:t>
      </w:r>
      <w:r>
        <w:rPr>
          <w:rFonts w:ascii="Palatino Linotype" w:eastAsia="Palatino Linotype" w:hAnsi="Palatino Linotype" w:cs="Palatino Linotype"/>
        </w:rPr>
        <w:lastRenderedPageBreak/>
        <w:t>del Estado Libre y Soberano de México; 1, 2, fracción II; 13,  29, 36, fracciones I y II; 176, 178, 179, 181 párrafo tercero y 185 de la Ley Transparencia y Acceso a la Información Pública del Estado de México y Municipios; 9, fracciones I y XXI</w:t>
      </w:r>
      <w:r w:rsidR="009D6523">
        <w:rPr>
          <w:rFonts w:ascii="Palatino Linotype" w:eastAsia="Palatino Linotype" w:hAnsi="Palatino Linotype" w:cs="Palatino Linotype"/>
        </w:rPr>
        <w:t>II</w:t>
      </w:r>
      <w:r>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B9621BF" w14:textId="77777777" w:rsidR="00397333" w:rsidRDefault="00397333">
      <w:pPr>
        <w:spacing w:line="360" w:lineRule="auto"/>
        <w:jc w:val="both"/>
        <w:rPr>
          <w:rFonts w:ascii="Palatino Linotype" w:eastAsia="Palatino Linotype" w:hAnsi="Palatino Linotype" w:cs="Palatino Linotype"/>
          <w:b/>
        </w:rPr>
      </w:pPr>
    </w:p>
    <w:p w14:paraId="4999958C" w14:textId="77777777" w:rsidR="00397333" w:rsidRDefault="00B1690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40AEAC3" w14:textId="77777777" w:rsidR="00397333" w:rsidRDefault="00397333">
      <w:pPr>
        <w:spacing w:line="360" w:lineRule="auto"/>
        <w:jc w:val="both"/>
        <w:rPr>
          <w:rFonts w:ascii="Palatino Linotype" w:eastAsia="Palatino Linotype" w:hAnsi="Palatino Linotype" w:cs="Palatino Linotype"/>
        </w:rPr>
      </w:pPr>
    </w:p>
    <w:p w14:paraId="51DCF894" w14:textId="3FAC7DB4" w:rsidR="00397333" w:rsidRDefault="00B16908">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su respuesta a la solicitud de información el </w:t>
      </w:r>
      <w:r w:rsidR="00216A2B">
        <w:rPr>
          <w:rFonts w:ascii="Palatino Linotype" w:eastAsia="Palatino Linotype" w:hAnsi="Palatino Linotype" w:cs="Palatino Linotype"/>
          <w:b/>
        </w:rPr>
        <w:t>dos de septiembre</w:t>
      </w:r>
      <w:r w:rsidR="00613B06">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y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su recurso de revisión el</w:t>
      </w:r>
      <w:r w:rsidR="00A94A15">
        <w:rPr>
          <w:rFonts w:ascii="Palatino Linotype" w:eastAsia="Palatino Linotype" w:hAnsi="Palatino Linotype" w:cs="Palatino Linotype"/>
        </w:rPr>
        <w:t xml:space="preserve"> </w:t>
      </w:r>
      <w:r w:rsidR="00216A2B">
        <w:rPr>
          <w:rFonts w:ascii="Palatino Linotype" w:eastAsia="Palatino Linotype" w:hAnsi="Palatino Linotype" w:cs="Palatino Linotype"/>
          <w:b/>
        </w:rPr>
        <w:t xml:space="preserve">mismo día en que se tuvo conocimiento de la respuesta. </w:t>
      </w:r>
    </w:p>
    <w:p w14:paraId="575F2BAB" w14:textId="77777777" w:rsidR="00216A2B" w:rsidRPr="00216A2B" w:rsidRDefault="00216A2B" w:rsidP="00216A2B">
      <w:pPr>
        <w:spacing w:line="360" w:lineRule="auto"/>
        <w:ind w:right="49"/>
        <w:jc w:val="both"/>
        <w:rPr>
          <w:rFonts w:ascii="Palatino Linotype" w:eastAsia="Palatino Linotype" w:hAnsi="Palatino Linotype" w:cs="Palatino Linotype"/>
          <w:b/>
        </w:rPr>
      </w:pPr>
    </w:p>
    <w:p w14:paraId="48EF6EAB" w14:textId="77777777" w:rsidR="00216A2B" w:rsidRDefault="00216A2B" w:rsidP="00216A2B">
      <w:pPr>
        <w:pStyle w:val="NormalWeb"/>
        <w:spacing w:before="0" w:beforeAutospacing="0" w:after="0" w:afterAutospacing="0" w:line="360" w:lineRule="auto"/>
        <w:jc w:val="both"/>
        <w:rPr>
          <w:rFonts w:ascii="Palatino Linotype" w:hAnsi="Palatino Linotype"/>
          <w:color w:val="000000"/>
        </w:rPr>
      </w:pPr>
      <w:r w:rsidRPr="00216A2B">
        <w:rPr>
          <w:rFonts w:ascii="Palatino Linotype" w:hAnsi="Palatino Linotype"/>
          <w:color w:val="000000"/>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w:t>
      </w:r>
      <w:r w:rsidRPr="00216A2B">
        <w:rPr>
          <w:rFonts w:ascii="Palatino Linotype" w:hAnsi="Palatino Linotype"/>
          <w:color w:val="000000"/>
        </w:rPr>
        <w:lastRenderedPageBreak/>
        <w:t>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1BC47BFE" w14:textId="77777777" w:rsidR="00216A2B" w:rsidRPr="00216A2B" w:rsidRDefault="00216A2B" w:rsidP="00216A2B">
      <w:pPr>
        <w:pStyle w:val="NormalWeb"/>
        <w:spacing w:before="0" w:beforeAutospacing="0" w:after="0" w:afterAutospacing="0" w:line="360" w:lineRule="auto"/>
        <w:jc w:val="both"/>
      </w:pPr>
    </w:p>
    <w:p w14:paraId="4855020A" w14:textId="00CA3DB7" w:rsidR="00216A2B" w:rsidRPr="00216A2B" w:rsidRDefault="00216A2B" w:rsidP="00216A2B">
      <w:pPr>
        <w:pStyle w:val="NormalWeb"/>
        <w:spacing w:before="0" w:beforeAutospacing="0" w:after="0" w:afterAutospacing="0" w:line="276" w:lineRule="auto"/>
        <w:ind w:left="567" w:right="902"/>
        <w:jc w:val="both"/>
        <w:rPr>
          <w:sz w:val="22"/>
        </w:rPr>
      </w:pPr>
      <w:r w:rsidRPr="00216A2B">
        <w:rPr>
          <w:rFonts w:ascii="Palatino Linotype" w:hAnsi="Palatino Linotype"/>
          <w:b/>
          <w:bCs/>
          <w:i/>
          <w:iCs/>
          <w:color w:val="000000"/>
          <w:sz w:val="22"/>
        </w:rPr>
        <w:t>RECURSO DE RECLAMACIÓN. SU INTERPOSICIÓN NO ES EXTEMPORÁNEA SI SE REALIZA ANTES DE QUE INICIE EL PLAZO PARA HACERLO</w:t>
      </w:r>
      <w:r w:rsidRPr="00216A2B">
        <w:rPr>
          <w:rFonts w:ascii="Palatino Linotype" w:hAnsi="Palatino Linotype"/>
          <w:i/>
          <w:iCs/>
          <w:color w:val="000000"/>
          <w:sz w:val="22"/>
        </w:rPr>
        <w:t>.</w:t>
      </w:r>
      <w:r>
        <w:rPr>
          <w:sz w:val="22"/>
        </w:rPr>
        <w:t xml:space="preserve"> </w:t>
      </w:r>
      <w:r w:rsidRPr="00216A2B">
        <w:rPr>
          <w:rFonts w:ascii="Palatino Linotype" w:hAnsi="Palatino Linotype"/>
          <w:i/>
          <w:iCs/>
          <w:color w:val="000000"/>
          <w:sz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3964545" w14:textId="77777777" w:rsidR="00A94A15" w:rsidRDefault="00A94A15">
      <w:pPr>
        <w:spacing w:line="360" w:lineRule="auto"/>
        <w:ind w:right="49"/>
        <w:jc w:val="both"/>
        <w:rPr>
          <w:rFonts w:ascii="Palatino Linotype" w:eastAsia="Palatino Linotype" w:hAnsi="Palatino Linotype" w:cs="Palatino Linotype"/>
        </w:rPr>
      </w:pPr>
    </w:p>
    <w:p w14:paraId="730CC578" w14:textId="77777777" w:rsidR="00216A2B" w:rsidRPr="008645E3" w:rsidRDefault="00216A2B" w:rsidP="00216A2B">
      <w:pPr>
        <w:spacing w:line="360" w:lineRule="auto"/>
        <w:ind w:right="49"/>
        <w:jc w:val="both"/>
        <w:rPr>
          <w:rFonts w:ascii="Palatino Linotype" w:eastAsia="Palatino Linotype" w:hAnsi="Palatino Linotype" w:cs="Palatino Linotype"/>
        </w:rPr>
      </w:pPr>
      <w:r w:rsidRPr="008645E3">
        <w:rPr>
          <w:rFonts w:ascii="Palatino Linotype" w:eastAsia="Palatino Linotype" w:hAnsi="Palatino Linotype" w:cs="Palatino Linotype"/>
        </w:rPr>
        <w:t xml:space="preserve">En este sentido, al considerar la fecha en que se formuló la solicitud y la fecha en que respondió a esta el </w:t>
      </w:r>
      <w:r w:rsidRPr="008645E3">
        <w:rPr>
          <w:rFonts w:ascii="Palatino Linotype" w:eastAsia="Palatino Linotype" w:hAnsi="Palatino Linotype" w:cs="Palatino Linotype"/>
          <w:b/>
        </w:rPr>
        <w:t>SUJETO OBLIGADO</w:t>
      </w:r>
      <w:r w:rsidRPr="008645E3">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2F65E4F1" w14:textId="77777777" w:rsidR="00216A2B" w:rsidRDefault="00216A2B">
      <w:pPr>
        <w:spacing w:line="360" w:lineRule="auto"/>
        <w:ind w:right="49"/>
        <w:jc w:val="both"/>
        <w:rPr>
          <w:rFonts w:ascii="Palatino Linotype" w:eastAsia="Palatino Linotype" w:hAnsi="Palatino Linotype" w:cs="Palatino Linotype"/>
        </w:rPr>
      </w:pPr>
    </w:p>
    <w:p w14:paraId="00B1D292" w14:textId="48EA651A" w:rsidR="00A94A15" w:rsidRDefault="00A94A15" w:rsidP="00A94A15">
      <w:pPr>
        <w:spacing w:line="360" w:lineRule="auto"/>
        <w:jc w:val="both"/>
        <w:rPr>
          <w:rFonts w:ascii="Palatino Linotype" w:eastAsia="Palatino Linotype" w:hAnsi="Palatino Linotype" w:cs="Palatino Linotype"/>
        </w:rPr>
      </w:pPr>
      <w:r w:rsidRPr="00BA6E00">
        <w:rPr>
          <w:rFonts w:ascii="Palatino Linotype" w:eastAsia="Palatino Linotype" w:hAnsi="Palatino Linotype" w:cs="Palatino Linotype"/>
        </w:rPr>
        <w:t>Es de suma importancia mencionar que</w:t>
      </w:r>
      <w:r w:rsidR="007B2993">
        <w:rPr>
          <w:rFonts w:ascii="Palatino Linotype" w:eastAsia="Palatino Linotype" w:hAnsi="Palatino Linotype" w:cs="Palatino Linotype"/>
        </w:rPr>
        <w:t xml:space="preserve"> si bien,</w:t>
      </w:r>
      <w:r w:rsidRPr="00BA6E00">
        <w:rPr>
          <w:rFonts w:ascii="Palatino Linotype" w:eastAsia="Palatino Linotype" w:hAnsi="Palatino Linotype" w:cs="Palatino Linotype"/>
        </w:rPr>
        <w:t xml:space="preserve"> </w:t>
      </w:r>
      <w:r>
        <w:rPr>
          <w:rFonts w:ascii="Palatino Linotype" w:eastAsia="Palatino Linotype" w:hAnsi="Palatino Linotype" w:cs="Palatino Linotype"/>
        </w:rPr>
        <w:t xml:space="preserve">la </w:t>
      </w:r>
      <w:r w:rsidRPr="00BA6E00">
        <w:rPr>
          <w:rFonts w:ascii="Palatino Linotype" w:eastAsia="Palatino Linotype" w:hAnsi="Palatino Linotype" w:cs="Palatino Linotype"/>
        </w:rPr>
        <w:t>parte</w:t>
      </w:r>
      <w:r w:rsidR="007B2993">
        <w:rPr>
          <w:rFonts w:ascii="Palatino Linotype" w:eastAsia="Palatino Linotype" w:hAnsi="Palatino Linotype" w:cs="Palatino Linotype"/>
        </w:rPr>
        <w:t xml:space="preserve"> no </w:t>
      </w:r>
      <w:r>
        <w:rPr>
          <w:rFonts w:ascii="Palatino Linotype" w:eastAsia="Palatino Linotype" w:hAnsi="Palatino Linotype" w:cs="Palatino Linotype"/>
        </w:rPr>
        <w:t xml:space="preserve">proporcionó </w:t>
      </w:r>
      <w:r w:rsidR="00216A2B">
        <w:rPr>
          <w:rFonts w:ascii="Palatino Linotype" w:eastAsia="Palatino Linotype" w:hAnsi="Palatino Linotype" w:cs="Palatino Linotype"/>
        </w:rPr>
        <w:t>nombre completo</w:t>
      </w:r>
      <w:r w:rsidRPr="00BA6E00">
        <w:rPr>
          <w:rFonts w:ascii="Palatino Linotype" w:eastAsia="Palatino Linotype" w:hAnsi="Palatino Linotype" w:cs="Palatino Linotype"/>
        </w:rPr>
        <w:t xml:space="preserve"> como se advierte en el detalle de seguimiento del SAIMEX, no es motivo para archivar la solicitud de acceso a la información pública como concluida, conforme a lo previsto en el artículo 155, penúltimo párrafo de la Ley de </w:t>
      </w:r>
      <w:r w:rsidRPr="00BA6E00">
        <w:rPr>
          <w:rFonts w:ascii="Palatino Linotype" w:eastAsia="Palatino Linotype" w:hAnsi="Palatino Linotype" w:cs="Palatino Linotype"/>
        </w:rPr>
        <w:lastRenderedPageBreak/>
        <w:t>Transparencia y Acceso a la Información Pública del Estado de México y Municipios que establece lo siguiente:</w:t>
      </w:r>
    </w:p>
    <w:p w14:paraId="40E7D1B4" w14:textId="77777777" w:rsidR="00A94A15" w:rsidRPr="00BA6E00" w:rsidRDefault="00A94A15" w:rsidP="00A94A15">
      <w:pPr>
        <w:spacing w:line="360" w:lineRule="auto"/>
        <w:jc w:val="both"/>
        <w:rPr>
          <w:rFonts w:ascii="Palatino Linotype" w:eastAsia="Palatino Linotype" w:hAnsi="Palatino Linotype" w:cs="Palatino Linotype"/>
        </w:rPr>
      </w:pPr>
    </w:p>
    <w:p w14:paraId="1864B5BE" w14:textId="77777777" w:rsidR="00A94A15" w:rsidRPr="00FD3D42" w:rsidRDefault="00A94A15" w:rsidP="00A94A15">
      <w:pPr>
        <w:spacing w:line="276" w:lineRule="auto"/>
        <w:ind w:left="567" w:right="843"/>
        <w:jc w:val="both"/>
        <w:rPr>
          <w:rFonts w:ascii="Palatino Linotype" w:eastAsia="Palatino Linotype" w:hAnsi="Palatino Linotype" w:cs="Palatino Linotype"/>
          <w:i/>
          <w:sz w:val="22"/>
        </w:rPr>
      </w:pPr>
      <w:r w:rsidRPr="00FD3D42">
        <w:rPr>
          <w:rFonts w:ascii="Palatino Linotype" w:eastAsia="Palatino Linotype" w:hAnsi="Palatino Linotype" w:cs="Palatino Linotype"/>
          <w:i/>
          <w:sz w:val="22"/>
        </w:rPr>
        <w:t xml:space="preserve">"Las </w:t>
      </w:r>
      <w:r w:rsidRPr="00216A2B">
        <w:rPr>
          <w:rFonts w:ascii="Palatino Linotype" w:eastAsia="Palatino Linotype" w:hAnsi="Palatino Linotype" w:cs="Palatino Linotype"/>
          <w:i/>
          <w:sz w:val="22"/>
        </w:rPr>
        <w:t>solicitudes anónimas,</w:t>
      </w:r>
      <w:r w:rsidRPr="00FD3D42">
        <w:rPr>
          <w:rFonts w:ascii="Palatino Linotype" w:eastAsia="Palatino Linotype" w:hAnsi="Palatino Linotype" w:cs="Palatino Linotype"/>
          <w:i/>
          <w:sz w:val="22"/>
        </w:rPr>
        <w:t xml:space="preserve"> </w:t>
      </w:r>
      <w:r w:rsidRPr="00216A2B">
        <w:rPr>
          <w:rFonts w:ascii="Palatino Linotype" w:eastAsia="Palatino Linotype" w:hAnsi="Palatino Linotype" w:cs="Palatino Linotype"/>
          <w:b/>
          <w:i/>
          <w:sz w:val="22"/>
          <w:u w:val="single"/>
        </w:rPr>
        <w:t>con nombre incompleto</w:t>
      </w:r>
      <w:r w:rsidRPr="00FD3D42">
        <w:rPr>
          <w:rFonts w:ascii="Palatino Linotype" w:eastAsia="Palatino Linotype" w:hAnsi="Palatino Linotype" w:cs="Palatino Linotype"/>
          <w:i/>
          <w:sz w:val="22"/>
        </w:rPr>
        <w:t xml:space="preserve"> o </w:t>
      </w:r>
      <w:r w:rsidRPr="007B2993">
        <w:rPr>
          <w:rFonts w:ascii="Palatino Linotype" w:eastAsia="Palatino Linotype" w:hAnsi="Palatino Linotype" w:cs="Palatino Linotype"/>
          <w:i/>
          <w:sz w:val="22"/>
        </w:rPr>
        <w:t>seudónimo</w:t>
      </w:r>
      <w:r w:rsidRPr="00FD3D42">
        <w:rPr>
          <w:rFonts w:ascii="Palatino Linotype" w:eastAsia="Palatino Linotype" w:hAnsi="Palatino Linotype" w:cs="Palatino Linotype"/>
          <w:i/>
          <w:sz w:val="22"/>
        </w:rPr>
        <w:t xml:space="preserve"> serán procedentes para su trámite por parte del sujeto obligado ante quien se presente. No podrá requerirse información adicional con motivo del nombre proporcionado por el solicitante."</w:t>
      </w:r>
    </w:p>
    <w:p w14:paraId="16EC4222" w14:textId="77777777" w:rsidR="00A94A15" w:rsidRDefault="00A94A15">
      <w:pPr>
        <w:spacing w:line="360" w:lineRule="auto"/>
        <w:ind w:right="49"/>
        <w:jc w:val="both"/>
        <w:rPr>
          <w:rFonts w:ascii="Palatino Linotype" w:eastAsia="Palatino Linotype" w:hAnsi="Palatino Linotype" w:cs="Palatino Linotype"/>
        </w:rPr>
      </w:pPr>
    </w:p>
    <w:p w14:paraId="064716F7" w14:textId="59EF0734" w:rsidR="00397333" w:rsidRDefault="00B16908">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E0851C6" w14:textId="77777777" w:rsidR="00E22C26" w:rsidRDefault="00E22C26">
      <w:pPr>
        <w:spacing w:line="360" w:lineRule="auto"/>
        <w:jc w:val="both"/>
        <w:rPr>
          <w:rFonts w:ascii="Palatino Linotype" w:eastAsia="Palatino Linotype" w:hAnsi="Palatino Linotype" w:cs="Palatino Linotype"/>
          <w:color w:val="000000"/>
        </w:rPr>
      </w:pPr>
    </w:p>
    <w:p w14:paraId="7048B760" w14:textId="58FD6E9E" w:rsidR="00397333" w:rsidRDefault="00B1690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las hipótesis previstas</w:t>
      </w:r>
      <w:r w:rsidR="00216A2B">
        <w:rPr>
          <w:rFonts w:ascii="Palatino Linotype" w:eastAsia="Palatino Linotype" w:hAnsi="Palatino Linotype" w:cs="Palatino Linotype"/>
        </w:rPr>
        <w:t xml:space="preserve"> en el artículo 179, fracción I</w:t>
      </w:r>
      <w:r w:rsidR="005532C7">
        <w:rPr>
          <w:rFonts w:ascii="Palatino Linotype" w:eastAsia="Palatino Linotype" w:hAnsi="Palatino Linotype" w:cs="Palatino Linotype"/>
        </w:rPr>
        <w:t xml:space="preserve"> </w:t>
      </w:r>
      <w:r>
        <w:rPr>
          <w:rFonts w:ascii="Palatino Linotype" w:eastAsia="Palatino Linotype" w:hAnsi="Palatino Linotype" w:cs="Palatino Linotype"/>
        </w:rPr>
        <w:t>de la ley de la materia, que a la letra dice:</w:t>
      </w:r>
    </w:p>
    <w:p w14:paraId="30AFE02D" w14:textId="77777777" w:rsidR="00397333" w:rsidRDefault="00397333">
      <w:pPr>
        <w:spacing w:line="360" w:lineRule="auto"/>
        <w:jc w:val="both"/>
        <w:rPr>
          <w:rFonts w:ascii="Palatino Linotype" w:eastAsia="Palatino Linotype" w:hAnsi="Palatino Linotype" w:cs="Palatino Linotype"/>
        </w:rPr>
      </w:pPr>
    </w:p>
    <w:p w14:paraId="6637F364" w14:textId="77777777" w:rsidR="00397333" w:rsidRDefault="00B16908" w:rsidP="00216A2B">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14:paraId="0B812364" w14:textId="77777777" w:rsidR="00397333" w:rsidRDefault="00B16908">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437618E" w14:textId="3AA897DF" w:rsidR="00397333" w:rsidRDefault="00216A2B">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 La negativa de entrega de la información</w:t>
      </w:r>
      <w:r w:rsidR="00B16908">
        <w:rPr>
          <w:rFonts w:ascii="Palatino Linotype" w:eastAsia="Palatino Linotype" w:hAnsi="Palatino Linotype" w:cs="Palatino Linotype"/>
          <w:i/>
          <w:sz w:val="22"/>
          <w:szCs w:val="22"/>
        </w:rPr>
        <w:t>;</w:t>
      </w:r>
    </w:p>
    <w:p w14:paraId="41F4483B" w14:textId="4A724F7C" w:rsidR="007B2993" w:rsidRDefault="000E3910" w:rsidP="009D6523">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6ABE587F" w14:textId="77777777" w:rsidR="001634C5" w:rsidRDefault="001634C5" w:rsidP="009D6523">
      <w:pPr>
        <w:spacing w:line="360" w:lineRule="auto"/>
        <w:ind w:left="567" w:right="616"/>
        <w:jc w:val="both"/>
        <w:rPr>
          <w:rFonts w:ascii="Palatino Linotype" w:eastAsia="Palatino Linotype" w:hAnsi="Palatino Linotype" w:cs="Palatino Linotype"/>
          <w:i/>
          <w:sz w:val="22"/>
          <w:szCs w:val="22"/>
        </w:rPr>
      </w:pPr>
    </w:p>
    <w:p w14:paraId="0F80A9A0" w14:textId="77777777" w:rsidR="006B1BA0" w:rsidRDefault="00B1690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lastRenderedPageBreak/>
        <w:t>Tercero. 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en determinar si se actualiza la fracción </w:t>
      </w:r>
      <w:r w:rsidR="00216A2B">
        <w:rPr>
          <w:rFonts w:ascii="Palatino Linotype" w:eastAsia="Palatino Linotype" w:hAnsi="Palatino Linotype" w:cs="Palatino Linotype"/>
        </w:rPr>
        <w:t>I</w:t>
      </w:r>
      <w:r>
        <w:rPr>
          <w:rFonts w:ascii="Palatino Linotype" w:eastAsia="Palatino Linotype" w:hAnsi="Palatino Linotype" w:cs="Palatino Linotype"/>
        </w:rPr>
        <w:t xml:space="preserve"> del artículo 179 de la Ley de Transparencia y Acceso a la Información Pública del Estado de México y Municipios. </w:t>
      </w:r>
    </w:p>
    <w:p w14:paraId="20361371" w14:textId="55F821E3" w:rsidR="00E22C26" w:rsidRDefault="00B1690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0CB13B0D" w14:textId="77777777" w:rsidR="00397333" w:rsidRDefault="00B1690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Es conveniente analizar si la respuesta del 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6331E45" w14:textId="77777777" w:rsidR="00397333" w:rsidRDefault="00397333">
      <w:pPr>
        <w:spacing w:line="360" w:lineRule="auto"/>
        <w:jc w:val="both"/>
        <w:rPr>
          <w:rFonts w:ascii="Palatino Linotype" w:eastAsia="Palatino Linotype" w:hAnsi="Palatino Linotype" w:cs="Palatino Linotype"/>
        </w:rPr>
      </w:pPr>
    </w:p>
    <w:p w14:paraId="721CE78C" w14:textId="77777777" w:rsidR="00397333" w:rsidRDefault="00B16908">
      <w:pPr>
        <w:tabs>
          <w:tab w:val="left" w:pos="851"/>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9EBE5B0" w14:textId="77777777" w:rsidR="00397333" w:rsidRDefault="00B16908">
      <w:pPr>
        <w:tabs>
          <w:tab w:val="left" w:pos="851"/>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Pr>
          <w:rFonts w:ascii="Palatino Linotype" w:eastAsia="Palatino Linotype" w:hAnsi="Palatino Linotype" w:cs="Palatino Linotype"/>
          <w:i/>
          <w:sz w:val="22"/>
          <w:szCs w:val="22"/>
        </w:rPr>
        <w:lastRenderedPageBreak/>
        <w:t>público, en los términos de las causas legítimas y estrictamente necesarias previstas por esta Ley.</w:t>
      </w:r>
    </w:p>
    <w:p w14:paraId="49D76648" w14:textId="77777777" w:rsidR="00397333" w:rsidRDefault="00B16908">
      <w:pPr>
        <w:tabs>
          <w:tab w:val="left" w:pos="851"/>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14:paraId="677BADB9" w14:textId="77777777" w:rsidR="00397333" w:rsidRDefault="00397333">
      <w:pPr>
        <w:spacing w:line="360" w:lineRule="auto"/>
        <w:jc w:val="both"/>
        <w:rPr>
          <w:rFonts w:ascii="Palatino Linotype" w:eastAsia="Palatino Linotype" w:hAnsi="Palatino Linotype" w:cs="Palatino Linotype"/>
        </w:rPr>
      </w:pPr>
    </w:p>
    <w:p w14:paraId="0EC47CAF" w14:textId="77777777" w:rsidR="00397333" w:rsidRDefault="00B1690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2EFFD53" w14:textId="77777777" w:rsidR="00397333" w:rsidRDefault="00397333">
      <w:pPr>
        <w:spacing w:line="276" w:lineRule="auto"/>
        <w:ind w:left="567" w:right="616"/>
        <w:jc w:val="both"/>
        <w:rPr>
          <w:rFonts w:ascii="Palatino Linotype" w:eastAsia="Palatino Linotype" w:hAnsi="Palatino Linotype" w:cs="Palatino Linotype"/>
        </w:rPr>
      </w:pPr>
    </w:p>
    <w:p w14:paraId="6BD61205" w14:textId="77777777" w:rsidR="00397333" w:rsidRDefault="00B169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E7E44DA" w14:textId="77777777" w:rsidR="00397333" w:rsidRDefault="00397333">
      <w:pPr>
        <w:spacing w:line="276" w:lineRule="auto"/>
        <w:ind w:left="567" w:right="616"/>
        <w:jc w:val="both"/>
        <w:rPr>
          <w:rFonts w:ascii="Palatino Linotype" w:eastAsia="Palatino Linotype" w:hAnsi="Palatino Linotype" w:cs="Palatino Linotype"/>
          <w:i/>
          <w:sz w:val="22"/>
          <w:szCs w:val="22"/>
        </w:rPr>
      </w:pPr>
    </w:p>
    <w:p w14:paraId="1D241C90" w14:textId="77777777" w:rsidR="00397333" w:rsidRDefault="00B169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Pr>
          <w:rFonts w:ascii="Palatino Linotype" w:eastAsia="Palatino Linotype" w:hAnsi="Palatino Linotype" w:cs="Palatino Linotype"/>
          <w:i/>
          <w:sz w:val="22"/>
          <w:szCs w:val="22"/>
        </w:rPr>
        <w:t>.” (Sic)</w:t>
      </w:r>
    </w:p>
    <w:p w14:paraId="0D689117" w14:textId="77777777" w:rsidR="00397333" w:rsidRDefault="00397333">
      <w:pPr>
        <w:spacing w:line="360" w:lineRule="auto"/>
        <w:ind w:right="-93"/>
        <w:jc w:val="both"/>
        <w:rPr>
          <w:rFonts w:ascii="Palatino Linotype" w:eastAsia="Palatino Linotype" w:hAnsi="Palatino Linotype" w:cs="Palatino Linotype"/>
          <w:color w:val="000000"/>
        </w:rPr>
      </w:pPr>
    </w:p>
    <w:p w14:paraId="7F92CB7C" w14:textId="77777777" w:rsidR="00397333" w:rsidRDefault="00B16908">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w:t>
      </w:r>
      <w:r>
        <w:rPr>
          <w:rFonts w:ascii="Palatino Linotype" w:eastAsia="Palatino Linotype" w:hAnsi="Palatino Linotype" w:cs="Palatino Linotype"/>
          <w:color w:val="000000"/>
        </w:rPr>
        <w:lastRenderedPageBreak/>
        <w:t xml:space="preserve">procedimientos para obtenerla, calcular y practicar investigaciones; en otras palabras, que los Sujetos Obligados </w:t>
      </w:r>
      <w:r>
        <w:rPr>
          <w:rFonts w:ascii="Palatino Linotype" w:eastAsia="Palatino Linotype" w:hAnsi="Palatino Linotype" w:cs="Palatino Linotype"/>
        </w:rPr>
        <w:t>sólo</w:t>
      </w:r>
      <w:r>
        <w:rPr>
          <w:rFonts w:ascii="Palatino Linotype" w:eastAsia="Palatino Linotype" w:hAnsi="Palatino Linotype" w:cs="Palatino Linotype"/>
          <w:color w:val="000000"/>
        </w:rPr>
        <w:t xml:space="preserve"> se </w:t>
      </w:r>
      <w:r>
        <w:rPr>
          <w:rFonts w:ascii="Palatino Linotype" w:eastAsia="Palatino Linotype" w:hAnsi="Palatino Linotype" w:cs="Palatino Linotype"/>
        </w:rPr>
        <w:t>concretarán</w:t>
      </w:r>
      <w:r>
        <w:rPr>
          <w:rFonts w:ascii="Palatino Linotype" w:eastAsia="Palatino Linotype" w:hAnsi="Palatino Linotype" w:cs="Palatino Linotype"/>
          <w:color w:val="000000"/>
        </w:rPr>
        <w:t xml:space="preserve"> a proporcionar la información solicitada que tengan en su poder en el estado que se encuentran, sin necesidad de concretarse al interés o términos específicos del solicitante.</w:t>
      </w:r>
    </w:p>
    <w:p w14:paraId="3D9553BA" w14:textId="77777777" w:rsidR="00397333" w:rsidRDefault="00397333">
      <w:pPr>
        <w:spacing w:line="360" w:lineRule="auto"/>
        <w:ind w:right="-93"/>
        <w:jc w:val="both"/>
        <w:rPr>
          <w:rFonts w:ascii="Palatino Linotype" w:eastAsia="Palatino Linotype" w:hAnsi="Palatino Linotype" w:cs="Palatino Linotype"/>
          <w:color w:val="000000"/>
        </w:rPr>
      </w:pPr>
    </w:p>
    <w:p w14:paraId="24B9CDD4" w14:textId="77777777" w:rsidR="00397333" w:rsidRDefault="00B16908">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color w:val="000000"/>
        </w:rPr>
        <w:t xml:space="preserve"> </w:t>
      </w:r>
    </w:p>
    <w:p w14:paraId="071A0DE5" w14:textId="77777777" w:rsidR="00397333" w:rsidRDefault="00397333">
      <w:pPr>
        <w:spacing w:line="276" w:lineRule="auto"/>
        <w:ind w:left="851" w:right="850"/>
        <w:jc w:val="both"/>
        <w:rPr>
          <w:rFonts w:ascii="Palatino Linotype" w:eastAsia="Palatino Linotype" w:hAnsi="Palatino Linotype" w:cs="Palatino Linotype"/>
          <w:color w:val="000000"/>
        </w:rPr>
      </w:pPr>
    </w:p>
    <w:p w14:paraId="0D93AF6F" w14:textId="77777777" w:rsidR="00397333" w:rsidRDefault="00B16908">
      <w:pPr>
        <w:spacing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5BDF35D" w14:textId="77777777" w:rsidR="00397333" w:rsidRDefault="00397333">
      <w:pPr>
        <w:spacing w:line="360" w:lineRule="auto"/>
        <w:ind w:right="-93"/>
        <w:jc w:val="both"/>
        <w:rPr>
          <w:rFonts w:ascii="Palatino Linotype" w:eastAsia="Palatino Linotype" w:hAnsi="Palatino Linotype" w:cs="Palatino Linotype"/>
          <w:color w:val="000000"/>
        </w:rPr>
      </w:pPr>
    </w:p>
    <w:p w14:paraId="132E1FEA" w14:textId="77777777" w:rsidR="00397333" w:rsidRDefault="00B16908">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B8B017D" w14:textId="77777777" w:rsidR="00397333" w:rsidRDefault="00397333">
      <w:pPr>
        <w:spacing w:line="360" w:lineRule="auto"/>
        <w:jc w:val="both"/>
        <w:rPr>
          <w:rFonts w:ascii="Palatino Linotype" w:eastAsia="Palatino Linotype" w:hAnsi="Palatino Linotype" w:cs="Palatino Linotype"/>
          <w:color w:val="000000"/>
        </w:rPr>
      </w:pPr>
    </w:p>
    <w:p w14:paraId="4EC4FC10" w14:textId="77777777" w:rsidR="00397333" w:rsidRDefault="00B1690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06E221" w14:textId="77777777" w:rsidR="00397333" w:rsidRDefault="00397333">
      <w:pPr>
        <w:spacing w:line="360" w:lineRule="auto"/>
        <w:ind w:right="49"/>
        <w:jc w:val="both"/>
        <w:rPr>
          <w:rFonts w:ascii="Palatino Linotype" w:eastAsia="Palatino Linotype" w:hAnsi="Palatino Linotype" w:cs="Palatino Linotype"/>
        </w:rPr>
      </w:pPr>
    </w:p>
    <w:p w14:paraId="011DF08C" w14:textId="77777777" w:rsidR="00397333" w:rsidRDefault="00B1690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4A1D557" w14:textId="77777777" w:rsidR="00397333" w:rsidRDefault="00397333">
      <w:pPr>
        <w:spacing w:line="360" w:lineRule="auto"/>
        <w:ind w:left="851" w:right="899"/>
        <w:jc w:val="both"/>
        <w:rPr>
          <w:rFonts w:ascii="Palatino Linotype" w:eastAsia="Palatino Linotype" w:hAnsi="Palatino Linotype" w:cs="Palatino Linotype"/>
          <w:i/>
          <w:sz w:val="22"/>
          <w:szCs w:val="22"/>
        </w:rPr>
      </w:pPr>
    </w:p>
    <w:p w14:paraId="7F826A6E" w14:textId="77777777" w:rsidR="00397333" w:rsidRDefault="00B16908">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493A050E" w14:textId="77777777" w:rsidR="00397333" w:rsidRDefault="00B16908">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1E0D71B" w14:textId="77777777" w:rsidR="00397333" w:rsidRDefault="00B16908">
      <w:pPr>
        <w:spacing w:line="276" w:lineRule="auto"/>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Pr>
          <w:rFonts w:ascii="Palatino Linotype" w:eastAsia="Palatino Linotype" w:hAnsi="Palatino Linotype" w:cs="Palatino Linotype"/>
          <w:i/>
          <w:color w:val="000000"/>
          <w:sz w:val="22"/>
          <w:szCs w:val="22"/>
        </w:rPr>
        <w:lastRenderedPageBreak/>
        <w:t>o fecha de elaboración. Los documentos podrán estar en cualquier medio, sea escrito, impreso, sonoro, visual, electrónico, informático u holográfico…” (Sic)</w:t>
      </w:r>
    </w:p>
    <w:p w14:paraId="39A90BAA" w14:textId="77777777" w:rsidR="00397333" w:rsidRDefault="00397333">
      <w:pPr>
        <w:spacing w:line="360" w:lineRule="auto"/>
        <w:ind w:left="851" w:right="899"/>
        <w:jc w:val="both"/>
        <w:rPr>
          <w:rFonts w:ascii="Palatino Linotype" w:eastAsia="Palatino Linotype" w:hAnsi="Palatino Linotype" w:cs="Palatino Linotype"/>
          <w:sz w:val="22"/>
          <w:szCs w:val="22"/>
        </w:rPr>
      </w:pPr>
    </w:p>
    <w:p w14:paraId="25313EF8" w14:textId="77777777" w:rsidR="00397333" w:rsidRDefault="00B1690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D496B23" w14:textId="77777777" w:rsidR="00BB3E37" w:rsidRDefault="00BB3E37">
      <w:pPr>
        <w:spacing w:line="360" w:lineRule="auto"/>
        <w:ind w:left="851" w:right="899"/>
        <w:jc w:val="both"/>
        <w:rPr>
          <w:rFonts w:ascii="Palatino Linotype" w:eastAsia="Palatino Linotype" w:hAnsi="Palatino Linotype" w:cs="Palatino Linotype"/>
        </w:rPr>
      </w:pPr>
    </w:p>
    <w:p w14:paraId="349FFCA6" w14:textId="77777777" w:rsidR="00397333" w:rsidRDefault="00B16908">
      <w:pPr>
        <w:spacing w:line="276" w:lineRule="auto"/>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78AC4B89" w14:textId="77777777" w:rsidR="00397333" w:rsidRDefault="00B16908">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DAC1CE" w14:textId="77777777" w:rsidR="00397333" w:rsidRDefault="00B16908">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749B933" w14:textId="77777777" w:rsidR="00397333" w:rsidRDefault="00B16908">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252D0AA" w14:textId="77777777" w:rsidR="00397333" w:rsidRDefault="00B16908">
      <w:pPr>
        <w:spacing w:line="276" w:lineRule="auto"/>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E1BDC40" w14:textId="77777777" w:rsidR="00397333" w:rsidRDefault="00B16908">
      <w:pPr>
        <w:spacing w:line="276" w:lineRule="auto"/>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0DDD82EE" w14:textId="77777777" w:rsidR="00397333" w:rsidRDefault="00397333">
      <w:pPr>
        <w:spacing w:line="360" w:lineRule="auto"/>
        <w:jc w:val="both"/>
        <w:rPr>
          <w:rFonts w:ascii="Palatino Linotype" w:eastAsia="Palatino Linotype" w:hAnsi="Palatino Linotype" w:cs="Palatino Linotype"/>
        </w:rPr>
      </w:pPr>
    </w:p>
    <w:p w14:paraId="05F4ABB9" w14:textId="77777777" w:rsidR="00397333" w:rsidRDefault="00B1690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Dicho lo anterior, es de destacar que la pretensión del ahora Recurrente es obtener la siguiente información: </w:t>
      </w:r>
    </w:p>
    <w:p w14:paraId="166C81B8" w14:textId="77777777" w:rsidR="00397333" w:rsidRDefault="00397333">
      <w:pPr>
        <w:spacing w:line="360" w:lineRule="auto"/>
        <w:ind w:right="49"/>
        <w:jc w:val="both"/>
        <w:rPr>
          <w:rFonts w:ascii="Palatino Linotype" w:eastAsia="Palatino Linotype" w:hAnsi="Palatino Linotype" w:cs="Palatino Linotype"/>
          <w:i/>
          <w:color w:val="000000"/>
          <w:sz w:val="22"/>
          <w:szCs w:val="22"/>
        </w:rPr>
      </w:pPr>
    </w:p>
    <w:p w14:paraId="77A842E3" w14:textId="69ED0924" w:rsidR="00216A2B" w:rsidRDefault="00216A2B" w:rsidP="00216A2B">
      <w:pPr>
        <w:pStyle w:val="Prrafodelista"/>
        <w:spacing w:line="360" w:lineRule="auto"/>
        <w:ind w:left="567" w:right="49"/>
        <w:jc w:val="both"/>
        <w:rPr>
          <w:rFonts w:ascii="Palatino Linotype" w:hAnsi="Palatino Linotype"/>
          <w:b/>
          <w:szCs w:val="14"/>
        </w:rPr>
      </w:pPr>
      <w:r>
        <w:rPr>
          <w:rFonts w:ascii="Palatino Linotype" w:hAnsi="Palatino Linotype"/>
          <w:b/>
          <w:szCs w:val="14"/>
        </w:rPr>
        <w:t xml:space="preserve">De la empresa EROAGUA (fiscales del agua </w:t>
      </w:r>
      <w:proofErr w:type="spellStart"/>
      <w:r>
        <w:rPr>
          <w:rFonts w:ascii="Palatino Linotype" w:hAnsi="Palatino Linotype"/>
          <w:b/>
          <w:szCs w:val="14"/>
        </w:rPr>
        <w:t>mex</w:t>
      </w:r>
      <w:proofErr w:type="spellEnd"/>
      <w:r>
        <w:rPr>
          <w:rFonts w:ascii="Palatino Linotype" w:hAnsi="Palatino Linotype"/>
          <w:b/>
          <w:szCs w:val="14"/>
        </w:rPr>
        <w:t xml:space="preserve"> s.a. de </w:t>
      </w:r>
      <w:proofErr w:type="spellStart"/>
      <w:r>
        <w:rPr>
          <w:rFonts w:ascii="Palatino Linotype" w:hAnsi="Palatino Linotype"/>
          <w:b/>
          <w:szCs w:val="14"/>
        </w:rPr>
        <w:t>c.v.</w:t>
      </w:r>
      <w:proofErr w:type="spellEnd"/>
      <w:r>
        <w:rPr>
          <w:rFonts w:ascii="Palatino Linotype" w:hAnsi="Palatino Linotype"/>
          <w:b/>
          <w:szCs w:val="14"/>
        </w:rPr>
        <w:t xml:space="preserve">) </w:t>
      </w:r>
    </w:p>
    <w:p w14:paraId="4584AC74" w14:textId="77777777" w:rsidR="00216A2B" w:rsidRPr="00216A2B" w:rsidRDefault="00216A2B" w:rsidP="00216A2B">
      <w:pPr>
        <w:pStyle w:val="Prrafodelista"/>
        <w:spacing w:line="360" w:lineRule="auto"/>
        <w:ind w:left="567" w:right="49"/>
        <w:jc w:val="both"/>
        <w:rPr>
          <w:rFonts w:ascii="Palatino Linotype" w:hAnsi="Palatino Linotype"/>
          <w:b/>
          <w:szCs w:val="14"/>
        </w:rPr>
      </w:pPr>
    </w:p>
    <w:p w14:paraId="6FC9E4E2" w14:textId="77777777" w:rsidR="00216A2B" w:rsidRPr="00216A2B" w:rsidRDefault="00216A2B" w:rsidP="00216A2B">
      <w:pPr>
        <w:pStyle w:val="Prrafodelista"/>
        <w:numPr>
          <w:ilvl w:val="0"/>
          <w:numId w:val="15"/>
        </w:numPr>
        <w:tabs>
          <w:tab w:val="left" w:pos="851"/>
        </w:tabs>
        <w:spacing w:line="360" w:lineRule="auto"/>
        <w:ind w:left="567" w:right="49" w:firstLine="0"/>
        <w:jc w:val="both"/>
        <w:rPr>
          <w:rFonts w:ascii="Palatino Linotype" w:eastAsia="Palatino Linotype" w:hAnsi="Palatino Linotype" w:cs="Palatino Linotype"/>
          <w:b/>
          <w:sz w:val="24"/>
        </w:rPr>
      </w:pPr>
      <w:r>
        <w:rPr>
          <w:rFonts w:ascii="Palatino Linotype" w:hAnsi="Palatino Linotype"/>
          <w:b/>
          <w:szCs w:val="14"/>
        </w:rPr>
        <w:t>M</w:t>
      </w:r>
      <w:r w:rsidRPr="00216A2B">
        <w:rPr>
          <w:rFonts w:ascii="Palatino Linotype" w:hAnsi="Palatino Linotype"/>
          <w:b/>
          <w:szCs w:val="14"/>
        </w:rPr>
        <w:t>onto de sus servicios mensuales</w:t>
      </w:r>
      <w:r>
        <w:rPr>
          <w:rFonts w:ascii="Palatino Linotype" w:hAnsi="Palatino Linotype"/>
          <w:b/>
          <w:szCs w:val="14"/>
        </w:rPr>
        <w:t xml:space="preserve"> y en total a la fecha</w:t>
      </w:r>
    </w:p>
    <w:p w14:paraId="51408F8C" w14:textId="77777777" w:rsidR="00216A2B" w:rsidRPr="00216A2B" w:rsidRDefault="00216A2B" w:rsidP="00216A2B">
      <w:pPr>
        <w:pStyle w:val="Prrafodelista"/>
        <w:numPr>
          <w:ilvl w:val="0"/>
          <w:numId w:val="15"/>
        </w:numPr>
        <w:tabs>
          <w:tab w:val="left" w:pos="851"/>
        </w:tabs>
        <w:spacing w:line="360" w:lineRule="auto"/>
        <w:ind w:left="567" w:right="49" w:firstLine="0"/>
        <w:jc w:val="both"/>
        <w:rPr>
          <w:rFonts w:ascii="Palatino Linotype" w:eastAsia="Palatino Linotype" w:hAnsi="Palatino Linotype" w:cs="Palatino Linotype"/>
          <w:b/>
          <w:sz w:val="24"/>
        </w:rPr>
      </w:pPr>
      <w:r>
        <w:rPr>
          <w:rFonts w:ascii="Palatino Linotype" w:hAnsi="Palatino Linotype"/>
          <w:b/>
          <w:szCs w:val="14"/>
        </w:rPr>
        <w:t>M</w:t>
      </w:r>
      <w:r w:rsidRPr="00216A2B">
        <w:rPr>
          <w:rFonts w:ascii="Palatino Linotype" w:hAnsi="Palatino Linotype"/>
          <w:b/>
          <w:szCs w:val="14"/>
        </w:rPr>
        <w:t>onto de recuperación de su car</w:t>
      </w:r>
      <w:r>
        <w:rPr>
          <w:rFonts w:ascii="Palatino Linotype" w:hAnsi="Palatino Linotype"/>
          <w:b/>
          <w:szCs w:val="14"/>
        </w:rPr>
        <w:t>tera vencida hasta el momento</w:t>
      </w:r>
    </w:p>
    <w:p w14:paraId="6C2A68D1" w14:textId="4212284B" w:rsidR="00613B06" w:rsidRPr="00216A2B" w:rsidRDefault="00216A2B" w:rsidP="00216A2B">
      <w:pPr>
        <w:pStyle w:val="Prrafodelista"/>
        <w:numPr>
          <w:ilvl w:val="0"/>
          <w:numId w:val="15"/>
        </w:numPr>
        <w:tabs>
          <w:tab w:val="left" w:pos="851"/>
        </w:tabs>
        <w:spacing w:line="360" w:lineRule="auto"/>
        <w:ind w:left="567" w:right="49" w:firstLine="0"/>
        <w:jc w:val="both"/>
        <w:rPr>
          <w:rFonts w:ascii="Palatino Linotype" w:eastAsia="Palatino Linotype" w:hAnsi="Palatino Linotype" w:cs="Palatino Linotype"/>
          <w:b/>
          <w:sz w:val="24"/>
        </w:rPr>
      </w:pPr>
      <w:r>
        <w:rPr>
          <w:rFonts w:ascii="Palatino Linotype" w:hAnsi="Palatino Linotype"/>
          <w:b/>
          <w:szCs w:val="14"/>
        </w:rPr>
        <w:t>Monto total de su contrato.</w:t>
      </w:r>
    </w:p>
    <w:p w14:paraId="57B9119C" w14:textId="77777777" w:rsidR="00216A2B" w:rsidRPr="00613B06" w:rsidRDefault="00216A2B" w:rsidP="00216A2B">
      <w:pPr>
        <w:pStyle w:val="Prrafodelista"/>
        <w:spacing w:line="360" w:lineRule="auto"/>
        <w:ind w:left="840" w:right="49"/>
        <w:jc w:val="both"/>
        <w:rPr>
          <w:rFonts w:ascii="Palatino Linotype" w:eastAsia="Palatino Linotype" w:hAnsi="Palatino Linotype" w:cs="Palatino Linotype"/>
          <w:b/>
          <w:sz w:val="24"/>
        </w:rPr>
      </w:pPr>
    </w:p>
    <w:p w14:paraId="5EF5DD91" w14:textId="008C46F7" w:rsidR="00237EBD" w:rsidRDefault="00B1690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Sujeto </w:t>
      </w:r>
      <w:r w:rsidR="00216A2B">
        <w:rPr>
          <w:rFonts w:ascii="Palatino Linotype" w:eastAsia="Palatino Linotype" w:hAnsi="Palatino Linotype" w:cs="Palatino Linotype"/>
        </w:rPr>
        <w:t xml:space="preserve">Obligado, a través de su titular de la Unidad de Transparencia refirió que la relación contractual con la empresa señalada terminó el quince de julio de dos mil veintidós, sin embargo, los pagos de los servicios contratados se determinaban de acuerdo con los resultados obtenidos y de la cantidad recaudada, derivado de las gestiones que la empresa realizaba. </w:t>
      </w:r>
    </w:p>
    <w:p w14:paraId="0C53C024" w14:textId="77777777" w:rsidR="009A026A" w:rsidRDefault="009A026A">
      <w:pPr>
        <w:spacing w:line="360" w:lineRule="auto"/>
        <w:ind w:right="49"/>
        <w:jc w:val="both"/>
        <w:rPr>
          <w:rFonts w:ascii="Palatino Linotype" w:eastAsia="Palatino Linotype" w:hAnsi="Palatino Linotype" w:cs="Palatino Linotype"/>
        </w:rPr>
      </w:pPr>
    </w:p>
    <w:p w14:paraId="3D19EB33" w14:textId="6F8E4048" w:rsidR="00216A2B" w:rsidRDefault="00216A2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ello, el Particular se inconformó arguyendo que el Sujeto Obligado no había proporcionado las cifras respecto al tiempo que la empresa facturó al Organismo de Agua, por lo que, en consecuencia, mediante informe justificado, el Sujeto Obligado ratificó su respuesta inicial. </w:t>
      </w:r>
    </w:p>
    <w:p w14:paraId="395C9B83" w14:textId="77777777" w:rsidR="00A90D86" w:rsidRPr="00A90D86" w:rsidRDefault="00A90D86">
      <w:pPr>
        <w:spacing w:line="360" w:lineRule="auto"/>
        <w:ind w:right="49"/>
        <w:jc w:val="both"/>
        <w:rPr>
          <w:rFonts w:ascii="Palatino Linotype" w:hAnsi="Palatino Linotype"/>
        </w:rPr>
      </w:pPr>
    </w:p>
    <w:p w14:paraId="3E593B7C" w14:textId="004BD1FA" w:rsidR="006B1BA0" w:rsidRPr="00B27568" w:rsidRDefault="00D556A1" w:rsidP="00B2756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procede a contextualizar la información solicitada, para ello, es necesario traer a colación lo que establece la Ley del Agua del Estado de México y Municipios, la cual en relación con la prestación de agua de los municipios del Estado de México, contempla lo siguiente: </w:t>
      </w:r>
    </w:p>
    <w:p w14:paraId="4564DA92" w14:textId="77777777" w:rsidR="00D556A1" w:rsidRPr="00D556A1" w:rsidRDefault="00D556A1" w:rsidP="00D556A1">
      <w:pPr>
        <w:spacing w:line="276" w:lineRule="auto"/>
        <w:ind w:left="567" w:right="616"/>
        <w:jc w:val="both"/>
        <w:rPr>
          <w:rFonts w:ascii="Palatino Linotype" w:hAnsi="Palatino Linotype"/>
          <w:i/>
          <w:sz w:val="22"/>
        </w:rPr>
      </w:pPr>
      <w:r w:rsidRPr="00D556A1">
        <w:rPr>
          <w:rFonts w:ascii="Palatino Linotype" w:hAnsi="Palatino Linotype"/>
          <w:b/>
          <w:i/>
          <w:sz w:val="22"/>
        </w:rPr>
        <w:lastRenderedPageBreak/>
        <w:t>Artículo 34.-</w:t>
      </w:r>
      <w:r w:rsidRPr="00D556A1">
        <w:rPr>
          <w:rFonts w:ascii="Palatino Linotype" w:hAnsi="Palatino Linotype"/>
          <w:i/>
          <w:sz w:val="22"/>
        </w:rPr>
        <w:t xml:space="preserve"> Los municipios podrán prestar directamente los servicios a que se refiere la presente Ley, o bien por conducto de cualquiera de los siguientes prestadores de los servicios: </w:t>
      </w:r>
    </w:p>
    <w:p w14:paraId="32BD859D" w14:textId="77777777" w:rsidR="00D556A1" w:rsidRPr="00D556A1" w:rsidRDefault="00D556A1" w:rsidP="00D556A1">
      <w:pPr>
        <w:spacing w:line="276" w:lineRule="auto"/>
        <w:ind w:left="567" w:right="616"/>
        <w:jc w:val="both"/>
        <w:rPr>
          <w:rFonts w:ascii="Palatino Linotype" w:hAnsi="Palatino Linotype"/>
          <w:i/>
          <w:sz w:val="22"/>
        </w:rPr>
      </w:pPr>
    </w:p>
    <w:p w14:paraId="2BBBA7C3" w14:textId="77777777" w:rsidR="00D556A1" w:rsidRPr="00D556A1" w:rsidRDefault="00D556A1" w:rsidP="00D556A1">
      <w:pPr>
        <w:spacing w:line="276" w:lineRule="auto"/>
        <w:ind w:left="567" w:right="616"/>
        <w:jc w:val="both"/>
        <w:rPr>
          <w:rFonts w:ascii="Palatino Linotype" w:hAnsi="Palatino Linotype"/>
          <w:b/>
          <w:i/>
          <w:sz w:val="22"/>
          <w:u w:val="single"/>
        </w:rPr>
      </w:pPr>
      <w:r w:rsidRPr="00D556A1">
        <w:rPr>
          <w:rFonts w:ascii="Palatino Linotype" w:hAnsi="Palatino Linotype"/>
          <w:b/>
          <w:i/>
          <w:sz w:val="22"/>
          <w:u w:val="single"/>
        </w:rPr>
        <w:t xml:space="preserve">I. Organismos descentralizados municipales o intermunicipales, que serán los organismos operadores; </w:t>
      </w:r>
    </w:p>
    <w:p w14:paraId="2D83BE83" w14:textId="77777777" w:rsidR="00D556A1" w:rsidRPr="00D556A1" w:rsidRDefault="00D556A1" w:rsidP="00D556A1">
      <w:pPr>
        <w:spacing w:line="276" w:lineRule="auto"/>
        <w:ind w:left="567" w:right="616"/>
        <w:jc w:val="both"/>
        <w:rPr>
          <w:rFonts w:ascii="Palatino Linotype" w:hAnsi="Palatino Linotype"/>
          <w:i/>
          <w:sz w:val="22"/>
        </w:rPr>
      </w:pPr>
      <w:r w:rsidRPr="00D556A1">
        <w:rPr>
          <w:rFonts w:ascii="Palatino Linotype" w:hAnsi="Palatino Linotype"/>
          <w:i/>
          <w:sz w:val="22"/>
        </w:rPr>
        <w:t xml:space="preserve">II. La Comisión; o </w:t>
      </w:r>
    </w:p>
    <w:p w14:paraId="065013C3" w14:textId="77777777" w:rsidR="00D556A1" w:rsidRPr="00D556A1" w:rsidRDefault="00D556A1" w:rsidP="00D556A1">
      <w:pPr>
        <w:spacing w:line="276" w:lineRule="auto"/>
        <w:ind w:left="567" w:right="616"/>
        <w:jc w:val="both"/>
        <w:rPr>
          <w:rFonts w:ascii="Palatino Linotype" w:hAnsi="Palatino Linotype"/>
          <w:i/>
          <w:sz w:val="22"/>
        </w:rPr>
      </w:pPr>
      <w:r w:rsidRPr="00D556A1">
        <w:rPr>
          <w:rFonts w:ascii="Palatino Linotype" w:hAnsi="Palatino Linotype"/>
          <w:i/>
          <w:sz w:val="22"/>
        </w:rPr>
        <w:t xml:space="preserve">III. Personas jurídicas colectivas concesionarias. </w:t>
      </w:r>
    </w:p>
    <w:p w14:paraId="731C1244" w14:textId="77777777" w:rsidR="00D556A1" w:rsidRPr="00D556A1" w:rsidRDefault="00D556A1" w:rsidP="00D556A1">
      <w:pPr>
        <w:spacing w:line="276" w:lineRule="auto"/>
        <w:ind w:left="567" w:right="616"/>
        <w:jc w:val="both"/>
        <w:rPr>
          <w:rFonts w:ascii="Palatino Linotype" w:hAnsi="Palatino Linotype"/>
          <w:i/>
          <w:sz w:val="22"/>
        </w:rPr>
      </w:pPr>
    </w:p>
    <w:p w14:paraId="5DE4EED7" w14:textId="77777777" w:rsidR="00D556A1" w:rsidRDefault="00D556A1" w:rsidP="00D556A1">
      <w:pPr>
        <w:spacing w:line="276" w:lineRule="auto"/>
        <w:ind w:left="567" w:right="616"/>
        <w:jc w:val="both"/>
        <w:rPr>
          <w:rFonts w:ascii="Palatino Linotype" w:hAnsi="Palatino Linotype"/>
          <w:i/>
          <w:sz w:val="22"/>
        </w:rPr>
      </w:pPr>
      <w:r w:rsidRPr="00D556A1">
        <w:rPr>
          <w:rFonts w:ascii="Palatino Linotype" w:hAnsi="Palatino Linotype"/>
          <w:b/>
          <w:i/>
          <w:sz w:val="22"/>
        </w:rPr>
        <w:t>Artículo 101</w:t>
      </w:r>
      <w:r w:rsidRPr="00D556A1">
        <w:rPr>
          <w:rFonts w:ascii="Palatino Linotype" w:hAnsi="Palatino Linotype"/>
          <w:i/>
          <w:sz w:val="22"/>
        </w:rPr>
        <w:t xml:space="preserve">.- La Secretaría, la Comisión, los municipios y los organismos operadores, bajo las modalidades y condiciones previstas en la presente Ley, su Reglamento y demás normatividad aplicable, promoverán la participación de los sectores social y privado en: </w:t>
      </w:r>
    </w:p>
    <w:p w14:paraId="7BC726D9" w14:textId="77777777" w:rsidR="00D556A1" w:rsidRDefault="00D556A1" w:rsidP="00D556A1">
      <w:pPr>
        <w:spacing w:line="276" w:lineRule="auto"/>
        <w:ind w:left="567" w:right="616"/>
        <w:jc w:val="both"/>
        <w:rPr>
          <w:rFonts w:ascii="Palatino Linotype" w:hAnsi="Palatino Linotype"/>
          <w:i/>
          <w:sz w:val="22"/>
        </w:rPr>
      </w:pPr>
    </w:p>
    <w:p w14:paraId="222A4420" w14:textId="77777777" w:rsidR="00D556A1" w:rsidRDefault="00D556A1" w:rsidP="00D556A1">
      <w:pPr>
        <w:spacing w:line="276" w:lineRule="auto"/>
        <w:ind w:left="567" w:right="616"/>
        <w:jc w:val="both"/>
        <w:rPr>
          <w:rFonts w:ascii="Palatino Linotype" w:hAnsi="Palatino Linotype"/>
          <w:i/>
          <w:sz w:val="22"/>
        </w:rPr>
      </w:pPr>
      <w:r w:rsidRPr="00D556A1">
        <w:rPr>
          <w:rFonts w:ascii="Palatino Linotype" w:hAnsi="Palatino Linotype"/>
          <w:i/>
          <w:sz w:val="22"/>
        </w:rPr>
        <w:t xml:space="preserve">I. La construcción de obras hidráulicas y proyectos relacionados con los servicios; </w:t>
      </w:r>
    </w:p>
    <w:p w14:paraId="505813B3" w14:textId="77777777" w:rsidR="00D556A1" w:rsidRDefault="00D556A1" w:rsidP="00D556A1">
      <w:pPr>
        <w:spacing w:line="276" w:lineRule="auto"/>
        <w:ind w:left="567" w:right="616"/>
        <w:jc w:val="both"/>
        <w:rPr>
          <w:rFonts w:ascii="Palatino Linotype" w:hAnsi="Palatino Linotype"/>
          <w:i/>
          <w:sz w:val="22"/>
        </w:rPr>
      </w:pPr>
      <w:r w:rsidRPr="00D556A1">
        <w:rPr>
          <w:rFonts w:ascii="Palatino Linotype" w:hAnsi="Palatino Linotype"/>
          <w:i/>
          <w:sz w:val="22"/>
        </w:rPr>
        <w:t>II. La administración, operación y mantenimiento total o parcial, de la infraestructura hidráulica destinada a la prestación de los servicios a que se refiere esta Ley;</w:t>
      </w:r>
    </w:p>
    <w:p w14:paraId="22E34D9E" w14:textId="77777777" w:rsidR="00D556A1" w:rsidRDefault="00D556A1" w:rsidP="00D556A1">
      <w:pPr>
        <w:spacing w:line="276" w:lineRule="auto"/>
        <w:ind w:left="567" w:right="616"/>
        <w:jc w:val="both"/>
        <w:rPr>
          <w:rFonts w:ascii="Palatino Linotype" w:hAnsi="Palatino Linotype"/>
          <w:i/>
          <w:sz w:val="22"/>
        </w:rPr>
      </w:pPr>
      <w:r w:rsidRPr="00D556A1">
        <w:rPr>
          <w:rFonts w:ascii="Palatino Linotype" w:hAnsi="Palatino Linotype"/>
          <w:i/>
          <w:sz w:val="22"/>
        </w:rPr>
        <w:t xml:space="preserve"> III. El financiamiento para la construcción, ampliación, rehabilitación, mantenimiento, conservación, operación y administración de obras hidráulicas; I</w:t>
      </w:r>
    </w:p>
    <w:p w14:paraId="16F5B42A" w14:textId="05256DF5" w:rsidR="00D556A1" w:rsidRPr="00D556A1" w:rsidRDefault="00D556A1" w:rsidP="00D556A1">
      <w:pPr>
        <w:spacing w:line="276" w:lineRule="auto"/>
        <w:ind w:left="567" w:right="616"/>
        <w:jc w:val="both"/>
        <w:rPr>
          <w:rFonts w:ascii="Palatino Linotype" w:hAnsi="Palatino Linotype"/>
          <w:i/>
          <w:sz w:val="22"/>
        </w:rPr>
      </w:pPr>
      <w:r w:rsidRPr="00D556A1">
        <w:rPr>
          <w:rFonts w:ascii="Palatino Linotype" w:hAnsi="Palatino Linotype"/>
          <w:i/>
          <w:sz w:val="22"/>
        </w:rPr>
        <w:t>V. La medición y cobranza de los servicios que prestan los prestadores de los servicios; y</w:t>
      </w:r>
    </w:p>
    <w:p w14:paraId="07F81564" w14:textId="77777777" w:rsidR="00D556A1" w:rsidRDefault="00D556A1" w:rsidP="00D556A1">
      <w:pPr>
        <w:spacing w:line="276" w:lineRule="auto"/>
        <w:ind w:left="567" w:right="616"/>
        <w:jc w:val="both"/>
        <w:rPr>
          <w:rFonts w:ascii="Palatino Linotype" w:hAnsi="Palatino Linotype"/>
          <w:i/>
          <w:sz w:val="22"/>
        </w:rPr>
      </w:pPr>
      <w:r w:rsidRPr="00D556A1">
        <w:rPr>
          <w:rFonts w:ascii="Palatino Linotype" w:hAnsi="Palatino Linotype"/>
          <w:i/>
          <w:sz w:val="22"/>
        </w:rPr>
        <w:t xml:space="preserve">V. El desarrollo de programas o aplicaciones de carácter tecnológico que permita el uso estratégico de tecnologías de la información dentro de los trámites y servicios que prestan la Secretaría, la Comisión, los municipios y los organismos operadores. </w:t>
      </w:r>
    </w:p>
    <w:p w14:paraId="798B850F" w14:textId="53595872" w:rsidR="00D556A1" w:rsidRPr="00D556A1" w:rsidRDefault="00D556A1" w:rsidP="00D556A1">
      <w:pPr>
        <w:spacing w:line="276" w:lineRule="auto"/>
        <w:ind w:left="567" w:right="616"/>
        <w:jc w:val="both"/>
        <w:rPr>
          <w:rFonts w:ascii="Palatino Linotype" w:hAnsi="Palatino Linotype"/>
          <w:i/>
          <w:sz w:val="22"/>
        </w:rPr>
      </w:pPr>
      <w:r w:rsidRPr="00D556A1">
        <w:rPr>
          <w:rFonts w:ascii="Palatino Linotype" w:hAnsi="Palatino Linotype"/>
          <w:i/>
          <w:sz w:val="22"/>
        </w:rPr>
        <w:t>VI. Las demás actividades que se convengan con la Comisión, los municipios y los organismos operadores, en el ámbito de sus respectivas competencias.</w:t>
      </w:r>
    </w:p>
    <w:p w14:paraId="0FC367FB" w14:textId="77777777" w:rsidR="00D556A1" w:rsidRPr="00D556A1" w:rsidRDefault="00D556A1" w:rsidP="00D556A1">
      <w:pPr>
        <w:spacing w:line="276" w:lineRule="auto"/>
        <w:ind w:left="567" w:right="616"/>
        <w:jc w:val="both"/>
        <w:rPr>
          <w:rFonts w:ascii="Palatino Linotype" w:hAnsi="Palatino Linotype"/>
          <w:i/>
          <w:sz w:val="22"/>
        </w:rPr>
      </w:pPr>
    </w:p>
    <w:p w14:paraId="73A8ADED" w14:textId="4912D903" w:rsidR="00D556A1" w:rsidRPr="00D556A1" w:rsidRDefault="00D556A1" w:rsidP="00D556A1">
      <w:pPr>
        <w:spacing w:line="276" w:lineRule="auto"/>
        <w:ind w:left="567" w:right="616"/>
        <w:jc w:val="both"/>
        <w:rPr>
          <w:rFonts w:ascii="Palatino Linotype" w:eastAsia="Palatino Linotype" w:hAnsi="Palatino Linotype" w:cs="Palatino Linotype"/>
          <w:i/>
          <w:sz w:val="22"/>
        </w:rPr>
      </w:pPr>
      <w:r w:rsidRPr="00D556A1">
        <w:rPr>
          <w:rFonts w:ascii="Palatino Linotype" w:hAnsi="Palatino Linotype"/>
          <w:i/>
          <w:sz w:val="22"/>
        </w:rPr>
        <w:t>Cuando un municipio no tenga capacidad para prestar los servicios, podrá, previo acuerdo de cabildo aprobado por cuando menos las dos terceras partes de sus integrantes, convenir con la Comisión para que ésta, de manera temporal, los preste, en los términos de esta Ley, su Reglamento y otras disposiciones aplicables.</w:t>
      </w:r>
    </w:p>
    <w:p w14:paraId="7590BA8B" w14:textId="77777777" w:rsidR="00D556A1" w:rsidRDefault="00D556A1">
      <w:pPr>
        <w:spacing w:line="360" w:lineRule="auto"/>
        <w:jc w:val="both"/>
        <w:rPr>
          <w:rFonts w:ascii="Palatino Linotype" w:eastAsia="Palatino Linotype" w:hAnsi="Palatino Linotype" w:cs="Palatino Linotype"/>
        </w:rPr>
      </w:pPr>
    </w:p>
    <w:p w14:paraId="6CFEA300" w14:textId="19E031B2" w:rsidR="00B27568" w:rsidRDefault="00D556A1" w:rsidP="00D556A1">
      <w:pPr>
        <w:spacing w:line="360" w:lineRule="auto"/>
        <w:ind w:right="49"/>
        <w:jc w:val="both"/>
        <w:rPr>
          <w:rFonts w:ascii="Palatino Linotype" w:hAnsi="Palatino Linotype"/>
        </w:rPr>
      </w:pPr>
      <w:r>
        <w:rPr>
          <w:rFonts w:ascii="Palatino Linotype" w:eastAsia="Palatino Linotype" w:hAnsi="Palatino Linotype" w:cs="Palatino Linotype"/>
        </w:rPr>
        <w:t xml:space="preserve">De esto, se advierte </w:t>
      </w:r>
      <w:r w:rsidRPr="00D556A1">
        <w:rPr>
          <w:rFonts w:ascii="Palatino Linotype" w:eastAsia="Palatino Linotype" w:hAnsi="Palatino Linotype" w:cs="Palatino Linotype"/>
        </w:rPr>
        <w:t>que l</w:t>
      </w:r>
      <w:r w:rsidRPr="00D556A1">
        <w:rPr>
          <w:rFonts w:ascii="Palatino Linotype" w:hAnsi="Palatino Linotype"/>
        </w:rPr>
        <w:t xml:space="preserve">os municipios podrán prestar los servicios de agua, drenaje y saneamiento a través de organismos descentralizados, la comisión o personas </w:t>
      </w:r>
      <w:r w:rsidR="00B27568">
        <w:rPr>
          <w:rFonts w:ascii="Palatino Linotype" w:hAnsi="Palatino Linotype"/>
        </w:rPr>
        <w:lastRenderedPageBreak/>
        <w:t xml:space="preserve">concesionarias, quienes promoverán la participación de los sectores social y privado. </w:t>
      </w:r>
    </w:p>
    <w:p w14:paraId="23B96E92" w14:textId="3362EC66" w:rsidR="00D556A1" w:rsidRPr="00D556A1" w:rsidRDefault="00D556A1" w:rsidP="00550C9E">
      <w:pPr>
        <w:spacing w:line="360" w:lineRule="auto"/>
        <w:ind w:right="49"/>
        <w:jc w:val="both"/>
        <w:rPr>
          <w:rFonts w:ascii="Palatino Linotype" w:eastAsia="Palatino Linotype" w:hAnsi="Palatino Linotype" w:cs="Palatino Linotype"/>
        </w:rPr>
      </w:pPr>
      <w:r w:rsidRPr="00D556A1">
        <w:rPr>
          <w:rFonts w:ascii="Palatino Linotype" w:eastAsia="Palatino Linotype" w:hAnsi="Palatino Linotype" w:cs="Palatino Linotype"/>
        </w:rPr>
        <w:t xml:space="preserve"> </w:t>
      </w:r>
    </w:p>
    <w:p w14:paraId="2B0C17C8" w14:textId="77777777" w:rsidR="00550C9E" w:rsidRDefault="00550C9E" w:rsidP="00550C9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de conformidad con lo que establecen los artículos 26 y 27 de la Ley de Contratación Pública del Estado de México y Municipios, las adquisiciones, arrendamientos y servicios se adjudicarán a través de licitaciones públicas mediante convocatoria pública o bien, a través de las excepciones a dicho procedimiento, como se observa a continuación: </w:t>
      </w:r>
    </w:p>
    <w:p w14:paraId="09F91539" w14:textId="77777777" w:rsidR="00550C9E" w:rsidRPr="00550C9E" w:rsidRDefault="00550C9E" w:rsidP="00550C9E">
      <w:pPr>
        <w:spacing w:line="276" w:lineRule="auto"/>
        <w:ind w:left="567" w:right="560"/>
        <w:jc w:val="both"/>
        <w:rPr>
          <w:rFonts w:ascii="Palatino Linotype" w:eastAsia="Palatino Linotype" w:hAnsi="Palatino Linotype" w:cs="Palatino Linotype"/>
          <w:i/>
          <w:sz w:val="22"/>
        </w:rPr>
      </w:pPr>
    </w:p>
    <w:p w14:paraId="33AFDCB6" w14:textId="77777777" w:rsidR="00550C9E" w:rsidRPr="00550C9E" w:rsidRDefault="00550C9E" w:rsidP="00550C9E">
      <w:pPr>
        <w:spacing w:line="276" w:lineRule="auto"/>
        <w:ind w:left="567" w:right="560"/>
        <w:jc w:val="center"/>
        <w:rPr>
          <w:rFonts w:ascii="Palatino Linotype" w:hAnsi="Palatino Linotype"/>
          <w:b/>
          <w:i/>
          <w:sz w:val="22"/>
        </w:rPr>
      </w:pPr>
      <w:r w:rsidRPr="00550C9E">
        <w:rPr>
          <w:rFonts w:ascii="Palatino Linotype" w:hAnsi="Palatino Linotype"/>
          <w:b/>
          <w:i/>
          <w:sz w:val="22"/>
        </w:rPr>
        <w:t>LEY DE CONTRATACIÓN PÚBLICA DEL ESTADO DE MÉXICO Y MUNICIPIO</w:t>
      </w:r>
    </w:p>
    <w:p w14:paraId="7CB30403" w14:textId="77777777" w:rsidR="00550C9E" w:rsidRPr="00550C9E" w:rsidRDefault="00550C9E" w:rsidP="00550C9E">
      <w:pPr>
        <w:spacing w:line="276" w:lineRule="auto"/>
        <w:ind w:left="567" w:right="560"/>
        <w:jc w:val="both"/>
        <w:rPr>
          <w:rFonts w:ascii="Palatino Linotype" w:eastAsia="Palatino Linotype" w:hAnsi="Palatino Linotype" w:cs="Palatino Linotype"/>
          <w:i/>
          <w:sz w:val="22"/>
        </w:rPr>
      </w:pPr>
    </w:p>
    <w:p w14:paraId="7AADD562" w14:textId="77777777" w:rsidR="00550C9E" w:rsidRPr="00550C9E" w:rsidRDefault="00550C9E" w:rsidP="00550C9E">
      <w:pPr>
        <w:spacing w:line="276" w:lineRule="auto"/>
        <w:ind w:left="567" w:right="560"/>
        <w:jc w:val="both"/>
        <w:rPr>
          <w:rFonts w:ascii="Palatino Linotype" w:hAnsi="Palatino Linotype"/>
          <w:i/>
          <w:sz w:val="22"/>
        </w:rPr>
      </w:pPr>
      <w:r w:rsidRPr="00550C9E">
        <w:rPr>
          <w:rFonts w:ascii="Palatino Linotype" w:hAnsi="Palatino Linotype"/>
          <w:b/>
          <w:i/>
          <w:sz w:val="22"/>
        </w:rPr>
        <w:t>Artículo 26.-</w:t>
      </w:r>
      <w:r w:rsidRPr="00550C9E">
        <w:rPr>
          <w:rFonts w:ascii="Palatino Linotype" w:hAnsi="Palatino Linotype"/>
          <w:i/>
          <w:sz w:val="22"/>
        </w:rPr>
        <w:t xml:space="preserve"> Las adquisiciones, arrendamientos y servicios se adjudicarán a través de licitaciones públicas, mediante convocatoria pública. </w:t>
      </w:r>
    </w:p>
    <w:p w14:paraId="79DFF8D3" w14:textId="77777777" w:rsidR="00550C9E" w:rsidRPr="00550C9E" w:rsidRDefault="00550C9E" w:rsidP="00550C9E">
      <w:pPr>
        <w:spacing w:line="276" w:lineRule="auto"/>
        <w:ind w:left="567" w:right="560"/>
        <w:jc w:val="both"/>
        <w:rPr>
          <w:rFonts w:ascii="Palatino Linotype" w:hAnsi="Palatino Linotype"/>
          <w:i/>
          <w:sz w:val="22"/>
        </w:rPr>
      </w:pPr>
    </w:p>
    <w:p w14:paraId="2059A9F8" w14:textId="77777777" w:rsidR="00550C9E" w:rsidRPr="00550C9E" w:rsidRDefault="00550C9E" w:rsidP="00550C9E">
      <w:pPr>
        <w:spacing w:line="276" w:lineRule="auto"/>
        <w:ind w:left="567" w:right="560"/>
        <w:jc w:val="both"/>
        <w:rPr>
          <w:rFonts w:ascii="Palatino Linotype" w:hAnsi="Palatino Linotype"/>
          <w:i/>
          <w:sz w:val="22"/>
        </w:rPr>
      </w:pPr>
      <w:r w:rsidRPr="00550C9E">
        <w:rPr>
          <w:rFonts w:ascii="Palatino Linotype" w:hAnsi="Palatino Linotype"/>
          <w:b/>
          <w:i/>
          <w:sz w:val="22"/>
        </w:rPr>
        <w:t>Artículo 27.-</w:t>
      </w:r>
      <w:r w:rsidRPr="00550C9E">
        <w:rPr>
          <w:rFonts w:ascii="Palatino Linotype" w:hAnsi="Palatino Linotype"/>
          <w:i/>
          <w:sz w:val="22"/>
        </w:rPr>
        <w:t xml:space="preserve"> La Secretaría, las entidades, los tribunales administrativos y los ayuntamientos podrán adjudicar adquisiciones, arrendamientos y servicios, mediante las excepciones al procedimiento de licitación que a continuación se señalan: I. Invitación restringida. II. Adjudicación directa.</w:t>
      </w:r>
    </w:p>
    <w:p w14:paraId="2ADA578D" w14:textId="77777777" w:rsidR="00550C9E" w:rsidRPr="00186656" w:rsidRDefault="00550C9E" w:rsidP="00E22C26">
      <w:pPr>
        <w:spacing w:line="360" w:lineRule="auto"/>
        <w:ind w:left="567" w:right="560"/>
        <w:jc w:val="both"/>
        <w:rPr>
          <w:rFonts w:ascii="Palatino Linotype" w:eastAsia="Palatino Linotype" w:hAnsi="Palatino Linotype" w:cs="Palatino Linotype"/>
          <w:i/>
        </w:rPr>
      </w:pPr>
    </w:p>
    <w:p w14:paraId="155D8881" w14:textId="77777777" w:rsidR="00550C9E" w:rsidRDefault="00550C9E" w:rsidP="00550C9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Respecto al procedimiento de </w:t>
      </w:r>
      <w:r w:rsidRPr="00E55338">
        <w:rPr>
          <w:rFonts w:ascii="Palatino Linotype" w:eastAsia="Palatino Linotype" w:hAnsi="Palatino Linotype" w:cs="Palatino Linotype"/>
          <w:b/>
        </w:rPr>
        <w:t>licitación pública</w:t>
      </w:r>
      <w:r>
        <w:rPr>
          <w:rFonts w:ascii="Palatino Linotype" w:eastAsia="Palatino Linotype" w:hAnsi="Palatino Linotype" w:cs="Palatino Linotype"/>
        </w:rPr>
        <w:t xml:space="preserve">, es de mencionar que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w:t>
      </w:r>
      <w:sdt>
        <w:sdtPr>
          <w:rPr>
            <w:rFonts w:ascii="Palatino Linotype" w:eastAsia="Palatino Linotype" w:hAnsi="Palatino Linotype" w:cs="Palatino Linotype"/>
          </w:rPr>
          <w:id w:val="1984117713"/>
          <w:citation/>
        </w:sdtPr>
        <w:sdtEndPr/>
        <w:sdtContent>
          <w:r>
            <w:rPr>
              <w:rFonts w:ascii="Palatino Linotype" w:eastAsia="Palatino Linotype" w:hAnsi="Palatino Linotype" w:cs="Palatino Linotype"/>
            </w:rPr>
            <w:fldChar w:fldCharType="begin"/>
          </w:r>
          <w:r>
            <w:rPr>
              <w:rFonts w:ascii="Palatino Linotype" w:eastAsia="Palatino Linotype" w:hAnsi="Palatino Linotype" w:cs="Palatino Linotype"/>
            </w:rPr>
            <w:instrText xml:space="preserve"> CITATION Des95 \l 2058 </w:instrText>
          </w:r>
          <w:r>
            <w:rPr>
              <w:rFonts w:ascii="Palatino Linotype" w:eastAsia="Palatino Linotype" w:hAnsi="Palatino Linotype" w:cs="Palatino Linotype"/>
            </w:rPr>
            <w:fldChar w:fldCharType="separate"/>
          </w:r>
          <w:r w:rsidRPr="00E55338">
            <w:rPr>
              <w:rFonts w:ascii="Palatino Linotype" w:eastAsia="Palatino Linotype" w:hAnsi="Palatino Linotype" w:cs="Palatino Linotype"/>
              <w:noProof/>
            </w:rPr>
            <w:t>(Desarrollo, 1995)</w:t>
          </w:r>
          <w:r>
            <w:rPr>
              <w:rFonts w:ascii="Palatino Linotype" w:eastAsia="Palatino Linotype" w:hAnsi="Palatino Linotype" w:cs="Palatino Linotype"/>
            </w:rPr>
            <w:fldChar w:fldCharType="end"/>
          </w:r>
        </w:sdtContent>
      </w:sdt>
    </w:p>
    <w:p w14:paraId="404A6CE5" w14:textId="77777777" w:rsidR="00550C9E" w:rsidRDefault="00550C9E" w:rsidP="00550C9E">
      <w:pPr>
        <w:spacing w:line="360" w:lineRule="auto"/>
        <w:ind w:right="49"/>
        <w:jc w:val="both"/>
        <w:rPr>
          <w:rFonts w:ascii="Palatino Linotype" w:eastAsia="Palatino Linotype" w:hAnsi="Palatino Linotype" w:cs="Palatino Linotype"/>
        </w:rPr>
      </w:pPr>
    </w:p>
    <w:p w14:paraId="0240513B" w14:textId="200BA5EE" w:rsidR="00550C9E" w:rsidRDefault="00550C9E" w:rsidP="00550C9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cuando hace a la </w:t>
      </w:r>
      <w:r w:rsidRPr="00E55338">
        <w:rPr>
          <w:rFonts w:ascii="Palatino Linotype" w:eastAsia="Palatino Linotype" w:hAnsi="Palatino Linotype" w:cs="Palatino Linotype"/>
          <w:b/>
        </w:rPr>
        <w:t>adjudicación directa</w:t>
      </w:r>
      <w:r>
        <w:rPr>
          <w:rFonts w:ascii="Palatino Linotype" w:eastAsia="Palatino Linotype" w:hAnsi="Palatino Linotype" w:cs="Palatino Linotype"/>
        </w:rPr>
        <w:t xml:space="preserve">, la Secretaría de la Función Pública, </w:t>
      </w:r>
      <w:r w:rsidRPr="00550C9E">
        <w:rPr>
          <w:rFonts w:ascii="Palatino Linotype" w:eastAsia="Palatino Linotype" w:hAnsi="Palatino Linotype" w:cs="Palatino Linotype"/>
          <w:sz w:val="22"/>
        </w:rPr>
        <w:t xml:space="preserve">(consultable en </w:t>
      </w:r>
      <w:hyperlink r:id="rId9" w:history="1">
        <w:r w:rsidRPr="00550C9E">
          <w:rPr>
            <w:rStyle w:val="Hipervnculo"/>
            <w:rFonts w:ascii="Palatino Linotype" w:eastAsia="Palatino Linotype" w:hAnsi="Palatino Linotype" w:cs="Palatino Linotype"/>
            <w:sz w:val="22"/>
          </w:rPr>
          <w:t>https://www.gob.mx/sfp/acciones-y-programas/1-3-3-adjudicacion-directa</w:t>
        </w:r>
      </w:hyperlink>
      <w:r w:rsidRPr="00550C9E">
        <w:rPr>
          <w:rFonts w:ascii="Palatino Linotype" w:eastAsia="Palatino Linotype" w:hAnsi="Palatino Linotype" w:cs="Palatino Linotype"/>
          <w:sz w:val="22"/>
        </w:rPr>
        <w:t>)</w:t>
      </w:r>
      <w:r w:rsidRPr="00E55338">
        <w:rPr>
          <w:rFonts w:ascii="Palatino Linotype" w:eastAsia="Palatino Linotype" w:hAnsi="Palatino Linotype" w:cs="Palatino Linotype"/>
        </w:rPr>
        <w:t>,</w:t>
      </w:r>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establece</w:t>
      </w:r>
      <w:proofErr w:type="spellEnd"/>
      <w:r>
        <w:rPr>
          <w:rFonts w:ascii="Palatino Linotype" w:eastAsia="Palatino Linotype" w:hAnsi="Palatino Linotype" w:cs="Palatino Linotype"/>
        </w:rPr>
        <w:t xml:space="preserve"> que es un procedimiento que se realiza sin puesta en concurrencia y</w:t>
      </w:r>
      <w:r w:rsidR="00250736">
        <w:rPr>
          <w:rFonts w:ascii="Palatino Linotype" w:eastAsia="Palatino Linotype" w:hAnsi="Palatino Linotype" w:cs="Palatino Linotype"/>
        </w:rPr>
        <w:t>,</w:t>
      </w:r>
      <w:r>
        <w:rPr>
          <w:rFonts w:ascii="Palatino Linotype" w:eastAsia="Palatino Linotype" w:hAnsi="Palatino Linotype" w:cs="Palatino Linotype"/>
        </w:rPr>
        <w:t xml:space="preserve"> por ende, sin que exista competencia, adjudicándose el contrato a un proveedor que ha sido preseleccionado para tales efectos por la dependencia o entidad. </w:t>
      </w:r>
    </w:p>
    <w:p w14:paraId="7878F535" w14:textId="77777777" w:rsidR="00550C9E" w:rsidRDefault="00550C9E" w:rsidP="00550C9E">
      <w:pPr>
        <w:spacing w:line="360" w:lineRule="auto"/>
        <w:ind w:right="49"/>
        <w:jc w:val="both"/>
        <w:rPr>
          <w:rFonts w:ascii="Palatino Linotype" w:eastAsia="Palatino Linotype" w:hAnsi="Palatino Linotype" w:cs="Palatino Linotype"/>
        </w:rPr>
      </w:pPr>
    </w:p>
    <w:p w14:paraId="5363FBF9" w14:textId="77777777" w:rsidR="00550C9E" w:rsidRDefault="00550C9E" w:rsidP="00550C9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respecto a la </w:t>
      </w:r>
      <w:r>
        <w:rPr>
          <w:rFonts w:ascii="Palatino Linotype" w:eastAsia="Palatino Linotype" w:hAnsi="Palatino Linotype" w:cs="Palatino Linotype"/>
          <w:b/>
        </w:rPr>
        <w:t>invitación restringida a cuando menos tres proveedores</w:t>
      </w:r>
      <w:r>
        <w:rPr>
          <w:rFonts w:ascii="Palatino Linotype" w:eastAsia="Palatino Linotype" w:hAnsi="Palatino Linotype" w:cs="Palatino Linotype"/>
        </w:rPr>
        <w:t xml:space="preserve">, la Secretaría de la Contraloría </w:t>
      </w:r>
      <w:r w:rsidRPr="00550C9E">
        <w:rPr>
          <w:rFonts w:ascii="Palatino Linotype" w:eastAsia="Palatino Linotype" w:hAnsi="Palatino Linotype" w:cs="Palatino Linotype"/>
          <w:sz w:val="22"/>
        </w:rPr>
        <w:t xml:space="preserve">(consultable en </w:t>
      </w:r>
      <w:hyperlink r:id="rId10" w:anchor=":~:text=Es%20un%20procedimiento%20administrativo%2C%20de,tres%20oferentes%20a%20presentar%20propuestas%2C" w:history="1">
        <w:r w:rsidRPr="00550C9E">
          <w:rPr>
            <w:rStyle w:val="Hipervnculo"/>
            <w:rFonts w:ascii="Palatino Linotype" w:eastAsia="Palatino Linotype" w:hAnsi="Palatino Linotype" w:cs="Palatino Linotype"/>
            <w:sz w:val="22"/>
          </w:rPr>
          <w:t>http://www.contraloriadf.gob.mx/contraloria/cursos/ADQUISICIONES/paginas/32.php#:~:text=Es%20un%20procedimiento%20administrativo%2C%20de,tres%20oferentes%20a%20presentar%20propuestas%2C</w:t>
        </w:r>
      </w:hyperlink>
      <w:r w:rsidRPr="00550C9E">
        <w:rPr>
          <w:rFonts w:ascii="Palatino Linotype" w:eastAsia="Palatino Linotype" w:hAnsi="Palatino Linotype" w:cs="Palatino Linotype"/>
          <w:sz w:val="22"/>
        </w:rPr>
        <w:t xml:space="preserve">) </w:t>
      </w:r>
      <w:r>
        <w:rPr>
          <w:rFonts w:ascii="Palatino Linotype" w:eastAsia="Palatino Linotype" w:hAnsi="Palatino Linotype" w:cs="Palatino Linotype"/>
        </w:rPr>
        <w:t>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14:paraId="3DC66AD4" w14:textId="77777777" w:rsidR="00550C9E" w:rsidRDefault="00550C9E" w:rsidP="00550C9E">
      <w:pPr>
        <w:spacing w:line="360" w:lineRule="auto"/>
        <w:ind w:right="49"/>
        <w:jc w:val="both"/>
        <w:rPr>
          <w:rFonts w:ascii="Palatino Linotype" w:eastAsia="Palatino Linotype" w:hAnsi="Palatino Linotype" w:cs="Palatino Linotype"/>
        </w:rPr>
      </w:pPr>
    </w:p>
    <w:p w14:paraId="64C958D7" w14:textId="68289954" w:rsidR="00550C9E" w:rsidRDefault="00550C9E" w:rsidP="001219E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w:t>
      </w:r>
      <w:r w:rsidR="001219ED">
        <w:rPr>
          <w:rFonts w:ascii="Palatino Linotype" w:eastAsia="Palatino Linotype" w:hAnsi="Palatino Linotype" w:cs="Palatino Linotype"/>
        </w:rPr>
        <w:t xml:space="preserve">hora bien, es de precisar que de conformidad con el Manual de Organización del Organismo Público Descentralizado, por servicio de carácter municipal, denominado agua y saneamiento de Toluca, se establece como atribuciones para sus unidades administrativas, las siguientes: </w:t>
      </w:r>
    </w:p>
    <w:p w14:paraId="60779F56" w14:textId="77777777" w:rsidR="001219ED" w:rsidRDefault="001219ED" w:rsidP="001219ED">
      <w:pPr>
        <w:spacing w:line="360" w:lineRule="auto"/>
        <w:ind w:right="49"/>
        <w:jc w:val="both"/>
        <w:rPr>
          <w:rFonts w:ascii="Palatino Linotype" w:eastAsia="Palatino Linotype" w:hAnsi="Palatino Linotype" w:cs="Palatino Linotype"/>
        </w:rPr>
      </w:pPr>
    </w:p>
    <w:p w14:paraId="35342069" w14:textId="0EBBEDCC" w:rsidR="00F8158E" w:rsidRPr="00F8158E" w:rsidRDefault="001219ED" w:rsidP="00F8158E">
      <w:pPr>
        <w:spacing w:line="276" w:lineRule="auto"/>
        <w:ind w:left="567" w:right="900"/>
        <w:jc w:val="center"/>
        <w:rPr>
          <w:rFonts w:ascii="Palatino Linotype" w:hAnsi="Palatino Linotype"/>
          <w:b/>
          <w:i/>
          <w:sz w:val="22"/>
        </w:rPr>
      </w:pPr>
      <w:r w:rsidRPr="00F8158E">
        <w:rPr>
          <w:rFonts w:ascii="Palatino Linotype" w:hAnsi="Palatino Linotype"/>
          <w:b/>
          <w:i/>
          <w:sz w:val="22"/>
        </w:rPr>
        <w:t>Unidad de Auditoría Financiera, Administrativa y de Obra</w:t>
      </w:r>
    </w:p>
    <w:p w14:paraId="5337621E" w14:textId="77777777" w:rsidR="00F8158E" w:rsidRDefault="00F8158E" w:rsidP="00F8158E">
      <w:pPr>
        <w:spacing w:line="276" w:lineRule="auto"/>
        <w:ind w:left="567" w:right="900"/>
        <w:jc w:val="both"/>
        <w:rPr>
          <w:rFonts w:ascii="Palatino Linotype" w:hAnsi="Palatino Linotype"/>
          <w:i/>
          <w:sz w:val="22"/>
        </w:rPr>
      </w:pPr>
    </w:p>
    <w:p w14:paraId="788F2BB7" w14:textId="2BCC2F17" w:rsidR="001219ED" w:rsidRPr="00F8158E" w:rsidRDefault="001219ED" w:rsidP="00F8158E">
      <w:pPr>
        <w:spacing w:line="276" w:lineRule="auto"/>
        <w:ind w:left="567" w:right="900"/>
        <w:jc w:val="both"/>
        <w:rPr>
          <w:rFonts w:ascii="Palatino Linotype" w:hAnsi="Palatino Linotype"/>
          <w:i/>
          <w:sz w:val="22"/>
        </w:rPr>
      </w:pPr>
      <w:r w:rsidRPr="00F8158E">
        <w:rPr>
          <w:rFonts w:ascii="Palatino Linotype" w:hAnsi="Palatino Linotype"/>
          <w:b/>
          <w:i/>
          <w:sz w:val="22"/>
        </w:rPr>
        <w:t>Objetivo:</w:t>
      </w:r>
      <w:r w:rsidRPr="00F8158E">
        <w:rPr>
          <w:rFonts w:ascii="Palatino Linotype" w:hAnsi="Palatino Linotype"/>
          <w:i/>
          <w:sz w:val="22"/>
        </w:rPr>
        <w:t xml:space="preserve"> Vigilar el cumplimiento de la normatividad aplicable en el manejo de los recursos financieros, humanos y materiales, así como en la programación, </w:t>
      </w:r>
      <w:r w:rsidRPr="00F8158E">
        <w:rPr>
          <w:rFonts w:ascii="Palatino Linotype" w:hAnsi="Palatino Linotype"/>
          <w:i/>
          <w:sz w:val="22"/>
        </w:rPr>
        <w:lastRenderedPageBreak/>
        <w:t>presupuestación, adjudicación, contratación, ejecución y control de la obra pública y servicios relacionados con la misma, a través de la implementación de un sistema de control y evaluación que permita el uso eficiente y racional del patrimonio del Organismo, realizando para tal efecto auditorías, evaluaciones, acciones de control y la promoción de la participación ciudadana.</w:t>
      </w:r>
    </w:p>
    <w:p w14:paraId="50F91150" w14:textId="77777777" w:rsidR="001219ED" w:rsidRPr="00F8158E" w:rsidRDefault="001219ED" w:rsidP="00F8158E">
      <w:pPr>
        <w:spacing w:line="276" w:lineRule="auto"/>
        <w:ind w:left="567" w:right="900"/>
        <w:jc w:val="both"/>
        <w:rPr>
          <w:rFonts w:ascii="Palatino Linotype" w:hAnsi="Palatino Linotype"/>
          <w:i/>
          <w:sz w:val="22"/>
        </w:rPr>
      </w:pPr>
    </w:p>
    <w:p w14:paraId="5A9E56DE" w14:textId="0996F3EA" w:rsidR="00F8158E" w:rsidRDefault="001219ED" w:rsidP="00F8158E">
      <w:pPr>
        <w:spacing w:line="276" w:lineRule="auto"/>
        <w:ind w:left="567" w:right="900"/>
        <w:jc w:val="center"/>
        <w:rPr>
          <w:rFonts w:ascii="Palatino Linotype" w:hAnsi="Palatino Linotype"/>
          <w:b/>
          <w:i/>
          <w:sz w:val="22"/>
        </w:rPr>
      </w:pPr>
      <w:r w:rsidRPr="00F8158E">
        <w:rPr>
          <w:rFonts w:ascii="Palatino Linotype" w:hAnsi="Palatino Linotype"/>
          <w:b/>
          <w:i/>
          <w:sz w:val="22"/>
        </w:rPr>
        <w:t>Unidad de Servicios Generales y Control Patrimonial</w:t>
      </w:r>
    </w:p>
    <w:p w14:paraId="7F17FFA4" w14:textId="77777777" w:rsidR="00F8158E" w:rsidRPr="00F8158E" w:rsidRDefault="00F8158E" w:rsidP="00F8158E">
      <w:pPr>
        <w:spacing w:line="276" w:lineRule="auto"/>
        <w:ind w:left="567" w:right="900"/>
        <w:jc w:val="center"/>
        <w:rPr>
          <w:rFonts w:ascii="Palatino Linotype" w:hAnsi="Palatino Linotype"/>
          <w:b/>
          <w:i/>
          <w:sz w:val="22"/>
        </w:rPr>
      </w:pPr>
    </w:p>
    <w:p w14:paraId="14CA1B71" w14:textId="07775F7D" w:rsidR="00250736" w:rsidRPr="00F8158E" w:rsidRDefault="001219ED" w:rsidP="00F8158E">
      <w:pPr>
        <w:spacing w:line="276" w:lineRule="auto"/>
        <w:ind w:left="567" w:right="900"/>
        <w:jc w:val="both"/>
        <w:rPr>
          <w:rFonts w:ascii="Palatino Linotype" w:hAnsi="Palatino Linotype"/>
          <w:i/>
          <w:sz w:val="22"/>
        </w:rPr>
      </w:pPr>
      <w:r w:rsidRPr="00F8158E">
        <w:rPr>
          <w:rFonts w:ascii="Palatino Linotype" w:hAnsi="Palatino Linotype"/>
          <w:b/>
          <w:i/>
          <w:sz w:val="22"/>
        </w:rPr>
        <w:t>Objetivo:</w:t>
      </w:r>
      <w:r w:rsidRPr="00F8158E">
        <w:rPr>
          <w:rFonts w:ascii="Palatino Linotype" w:hAnsi="Palatino Linotype"/>
          <w:i/>
          <w:sz w:val="22"/>
        </w:rPr>
        <w:t xml:space="preserve"> Proporcionar a las unidades administrativas los servicios generales de conformidad con la normatividad vigente, así como llevar el registro y control patrimonial de los bienes muebles e inmuebles del Organismo en el Sistema CREG-Patrimonial.</w:t>
      </w:r>
    </w:p>
    <w:p w14:paraId="6329999D" w14:textId="77777777" w:rsidR="001219ED" w:rsidRPr="00F8158E" w:rsidRDefault="001219ED" w:rsidP="00F8158E">
      <w:pPr>
        <w:spacing w:line="276" w:lineRule="auto"/>
        <w:ind w:left="567" w:right="900"/>
        <w:jc w:val="both"/>
        <w:rPr>
          <w:rFonts w:ascii="Palatino Linotype" w:hAnsi="Palatino Linotype"/>
          <w:i/>
          <w:sz w:val="22"/>
        </w:rPr>
      </w:pPr>
    </w:p>
    <w:p w14:paraId="1EA0C981" w14:textId="77777777" w:rsidR="00F8158E" w:rsidRDefault="001219ED" w:rsidP="00F8158E">
      <w:pPr>
        <w:spacing w:line="276" w:lineRule="auto"/>
        <w:ind w:left="567" w:right="900"/>
        <w:jc w:val="both"/>
        <w:rPr>
          <w:rFonts w:ascii="Palatino Linotype" w:hAnsi="Palatino Linotype"/>
          <w:b/>
          <w:i/>
          <w:sz w:val="22"/>
        </w:rPr>
      </w:pPr>
      <w:r w:rsidRPr="00F8158E">
        <w:rPr>
          <w:rFonts w:ascii="Palatino Linotype" w:hAnsi="Palatino Linotype"/>
          <w:b/>
          <w:i/>
          <w:sz w:val="22"/>
        </w:rPr>
        <w:t xml:space="preserve">Funciones: </w:t>
      </w:r>
    </w:p>
    <w:p w14:paraId="4DF7138C" w14:textId="195F1CED" w:rsidR="001219ED" w:rsidRPr="00F8158E" w:rsidRDefault="001219ED" w:rsidP="00F8158E">
      <w:pPr>
        <w:spacing w:line="276" w:lineRule="auto"/>
        <w:ind w:left="567" w:right="900"/>
        <w:jc w:val="both"/>
        <w:rPr>
          <w:rFonts w:ascii="Palatino Linotype" w:hAnsi="Palatino Linotype"/>
          <w:b/>
          <w:i/>
          <w:sz w:val="22"/>
        </w:rPr>
      </w:pPr>
      <w:r w:rsidRPr="00F8158E">
        <w:rPr>
          <w:rFonts w:ascii="Palatino Linotype" w:hAnsi="Palatino Linotype"/>
          <w:b/>
          <w:i/>
          <w:sz w:val="22"/>
        </w:rPr>
        <w:t>1. Gestionar la contratación de los servicios generales que requiera el Organismo para su operatividad;</w:t>
      </w:r>
    </w:p>
    <w:p w14:paraId="45CFA6A1" w14:textId="78C7A8B9" w:rsidR="00F8158E" w:rsidRPr="00F8158E" w:rsidRDefault="00F8158E" w:rsidP="00F8158E">
      <w:pPr>
        <w:spacing w:line="276" w:lineRule="auto"/>
        <w:ind w:left="567" w:right="900"/>
        <w:jc w:val="both"/>
        <w:rPr>
          <w:rFonts w:ascii="Palatino Linotype" w:hAnsi="Palatino Linotype"/>
          <w:i/>
          <w:sz w:val="22"/>
        </w:rPr>
      </w:pPr>
      <w:r>
        <w:rPr>
          <w:rFonts w:ascii="Palatino Linotype" w:hAnsi="Palatino Linotype"/>
          <w:i/>
          <w:sz w:val="22"/>
        </w:rPr>
        <w:t>…</w:t>
      </w:r>
    </w:p>
    <w:p w14:paraId="2063DE3E" w14:textId="77777777" w:rsidR="001219ED" w:rsidRPr="00F8158E" w:rsidRDefault="001219ED" w:rsidP="00F8158E">
      <w:pPr>
        <w:spacing w:line="276" w:lineRule="auto"/>
        <w:ind w:left="567" w:right="900"/>
        <w:jc w:val="both"/>
        <w:rPr>
          <w:rFonts w:ascii="Palatino Linotype" w:hAnsi="Palatino Linotype"/>
          <w:i/>
          <w:sz w:val="22"/>
        </w:rPr>
      </w:pPr>
    </w:p>
    <w:p w14:paraId="56B73A27" w14:textId="58B8D4FC" w:rsidR="00F8158E" w:rsidRPr="00F8158E" w:rsidRDefault="001219ED" w:rsidP="00F8158E">
      <w:pPr>
        <w:spacing w:line="276" w:lineRule="auto"/>
        <w:ind w:left="567" w:right="900"/>
        <w:jc w:val="center"/>
        <w:rPr>
          <w:rFonts w:ascii="Palatino Linotype" w:hAnsi="Palatino Linotype"/>
          <w:b/>
          <w:i/>
          <w:sz w:val="22"/>
        </w:rPr>
      </w:pPr>
      <w:r w:rsidRPr="00F8158E">
        <w:rPr>
          <w:rFonts w:ascii="Palatino Linotype" w:hAnsi="Palatino Linotype"/>
          <w:b/>
          <w:i/>
          <w:sz w:val="22"/>
        </w:rPr>
        <w:t>Departamento de Contabilidad</w:t>
      </w:r>
    </w:p>
    <w:p w14:paraId="3251AF51" w14:textId="4E3EC282" w:rsidR="001219ED" w:rsidRDefault="001219ED" w:rsidP="00F8158E">
      <w:pPr>
        <w:spacing w:line="276" w:lineRule="auto"/>
        <w:ind w:left="567" w:right="900"/>
        <w:jc w:val="both"/>
        <w:rPr>
          <w:rFonts w:ascii="Palatino Linotype" w:hAnsi="Palatino Linotype"/>
          <w:i/>
          <w:sz w:val="22"/>
        </w:rPr>
      </w:pPr>
      <w:r w:rsidRPr="00F8158E">
        <w:rPr>
          <w:rFonts w:ascii="Palatino Linotype" w:hAnsi="Palatino Linotype"/>
          <w:i/>
          <w:sz w:val="22"/>
        </w:rPr>
        <w:t>Objetivo: Registrar y controlar sistemáticamente las operaciones contables y financieras del Organismo, a efecto de generar información financiera y económica que facilite la toma de decisiones</w:t>
      </w:r>
    </w:p>
    <w:p w14:paraId="582AA08C" w14:textId="77777777" w:rsidR="00F8158E" w:rsidRPr="00F8158E" w:rsidRDefault="00F8158E" w:rsidP="00F8158E">
      <w:pPr>
        <w:spacing w:line="276" w:lineRule="auto"/>
        <w:ind w:left="567" w:right="900"/>
        <w:jc w:val="both"/>
        <w:rPr>
          <w:rFonts w:ascii="Palatino Linotype" w:hAnsi="Palatino Linotype"/>
          <w:i/>
          <w:sz w:val="22"/>
        </w:rPr>
      </w:pPr>
    </w:p>
    <w:p w14:paraId="71E72E4F" w14:textId="77777777" w:rsidR="001219ED" w:rsidRPr="00F8158E" w:rsidRDefault="001219ED" w:rsidP="00F8158E">
      <w:pPr>
        <w:spacing w:line="276" w:lineRule="auto"/>
        <w:ind w:left="567" w:right="900"/>
        <w:jc w:val="both"/>
        <w:rPr>
          <w:rFonts w:ascii="Palatino Linotype" w:hAnsi="Palatino Linotype"/>
          <w:i/>
          <w:sz w:val="22"/>
        </w:rPr>
      </w:pPr>
      <w:r w:rsidRPr="00F8158E">
        <w:rPr>
          <w:rFonts w:ascii="Palatino Linotype" w:hAnsi="Palatino Linotype"/>
          <w:i/>
          <w:sz w:val="22"/>
        </w:rPr>
        <w:t xml:space="preserve">1. Vigilar que el proceso de registro contable del Organismo cumpla con las normas y lineamientos establecidos por las autoridades competentes; </w:t>
      </w:r>
    </w:p>
    <w:p w14:paraId="10E266B3" w14:textId="77777777" w:rsidR="001219ED" w:rsidRPr="00F8158E" w:rsidRDefault="001219ED" w:rsidP="00F8158E">
      <w:pPr>
        <w:spacing w:line="276" w:lineRule="auto"/>
        <w:ind w:left="567" w:right="900"/>
        <w:jc w:val="both"/>
        <w:rPr>
          <w:rFonts w:ascii="Palatino Linotype" w:hAnsi="Palatino Linotype"/>
          <w:i/>
          <w:sz w:val="22"/>
        </w:rPr>
      </w:pPr>
      <w:r w:rsidRPr="00F8158E">
        <w:rPr>
          <w:rFonts w:ascii="Palatino Linotype" w:hAnsi="Palatino Linotype"/>
          <w:i/>
          <w:sz w:val="22"/>
        </w:rPr>
        <w:t xml:space="preserve">2. Mantener actualizado el catálogo de cuentas contables y el instructivo de afectación correspondiente; </w:t>
      </w:r>
    </w:p>
    <w:p w14:paraId="7960012E" w14:textId="588A9AB9" w:rsidR="001219ED" w:rsidRPr="00F8158E" w:rsidRDefault="001219ED" w:rsidP="00F8158E">
      <w:pPr>
        <w:spacing w:line="276" w:lineRule="auto"/>
        <w:ind w:left="567" w:right="900"/>
        <w:jc w:val="both"/>
        <w:rPr>
          <w:rFonts w:ascii="Palatino Linotype" w:hAnsi="Palatino Linotype"/>
          <w:i/>
          <w:sz w:val="22"/>
        </w:rPr>
      </w:pPr>
      <w:r w:rsidRPr="00F8158E">
        <w:rPr>
          <w:rFonts w:ascii="Palatino Linotype" w:hAnsi="Palatino Linotype"/>
          <w:i/>
          <w:sz w:val="22"/>
        </w:rPr>
        <w:t>3. Formular y resguardar los estados financieros y sus auxiliares y verificar que reflejen la situación económica del Organismo;</w:t>
      </w:r>
    </w:p>
    <w:p w14:paraId="731A27B0" w14:textId="787B63A6" w:rsidR="001219ED" w:rsidRPr="00F8158E" w:rsidRDefault="001219ED" w:rsidP="00F8158E">
      <w:pPr>
        <w:spacing w:line="276" w:lineRule="auto"/>
        <w:ind w:left="567" w:right="900"/>
        <w:jc w:val="both"/>
        <w:rPr>
          <w:rFonts w:ascii="Palatino Linotype" w:hAnsi="Palatino Linotype"/>
          <w:i/>
          <w:sz w:val="22"/>
        </w:rPr>
      </w:pPr>
      <w:r w:rsidRPr="00F8158E">
        <w:rPr>
          <w:rFonts w:ascii="Palatino Linotype" w:hAnsi="Palatino Linotype"/>
          <w:i/>
          <w:sz w:val="22"/>
        </w:rPr>
        <w:t xml:space="preserve">4. Revisar, clasificar las facturas y documentación referente a los fondos, elaborar pólizas de egresos para pago a proveedores, contratistas y gastos de acuerdo a las disposiciones fiscales, administrativas y principios de contabilidad gubernamental; así como elaborar las pólizas cheques referentes a los pagos de los servicios </w:t>
      </w:r>
      <w:r w:rsidRPr="00F8158E">
        <w:rPr>
          <w:rFonts w:ascii="Palatino Linotype" w:hAnsi="Palatino Linotype"/>
          <w:i/>
          <w:sz w:val="22"/>
        </w:rPr>
        <w:lastRenderedPageBreak/>
        <w:t>contratados por el Organismo para autorización del Director de Administración y Finanzas;</w:t>
      </w:r>
    </w:p>
    <w:p w14:paraId="585E7FCD" w14:textId="307682C6" w:rsidR="001219ED" w:rsidRDefault="001219ED" w:rsidP="00F8158E">
      <w:pPr>
        <w:spacing w:line="276" w:lineRule="auto"/>
        <w:ind w:left="567" w:right="900"/>
        <w:jc w:val="both"/>
        <w:rPr>
          <w:rFonts w:ascii="Palatino Linotype" w:hAnsi="Palatino Linotype"/>
          <w:i/>
          <w:sz w:val="22"/>
        </w:rPr>
      </w:pPr>
      <w:r w:rsidRPr="00F8158E">
        <w:rPr>
          <w:rFonts w:ascii="Palatino Linotype" w:hAnsi="Palatino Linotype"/>
          <w:i/>
          <w:sz w:val="22"/>
        </w:rPr>
        <w:t>5. Registrar contablemente las operaciones de ingresos y egresos que efectúe el Organismo en el ejercicio de sus funciones;</w:t>
      </w:r>
    </w:p>
    <w:p w14:paraId="765E1058" w14:textId="61BA55C9" w:rsidR="00F8158E" w:rsidRPr="00F8158E" w:rsidRDefault="00F8158E" w:rsidP="00F8158E">
      <w:pPr>
        <w:spacing w:line="276" w:lineRule="auto"/>
        <w:ind w:left="567" w:right="900"/>
        <w:jc w:val="both"/>
        <w:rPr>
          <w:rFonts w:ascii="Palatino Linotype" w:hAnsi="Palatino Linotype"/>
          <w:i/>
          <w:sz w:val="22"/>
        </w:rPr>
      </w:pPr>
      <w:r>
        <w:rPr>
          <w:rFonts w:ascii="Palatino Linotype" w:hAnsi="Palatino Linotype"/>
          <w:i/>
          <w:sz w:val="22"/>
        </w:rPr>
        <w:t>…</w:t>
      </w:r>
    </w:p>
    <w:p w14:paraId="30AAC85F" w14:textId="77777777" w:rsidR="001219ED" w:rsidRDefault="001219ED" w:rsidP="001219ED">
      <w:pPr>
        <w:spacing w:line="360" w:lineRule="auto"/>
        <w:ind w:right="49"/>
        <w:jc w:val="both"/>
        <w:rPr>
          <w:rFonts w:ascii="Palatino Linotype" w:eastAsia="Palatino Linotype" w:hAnsi="Palatino Linotype" w:cs="Palatino Linotype"/>
        </w:rPr>
      </w:pPr>
    </w:p>
    <w:p w14:paraId="006FB855" w14:textId="77777777" w:rsidR="00FB23FC" w:rsidRDefault="00FB23FC" w:rsidP="001219ED">
      <w:pPr>
        <w:spacing w:line="360" w:lineRule="auto"/>
        <w:ind w:right="49"/>
        <w:jc w:val="both"/>
        <w:rPr>
          <w:rFonts w:ascii="Palatino Linotype" w:eastAsia="Palatino Linotype" w:hAnsi="Palatino Linotype" w:cs="Palatino Linotype"/>
        </w:rPr>
      </w:pPr>
    </w:p>
    <w:p w14:paraId="44DCA1E8" w14:textId="1E9620A9" w:rsidR="00FB23FC" w:rsidRPr="00FB23FC" w:rsidRDefault="0030777C" w:rsidP="00FB23FC">
      <w:pPr>
        <w:spacing w:line="276" w:lineRule="auto"/>
        <w:ind w:left="567" w:right="900"/>
        <w:jc w:val="center"/>
        <w:rPr>
          <w:rFonts w:ascii="Palatino Linotype" w:hAnsi="Palatino Linotype"/>
          <w:b/>
          <w:i/>
          <w:sz w:val="22"/>
        </w:rPr>
      </w:pPr>
      <w:r w:rsidRPr="00FB23FC">
        <w:rPr>
          <w:rFonts w:ascii="Palatino Linotype" w:hAnsi="Palatino Linotype"/>
          <w:b/>
          <w:i/>
          <w:sz w:val="22"/>
        </w:rPr>
        <w:t>Subdirección de Recursos Financieros</w:t>
      </w:r>
    </w:p>
    <w:p w14:paraId="5B99B43A" w14:textId="5F3C1247" w:rsidR="0030777C" w:rsidRDefault="0030777C" w:rsidP="00FB23FC">
      <w:pPr>
        <w:spacing w:line="276" w:lineRule="auto"/>
        <w:ind w:left="567" w:right="900"/>
        <w:jc w:val="both"/>
        <w:rPr>
          <w:rFonts w:ascii="Palatino Linotype" w:hAnsi="Palatino Linotype"/>
          <w:i/>
          <w:sz w:val="22"/>
        </w:rPr>
      </w:pPr>
      <w:r w:rsidRPr="00FB23FC">
        <w:rPr>
          <w:rFonts w:ascii="Palatino Linotype" w:hAnsi="Palatino Linotype"/>
          <w:i/>
          <w:sz w:val="22"/>
        </w:rPr>
        <w:t>Objetivo: Planear y coordinar las acciones de programación - presupuestario en el Organismo, así como las actividades financieras, presupuestales y contables, vigilando la aplicación racional de los recursos por parte de las diferentes unidades administrativas, de conformidad con la normatividad vigente en la materia.</w:t>
      </w:r>
    </w:p>
    <w:p w14:paraId="58FF4C8D" w14:textId="77777777" w:rsidR="00FB23FC" w:rsidRPr="00FB23FC" w:rsidRDefault="00FB23FC" w:rsidP="00FB23FC">
      <w:pPr>
        <w:spacing w:line="276" w:lineRule="auto"/>
        <w:ind w:left="567" w:right="900"/>
        <w:jc w:val="both"/>
        <w:rPr>
          <w:rFonts w:ascii="Palatino Linotype" w:hAnsi="Palatino Linotype"/>
          <w:i/>
          <w:sz w:val="22"/>
        </w:rPr>
      </w:pPr>
    </w:p>
    <w:p w14:paraId="5528957D" w14:textId="77777777" w:rsidR="00FB23FC" w:rsidRPr="00FB23FC" w:rsidRDefault="0030777C" w:rsidP="00FB23FC">
      <w:pPr>
        <w:spacing w:line="276" w:lineRule="auto"/>
        <w:ind w:left="567" w:right="900"/>
        <w:jc w:val="both"/>
        <w:rPr>
          <w:rFonts w:ascii="Palatino Linotype" w:hAnsi="Palatino Linotype"/>
          <w:b/>
          <w:i/>
          <w:sz w:val="22"/>
        </w:rPr>
      </w:pPr>
      <w:r w:rsidRPr="00FB23FC">
        <w:rPr>
          <w:rFonts w:ascii="Palatino Linotype" w:hAnsi="Palatino Linotype"/>
          <w:b/>
          <w:i/>
          <w:sz w:val="22"/>
        </w:rPr>
        <w:t xml:space="preserve">Funciones: </w:t>
      </w:r>
    </w:p>
    <w:p w14:paraId="52A95709" w14:textId="77777777" w:rsidR="00FB23FC" w:rsidRDefault="0030777C" w:rsidP="00FB23FC">
      <w:pPr>
        <w:spacing w:line="276" w:lineRule="auto"/>
        <w:ind w:left="567" w:right="900"/>
        <w:jc w:val="both"/>
        <w:rPr>
          <w:rFonts w:ascii="Palatino Linotype" w:hAnsi="Palatino Linotype"/>
          <w:i/>
          <w:sz w:val="22"/>
        </w:rPr>
      </w:pPr>
      <w:r w:rsidRPr="00FB23FC">
        <w:rPr>
          <w:rFonts w:ascii="Palatino Linotype" w:hAnsi="Palatino Linotype"/>
          <w:i/>
          <w:sz w:val="22"/>
        </w:rPr>
        <w:t xml:space="preserve">1. Vigilar y coordinar el cumplimiento de las normas y lineamientos en materia de contabilidad gubernamental para el ejercicio del presupuesto; </w:t>
      </w:r>
    </w:p>
    <w:p w14:paraId="251B14F3" w14:textId="457CC93D" w:rsidR="00FB23FC" w:rsidRDefault="0030777C" w:rsidP="00FB23FC">
      <w:pPr>
        <w:spacing w:line="276" w:lineRule="auto"/>
        <w:ind w:left="567" w:right="900"/>
        <w:jc w:val="both"/>
        <w:rPr>
          <w:rFonts w:ascii="Palatino Linotype" w:hAnsi="Palatino Linotype"/>
          <w:i/>
          <w:sz w:val="22"/>
        </w:rPr>
      </w:pPr>
      <w:r w:rsidRPr="00FB23FC">
        <w:rPr>
          <w:rFonts w:ascii="Palatino Linotype" w:hAnsi="Palatino Linotype"/>
          <w:i/>
          <w:sz w:val="22"/>
        </w:rPr>
        <w:t xml:space="preserve">2. Proponer y vigilar el cumplimento de los lineamientos, políticas y criterios contables a los que debe sujetarse el Organismo en la ejecución de sus operaciones financieras, así como la aplicación de las disposiciones fiscales, administrativas y principios de contabilidad gubernamental; </w:t>
      </w:r>
    </w:p>
    <w:p w14:paraId="5F410240" w14:textId="77777777" w:rsidR="00FB23FC" w:rsidRDefault="0030777C" w:rsidP="00FB23FC">
      <w:pPr>
        <w:spacing w:line="276" w:lineRule="auto"/>
        <w:ind w:left="567" w:right="900"/>
        <w:jc w:val="both"/>
        <w:rPr>
          <w:rFonts w:ascii="Palatino Linotype" w:hAnsi="Palatino Linotype"/>
          <w:i/>
          <w:sz w:val="22"/>
        </w:rPr>
      </w:pPr>
      <w:r w:rsidRPr="00FB23FC">
        <w:rPr>
          <w:rFonts w:ascii="Palatino Linotype" w:hAnsi="Palatino Linotype"/>
          <w:i/>
          <w:sz w:val="22"/>
        </w:rPr>
        <w:t xml:space="preserve">3. Instrumentar y desarrollar sistemas de registro y control financiero, contable y presupuestal para el Organismo; </w:t>
      </w:r>
    </w:p>
    <w:p w14:paraId="090AEE06" w14:textId="5C0029F7" w:rsidR="0030777C" w:rsidRPr="00FB23FC" w:rsidRDefault="0030777C" w:rsidP="00FB23FC">
      <w:pPr>
        <w:spacing w:line="276" w:lineRule="auto"/>
        <w:ind w:left="567" w:right="900"/>
        <w:jc w:val="both"/>
        <w:rPr>
          <w:rFonts w:ascii="Palatino Linotype" w:hAnsi="Palatino Linotype"/>
          <w:b/>
          <w:i/>
          <w:sz w:val="22"/>
          <w:u w:val="single"/>
        </w:rPr>
      </w:pPr>
      <w:r w:rsidRPr="00FB23FC">
        <w:rPr>
          <w:rFonts w:ascii="Palatino Linotype" w:hAnsi="Palatino Linotype"/>
          <w:b/>
          <w:i/>
          <w:sz w:val="22"/>
          <w:u w:val="single"/>
        </w:rPr>
        <w:t>4. Custodiar y registrar los recursos financieros obtenidos por el Organismo, procurando la utilización racional y óptima;</w:t>
      </w:r>
    </w:p>
    <w:p w14:paraId="0BCCD1B4" w14:textId="77777777" w:rsidR="00FB23FC" w:rsidRDefault="00FB23FC" w:rsidP="00FB23FC">
      <w:pPr>
        <w:spacing w:line="276" w:lineRule="auto"/>
        <w:ind w:left="567" w:right="900"/>
        <w:jc w:val="both"/>
        <w:rPr>
          <w:rFonts w:ascii="Palatino Linotype" w:hAnsi="Palatino Linotype"/>
          <w:i/>
          <w:sz w:val="22"/>
        </w:rPr>
      </w:pPr>
      <w:r w:rsidRPr="00FB23FC">
        <w:rPr>
          <w:rFonts w:ascii="Palatino Linotype" w:hAnsi="Palatino Linotype"/>
          <w:i/>
          <w:sz w:val="22"/>
        </w:rPr>
        <w:t xml:space="preserve">6. Resguardar y controlar los libros, registros auxiliares, información y documentación soporte de las operaciones financieras del Organismo; </w:t>
      </w:r>
    </w:p>
    <w:p w14:paraId="2A545802" w14:textId="4B95AB2D" w:rsidR="00FB23FC" w:rsidRDefault="00FB23FC" w:rsidP="00FB23FC">
      <w:pPr>
        <w:spacing w:line="276" w:lineRule="auto"/>
        <w:ind w:left="567" w:right="900"/>
        <w:jc w:val="both"/>
        <w:rPr>
          <w:rFonts w:ascii="Palatino Linotype" w:hAnsi="Palatino Linotype"/>
          <w:i/>
          <w:sz w:val="22"/>
        </w:rPr>
      </w:pPr>
      <w:r w:rsidRPr="00FB23FC">
        <w:rPr>
          <w:rFonts w:ascii="Palatino Linotype" w:hAnsi="Palatino Linotype"/>
          <w:i/>
          <w:sz w:val="22"/>
        </w:rPr>
        <w:t>7. Obtener y revisar la información financiera requerida por las autoridades competentes, de conformidad con las políticas que al respecto se establezcan;</w:t>
      </w:r>
    </w:p>
    <w:p w14:paraId="0D56C4F8" w14:textId="00C11EF2" w:rsidR="00FB23FC" w:rsidRDefault="00FB23FC" w:rsidP="00FB23FC">
      <w:pPr>
        <w:spacing w:line="276" w:lineRule="auto"/>
        <w:ind w:left="567" w:right="900"/>
        <w:jc w:val="both"/>
        <w:rPr>
          <w:rFonts w:ascii="Palatino Linotype" w:hAnsi="Palatino Linotype"/>
          <w:i/>
          <w:sz w:val="22"/>
        </w:rPr>
      </w:pPr>
      <w:r w:rsidRPr="00FB23FC">
        <w:rPr>
          <w:rFonts w:ascii="Palatino Linotype" w:hAnsi="Palatino Linotype"/>
          <w:i/>
          <w:sz w:val="22"/>
        </w:rPr>
        <w:t xml:space="preserve"> 8. Integrar y revisar a las instancias correspondientes la información periódica de carácter financiero, contable y presupuestal que deba ser sometida a la autorización del Consejo Directivo; </w:t>
      </w:r>
    </w:p>
    <w:p w14:paraId="361C1A29" w14:textId="77777777" w:rsidR="00FB23FC" w:rsidRDefault="00FB23FC" w:rsidP="00FB23FC">
      <w:pPr>
        <w:spacing w:line="276" w:lineRule="auto"/>
        <w:ind w:left="567" w:right="900"/>
        <w:jc w:val="both"/>
        <w:rPr>
          <w:rFonts w:ascii="Palatino Linotype" w:hAnsi="Palatino Linotype"/>
          <w:i/>
          <w:sz w:val="22"/>
        </w:rPr>
      </w:pPr>
      <w:r w:rsidRPr="00FB23FC">
        <w:rPr>
          <w:rFonts w:ascii="Palatino Linotype" w:hAnsi="Palatino Linotype"/>
          <w:i/>
          <w:sz w:val="22"/>
        </w:rPr>
        <w:t xml:space="preserve">9. Diseñar y vigilar la operación del ejercicio presupuestal y financiero, a efecto de mantener un adecuado control de las finanzas y del presupuesto del Organismo; </w:t>
      </w:r>
    </w:p>
    <w:p w14:paraId="035EF9EE" w14:textId="6F245C80" w:rsidR="00FB23FC" w:rsidRDefault="00FB23FC" w:rsidP="00FB23FC">
      <w:pPr>
        <w:spacing w:line="276" w:lineRule="auto"/>
        <w:ind w:left="567" w:right="900"/>
        <w:jc w:val="both"/>
        <w:rPr>
          <w:rFonts w:ascii="Palatino Linotype" w:hAnsi="Palatino Linotype"/>
          <w:i/>
          <w:sz w:val="22"/>
        </w:rPr>
      </w:pPr>
      <w:r w:rsidRPr="00FB23FC">
        <w:rPr>
          <w:rFonts w:ascii="Palatino Linotype" w:hAnsi="Palatino Linotype"/>
          <w:i/>
          <w:sz w:val="22"/>
        </w:rPr>
        <w:lastRenderedPageBreak/>
        <w:t xml:space="preserve">10. Colaborar en la realización de las auditorías internas y externas que se practiquen al Organismo en materia financiera; </w:t>
      </w:r>
    </w:p>
    <w:p w14:paraId="47D4B8F3" w14:textId="6DA6E13F" w:rsidR="00FB23FC" w:rsidRDefault="00FB23FC" w:rsidP="00FB23FC">
      <w:pPr>
        <w:spacing w:line="276" w:lineRule="auto"/>
        <w:ind w:left="567" w:right="900"/>
        <w:jc w:val="both"/>
        <w:rPr>
          <w:rFonts w:ascii="Palatino Linotype" w:hAnsi="Palatino Linotype"/>
          <w:i/>
          <w:sz w:val="22"/>
        </w:rPr>
      </w:pPr>
      <w:r w:rsidRPr="00FB23FC">
        <w:rPr>
          <w:rFonts w:ascii="Palatino Linotype" w:hAnsi="Palatino Linotype"/>
          <w:i/>
          <w:sz w:val="22"/>
        </w:rPr>
        <w:t xml:space="preserve">11. Vigilar el desarrollo de las conciliaciones con las áreas de contabilidad, presupuestos, recursos humanos, patrimonio y servicios generales; </w:t>
      </w:r>
    </w:p>
    <w:p w14:paraId="60FD90E3" w14:textId="77777777" w:rsidR="00FB23FC" w:rsidRDefault="00FB23FC" w:rsidP="00FB23FC">
      <w:pPr>
        <w:spacing w:line="276" w:lineRule="auto"/>
        <w:ind w:left="567" w:right="900"/>
        <w:jc w:val="both"/>
        <w:rPr>
          <w:rFonts w:ascii="Palatino Linotype" w:hAnsi="Palatino Linotype"/>
          <w:i/>
          <w:sz w:val="22"/>
        </w:rPr>
      </w:pPr>
      <w:r w:rsidRPr="00FB23FC">
        <w:rPr>
          <w:rFonts w:ascii="Palatino Linotype" w:hAnsi="Palatino Linotype"/>
          <w:i/>
          <w:sz w:val="22"/>
        </w:rPr>
        <w:t xml:space="preserve">12. Vigilar los movimientos contables de los inventarios, en base a la información remitida por la Subdirección de Administración, de acuerdo al programa correspondiente; </w:t>
      </w:r>
    </w:p>
    <w:p w14:paraId="3A6DB887" w14:textId="77777777" w:rsidR="00FB23FC" w:rsidRDefault="00FB23FC" w:rsidP="00FB23FC">
      <w:pPr>
        <w:spacing w:line="276" w:lineRule="auto"/>
        <w:ind w:left="567" w:right="900"/>
        <w:jc w:val="both"/>
        <w:rPr>
          <w:rFonts w:ascii="Palatino Linotype" w:hAnsi="Palatino Linotype"/>
          <w:i/>
          <w:sz w:val="22"/>
        </w:rPr>
      </w:pPr>
      <w:r w:rsidRPr="00FB23FC">
        <w:rPr>
          <w:rFonts w:ascii="Palatino Linotype" w:hAnsi="Palatino Linotype"/>
          <w:i/>
          <w:sz w:val="22"/>
        </w:rPr>
        <w:t xml:space="preserve">13. Vigilar y coordinar el pago a terceros; </w:t>
      </w:r>
    </w:p>
    <w:p w14:paraId="0CC7B000" w14:textId="77777777" w:rsidR="00FB23FC" w:rsidRDefault="00FB23FC" w:rsidP="00FB23FC">
      <w:pPr>
        <w:spacing w:line="276" w:lineRule="auto"/>
        <w:ind w:left="567" w:right="900"/>
        <w:jc w:val="both"/>
        <w:rPr>
          <w:rFonts w:ascii="Palatino Linotype" w:hAnsi="Palatino Linotype"/>
          <w:i/>
          <w:sz w:val="22"/>
        </w:rPr>
      </w:pPr>
      <w:r w:rsidRPr="00FB23FC">
        <w:rPr>
          <w:rFonts w:ascii="Palatino Linotype" w:hAnsi="Palatino Linotype"/>
          <w:i/>
          <w:sz w:val="22"/>
        </w:rPr>
        <w:t xml:space="preserve">14. Vigilar y coordinar la aplicación de las disposiciones fiscales, administrativas y principios de contabilidad gubernamental; </w:t>
      </w:r>
    </w:p>
    <w:p w14:paraId="04D5920F" w14:textId="63B79BFB" w:rsidR="00FB23FC" w:rsidRDefault="00FB23FC" w:rsidP="00FB23FC">
      <w:pPr>
        <w:spacing w:line="276" w:lineRule="auto"/>
        <w:ind w:left="567" w:right="900"/>
        <w:jc w:val="both"/>
        <w:rPr>
          <w:rFonts w:ascii="Palatino Linotype" w:hAnsi="Palatino Linotype"/>
          <w:i/>
          <w:sz w:val="22"/>
        </w:rPr>
      </w:pPr>
      <w:r w:rsidRPr="00FB23FC">
        <w:rPr>
          <w:rFonts w:ascii="Palatino Linotype" w:hAnsi="Palatino Linotype"/>
          <w:i/>
          <w:sz w:val="22"/>
        </w:rPr>
        <w:t xml:space="preserve">15. Vigilar y supervisar la actualización de los lineamientos generales para el ejercicio y comprobación de los egresos por fondo en las Unidades Administrativas; </w:t>
      </w:r>
    </w:p>
    <w:p w14:paraId="15E7DDED" w14:textId="77777777" w:rsidR="00FB23FC" w:rsidRDefault="00FB23FC" w:rsidP="00FB23FC">
      <w:pPr>
        <w:spacing w:line="276" w:lineRule="auto"/>
        <w:ind w:left="567" w:right="900"/>
        <w:jc w:val="both"/>
        <w:rPr>
          <w:rFonts w:ascii="Palatino Linotype" w:hAnsi="Palatino Linotype"/>
          <w:i/>
          <w:sz w:val="22"/>
        </w:rPr>
      </w:pPr>
      <w:r w:rsidRPr="00FB23FC">
        <w:rPr>
          <w:rFonts w:ascii="Palatino Linotype" w:hAnsi="Palatino Linotype"/>
          <w:i/>
          <w:sz w:val="22"/>
        </w:rPr>
        <w:t xml:space="preserve">16. Proporcionar la información necesaria que le requiera la Unidad de Información, Planeación, Programación y Evaluación, con el propósito de instrumentar proyectos de modernización administrativa en el Organismo; </w:t>
      </w:r>
    </w:p>
    <w:p w14:paraId="6C3968B4" w14:textId="77777777" w:rsidR="00FB23FC" w:rsidRDefault="00FB23FC" w:rsidP="00FB23FC">
      <w:pPr>
        <w:spacing w:line="276" w:lineRule="auto"/>
        <w:ind w:left="567" w:right="900"/>
        <w:jc w:val="both"/>
        <w:rPr>
          <w:rFonts w:ascii="Palatino Linotype" w:hAnsi="Palatino Linotype"/>
          <w:i/>
          <w:sz w:val="22"/>
        </w:rPr>
      </w:pPr>
      <w:r w:rsidRPr="00FB23FC">
        <w:rPr>
          <w:rFonts w:ascii="Palatino Linotype" w:hAnsi="Palatino Linotype"/>
          <w:i/>
          <w:sz w:val="22"/>
        </w:rPr>
        <w:t xml:space="preserve">17. Difundir y vigilar la aplicación de los manuales administrativos de su área de responsabilidad; </w:t>
      </w:r>
    </w:p>
    <w:p w14:paraId="53B22151" w14:textId="77777777" w:rsidR="00FB23FC" w:rsidRDefault="00FB23FC" w:rsidP="00FB23FC">
      <w:pPr>
        <w:spacing w:line="276" w:lineRule="auto"/>
        <w:ind w:left="567" w:right="900"/>
        <w:jc w:val="both"/>
        <w:rPr>
          <w:rFonts w:ascii="Palatino Linotype" w:hAnsi="Palatino Linotype"/>
          <w:i/>
          <w:sz w:val="22"/>
        </w:rPr>
      </w:pPr>
      <w:r w:rsidRPr="00FB23FC">
        <w:rPr>
          <w:rFonts w:ascii="Palatino Linotype" w:hAnsi="Palatino Linotype"/>
          <w:i/>
          <w:sz w:val="22"/>
        </w:rPr>
        <w:t xml:space="preserve">18. Vigilar y evaluar los resultados sobre las operaciones presupuestales y contables del Organismo; </w:t>
      </w:r>
    </w:p>
    <w:p w14:paraId="5965C261" w14:textId="73B50580" w:rsidR="00FB23FC" w:rsidRDefault="00FB23FC" w:rsidP="00FB23FC">
      <w:pPr>
        <w:spacing w:line="276" w:lineRule="auto"/>
        <w:ind w:left="567" w:right="900"/>
        <w:jc w:val="both"/>
        <w:rPr>
          <w:rFonts w:ascii="Palatino Linotype" w:hAnsi="Palatino Linotype"/>
          <w:i/>
          <w:sz w:val="22"/>
        </w:rPr>
      </w:pPr>
      <w:r w:rsidRPr="00FB23FC">
        <w:rPr>
          <w:rFonts w:ascii="Palatino Linotype" w:hAnsi="Palatino Linotype"/>
          <w:i/>
          <w:sz w:val="22"/>
        </w:rPr>
        <w:t xml:space="preserve">19. Vigilar y coordinar que la recopilación de la información para la elaboración de la cuenta pública se realice de conformidad con las normas y lineamientos que al respecto se señalen, así como dirigir y controlar la información relacionada con la cuenta pública en el ámbito de su competencia; </w:t>
      </w:r>
    </w:p>
    <w:p w14:paraId="169CF9DE" w14:textId="77777777" w:rsidR="00FB23FC" w:rsidRDefault="00FB23FC" w:rsidP="00FB23FC">
      <w:pPr>
        <w:spacing w:line="276" w:lineRule="auto"/>
        <w:ind w:left="567" w:right="900"/>
        <w:jc w:val="both"/>
        <w:rPr>
          <w:rFonts w:ascii="Palatino Linotype" w:hAnsi="Palatino Linotype"/>
          <w:i/>
          <w:sz w:val="22"/>
        </w:rPr>
      </w:pPr>
      <w:r w:rsidRPr="00FB23FC">
        <w:rPr>
          <w:rFonts w:ascii="Palatino Linotype" w:hAnsi="Palatino Linotype"/>
          <w:i/>
          <w:sz w:val="22"/>
        </w:rPr>
        <w:t xml:space="preserve">20. Tramitar y controlar las cuentas bancarias de los fondos bajo custodia del Organismo con instituciones de crédito, así como el manejo de las inversiones; y </w:t>
      </w:r>
    </w:p>
    <w:p w14:paraId="2D5D0459" w14:textId="1F2A7A77" w:rsidR="0030777C" w:rsidRDefault="00FB23FC" w:rsidP="00FB23FC">
      <w:pPr>
        <w:spacing w:line="276" w:lineRule="auto"/>
        <w:ind w:left="567" w:right="900"/>
        <w:jc w:val="both"/>
        <w:rPr>
          <w:rFonts w:ascii="Palatino Linotype" w:hAnsi="Palatino Linotype"/>
          <w:i/>
          <w:sz w:val="22"/>
        </w:rPr>
      </w:pPr>
      <w:r w:rsidRPr="00FB23FC">
        <w:rPr>
          <w:rFonts w:ascii="Palatino Linotype" w:hAnsi="Palatino Linotype"/>
          <w:i/>
          <w:sz w:val="22"/>
        </w:rPr>
        <w:t>21. Realizar todas aquellas actividades que sean inherentes y aplicables al área de su competencia</w:t>
      </w:r>
      <w:r>
        <w:rPr>
          <w:rFonts w:ascii="Palatino Linotype" w:hAnsi="Palatino Linotype"/>
          <w:i/>
          <w:sz w:val="22"/>
        </w:rPr>
        <w:t>.</w:t>
      </w:r>
    </w:p>
    <w:p w14:paraId="28AAF295" w14:textId="77777777" w:rsidR="00FB23FC" w:rsidRPr="00FB23FC" w:rsidRDefault="00FB23FC" w:rsidP="00FB23FC">
      <w:pPr>
        <w:spacing w:line="360" w:lineRule="auto"/>
        <w:ind w:left="567" w:right="900"/>
        <w:jc w:val="both"/>
        <w:rPr>
          <w:rFonts w:ascii="Palatino Linotype" w:eastAsia="Palatino Linotype" w:hAnsi="Palatino Linotype" w:cs="Palatino Linotype"/>
          <w:i/>
        </w:rPr>
      </w:pPr>
    </w:p>
    <w:p w14:paraId="60F8AF86" w14:textId="720F01E3" w:rsidR="0030777C" w:rsidRPr="00DF7D14" w:rsidRDefault="00433631" w:rsidP="00F42CF0">
      <w:pPr>
        <w:spacing w:line="360" w:lineRule="auto"/>
        <w:ind w:right="49"/>
        <w:jc w:val="both"/>
        <w:rPr>
          <w:rFonts w:ascii="Palatino Linotype" w:eastAsia="Palatino Linotype" w:hAnsi="Palatino Linotype" w:cs="Palatino Linotype"/>
        </w:rPr>
      </w:pPr>
      <w:r w:rsidRPr="00DF7D14">
        <w:rPr>
          <w:rFonts w:ascii="Palatino Linotype" w:eastAsia="Palatino Linotype" w:hAnsi="Palatino Linotype" w:cs="Palatino Linotype"/>
        </w:rPr>
        <w:t xml:space="preserve">Ahora bien, en relación con </w:t>
      </w:r>
      <w:r w:rsidR="003059F6" w:rsidRPr="00DF7D14">
        <w:rPr>
          <w:rFonts w:ascii="Palatino Linotype" w:eastAsia="Palatino Linotype" w:hAnsi="Palatino Linotype" w:cs="Palatino Linotype"/>
        </w:rPr>
        <w:t>lo solicitado relacionado con la</w:t>
      </w:r>
      <w:r w:rsidRPr="00DF7D14">
        <w:rPr>
          <w:rFonts w:ascii="Palatino Linotype" w:eastAsia="Palatino Linotype" w:hAnsi="Palatino Linotype" w:cs="Palatino Linotype"/>
        </w:rPr>
        <w:t xml:space="preserve"> recuperación de la cartera vencida, </w:t>
      </w:r>
      <w:r w:rsidR="00F42CF0" w:rsidRPr="00DF7D14">
        <w:rPr>
          <w:rFonts w:ascii="Palatino Linotype" w:eastAsia="Palatino Linotype" w:hAnsi="Palatino Linotype" w:cs="Palatino Linotype"/>
        </w:rPr>
        <w:t xml:space="preserve">es de mencionar que en aplicación al artículo 13 de la Ley de Transparencia y Acceso a la Información Pública del Estado de México y Municipios, se colige que el Particular desea obtener el monto </w:t>
      </w:r>
      <w:r w:rsidR="0030777C" w:rsidRPr="00DF7D14">
        <w:rPr>
          <w:rFonts w:ascii="Palatino Linotype" w:eastAsia="Palatino Linotype" w:hAnsi="Palatino Linotype" w:cs="Palatino Linotype"/>
        </w:rPr>
        <w:t xml:space="preserve">que al diecinueve de </w:t>
      </w:r>
      <w:r w:rsidR="0030777C" w:rsidRPr="00DF7D14">
        <w:rPr>
          <w:rFonts w:ascii="Palatino Linotype" w:eastAsia="Palatino Linotype" w:hAnsi="Palatino Linotype" w:cs="Palatino Linotype"/>
        </w:rPr>
        <w:lastRenderedPageBreak/>
        <w:t xml:space="preserve">agosto de dos mil veintidós ha obtenido derivado aquellos créditos que no fueron pasados en tiempo y forma. </w:t>
      </w:r>
    </w:p>
    <w:p w14:paraId="22AA15B2" w14:textId="77777777" w:rsidR="0030777C" w:rsidRPr="00DF7D14" w:rsidRDefault="0030777C" w:rsidP="00F42CF0">
      <w:pPr>
        <w:spacing w:line="360" w:lineRule="auto"/>
        <w:ind w:right="49"/>
        <w:jc w:val="both"/>
        <w:rPr>
          <w:rFonts w:ascii="Palatino Linotype" w:eastAsia="Palatino Linotype" w:hAnsi="Palatino Linotype" w:cs="Palatino Linotype"/>
        </w:rPr>
      </w:pPr>
    </w:p>
    <w:p w14:paraId="6BB52C0B" w14:textId="53492B96" w:rsidR="00FB23FC" w:rsidRPr="00DF7D14" w:rsidRDefault="0030777C" w:rsidP="00F42CF0">
      <w:pPr>
        <w:spacing w:line="360" w:lineRule="auto"/>
        <w:ind w:right="49"/>
        <w:jc w:val="both"/>
        <w:rPr>
          <w:rFonts w:ascii="Palatino Linotype" w:eastAsia="Palatino Linotype" w:hAnsi="Palatino Linotype" w:cs="Palatino Linotype"/>
        </w:rPr>
      </w:pPr>
      <w:r w:rsidRPr="00DF7D14">
        <w:rPr>
          <w:rFonts w:ascii="Palatino Linotype" w:eastAsia="Palatino Linotype" w:hAnsi="Palatino Linotype" w:cs="Palatino Linotype"/>
        </w:rPr>
        <w:t>En ese sentido, como se mencionó el Sujeto Obligado cuenta con unidades administrativas que tienen como atribución las de registrar contable y sistemáticamente las operaciones contabl</w:t>
      </w:r>
      <w:r w:rsidR="00FB23FC" w:rsidRPr="00DF7D14">
        <w:rPr>
          <w:rFonts w:ascii="Palatino Linotype" w:eastAsia="Palatino Linotype" w:hAnsi="Palatino Linotype" w:cs="Palatino Linotype"/>
        </w:rPr>
        <w:t xml:space="preserve">es y financieras del organismo, así como, custodiar y registrar los </w:t>
      </w:r>
      <w:r w:rsidR="00FB23FC" w:rsidRPr="00DF7D14">
        <w:rPr>
          <w:rFonts w:ascii="Palatino Linotype" w:eastAsia="Palatino Linotype" w:hAnsi="Palatino Linotype" w:cs="Palatino Linotype"/>
          <w:b/>
        </w:rPr>
        <w:t>recurso financieros obtenidos por el Organismo</w:t>
      </w:r>
      <w:r w:rsidR="00FB23FC" w:rsidRPr="00DF7D14">
        <w:rPr>
          <w:rFonts w:ascii="Palatino Linotype" w:eastAsia="Palatino Linotype" w:hAnsi="Palatino Linotype" w:cs="Palatino Linotype"/>
        </w:rPr>
        <w:t>, siendo que de manera enunciativa más no limitativa la información relacionada con los montos i</w:t>
      </w:r>
      <w:r w:rsidR="00DF7D14" w:rsidRPr="00DF7D14">
        <w:rPr>
          <w:rFonts w:ascii="Palatino Linotype" w:eastAsia="Palatino Linotype" w:hAnsi="Palatino Linotype" w:cs="Palatino Linotype"/>
        </w:rPr>
        <w:t>ngresados</w:t>
      </w:r>
      <w:r w:rsidR="00FB23FC" w:rsidRPr="00DF7D14">
        <w:rPr>
          <w:rFonts w:ascii="Palatino Linotype" w:eastAsia="Palatino Linotype" w:hAnsi="Palatino Linotype" w:cs="Palatino Linotype"/>
        </w:rPr>
        <w:t xml:space="preserve"> por concepto de pago de adeudos es la Unidad de Servicios Generales y Control Patrimonial, a través de su Departamento de Contabilidad o bien, de la Subdirección de Recursos Financieros. </w:t>
      </w:r>
    </w:p>
    <w:p w14:paraId="37BF9FAB" w14:textId="77777777" w:rsidR="00DF7D14" w:rsidRPr="00DF7D14" w:rsidRDefault="00DF7D14" w:rsidP="00F42CF0">
      <w:pPr>
        <w:spacing w:line="360" w:lineRule="auto"/>
        <w:ind w:right="49"/>
        <w:jc w:val="both"/>
        <w:rPr>
          <w:rFonts w:ascii="Palatino Linotype" w:eastAsia="Palatino Linotype" w:hAnsi="Palatino Linotype" w:cs="Palatino Linotype"/>
        </w:rPr>
      </w:pPr>
    </w:p>
    <w:p w14:paraId="1B95D676" w14:textId="445D98F5" w:rsidR="00DF7D14" w:rsidRPr="00DF7D14" w:rsidRDefault="00DF7D14" w:rsidP="00DF7D14">
      <w:pPr>
        <w:spacing w:line="360" w:lineRule="auto"/>
        <w:jc w:val="both"/>
        <w:rPr>
          <w:rFonts w:ascii="Palatino Linotype" w:eastAsia="Palatino Linotype" w:hAnsi="Palatino Linotype" w:cs="Palatino Linotype"/>
        </w:rPr>
      </w:pPr>
      <w:r w:rsidRPr="00DF7D14">
        <w:rPr>
          <w:rFonts w:ascii="Palatino Linotype" w:eastAsia="Palatino Linotype" w:hAnsi="Palatino Linotype" w:cs="Palatino Linotype"/>
        </w:rPr>
        <w:t>Al respecto, el Código Financiero del Estado de México y Municipios establece la obligación de los Municipios para llevar los registros contables y presupuestales; no obstante, dicho ordenamiento no establece qué debemos entender por registro contable y presupuestal; sin embargo, el “</w:t>
      </w:r>
      <w:r w:rsidRPr="00DF7D14">
        <w:rPr>
          <w:rFonts w:ascii="Palatino Linotype" w:eastAsia="Palatino Linotype" w:hAnsi="Palatino Linotype" w:cs="Palatino Linotype"/>
          <w:i/>
        </w:rPr>
        <w:t>Glosario de Términos para el Proceso de Planeación, Programación, Presupuestación y Evaluación en la Administración Pública”</w:t>
      </w:r>
      <w:r w:rsidRPr="00DF7D14">
        <w:rPr>
          <w:rFonts w:ascii="Palatino Linotype" w:eastAsia="Palatino Linotype" w:hAnsi="Palatino Linotype" w:cs="Palatino Linotype"/>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5E513219" w14:textId="77777777" w:rsidR="00DF7D14" w:rsidRPr="00DF7D14" w:rsidRDefault="00DF7D14" w:rsidP="00DF7D14">
      <w:pPr>
        <w:spacing w:line="360" w:lineRule="auto"/>
        <w:jc w:val="both"/>
        <w:rPr>
          <w:rFonts w:ascii="Palatino Linotype" w:eastAsia="Palatino Linotype" w:hAnsi="Palatino Linotype" w:cs="Palatino Linotype"/>
        </w:rPr>
      </w:pPr>
    </w:p>
    <w:p w14:paraId="6BFBE2FD" w14:textId="77777777" w:rsidR="00DF7D14" w:rsidRPr="00DF7D14" w:rsidRDefault="00DF7D14" w:rsidP="00DF7D14">
      <w:pPr>
        <w:spacing w:line="276" w:lineRule="auto"/>
        <w:ind w:left="567" w:right="843"/>
        <w:jc w:val="both"/>
        <w:rPr>
          <w:rFonts w:ascii="Palatino Linotype" w:eastAsia="Palatino Linotype" w:hAnsi="Palatino Linotype" w:cs="Palatino Linotype"/>
          <w:b/>
          <w:i/>
        </w:rPr>
      </w:pPr>
      <w:r w:rsidRPr="00DF7D14">
        <w:rPr>
          <w:rFonts w:ascii="Palatino Linotype" w:eastAsia="Palatino Linotype" w:hAnsi="Palatino Linotype" w:cs="Palatino Linotype"/>
          <w:b/>
          <w:i/>
        </w:rPr>
        <w:t xml:space="preserve">REGISTRO CONTABLE. </w:t>
      </w:r>
      <w:r w:rsidRPr="00DF7D14">
        <w:rPr>
          <w:rFonts w:ascii="Palatino Linotype" w:eastAsia="Palatino Linotype" w:hAnsi="Palatino Linotype" w:cs="Palatino Linotype"/>
          <w:i/>
        </w:rPr>
        <w:t>Asiento que se realiza en los libros de contabilidad de las actividades relacionadas con el ingreso y egresos de un ente económico.</w:t>
      </w:r>
    </w:p>
    <w:p w14:paraId="5E8040BC" w14:textId="77777777" w:rsidR="00DF7D14" w:rsidRPr="00DF7D14" w:rsidRDefault="00DF7D14" w:rsidP="00DF7D14">
      <w:pPr>
        <w:spacing w:line="360" w:lineRule="auto"/>
        <w:jc w:val="both"/>
        <w:rPr>
          <w:rFonts w:ascii="Palatino Linotype" w:eastAsia="Palatino Linotype" w:hAnsi="Palatino Linotype" w:cs="Palatino Linotype"/>
        </w:rPr>
      </w:pPr>
    </w:p>
    <w:p w14:paraId="328D35DA" w14:textId="41787331" w:rsidR="00DF7D14" w:rsidRPr="00DF7D14" w:rsidRDefault="00DF7D14" w:rsidP="00DF7D14">
      <w:pPr>
        <w:spacing w:line="360" w:lineRule="auto"/>
        <w:jc w:val="both"/>
        <w:rPr>
          <w:rFonts w:ascii="Palatino Linotype" w:eastAsia="Palatino Linotype" w:hAnsi="Palatino Linotype" w:cs="Palatino Linotype"/>
        </w:rPr>
      </w:pPr>
      <w:r w:rsidRPr="00DF7D14">
        <w:rPr>
          <w:rFonts w:ascii="Palatino Linotype" w:eastAsia="Palatino Linotype" w:hAnsi="Palatino Linotype" w:cs="Palatino Linotype"/>
        </w:rPr>
        <w:t>En ese contexto, cabe señalar que una póliza contable es un documento en el que se asientan las operaciones desarrolladas y toda la información necesaria para su identificación, de conformidad con la Guía Técnica 8 “La Contabilidad y la Cuenta Pública Municipal”, dichas pólizas se dividen en las siguientes:</w:t>
      </w:r>
    </w:p>
    <w:p w14:paraId="042C3033" w14:textId="77777777" w:rsidR="00DF7D14" w:rsidRPr="00DF7D14" w:rsidRDefault="00DF7D14" w:rsidP="00DF7D14">
      <w:pPr>
        <w:spacing w:line="360" w:lineRule="auto"/>
        <w:jc w:val="both"/>
        <w:rPr>
          <w:rFonts w:ascii="Palatino Linotype" w:eastAsia="Palatino Linotype" w:hAnsi="Palatino Linotype" w:cs="Palatino Linotype"/>
        </w:rPr>
      </w:pPr>
    </w:p>
    <w:p w14:paraId="6E57C223" w14:textId="77777777" w:rsidR="00DF7D14" w:rsidRPr="00DF7D14" w:rsidRDefault="00DF7D14" w:rsidP="00DF7D14">
      <w:pPr>
        <w:pStyle w:val="Prrafodelista"/>
        <w:numPr>
          <w:ilvl w:val="0"/>
          <w:numId w:val="25"/>
        </w:numPr>
        <w:spacing w:line="360" w:lineRule="auto"/>
        <w:ind w:right="843"/>
        <w:contextualSpacing/>
        <w:jc w:val="both"/>
        <w:rPr>
          <w:rFonts w:ascii="Palatino Linotype" w:hAnsi="Palatino Linotype"/>
        </w:rPr>
      </w:pPr>
      <w:r w:rsidRPr="00DF7D14">
        <w:rPr>
          <w:rFonts w:ascii="Palatino Linotype" w:hAnsi="Palatino Linotype"/>
          <w:b/>
        </w:rPr>
        <w:t>Póliza de Ingresos:</w:t>
      </w:r>
      <w:r w:rsidRPr="00DF7D14">
        <w:rPr>
          <w:rFonts w:ascii="Palatino Linotype" w:hAnsi="Palatino Linotype"/>
        </w:rPr>
        <w:t xml:space="preserve"> Es aquella donde se anotan las operaciones que representan ingresos, esto es, entradas de dinero para el municipio. </w:t>
      </w:r>
    </w:p>
    <w:p w14:paraId="5EBA75B0" w14:textId="346C2DEB" w:rsidR="00250736" w:rsidRDefault="00250736" w:rsidP="00550C9E">
      <w:pPr>
        <w:spacing w:line="360" w:lineRule="auto"/>
        <w:jc w:val="both"/>
        <w:rPr>
          <w:rFonts w:ascii="Palatino Linotype" w:eastAsia="Palatino Linotype" w:hAnsi="Palatino Linotype" w:cs="Palatino Linotype"/>
        </w:rPr>
      </w:pPr>
    </w:p>
    <w:p w14:paraId="180CFC5A" w14:textId="7C09CE1B" w:rsidR="00266231" w:rsidRDefault="00312B61" w:rsidP="00550C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otro lado,</w:t>
      </w:r>
      <w:r w:rsidR="002879E3" w:rsidRPr="002879E3">
        <w:rPr>
          <w:rFonts w:ascii="Palatino Linotype" w:eastAsia="Palatino Linotype" w:hAnsi="Palatino Linotype" w:cs="Palatino Linotype"/>
        </w:rPr>
        <w:t xml:space="preserve"> en atención a</w:t>
      </w:r>
      <w:r w:rsidR="00F8158E" w:rsidRPr="002879E3">
        <w:rPr>
          <w:rFonts w:ascii="Palatino Linotype" w:eastAsia="Palatino Linotype" w:hAnsi="Palatino Linotype" w:cs="Palatino Linotype"/>
        </w:rPr>
        <w:t xml:space="preserve"> los agravios hechos valer por el ahora Recurrente, es de mencionar que</w:t>
      </w:r>
      <w:r w:rsidR="002879E3">
        <w:rPr>
          <w:rFonts w:ascii="Palatino Linotype" w:eastAsia="Palatino Linotype" w:hAnsi="Palatino Linotype" w:cs="Palatino Linotype"/>
        </w:rPr>
        <w:t xml:space="preserve">, si bien, el Sujeto Obligado refirió en respuesta que el contrato con la empresa mencionada se concluyó en fecha previa a la presentación de la solicitud de información, también lo es </w:t>
      </w:r>
      <w:r w:rsidR="00AA30DD">
        <w:rPr>
          <w:rFonts w:ascii="Palatino Linotype" w:eastAsia="Palatino Linotype" w:hAnsi="Palatino Linotype" w:cs="Palatino Linotype"/>
        </w:rPr>
        <w:t xml:space="preserve">que de las actuaciones </w:t>
      </w:r>
      <w:r w:rsidR="00614D1C">
        <w:rPr>
          <w:rFonts w:ascii="Palatino Linotype" w:eastAsia="Palatino Linotype" w:hAnsi="Palatino Linotype" w:cs="Palatino Linotype"/>
        </w:rPr>
        <w:t xml:space="preserve">que obran en el expediente electrónico, no se advierte que quien dio atención a la solicitud de información haya sido la unidad administrativa competente, es por lo que, </w:t>
      </w:r>
      <w:r w:rsidR="00A214A9">
        <w:rPr>
          <w:rFonts w:ascii="Palatino Linotype" w:eastAsia="Palatino Linotype" w:hAnsi="Palatino Linotype" w:cs="Palatino Linotype"/>
        </w:rPr>
        <w:t xml:space="preserve">no existe certeza </w:t>
      </w:r>
      <w:r w:rsidR="00614D1C">
        <w:rPr>
          <w:rFonts w:ascii="Palatino Linotype" w:eastAsia="Palatino Linotype" w:hAnsi="Palatino Linotype" w:cs="Palatino Linotype"/>
        </w:rPr>
        <w:t xml:space="preserve">de que la relación contractual </w:t>
      </w:r>
      <w:r w:rsidR="00F77816">
        <w:rPr>
          <w:rFonts w:ascii="Palatino Linotype" w:eastAsia="Palatino Linotype" w:hAnsi="Palatino Linotype" w:cs="Palatino Linotype"/>
        </w:rPr>
        <w:t>haya sido finalizada en fecha previa al registro de la solicitud de información</w:t>
      </w:r>
      <w:r w:rsidR="00A214A9">
        <w:rPr>
          <w:rFonts w:ascii="Palatino Linotype" w:eastAsia="Palatino Linotype" w:hAnsi="Palatino Linotype" w:cs="Palatino Linotype"/>
        </w:rPr>
        <w:t xml:space="preserve">. </w:t>
      </w:r>
    </w:p>
    <w:p w14:paraId="3048A450" w14:textId="77777777" w:rsidR="00A214A9" w:rsidRDefault="00A214A9" w:rsidP="00550C9E">
      <w:pPr>
        <w:spacing w:line="360" w:lineRule="auto"/>
        <w:jc w:val="both"/>
        <w:rPr>
          <w:rFonts w:ascii="Palatino Linotype" w:eastAsia="Palatino Linotype" w:hAnsi="Palatino Linotype" w:cs="Palatino Linotype"/>
        </w:rPr>
      </w:pPr>
    </w:p>
    <w:p w14:paraId="081BDCD8" w14:textId="3C823E44" w:rsidR="00A214A9" w:rsidRPr="00A214A9" w:rsidRDefault="00A214A9" w:rsidP="00550C9E">
      <w:pPr>
        <w:spacing w:line="360" w:lineRule="auto"/>
        <w:jc w:val="both"/>
        <w:rPr>
          <w:rFonts w:ascii="Palatino Linotype" w:eastAsia="Palatino Linotype" w:hAnsi="Palatino Linotype" w:cs="Palatino Linotype"/>
        </w:rPr>
      </w:pPr>
      <w:r w:rsidRPr="003A416B">
        <w:rPr>
          <w:rFonts w:ascii="Palatino Linotype" w:eastAsia="Palatino Linotype" w:hAnsi="Palatino Linotype" w:cs="Palatino Linotype"/>
        </w:rPr>
        <w:t xml:space="preserve">En el mismo orden de ideas, es de destacar que se advirtió que la pretensión del ahora Recurrente es obtener la información generada </w:t>
      </w:r>
      <w:r w:rsidR="003A416B" w:rsidRPr="003A416B">
        <w:rPr>
          <w:rFonts w:ascii="Palatino Linotype" w:eastAsia="Palatino Linotype" w:hAnsi="Palatino Linotype" w:cs="Palatino Linotype"/>
        </w:rPr>
        <w:t>derivado</w:t>
      </w:r>
      <w:r w:rsidRPr="003A416B">
        <w:rPr>
          <w:rFonts w:ascii="Palatino Linotype" w:eastAsia="Palatino Linotype" w:hAnsi="Palatino Linotype" w:cs="Palatino Linotype"/>
        </w:rPr>
        <w:t xml:space="preserve"> de la celebración de un contrato con la empresa mencionada, desde que se celebró</w:t>
      </w:r>
      <w:r w:rsidR="009D6523">
        <w:rPr>
          <w:rFonts w:ascii="Palatino Linotype" w:eastAsia="Palatino Linotype" w:hAnsi="Palatino Linotype" w:cs="Palatino Linotype"/>
        </w:rPr>
        <w:t xml:space="preserve"> hasta </w:t>
      </w:r>
      <w:r w:rsidRPr="003A416B">
        <w:rPr>
          <w:rFonts w:ascii="Palatino Linotype" w:eastAsia="Palatino Linotype" w:hAnsi="Palatino Linotype" w:cs="Palatino Linotype"/>
        </w:rPr>
        <w:t xml:space="preserve">la fecha de la solicitud de información, por lo que, </w:t>
      </w:r>
      <w:r w:rsidR="003A416B" w:rsidRPr="003A416B">
        <w:rPr>
          <w:rFonts w:ascii="Palatino Linotype" w:eastAsia="Palatino Linotype" w:hAnsi="Palatino Linotype" w:cs="Palatino Linotype"/>
        </w:rPr>
        <w:t xml:space="preserve">resulta procedente ordenar la información requerida por el Solicitante a partir del inicio del contrato mediante el cual se estableció la relación contractual con la empresa solicitada hasta la fecha de la </w:t>
      </w:r>
      <w:r w:rsidR="003A416B" w:rsidRPr="003A416B">
        <w:rPr>
          <w:rFonts w:ascii="Palatino Linotype" w:eastAsia="Palatino Linotype" w:hAnsi="Palatino Linotype" w:cs="Palatino Linotype"/>
        </w:rPr>
        <w:lastRenderedPageBreak/>
        <w:t>solicitud de información o bien, a la fecha de la finalización de la relación contractual.</w:t>
      </w:r>
    </w:p>
    <w:p w14:paraId="78E281D8" w14:textId="32FEDA71" w:rsidR="00025FCE" w:rsidRDefault="0026623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38224B6B" w14:textId="77777777" w:rsidR="004901CB" w:rsidRDefault="001176E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orden de ideas, no pasa desapercibido señalar que el Particular requirió conocer el monto total por la prestación de servicios de la empresa solicitada, </w:t>
      </w:r>
      <w:r w:rsidR="004901CB">
        <w:rPr>
          <w:rFonts w:ascii="Palatino Linotype" w:eastAsia="Palatino Linotype" w:hAnsi="Palatino Linotype" w:cs="Palatino Linotype"/>
        </w:rPr>
        <w:t xml:space="preserve">sin embargo, mediante informe justificado, el Sujeto Obligado refirió que no existía un monto establecido para el pago total de sus servicios prestados, toda vez que estos obedecían a los trabajos realizados por la empresa y a los resultados obtenidos. </w:t>
      </w:r>
    </w:p>
    <w:p w14:paraId="14EEB247" w14:textId="77777777" w:rsidR="004901CB" w:rsidRDefault="004901CB">
      <w:pPr>
        <w:spacing w:line="360" w:lineRule="auto"/>
        <w:jc w:val="both"/>
        <w:rPr>
          <w:rFonts w:ascii="Palatino Linotype" w:eastAsia="Palatino Linotype" w:hAnsi="Palatino Linotype" w:cs="Palatino Linotype"/>
        </w:rPr>
      </w:pPr>
    </w:p>
    <w:p w14:paraId="4CF169AC" w14:textId="4CBB628D" w:rsidR="001176E6" w:rsidRPr="00B15C7D" w:rsidRDefault="004901CB">
      <w:pPr>
        <w:spacing w:line="360" w:lineRule="auto"/>
        <w:jc w:val="both"/>
        <w:rPr>
          <w:rFonts w:ascii="Palatino Linotype" w:eastAsia="Palatino Linotype" w:hAnsi="Palatino Linotype" w:cs="Palatino Linotype"/>
          <w:b/>
          <w:bCs/>
          <w:u w:val="single"/>
        </w:rPr>
      </w:pPr>
      <w:r w:rsidRPr="00B15C7D">
        <w:rPr>
          <w:rFonts w:ascii="Palatino Linotype" w:eastAsia="Palatino Linotype" w:hAnsi="Palatino Linotype" w:cs="Palatino Linotype"/>
          <w:b/>
          <w:bCs/>
          <w:u w:val="single"/>
        </w:rPr>
        <w:t xml:space="preserve">En ese sentido, suponiendo sin conceder que no se haya establecido un monto en el contrato por la prestación de servicios de la empresa, también lo es que el Sujeto Obligado </w:t>
      </w:r>
      <w:r w:rsidR="00B15C7D" w:rsidRPr="00B15C7D">
        <w:rPr>
          <w:rFonts w:ascii="Palatino Linotype" w:eastAsia="Palatino Linotype" w:hAnsi="Palatino Linotype" w:cs="Palatino Linotype"/>
          <w:b/>
          <w:bCs/>
          <w:u w:val="single"/>
        </w:rPr>
        <w:t>cuenta con los registros contables que pueden dar cuenta del monto total pagado a la empresa durante la prestación de sus servicios</w:t>
      </w:r>
      <w:r w:rsidR="00B15C7D">
        <w:rPr>
          <w:rFonts w:ascii="Palatino Linotype" w:eastAsia="Palatino Linotype" w:hAnsi="Palatino Linotype" w:cs="Palatino Linotype"/>
          <w:b/>
          <w:bCs/>
          <w:u w:val="single"/>
        </w:rPr>
        <w:t xml:space="preserve">, por lo que, el Organismo Descentralizado deberá entregar los documentos donde conste el pago realizado a la empresa señalada en la solicitud de información realizados durante la vigencia del contrato o, a la fecha de la solicitud de información, con la finalidad de que el Particular pueda determinar el monto total erogado por el Sujeto Obligado. </w:t>
      </w:r>
    </w:p>
    <w:p w14:paraId="2F75E183" w14:textId="77777777" w:rsidR="001176E6" w:rsidRDefault="001176E6">
      <w:pPr>
        <w:spacing w:line="360" w:lineRule="auto"/>
        <w:jc w:val="both"/>
        <w:rPr>
          <w:rFonts w:ascii="Palatino Linotype" w:eastAsia="Palatino Linotype" w:hAnsi="Palatino Linotype" w:cs="Palatino Linotype"/>
        </w:rPr>
      </w:pPr>
    </w:p>
    <w:p w14:paraId="56AE1A79" w14:textId="3AB30568" w:rsidR="00B15C7D" w:rsidRDefault="00B15C7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relacionado con lo anterior, se tiene que el Particular requirió obtener el monto mensual de los servicios prestados, por lo que, mediante informe justificado, el Sujeto Obligado señaló que no existía una fecha delimitada para realizar los pagos, pues estos dependían de los resultados obtenidos por la empresa, sin embargo, es de mencionar que el Particular puede desconocer las </w:t>
      </w:r>
      <w:r>
        <w:rPr>
          <w:rFonts w:ascii="Palatino Linotype" w:eastAsia="Palatino Linotype" w:hAnsi="Palatino Linotype" w:cs="Palatino Linotype"/>
        </w:rPr>
        <w:lastRenderedPageBreak/>
        <w:t xml:space="preserve">especificaciones contenidas en el contrato celebrado, sin embargo, su pretensión es obtener los montos que se le pagaron a la empresa por la prestación de sus servicios, es por ello, que el Sujeto Obligado debe proporcionar al Particular los documentos donde consten los pagos realizados independientemente de la temporalidad en la que fueron generados, es decir, deberá remitir, todos aquellos documentos que den cuenta de lo solicitado durante la vigencia del contrato o, a la fecha de la solicitud de información. </w:t>
      </w:r>
    </w:p>
    <w:p w14:paraId="397A3F2C" w14:textId="77777777" w:rsidR="00B15C7D" w:rsidRDefault="00B15C7D">
      <w:pPr>
        <w:spacing w:line="360" w:lineRule="auto"/>
        <w:jc w:val="both"/>
        <w:rPr>
          <w:rFonts w:ascii="Palatino Linotype" w:eastAsia="Palatino Linotype" w:hAnsi="Palatino Linotype" w:cs="Palatino Linotype"/>
        </w:rPr>
      </w:pPr>
    </w:p>
    <w:p w14:paraId="21D6F1D1" w14:textId="77777777" w:rsidR="003A416B" w:rsidRDefault="003A416B" w:rsidP="003A416B">
      <w:pPr>
        <w:spacing w:line="360" w:lineRule="auto"/>
        <w:ind w:right="-7"/>
        <w:jc w:val="both"/>
        <w:rPr>
          <w:rFonts w:ascii="Palatino Linotype" w:eastAsia="Palatino Linotype" w:hAnsi="Palatino Linotype" w:cs="Palatino Linotype"/>
        </w:rPr>
      </w:pPr>
      <w:r>
        <w:rPr>
          <w:rFonts w:ascii="Palatino Linotype" w:eastAsia="Palatino Linotype" w:hAnsi="Palatino Linotype" w:cs="Palatino Linotype"/>
        </w:rPr>
        <w:t>De igual modo, es de señalar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4E079A91" w14:textId="77777777" w:rsidR="003A416B" w:rsidRDefault="003A416B" w:rsidP="003A416B">
      <w:pPr>
        <w:spacing w:line="360" w:lineRule="auto"/>
        <w:rPr>
          <w:rFonts w:ascii="Palatino Linotype" w:eastAsia="Palatino Linotype" w:hAnsi="Palatino Linotype" w:cs="Palatino Linotype"/>
        </w:rPr>
      </w:pPr>
    </w:p>
    <w:p w14:paraId="14C19CFF" w14:textId="77777777" w:rsidR="003A416B" w:rsidRDefault="003A416B" w:rsidP="003A41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para la atención de las solicitudes de acceso a la información, debe privilegiarse el </w:t>
      </w:r>
      <w:r>
        <w:rPr>
          <w:rFonts w:ascii="Palatino Linotype" w:eastAsia="Palatino Linotype" w:hAnsi="Palatino Linotype" w:cs="Palatino Linotype"/>
          <w:b/>
        </w:rPr>
        <w:t>principio de máxima publicidad</w:t>
      </w:r>
      <w:r>
        <w:rPr>
          <w:rFonts w:ascii="Palatino Linotype" w:eastAsia="Palatino Linotype" w:hAnsi="Palatino Linotype" w:cs="Palatino Linotype"/>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62B0A0D3" w14:textId="77777777" w:rsidR="003A416B" w:rsidRDefault="003A416B" w:rsidP="003A416B">
      <w:pPr>
        <w:spacing w:line="360" w:lineRule="auto"/>
        <w:rPr>
          <w:rFonts w:ascii="Palatino Linotype" w:eastAsia="Palatino Linotype" w:hAnsi="Palatino Linotype" w:cs="Palatino Linotype"/>
        </w:rPr>
      </w:pPr>
    </w:p>
    <w:p w14:paraId="2D16B5B7" w14:textId="77777777" w:rsidR="003A416B" w:rsidRDefault="003A416B" w:rsidP="003A41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lograr lo anterior, los Sujetos Obligados deben seguir el procedimiento para la atención a las solicitudes de acceso a la información, establecido en los artículos 151, </w:t>
      </w:r>
      <w:r>
        <w:rPr>
          <w:rFonts w:ascii="Palatino Linotype" w:eastAsia="Palatino Linotype" w:hAnsi="Palatino Linotype" w:cs="Palatino Linotype"/>
        </w:rPr>
        <w:lastRenderedPageBreak/>
        <w:t>159, 160, 162, 163, 164, 165 y 166, de la Ley de Transparencia y Acceso a la Información Pública del Estado de México y Municipios, el cual es el siguiente:</w:t>
      </w:r>
    </w:p>
    <w:p w14:paraId="5B45F902" w14:textId="77777777" w:rsidR="003A416B" w:rsidRDefault="003A416B" w:rsidP="003A416B">
      <w:pPr>
        <w:spacing w:line="360" w:lineRule="auto"/>
        <w:rPr>
          <w:rFonts w:ascii="Palatino Linotype" w:eastAsia="Palatino Linotype" w:hAnsi="Palatino Linotype" w:cs="Palatino Linotype"/>
        </w:rPr>
      </w:pPr>
    </w:p>
    <w:p w14:paraId="7CDCD523" w14:textId="671F504C" w:rsidR="003A416B" w:rsidRPr="003A416B" w:rsidRDefault="003A416B" w:rsidP="003A416B">
      <w:pPr>
        <w:numPr>
          <w:ilvl w:val="0"/>
          <w:numId w:val="17"/>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EE99979" w14:textId="77777777" w:rsidR="003A416B" w:rsidRDefault="003A416B" w:rsidP="003A416B">
      <w:pPr>
        <w:numPr>
          <w:ilvl w:val="0"/>
          <w:numId w:val="17"/>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22B1973E" w14:textId="77777777" w:rsidR="003A416B" w:rsidRDefault="003A416B" w:rsidP="003A416B">
      <w:pPr>
        <w:numPr>
          <w:ilvl w:val="0"/>
          <w:numId w:val="17"/>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Las respuestas a los requerimientos informativos deberán notificarse al interesado en el menor tiempo posible, que no podrá exceder </w:t>
      </w:r>
      <w:r>
        <w:rPr>
          <w:rFonts w:ascii="Palatino Linotype" w:eastAsia="Palatino Linotype" w:hAnsi="Palatino Linotype" w:cs="Palatino Linotype"/>
          <w:b/>
        </w:rPr>
        <w:t>quince días, contados a partir del día siguiente a la presentación de ésta.</w:t>
      </w:r>
      <w:r>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14:paraId="1203E8AA" w14:textId="77777777" w:rsidR="003A416B" w:rsidRDefault="003A416B" w:rsidP="003A416B">
      <w:pPr>
        <w:numPr>
          <w:ilvl w:val="0"/>
          <w:numId w:val="17"/>
        </w:numPr>
        <w:spacing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w:t>
      </w:r>
      <w:r>
        <w:rPr>
          <w:rFonts w:ascii="Palatino Linotype" w:eastAsia="Palatino Linotype" w:hAnsi="Palatino Linotype" w:cs="Palatino Linotype"/>
          <w:b/>
          <w:u w:val="single"/>
        </w:rPr>
        <w:lastRenderedPageBreak/>
        <w:t>solicitada, con el fin de que proporcionen las expresiones documentales que se encuentren en sus archivos o que estén constreñidos a elaborar;</w:t>
      </w:r>
    </w:p>
    <w:p w14:paraId="3B016BA5" w14:textId="77777777" w:rsidR="003A416B" w:rsidRDefault="003A416B" w:rsidP="003A416B">
      <w:pPr>
        <w:numPr>
          <w:ilvl w:val="0"/>
          <w:numId w:val="17"/>
        </w:num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08B6106" w14:textId="77777777" w:rsidR="003A416B" w:rsidRDefault="003A416B" w:rsidP="003A416B">
      <w:pPr>
        <w:numPr>
          <w:ilvl w:val="0"/>
          <w:numId w:val="17"/>
        </w:num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E15F2FB" w14:textId="77777777" w:rsidR="003A416B" w:rsidRDefault="003A416B" w:rsidP="003A416B">
      <w:pPr>
        <w:spacing w:line="360" w:lineRule="auto"/>
      </w:pPr>
    </w:p>
    <w:p w14:paraId="6B174BD1" w14:textId="77777777" w:rsidR="003A416B" w:rsidRDefault="003A416B" w:rsidP="003A416B">
      <w:pPr>
        <w:pBdr>
          <w:top w:val="nil"/>
          <w:left w:val="nil"/>
          <w:bottom w:val="nil"/>
          <w:right w:val="nil"/>
          <w:between w:val="nil"/>
        </w:pBdr>
        <w:spacing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rPr>
        <w:t xml:space="preserve">De tal manera que, la Unidad de Transparencia debió de haber seguido un determinado procedimiento para atender la solicitud que ahora nos ocupa, entre este, </w:t>
      </w:r>
      <w:r>
        <w:rPr>
          <w:rFonts w:ascii="Palatino Linotype" w:eastAsia="Palatino Linotype" w:hAnsi="Palatino Linotype" w:cs="Palatino Linotype"/>
          <w:b/>
          <w:u w:val="single"/>
        </w:rPr>
        <w:t xml:space="preserve">haber turnado la solicitud de información a todas las áreas competentes que cuenten con la información o deban tenerla de acuerdo con sus facultades, funciones y atribuciones, para que realicen una búsqueda exhaustiva y razonable de la documentación solicitada. </w:t>
      </w:r>
    </w:p>
    <w:p w14:paraId="3E861AC2" w14:textId="77777777" w:rsidR="003A416B" w:rsidRDefault="003A416B" w:rsidP="003A416B">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4F24F75" w14:textId="77777777" w:rsidR="003A416B" w:rsidRDefault="003A416B" w:rsidP="003A41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todo lo anterior, se concluye que los agravios hechos valer por el Particular son </w:t>
      </w:r>
      <w:r>
        <w:rPr>
          <w:rFonts w:ascii="Palatino Linotype" w:eastAsia="Palatino Linotype" w:hAnsi="Palatino Linotype" w:cs="Palatino Linotype"/>
          <w:b/>
        </w:rPr>
        <w:t xml:space="preserve">FUNDADOS </w:t>
      </w:r>
      <w:r>
        <w:rPr>
          <w:rFonts w:ascii="Palatino Linotype" w:eastAsia="Palatino Linotype" w:hAnsi="Palatino Linotype" w:cs="Palatino Linotype"/>
        </w:rPr>
        <w:t xml:space="preserve">y, por ende, este Organismo Garante determina </w:t>
      </w:r>
      <w:r>
        <w:rPr>
          <w:rFonts w:ascii="Palatino Linotype" w:eastAsia="Palatino Linotype" w:hAnsi="Palatino Linotype" w:cs="Palatino Linotype"/>
          <w:b/>
        </w:rPr>
        <w:t xml:space="preserve">REVOCAR </w:t>
      </w:r>
      <w:r>
        <w:rPr>
          <w:rFonts w:ascii="Palatino Linotype" w:eastAsia="Palatino Linotype" w:hAnsi="Palatino Linotype" w:cs="Palatino Linotype"/>
        </w:rPr>
        <w:t xml:space="preserve">la respuesta del Sujeto Obligado y; </w:t>
      </w:r>
      <w:r>
        <w:rPr>
          <w:rFonts w:ascii="Palatino Linotype" w:eastAsia="Palatino Linotype" w:hAnsi="Palatino Linotype" w:cs="Palatino Linotype"/>
          <w:b/>
        </w:rPr>
        <w:t xml:space="preserve">ORDENAR </w:t>
      </w:r>
      <w:r>
        <w:rPr>
          <w:rFonts w:ascii="Palatino Linotype" w:eastAsia="Palatino Linotype" w:hAnsi="Palatino Linotype" w:cs="Palatino Linotype"/>
        </w:rPr>
        <w:t xml:space="preserve">entregar previa </w:t>
      </w:r>
      <w:r>
        <w:rPr>
          <w:rFonts w:ascii="Palatino Linotype" w:eastAsia="Palatino Linotype" w:hAnsi="Palatino Linotype" w:cs="Palatino Linotype"/>
        </w:rPr>
        <w:lastRenderedPageBreak/>
        <w:t>búsqueda exhaustiva y razonable,</w:t>
      </w:r>
      <w:r>
        <w:rPr>
          <w:rFonts w:ascii="Palatino Linotype" w:eastAsia="Palatino Linotype" w:hAnsi="Palatino Linotype" w:cs="Palatino Linotype"/>
          <w:b/>
        </w:rPr>
        <w:t xml:space="preserve"> </w:t>
      </w:r>
      <w:r>
        <w:rPr>
          <w:rFonts w:ascii="Palatino Linotype" w:eastAsia="Palatino Linotype" w:hAnsi="Palatino Linotype" w:cs="Palatino Linotype"/>
        </w:rPr>
        <w:t>de ser el caso, en versión pública, vía Sistema de Acceso a la Información Mexiquense, la siguiente información:</w:t>
      </w:r>
    </w:p>
    <w:p w14:paraId="0EDF1EB6" w14:textId="77777777" w:rsidR="003A416B" w:rsidRDefault="003A416B" w:rsidP="003A416B">
      <w:pPr>
        <w:spacing w:line="360" w:lineRule="auto"/>
        <w:jc w:val="both"/>
        <w:rPr>
          <w:rFonts w:ascii="Palatino Linotype" w:eastAsia="Palatino Linotype" w:hAnsi="Palatino Linotype" w:cs="Palatino Linotype"/>
        </w:rPr>
      </w:pPr>
    </w:p>
    <w:p w14:paraId="39E15DA0" w14:textId="77777777" w:rsidR="00DF7D14" w:rsidRPr="00DF7D14" w:rsidRDefault="00DF7D14" w:rsidP="00DF7D14">
      <w:pPr>
        <w:tabs>
          <w:tab w:val="left" w:pos="993"/>
        </w:tabs>
        <w:spacing w:line="276" w:lineRule="auto"/>
        <w:ind w:left="567" w:right="616"/>
        <w:jc w:val="both"/>
        <w:rPr>
          <w:rFonts w:ascii="Palatino Linotype" w:eastAsia="Palatino Linotype" w:hAnsi="Palatino Linotype" w:cs="Palatino Linotype"/>
          <w:b/>
          <w:bCs/>
          <w:sz w:val="22"/>
        </w:rPr>
      </w:pPr>
      <w:r w:rsidRPr="00DF7D14">
        <w:rPr>
          <w:rFonts w:ascii="Palatino Linotype" w:eastAsia="Palatino Linotype" w:hAnsi="Palatino Linotype" w:cs="Palatino Linotype"/>
          <w:b/>
          <w:bCs/>
          <w:sz w:val="22"/>
        </w:rPr>
        <w:t xml:space="preserve">De la celebración del contrato con la empresa referida de la solicitud de información, los documentos donde conste; </w:t>
      </w:r>
    </w:p>
    <w:p w14:paraId="15D190D4" w14:textId="77777777" w:rsidR="00DF7D14" w:rsidRDefault="00DF7D14" w:rsidP="00DF7D14">
      <w:pPr>
        <w:tabs>
          <w:tab w:val="left" w:pos="993"/>
        </w:tabs>
        <w:spacing w:line="360" w:lineRule="auto"/>
        <w:ind w:left="567" w:right="616"/>
        <w:jc w:val="both"/>
        <w:rPr>
          <w:rFonts w:ascii="Palatino Linotype" w:eastAsia="Palatino Linotype" w:hAnsi="Palatino Linotype" w:cs="Palatino Linotype"/>
        </w:rPr>
      </w:pPr>
    </w:p>
    <w:p w14:paraId="23ADD65B" w14:textId="77777777" w:rsidR="00DF7D14" w:rsidRDefault="00DF7D14" w:rsidP="00DF7D14">
      <w:pPr>
        <w:pStyle w:val="Prrafodelista"/>
        <w:numPr>
          <w:ilvl w:val="0"/>
          <w:numId w:val="24"/>
        </w:numPr>
        <w:tabs>
          <w:tab w:val="left" w:pos="993"/>
        </w:tabs>
        <w:spacing w:line="360" w:lineRule="auto"/>
        <w:ind w:left="851" w:right="616"/>
        <w:jc w:val="both"/>
        <w:rPr>
          <w:rFonts w:ascii="Palatino Linotype" w:eastAsia="Palatino Linotype" w:hAnsi="Palatino Linotype" w:cs="Palatino Linotype"/>
        </w:rPr>
      </w:pPr>
      <w:r>
        <w:rPr>
          <w:rFonts w:ascii="Palatino Linotype" w:eastAsia="Palatino Linotype" w:hAnsi="Palatino Linotype" w:cs="Palatino Linotype"/>
        </w:rPr>
        <w:t>Los montos pagados por sus servicios;</w:t>
      </w:r>
    </w:p>
    <w:p w14:paraId="5F052385" w14:textId="77777777" w:rsidR="00DF7D14" w:rsidRDefault="00DF7D14" w:rsidP="00DF7D14">
      <w:pPr>
        <w:pStyle w:val="Prrafodelista"/>
        <w:numPr>
          <w:ilvl w:val="0"/>
          <w:numId w:val="24"/>
        </w:numPr>
        <w:tabs>
          <w:tab w:val="left" w:pos="993"/>
        </w:tabs>
        <w:spacing w:line="360" w:lineRule="auto"/>
        <w:ind w:left="851" w:right="616"/>
        <w:jc w:val="both"/>
        <w:rPr>
          <w:rFonts w:ascii="Palatino Linotype" w:eastAsia="Palatino Linotype" w:hAnsi="Palatino Linotype" w:cs="Palatino Linotype"/>
        </w:rPr>
      </w:pPr>
      <w:r>
        <w:rPr>
          <w:rFonts w:ascii="Palatino Linotype" w:eastAsia="Palatino Linotype" w:hAnsi="Palatino Linotype" w:cs="Palatino Linotype"/>
        </w:rPr>
        <w:t xml:space="preserve">El monto de recuperación de su cartera vencida. </w:t>
      </w:r>
    </w:p>
    <w:p w14:paraId="63308393" w14:textId="77777777" w:rsidR="00DF7D14" w:rsidRDefault="00DF7D14" w:rsidP="00DF7D14">
      <w:pPr>
        <w:pStyle w:val="Prrafodelista"/>
        <w:tabs>
          <w:tab w:val="left" w:pos="993"/>
        </w:tabs>
        <w:spacing w:line="360" w:lineRule="auto"/>
        <w:ind w:left="720" w:right="-28"/>
        <w:jc w:val="both"/>
        <w:rPr>
          <w:rFonts w:ascii="Palatino Linotype" w:eastAsia="Palatino Linotype" w:hAnsi="Palatino Linotype" w:cs="Palatino Linotype"/>
        </w:rPr>
      </w:pPr>
    </w:p>
    <w:p w14:paraId="57348B92" w14:textId="77777777" w:rsidR="00DF7D14" w:rsidRPr="00DF7D14" w:rsidRDefault="00DF7D14" w:rsidP="00DF7D14">
      <w:pPr>
        <w:pStyle w:val="Prrafodelista"/>
        <w:tabs>
          <w:tab w:val="left" w:pos="993"/>
        </w:tabs>
        <w:spacing w:line="360" w:lineRule="auto"/>
        <w:ind w:left="567" w:right="900"/>
        <w:jc w:val="both"/>
        <w:rPr>
          <w:rFonts w:ascii="Palatino Linotype" w:eastAsia="Palatino Linotype" w:hAnsi="Palatino Linotype" w:cs="Palatino Linotype"/>
        </w:rPr>
      </w:pPr>
      <w:r w:rsidRPr="00DF7D14">
        <w:rPr>
          <w:rFonts w:ascii="Palatino Linotype" w:eastAsia="Palatino Linotype" w:hAnsi="Palatino Linotype" w:cs="Palatino Linotype"/>
          <w:b/>
          <w:bCs/>
        </w:rPr>
        <w:t xml:space="preserve">Lo anterior desde el inicio de la vigencia del contrato y hasta diecinueve de agosto de dos mil veintidós, o bien, a la fecha de la finalización de la relación contractual, en caso de que dicho supuesto se haya actualizado antes de la fecha de la solicitud. </w:t>
      </w:r>
    </w:p>
    <w:p w14:paraId="38F24C39" w14:textId="77777777" w:rsidR="00DF7D14" w:rsidRPr="00DF7D14" w:rsidRDefault="00DF7D14" w:rsidP="00DF7D14">
      <w:pPr>
        <w:pStyle w:val="Prrafodelista"/>
        <w:tabs>
          <w:tab w:val="left" w:pos="993"/>
        </w:tabs>
        <w:spacing w:line="360" w:lineRule="auto"/>
        <w:ind w:left="720" w:right="616"/>
        <w:jc w:val="both"/>
        <w:rPr>
          <w:rFonts w:ascii="Palatino Linotype" w:eastAsia="Palatino Linotype" w:hAnsi="Palatino Linotype" w:cs="Palatino Linotype"/>
          <w:color w:val="FF0000"/>
          <w:highlight w:val="yellow"/>
        </w:rPr>
      </w:pPr>
    </w:p>
    <w:p w14:paraId="7B4DA57E" w14:textId="77777777" w:rsidR="003A416B" w:rsidRDefault="003A416B" w:rsidP="003A416B">
      <w:pPr>
        <w:pBdr>
          <w:top w:val="nil"/>
          <w:left w:val="nil"/>
          <w:bottom w:val="nil"/>
          <w:right w:val="nil"/>
          <w:between w:val="nil"/>
        </w:pBdr>
        <w:tabs>
          <w:tab w:val="left" w:pos="993"/>
        </w:tabs>
        <w:spacing w:line="276" w:lineRule="auto"/>
        <w:ind w:right="-2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55DF3AC" w14:textId="77777777" w:rsidR="00DF7D14" w:rsidRDefault="00DF7D14" w:rsidP="003A416B">
      <w:pPr>
        <w:pBdr>
          <w:top w:val="nil"/>
          <w:left w:val="nil"/>
          <w:bottom w:val="nil"/>
          <w:right w:val="nil"/>
          <w:between w:val="nil"/>
        </w:pBdr>
        <w:tabs>
          <w:tab w:val="left" w:pos="993"/>
        </w:tabs>
        <w:spacing w:line="276" w:lineRule="auto"/>
        <w:ind w:right="-28"/>
        <w:jc w:val="both"/>
        <w:rPr>
          <w:rFonts w:ascii="Palatino Linotype" w:eastAsia="Palatino Linotype" w:hAnsi="Palatino Linotype" w:cs="Palatino Linotype"/>
          <w:i/>
          <w:color w:val="000000"/>
        </w:rPr>
      </w:pPr>
    </w:p>
    <w:p w14:paraId="74503DC0" w14:textId="77777777" w:rsidR="00DF7D14" w:rsidRDefault="00DF7D14" w:rsidP="00DF7D14">
      <w:pPr>
        <w:pBdr>
          <w:top w:val="nil"/>
          <w:left w:val="nil"/>
          <w:bottom w:val="nil"/>
          <w:right w:val="nil"/>
          <w:between w:val="nil"/>
        </w:pBdr>
        <w:spacing w:line="276" w:lineRule="auto"/>
        <w:ind w:right="49"/>
        <w:jc w:val="both"/>
        <w:rPr>
          <w:rFonts w:ascii="Palatino Linotype" w:eastAsia="Palatino Linotype" w:hAnsi="Palatino Linotype" w:cs="Palatino Linotype"/>
          <w:i/>
        </w:rPr>
      </w:pPr>
      <w:r w:rsidRPr="00DF7D14">
        <w:rPr>
          <w:rFonts w:ascii="Palatino Linotype" w:eastAsia="Palatino Linotype" w:hAnsi="Palatino Linotype" w:cs="Palatino Linotype"/>
          <w:i/>
        </w:rPr>
        <w:t>Para el caso de que la información que se ordena entregar en el inciso b), no obre en los archivos del Sujeto Obligado, por no haberse generado, deberá hacerlo del conocimiento del Particular en términos del artículo 19, párrafo segundo, de la Ley de Transparencia y Acceso a la Información Pública del Estado de México y Municipios, para tenerse por colmado dicho requerimiento.</w:t>
      </w:r>
      <w:r>
        <w:rPr>
          <w:rFonts w:ascii="Palatino Linotype" w:eastAsia="Palatino Linotype" w:hAnsi="Palatino Linotype" w:cs="Palatino Linotype"/>
          <w:i/>
        </w:rPr>
        <w:t xml:space="preserve"> </w:t>
      </w:r>
    </w:p>
    <w:p w14:paraId="5D5730A7" w14:textId="77777777" w:rsidR="003A416B" w:rsidRDefault="003A416B" w:rsidP="003A416B">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6145095B" w14:textId="77777777" w:rsidR="003A416B" w:rsidRDefault="003A416B" w:rsidP="003A416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Quinto. De la versión pública.</w:t>
      </w:r>
      <w:r>
        <w:rPr>
          <w:rFonts w:ascii="Palatino Linotype" w:eastAsia="Palatino Linotype" w:hAnsi="Palatino Linotype" w:cs="Palatino Linotype"/>
        </w:rPr>
        <w:t xml:space="preserve"> En atención a las documentales que se determinan ordenar, existe la posibilidad de que en estos obre información que puede ser </w:t>
      </w:r>
      <w:r>
        <w:rPr>
          <w:rFonts w:ascii="Palatino Linotype" w:eastAsia="Palatino Linotype" w:hAnsi="Palatino Linotype" w:cs="Palatino Linotype"/>
        </w:rPr>
        <w:lastRenderedPageBreak/>
        <w:t>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084D5AE" w14:textId="77777777" w:rsidR="003A416B" w:rsidRDefault="003A416B" w:rsidP="003A416B">
      <w:pPr>
        <w:spacing w:line="360" w:lineRule="auto"/>
        <w:ind w:right="49"/>
        <w:jc w:val="both"/>
        <w:rPr>
          <w:rFonts w:ascii="Palatino Linotype" w:eastAsia="Palatino Linotype" w:hAnsi="Palatino Linotype" w:cs="Palatino Linotype"/>
        </w:rPr>
      </w:pPr>
    </w:p>
    <w:p w14:paraId="73064415" w14:textId="77777777" w:rsidR="003A416B" w:rsidRDefault="003A416B" w:rsidP="003A416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526ECB98" w14:textId="77777777" w:rsidR="003A416B" w:rsidRDefault="003A416B" w:rsidP="003A416B">
      <w:pPr>
        <w:spacing w:line="360" w:lineRule="auto"/>
        <w:ind w:right="49"/>
        <w:jc w:val="both"/>
        <w:rPr>
          <w:rFonts w:ascii="Palatino Linotype" w:eastAsia="Palatino Linotype" w:hAnsi="Palatino Linotype" w:cs="Palatino Linotype"/>
        </w:rPr>
      </w:pPr>
    </w:p>
    <w:p w14:paraId="7F856AB2" w14:textId="77777777" w:rsidR="003A416B" w:rsidRDefault="003A416B" w:rsidP="003A416B">
      <w:pPr>
        <w:spacing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rPr>
        <w:t xml:space="preserve"> </w:t>
      </w:r>
      <w:r>
        <w:rPr>
          <w:rFonts w:ascii="Palatino Linotype" w:eastAsia="Palatino Linotype" w:hAnsi="Palatino Linotype" w:cs="Palatino Linotype"/>
          <w:b/>
          <w:i/>
        </w:rPr>
        <w:t>Artículo 143.</w:t>
      </w:r>
      <w:r>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3C5B1EC2" w14:textId="77777777" w:rsidR="003A416B" w:rsidRDefault="003A416B" w:rsidP="003A416B">
      <w:pPr>
        <w:spacing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I.</w:t>
      </w:r>
      <w:r>
        <w:rPr>
          <w:rFonts w:ascii="Palatino Linotype" w:eastAsia="Palatino Linotype" w:hAnsi="Palatino Linotype" w:cs="Palatino Linotype"/>
          <w:i/>
        </w:rPr>
        <w:tab/>
        <w:t>Se refiera a la información privada y los datos personales concernientes a una persona física o jurídico colectiva identificada o identificable…</w:t>
      </w:r>
    </w:p>
    <w:p w14:paraId="0EB7C821" w14:textId="77777777" w:rsidR="003A416B" w:rsidRDefault="003A416B" w:rsidP="003A416B">
      <w:pPr>
        <w:spacing w:line="360" w:lineRule="auto"/>
        <w:ind w:right="49"/>
        <w:jc w:val="both"/>
        <w:rPr>
          <w:rFonts w:ascii="Palatino Linotype" w:eastAsia="Palatino Linotype" w:hAnsi="Palatino Linotype" w:cs="Palatino Linotype"/>
        </w:rPr>
      </w:pPr>
    </w:p>
    <w:p w14:paraId="3B8550B0" w14:textId="77777777" w:rsidR="003A416B" w:rsidRDefault="003A416B" w:rsidP="003A416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04753A58" w14:textId="77777777" w:rsidR="003A416B" w:rsidRDefault="003A416B" w:rsidP="003A416B">
      <w:pPr>
        <w:spacing w:line="360" w:lineRule="auto"/>
        <w:ind w:right="49"/>
        <w:jc w:val="both"/>
        <w:rPr>
          <w:rFonts w:ascii="Palatino Linotype" w:eastAsia="Palatino Linotype" w:hAnsi="Palatino Linotype" w:cs="Palatino Linotype"/>
        </w:rPr>
      </w:pPr>
    </w:p>
    <w:p w14:paraId="204C039C" w14:textId="77777777" w:rsidR="003A416B" w:rsidRDefault="003A416B" w:rsidP="003A416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1F332FA5" w14:textId="77777777" w:rsidR="003A416B" w:rsidRDefault="003A416B" w:rsidP="003A416B">
      <w:pPr>
        <w:spacing w:line="360" w:lineRule="auto"/>
        <w:ind w:right="49"/>
        <w:jc w:val="both"/>
        <w:rPr>
          <w:rFonts w:ascii="Palatino Linotype" w:eastAsia="Palatino Linotype" w:hAnsi="Palatino Linotype" w:cs="Palatino Linotype"/>
        </w:rPr>
      </w:pPr>
    </w:p>
    <w:p w14:paraId="09B79AB8" w14:textId="77777777" w:rsidR="003A416B" w:rsidRDefault="003A416B" w:rsidP="003A416B">
      <w:pPr>
        <w:spacing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49.</w:t>
      </w:r>
      <w:r>
        <w:rPr>
          <w:rFonts w:ascii="Palatino Linotype" w:eastAsia="Palatino Linotype" w:hAnsi="Palatino Linotype" w:cs="Palatino Linotype"/>
          <w:i/>
        </w:rPr>
        <w:t xml:space="preserve"> Los Comités de Transparencia tendrán las siguientes atribuciones:</w:t>
      </w:r>
    </w:p>
    <w:p w14:paraId="63B74D26" w14:textId="77777777" w:rsidR="003A416B" w:rsidRDefault="003A416B" w:rsidP="003A416B">
      <w:pPr>
        <w:spacing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A178F83" w14:textId="77777777" w:rsidR="003A416B" w:rsidRDefault="003A416B" w:rsidP="003A416B">
      <w:pPr>
        <w:spacing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VIII. Aprobar, modificar o revocar la clasificación de la información</w:t>
      </w:r>
    </w:p>
    <w:p w14:paraId="44E94CDC" w14:textId="77777777" w:rsidR="003A416B" w:rsidRDefault="003A416B" w:rsidP="003A416B">
      <w:pPr>
        <w:spacing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5367D92" w14:textId="77777777" w:rsidR="003A416B" w:rsidRDefault="003A416B" w:rsidP="003A416B">
      <w:pPr>
        <w:spacing w:line="276" w:lineRule="auto"/>
        <w:ind w:left="567" w:right="560"/>
        <w:jc w:val="both"/>
        <w:rPr>
          <w:rFonts w:ascii="Palatino Linotype" w:eastAsia="Palatino Linotype" w:hAnsi="Palatino Linotype" w:cs="Palatino Linotype"/>
          <w:i/>
        </w:rPr>
      </w:pPr>
    </w:p>
    <w:p w14:paraId="567C2839" w14:textId="77777777" w:rsidR="003A416B" w:rsidRDefault="003A416B" w:rsidP="003A416B">
      <w:pPr>
        <w:spacing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53.</w:t>
      </w:r>
      <w:r>
        <w:rPr>
          <w:rFonts w:ascii="Palatino Linotype" w:eastAsia="Palatino Linotype" w:hAnsi="Palatino Linotype" w:cs="Palatino Linotype"/>
          <w:i/>
        </w:rPr>
        <w:t xml:space="preserve"> Las Unidades de Transparencia tendrán las siguientes funciones:</w:t>
      </w:r>
    </w:p>
    <w:p w14:paraId="741FF8E8" w14:textId="77777777" w:rsidR="003A416B" w:rsidRDefault="003A416B" w:rsidP="003A416B">
      <w:pPr>
        <w:spacing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99CD332" w14:textId="77777777" w:rsidR="003A416B" w:rsidRDefault="003A416B" w:rsidP="003A416B">
      <w:pPr>
        <w:spacing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X. Presentar ante el Comité, el proyecto de clasificación de información…” </w:t>
      </w:r>
    </w:p>
    <w:p w14:paraId="605EE2D4" w14:textId="77777777" w:rsidR="003A416B" w:rsidRDefault="003A416B" w:rsidP="003A416B">
      <w:pPr>
        <w:spacing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330CBAA" w14:textId="77777777" w:rsidR="003A416B" w:rsidRDefault="003A416B" w:rsidP="003A416B">
      <w:pPr>
        <w:spacing w:line="276" w:lineRule="auto"/>
        <w:ind w:left="567" w:right="560"/>
        <w:jc w:val="both"/>
        <w:rPr>
          <w:rFonts w:ascii="Palatino Linotype" w:eastAsia="Palatino Linotype" w:hAnsi="Palatino Linotype" w:cs="Palatino Linotype"/>
          <w:i/>
        </w:rPr>
      </w:pPr>
    </w:p>
    <w:p w14:paraId="7201FAC4" w14:textId="77777777" w:rsidR="003A416B" w:rsidRDefault="003A416B" w:rsidP="003A416B">
      <w:pPr>
        <w:spacing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59.</w:t>
      </w:r>
      <w:r>
        <w:rPr>
          <w:rFonts w:ascii="Palatino Linotype" w:eastAsia="Palatino Linotype" w:hAnsi="Palatino Linotype" w:cs="Palatino Linotype"/>
          <w:i/>
        </w:rPr>
        <w:t xml:space="preserve"> Los servidores públicos habilitados tendrán las funciones siguientes:</w:t>
      </w:r>
    </w:p>
    <w:p w14:paraId="50FE3261" w14:textId="77777777" w:rsidR="003A416B" w:rsidRDefault="003A416B" w:rsidP="003A416B">
      <w:pPr>
        <w:spacing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2DF92C6" w14:textId="77777777" w:rsidR="003A416B" w:rsidRDefault="003A416B" w:rsidP="003A416B">
      <w:pPr>
        <w:spacing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160E801D" w14:textId="77777777" w:rsidR="003A416B" w:rsidRDefault="003A416B" w:rsidP="003A416B">
      <w:pPr>
        <w:spacing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5558544" w14:textId="77777777" w:rsidR="003A416B" w:rsidRDefault="003A416B" w:rsidP="003A416B">
      <w:pPr>
        <w:spacing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7CE66C66" w14:textId="77777777" w:rsidR="003A416B" w:rsidRDefault="003A416B" w:rsidP="003A416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2ED97812" w14:textId="77777777" w:rsidR="003A416B" w:rsidRDefault="003A416B" w:rsidP="003A416B">
      <w:pPr>
        <w:spacing w:line="360" w:lineRule="auto"/>
        <w:ind w:right="49"/>
        <w:jc w:val="both"/>
        <w:rPr>
          <w:rFonts w:ascii="Palatino Linotype" w:eastAsia="Palatino Linotype" w:hAnsi="Palatino Linotype" w:cs="Palatino Linotype"/>
        </w:rPr>
      </w:pPr>
    </w:p>
    <w:p w14:paraId="67E01D7C" w14:textId="77777777" w:rsidR="003A416B" w:rsidRDefault="003A416B" w:rsidP="003A416B">
      <w:pPr>
        <w:spacing w:line="360"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Artículo 149.</w:t>
      </w:r>
      <w:r>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1BD7FAD0" w14:textId="77777777" w:rsidR="003A416B" w:rsidRDefault="003A416B" w:rsidP="003A416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47BDAC18" w14:textId="77777777" w:rsidR="003A416B" w:rsidRDefault="003A416B" w:rsidP="003A416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Pr>
          <w:rFonts w:ascii="Palatino Linotype" w:eastAsia="Palatino Linotype" w:hAnsi="Palatino Linotype" w:cs="Palatino Linotype"/>
        </w:rPr>
        <w:t>supraindicados</w:t>
      </w:r>
      <w:proofErr w:type="spellEnd"/>
      <w:r>
        <w:rPr>
          <w:rFonts w:ascii="Palatino Linotype" w:eastAsia="Palatino Linotype" w:hAnsi="Palatino Linotype" w:cs="Palatino Linotype"/>
        </w:rPr>
        <w:t xml:space="preserve">, que establecen los formatos para la clasificación parcial y total de los documentos, conforme a lo siguiente: </w:t>
      </w:r>
    </w:p>
    <w:p w14:paraId="6C8A0F96" w14:textId="77777777" w:rsidR="00312B61" w:rsidRDefault="00312B61" w:rsidP="003A416B">
      <w:pPr>
        <w:spacing w:line="360" w:lineRule="auto"/>
        <w:ind w:right="49"/>
        <w:jc w:val="both"/>
        <w:rPr>
          <w:rFonts w:ascii="Palatino Linotype" w:eastAsia="Palatino Linotype" w:hAnsi="Palatino Linotype" w:cs="Palatino Linotype"/>
        </w:rPr>
      </w:pPr>
    </w:p>
    <w:p w14:paraId="527FE6D7" w14:textId="77777777" w:rsidR="003A416B" w:rsidRPr="009F7082" w:rsidRDefault="003A416B" w:rsidP="003A416B">
      <w:pPr>
        <w:spacing w:line="360" w:lineRule="auto"/>
        <w:ind w:right="49"/>
        <w:jc w:val="both"/>
        <w:rPr>
          <w:rFonts w:ascii="Palatino Linotype" w:eastAsia="Palatino Linotype" w:hAnsi="Palatino Linotype" w:cs="Palatino Linotype"/>
          <w:sz w:val="6"/>
        </w:rPr>
      </w:pPr>
    </w:p>
    <w:tbl>
      <w:tblPr>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3A416B" w14:paraId="65355782" w14:textId="77777777" w:rsidTr="00935D1F">
        <w:tc>
          <w:tcPr>
            <w:tcW w:w="4234" w:type="dxa"/>
            <w:gridSpan w:val="2"/>
            <w:tcBorders>
              <w:top w:val="single" w:sz="6" w:space="0" w:color="BFBFBF"/>
              <w:left w:val="single" w:sz="6" w:space="0" w:color="BFBFBF"/>
              <w:bottom w:val="single" w:sz="6" w:space="0" w:color="BFBFBF"/>
              <w:right w:val="single" w:sz="6" w:space="0" w:color="BFBFBF"/>
            </w:tcBorders>
          </w:tcPr>
          <w:p w14:paraId="0FC7A2F2"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78C2D369"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Total</w:t>
            </w:r>
          </w:p>
        </w:tc>
      </w:tr>
      <w:tr w:rsidR="003A416B" w14:paraId="3BBFD6B3" w14:textId="77777777" w:rsidTr="00935D1F">
        <w:tc>
          <w:tcPr>
            <w:tcW w:w="1386" w:type="dxa"/>
            <w:tcBorders>
              <w:top w:val="single" w:sz="6" w:space="0" w:color="BFBFBF"/>
              <w:left w:val="single" w:sz="6" w:space="0" w:color="BFBFBF"/>
              <w:bottom w:val="single" w:sz="6" w:space="0" w:color="BFBFBF"/>
              <w:right w:val="single" w:sz="6" w:space="0" w:color="BFBFBF"/>
            </w:tcBorders>
          </w:tcPr>
          <w:p w14:paraId="4A6AF383"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040CC7E7"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795D9E30"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178A9D43"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Dónde</w:t>
            </w:r>
          </w:p>
        </w:tc>
      </w:tr>
      <w:tr w:rsidR="003A416B" w14:paraId="126EA4CC" w14:textId="77777777" w:rsidTr="00935D1F">
        <w:tc>
          <w:tcPr>
            <w:tcW w:w="9049" w:type="dxa"/>
            <w:gridSpan w:val="4"/>
            <w:tcBorders>
              <w:top w:val="single" w:sz="6" w:space="0" w:color="BFBFBF"/>
              <w:left w:val="single" w:sz="6" w:space="0" w:color="BFBFBF"/>
              <w:bottom w:val="single" w:sz="6" w:space="0" w:color="BFBFBF"/>
              <w:right w:val="single" w:sz="6" w:space="0" w:color="BFBFBF"/>
            </w:tcBorders>
          </w:tcPr>
          <w:p w14:paraId="499C762E"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Sello oficial o logotipo del sujeto obligado</w:t>
            </w:r>
          </w:p>
        </w:tc>
      </w:tr>
      <w:tr w:rsidR="003A416B" w14:paraId="79812F3F" w14:textId="77777777" w:rsidTr="00935D1F">
        <w:tc>
          <w:tcPr>
            <w:tcW w:w="1386" w:type="dxa"/>
            <w:tcBorders>
              <w:top w:val="single" w:sz="6" w:space="0" w:color="BFBFBF"/>
              <w:left w:val="single" w:sz="6" w:space="0" w:color="BFBFBF"/>
              <w:bottom w:val="single" w:sz="6" w:space="0" w:color="BFBFBF"/>
              <w:right w:val="single" w:sz="6" w:space="0" w:color="BFBFBF"/>
            </w:tcBorders>
          </w:tcPr>
          <w:p w14:paraId="39B4D0AB"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68B6108D"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2BA5E8A9"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16DB6367"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3A416B" w14:paraId="72F6506F" w14:textId="77777777" w:rsidTr="00935D1F">
        <w:tc>
          <w:tcPr>
            <w:tcW w:w="1386" w:type="dxa"/>
            <w:tcBorders>
              <w:top w:val="single" w:sz="6" w:space="0" w:color="BFBFBF"/>
              <w:left w:val="single" w:sz="6" w:space="0" w:color="BFBFBF"/>
              <w:bottom w:val="single" w:sz="6" w:space="0" w:color="BFBFBF"/>
              <w:right w:val="single" w:sz="6" w:space="0" w:color="BFBFBF"/>
            </w:tcBorders>
          </w:tcPr>
          <w:p w14:paraId="6BFE7301"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1B8ED597"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51A4CECE"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3A9EA395"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área de la cual es el titular quien clasifica.</w:t>
            </w:r>
          </w:p>
        </w:tc>
      </w:tr>
      <w:tr w:rsidR="003A416B" w14:paraId="47005C20" w14:textId="77777777" w:rsidTr="00935D1F">
        <w:tc>
          <w:tcPr>
            <w:tcW w:w="1386" w:type="dxa"/>
            <w:tcBorders>
              <w:top w:val="single" w:sz="6" w:space="0" w:color="BFBFBF"/>
              <w:left w:val="single" w:sz="6" w:space="0" w:color="BFBFBF"/>
              <w:bottom w:val="single" w:sz="6" w:space="0" w:color="BFBFBF"/>
              <w:right w:val="single" w:sz="6" w:space="0" w:color="BFBFBF"/>
            </w:tcBorders>
          </w:tcPr>
          <w:p w14:paraId="6E78B333"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277F958D"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64991CF5"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60F8E1EE"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Leyenda de información RESERVADA.</w:t>
            </w:r>
          </w:p>
        </w:tc>
      </w:tr>
      <w:tr w:rsidR="003A416B" w14:paraId="652AEFD6" w14:textId="77777777" w:rsidTr="00935D1F">
        <w:tc>
          <w:tcPr>
            <w:tcW w:w="1386" w:type="dxa"/>
            <w:tcBorders>
              <w:top w:val="single" w:sz="6" w:space="0" w:color="BFBFBF"/>
              <w:left w:val="single" w:sz="6" w:space="0" w:color="BFBFBF"/>
              <w:bottom w:val="single" w:sz="6" w:space="0" w:color="BFBFBF"/>
              <w:right w:val="single" w:sz="6" w:space="0" w:color="BFBFBF"/>
            </w:tcBorders>
          </w:tcPr>
          <w:p w14:paraId="73DB0A58"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3528C030"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7761D2C4"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7EDFA787"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3A416B" w14:paraId="3EBDACB9" w14:textId="77777777" w:rsidTr="00935D1F">
        <w:tc>
          <w:tcPr>
            <w:tcW w:w="1386" w:type="dxa"/>
            <w:tcBorders>
              <w:top w:val="single" w:sz="6" w:space="0" w:color="BFBFBF"/>
              <w:left w:val="single" w:sz="6" w:space="0" w:color="BFBFBF"/>
              <w:bottom w:val="single" w:sz="6" w:space="0" w:color="BFBFBF"/>
              <w:right w:val="single" w:sz="6" w:space="0" w:color="BFBFBF"/>
            </w:tcBorders>
          </w:tcPr>
          <w:p w14:paraId="3B3FC015"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17B8A938"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En caso de haber solicitado la ampliación del periodo de reserva originalmente establecido, se deberá anotar el </w:t>
            </w:r>
            <w:r>
              <w:rPr>
                <w:rFonts w:ascii="Palatino Linotype" w:eastAsia="Palatino Linotype" w:hAnsi="Palatino Linotype" w:cs="Palatino Linotype"/>
                <w:sz w:val="18"/>
                <w:szCs w:val="18"/>
              </w:rPr>
              <w:lastRenderedPageBreak/>
              <w:t>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224076AD"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lastRenderedPageBreak/>
              <w:t>Fundamento legal</w:t>
            </w:r>
          </w:p>
        </w:tc>
        <w:tc>
          <w:tcPr>
            <w:tcW w:w="3314" w:type="dxa"/>
            <w:tcBorders>
              <w:top w:val="single" w:sz="6" w:space="0" w:color="BFBFBF"/>
              <w:left w:val="single" w:sz="6" w:space="0" w:color="BFBFBF"/>
              <w:bottom w:val="single" w:sz="6" w:space="0" w:color="BFBFBF"/>
              <w:right w:val="single" w:sz="6" w:space="0" w:color="BFBFBF"/>
            </w:tcBorders>
          </w:tcPr>
          <w:p w14:paraId="1E15A091"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3A416B" w14:paraId="0FB9D4F1" w14:textId="77777777" w:rsidTr="00935D1F">
        <w:tc>
          <w:tcPr>
            <w:tcW w:w="1386" w:type="dxa"/>
            <w:tcBorders>
              <w:top w:val="single" w:sz="6" w:space="0" w:color="BFBFBF"/>
              <w:left w:val="single" w:sz="6" w:space="0" w:color="BFBFBF"/>
              <w:bottom w:val="single" w:sz="6" w:space="0" w:color="BFBFBF"/>
              <w:right w:val="single" w:sz="6" w:space="0" w:color="BFBFBF"/>
            </w:tcBorders>
          </w:tcPr>
          <w:p w14:paraId="0D980B14"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Confidencial</w:t>
            </w:r>
          </w:p>
        </w:tc>
        <w:tc>
          <w:tcPr>
            <w:tcW w:w="2848" w:type="dxa"/>
            <w:tcBorders>
              <w:top w:val="single" w:sz="6" w:space="0" w:color="BFBFBF"/>
              <w:left w:val="single" w:sz="6" w:space="0" w:color="BFBFBF"/>
              <w:bottom w:val="single" w:sz="6" w:space="0" w:color="BFBFBF"/>
              <w:right w:val="single" w:sz="6" w:space="0" w:color="BFBFBF"/>
            </w:tcBorders>
          </w:tcPr>
          <w:p w14:paraId="1CEDB7E3"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66B44D17"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2DFE4C17"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3A416B" w14:paraId="48525835" w14:textId="77777777" w:rsidTr="00935D1F">
        <w:tc>
          <w:tcPr>
            <w:tcW w:w="1386" w:type="dxa"/>
            <w:tcBorders>
              <w:top w:val="single" w:sz="6" w:space="0" w:color="BFBFBF"/>
              <w:left w:val="single" w:sz="6" w:space="0" w:color="BFBFBF"/>
              <w:bottom w:val="single" w:sz="6" w:space="0" w:color="BFBFBF"/>
              <w:right w:val="single" w:sz="6" w:space="0" w:color="BFBFBF"/>
            </w:tcBorders>
          </w:tcPr>
          <w:p w14:paraId="672AD912"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71D6783A"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4BCF5077"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6B4EC7C2"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Leyenda de información CONFIDENCIAL.</w:t>
            </w:r>
          </w:p>
        </w:tc>
      </w:tr>
      <w:tr w:rsidR="003A416B" w14:paraId="10C511A9" w14:textId="77777777" w:rsidTr="00935D1F">
        <w:tc>
          <w:tcPr>
            <w:tcW w:w="1386" w:type="dxa"/>
            <w:tcBorders>
              <w:top w:val="single" w:sz="6" w:space="0" w:color="BFBFBF"/>
              <w:left w:val="single" w:sz="6" w:space="0" w:color="BFBFBF"/>
              <w:bottom w:val="single" w:sz="6" w:space="0" w:color="BFBFBF"/>
              <w:right w:val="single" w:sz="6" w:space="0" w:color="BFBFBF"/>
            </w:tcBorders>
          </w:tcPr>
          <w:p w14:paraId="1A0ED77A"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466D1E37"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632CF4FA"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4EBF0239"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3A416B" w14:paraId="3F046278" w14:textId="77777777" w:rsidTr="00935D1F">
        <w:tc>
          <w:tcPr>
            <w:tcW w:w="1386" w:type="dxa"/>
            <w:tcBorders>
              <w:top w:val="single" w:sz="6" w:space="0" w:color="BFBFBF"/>
              <w:left w:val="single" w:sz="6" w:space="0" w:color="BFBFBF"/>
              <w:bottom w:val="single" w:sz="6" w:space="0" w:color="BFBFBF"/>
              <w:right w:val="single" w:sz="6" w:space="0" w:color="BFBFBF"/>
            </w:tcBorders>
          </w:tcPr>
          <w:p w14:paraId="734348C6"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774BBF99"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30025189"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63FEBF79"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autógrafa de quien clasifica.</w:t>
            </w:r>
          </w:p>
        </w:tc>
      </w:tr>
      <w:tr w:rsidR="003A416B" w14:paraId="00405649" w14:textId="77777777" w:rsidTr="00935D1F">
        <w:tc>
          <w:tcPr>
            <w:tcW w:w="1386" w:type="dxa"/>
            <w:tcBorders>
              <w:top w:val="single" w:sz="6" w:space="0" w:color="BFBFBF"/>
              <w:left w:val="single" w:sz="6" w:space="0" w:color="BFBFBF"/>
              <w:bottom w:val="single" w:sz="6" w:space="0" w:color="BFBFBF"/>
              <w:right w:val="single" w:sz="6" w:space="0" w:color="BFBFBF"/>
            </w:tcBorders>
          </w:tcPr>
          <w:p w14:paraId="26426372"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5BEDDBB0"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4F11CF85"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79530053"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anotará la fecha en que se desclasifica.</w:t>
            </w:r>
          </w:p>
        </w:tc>
      </w:tr>
      <w:tr w:rsidR="003A416B" w14:paraId="34CE1C30" w14:textId="77777777" w:rsidTr="00935D1F">
        <w:tc>
          <w:tcPr>
            <w:tcW w:w="1386" w:type="dxa"/>
            <w:tcBorders>
              <w:top w:val="single" w:sz="6" w:space="0" w:color="BFBFBF"/>
              <w:left w:val="single" w:sz="6" w:space="0" w:color="BFBFBF"/>
              <w:bottom w:val="single" w:sz="6" w:space="0" w:color="BFBFBF"/>
              <w:right w:val="single" w:sz="6" w:space="0" w:color="BFBFBF"/>
            </w:tcBorders>
          </w:tcPr>
          <w:p w14:paraId="3F3AD1D0"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4E8FE13E"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00C0F719"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05D418F5"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caso que una vez desclasificado el expediente, </w:t>
            </w:r>
            <w:proofErr w:type="spellStart"/>
            <w:r>
              <w:rPr>
                <w:rFonts w:ascii="Palatino Linotype" w:eastAsia="Palatino Linotype" w:hAnsi="Palatino Linotype" w:cs="Palatino Linotype"/>
                <w:sz w:val="18"/>
                <w:szCs w:val="18"/>
              </w:rPr>
              <w:t>subsistanpartes</w:t>
            </w:r>
            <w:proofErr w:type="spellEnd"/>
            <w:r>
              <w:rPr>
                <w:rFonts w:ascii="Palatino Linotype" w:eastAsia="Palatino Linotype" w:hAnsi="Palatino Linotype" w:cs="Palatino Linotype"/>
                <w:sz w:val="18"/>
                <w:szCs w:val="18"/>
              </w:rPr>
              <w:t> o secciones del mismo reservadas o confidenciales, se señalará este hecho.</w:t>
            </w:r>
          </w:p>
        </w:tc>
      </w:tr>
      <w:tr w:rsidR="003A416B" w14:paraId="521C3C52" w14:textId="77777777" w:rsidTr="00935D1F">
        <w:tc>
          <w:tcPr>
            <w:tcW w:w="1386" w:type="dxa"/>
            <w:tcBorders>
              <w:top w:val="single" w:sz="6" w:space="0" w:color="BFBFBF"/>
              <w:left w:val="single" w:sz="6" w:space="0" w:color="BFBFBF"/>
              <w:bottom w:val="single" w:sz="6" w:space="0" w:color="BFBFBF"/>
              <w:right w:val="single" w:sz="6" w:space="0" w:color="BFBFBF"/>
            </w:tcBorders>
          </w:tcPr>
          <w:p w14:paraId="621C30B7"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6E85BDC6"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1BCE3CA2"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51F8D550" w14:textId="77777777" w:rsidR="003A416B" w:rsidRDefault="003A416B" w:rsidP="00935D1F">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autógrafa de quien desclasifica.</w:t>
            </w:r>
          </w:p>
        </w:tc>
      </w:tr>
    </w:tbl>
    <w:p w14:paraId="204302F6" w14:textId="77777777" w:rsidR="003A416B" w:rsidRDefault="003A416B" w:rsidP="003A416B">
      <w:pPr>
        <w:spacing w:line="360" w:lineRule="auto"/>
        <w:ind w:right="49"/>
        <w:jc w:val="both"/>
        <w:rPr>
          <w:rFonts w:ascii="Palatino Linotype" w:eastAsia="Palatino Linotype" w:hAnsi="Palatino Linotype" w:cs="Palatino Linotype"/>
        </w:rPr>
      </w:pPr>
    </w:p>
    <w:p w14:paraId="45D563CB" w14:textId="7BBD3740" w:rsidR="003A416B" w:rsidRDefault="003A416B" w:rsidP="003A416B">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dentro del recurso de revisión </w:t>
      </w:r>
      <w:r>
        <w:rPr>
          <w:rFonts w:ascii="Palatino Linotype" w:eastAsia="Palatino Linotype" w:hAnsi="Palatino Linotype" w:cs="Palatino Linotype"/>
          <w:b/>
        </w:rPr>
        <w:t>1</w:t>
      </w:r>
      <w:r w:rsidR="001176E6">
        <w:rPr>
          <w:rFonts w:ascii="Palatino Linotype" w:eastAsia="Palatino Linotype" w:hAnsi="Palatino Linotype" w:cs="Palatino Linotype"/>
          <w:b/>
        </w:rPr>
        <w:t>4189</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por ello, y con fundamento en la fracción III del numeral 186 de la Ley de Transparencia </w:t>
      </w:r>
      <w:r>
        <w:rPr>
          <w:rFonts w:ascii="Palatino Linotype" w:eastAsia="Palatino Linotype" w:hAnsi="Palatino Linotype" w:cs="Palatino Linotype"/>
        </w:rPr>
        <w:lastRenderedPageBreak/>
        <w:t xml:space="preserve">y Acceso a la Información Pública del Estado de México y Municipios,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a la solicitud de información número </w:t>
      </w:r>
      <w:r w:rsidR="001176E6" w:rsidRPr="001176E6">
        <w:rPr>
          <w:rFonts w:ascii="Palatino Linotype" w:eastAsia="Palatino Linotype" w:hAnsi="Palatino Linotype" w:cs="Palatino Linotype"/>
          <w:b/>
        </w:rPr>
        <w:t>00113/OASTOL/IP/2022</w:t>
      </w:r>
      <w:r w:rsidR="001176E6">
        <w:rPr>
          <w:rFonts w:ascii="Palatino Linotype" w:eastAsia="Palatino Linotype" w:hAnsi="Palatino Linotype" w:cs="Palatino Linotype"/>
          <w:b/>
        </w:rPr>
        <w:t xml:space="preserve">. </w:t>
      </w:r>
    </w:p>
    <w:p w14:paraId="26624714" w14:textId="77777777" w:rsidR="003A416B" w:rsidRDefault="003A416B" w:rsidP="003A416B">
      <w:pPr>
        <w:spacing w:line="360" w:lineRule="auto"/>
        <w:ind w:right="49"/>
        <w:jc w:val="both"/>
        <w:rPr>
          <w:rFonts w:ascii="Palatino Linotype" w:eastAsia="Palatino Linotype" w:hAnsi="Palatino Linotype" w:cs="Palatino Linotype"/>
        </w:rPr>
      </w:pPr>
    </w:p>
    <w:p w14:paraId="6B01EAE1" w14:textId="1FF78009" w:rsidR="00DF7D14" w:rsidRDefault="003A416B" w:rsidP="003A416B">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784DF50" w14:textId="77777777" w:rsidR="00312B61" w:rsidRDefault="00312B61" w:rsidP="003A416B">
      <w:pPr>
        <w:tabs>
          <w:tab w:val="left" w:pos="709"/>
        </w:tabs>
        <w:spacing w:line="360" w:lineRule="auto"/>
        <w:jc w:val="both"/>
        <w:rPr>
          <w:rFonts w:ascii="Palatino Linotype" w:eastAsia="Palatino Linotype" w:hAnsi="Palatino Linotype" w:cs="Palatino Linotype"/>
        </w:rPr>
      </w:pPr>
    </w:p>
    <w:p w14:paraId="1ACB76EB" w14:textId="77777777" w:rsidR="003A416B" w:rsidRDefault="003A416B" w:rsidP="003A416B">
      <w:pPr>
        <w:numPr>
          <w:ilvl w:val="0"/>
          <w:numId w:val="19"/>
        </w:numPr>
        <w:spacing w:line="360" w:lineRule="auto"/>
        <w:ind w:left="567"/>
        <w:jc w:val="center"/>
        <w:rPr>
          <w:rFonts w:ascii="Palatino Linotype" w:eastAsia="Palatino Linotype" w:hAnsi="Palatino Linotype" w:cs="Palatino Linotype"/>
          <w:b/>
        </w:rPr>
      </w:pPr>
      <w:r>
        <w:rPr>
          <w:rFonts w:ascii="Palatino Linotype" w:eastAsia="Palatino Linotype" w:hAnsi="Palatino Linotype" w:cs="Palatino Linotype"/>
          <w:b/>
        </w:rPr>
        <w:t>R E S U E L V E</w:t>
      </w:r>
    </w:p>
    <w:p w14:paraId="0A9DE6D2" w14:textId="77777777" w:rsidR="003A416B" w:rsidRDefault="003A416B" w:rsidP="003A416B">
      <w:pPr>
        <w:spacing w:line="360" w:lineRule="auto"/>
        <w:ind w:left="1080"/>
        <w:rPr>
          <w:rFonts w:ascii="Palatino Linotype" w:eastAsia="Palatino Linotype" w:hAnsi="Palatino Linotype" w:cs="Palatino Linotype"/>
          <w:b/>
        </w:rPr>
      </w:pPr>
    </w:p>
    <w:p w14:paraId="66ACCAC6" w14:textId="61E1BEA6" w:rsidR="003A416B" w:rsidRDefault="003A416B" w:rsidP="003A416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1</w:t>
      </w:r>
      <w:r w:rsidR="001176E6">
        <w:rPr>
          <w:rFonts w:ascii="Palatino Linotype" w:eastAsia="Palatino Linotype" w:hAnsi="Palatino Linotype" w:cs="Palatino Linotype"/>
          <w:b/>
        </w:rPr>
        <w:t>4189</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por lo que,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esta resolución, se </w:t>
      </w:r>
      <w:r>
        <w:rPr>
          <w:rFonts w:ascii="Palatino Linotype" w:eastAsia="Palatino Linotype" w:hAnsi="Palatino Linotype" w:cs="Palatino Linotype"/>
          <w:b/>
        </w:rPr>
        <w:t>REVOCA</w:t>
      </w:r>
      <w:r>
        <w:rPr>
          <w:rFonts w:ascii="Palatino Linotype" w:eastAsia="Palatino Linotype" w:hAnsi="Palatino Linotype" w:cs="Palatino Linotype"/>
        </w:rPr>
        <w:t xml:space="preserve"> 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0DEBE885" w14:textId="77777777" w:rsidR="003A416B" w:rsidRDefault="003A416B" w:rsidP="003A416B">
      <w:pPr>
        <w:spacing w:line="360" w:lineRule="auto"/>
        <w:ind w:right="49"/>
        <w:jc w:val="both"/>
        <w:rPr>
          <w:rFonts w:ascii="Palatino Linotype" w:eastAsia="Palatino Linotype" w:hAnsi="Palatino Linotype" w:cs="Palatino Linotype"/>
        </w:rPr>
      </w:pPr>
    </w:p>
    <w:p w14:paraId="2D30B474" w14:textId="2A682CD2" w:rsidR="001176E6" w:rsidRDefault="003A416B" w:rsidP="001176E6">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haga entrega,</w:t>
      </w:r>
      <w:r w:rsidR="001176E6">
        <w:rPr>
          <w:rFonts w:ascii="Palatino Linotype" w:eastAsia="Palatino Linotype" w:hAnsi="Palatino Linotype" w:cs="Palatino Linotype"/>
        </w:rPr>
        <w:t xml:space="preserve"> previa búsqueda exhaustiva y razonable,</w:t>
      </w:r>
      <w:r>
        <w:rPr>
          <w:rFonts w:ascii="Palatino Linotype" w:eastAsia="Palatino Linotype" w:hAnsi="Palatino Linotype" w:cs="Palatino Linotype"/>
        </w:rPr>
        <w:t xml:space="preserve"> de ser procedente en versión pública, vía Sistema de Acceso a la Información Mexiquense, de lo siguiente: </w:t>
      </w:r>
    </w:p>
    <w:p w14:paraId="15BDE3C0" w14:textId="77777777" w:rsidR="001176E6" w:rsidRDefault="001176E6" w:rsidP="001176E6">
      <w:pPr>
        <w:spacing w:line="360" w:lineRule="auto"/>
        <w:ind w:right="49"/>
        <w:jc w:val="both"/>
        <w:rPr>
          <w:rFonts w:ascii="Palatino Linotype" w:eastAsia="Palatino Linotype" w:hAnsi="Palatino Linotype" w:cs="Palatino Linotype"/>
        </w:rPr>
      </w:pPr>
    </w:p>
    <w:p w14:paraId="41585129" w14:textId="6F5A66D1" w:rsidR="009D6523" w:rsidRPr="00DF7D14" w:rsidRDefault="009D6523" w:rsidP="009D6523">
      <w:pPr>
        <w:tabs>
          <w:tab w:val="left" w:pos="993"/>
        </w:tabs>
        <w:spacing w:line="276" w:lineRule="auto"/>
        <w:ind w:left="567" w:right="616"/>
        <w:jc w:val="both"/>
        <w:rPr>
          <w:rFonts w:ascii="Palatino Linotype" w:eastAsia="Palatino Linotype" w:hAnsi="Palatino Linotype" w:cs="Palatino Linotype"/>
          <w:b/>
          <w:bCs/>
          <w:sz w:val="22"/>
        </w:rPr>
      </w:pPr>
      <w:r w:rsidRPr="00DF7D14">
        <w:rPr>
          <w:rFonts w:ascii="Palatino Linotype" w:eastAsia="Palatino Linotype" w:hAnsi="Palatino Linotype" w:cs="Palatino Linotype"/>
          <w:b/>
          <w:bCs/>
          <w:sz w:val="22"/>
        </w:rPr>
        <w:t>De la celebración del contrato con la empresa referida de la solicitud de información</w:t>
      </w:r>
      <w:r w:rsidR="000266D4" w:rsidRPr="00DF7D14">
        <w:rPr>
          <w:rFonts w:ascii="Palatino Linotype" w:eastAsia="Palatino Linotype" w:hAnsi="Palatino Linotype" w:cs="Palatino Linotype"/>
          <w:b/>
          <w:bCs/>
          <w:sz w:val="22"/>
        </w:rPr>
        <w:t xml:space="preserve">, </w:t>
      </w:r>
      <w:r w:rsidRPr="00DF7D14">
        <w:rPr>
          <w:rFonts w:ascii="Palatino Linotype" w:eastAsia="Palatino Linotype" w:hAnsi="Palatino Linotype" w:cs="Palatino Linotype"/>
          <w:b/>
          <w:bCs/>
          <w:sz w:val="22"/>
        </w:rPr>
        <w:t xml:space="preserve">los documentos donde conste; </w:t>
      </w:r>
    </w:p>
    <w:p w14:paraId="742E6FED" w14:textId="77777777" w:rsidR="009D6523" w:rsidRDefault="009D6523" w:rsidP="009D6523">
      <w:pPr>
        <w:tabs>
          <w:tab w:val="left" w:pos="993"/>
        </w:tabs>
        <w:spacing w:line="360" w:lineRule="auto"/>
        <w:ind w:left="567" w:right="616"/>
        <w:jc w:val="both"/>
        <w:rPr>
          <w:rFonts w:ascii="Palatino Linotype" w:eastAsia="Palatino Linotype" w:hAnsi="Palatino Linotype" w:cs="Palatino Linotype"/>
        </w:rPr>
      </w:pPr>
    </w:p>
    <w:p w14:paraId="3488D5BA" w14:textId="5EADFEE7" w:rsidR="009D6523" w:rsidRDefault="009D6523" w:rsidP="00312B61">
      <w:pPr>
        <w:pStyle w:val="Prrafodelista"/>
        <w:numPr>
          <w:ilvl w:val="0"/>
          <w:numId w:val="26"/>
        </w:numPr>
        <w:tabs>
          <w:tab w:val="left" w:pos="993"/>
        </w:tabs>
        <w:spacing w:line="360" w:lineRule="auto"/>
        <w:ind w:right="616"/>
        <w:jc w:val="both"/>
        <w:rPr>
          <w:rFonts w:ascii="Palatino Linotype" w:eastAsia="Palatino Linotype" w:hAnsi="Palatino Linotype" w:cs="Palatino Linotype"/>
        </w:rPr>
      </w:pPr>
      <w:r>
        <w:rPr>
          <w:rFonts w:ascii="Palatino Linotype" w:eastAsia="Palatino Linotype" w:hAnsi="Palatino Linotype" w:cs="Palatino Linotype"/>
        </w:rPr>
        <w:lastRenderedPageBreak/>
        <w:t>Los montos pagados por sus servicios;</w:t>
      </w:r>
    </w:p>
    <w:p w14:paraId="007C1984" w14:textId="1A78E7FB" w:rsidR="009D6523" w:rsidRDefault="009D6523" w:rsidP="00312B61">
      <w:pPr>
        <w:pStyle w:val="Prrafodelista"/>
        <w:numPr>
          <w:ilvl w:val="0"/>
          <w:numId w:val="26"/>
        </w:numPr>
        <w:tabs>
          <w:tab w:val="left" w:pos="993"/>
        </w:tabs>
        <w:spacing w:line="360" w:lineRule="auto"/>
        <w:ind w:right="616"/>
        <w:jc w:val="both"/>
        <w:rPr>
          <w:rFonts w:ascii="Palatino Linotype" w:eastAsia="Palatino Linotype" w:hAnsi="Palatino Linotype" w:cs="Palatino Linotype"/>
        </w:rPr>
      </w:pPr>
      <w:r>
        <w:rPr>
          <w:rFonts w:ascii="Palatino Linotype" w:eastAsia="Palatino Linotype" w:hAnsi="Palatino Linotype" w:cs="Palatino Linotype"/>
        </w:rPr>
        <w:t>El monto de recu</w:t>
      </w:r>
      <w:r w:rsidR="00DF7D14">
        <w:rPr>
          <w:rFonts w:ascii="Palatino Linotype" w:eastAsia="Palatino Linotype" w:hAnsi="Palatino Linotype" w:cs="Palatino Linotype"/>
        </w:rPr>
        <w:t xml:space="preserve">peración de su cartera vencida. </w:t>
      </w:r>
    </w:p>
    <w:p w14:paraId="42E71A6E" w14:textId="77777777" w:rsidR="001176E6" w:rsidRDefault="001176E6" w:rsidP="001176E6">
      <w:pPr>
        <w:pStyle w:val="Prrafodelista"/>
        <w:tabs>
          <w:tab w:val="left" w:pos="993"/>
        </w:tabs>
        <w:spacing w:line="360" w:lineRule="auto"/>
        <w:ind w:left="720" w:right="-28"/>
        <w:jc w:val="both"/>
        <w:rPr>
          <w:rFonts w:ascii="Palatino Linotype" w:eastAsia="Palatino Linotype" w:hAnsi="Palatino Linotype" w:cs="Palatino Linotype"/>
        </w:rPr>
      </w:pPr>
    </w:p>
    <w:p w14:paraId="0EECCADA" w14:textId="1F34DC18" w:rsidR="003A416B" w:rsidRDefault="000266D4" w:rsidP="00312B61">
      <w:pPr>
        <w:pStyle w:val="Prrafodelista"/>
        <w:tabs>
          <w:tab w:val="left" w:pos="993"/>
        </w:tabs>
        <w:spacing w:line="360" w:lineRule="auto"/>
        <w:ind w:left="567" w:right="900"/>
        <w:jc w:val="both"/>
        <w:rPr>
          <w:rFonts w:ascii="Palatino Linotype" w:eastAsia="Palatino Linotype" w:hAnsi="Palatino Linotype" w:cs="Palatino Linotype"/>
          <w:b/>
          <w:bCs/>
        </w:rPr>
      </w:pPr>
      <w:r w:rsidRPr="00DF7D14">
        <w:rPr>
          <w:rFonts w:ascii="Palatino Linotype" w:eastAsia="Palatino Linotype" w:hAnsi="Palatino Linotype" w:cs="Palatino Linotype"/>
          <w:b/>
          <w:bCs/>
        </w:rPr>
        <w:t xml:space="preserve">Lo anterior desde el inicio de la vigencia del contrato y hasta diecinueve de agosto de dos mil veintidós, o bien, a la fecha de la finalización de la relación contractual, en caso de que dicho supuesto se haya actualizado antes de la fecha de la solicitud. </w:t>
      </w:r>
    </w:p>
    <w:p w14:paraId="77C313B2" w14:textId="77777777" w:rsidR="006B1BA0" w:rsidRPr="00312B61" w:rsidRDefault="006B1BA0" w:rsidP="00312B61">
      <w:pPr>
        <w:pStyle w:val="Prrafodelista"/>
        <w:tabs>
          <w:tab w:val="left" w:pos="993"/>
        </w:tabs>
        <w:spacing w:line="360" w:lineRule="auto"/>
        <w:ind w:left="567" w:right="900"/>
        <w:jc w:val="both"/>
        <w:rPr>
          <w:rFonts w:ascii="Palatino Linotype" w:eastAsia="Palatino Linotype" w:hAnsi="Palatino Linotype" w:cs="Palatino Linotype"/>
        </w:rPr>
      </w:pPr>
    </w:p>
    <w:p w14:paraId="44876ACC" w14:textId="1A18E2B6" w:rsidR="00DF7D14" w:rsidRDefault="003A416B" w:rsidP="003A416B">
      <w:pPr>
        <w:pBdr>
          <w:top w:val="nil"/>
          <w:left w:val="nil"/>
          <w:bottom w:val="nil"/>
          <w:right w:val="nil"/>
          <w:between w:val="nil"/>
        </w:pBdr>
        <w:tabs>
          <w:tab w:val="left" w:pos="993"/>
        </w:tabs>
        <w:spacing w:line="360" w:lineRule="auto"/>
        <w:ind w:right="-2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E5A5BFF" w14:textId="77777777" w:rsidR="00DF7D14" w:rsidRDefault="00DF7D14" w:rsidP="003A416B">
      <w:pPr>
        <w:pBdr>
          <w:top w:val="nil"/>
          <w:left w:val="nil"/>
          <w:bottom w:val="nil"/>
          <w:right w:val="nil"/>
          <w:between w:val="nil"/>
        </w:pBdr>
        <w:tabs>
          <w:tab w:val="left" w:pos="993"/>
        </w:tabs>
        <w:spacing w:line="360" w:lineRule="auto"/>
        <w:ind w:right="-28"/>
        <w:jc w:val="both"/>
        <w:rPr>
          <w:rFonts w:ascii="Palatino Linotype" w:eastAsia="Palatino Linotype" w:hAnsi="Palatino Linotype" w:cs="Palatino Linotype"/>
          <w:i/>
          <w:color w:val="000000"/>
        </w:rPr>
      </w:pPr>
    </w:p>
    <w:p w14:paraId="464B35C3" w14:textId="18BA5CE0" w:rsidR="00DF7D14" w:rsidRDefault="00DF7D14" w:rsidP="00DF7D14">
      <w:pPr>
        <w:pBdr>
          <w:top w:val="nil"/>
          <w:left w:val="nil"/>
          <w:bottom w:val="nil"/>
          <w:right w:val="nil"/>
          <w:between w:val="nil"/>
        </w:pBdr>
        <w:spacing w:line="360" w:lineRule="auto"/>
        <w:ind w:right="49"/>
        <w:jc w:val="both"/>
        <w:rPr>
          <w:rFonts w:ascii="Palatino Linotype" w:eastAsia="Palatino Linotype" w:hAnsi="Palatino Linotype" w:cs="Palatino Linotype"/>
          <w:i/>
        </w:rPr>
      </w:pPr>
      <w:r w:rsidRPr="00DF7D14">
        <w:rPr>
          <w:rFonts w:ascii="Palatino Linotype" w:eastAsia="Palatino Linotype" w:hAnsi="Palatino Linotype" w:cs="Palatino Linotype"/>
          <w:i/>
        </w:rPr>
        <w:t>Para el caso de que la información que se ordena entregar en el inciso b), no obre en los archivos del Sujeto Obligado, por no haberse generado, deberá hacerlo del conocimiento del Particular en términos del artículo 19, párrafo segundo, de la Ley de Transparencia y Acceso a la Información Pública del Estado de México y Municipios, para tenerse por colmado dicho requerimiento.</w:t>
      </w:r>
      <w:r>
        <w:rPr>
          <w:rFonts w:ascii="Palatino Linotype" w:eastAsia="Palatino Linotype" w:hAnsi="Palatino Linotype" w:cs="Palatino Linotype"/>
          <w:i/>
        </w:rPr>
        <w:t xml:space="preserve"> </w:t>
      </w:r>
    </w:p>
    <w:p w14:paraId="360DA533" w14:textId="77777777" w:rsidR="00DF7D14" w:rsidRDefault="00DF7D14" w:rsidP="00DF7D14">
      <w:pPr>
        <w:pBdr>
          <w:top w:val="nil"/>
          <w:left w:val="nil"/>
          <w:bottom w:val="nil"/>
          <w:right w:val="nil"/>
          <w:between w:val="nil"/>
        </w:pBdr>
        <w:spacing w:line="276" w:lineRule="auto"/>
        <w:ind w:right="49"/>
        <w:jc w:val="both"/>
        <w:rPr>
          <w:rFonts w:ascii="Palatino Linotype" w:eastAsia="Palatino Linotype" w:hAnsi="Palatino Linotype" w:cs="Palatino Linotype"/>
          <w:i/>
        </w:rPr>
      </w:pPr>
    </w:p>
    <w:p w14:paraId="685364FB" w14:textId="77777777" w:rsidR="008E41AC" w:rsidRDefault="008E41AC" w:rsidP="008E41AC">
      <w:pPr>
        <w:spacing w:line="360" w:lineRule="auto"/>
        <w:ind w:right="49"/>
        <w:jc w:val="both"/>
        <w:rPr>
          <w:rFonts w:ascii="Palatino Linotype" w:eastAsia="Palatino Linotype" w:hAnsi="Palatino Linotype" w:cs="Palatino Linotype"/>
          <w:sz w:val="10"/>
        </w:rPr>
      </w:pPr>
    </w:p>
    <w:p w14:paraId="79AC76B8" w14:textId="77777777" w:rsidR="008E41AC" w:rsidRDefault="008E41AC" w:rsidP="008E41AC">
      <w:pPr>
        <w:spacing w:line="360" w:lineRule="auto"/>
        <w:ind w:right="49"/>
        <w:jc w:val="both"/>
        <w:rPr>
          <w:rFonts w:ascii="Palatino Linotype" w:eastAsia="Palatino Linotype" w:hAnsi="Palatino Linotype" w:cs="Palatino Linotype"/>
          <w:b/>
          <w:lang w:eastAsia="es-MX"/>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la presente resolución al T</w:t>
      </w:r>
      <w:r>
        <w:rPr>
          <w:rFonts w:ascii="Palatino Linotype" w:eastAsia="Palatino Linotype" w:hAnsi="Palatino Linotype" w:cs="Palatino Linotype"/>
          <w:b/>
        </w:rPr>
        <w:t xml:space="preserve">itular de la Unidad de Transparencia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w:t>
      </w:r>
      <w:r>
        <w:rPr>
          <w:rFonts w:ascii="Palatino Linotype" w:eastAsia="Palatino Linotype" w:hAnsi="Palatino Linotype" w:cs="Palatino Linotype"/>
        </w:rPr>
        <w:lastRenderedPageBreak/>
        <w:t>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1829FF99" w14:textId="77777777" w:rsidR="008E41AC" w:rsidRPr="001176E6" w:rsidRDefault="008E41AC" w:rsidP="003A416B">
      <w:pPr>
        <w:spacing w:line="360" w:lineRule="auto"/>
        <w:ind w:right="49"/>
        <w:jc w:val="both"/>
        <w:rPr>
          <w:rFonts w:ascii="Palatino Linotype" w:eastAsia="Palatino Linotype" w:hAnsi="Palatino Linotype" w:cs="Palatino Linotype"/>
        </w:rPr>
      </w:pPr>
    </w:p>
    <w:p w14:paraId="116D55A5" w14:textId="49EC48FA" w:rsidR="003A416B" w:rsidRDefault="003A416B" w:rsidP="003A416B">
      <w:pPr>
        <w:spacing w:line="360" w:lineRule="auto"/>
        <w:ind w:right="49"/>
        <w:jc w:val="both"/>
        <w:rPr>
          <w:rFonts w:ascii="Palatino Linotype" w:eastAsia="Palatino Linotype" w:hAnsi="Palatino Linotype" w:cs="Palatino Linotype"/>
        </w:rPr>
      </w:pPr>
      <w:r w:rsidRPr="001176E6">
        <w:rPr>
          <w:rFonts w:ascii="Palatino Linotype" w:eastAsia="Palatino Linotype" w:hAnsi="Palatino Linotype" w:cs="Palatino Linotype"/>
          <w:b/>
        </w:rPr>
        <w:t>Cuarto.</w:t>
      </w:r>
      <w:r w:rsidRPr="001176E6">
        <w:rPr>
          <w:rFonts w:ascii="Palatino Linotype" w:eastAsia="Palatino Linotype" w:hAnsi="Palatino Linotype" w:cs="Palatino Linotype"/>
        </w:rPr>
        <w:t xml:space="preserve"> </w:t>
      </w:r>
      <w:r w:rsidRPr="001176E6">
        <w:rPr>
          <w:rFonts w:ascii="Palatino Linotype" w:eastAsia="Palatino Linotype" w:hAnsi="Palatino Linotype" w:cs="Palatino Linotype"/>
          <w:b/>
        </w:rPr>
        <w:t>Notifíquese vía SAIMEX</w:t>
      </w:r>
      <w:r w:rsidRPr="001176E6">
        <w:rPr>
          <w:rFonts w:ascii="Palatino Linotype" w:eastAsia="Palatino Linotype" w:hAnsi="Palatino Linotype" w:cs="Palatino Linotype"/>
        </w:rPr>
        <w:t xml:space="preserve"> a la parte </w:t>
      </w:r>
      <w:r w:rsidRPr="001176E6">
        <w:rPr>
          <w:rFonts w:ascii="Palatino Linotype" w:eastAsia="Palatino Linotype" w:hAnsi="Palatino Linotype" w:cs="Palatino Linotype"/>
          <w:b/>
        </w:rPr>
        <w:t xml:space="preserve">RECURRENTE </w:t>
      </w:r>
      <w:r w:rsidRPr="001176E6">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podrá impugnar</w:t>
      </w:r>
      <w:r>
        <w:rPr>
          <w:rFonts w:ascii="Palatino Linotype" w:eastAsia="Palatino Linotype" w:hAnsi="Palatino Linotype" w:cs="Palatino Linotype"/>
        </w:rPr>
        <w:t xml:space="preserve"> la presente resolución vía Juicio de Amparo en los términos de las leyes aplicables. </w:t>
      </w:r>
    </w:p>
    <w:p w14:paraId="6255E000" w14:textId="77777777" w:rsidR="008E41AC" w:rsidRPr="00312B61" w:rsidRDefault="008E41AC" w:rsidP="003A416B">
      <w:pPr>
        <w:spacing w:line="360" w:lineRule="auto"/>
        <w:ind w:right="49"/>
        <w:jc w:val="both"/>
        <w:rPr>
          <w:rFonts w:ascii="Palatino Linotype" w:eastAsia="Palatino Linotype" w:hAnsi="Palatino Linotype" w:cs="Palatino Linotype"/>
        </w:rPr>
      </w:pPr>
    </w:p>
    <w:p w14:paraId="2A7B52C4" w14:textId="77777777" w:rsidR="003A416B" w:rsidRDefault="003A416B" w:rsidP="003A416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3A95A623" w14:textId="77777777" w:rsidR="00397333" w:rsidRDefault="00397333">
      <w:pPr>
        <w:spacing w:line="360" w:lineRule="auto"/>
        <w:jc w:val="both"/>
        <w:rPr>
          <w:rFonts w:ascii="Palatino Linotype" w:eastAsia="Palatino Linotype" w:hAnsi="Palatino Linotype" w:cs="Palatino Linotype"/>
          <w:color w:val="222222"/>
          <w:highlight w:val="white"/>
        </w:rPr>
      </w:pPr>
    </w:p>
    <w:p w14:paraId="391F52FF" w14:textId="77777777" w:rsidR="00B423EA" w:rsidRDefault="00B16908">
      <w:pPr>
        <w:spacing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color w:val="222222"/>
          <w:highlight w:val="white"/>
        </w:rPr>
        <w:t>ASÍ LO RESUELVE,</w:t>
      </w:r>
      <w:r>
        <w:rPr>
          <w:rFonts w:ascii="Palatino Linotype" w:eastAsia="Palatino Linotype" w:hAnsi="Palatino Linotype" w:cs="Palatino Linotype"/>
          <w:color w:val="222222"/>
        </w:rPr>
        <w:t xml:space="preser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Pr>
          <w:rFonts w:ascii="Palatino Linotype" w:eastAsia="Palatino Linotype" w:hAnsi="Palatino Linotype" w:cs="Palatino Linotype"/>
          <w:color w:val="222222"/>
        </w:rPr>
        <w:lastRenderedPageBreak/>
        <w:t>MORALES MARTÍNEZ, LUIS GUSTAVO PARRA NORIEGA Y</w:t>
      </w:r>
      <w:r w:rsidR="00E22C26">
        <w:rPr>
          <w:rFonts w:ascii="Palatino Linotype" w:eastAsia="Palatino Linotype" w:hAnsi="Palatino Linotype" w:cs="Palatino Linotype"/>
          <w:color w:val="222222"/>
        </w:rPr>
        <w:t xml:space="preserve"> GUADALUPE RAMÍREZ PEÑA; EN LA DÉCIMA </w:t>
      </w:r>
      <w:r w:rsidR="001176E6">
        <w:rPr>
          <w:rFonts w:ascii="Palatino Linotype" w:eastAsia="Palatino Linotype" w:hAnsi="Palatino Linotype" w:cs="Palatino Linotype"/>
          <w:color w:val="222222"/>
        </w:rPr>
        <w:t>CUARTA</w:t>
      </w:r>
      <w:r w:rsidR="00E22C26">
        <w:rPr>
          <w:rFonts w:ascii="Palatino Linotype" w:eastAsia="Palatino Linotype" w:hAnsi="Palatino Linotype" w:cs="Palatino Linotype"/>
          <w:color w:val="222222"/>
        </w:rPr>
        <w:t xml:space="preserve"> </w:t>
      </w:r>
      <w:r>
        <w:rPr>
          <w:rFonts w:ascii="Palatino Linotype" w:eastAsia="Palatino Linotype" w:hAnsi="Palatino Linotype" w:cs="Palatino Linotype"/>
          <w:color w:val="222222"/>
        </w:rPr>
        <w:t xml:space="preserve">SESIÓN ORDINARIA CELEBRADA EL </w:t>
      </w:r>
      <w:r w:rsidR="001176E6">
        <w:rPr>
          <w:rFonts w:ascii="Palatino Linotype" w:eastAsia="Palatino Linotype" w:hAnsi="Palatino Linotype" w:cs="Palatino Linotype"/>
          <w:color w:val="222222"/>
        </w:rPr>
        <w:t>DIECINUEVE DE ABRIL</w:t>
      </w:r>
      <w:r>
        <w:rPr>
          <w:rFonts w:ascii="Palatino Linotype" w:eastAsia="Palatino Linotype" w:hAnsi="Palatino Linotype" w:cs="Palatino Linotype"/>
          <w:color w:val="222222"/>
        </w:rPr>
        <w:t xml:space="preserve"> DEL DOS MIL VEINTITRÉS, ANTE EL SECRETARIO TÉCNICO DEL PLENO ALEXIS TAPIA RAMÍREZ</w:t>
      </w:r>
      <w:r w:rsidR="00E22C26">
        <w:rPr>
          <w:rFonts w:ascii="Palatino Linotype" w:eastAsia="Palatino Linotype" w:hAnsi="Palatino Linotype" w:cs="Palatino Linotype"/>
        </w:rPr>
        <w:t xml:space="preserve">.              </w:t>
      </w:r>
    </w:p>
    <w:p w14:paraId="35059055" w14:textId="77777777" w:rsidR="00B423EA" w:rsidRDefault="00B423EA">
      <w:pPr>
        <w:spacing w:line="360" w:lineRule="auto"/>
        <w:jc w:val="both"/>
        <w:rPr>
          <w:rFonts w:ascii="Palatino Linotype" w:eastAsia="Palatino Linotype" w:hAnsi="Palatino Linotype" w:cs="Palatino Linotype"/>
        </w:rPr>
      </w:pPr>
    </w:p>
    <w:p w14:paraId="1A1357A5" w14:textId="6D65DE02" w:rsidR="00397333" w:rsidRDefault="00B423EA">
      <w:pPr>
        <w:spacing w:line="360" w:lineRule="auto"/>
        <w:jc w:val="both"/>
        <w:rPr>
          <w:rFonts w:ascii="Palatino Linotype" w:eastAsia="Palatino Linotype" w:hAnsi="Palatino Linotype" w:cs="Palatino Linotype"/>
        </w:rPr>
        <w:sectPr w:rsidR="00397333">
          <w:headerReference w:type="default" r:id="rId11"/>
          <w:footerReference w:type="default" r:id="rId12"/>
          <w:headerReference w:type="first" r:id="rId13"/>
          <w:footerReference w:type="first" r:id="rId14"/>
          <w:pgSz w:w="12240" w:h="15840"/>
          <w:pgMar w:top="2041" w:right="1701" w:bottom="1701" w:left="1701" w:header="709" w:footer="709" w:gutter="0"/>
          <w:pgNumType w:start="1"/>
          <w:cols w:space="720"/>
          <w:titlePg/>
        </w:sect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7802D3E8" wp14:editId="28B0D455">
                <wp:simplePos x="0" y="0"/>
                <wp:positionH relativeFrom="column">
                  <wp:posOffset>148590</wp:posOffset>
                </wp:positionH>
                <wp:positionV relativeFrom="paragraph">
                  <wp:posOffset>177799</wp:posOffset>
                </wp:positionV>
                <wp:extent cx="5219700" cy="52673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219700" cy="5267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DEC6E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7pt,14pt" to="422.7pt,4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" strokecolor="#5b9bd5 [3204]" strokeweight=".5pt">
                <v:stroke joinstyle="miter"/>
              </v:line>
            </w:pict>
          </mc:Fallback>
        </mc:AlternateContent>
      </w:r>
      <w:r w:rsidR="00E22C26">
        <w:rPr>
          <w:rFonts w:ascii="Palatino Linotype" w:eastAsia="Palatino Linotype" w:hAnsi="Palatino Linotype" w:cs="Palatino Linotype"/>
        </w:rPr>
        <w:t xml:space="preserve">      </w:t>
      </w:r>
      <w:r w:rsidR="00312B61">
        <w:rPr>
          <w:rFonts w:ascii="Palatino Linotype" w:eastAsia="Palatino Linotype" w:hAnsi="Palatino Linotype" w:cs="Palatino Linotype"/>
        </w:rPr>
        <w:t xml:space="preserve">       </w:t>
      </w:r>
    </w:p>
    <w:p w14:paraId="731620FE" w14:textId="77777777" w:rsidR="00397333" w:rsidRDefault="00397333">
      <w:pPr>
        <w:spacing w:line="360" w:lineRule="auto"/>
        <w:jc w:val="both"/>
        <w:rPr>
          <w:rFonts w:ascii="Palatino Linotype" w:eastAsia="Palatino Linotype" w:hAnsi="Palatino Linotype" w:cs="Palatino Linotype"/>
        </w:rPr>
      </w:pPr>
    </w:p>
    <w:sectPr w:rsidR="00397333">
      <w:headerReference w:type="first" r:id="rId1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960DA" w14:textId="77777777" w:rsidR="003630E6" w:rsidRDefault="003630E6">
      <w:r>
        <w:separator/>
      </w:r>
    </w:p>
  </w:endnote>
  <w:endnote w:type="continuationSeparator" w:id="0">
    <w:p w14:paraId="6A3F2354" w14:textId="77777777" w:rsidR="003630E6" w:rsidRDefault="0036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15CAD" w14:textId="77777777" w:rsidR="00250736" w:rsidRDefault="0025073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86AAF">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86AAF">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14:paraId="74FD0940" w14:textId="77777777" w:rsidR="00250736" w:rsidRDefault="00250736">
    <w:pPr>
      <w:pBdr>
        <w:top w:val="nil"/>
        <w:left w:val="nil"/>
        <w:bottom w:val="nil"/>
        <w:right w:val="nil"/>
        <w:between w:val="nil"/>
      </w:pBdr>
      <w:tabs>
        <w:tab w:val="center" w:pos="4252"/>
        <w:tab w:val="right" w:pos="8504"/>
      </w:tabs>
      <w:rPr>
        <w:color w:val="000000"/>
      </w:rPr>
    </w:pPr>
  </w:p>
  <w:p w14:paraId="2A58C321" w14:textId="77777777" w:rsidR="00250736" w:rsidRDefault="00250736">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B0492" w14:textId="77777777" w:rsidR="00250736" w:rsidRDefault="0025073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86AA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86AAF">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14:paraId="086B091E" w14:textId="77777777" w:rsidR="00250736" w:rsidRDefault="0025073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1EFC4" w14:textId="77777777" w:rsidR="003630E6" w:rsidRDefault="003630E6">
      <w:r>
        <w:separator/>
      </w:r>
    </w:p>
  </w:footnote>
  <w:footnote w:type="continuationSeparator" w:id="0">
    <w:p w14:paraId="5C4448CE" w14:textId="77777777" w:rsidR="003630E6" w:rsidRDefault="00363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A884" w14:textId="77777777" w:rsidR="00250736" w:rsidRDefault="00250736">
    <w:pPr>
      <w:widowControl w:val="0"/>
      <w:pBdr>
        <w:top w:val="nil"/>
        <w:left w:val="nil"/>
        <w:bottom w:val="nil"/>
        <w:right w:val="nil"/>
        <w:between w:val="nil"/>
      </w:pBdr>
      <w:spacing w:line="276" w:lineRule="auto"/>
      <w:rPr>
        <w:rFonts w:ascii="Calibri" w:eastAsia="Calibri" w:hAnsi="Calibri" w:cs="Calibri"/>
        <w:color w:val="000000"/>
      </w:rPr>
    </w:pPr>
  </w:p>
  <w:tbl>
    <w:tblPr>
      <w:tblStyle w:val="af0"/>
      <w:tblW w:w="5528" w:type="dxa"/>
      <w:tblInd w:w="3261" w:type="dxa"/>
      <w:tblLayout w:type="fixed"/>
      <w:tblLook w:val="0400" w:firstRow="0" w:lastRow="0" w:firstColumn="0" w:lastColumn="0" w:noHBand="0" w:noVBand="1"/>
    </w:tblPr>
    <w:tblGrid>
      <w:gridCol w:w="2551"/>
      <w:gridCol w:w="2977"/>
    </w:tblGrid>
    <w:tr w:rsidR="00250736" w14:paraId="410F6866" w14:textId="77777777">
      <w:tc>
        <w:tcPr>
          <w:tcW w:w="2551" w:type="dxa"/>
          <w:vAlign w:val="center"/>
        </w:tcPr>
        <w:p w14:paraId="4F3EC25E" w14:textId="77777777" w:rsidR="00250736" w:rsidRDefault="0025073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060CD3AA" w:rsidR="00250736" w:rsidRDefault="009B5E1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14189</w:t>
          </w:r>
          <w:r w:rsidR="00250736">
            <w:rPr>
              <w:rFonts w:ascii="Palatino Linotype" w:eastAsia="Palatino Linotype" w:hAnsi="Palatino Linotype" w:cs="Palatino Linotype"/>
              <w:b/>
              <w:sz w:val="22"/>
              <w:szCs w:val="22"/>
            </w:rPr>
            <w:t>/INFOEM/IP/RR/2022</w:t>
          </w:r>
        </w:p>
      </w:tc>
    </w:tr>
    <w:tr w:rsidR="00250736" w14:paraId="7FF3BFBA" w14:textId="77777777">
      <w:trPr>
        <w:trHeight w:val="228"/>
      </w:trPr>
      <w:tc>
        <w:tcPr>
          <w:tcW w:w="2551" w:type="dxa"/>
          <w:vAlign w:val="center"/>
        </w:tcPr>
        <w:p w14:paraId="0724E713" w14:textId="77777777" w:rsidR="00250736" w:rsidRDefault="0025073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DC18B76" w14:textId="77777777" w:rsidR="00250736" w:rsidRDefault="00250736">
          <w:pPr>
            <w:rPr>
              <w:rFonts w:ascii="Palatino Linotype" w:eastAsia="Palatino Linotype" w:hAnsi="Palatino Linotype" w:cs="Palatino Linotype"/>
              <w:b/>
              <w:sz w:val="22"/>
              <w:szCs w:val="22"/>
            </w:rPr>
          </w:pPr>
        </w:p>
      </w:tc>
      <w:tc>
        <w:tcPr>
          <w:tcW w:w="2977" w:type="dxa"/>
          <w:vAlign w:val="center"/>
        </w:tcPr>
        <w:p w14:paraId="750FF33F" w14:textId="76AE70DE" w:rsidR="00250736" w:rsidRDefault="009B5E1D" w:rsidP="0094563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Agua y Saneamiento de Toluca</w:t>
          </w:r>
        </w:p>
      </w:tc>
    </w:tr>
    <w:tr w:rsidR="00250736" w14:paraId="4B680A7E" w14:textId="77777777">
      <w:tc>
        <w:tcPr>
          <w:tcW w:w="2551" w:type="dxa"/>
          <w:vAlign w:val="center"/>
        </w:tcPr>
        <w:p w14:paraId="450F4EE9" w14:textId="77777777" w:rsidR="00250736" w:rsidRDefault="0025073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250736" w:rsidRDefault="0025073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77777777" w:rsidR="00250736" w:rsidRDefault="0025073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6A6EFE51" wp14:editId="3F1F4D61">
          <wp:simplePos x="0" y="0"/>
          <wp:positionH relativeFrom="column">
            <wp:posOffset>-695767</wp:posOffset>
          </wp:positionH>
          <wp:positionV relativeFrom="paragraph">
            <wp:posOffset>-1200942</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D04DC" w14:textId="77777777" w:rsidR="00250736" w:rsidRDefault="00250736">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40EA23AA">
          <wp:simplePos x="0" y="0"/>
          <wp:positionH relativeFrom="column">
            <wp:posOffset>-759388</wp:posOffset>
          </wp:positionH>
          <wp:positionV relativeFrom="paragraph">
            <wp:posOffset>-189230</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82" w:type="dxa"/>
      <w:tblLayout w:type="fixed"/>
      <w:tblLook w:val="0400" w:firstRow="0" w:lastRow="0" w:firstColumn="0" w:lastColumn="0" w:noHBand="0" w:noVBand="1"/>
    </w:tblPr>
    <w:tblGrid>
      <w:gridCol w:w="2551"/>
      <w:gridCol w:w="3119"/>
    </w:tblGrid>
    <w:tr w:rsidR="00250736" w14:paraId="0ABB4C37" w14:textId="77777777" w:rsidTr="001634C5">
      <w:tc>
        <w:tcPr>
          <w:tcW w:w="2551" w:type="dxa"/>
          <w:vAlign w:val="center"/>
        </w:tcPr>
        <w:p w14:paraId="23A06263" w14:textId="77777777" w:rsidR="00250736" w:rsidRDefault="0025073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6F2CA5FB" w:rsidR="00250736" w:rsidRDefault="009B5E1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14189</w:t>
          </w:r>
          <w:r w:rsidR="00250736">
            <w:rPr>
              <w:rFonts w:ascii="Palatino Linotype" w:eastAsia="Palatino Linotype" w:hAnsi="Palatino Linotype" w:cs="Palatino Linotype"/>
              <w:b/>
              <w:sz w:val="22"/>
              <w:szCs w:val="22"/>
            </w:rPr>
            <w:t xml:space="preserve">/INFOEM/IP/RR/2022 </w:t>
          </w:r>
        </w:p>
      </w:tc>
    </w:tr>
    <w:tr w:rsidR="00250736" w14:paraId="021994CC" w14:textId="77777777" w:rsidTr="001634C5">
      <w:tc>
        <w:tcPr>
          <w:tcW w:w="2551" w:type="dxa"/>
          <w:vAlign w:val="center"/>
        </w:tcPr>
        <w:p w14:paraId="4E679DDD" w14:textId="77777777" w:rsidR="00250736" w:rsidRDefault="00250736">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82016DA" w14:textId="4B535160" w:rsidR="00250736" w:rsidRDefault="00486AAF" w:rsidP="00486AA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w:t>
          </w:r>
        </w:p>
      </w:tc>
    </w:tr>
    <w:tr w:rsidR="00250736" w14:paraId="491D29D6" w14:textId="77777777" w:rsidTr="001634C5">
      <w:trPr>
        <w:trHeight w:val="228"/>
      </w:trPr>
      <w:tc>
        <w:tcPr>
          <w:tcW w:w="2551" w:type="dxa"/>
          <w:vAlign w:val="center"/>
        </w:tcPr>
        <w:p w14:paraId="4040E381" w14:textId="77777777" w:rsidR="00250736" w:rsidRDefault="0025073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A6E034B" w14:textId="1A8E0197" w:rsidR="009B5E1D" w:rsidRDefault="009B5E1D">
          <w:pPr>
            <w:rPr>
              <w:rFonts w:ascii="Palatino Linotype" w:eastAsia="Palatino Linotype" w:hAnsi="Palatino Linotype" w:cs="Palatino Linotype"/>
              <w:b/>
              <w:sz w:val="22"/>
              <w:szCs w:val="22"/>
            </w:rPr>
          </w:pPr>
        </w:p>
      </w:tc>
      <w:tc>
        <w:tcPr>
          <w:tcW w:w="3119" w:type="dxa"/>
          <w:vAlign w:val="center"/>
        </w:tcPr>
        <w:p w14:paraId="59811C07" w14:textId="76734C3E" w:rsidR="00250736" w:rsidRDefault="009B5E1D" w:rsidP="009B5E1D">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Agua y Saneamiento de Toluca</w:t>
          </w:r>
        </w:p>
      </w:tc>
    </w:tr>
    <w:tr w:rsidR="00250736" w14:paraId="412F3721" w14:textId="77777777" w:rsidTr="001634C5">
      <w:tc>
        <w:tcPr>
          <w:tcW w:w="2551" w:type="dxa"/>
          <w:vAlign w:val="center"/>
        </w:tcPr>
        <w:p w14:paraId="7EDAC2CA" w14:textId="77777777" w:rsidR="00250736" w:rsidRDefault="0025073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250736" w:rsidRDefault="0025073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250736" w:rsidRDefault="00250736">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FFA3" w14:textId="77777777" w:rsidR="00250736" w:rsidRDefault="00250736">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250736" w:rsidRDefault="00250736">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7AB3"/>
    <w:multiLevelType w:val="hybridMultilevel"/>
    <w:tmpl w:val="AF38748C"/>
    <w:lvl w:ilvl="0" w:tplc="B98844BA">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777DB0"/>
    <w:multiLevelType w:val="hybridMultilevel"/>
    <w:tmpl w:val="2222FE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C551817"/>
    <w:multiLevelType w:val="multilevel"/>
    <w:tmpl w:val="BA94335A"/>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nsid w:val="279B1D23"/>
    <w:multiLevelType w:val="hybridMultilevel"/>
    <w:tmpl w:val="2222FE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AE84012"/>
    <w:multiLevelType w:val="multilevel"/>
    <w:tmpl w:val="46B022E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34317490"/>
    <w:multiLevelType w:val="hybridMultilevel"/>
    <w:tmpl w:val="A566DA9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973239D"/>
    <w:multiLevelType w:val="multilevel"/>
    <w:tmpl w:val="E3026360"/>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4DC6A5E"/>
    <w:multiLevelType w:val="hybridMultilevel"/>
    <w:tmpl w:val="E0EAF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57A2C31"/>
    <w:multiLevelType w:val="hybridMultilevel"/>
    <w:tmpl w:val="DBFC1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5865FFE"/>
    <w:multiLevelType w:val="hybridMultilevel"/>
    <w:tmpl w:val="B8089C68"/>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2">
    <w:nsid w:val="503E1097"/>
    <w:multiLevelType w:val="hybridMultilevel"/>
    <w:tmpl w:val="6256D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B534902"/>
    <w:multiLevelType w:val="hybridMultilevel"/>
    <w:tmpl w:val="1D22E8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5C916939"/>
    <w:multiLevelType w:val="multilevel"/>
    <w:tmpl w:val="139E0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F1A38BA"/>
    <w:multiLevelType w:val="multilevel"/>
    <w:tmpl w:val="CE0899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64113715"/>
    <w:multiLevelType w:val="multilevel"/>
    <w:tmpl w:val="A7D4DD7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0">
    <w:nsid w:val="70D72675"/>
    <w:multiLevelType w:val="multilevel"/>
    <w:tmpl w:val="0D26E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15C26AB"/>
    <w:multiLevelType w:val="hybridMultilevel"/>
    <w:tmpl w:val="30DA6276"/>
    <w:lvl w:ilvl="0" w:tplc="CC28BA7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70136A0"/>
    <w:multiLevelType w:val="hybridMultilevel"/>
    <w:tmpl w:val="4A840F1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B757AEF"/>
    <w:multiLevelType w:val="hybridMultilevel"/>
    <w:tmpl w:val="9D58D946"/>
    <w:lvl w:ilvl="0" w:tplc="04429986">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DD65BE5"/>
    <w:multiLevelType w:val="hybridMultilevel"/>
    <w:tmpl w:val="7846A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5"/>
  </w:num>
  <w:num w:numId="4">
    <w:abstractNumId w:val="2"/>
  </w:num>
  <w:num w:numId="5">
    <w:abstractNumId w:val="8"/>
  </w:num>
  <w:num w:numId="6">
    <w:abstractNumId w:val="19"/>
  </w:num>
  <w:num w:numId="7">
    <w:abstractNumId w:val="1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1"/>
  </w:num>
  <w:num w:numId="12">
    <w:abstractNumId w:val="10"/>
  </w:num>
  <w:num w:numId="13">
    <w:abstractNumId w:val="7"/>
  </w:num>
  <w:num w:numId="14">
    <w:abstractNumId w:val="22"/>
  </w:num>
  <w:num w:numId="15">
    <w:abstractNumId w:val="11"/>
  </w:num>
  <w:num w:numId="16">
    <w:abstractNumId w:val="12"/>
  </w:num>
  <w:num w:numId="17">
    <w:abstractNumId w:val="20"/>
  </w:num>
  <w:num w:numId="18">
    <w:abstractNumId w:val="16"/>
  </w:num>
  <w:num w:numId="19">
    <w:abstractNumId w:val="18"/>
  </w:num>
  <w:num w:numId="20">
    <w:abstractNumId w:val="5"/>
  </w:num>
  <w:num w:numId="21">
    <w:abstractNumId w:val="24"/>
  </w:num>
  <w:num w:numId="22">
    <w:abstractNumId w:val="14"/>
  </w:num>
  <w:num w:numId="23">
    <w:abstractNumId w:val="23"/>
  </w:num>
  <w:num w:numId="24">
    <w:abstractNumId w:val="4"/>
  </w:num>
  <w:num w:numId="25">
    <w:abstractNumId w:val="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33"/>
    <w:rsid w:val="00025FCE"/>
    <w:rsid w:val="000266D4"/>
    <w:rsid w:val="00071508"/>
    <w:rsid w:val="000E3910"/>
    <w:rsid w:val="001176E6"/>
    <w:rsid w:val="001219ED"/>
    <w:rsid w:val="001634C5"/>
    <w:rsid w:val="00215DEF"/>
    <w:rsid w:val="00216A2B"/>
    <w:rsid w:val="00237EBD"/>
    <w:rsid w:val="00241E82"/>
    <w:rsid w:val="00250736"/>
    <w:rsid w:val="00266231"/>
    <w:rsid w:val="002879E3"/>
    <w:rsid w:val="002A2EFA"/>
    <w:rsid w:val="002C59DD"/>
    <w:rsid w:val="003059F6"/>
    <w:rsid w:val="0030777C"/>
    <w:rsid w:val="00312B61"/>
    <w:rsid w:val="003630E6"/>
    <w:rsid w:val="003804FB"/>
    <w:rsid w:val="00397333"/>
    <w:rsid w:val="003A416B"/>
    <w:rsid w:val="00433631"/>
    <w:rsid w:val="00452B2D"/>
    <w:rsid w:val="00477CB8"/>
    <w:rsid w:val="004838C8"/>
    <w:rsid w:val="00486AAF"/>
    <w:rsid w:val="004901CB"/>
    <w:rsid w:val="004948E3"/>
    <w:rsid w:val="005100F1"/>
    <w:rsid w:val="00550C9E"/>
    <w:rsid w:val="005532C7"/>
    <w:rsid w:val="00613B06"/>
    <w:rsid w:val="00614D1C"/>
    <w:rsid w:val="00642C9E"/>
    <w:rsid w:val="00655336"/>
    <w:rsid w:val="00656B51"/>
    <w:rsid w:val="006B1BA0"/>
    <w:rsid w:val="00705DEB"/>
    <w:rsid w:val="007063C1"/>
    <w:rsid w:val="00714EEE"/>
    <w:rsid w:val="007729C9"/>
    <w:rsid w:val="007A3AED"/>
    <w:rsid w:val="007B2993"/>
    <w:rsid w:val="00831675"/>
    <w:rsid w:val="00874C79"/>
    <w:rsid w:val="008E41AC"/>
    <w:rsid w:val="008F05B1"/>
    <w:rsid w:val="00934C19"/>
    <w:rsid w:val="0094563A"/>
    <w:rsid w:val="009A026A"/>
    <w:rsid w:val="009B5E1D"/>
    <w:rsid w:val="009D6523"/>
    <w:rsid w:val="00A214A9"/>
    <w:rsid w:val="00A614FC"/>
    <w:rsid w:val="00A86253"/>
    <w:rsid w:val="00A90D86"/>
    <w:rsid w:val="00A94A15"/>
    <w:rsid w:val="00AA30DD"/>
    <w:rsid w:val="00B15AFE"/>
    <w:rsid w:val="00B15C7D"/>
    <w:rsid w:val="00B16908"/>
    <w:rsid w:val="00B27568"/>
    <w:rsid w:val="00B423EA"/>
    <w:rsid w:val="00BB3E37"/>
    <w:rsid w:val="00C33785"/>
    <w:rsid w:val="00C6699A"/>
    <w:rsid w:val="00C81AB2"/>
    <w:rsid w:val="00C963F2"/>
    <w:rsid w:val="00D556A1"/>
    <w:rsid w:val="00DC51AA"/>
    <w:rsid w:val="00DF7D14"/>
    <w:rsid w:val="00E22C26"/>
    <w:rsid w:val="00E3154F"/>
    <w:rsid w:val="00E34508"/>
    <w:rsid w:val="00E567CE"/>
    <w:rsid w:val="00E66D3C"/>
    <w:rsid w:val="00E77807"/>
    <w:rsid w:val="00F42CF0"/>
    <w:rsid w:val="00F77816"/>
    <w:rsid w:val="00F8158E"/>
    <w:rsid w:val="00FB23FC"/>
    <w:rsid w:val="00FD67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style>
  <w:style w:type="table" w:customStyle="1" w:styleId="a5">
    <w:basedOn w:val="TableNormal2"/>
    <w:tblPr>
      <w:tblStyleRowBandSize w:val="1"/>
      <w:tblStyleColBandSize w:val="1"/>
      <w:tblCellMar>
        <w:top w:w="0" w:type="dxa"/>
        <w:left w:w="108" w:type="dxa"/>
        <w:bottom w:w="0" w:type="dxa"/>
        <w:right w:w="108"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798">
      <w:bodyDiv w:val="1"/>
      <w:marLeft w:val="0"/>
      <w:marRight w:val="0"/>
      <w:marTop w:val="0"/>
      <w:marBottom w:val="0"/>
      <w:divBdr>
        <w:top w:val="none" w:sz="0" w:space="0" w:color="auto"/>
        <w:left w:val="none" w:sz="0" w:space="0" w:color="auto"/>
        <w:bottom w:val="none" w:sz="0" w:space="0" w:color="auto"/>
        <w:right w:val="none" w:sz="0" w:space="0" w:color="auto"/>
      </w:divBdr>
    </w:div>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38160727">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978656149">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159878998">
      <w:bodyDiv w:val="1"/>
      <w:marLeft w:val="0"/>
      <w:marRight w:val="0"/>
      <w:marTop w:val="0"/>
      <w:marBottom w:val="0"/>
      <w:divBdr>
        <w:top w:val="none" w:sz="0" w:space="0" w:color="auto"/>
        <w:left w:val="none" w:sz="0" w:space="0" w:color="auto"/>
        <w:bottom w:val="none" w:sz="0" w:space="0" w:color="auto"/>
        <w:right w:val="none" w:sz="0" w:space="0" w:color="auto"/>
      </w:divBdr>
    </w:div>
    <w:div w:id="1377006918">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679961144">
      <w:bodyDiv w:val="1"/>
      <w:marLeft w:val="0"/>
      <w:marRight w:val="0"/>
      <w:marTop w:val="0"/>
      <w:marBottom w:val="0"/>
      <w:divBdr>
        <w:top w:val="none" w:sz="0" w:space="0" w:color="auto"/>
        <w:left w:val="none" w:sz="0" w:space="0" w:color="auto"/>
        <w:bottom w:val="none" w:sz="0" w:space="0" w:color="auto"/>
        <w:right w:val="none" w:sz="0" w:space="0" w:color="auto"/>
      </w:divBdr>
    </w:div>
    <w:div w:id="1875264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ontraloriadf.gob.mx/contraloria/cursos/ADQUISICIONES/paginas/32.php" TargetMode="External"/><Relationship Id="rId4" Type="http://schemas.openxmlformats.org/officeDocument/2006/relationships/styles" Target="styles.xml"/><Relationship Id="rId9" Type="http://schemas.openxmlformats.org/officeDocument/2006/relationships/hyperlink" Target="https://www.gob.mx/sfp/acciones-y-programas/1-3-3-adjudicacion-direct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CEBE9F-6F30-46F7-B04B-E5AED70D4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9012</Words>
  <Characters>49570</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2023-04-20T19:32:00Z</cp:lastPrinted>
  <dcterms:created xsi:type="dcterms:W3CDTF">2023-05-02T20:03:00Z</dcterms:created>
  <dcterms:modified xsi:type="dcterms:W3CDTF">2023-05-02T20:03:00Z</dcterms:modified>
</cp:coreProperties>
</file>