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D0AC7" w:rsidR="00BF289C" w:rsidP="00F82CF6" w:rsidRDefault="00BF289C" w14:paraId="3794D7C8" w14:textId="5B10DD06">
      <w:pPr>
        <w:tabs>
          <w:tab w:val="left" w:pos="8931"/>
        </w:tabs>
        <w:spacing w:after="0" w:line="360" w:lineRule="auto"/>
        <w:contextualSpacing/>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CE5264">
        <w:rPr>
          <w:rFonts w:eastAsia="Calibri" w:cs="Tahoma"/>
          <w:lang w:val="es-ES"/>
        </w:rPr>
        <w:t xml:space="preserve">ocho </w:t>
      </w:r>
      <w:r>
        <w:rPr>
          <w:rFonts w:eastAsia="Calibri" w:cs="Tahoma"/>
          <w:lang w:val="es-ES"/>
        </w:rPr>
        <w:t>de marzo</w:t>
      </w:r>
      <w:r w:rsidRPr="002D0AC7">
        <w:rPr>
          <w:rFonts w:eastAsia="Calibri" w:cs="Tahoma"/>
          <w:lang w:val="es-ES"/>
        </w:rPr>
        <w:t xml:space="preserve"> de dos mil veinti</w:t>
      </w:r>
      <w:r>
        <w:rPr>
          <w:rFonts w:eastAsia="Calibri" w:cs="Tahoma"/>
          <w:lang w:val="es-ES"/>
        </w:rPr>
        <w:t>trés</w:t>
      </w:r>
      <w:r w:rsidRPr="002D0AC7">
        <w:rPr>
          <w:rFonts w:eastAsia="Calibri" w:cs="Tahoma"/>
          <w:lang w:val="es-ES"/>
        </w:rPr>
        <w:t xml:space="preserve">. </w:t>
      </w:r>
    </w:p>
    <w:p w:rsidRPr="002D0AC7" w:rsidR="00BF289C" w:rsidP="00F82CF6" w:rsidRDefault="00BF289C" w14:paraId="6426E0D5" w14:textId="77777777">
      <w:pPr>
        <w:spacing w:after="0" w:line="360" w:lineRule="auto"/>
        <w:contextualSpacing/>
        <w:rPr>
          <w:rFonts w:eastAsia="Calibri" w:cs="Tahoma"/>
          <w:b/>
          <w:bCs/>
          <w:lang w:val="es-ES"/>
        </w:rPr>
      </w:pPr>
    </w:p>
    <w:p w:rsidR="00BF289C" w:rsidP="4123D839" w:rsidRDefault="00BF289C" w14:paraId="1600E112" w14:textId="7CA34A59">
      <w:pPr>
        <w:spacing w:after="0" w:line="360" w:lineRule="auto"/>
        <w:contextualSpacing/>
        <w:rPr>
          <w:rFonts w:cs="Tahoma"/>
          <w:color w:val="0D0D0D" w:themeColor="text1" w:themeTint="F2"/>
        </w:rPr>
      </w:pPr>
      <w:r w:rsidRPr="4123D839" w:rsidR="4123D839">
        <w:rPr>
          <w:rFonts w:eastAsia="Calibri" w:cs="Tahoma"/>
          <w:b w:val="1"/>
          <w:bCs w:val="1"/>
          <w:lang w:val="es-ES"/>
        </w:rPr>
        <w:t xml:space="preserve">VISTO </w:t>
      </w:r>
      <w:r w:rsidRPr="4123D839" w:rsidR="4123D839">
        <w:rPr>
          <w:rFonts w:eastAsia="Calibri" w:cs="Tahoma"/>
          <w:lang w:val="es-ES"/>
        </w:rPr>
        <w:t xml:space="preserve">el expediente conformado con motivo del Recurso de Revisión </w:t>
      </w:r>
      <w:r w:rsidRPr="4123D839" w:rsidR="4123D839">
        <w:rPr>
          <w:rFonts w:eastAsia="Calibri" w:cs="Tahoma"/>
        </w:rPr>
        <w:t xml:space="preserve">17331/INFOEM/IP/RR/2022, interpuesto por </w:t>
      </w:r>
      <w:r w:rsidRPr="4123D839" w:rsidR="4123D839">
        <w:rPr>
          <w:rFonts w:eastAsia="Calibri" w:cs="Tahoma"/>
          <w:highlight w:val="black"/>
        </w:rPr>
        <w:t>XXXXXXXXXXXXXXXXXXXXX</w:t>
      </w:r>
      <w:r w:rsidRPr="4123D839" w:rsidR="4123D839">
        <w:rPr>
          <w:rFonts w:eastAsia="Calibri" w:cs="Tahoma"/>
        </w:rPr>
        <w:t>, en lo sucesivo el</w:t>
      </w:r>
      <w:r w:rsidRPr="4123D839" w:rsidR="4123D839">
        <w:rPr>
          <w:rFonts w:cs="Tahoma"/>
          <w:color w:val="0D0D0D" w:themeColor="text1" w:themeTint="F2" w:themeShade="FF"/>
        </w:rPr>
        <w:t xml:space="preserve"> Recurrente o Particular, en contra de la respuesta del Sujeto Obligado, Ayuntamiento de Toluca, a la solicitud de acceso a la información pública</w:t>
      </w:r>
      <w:r w:rsidRPr="4123D839" w:rsidR="4123D839">
        <w:rPr>
          <w:b w:val="1"/>
          <w:bCs w:val="1"/>
          <w:color w:val="FF0000"/>
        </w:rPr>
        <w:t> </w:t>
      </w:r>
      <w:r w:rsidR="4123D839">
        <w:rPr/>
        <w:t>02484/TOLUCA/IP/2022</w:t>
      </w:r>
      <w:r w:rsidRPr="4123D839" w:rsidR="4123D839">
        <w:rPr>
          <w:rFonts w:cs="Tahoma"/>
          <w:color w:val="0D0D0D" w:themeColor="text1" w:themeTint="F2" w:themeShade="FF"/>
        </w:rPr>
        <w:t>, se emite la presente Resolución, con base en los Antecedentes y Considerandos que se exponen a continuación:</w:t>
      </w:r>
    </w:p>
    <w:p w:rsidRPr="00AB4EDD" w:rsidR="00954D3F" w:rsidP="00F82CF6" w:rsidRDefault="00954D3F" w14:paraId="71081B32" w14:textId="77777777">
      <w:pPr>
        <w:spacing w:after="0" w:line="360" w:lineRule="auto"/>
        <w:contextualSpacing/>
        <w:rPr>
          <w:rFonts w:cs="Tahoma"/>
          <w:color w:val="0D0D0D" w:themeColor="text1" w:themeTint="F2"/>
        </w:rPr>
      </w:pPr>
    </w:p>
    <w:p w:rsidRPr="002D0AC7" w:rsidR="00BF289C" w:rsidP="00F82CF6" w:rsidRDefault="00BF289C" w14:paraId="3AC724D0" w14:textId="77777777">
      <w:pPr>
        <w:spacing w:after="0" w:line="360" w:lineRule="auto"/>
        <w:contextualSpacing/>
        <w:jc w:val="center"/>
        <w:rPr>
          <w:rFonts w:eastAsia="Calibri" w:cs="Tahoma"/>
          <w:b/>
          <w:bCs/>
          <w:lang w:val="es-ES"/>
        </w:rPr>
      </w:pPr>
      <w:r w:rsidRPr="002D0AC7">
        <w:rPr>
          <w:rFonts w:eastAsia="Calibri" w:cs="Tahoma"/>
          <w:b/>
          <w:bCs/>
          <w:lang w:val="es-ES"/>
        </w:rPr>
        <w:t>A N T E C E D E N T E S:</w:t>
      </w:r>
    </w:p>
    <w:p w:rsidRPr="002D0AC7" w:rsidR="00BF289C" w:rsidP="00F82CF6" w:rsidRDefault="00BF289C" w14:paraId="04DC1F06" w14:textId="77777777">
      <w:pPr>
        <w:spacing w:after="0" w:line="360" w:lineRule="auto"/>
        <w:contextualSpacing/>
        <w:rPr>
          <w:lang w:val="es-ES"/>
        </w:rPr>
      </w:pPr>
    </w:p>
    <w:p w:rsidRPr="002D0AC7" w:rsidR="00BF289C" w:rsidP="00F82CF6" w:rsidRDefault="00BF289C" w14:paraId="0B9EEC65" w14:textId="77777777">
      <w:pPr>
        <w:spacing w:after="0" w:line="360" w:lineRule="auto"/>
        <w:contextualSpacing/>
        <w:rPr>
          <w:rFonts w:eastAsia="Calibri" w:cs="Tahoma"/>
          <w:b/>
          <w:bCs/>
          <w:lang w:val="es-ES"/>
        </w:rPr>
      </w:pPr>
      <w:r w:rsidRPr="002D0AC7">
        <w:rPr>
          <w:rFonts w:eastAsia="Calibri" w:cs="Tahoma"/>
          <w:b/>
          <w:bCs/>
          <w:lang w:val="es-ES"/>
        </w:rPr>
        <w:t>I. Presentación de la solicitud de información.</w:t>
      </w:r>
    </w:p>
    <w:p w:rsidRPr="002D0AC7" w:rsidR="00BF289C" w:rsidP="00F82CF6" w:rsidRDefault="00BF289C" w14:paraId="6ADF8F8B" w14:textId="77777777">
      <w:pPr>
        <w:spacing w:after="0" w:line="360" w:lineRule="auto"/>
        <w:contextualSpacing/>
        <w:rPr>
          <w:rFonts w:eastAsia="Calibri" w:cs="Tahoma"/>
          <w:b/>
          <w:bCs/>
          <w:lang w:val="es-ES"/>
        </w:rPr>
      </w:pPr>
    </w:p>
    <w:p w:rsidRPr="002D0AC7" w:rsidR="00BF289C" w:rsidP="00F82CF6" w:rsidRDefault="00BF289C" w14:paraId="1D92B1D2" w14:textId="17FF9A16">
      <w:pPr>
        <w:spacing w:after="0" w:line="360" w:lineRule="auto"/>
        <w:contextualSpacing/>
        <w:rPr>
          <w:rFonts w:cs="Tahoma"/>
        </w:rPr>
      </w:pPr>
      <w:r w:rsidRPr="002D0AC7">
        <w:rPr>
          <w:rFonts w:eastAsia="Calibri" w:cs="Tahoma"/>
          <w:lang w:val="es-ES"/>
        </w:rPr>
        <w:t xml:space="preserve">Con fecha </w:t>
      </w:r>
      <w:r>
        <w:rPr>
          <w:rFonts w:eastAsia="Calibri" w:cs="Tahoma"/>
          <w:lang w:val="es-ES"/>
        </w:rPr>
        <w:t>dieciséis</w:t>
      </w:r>
      <w:r w:rsidRPr="002D0AC7">
        <w:rPr>
          <w:rFonts w:eastAsia="Calibri" w:cs="Tahoma"/>
          <w:lang w:val="es-ES"/>
        </w:rPr>
        <w:t xml:space="preserve"> de</w:t>
      </w:r>
      <w:r>
        <w:rPr>
          <w:rFonts w:eastAsia="Calibri" w:cs="Tahoma"/>
          <w:lang w:val="es-ES"/>
        </w:rPr>
        <w:t xml:space="preserve"> noviembre de</w:t>
      </w:r>
      <w:r w:rsidRPr="002D0AC7">
        <w:rPr>
          <w:rFonts w:eastAsia="Calibri" w:cs="Tahoma"/>
          <w:lang w:val="es-ES"/>
        </w:rPr>
        <w:t xml:space="preserve"> dos mil veintidós, se tuvo por presentada una solicitud de información del Particular, a través del Sistema de Acceso a la Información Mexiquense (SAIMEX), ante el </w:t>
      </w:r>
      <w:r w:rsidRPr="002D0AC7">
        <w:rPr>
          <w:rFonts w:eastAsia="Calibri" w:cs="Tahoma"/>
        </w:rPr>
        <w:t xml:space="preserve">Ayuntamiento de </w:t>
      </w:r>
      <w:r>
        <w:rPr>
          <w:rFonts w:eastAsia="Calibri" w:cs="Tahoma"/>
        </w:rPr>
        <w:t xml:space="preserve">Toluca, </w:t>
      </w:r>
      <w:r w:rsidRPr="002D0AC7">
        <w:rPr>
          <w:rFonts w:cs="Tahoma"/>
        </w:rPr>
        <w:t>en los siguientes términos:</w:t>
      </w:r>
    </w:p>
    <w:p w:rsidRPr="002D0AC7" w:rsidR="00BF289C" w:rsidP="00F82CF6" w:rsidRDefault="00BF289C" w14:paraId="1FBC958A" w14:textId="77777777">
      <w:pPr>
        <w:spacing w:after="0" w:line="360" w:lineRule="auto"/>
        <w:contextualSpacing/>
        <w:rPr>
          <w:rFonts w:cs="Tahoma"/>
        </w:rPr>
      </w:pPr>
    </w:p>
    <w:p w:rsidRPr="00BF289C" w:rsidR="00BF289C" w:rsidP="00F82CF6" w:rsidRDefault="00BF289C" w14:paraId="20C19737" w14:textId="77777777">
      <w:pPr>
        <w:tabs>
          <w:tab w:val="left" w:pos="4667"/>
        </w:tabs>
        <w:spacing w:after="0" w:line="360" w:lineRule="auto"/>
        <w:ind w:left="567" w:right="567"/>
        <w:contextualSpacing/>
        <w:rPr>
          <w:rFonts w:cs="Tahoma"/>
          <w:b/>
          <w:bCs/>
          <w:i/>
          <w:sz w:val="20"/>
          <w:szCs w:val="20"/>
        </w:rPr>
      </w:pPr>
      <w:r w:rsidRPr="00BF289C">
        <w:rPr>
          <w:rFonts w:cs="Tahoma"/>
          <w:b/>
          <w:bCs/>
          <w:i/>
          <w:sz w:val="20"/>
          <w:szCs w:val="20"/>
        </w:rPr>
        <w:t>“DESCRIPCIÓN CLARA Y PRECISA DE LA INFORMACIÓN SOLICITADA</w:t>
      </w:r>
    </w:p>
    <w:p w:rsidRPr="00BF289C" w:rsidR="00BF289C" w:rsidP="00F82CF6" w:rsidRDefault="00BF289C" w14:paraId="3DD2E8C8" w14:textId="4885F55C">
      <w:pPr>
        <w:spacing w:after="0" w:line="360" w:lineRule="auto"/>
        <w:ind w:left="567" w:right="567"/>
        <w:contextualSpacing/>
        <w:rPr>
          <w:rFonts w:eastAsia="Times New Roman" w:cs="Times New Roman"/>
          <w:i/>
          <w:color w:val="auto"/>
          <w:sz w:val="20"/>
          <w:szCs w:val="20"/>
          <w:lang w:eastAsia="es-MX"/>
        </w:rPr>
      </w:pPr>
      <w:r w:rsidRPr="00BF289C">
        <w:rPr>
          <w:rFonts w:eastAsia="Times New Roman" w:cs="Times New Roman"/>
          <w:i/>
          <w:color w:val="auto"/>
          <w:sz w:val="20"/>
          <w:szCs w:val="20"/>
          <w:lang w:eastAsia="es-MX"/>
        </w:rPr>
        <w:t>Solicito se informe las percepciones por conceptos de salario bruto, salario neto, aguinaldo, vacaciones y prima vacacional que tuvo derecho a recibir, LUIS ERNESTO VELAZQUEZ CARPIZO, con RFC VECL870824JQ4, con número de empleado 032478, durante el año 2021, mientras ocupó el cargo de Director Operativo de la Dirección General de Seguridad Publica del H. Ayuntamiento de Toluca</w:t>
      </w:r>
      <w:r w:rsidRPr="00BF289C">
        <w:rPr>
          <w:rFonts w:cs="Tahoma"/>
          <w:bCs/>
          <w:i/>
          <w:sz w:val="20"/>
          <w:szCs w:val="20"/>
        </w:rPr>
        <w:t xml:space="preserve">.” </w:t>
      </w:r>
      <w:r w:rsidRPr="00BF289C">
        <w:rPr>
          <w:rFonts w:eastAsia="Times New Roman" w:cs="Arial"/>
          <w:bCs/>
          <w:i/>
          <w:sz w:val="20"/>
          <w:szCs w:val="20"/>
          <w:lang w:eastAsia="es-ES"/>
        </w:rPr>
        <w:t>(Sic)</w:t>
      </w:r>
    </w:p>
    <w:p w:rsidRPr="00BF289C" w:rsidR="00BF289C" w:rsidP="00F82CF6" w:rsidRDefault="00BF289C" w14:paraId="298CD069" w14:textId="77777777">
      <w:pPr>
        <w:tabs>
          <w:tab w:val="left" w:pos="4667"/>
        </w:tabs>
        <w:spacing w:after="0" w:line="360" w:lineRule="auto"/>
        <w:ind w:left="567" w:right="567"/>
        <w:contextualSpacing/>
        <w:rPr>
          <w:rFonts w:eastAsia="Times New Roman" w:cs="Tahoma"/>
          <w:b/>
          <w:bCs/>
          <w:i/>
          <w:color w:val="auto"/>
          <w:sz w:val="20"/>
          <w:szCs w:val="20"/>
          <w:lang w:eastAsia="es-ES"/>
        </w:rPr>
      </w:pPr>
      <w:r w:rsidRPr="00BF289C">
        <w:rPr>
          <w:rFonts w:eastAsia="Times New Roman" w:cs="Tahoma"/>
          <w:b/>
          <w:bCs/>
          <w:i/>
          <w:color w:val="auto"/>
          <w:sz w:val="20"/>
          <w:szCs w:val="20"/>
          <w:lang w:eastAsia="es-ES"/>
        </w:rPr>
        <w:t>“MODALIDAD DE ENTREGA</w:t>
      </w:r>
    </w:p>
    <w:p w:rsidRPr="00BF289C" w:rsidR="00BF289C" w:rsidP="00F82CF6" w:rsidRDefault="00BF289C" w14:paraId="1A240E89" w14:textId="77777777">
      <w:pPr>
        <w:spacing w:after="0" w:line="360" w:lineRule="auto"/>
        <w:ind w:left="567" w:right="567"/>
        <w:contextualSpacing/>
        <w:rPr>
          <w:rFonts w:eastAsia="Times New Roman" w:cs="Arial"/>
          <w:bCs/>
          <w:i/>
          <w:color w:val="auto"/>
          <w:sz w:val="20"/>
          <w:szCs w:val="20"/>
          <w:lang w:eastAsia="es-ES"/>
        </w:rPr>
      </w:pPr>
      <w:r w:rsidRPr="00BF289C">
        <w:rPr>
          <w:rFonts w:eastAsia="Times New Roman" w:cs="Arial"/>
          <w:bCs/>
          <w:i/>
          <w:color w:val="auto"/>
          <w:sz w:val="20"/>
          <w:szCs w:val="20"/>
          <w:lang w:eastAsia="es-ES"/>
        </w:rPr>
        <w:lastRenderedPageBreak/>
        <w:t>A través del SAIMEX” (Sic)</w:t>
      </w:r>
    </w:p>
    <w:p w:rsidR="00BF289C" w:rsidP="00F82CF6" w:rsidRDefault="00BF289C" w14:paraId="45F86303" w14:textId="77777777">
      <w:pPr>
        <w:spacing w:after="0" w:line="360" w:lineRule="auto"/>
        <w:contextualSpacing/>
        <w:rPr>
          <w:rFonts w:eastAsia="Calibri" w:cs="Tahoma"/>
          <w:b/>
          <w:bCs/>
        </w:rPr>
      </w:pPr>
    </w:p>
    <w:p w:rsidRPr="002D0AC7" w:rsidR="00BF289C" w:rsidP="00F82CF6" w:rsidRDefault="00BF289C" w14:paraId="64FB4174" w14:textId="15365644">
      <w:pPr>
        <w:spacing w:after="0" w:line="360" w:lineRule="auto"/>
        <w:contextualSpacing/>
        <w:rPr>
          <w:rFonts w:eastAsia="Calibri" w:cs="Tahoma"/>
          <w:b/>
          <w:bCs/>
        </w:rPr>
      </w:pPr>
      <w:r>
        <w:rPr>
          <w:rFonts w:eastAsia="Calibri" w:cs="Tahoma"/>
          <w:b/>
        </w:rPr>
        <w:t xml:space="preserve">II. </w:t>
      </w:r>
      <w:r w:rsidRPr="002D0AC7">
        <w:rPr>
          <w:rFonts w:eastAsia="Calibri" w:cs="Tahoma"/>
          <w:b/>
        </w:rPr>
        <w:t>Respuesta</w:t>
      </w:r>
      <w:r w:rsidRPr="002D0AC7">
        <w:rPr>
          <w:rFonts w:eastAsia="Calibri" w:cs="Tahoma"/>
          <w:b/>
          <w:bCs/>
        </w:rPr>
        <w:t xml:space="preserve"> del Sujeto Obligado.</w:t>
      </w:r>
    </w:p>
    <w:p w:rsidRPr="00F8584E" w:rsidR="003204DF" w:rsidP="00F82CF6" w:rsidRDefault="003204DF" w14:paraId="31379518" w14:textId="77777777">
      <w:pPr>
        <w:autoSpaceDE w:val="0"/>
        <w:autoSpaceDN w:val="0"/>
        <w:adjustRightInd w:val="0"/>
        <w:spacing w:after="0" w:line="360" w:lineRule="auto"/>
        <w:contextualSpacing/>
        <w:rPr>
          <w:rFonts w:eastAsia="Times New Roman" w:cs="Tahoma"/>
          <w:bCs/>
          <w:color w:val="auto"/>
          <w:szCs w:val="24"/>
          <w:lang w:eastAsia="es-ES"/>
        </w:rPr>
      </w:pPr>
    </w:p>
    <w:p w:rsidR="003204DF" w:rsidP="00F82CF6" w:rsidRDefault="003204DF" w14:paraId="3C5F77E9" w14:textId="1BEA7E08">
      <w:pPr>
        <w:autoSpaceDE w:val="0"/>
        <w:autoSpaceDN w:val="0"/>
        <w:adjustRightInd w:val="0"/>
        <w:spacing w:after="0" w:line="360" w:lineRule="auto"/>
        <w:contextualSpacing/>
        <w:rPr>
          <w:rFonts w:eastAsia="Times New Roman" w:cs="Tahoma"/>
          <w:color w:val="auto"/>
          <w:szCs w:val="24"/>
          <w:lang w:eastAsia="es-ES"/>
        </w:rPr>
      </w:pPr>
      <w:r w:rsidRPr="00F8584E">
        <w:rPr>
          <w:rFonts w:eastAsia="Times New Roman" w:cs="Tahoma"/>
          <w:bCs/>
          <w:color w:val="auto"/>
          <w:szCs w:val="24"/>
          <w:lang w:eastAsia="es-ES"/>
        </w:rPr>
        <w:t>El veinti</w:t>
      </w:r>
      <w:r>
        <w:rPr>
          <w:rFonts w:eastAsia="Times New Roman" w:cs="Tahoma"/>
          <w:bCs/>
          <w:color w:val="auto"/>
          <w:szCs w:val="24"/>
          <w:lang w:eastAsia="es-ES"/>
        </w:rPr>
        <w:t>trés</w:t>
      </w:r>
      <w:r w:rsidRPr="00F8584E">
        <w:rPr>
          <w:rFonts w:eastAsia="Times New Roman" w:cs="Tahoma"/>
          <w:bCs/>
          <w:color w:val="auto"/>
          <w:szCs w:val="24"/>
          <w:lang w:eastAsia="es-ES"/>
        </w:rPr>
        <w:t xml:space="preserve"> de </w:t>
      </w:r>
      <w:r>
        <w:rPr>
          <w:rFonts w:eastAsia="Times New Roman" w:cs="Tahoma"/>
          <w:bCs/>
          <w:color w:val="auto"/>
          <w:szCs w:val="24"/>
          <w:lang w:eastAsia="es-ES"/>
        </w:rPr>
        <w:t xml:space="preserve">noviembre </w:t>
      </w:r>
      <w:r w:rsidRPr="00F8584E">
        <w:rPr>
          <w:rFonts w:eastAsia="Times New Roman" w:cs="Tahoma"/>
          <w:bCs/>
          <w:color w:val="auto"/>
          <w:szCs w:val="24"/>
          <w:lang w:eastAsia="es-ES"/>
        </w:rPr>
        <w:t>de dos mil veintidós, el</w:t>
      </w:r>
      <w:r w:rsidRPr="00F8584E">
        <w:rPr>
          <w:rFonts w:eastAsia="Times New Roman" w:cs="Tahoma"/>
          <w:b/>
          <w:color w:val="auto"/>
          <w:szCs w:val="24"/>
          <w:lang w:eastAsia="es-ES"/>
        </w:rPr>
        <w:t xml:space="preserve"> </w:t>
      </w:r>
      <w:r w:rsidRPr="00F8584E">
        <w:rPr>
          <w:rFonts w:eastAsia="Times New Roman" w:cs="Tahoma"/>
          <w:color w:val="auto"/>
          <w:szCs w:val="24"/>
          <w:lang w:eastAsia="es-ES"/>
        </w:rPr>
        <w:t xml:space="preserve">Sujeto Obligado dio respuesta a la solicitud de acceso a la información, a través del oficio </w:t>
      </w:r>
      <w:r>
        <w:rPr>
          <w:rFonts w:eastAsia="Times New Roman" w:cs="Tahoma"/>
          <w:color w:val="auto"/>
          <w:szCs w:val="24"/>
          <w:lang w:eastAsia="es-ES"/>
        </w:rPr>
        <w:t xml:space="preserve">sin </w:t>
      </w:r>
      <w:r w:rsidRPr="00F8584E">
        <w:rPr>
          <w:rFonts w:eastAsia="Times New Roman" w:cs="Tahoma"/>
          <w:color w:val="auto"/>
          <w:szCs w:val="24"/>
          <w:lang w:eastAsia="es-ES"/>
        </w:rPr>
        <w:t xml:space="preserve">número, del </w:t>
      </w:r>
      <w:r>
        <w:rPr>
          <w:rFonts w:eastAsia="Times New Roman" w:cs="Tahoma"/>
          <w:color w:val="auto"/>
          <w:szCs w:val="24"/>
          <w:lang w:eastAsia="es-ES"/>
        </w:rPr>
        <w:t xml:space="preserve">veintitrés de noviembre </w:t>
      </w:r>
      <w:r w:rsidRPr="00F8584E">
        <w:rPr>
          <w:rFonts w:eastAsia="Times New Roman" w:cs="Tahoma"/>
          <w:color w:val="auto"/>
          <w:szCs w:val="24"/>
          <w:lang w:eastAsia="es-ES"/>
        </w:rPr>
        <w:t xml:space="preserve">de dos mil veintidós, suscrito por la </w:t>
      </w:r>
      <w:r>
        <w:rPr>
          <w:rFonts w:eastAsia="Times New Roman" w:cs="Tahoma"/>
          <w:color w:val="auto"/>
          <w:szCs w:val="24"/>
          <w:lang w:eastAsia="es-ES"/>
        </w:rPr>
        <w:t>Titular de la Unidad de Transparencia, dirigido al solicitante</w:t>
      </w:r>
      <w:r w:rsidRPr="00F8584E">
        <w:rPr>
          <w:rFonts w:eastAsia="Times New Roman" w:cs="Tahoma"/>
          <w:color w:val="auto"/>
          <w:szCs w:val="24"/>
          <w:lang w:eastAsia="es-ES"/>
        </w:rPr>
        <w:t xml:space="preserve">, a través del cual señaló esencialmente lo siguiente: </w:t>
      </w:r>
    </w:p>
    <w:p w:rsidR="003204DF" w:rsidP="00F82CF6" w:rsidRDefault="003204DF" w14:paraId="0DF1ABB6" w14:textId="0B551E71">
      <w:pPr>
        <w:autoSpaceDE w:val="0"/>
        <w:autoSpaceDN w:val="0"/>
        <w:adjustRightInd w:val="0"/>
        <w:spacing w:after="0" w:line="360" w:lineRule="auto"/>
        <w:contextualSpacing/>
        <w:rPr>
          <w:rFonts w:eastAsia="Times New Roman" w:cs="Tahoma"/>
          <w:color w:val="auto"/>
          <w:szCs w:val="24"/>
          <w:lang w:eastAsia="es-ES"/>
        </w:rPr>
      </w:pPr>
    </w:p>
    <w:p w:rsidRPr="00AB4EDD" w:rsidR="003204DF" w:rsidP="00F82CF6" w:rsidRDefault="003204DF" w14:paraId="5B7D86CD" w14:textId="3B57A1E1">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AB4EDD">
        <w:rPr>
          <w:rFonts w:eastAsia="Times New Roman" w:cs="Tahoma"/>
          <w:i/>
          <w:iCs/>
          <w:color w:val="auto"/>
          <w:sz w:val="20"/>
          <w:szCs w:val="20"/>
          <w:lang w:eastAsia="es-ES"/>
        </w:rPr>
        <w:t>“…</w:t>
      </w:r>
    </w:p>
    <w:p w:rsidRPr="00AB4EDD" w:rsidR="00AB4EDD" w:rsidP="00F82CF6" w:rsidRDefault="003204DF" w14:paraId="71495F83" w14:textId="5F084E44">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AB4EDD">
        <w:rPr>
          <w:rFonts w:eastAsia="Times New Roman" w:cs="Tahoma"/>
          <w:i/>
          <w:iCs/>
          <w:color w:val="auto"/>
          <w:sz w:val="20"/>
          <w:szCs w:val="20"/>
          <w:lang w:eastAsia="es-ES"/>
        </w:rPr>
        <w:t>Hago de su conocimiento que la Dirección General de Administración y Servidora Pública Habilitada, informó a la que suscribe que la información solicitada podrá ser consultada en la siguiente liga: https</w:t>
      </w:r>
      <w:r w:rsidRPr="00AB4EDD" w:rsidR="00AB4EDD">
        <w:rPr>
          <w:rFonts w:eastAsia="Times New Roman" w:cs="Tahoma"/>
          <w:i/>
          <w:iCs/>
          <w:color w:val="auto"/>
          <w:sz w:val="20"/>
          <w:szCs w:val="20"/>
          <w:lang w:eastAsia="es-ES"/>
        </w:rPr>
        <w:t>:</w:t>
      </w:r>
      <w:r w:rsidRPr="00AB4EDD">
        <w:rPr>
          <w:rFonts w:eastAsia="Times New Roman" w:cs="Tahoma"/>
          <w:i/>
          <w:iCs/>
          <w:color w:val="auto"/>
          <w:sz w:val="20"/>
          <w:szCs w:val="20"/>
          <w:lang w:eastAsia="es-ES"/>
        </w:rPr>
        <w:t>//www.ipomex.org.mx/ipo3/lgt/</w:t>
      </w:r>
      <w:r w:rsidRPr="00AB4EDD" w:rsidR="00AB4EDD">
        <w:rPr>
          <w:rFonts w:eastAsia="Times New Roman" w:cs="Tahoma"/>
          <w:i/>
          <w:iCs/>
          <w:color w:val="auto"/>
          <w:sz w:val="20"/>
          <w:szCs w:val="20"/>
          <w:lang w:eastAsia="es-ES"/>
        </w:rPr>
        <w:t>i</w:t>
      </w:r>
      <w:r w:rsidRPr="00AB4EDD">
        <w:rPr>
          <w:rFonts w:eastAsia="Times New Roman" w:cs="Tahoma"/>
          <w:i/>
          <w:iCs/>
          <w:color w:val="auto"/>
          <w:sz w:val="20"/>
          <w:szCs w:val="20"/>
          <w:lang w:eastAsia="es-ES"/>
        </w:rPr>
        <w:t xml:space="preserve">ndice/TOLUCA/art_92_viii.web, </w:t>
      </w:r>
      <w:r w:rsidRPr="00AB4EDD" w:rsidR="00AB4EDD">
        <w:rPr>
          <w:rFonts w:eastAsia="Times New Roman" w:cs="Tahoma"/>
          <w:i/>
          <w:iCs/>
          <w:color w:val="auto"/>
          <w:sz w:val="20"/>
          <w:szCs w:val="20"/>
          <w:lang w:eastAsia="es-ES"/>
        </w:rPr>
        <w:t>siendo esta la fracción VIII denominada Remuneraciones; en la que se visualizan diversos ejercicios anuales, incluyendo el año 2021.</w:t>
      </w:r>
    </w:p>
    <w:p w:rsidR="00AB4EDD" w:rsidP="00F82CF6" w:rsidRDefault="00AB4EDD" w14:paraId="4AFE04D6" w14:textId="00A21BBB">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AB4EDD">
        <w:rPr>
          <w:rFonts w:eastAsia="Times New Roman" w:cs="Tahoma"/>
          <w:i/>
          <w:iCs/>
          <w:color w:val="auto"/>
          <w:sz w:val="20"/>
          <w:szCs w:val="20"/>
          <w:lang w:eastAsia="es-ES"/>
        </w:rPr>
        <w:t>…”</w:t>
      </w:r>
    </w:p>
    <w:p w:rsidR="00AB4EDD" w:rsidP="00F82CF6" w:rsidRDefault="00AB4EDD" w14:paraId="7A75BCA0" w14:textId="77777777">
      <w:pPr>
        <w:autoSpaceDE w:val="0"/>
        <w:autoSpaceDN w:val="0"/>
        <w:adjustRightInd w:val="0"/>
        <w:spacing w:after="0" w:line="360" w:lineRule="auto"/>
        <w:contextualSpacing/>
        <w:rPr>
          <w:rFonts w:eastAsia="Calibri" w:cs="Tahoma"/>
          <w:b/>
          <w:color w:val="000000"/>
        </w:rPr>
      </w:pPr>
    </w:p>
    <w:p w:rsidRPr="002D0AC7" w:rsidR="00BF289C" w:rsidP="00F82CF6" w:rsidRDefault="00BF289C" w14:paraId="13CFC2D4" w14:textId="358EAB8D">
      <w:pPr>
        <w:autoSpaceDE w:val="0"/>
        <w:autoSpaceDN w:val="0"/>
        <w:adjustRightInd w:val="0"/>
        <w:spacing w:after="0" w:line="360" w:lineRule="auto"/>
        <w:contextualSpacing/>
        <w:rPr>
          <w:rFonts w:eastAsia="Calibri" w:cs="Tahoma"/>
          <w:b/>
          <w:color w:val="000000"/>
        </w:rPr>
      </w:pPr>
      <w:r w:rsidRPr="002D0AC7">
        <w:rPr>
          <w:rFonts w:eastAsia="Calibri" w:cs="Tahoma"/>
          <w:b/>
          <w:color w:val="000000"/>
        </w:rPr>
        <w:t>I</w:t>
      </w:r>
      <w:r w:rsidR="00AB4EDD">
        <w:rPr>
          <w:rFonts w:eastAsia="Calibri" w:cs="Tahoma"/>
          <w:b/>
          <w:color w:val="000000"/>
        </w:rPr>
        <w:t>II</w:t>
      </w:r>
      <w:r w:rsidRPr="002D0AC7">
        <w:rPr>
          <w:rFonts w:eastAsia="Calibri" w:cs="Tahoma"/>
          <w:b/>
          <w:color w:val="000000"/>
        </w:rPr>
        <w:t xml:space="preserve">. Interposición del Recurso de Revisión. </w:t>
      </w:r>
    </w:p>
    <w:p w:rsidRPr="002D0AC7" w:rsidR="00BF289C" w:rsidP="00F82CF6" w:rsidRDefault="00BF289C" w14:paraId="2472006E" w14:textId="77777777">
      <w:pPr>
        <w:spacing w:after="0" w:line="360" w:lineRule="auto"/>
        <w:contextualSpacing/>
        <w:rPr>
          <w:rFonts w:eastAsia="Times New Roman" w:cs="Tahoma"/>
          <w:bCs/>
          <w:color w:val="auto"/>
          <w:lang w:eastAsia="es-ES"/>
        </w:rPr>
      </w:pPr>
    </w:p>
    <w:p w:rsidRPr="002D0AC7" w:rsidR="00BF289C" w:rsidP="00F82CF6" w:rsidRDefault="00BF289C" w14:paraId="44874564" w14:textId="696BDBF8">
      <w:pPr>
        <w:spacing w:after="0" w:line="360" w:lineRule="auto"/>
        <w:contextualSpacing/>
        <w:rPr>
          <w:rFonts w:eastAsia="Times New Roman" w:cs="Tahoma"/>
          <w:bCs/>
          <w:color w:val="auto"/>
          <w:lang w:val="es-ES" w:eastAsia="es-ES"/>
        </w:rPr>
      </w:pPr>
      <w:r w:rsidRPr="002D0AC7">
        <w:rPr>
          <w:rFonts w:eastAsia="Times New Roman" w:cs="Tahoma"/>
          <w:bCs/>
          <w:color w:val="auto"/>
          <w:lang w:val="es-ES" w:eastAsia="es-ES"/>
        </w:rPr>
        <w:t xml:space="preserve">Con fecha </w:t>
      </w:r>
      <w:r w:rsidR="00AB4EDD">
        <w:rPr>
          <w:rFonts w:eastAsia="Times New Roman" w:cs="Tahoma"/>
          <w:bCs/>
          <w:color w:val="auto"/>
          <w:lang w:val="es-ES" w:eastAsia="es-ES"/>
        </w:rPr>
        <w:t xml:space="preserve">catorce de diciembre </w:t>
      </w:r>
      <w:r w:rsidRPr="002D0AC7">
        <w:rPr>
          <w:rFonts w:eastAsia="Times New Roman" w:cs="Tahoma"/>
          <w:bCs/>
          <w:color w:val="auto"/>
          <w:lang w:val="es-ES" w:eastAsia="es-ES"/>
        </w:rPr>
        <w:t xml:space="preserve">de dos mil veintidós, </w:t>
      </w:r>
      <w:r w:rsidRPr="002D0AC7">
        <w:rPr>
          <w:rFonts w:eastAsia="Times New Roman" w:cs="Tahoma"/>
          <w:bCs/>
          <w:color w:val="auto"/>
          <w:lang w:eastAsia="es-ES"/>
        </w:rPr>
        <w:t xml:space="preserve">se recibió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respuesta del Sujeto Obligado, en los siguientes términos:</w:t>
      </w:r>
    </w:p>
    <w:p w:rsidRPr="002D0AC7" w:rsidR="00BF289C" w:rsidP="00F82CF6" w:rsidRDefault="00BF289C" w14:paraId="147DE778" w14:textId="77777777">
      <w:pPr>
        <w:spacing w:after="0" w:line="360" w:lineRule="auto"/>
        <w:contextualSpacing/>
        <w:rPr>
          <w:rFonts w:eastAsia="Times New Roman" w:cs="Tahoma"/>
          <w:bCs/>
          <w:color w:val="auto"/>
          <w:lang w:eastAsia="es-ES"/>
        </w:rPr>
      </w:pPr>
    </w:p>
    <w:p w:rsidRPr="009019A4" w:rsidR="00BF289C" w:rsidP="00F82CF6" w:rsidRDefault="00BF289C" w14:paraId="3D25ADC7" w14:textId="77777777">
      <w:pPr>
        <w:spacing w:after="0" w:line="360" w:lineRule="auto"/>
        <w:ind w:left="567" w:right="567"/>
        <w:contextualSpacing/>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rsidRPr="009019A4" w:rsidR="00BF289C" w:rsidP="00F82CF6" w:rsidRDefault="00AB4EDD" w14:paraId="69887432" w14:textId="63EF1EF4">
      <w:pPr>
        <w:spacing w:after="0" w:line="360" w:lineRule="auto"/>
        <w:ind w:left="567" w:right="567"/>
        <w:contextualSpacing/>
        <w:rPr>
          <w:rFonts w:eastAsia="Times New Roman" w:cs="Tahoma"/>
          <w:bCs/>
          <w:i/>
          <w:iCs/>
          <w:color w:val="auto"/>
          <w:sz w:val="20"/>
          <w:szCs w:val="20"/>
          <w:lang w:eastAsia="es-ES"/>
        </w:rPr>
      </w:pPr>
      <w:r w:rsidRPr="00AB4EDD">
        <w:rPr>
          <w:i/>
          <w:iCs/>
          <w:color w:val="000000"/>
          <w:sz w:val="20"/>
          <w:szCs w:val="20"/>
        </w:rPr>
        <w:t>Respuesta a la solicitud de información 02484/TOLUCA/IP/2022, firmada por la Lic. en D. Norma Sofía Pérez Martínez, Titular de la Unidad de Transparencia</w:t>
      </w:r>
      <w:r w:rsidRPr="009019A4" w:rsidR="00BF289C">
        <w:rPr>
          <w:i/>
          <w:iCs/>
          <w:sz w:val="20"/>
          <w:szCs w:val="20"/>
        </w:rPr>
        <w:t>.”</w:t>
      </w:r>
      <w:r w:rsidRPr="009019A4" w:rsidR="00BF289C">
        <w:rPr>
          <w:bCs/>
          <w:i/>
          <w:iCs/>
          <w:sz w:val="20"/>
          <w:szCs w:val="20"/>
        </w:rPr>
        <w:t xml:space="preserve"> </w:t>
      </w:r>
      <w:r w:rsidRPr="009019A4" w:rsidR="00BF289C">
        <w:rPr>
          <w:rFonts w:eastAsia="Times New Roman" w:cs="Tahoma"/>
          <w:bCs/>
          <w:i/>
          <w:iCs/>
          <w:color w:val="auto"/>
          <w:sz w:val="20"/>
          <w:szCs w:val="20"/>
          <w:lang w:eastAsia="es-ES"/>
        </w:rPr>
        <w:t>(Sic)</w:t>
      </w:r>
    </w:p>
    <w:p w:rsidRPr="009019A4" w:rsidR="00BF289C" w:rsidP="00F82CF6" w:rsidRDefault="00BF289C" w14:paraId="32DE9841" w14:textId="77777777">
      <w:pPr>
        <w:spacing w:after="0" w:line="360" w:lineRule="auto"/>
        <w:ind w:left="567" w:right="567"/>
        <w:contextualSpacing/>
        <w:rPr>
          <w:rFonts w:eastAsia="Times New Roman" w:cs="Tahoma"/>
          <w:bCs/>
          <w:i/>
          <w:color w:val="auto"/>
          <w:sz w:val="20"/>
          <w:szCs w:val="20"/>
          <w:lang w:eastAsia="es-ES"/>
        </w:rPr>
      </w:pPr>
    </w:p>
    <w:p w:rsidRPr="00AB4EDD" w:rsidR="00BF289C" w:rsidP="00F82CF6" w:rsidRDefault="00BF289C" w14:paraId="2083B348" w14:textId="77777777">
      <w:pPr>
        <w:spacing w:after="0" w:line="360" w:lineRule="auto"/>
        <w:ind w:left="567" w:right="567"/>
        <w:contextualSpacing/>
        <w:rPr>
          <w:rFonts w:eastAsia="Times New Roman" w:cs="Tahoma"/>
          <w:b/>
          <w:bCs/>
          <w:i/>
          <w:color w:val="auto"/>
          <w:sz w:val="20"/>
          <w:szCs w:val="20"/>
          <w:lang w:eastAsia="es-ES"/>
        </w:rPr>
      </w:pPr>
      <w:r w:rsidRPr="00AB4EDD">
        <w:rPr>
          <w:rFonts w:eastAsia="Times New Roman" w:cs="Tahoma"/>
          <w:b/>
          <w:bCs/>
          <w:i/>
          <w:color w:val="auto"/>
          <w:sz w:val="20"/>
          <w:szCs w:val="20"/>
          <w:lang w:eastAsia="es-ES"/>
        </w:rPr>
        <w:lastRenderedPageBreak/>
        <w:t>“RAZONES O MOTIVOS DE LA INCONFORMIDAD</w:t>
      </w:r>
    </w:p>
    <w:p w:rsidRPr="00AB4EDD" w:rsidR="00BF289C" w:rsidP="00F82CF6" w:rsidRDefault="00AB4EDD" w14:paraId="77819770" w14:textId="61759D28">
      <w:pPr>
        <w:spacing w:after="0" w:line="360" w:lineRule="auto"/>
        <w:ind w:left="567" w:right="567"/>
        <w:contextualSpacing/>
        <w:rPr>
          <w:rFonts w:eastAsia="Times New Roman" w:cs="Tahoma"/>
          <w:bCs/>
          <w:i/>
          <w:color w:val="auto"/>
          <w:sz w:val="20"/>
          <w:szCs w:val="20"/>
          <w:lang w:eastAsia="es-ES"/>
        </w:rPr>
      </w:pPr>
      <w:r w:rsidRPr="00AB4EDD">
        <w:rPr>
          <w:i/>
          <w:color w:val="000000"/>
          <w:sz w:val="20"/>
          <w:szCs w:val="20"/>
        </w:rPr>
        <w:t xml:space="preserve">I. Sujeto obligado ante el cual se presentó la solicitud: Ayuntamiento de Toluca III. Tercero interesado: No hay IV. Número de folio de respuesta de la solicitud de acceso: 02484/TOLUCA/IP/2022 V. Fecha en la que fue notificada la respuesta al solicitante: 23 de noviembre de 2022. VI. Acto que se recurre: Respuesta a la solicitud de información 02484/TOLUCA/IP/2022, firmada por la Lic. en D. Norma Sofía Pérez Martínez, Titular de la Unidad de Transparencia. VII. Razones o motivos de la inconformidad: Es indebidamente fundado y motivado lo manifestado en la respuesta de solicitud de información firmada por la Lic. en D. Norma Sofía Pérez Martínez, Titular de la Unidad de Transparencia, debido a que en este documento que ahora se impugna se asegura que la información que se solicita puede ser debidamente consultada en la liga https://www.ipomex.org.mx/ipo3/lgt/indice/Toluca/art_92_viii.web, previo a posicionarse en la opción descargar. Lo anterior es erróneo, ya que una vez que se realiza con el procedimiento de descarga que señala la autoridad, se descarga un archivo en formato </w:t>
      </w:r>
      <w:proofErr w:type="spellStart"/>
      <w:r w:rsidRPr="00AB4EDD">
        <w:rPr>
          <w:i/>
          <w:color w:val="000000"/>
          <w:sz w:val="20"/>
          <w:szCs w:val="20"/>
        </w:rPr>
        <w:t>excel</w:t>
      </w:r>
      <w:proofErr w:type="spellEnd"/>
      <w:r w:rsidRPr="00AB4EDD">
        <w:rPr>
          <w:i/>
          <w:color w:val="000000"/>
          <w:sz w:val="20"/>
          <w:szCs w:val="20"/>
        </w:rPr>
        <w:t>, en el que no se puede encontrar ningún dato sobre las percepciones por conceptos de salario bruto, salario neto, aguinaldo, vacaciones y prima vacacional que tuvo derecho a recibir LUIS ERNESTO VELAZQUEZ CARPIZO, con número de empleado 032478 durante el año 202, ya que dicho documento solo contiene número y conceptos que no son asignados a trabajadores en específico, y se anexa al presente recurso. Por tal motivo también es indebido que la autoridad considere que la información solicitada se encuentra a disposición del público, ya que como se ha descrito con anterioridad, eso es erróneo y falso, aunado a que la fuente que proporciona para que la misma sea consultada no contiene la información solicitada de forma precisa y concreta</w:t>
      </w:r>
      <w:r w:rsidRPr="00AB4EDD" w:rsidR="00BF289C">
        <w:rPr>
          <w:i/>
          <w:color w:val="000000"/>
          <w:sz w:val="20"/>
          <w:szCs w:val="20"/>
        </w:rPr>
        <w:t>.”</w:t>
      </w:r>
      <w:r w:rsidRPr="00AB4EDD" w:rsidR="00BF289C">
        <w:rPr>
          <w:bCs/>
          <w:i/>
          <w:color w:val="000000"/>
          <w:sz w:val="20"/>
          <w:szCs w:val="20"/>
        </w:rPr>
        <w:t xml:space="preserve"> </w:t>
      </w:r>
      <w:r w:rsidRPr="00AB4EDD" w:rsidR="00BF289C">
        <w:rPr>
          <w:rFonts w:eastAsia="Times New Roman" w:cs="Tahoma"/>
          <w:bCs/>
          <w:i/>
          <w:color w:val="auto"/>
          <w:sz w:val="20"/>
          <w:szCs w:val="20"/>
          <w:lang w:eastAsia="es-ES"/>
        </w:rPr>
        <w:t>(Sic)</w:t>
      </w:r>
    </w:p>
    <w:p w:rsidRPr="009019A4" w:rsidR="000E16FD" w:rsidP="00F82CF6" w:rsidRDefault="000E16FD" w14:paraId="6A5F23C7" w14:textId="77777777">
      <w:pPr>
        <w:spacing w:after="0" w:line="360" w:lineRule="auto"/>
        <w:ind w:left="567" w:right="567"/>
        <w:contextualSpacing/>
        <w:rPr>
          <w:rFonts w:eastAsia="Times New Roman" w:cs="Tahoma"/>
          <w:bCs/>
          <w:color w:val="auto"/>
          <w:sz w:val="20"/>
          <w:szCs w:val="20"/>
          <w:lang w:eastAsia="es-ES"/>
        </w:rPr>
      </w:pPr>
    </w:p>
    <w:p w:rsidRPr="002D0AC7" w:rsidR="00BF289C" w:rsidP="00F82CF6" w:rsidRDefault="00BF289C" w14:paraId="419B8C10" w14:textId="77777777">
      <w:pPr>
        <w:spacing w:after="0" w:line="360" w:lineRule="auto"/>
        <w:contextualSpacing/>
        <w:rPr>
          <w:rFonts w:eastAsia="Batang" w:cs="Tahoma"/>
          <w:b/>
          <w:bCs/>
          <w:color w:val="000000"/>
        </w:rPr>
      </w:pPr>
      <w:r w:rsidRPr="002D0AC7">
        <w:rPr>
          <w:rFonts w:eastAsia="Calibri" w:cs="Tahoma"/>
          <w:b/>
          <w:color w:val="000000"/>
        </w:rPr>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rsidRPr="002D0AC7" w:rsidR="00BF289C" w:rsidP="00F82CF6" w:rsidRDefault="00BF289C" w14:paraId="07591CB4" w14:textId="77777777">
      <w:pPr>
        <w:spacing w:after="0" w:line="360" w:lineRule="auto"/>
        <w:contextualSpacing/>
        <w:rPr>
          <w:rFonts w:eastAsia="Batang" w:cs="Tahoma"/>
          <w:bCs/>
          <w:color w:val="000000"/>
        </w:rPr>
      </w:pPr>
    </w:p>
    <w:p w:rsidRPr="002D0AC7" w:rsidR="00BF289C" w:rsidP="00F82CF6" w:rsidRDefault="00BF289C" w14:paraId="00AEE589" w14:textId="36497355">
      <w:pPr>
        <w:spacing w:after="0" w:line="360" w:lineRule="auto"/>
        <w:contextualSpacing/>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AB4EDD">
        <w:rPr>
          <w:rFonts w:eastAsia="Batang" w:cs="Tahoma"/>
          <w:bCs/>
          <w:color w:val="000000"/>
        </w:rPr>
        <w:t>catorce de diciembre</w:t>
      </w:r>
      <w:r w:rsidRPr="002D0AC7">
        <w:rPr>
          <w:rFonts w:eastAsia="Batang" w:cs="Tahoma"/>
          <w:bCs/>
          <w:color w:val="000000"/>
        </w:rPr>
        <w:t xml:space="preserve"> </w:t>
      </w:r>
      <w:r w:rsidRPr="002D0AC7">
        <w:rPr>
          <w:rFonts w:eastAsia="Times New Roman" w:cs="Tahoma"/>
          <w:bCs/>
          <w:color w:val="auto"/>
          <w:lang w:eastAsia="es-ES"/>
        </w:rPr>
        <w:t>de dos mil veintidós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AB4EDD">
        <w:rPr>
          <w:rFonts w:eastAsia="Batang" w:cs="Tahoma"/>
          <w:color w:val="000000"/>
        </w:rPr>
        <w:t>1733</w:t>
      </w:r>
      <w:r>
        <w:rPr>
          <w:rFonts w:eastAsia="Batang" w:cs="Tahoma"/>
          <w:color w:val="000000"/>
        </w:rPr>
        <w:t>1</w:t>
      </w:r>
      <w:r w:rsidRPr="002D0AC7">
        <w:rPr>
          <w:rFonts w:eastAsia="Calibri" w:cs="Tahoma"/>
        </w:rPr>
        <w:t>/INFOEM/IP/RR/2022</w:t>
      </w:r>
      <w:r w:rsidRPr="002D0AC7">
        <w:rPr>
          <w:rFonts w:eastAsia="Batang" w:cs="Tahoma"/>
          <w:bCs/>
          <w:color w:val="000000"/>
        </w:rPr>
        <w:t xml:space="preserve">, al Medio de Impugnación que nos ocupa, con base en el sistema aprobado por el Pleno de este Órgano Garante y lo turnó al Comisionado Ponente Luis </w:t>
      </w:r>
      <w:r w:rsidRPr="002D0AC7">
        <w:rPr>
          <w:rFonts w:eastAsia="Batang" w:cs="Tahoma"/>
          <w:bCs/>
          <w:color w:val="000000"/>
        </w:rPr>
        <w:lastRenderedPageBreak/>
        <w:t>Gustavo Parra Noriega, para los efectos del artículo 185, fracción I de la Ley de Transparencia y Acceso a la Información Pública del Estado de México y Municipios.</w:t>
      </w:r>
    </w:p>
    <w:p w:rsidRPr="002D0AC7" w:rsidR="00BF289C" w:rsidP="00F82CF6" w:rsidRDefault="00BF289C" w14:paraId="50A85877" w14:textId="77777777">
      <w:pPr>
        <w:spacing w:after="0" w:line="360" w:lineRule="auto"/>
        <w:contextualSpacing/>
        <w:rPr>
          <w:rFonts w:eastAsia="Batang" w:cs="Tahoma"/>
          <w:bCs/>
          <w:color w:val="000000"/>
        </w:rPr>
      </w:pPr>
    </w:p>
    <w:p w:rsidRPr="002D0AC7" w:rsidR="00BF289C" w:rsidP="00F82CF6" w:rsidRDefault="00BF289C" w14:paraId="6556A0B3" w14:textId="4D94058C">
      <w:pPr>
        <w:spacing w:after="0" w:line="360" w:lineRule="auto"/>
        <w:contextualSpacing/>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AB4EDD">
        <w:rPr>
          <w:rFonts w:eastAsia="Batang" w:cs="Tahoma"/>
          <w:bCs/>
          <w:color w:val="000000"/>
        </w:rPr>
        <w:t>diecinueve de diciembre</w:t>
      </w:r>
      <w:r w:rsidRPr="002D0AC7">
        <w:rPr>
          <w:rFonts w:eastAsia="Batang" w:cs="Tahoma"/>
          <w:bCs/>
          <w:color w:val="000000"/>
        </w:rPr>
        <w:t xml:space="preserve"> de dos mil veintidós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el mismo día,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2D0AC7" w:rsidR="00BF289C" w:rsidP="00F82CF6" w:rsidRDefault="00BF289C" w14:paraId="475FE5AB" w14:textId="77777777">
      <w:pPr>
        <w:spacing w:after="0" w:line="360" w:lineRule="auto"/>
        <w:contextualSpacing/>
        <w:rPr>
          <w:rFonts w:cs="Tahoma"/>
        </w:rPr>
      </w:pPr>
    </w:p>
    <w:p w:rsidR="00C97996" w:rsidP="00F82CF6" w:rsidRDefault="00C97996" w14:paraId="71559B64" w14:textId="77777777">
      <w:pPr>
        <w:spacing w:after="0" w:line="360" w:lineRule="auto"/>
        <w:contextualSpacing/>
        <w:rPr>
          <w:rFonts w:cs="Tahoma"/>
          <w:bCs/>
        </w:rPr>
      </w:pPr>
      <w:r w:rsidRPr="00CE1ACE">
        <w:rPr>
          <w:rFonts w:cs="Tahoma"/>
          <w:b/>
        </w:rPr>
        <w:t xml:space="preserve">c) </w:t>
      </w:r>
      <w:r w:rsidRPr="00CE1ACE">
        <w:rPr>
          <w:rFonts w:cs="Tahoma"/>
          <w:b/>
          <w:bCs/>
          <w:iCs/>
          <w:lang w:val="es-ES"/>
        </w:rPr>
        <w:t>Informe Justificado.</w:t>
      </w:r>
      <w:r w:rsidRPr="00CE1ACE">
        <w:rPr>
          <w:rFonts w:cs="Tahoma"/>
          <w:bCs/>
          <w:iCs/>
          <w:lang w:val="es-ES"/>
        </w:rPr>
        <w:t xml:space="preserve"> </w:t>
      </w:r>
      <w:r w:rsidRPr="00CE1ACE">
        <w:rPr>
          <w:rFonts w:cs="Tahoma"/>
          <w:bCs/>
          <w:lang w:val="es-ES_tradnl"/>
        </w:rPr>
        <w:t xml:space="preserve">El </w:t>
      </w:r>
      <w:r>
        <w:rPr>
          <w:rFonts w:cs="Tahoma"/>
          <w:bCs/>
          <w:lang w:val="es-ES_tradnl"/>
        </w:rPr>
        <w:t>once de enero</w:t>
      </w:r>
      <w:r w:rsidRPr="00CE1ACE">
        <w:rPr>
          <w:rFonts w:cs="Tahoma"/>
          <w:bCs/>
          <w:lang w:val="es-ES_tradnl"/>
        </w:rPr>
        <w:t xml:space="preserve"> de dos mil veinti</w:t>
      </w:r>
      <w:r>
        <w:rPr>
          <w:rFonts w:cs="Tahoma"/>
          <w:bCs/>
          <w:lang w:val="es-ES_tradnl"/>
        </w:rPr>
        <w:t>trés</w:t>
      </w:r>
      <w:r w:rsidRPr="00CE1ACE">
        <w:rPr>
          <w:rFonts w:cs="Tahoma"/>
          <w:bCs/>
          <w:lang w:val="es-ES_tradnl"/>
        </w:rPr>
        <w:t>, se recibió en este Instituto, a través del Sistema de Acceso a la Información Mexiquense (SAIMEX), el Informe Justificado del Sujeto Obligado, a través</w:t>
      </w:r>
      <w:r w:rsidRPr="00CE1ACE">
        <w:rPr>
          <w:rFonts w:cs="Tahoma"/>
          <w:bCs/>
        </w:rPr>
        <w:t xml:space="preserve"> de</w:t>
      </w:r>
      <w:r>
        <w:rPr>
          <w:rFonts w:cs="Tahoma"/>
          <w:bCs/>
        </w:rPr>
        <w:t>l oficio número 2010A4000/UT/RR/0007/2023, de la fecha de su recepción, suscrito por la Titular de la Unidad de Transparencia, dirigido al Comisionado Ponente, por medio del cual aclaró, que la información respecto a las percepciones económicas que recibió el servidor público solicitado, por concepto de salario bruto, salario neto, aguinaldo, vacaciones y prima vacacional, se localizaba en el Portal de Información Pública de Oficio Mexiquense (SAIMEX), en la fracción VIII, en el apartado de Dirección de General de Seguridad Pública, en el registro 26, tal como, se muestra a continuación:</w:t>
      </w:r>
    </w:p>
    <w:p w:rsidR="00C97996" w:rsidP="00F82CF6" w:rsidRDefault="00C97996" w14:paraId="7C37489B" w14:textId="77777777">
      <w:pPr>
        <w:spacing w:after="0" w:line="360" w:lineRule="auto"/>
        <w:contextualSpacing/>
        <w:rPr>
          <w:rFonts w:cs="Tahoma"/>
          <w:bCs/>
        </w:rPr>
      </w:pPr>
    </w:p>
    <w:p w:rsidRPr="000E16FD" w:rsidR="00C97996" w:rsidP="00F82CF6" w:rsidRDefault="00C97996" w14:paraId="6FE9571F" w14:textId="77777777">
      <w:pPr>
        <w:spacing w:after="0" w:line="360" w:lineRule="auto"/>
        <w:contextualSpacing/>
        <w:jc w:val="center"/>
        <w:rPr>
          <w:rFonts w:cs="Tahoma"/>
          <w:bCs/>
        </w:rPr>
      </w:pPr>
      <w:r w:rsidRPr="00847A0D">
        <w:rPr>
          <w:rFonts w:cs="Tahoma"/>
          <w:bCs/>
          <w:noProof/>
          <w:lang w:eastAsia="es-MX"/>
        </w:rPr>
        <w:drawing>
          <wp:inline distT="0" distB="0" distL="0" distR="0" wp14:anchorId="16BE9D4C" wp14:editId="29A52B1A">
            <wp:extent cx="2449620" cy="1762125"/>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77181" cy="1781951"/>
                    </a:xfrm>
                    <a:prstGeom prst="rect">
                      <a:avLst/>
                    </a:prstGeom>
                  </pic:spPr>
                </pic:pic>
              </a:graphicData>
            </a:graphic>
          </wp:inline>
        </w:drawing>
      </w:r>
    </w:p>
    <w:p w:rsidR="00C97996" w:rsidP="00F82CF6" w:rsidRDefault="00C97996" w14:paraId="65C020FE" w14:textId="77777777">
      <w:pPr>
        <w:spacing w:after="0" w:line="360" w:lineRule="auto"/>
        <w:contextualSpacing/>
        <w:jc w:val="center"/>
        <w:rPr>
          <w:rFonts w:cs="Tahoma"/>
          <w:lang w:val="es-ES_tradnl"/>
        </w:rPr>
      </w:pPr>
      <w:r w:rsidRPr="00847A0D">
        <w:rPr>
          <w:rFonts w:cs="Tahoma"/>
          <w:noProof/>
          <w:lang w:eastAsia="es-MX"/>
        </w:rPr>
        <w:lastRenderedPageBreak/>
        <w:drawing>
          <wp:inline distT="0" distB="0" distL="0" distR="0" wp14:anchorId="40734AA7" wp14:editId="2203CA14">
            <wp:extent cx="3600450" cy="181462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11973" cy="1820434"/>
                    </a:xfrm>
                    <a:prstGeom prst="rect">
                      <a:avLst/>
                    </a:prstGeom>
                  </pic:spPr>
                </pic:pic>
              </a:graphicData>
            </a:graphic>
          </wp:inline>
        </w:drawing>
      </w:r>
    </w:p>
    <w:p w:rsidR="000E16FD" w:rsidP="00F82CF6" w:rsidRDefault="000E16FD" w14:paraId="5C7A633D" w14:textId="5E3DFFDD">
      <w:pPr>
        <w:spacing w:after="0" w:line="360" w:lineRule="auto"/>
        <w:contextualSpacing/>
        <w:rPr>
          <w:rFonts w:cs="Tahoma"/>
          <w:lang w:val="es-ES_tradnl"/>
        </w:rPr>
      </w:pPr>
    </w:p>
    <w:p w:rsidR="000E16FD" w:rsidP="00F82CF6" w:rsidRDefault="000E16FD" w14:paraId="0E8ED702" w14:textId="69CB398D">
      <w:pPr>
        <w:spacing w:after="0" w:line="360" w:lineRule="auto"/>
        <w:contextualSpacing/>
        <w:rPr>
          <w:rFonts w:eastAsia="Palatino Linotype" w:cs="Palatino Linotype"/>
        </w:rPr>
      </w:pPr>
      <w:r w:rsidRPr="00F8584E">
        <w:rPr>
          <w:rFonts w:eastAsia="Palatino Linotype" w:cs="Palatino Linotype"/>
          <w:b/>
          <w:bCs/>
        </w:rPr>
        <w:t xml:space="preserve">d) Ampliación de plazo para resolver. </w:t>
      </w:r>
      <w:r w:rsidRPr="00F8584E">
        <w:rPr>
          <w:rFonts w:eastAsia="Palatino Linotype" w:cs="Palatino Linotype"/>
        </w:rPr>
        <w:t xml:space="preserve">El </w:t>
      </w:r>
      <w:r>
        <w:rPr>
          <w:rFonts w:eastAsia="Palatino Linotype" w:cs="Palatino Linotype"/>
        </w:rPr>
        <w:t xml:space="preserve">dieciséis de febrero </w:t>
      </w:r>
      <w:r w:rsidRPr="00F8584E">
        <w:rPr>
          <w:rFonts w:eastAsia="Palatino Linotype" w:cs="Palatino Linotype"/>
        </w:rPr>
        <w:t>de dos mil veinti</w:t>
      </w:r>
      <w:r>
        <w:rPr>
          <w:rFonts w:eastAsia="Palatino Linotype" w:cs="Palatino Linotype"/>
        </w:rPr>
        <w:t>trés</w:t>
      </w:r>
      <w:r w:rsidRPr="00F8584E">
        <w:rPr>
          <w:rFonts w:eastAsia="Palatino Linotype" w:cs="Palatino Linotype"/>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000E16FD" w:rsidP="00F82CF6" w:rsidRDefault="000E16FD" w14:paraId="18DB1822" w14:textId="77777777">
      <w:pPr>
        <w:spacing w:after="0" w:line="360" w:lineRule="auto"/>
        <w:contextualSpacing/>
        <w:rPr>
          <w:rFonts w:eastAsia="Palatino Linotype" w:cs="Palatino Linotype"/>
        </w:rPr>
      </w:pPr>
    </w:p>
    <w:p w:rsidRPr="00CE1ACE" w:rsidR="000E16FD" w:rsidP="00F82CF6" w:rsidRDefault="000E16FD" w14:paraId="283990DE" w14:textId="77777777">
      <w:pPr>
        <w:spacing w:after="0" w:line="360" w:lineRule="auto"/>
        <w:contextualSpacing/>
        <w:rPr>
          <w:rFonts w:cs="Tahoma"/>
        </w:rPr>
      </w:pPr>
      <w:r w:rsidRPr="00CE1ACE">
        <w:rPr>
          <w:rFonts w:cs="Tahoma"/>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CE1ACE" w:rsidR="000E16FD" w:rsidP="00F82CF6" w:rsidRDefault="000E16FD" w14:paraId="4377572F" w14:textId="77777777">
      <w:pPr>
        <w:spacing w:after="0" w:line="360" w:lineRule="auto"/>
        <w:contextualSpacing/>
        <w:rPr>
          <w:rFonts w:cs="Tahoma"/>
        </w:rPr>
      </w:pPr>
    </w:p>
    <w:p w:rsidRPr="00CE1ACE" w:rsidR="000E16FD" w:rsidP="00F82CF6" w:rsidRDefault="000E16FD" w14:paraId="54588B4D" w14:textId="77777777">
      <w:pPr>
        <w:spacing w:after="0" w:line="360" w:lineRule="auto"/>
        <w:contextualSpacing/>
        <w:rPr>
          <w:rFonts w:cs="Tahoma"/>
        </w:rPr>
      </w:pPr>
      <w:r w:rsidRPr="00CE1ACE">
        <w:rPr>
          <w:rFonts w:cs="Tahoma"/>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CE1ACE" w:rsidR="000E16FD" w:rsidP="00F82CF6" w:rsidRDefault="000E16FD" w14:paraId="63E4F205" w14:textId="77777777">
      <w:pPr>
        <w:spacing w:after="0" w:line="360" w:lineRule="auto"/>
        <w:contextualSpacing/>
        <w:rPr>
          <w:rFonts w:cs="Tahoma"/>
        </w:rPr>
      </w:pPr>
    </w:p>
    <w:p w:rsidRPr="00CE1ACE" w:rsidR="000E16FD" w:rsidP="00F82CF6" w:rsidRDefault="000E16FD" w14:paraId="61259CFB" w14:textId="77777777">
      <w:pPr>
        <w:spacing w:after="0" w:line="360" w:lineRule="auto"/>
        <w:contextualSpacing/>
        <w:rPr>
          <w:rFonts w:cs="Tahoma"/>
        </w:rPr>
      </w:pPr>
      <w:r w:rsidRPr="00CE1ACE">
        <w:rPr>
          <w:rFonts w:cs="Tahoma"/>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CE1ACE" w:rsidR="000E16FD" w:rsidP="00F82CF6" w:rsidRDefault="000E16FD" w14:paraId="7B0429FD" w14:textId="77777777">
      <w:pPr>
        <w:spacing w:after="0" w:line="360" w:lineRule="auto"/>
        <w:contextualSpacing/>
        <w:rPr>
          <w:rFonts w:cs="Tahoma"/>
        </w:rPr>
      </w:pPr>
      <w:r w:rsidRPr="00CE1ACE">
        <w:rPr>
          <w:rFonts w:cs="Tahoma"/>
        </w:rPr>
        <w:t xml:space="preserve"> </w:t>
      </w:r>
    </w:p>
    <w:p w:rsidRPr="00CE1ACE" w:rsidR="000E16FD" w:rsidP="00F82CF6" w:rsidRDefault="000E16FD" w14:paraId="69CBC2D2" w14:textId="77777777">
      <w:pPr>
        <w:spacing w:after="0" w:line="360" w:lineRule="auto"/>
        <w:contextualSpacing/>
        <w:rPr>
          <w:rFonts w:eastAsia="Calibri" w:cs="Tahoma"/>
          <w:bCs/>
        </w:rPr>
      </w:pPr>
      <w:r w:rsidRPr="00CE1ACE">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rsidRPr="00CE1ACE" w:rsidR="000E16FD" w:rsidP="00F82CF6" w:rsidRDefault="000E16FD" w14:paraId="48FDF27E" w14:textId="77777777">
      <w:pPr>
        <w:spacing w:after="0" w:line="360" w:lineRule="auto"/>
        <w:contextualSpacing/>
        <w:rPr>
          <w:rFonts w:eastAsia="Calibri" w:cs="Tahoma"/>
          <w:bCs/>
        </w:rPr>
      </w:pPr>
      <w:r w:rsidRPr="00CE1ACE">
        <w:rPr>
          <w:rFonts w:eastAsia="Calibri" w:cs="Tahoma"/>
          <w:bCs/>
        </w:rPr>
        <w:t xml:space="preserve"> </w:t>
      </w:r>
    </w:p>
    <w:p w:rsidRPr="00CE1ACE" w:rsidR="000E16FD" w:rsidP="00F82CF6" w:rsidRDefault="000E16FD" w14:paraId="514C9D72" w14:textId="77777777">
      <w:pPr>
        <w:numPr>
          <w:ilvl w:val="0"/>
          <w:numId w:val="3"/>
        </w:numPr>
        <w:spacing w:after="0" w:line="360" w:lineRule="auto"/>
        <w:contextualSpacing/>
        <w:rPr>
          <w:rFonts w:eastAsia="Palatino Linotype" w:cs="Palatino Linotype"/>
          <w:szCs w:val="24"/>
          <w:lang w:eastAsia="es-ES"/>
        </w:rPr>
      </w:pPr>
      <w:r w:rsidRPr="00CE1ACE">
        <w:rPr>
          <w:rFonts w:eastAsia="Palatino Linotype" w:cs="Palatino Linotype"/>
          <w:b/>
          <w:bCs/>
          <w:szCs w:val="24"/>
          <w:lang w:eastAsia="es-ES"/>
        </w:rPr>
        <w:t>Complejidad del asunto:</w:t>
      </w:r>
      <w:r w:rsidRPr="00CE1ACE">
        <w:rPr>
          <w:rFonts w:eastAsia="Palatino Linotype" w:cs="Palatino Linotype"/>
          <w:szCs w:val="24"/>
          <w:lang w:eastAsia="es-ES"/>
        </w:rPr>
        <w:t xml:space="preserve"> La complejidad de la prueba, la pluralidad de sujetos procesales, el tiempo transcurrido, las características y contexto del recurso.</w:t>
      </w:r>
    </w:p>
    <w:p w:rsidRPr="00CE1ACE" w:rsidR="000E16FD" w:rsidP="00F82CF6" w:rsidRDefault="000E16FD" w14:paraId="0340F7CF" w14:textId="77777777">
      <w:pPr>
        <w:spacing w:after="0" w:line="360" w:lineRule="auto"/>
        <w:ind w:left="720"/>
        <w:contextualSpacing/>
        <w:rPr>
          <w:rFonts w:eastAsia="Palatino Linotype" w:cs="Palatino Linotype"/>
          <w:szCs w:val="24"/>
          <w:lang w:eastAsia="es-ES"/>
        </w:rPr>
      </w:pPr>
    </w:p>
    <w:p w:rsidRPr="00CE1ACE" w:rsidR="000E16FD" w:rsidP="00F82CF6" w:rsidRDefault="000E16FD" w14:paraId="6E6F680F" w14:textId="77777777">
      <w:pPr>
        <w:numPr>
          <w:ilvl w:val="0"/>
          <w:numId w:val="3"/>
        </w:numPr>
        <w:spacing w:after="0" w:line="360" w:lineRule="auto"/>
        <w:contextualSpacing/>
        <w:rPr>
          <w:rFonts w:eastAsia="Palatino Linotype" w:cs="Palatino Linotype"/>
          <w:szCs w:val="24"/>
          <w:lang w:eastAsia="es-ES"/>
        </w:rPr>
      </w:pPr>
      <w:r w:rsidRPr="00CE1ACE">
        <w:rPr>
          <w:rFonts w:eastAsia="Palatino Linotype" w:cs="Palatino Linotype"/>
          <w:b/>
          <w:bCs/>
          <w:szCs w:val="24"/>
          <w:lang w:eastAsia="es-ES"/>
        </w:rPr>
        <w:t>Actividad Procesal del interesado:</w:t>
      </w:r>
      <w:r w:rsidRPr="00CE1ACE">
        <w:rPr>
          <w:rFonts w:eastAsia="Palatino Linotype" w:cs="Palatino Linotype"/>
          <w:szCs w:val="24"/>
          <w:lang w:eastAsia="es-ES"/>
        </w:rPr>
        <w:t xml:space="preserve"> Acciones u omisiones del interesado.</w:t>
      </w:r>
    </w:p>
    <w:p w:rsidRPr="00CE1ACE" w:rsidR="000E16FD" w:rsidP="00F82CF6" w:rsidRDefault="000E16FD" w14:paraId="42F7F991" w14:textId="77777777">
      <w:pPr>
        <w:spacing w:after="0" w:line="360" w:lineRule="auto"/>
        <w:ind w:left="720"/>
        <w:contextualSpacing/>
        <w:rPr>
          <w:rFonts w:eastAsia="Palatino Linotype" w:cs="Palatino Linotype"/>
          <w:szCs w:val="24"/>
          <w:lang w:eastAsia="es-ES"/>
        </w:rPr>
      </w:pPr>
    </w:p>
    <w:p w:rsidRPr="00CE1ACE" w:rsidR="000E16FD" w:rsidP="00F82CF6" w:rsidRDefault="000E16FD" w14:paraId="3E2E12A8" w14:textId="77777777">
      <w:pPr>
        <w:numPr>
          <w:ilvl w:val="0"/>
          <w:numId w:val="3"/>
        </w:numPr>
        <w:spacing w:after="0" w:line="360" w:lineRule="auto"/>
        <w:contextualSpacing/>
        <w:rPr>
          <w:rFonts w:eastAsia="Palatino Linotype" w:cs="Palatino Linotype"/>
          <w:szCs w:val="24"/>
          <w:lang w:eastAsia="es-ES"/>
        </w:rPr>
      </w:pPr>
      <w:r w:rsidRPr="00CE1ACE">
        <w:rPr>
          <w:rFonts w:eastAsia="Palatino Linotype" w:cs="Palatino Linotype"/>
          <w:b/>
          <w:bCs/>
          <w:szCs w:val="24"/>
          <w:lang w:eastAsia="es-ES"/>
        </w:rPr>
        <w:t>Conducta de la Autoridad:</w:t>
      </w:r>
      <w:r w:rsidRPr="00CE1ACE">
        <w:rPr>
          <w:rFonts w:eastAsia="Palatino Linotype" w:cs="Palatino Linotype"/>
          <w:szCs w:val="24"/>
          <w:lang w:eastAsia="es-ES"/>
        </w:rPr>
        <w:t xml:space="preserve"> Las Acciones u omisiones realizadas en el procedimiento. Así como si la autoridad actuó con la debida diligencia.</w:t>
      </w:r>
    </w:p>
    <w:p w:rsidRPr="00CE1ACE" w:rsidR="000E16FD" w:rsidP="00F82CF6" w:rsidRDefault="000E16FD" w14:paraId="088E8EDA" w14:textId="77777777">
      <w:pPr>
        <w:spacing w:after="0" w:line="360" w:lineRule="auto"/>
        <w:ind w:left="720"/>
        <w:contextualSpacing/>
        <w:rPr>
          <w:rFonts w:eastAsia="Palatino Linotype" w:cs="Palatino Linotype"/>
          <w:szCs w:val="24"/>
          <w:lang w:eastAsia="es-ES"/>
        </w:rPr>
      </w:pPr>
    </w:p>
    <w:p w:rsidRPr="00CE1ACE" w:rsidR="000E16FD" w:rsidP="00F82CF6" w:rsidRDefault="000E16FD" w14:paraId="600AF02C" w14:textId="77777777">
      <w:pPr>
        <w:numPr>
          <w:ilvl w:val="0"/>
          <w:numId w:val="3"/>
        </w:numPr>
        <w:spacing w:after="0" w:line="360" w:lineRule="auto"/>
        <w:contextualSpacing/>
        <w:rPr>
          <w:rFonts w:eastAsia="Palatino Linotype" w:cs="Palatino Linotype"/>
          <w:szCs w:val="24"/>
          <w:lang w:eastAsia="es-ES"/>
        </w:rPr>
      </w:pPr>
      <w:r w:rsidRPr="00CE1ACE">
        <w:rPr>
          <w:rFonts w:eastAsia="Palatino Linotype" w:cs="Palatino Linotype"/>
          <w:b/>
          <w:bCs/>
          <w:szCs w:val="24"/>
          <w:lang w:eastAsia="es-ES"/>
        </w:rPr>
        <w:t xml:space="preserve">La afectación generada en la situación jurídica de la persona involucrada en el proceso: </w:t>
      </w:r>
      <w:r w:rsidRPr="00CE1ACE">
        <w:rPr>
          <w:rFonts w:eastAsia="Palatino Linotype" w:cs="Palatino Linotype"/>
          <w:szCs w:val="24"/>
          <w:lang w:eastAsia="es-ES"/>
        </w:rPr>
        <w:t>Violación a sus derechos humanos.</w:t>
      </w:r>
    </w:p>
    <w:p w:rsidRPr="00CE1ACE" w:rsidR="000E16FD" w:rsidP="00F82CF6" w:rsidRDefault="000E16FD" w14:paraId="1EACC3EB" w14:textId="77777777">
      <w:pPr>
        <w:spacing w:after="0" w:line="360" w:lineRule="auto"/>
        <w:contextualSpacing/>
        <w:rPr>
          <w:rFonts w:eastAsia="Calibri" w:cs="Tahoma"/>
          <w:bCs/>
        </w:rPr>
      </w:pPr>
    </w:p>
    <w:p w:rsidRPr="00CE1ACE" w:rsidR="000E16FD" w:rsidP="00F82CF6" w:rsidRDefault="000E16FD" w14:paraId="64E4D27B" w14:textId="77777777">
      <w:pPr>
        <w:spacing w:after="0" w:line="360" w:lineRule="auto"/>
        <w:contextualSpacing/>
        <w:rPr>
          <w:rFonts w:eastAsia="Calibri" w:cs="Tahoma"/>
          <w:bCs/>
        </w:rPr>
      </w:pPr>
      <w:r w:rsidRPr="00CE1ACE">
        <w:rPr>
          <w:rFonts w:eastAsia="Calibri" w:cs="Tahoma"/>
          <w:bC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CE1ACE">
        <w:rPr>
          <w:rFonts w:eastAsia="Calibri" w:cs="Tahoma"/>
          <w:bCs/>
        </w:rPr>
        <w:lastRenderedPageBreak/>
        <w:t>concluirse que es una excluyente de responsabilidad en relación con la actuación del funcionario, como ha acontecido en el caso que nos ocupa.</w:t>
      </w:r>
    </w:p>
    <w:p w:rsidRPr="00CE1ACE" w:rsidR="000E16FD" w:rsidP="00F82CF6" w:rsidRDefault="000E16FD" w14:paraId="396B96CB" w14:textId="77777777">
      <w:pPr>
        <w:spacing w:after="0" w:line="360" w:lineRule="auto"/>
        <w:contextualSpacing/>
        <w:rPr>
          <w:rFonts w:eastAsia="Calibri" w:cs="Tahoma"/>
          <w:bCs/>
        </w:rPr>
      </w:pPr>
      <w:r w:rsidRPr="00CE1ACE">
        <w:rPr>
          <w:rFonts w:eastAsia="Calibri" w:cs="Tahoma"/>
          <w:bCs/>
        </w:rPr>
        <w:t xml:space="preserve"> </w:t>
      </w:r>
    </w:p>
    <w:p w:rsidRPr="00CE1ACE" w:rsidR="000E16FD" w:rsidP="00F82CF6" w:rsidRDefault="000E16FD" w14:paraId="6F84C8FA" w14:textId="77777777">
      <w:pPr>
        <w:spacing w:after="0" w:line="360" w:lineRule="auto"/>
        <w:contextualSpacing/>
        <w:rPr>
          <w:rFonts w:eastAsia="Calibri" w:cs="Tahoma"/>
          <w:bCs/>
        </w:rPr>
      </w:pPr>
      <w:r w:rsidRPr="00CE1ACE">
        <w:rPr>
          <w:rFonts w:eastAsia="Calibri" w:cs="Tahoma"/>
          <w:bCs/>
        </w:rPr>
        <w:t xml:space="preserve">Argumento que encuentra sustento en la jurisprudencia P./J. 32/92 emitida por el Pleno de la Suprema Corte de Justicia de la Nación de rubro </w:t>
      </w:r>
      <w:r w:rsidRPr="00CE1ACE">
        <w:rPr>
          <w:rFonts w:eastAsia="Calibri" w:cs="Tahoma"/>
          <w:b/>
        </w:rPr>
        <w:t>“TÉRMINOS PROCESALES. PARA DETERMINAR SI UN FUNCIONARIO JUDICIAL ACTUÓ INDEBIDAMENTE POR NO RESPETARLOS SE DEBE ATENDER AL PRESUPUESTO QUE CONSIDERÓ EL LEGISLADOR AL FIJARLOS Y LAS CARACTERÍSTICAS DEL CASO.”</w:t>
      </w:r>
      <w:r w:rsidRPr="00CE1ACE">
        <w:rPr>
          <w:rFonts w:eastAsia="Calibri" w:cs="Tahoma"/>
          <w:bCs/>
        </w:rPr>
        <w:t>, visible en la Gaceta del Seminario Judicial de la Federación con el registro digital 205635.</w:t>
      </w:r>
    </w:p>
    <w:p w:rsidRPr="00CE1ACE" w:rsidR="000E16FD" w:rsidP="00F82CF6" w:rsidRDefault="000E16FD" w14:paraId="541F19DA" w14:textId="77777777">
      <w:pPr>
        <w:spacing w:after="0" w:line="360" w:lineRule="auto"/>
        <w:contextualSpacing/>
        <w:rPr>
          <w:rFonts w:eastAsia="Calibri" w:cs="Tahoma"/>
          <w:bCs/>
        </w:rPr>
      </w:pPr>
      <w:r w:rsidRPr="00CE1ACE">
        <w:rPr>
          <w:rFonts w:eastAsia="Calibri" w:cs="Tahoma"/>
          <w:bCs/>
        </w:rPr>
        <w:t xml:space="preserve"> </w:t>
      </w:r>
    </w:p>
    <w:p w:rsidRPr="00CE1ACE" w:rsidR="000E16FD" w:rsidP="00F82CF6" w:rsidRDefault="000E16FD" w14:paraId="482FA3ED" w14:textId="77777777">
      <w:pPr>
        <w:spacing w:after="0" w:line="360" w:lineRule="auto"/>
        <w:contextualSpacing/>
        <w:rPr>
          <w:rFonts w:eastAsia="Calibri" w:cs="Tahoma"/>
          <w:bCs/>
        </w:rPr>
      </w:pPr>
      <w:r w:rsidRPr="00CE1ACE">
        <w:rPr>
          <w:rFonts w:eastAsia="Calibri" w:cs="Tahoma"/>
          <w:bC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CE1ACE" w:rsidR="000E16FD" w:rsidP="00F82CF6" w:rsidRDefault="000E16FD" w14:paraId="66B08BDE" w14:textId="77777777">
      <w:pPr>
        <w:spacing w:after="0" w:line="360" w:lineRule="auto"/>
        <w:contextualSpacing/>
        <w:rPr>
          <w:rFonts w:eastAsia="Calibri" w:cs="Tahoma"/>
          <w:bCs/>
        </w:rPr>
      </w:pPr>
    </w:p>
    <w:p w:rsidRPr="00CE1ACE" w:rsidR="000E16FD" w:rsidP="00F82CF6" w:rsidRDefault="000E16FD" w14:paraId="1DF2BC83" w14:textId="77777777">
      <w:pPr>
        <w:spacing w:after="0" w:line="360" w:lineRule="auto"/>
        <w:contextualSpacing/>
        <w:rPr>
          <w:rFonts w:eastAsia="Calibri" w:cs="Tahoma"/>
          <w:bCs/>
        </w:rPr>
      </w:pPr>
      <w:r w:rsidRPr="00CE1ACE">
        <w:rPr>
          <w:rFonts w:eastAsia="Calibri" w:cs="Tahoma"/>
          <w:bCs/>
        </w:rPr>
        <w:t>Al respecto, también son de considerar los criterios sostenidos por el Cuarto Tribunal Colegiado en Materia Administrativa del Primer Circuito, cuyos rubros y datos de identificación son los siguientes:</w:t>
      </w:r>
    </w:p>
    <w:p w:rsidRPr="00CE1ACE" w:rsidR="000E16FD" w:rsidP="00F82CF6" w:rsidRDefault="000E16FD" w14:paraId="0436A08C" w14:textId="77777777">
      <w:pPr>
        <w:spacing w:after="0" w:line="360" w:lineRule="auto"/>
        <w:contextualSpacing/>
        <w:rPr>
          <w:rFonts w:eastAsia="Calibri" w:cs="Tahoma"/>
          <w:bCs/>
        </w:rPr>
      </w:pPr>
      <w:r w:rsidRPr="00CE1ACE">
        <w:rPr>
          <w:rFonts w:eastAsia="Calibri" w:cs="Tahoma"/>
          <w:bCs/>
        </w:rPr>
        <w:t xml:space="preserve"> </w:t>
      </w:r>
    </w:p>
    <w:p w:rsidRPr="00CE1ACE" w:rsidR="000E16FD" w:rsidP="00F82CF6" w:rsidRDefault="000E16FD" w14:paraId="3EB9BBC1" w14:textId="77777777">
      <w:pPr>
        <w:spacing w:after="0" w:line="360" w:lineRule="auto"/>
        <w:contextualSpacing/>
        <w:rPr>
          <w:rFonts w:eastAsia="Calibri" w:cs="Tahoma"/>
          <w:bCs/>
        </w:rPr>
      </w:pPr>
      <w:r w:rsidRPr="00CE1ACE">
        <w:rPr>
          <w:rFonts w:eastAsia="Calibri" w:cs="Tahoma"/>
          <w:b/>
        </w:rPr>
        <w:t>“PLAZO RAZONABLE PARA RESOLVER. DIMENSIÓN Y EFECTOS DE ESTE CONCEPTO CUANDO SE ADUCE EXCESIVA CARGA DE TRABAJO.”</w:t>
      </w:r>
      <w:r w:rsidRPr="00CE1ACE">
        <w:rPr>
          <w:rFonts w:eastAsia="Calibri" w:cs="Tahoma"/>
          <w:bCs/>
        </w:rPr>
        <w:t xml:space="preserve"> consultable en el Seminario Judicial de la Federación y su gaceta, con el registro digital 2002351.</w:t>
      </w:r>
    </w:p>
    <w:p w:rsidRPr="00CE1ACE" w:rsidR="000E16FD" w:rsidP="00F82CF6" w:rsidRDefault="000E16FD" w14:paraId="7664AAFC" w14:textId="77777777">
      <w:pPr>
        <w:spacing w:after="0" w:line="360" w:lineRule="auto"/>
        <w:contextualSpacing/>
        <w:rPr>
          <w:rFonts w:eastAsia="Calibri" w:cs="Tahoma"/>
          <w:bCs/>
        </w:rPr>
      </w:pPr>
      <w:r w:rsidRPr="00CE1ACE">
        <w:rPr>
          <w:rFonts w:eastAsia="Calibri" w:cs="Tahoma"/>
          <w:bCs/>
        </w:rPr>
        <w:lastRenderedPageBreak/>
        <w:t xml:space="preserve"> </w:t>
      </w:r>
    </w:p>
    <w:p w:rsidRPr="00CE1ACE" w:rsidR="000E16FD" w:rsidP="00F82CF6" w:rsidRDefault="000E16FD" w14:paraId="0F007784" w14:textId="77777777">
      <w:pPr>
        <w:spacing w:after="0" w:line="360" w:lineRule="auto"/>
        <w:contextualSpacing/>
        <w:rPr>
          <w:rFonts w:eastAsia="Calibri" w:cs="Tahoma"/>
          <w:bCs/>
        </w:rPr>
      </w:pPr>
      <w:r w:rsidRPr="00CE1ACE">
        <w:rPr>
          <w:rFonts w:eastAsia="Calibri" w:cs="Tahoma"/>
          <w:b/>
        </w:rPr>
        <w:t>“PLAZO RAZONABLE PARA RESOLVER. CONCEPTO Y ELEMENTOS QUE LO INTEGRAN A LA LUZ DEL DERECHO INTERNACIONAL DE LOS DERECHOS HUMANOS.”</w:t>
      </w:r>
      <w:r w:rsidRPr="00CE1ACE">
        <w:rPr>
          <w:rFonts w:eastAsia="Calibri" w:cs="Tahoma"/>
          <w:bCs/>
        </w:rPr>
        <w:t>, visible en el Seminario Judicial de la Federación y su gaceta, con el registro digital 2002350.</w:t>
      </w:r>
    </w:p>
    <w:p w:rsidRPr="00CE1ACE" w:rsidR="000E16FD" w:rsidP="00F82CF6" w:rsidRDefault="000E16FD" w14:paraId="1FF5C112" w14:textId="77777777">
      <w:pPr>
        <w:spacing w:after="0" w:line="360" w:lineRule="auto"/>
        <w:contextualSpacing/>
        <w:rPr>
          <w:rFonts w:eastAsia="Calibri" w:cs="Tahoma"/>
          <w:bCs/>
        </w:rPr>
      </w:pPr>
    </w:p>
    <w:p w:rsidRPr="00CE1ACE" w:rsidR="000E16FD" w:rsidP="00F82CF6" w:rsidRDefault="000E16FD" w14:paraId="31FC9945" w14:textId="77777777">
      <w:pPr>
        <w:spacing w:after="0" w:line="360" w:lineRule="auto"/>
        <w:contextualSpacing/>
        <w:rPr>
          <w:rFonts w:eastAsia="Calibri" w:cs="Tahoma"/>
          <w:bCs/>
        </w:rPr>
      </w:pPr>
      <w:r w:rsidRPr="00CE1ACE">
        <w:rPr>
          <w:rFonts w:eastAsia="Calibri" w:cs="Tahoma"/>
          <w:bCs/>
        </w:rPr>
        <w:t>Por ello, este organismo garante comprometido con la tutela de los derechos humanos confiados, señala que este exceso del plazo legal para resolver el presente asunto, resulta de carácter excepcional.</w:t>
      </w:r>
    </w:p>
    <w:p w:rsidRPr="002D0AC7" w:rsidR="00BF289C" w:rsidP="00F82CF6" w:rsidRDefault="00BF289C" w14:paraId="5EF936FD" w14:textId="77777777">
      <w:pPr>
        <w:widowControl w:val="0"/>
        <w:spacing w:after="0" w:line="360" w:lineRule="auto"/>
        <w:contextualSpacing/>
        <w:rPr>
          <w:rFonts w:eastAsia="Times New Roman" w:cs="Tahoma"/>
          <w:b/>
          <w:color w:val="auto"/>
          <w:lang w:eastAsia="es-ES"/>
        </w:rPr>
      </w:pPr>
    </w:p>
    <w:p w:rsidRPr="002D0AC7" w:rsidR="00BF289C" w:rsidP="00F82CF6" w:rsidRDefault="00BF289C" w14:paraId="19BF5F0E" w14:textId="78792E19">
      <w:pPr>
        <w:widowControl w:val="0"/>
        <w:spacing w:after="0" w:line="360" w:lineRule="auto"/>
        <w:contextualSpacing/>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0E16FD">
        <w:rPr>
          <w:rFonts w:eastAsia="Times New Roman" w:cs="Tahoma"/>
          <w:color w:val="auto"/>
          <w:lang w:eastAsia="es-ES"/>
        </w:rPr>
        <w:t>veinte de febrero</w:t>
      </w:r>
      <w:r w:rsidRPr="002D0AC7">
        <w:rPr>
          <w:rFonts w:eastAsia="Times New Roman" w:cs="Tahoma"/>
          <w:color w:val="auto"/>
          <w:lang w:eastAsia="es-ES"/>
        </w:rPr>
        <w:t xml:space="preserve"> de dos mil veinti</w:t>
      </w:r>
      <w:r w:rsidR="007F7E15">
        <w:rPr>
          <w:rFonts w:eastAsia="Times New Roman" w:cs="Tahoma"/>
          <w:color w:val="auto"/>
          <w:lang w:eastAsia="es-ES"/>
        </w:rPr>
        <w:t>tré</w:t>
      </w:r>
      <w:r w:rsidRPr="002D0AC7">
        <w:rPr>
          <w:rFonts w:eastAsia="Times New Roman" w:cs="Tahoma"/>
          <w:color w:val="auto"/>
          <w:lang w:eastAsia="es-ES"/>
        </w:rPr>
        <w:t xml:space="preserve">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rsidRPr="002D0AC7" w:rsidR="00BF289C" w:rsidP="00F82CF6" w:rsidRDefault="00BF289C" w14:paraId="5DAE5913" w14:textId="77777777">
      <w:pPr>
        <w:spacing w:after="0" w:line="360" w:lineRule="auto"/>
        <w:contextualSpacing/>
        <w:rPr>
          <w:rFonts w:eastAsia="Times New Roman" w:cs="Tahoma"/>
          <w:color w:val="auto"/>
          <w:lang w:eastAsia="es-ES"/>
        </w:rPr>
      </w:pPr>
    </w:p>
    <w:p w:rsidRPr="002D0AC7" w:rsidR="00BF289C" w:rsidP="00F82CF6" w:rsidRDefault="00BF289C" w14:paraId="049C2890" w14:textId="77777777">
      <w:pPr>
        <w:spacing w:after="0" w:line="360" w:lineRule="auto"/>
        <w:contextualSpacing/>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000E16FD" w:rsidP="00F82CF6" w:rsidRDefault="000E16FD" w14:paraId="0499F753" w14:textId="77777777">
      <w:pPr>
        <w:spacing w:after="0" w:line="360" w:lineRule="auto"/>
        <w:contextualSpacing/>
        <w:rPr>
          <w:rFonts w:eastAsia="Times New Roman" w:cs="Tahoma"/>
          <w:b/>
          <w:color w:val="auto"/>
          <w:lang w:val="es-ES" w:eastAsia="es-ES"/>
        </w:rPr>
      </w:pPr>
    </w:p>
    <w:p w:rsidR="00BF289C" w:rsidP="00F82CF6" w:rsidRDefault="00BF289C" w14:paraId="41710B33" w14:textId="4B5D71F4">
      <w:pPr>
        <w:spacing w:after="0" w:line="360" w:lineRule="auto"/>
        <w:contextualSpacing/>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rsidRPr="002D0AC7" w:rsidR="007F7E15" w:rsidP="00F82CF6" w:rsidRDefault="007F7E15" w14:paraId="5AE98A49" w14:textId="77777777">
      <w:pPr>
        <w:spacing w:after="0" w:line="360" w:lineRule="auto"/>
        <w:contextualSpacing/>
        <w:jc w:val="center"/>
        <w:rPr>
          <w:rFonts w:eastAsia="Times New Roman" w:cs="Tahoma"/>
          <w:b/>
          <w:color w:val="auto"/>
          <w:lang w:val="es-ES" w:eastAsia="es-ES"/>
        </w:rPr>
      </w:pPr>
    </w:p>
    <w:p w:rsidRPr="002D0AC7" w:rsidR="00BF289C" w:rsidP="00F82CF6" w:rsidRDefault="00BF289C" w14:paraId="28C76E4F" w14:textId="77777777">
      <w:pPr>
        <w:autoSpaceDE w:val="0"/>
        <w:autoSpaceDN w:val="0"/>
        <w:adjustRightInd w:val="0"/>
        <w:spacing w:after="0" w:line="360" w:lineRule="auto"/>
        <w:contextualSpacing/>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rsidRPr="002D0AC7" w:rsidR="00BF289C" w:rsidP="00F82CF6" w:rsidRDefault="00BF289C" w14:paraId="05DF8AD2" w14:textId="77777777">
      <w:pPr>
        <w:autoSpaceDE w:val="0"/>
        <w:autoSpaceDN w:val="0"/>
        <w:adjustRightInd w:val="0"/>
        <w:spacing w:after="0" w:line="360" w:lineRule="auto"/>
        <w:contextualSpacing/>
        <w:rPr>
          <w:rFonts w:eastAsia="Times New Roman" w:cs="Tahoma"/>
          <w:b/>
          <w:color w:val="auto"/>
          <w:lang w:val="es-ES" w:eastAsia="es-ES"/>
        </w:rPr>
      </w:pPr>
    </w:p>
    <w:p w:rsidRPr="002D0AC7" w:rsidR="00BF289C" w:rsidP="00F82CF6" w:rsidRDefault="00BF289C" w14:paraId="6BDD3DA7" w14:textId="77777777">
      <w:pPr>
        <w:spacing w:after="0" w:line="360" w:lineRule="auto"/>
        <w:contextualSpacing/>
        <w:rPr>
          <w:rFonts w:eastAsia="Times New Roman" w:cs="Tahoma"/>
          <w:bCs/>
          <w:color w:val="auto"/>
          <w:lang w:eastAsia="es-ES"/>
        </w:rPr>
      </w:pPr>
      <w:bookmarkStart w:name="_Hlk63334754" w:id="0"/>
      <w:r w:rsidRPr="002D0AC7">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w:t>
      </w:r>
      <w:r w:rsidRPr="002D0AC7">
        <w:rPr>
          <w:rFonts w:eastAsia="Times New Roman" w:cs="Tahoma"/>
          <w:bCs/>
          <w:color w:val="auto"/>
          <w:lang w:eastAsia="es-ES"/>
        </w:rPr>
        <w:lastRenderedPageBreak/>
        <w:t>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007F7E15" w:rsidP="00F82CF6" w:rsidRDefault="007F7E15" w14:paraId="681B7F8A" w14:textId="77777777">
      <w:pPr>
        <w:autoSpaceDE w:val="0"/>
        <w:autoSpaceDN w:val="0"/>
        <w:adjustRightInd w:val="0"/>
        <w:spacing w:after="0" w:line="360" w:lineRule="auto"/>
        <w:contextualSpacing/>
        <w:rPr>
          <w:rFonts w:eastAsia="Calibri" w:cs="Tahoma"/>
          <w:b/>
          <w:color w:val="000000"/>
          <w:lang w:val="es-ES" w:eastAsia="es-MX"/>
        </w:rPr>
      </w:pPr>
    </w:p>
    <w:p w:rsidR="00BF289C" w:rsidP="00F82CF6" w:rsidRDefault="00BF289C" w14:paraId="59B864B4" w14:textId="05198741">
      <w:pPr>
        <w:autoSpaceDE w:val="0"/>
        <w:autoSpaceDN w:val="0"/>
        <w:adjustRightInd w:val="0"/>
        <w:spacing w:after="0" w:line="360" w:lineRule="auto"/>
        <w:contextualSpacing/>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w:t>
      </w:r>
      <w:r w:rsidRPr="002D0AC7">
        <w:rPr>
          <w:rFonts w:eastAsia="Times New Roman" w:cs="Tahoma"/>
          <w:color w:val="auto"/>
          <w:lang w:val="es-ES" w:eastAsia="es-ES"/>
        </w:rPr>
        <w:t xml:space="preserve"> </w:t>
      </w:r>
    </w:p>
    <w:p w:rsidRPr="002D0AC7" w:rsidR="007F7E15" w:rsidP="00F82CF6" w:rsidRDefault="007F7E15" w14:paraId="7C484BE5" w14:textId="77777777">
      <w:pPr>
        <w:autoSpaceDE w:val="0"/>
        <w:autoSpaceDN w:val="0"/>
        <w:adjustRightInd w:val="0"/>
        <w:spacing w:after="0" w:line="360" w:lineRule="auto"/>
        <w:contextualSpacing/>
        <w:rPr>
          <w:rFonts w:eastAsia="Times New Roman" w:cs="Tahoma"/>
          <w:color w:val="auto"/>
          <w:lang w:val="es-ES" w:eastAsia="es-ES"/>
        </w:rPr>
      </w:pPr>
    </w:p>
    <w:p w:rsidRPr="002D0AC7" w:rsidR="00BF289C" w:rsidP="00F82CF6" w:rsidRDefault="00BF289C" w14:paraId="4809CE50" w14:textId="77777777">
      <w:pPr>
        <w:spacing w:after="0" w:line="360" w:lineRule="auto"/>
        <w:contextualSpacing/>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D0AC7" w:rsidR="00BF289C" w:rsidP="00F82CF6" w:rsidRDefault="00BF289C" w14:paraId="3B3CA017" w14:textId="77777777">
      <w:pPr>
        <w:spacing w:after="0" w:line="360" w:lineRule="auto"/>
        <w:contextualSpacing/>
        <w:rPr>
          <w:rFonts w:eastAsia="Times New Roman" w:cs="Tahoma"/>
          <w:color w:val="auto"/>
          <w:lang w:eastAsia="es-ES"/>
        </w:rPr>
      </w:pPr>
    </w:p>
    <w:p w:rsidRPr="002D0AC7" w:rsidR="00BF289C" w:rsidP="00F82CF6" w:rsidRDefault="00BF289C" w14:paraId="1FD678B6" w14:textId="77777777">
      <w:pPr>
        <w:spacing w:after="0" w:line="360" w:lineRule="auto"/>
        <w:contextualSpacing/>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Pr>
          <w:rFonts w:eastAsia="Times New Roman" w:cs="Tahoma"/>
          <w:color w:val="auto"/>
          <w:lang w:eastAsia="es-ES"/>
        </w:rPr>
        <w:t xml:space="preserve">parte </w:t>
      </w:r>
      <w:r w:rsidRPr="002D0AC7">
        <w:rPr>
          <w:rFonts w:eastAsia="Times New Roman" w:cs="Tahoma"/>
          <w:color w:val="auto"/>
          <w:lang w:eastAsia="es-ES"/>
        </w:rPr>
        <w:t xml:space="preserve">Recurrente ante otra instancia; no existió prevención alguna; la veracidad de la respuesta no </w:t>
      </w:r>
      <w:r w:rsidRPr="002D0AC7">
        <w:rPr>
          <w:rFonts w:eastAsia="Times New Roman" w:cs="Tahoma"/>
          <w:color w:val="auto"/>
          <w:lang w:eastAsia="es-ES"/>
        </w:rPr>
        <w:lastRenderedPageBreak/>
        <w:t>formó parte del agravio; ni se realizó una consulta o ampliación a los alcances del requerimiento informativo.</w:t>
      </w:r>
    </w:p>
    <w:p w:rsidRPr="002D0AC7" w:rsidR="00BF289C" w:rsidP="00F82CF6" w:rsidRDefault="00BF289C" w14:paraId="25E2BA71" w14:textId="77777777">
      <w:pPr>
        <w:spacing w:after="0" w:line="360" w:lineRule="auto"/>
        <w:contextualSpacing/>
        <w:rPr>
          <w:rFonts w:eastAsia="Times New Roman" w:cs="Tahoma"/>
          <w:color w:val="auto"/>
          <w:lang w:val="es-ES" w:eastAsia="es-ES"/>
        </w:rPr>
      </w:pPr>
    </w:p>
    <w:p w:rsidRPr="002D0AC7" w:rsidR="00BF289C" w:rsidP="00F82CF6" w:rsidRDefault="00BF289C" w14:paraId="06175726" w14:textId="0AD2B313">
      <w:pPr>
        <w:spacing w:after="0" w:line="360" w:lineRule="auto"/>
        <w:contextualSpacing/>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w:t>
      </w:r>
      <w:r w:rsidR="00954D3F">
        <w:rPr>
          <w:rFonts w:eastAsia="Times New Roman" w:cs="Tahoma"/>
          <w:color w:val="auto"/>
          <w:lang w:val="es-ES" w:eastAsia="es-ES"/>
        </w:rPr>
        <w:t>I</w:t>
      </w:r>
      <w:r w:rsidRPr="002D0AC7">
        <w:rPr>
          <w:rFonts w:eastAsia="Times New Roman" w:cs="Tahoma"/>
          <w:color w:val="auto"/>
          <w:lang w:val="es-ES" w:eastAsia="es-ES"/>
        </w:rPr>
        <w:t>, de la Ley de la materia</w:t>
      </w:r>
      <w:r w:rsidRPr="002D0AC7">
        <w:rPr>
          <w:rFonts w:eastAsia="Times New Roman" w:cs="Tahoma"/>
          <w:bCs/>
          <w:color w:val="auto"/>
          <w:lang w:val="es-ES" w:eastAsia="es-ES"/>
        </w:rPr>
        <w:t>, toda vez que el Solicitante se inconformó con la</w:t>
      </w:r>
      <w:r w:rsidR="000E16FD">
        <w:rPr>
          <w:rFonts w:eastAsia="Times New Roman" w:cs="Tahoma"/>
          <w:bCs/>
          <w:color w:val="auto"/>
          <w:lang w:val="es-ES" w:eastAsia="es-ES"/>
        </w:rPr>
        <w:t xml:space="preserve"> entrega de </w:t>
      </w:r>
      <w:r w:rsidRPr="002D0AC7">
        <w:rPr>
          <w:rFonts w:eastAsia="Times New Roman" w:cs="Tahoma"/>
          <w:bCs/>
          <w:color w:val="auto"/>
          <w:lang w:val="es-ES" w:eastAsia="es-ES"/>
        </w:rPr>
        <w:t xml:space="preserve">información </w:t>
      </w:r>
      <w:r w:rsidR="00954D3F">
        <w:rPr>
          <w:rFonts w:eastAsia="Times New Roman" w:cs="Tahoma"/>
          <w:bCs/>
          <w:color w:val="auto"/>
          <w:lang w:val="es-ES" w:eastAsia="es-ES"/>
        </w:rPr>
        <w:t>que no corresponde con lo solicitado</w:t>
      </w:r>
      <w:r w:rsidRPr="002D0AC7">
        <w:rPr>
          <w:rFonts w:eastAsia="Times New Roman" w:cs="Tahoma"/>
          <w:bCs/>
          <w:color w:val="auto"/>
          <w:lang w:val="es-ES" w:eastAsia="es-ES"/>
        </w:rPr>
        <w:t>.</w:t>
      </w:r>
    </w:p>
    <w:p w:rsidRPr="002D0AC7" w:rsidR="00BF289C" w:rsidP="00F82CF6" w:rsidRDefault="00BF289C" w14:paraId="4876F4F7" w14:textId="77777777">
      <w:pPr>
        <w:spacing w:after="0" w:line="360" w:lineRule="auto"/>
        <w:contextualSpacing/>
        <w:rPr>
          <w:rFonts w:eastAsia="Times New Roman" w:cs="Tahoma"/>
          <w:bCs/>
          <w:color w:val="auto"/>
          <w:lang w:val="es-ES" w:eastAsia="es-ES"/>
        </w:rPr>
      </w:pPr>
    </w:p>
    <w:p w:rsidRPr="00987D1A" w:rsidR="00FD6312" w:rsidP="00F82CF6" w:rsidRDefault="00FD6312" w14:paraId="2A2E221B" w14:textId="77777777">
      <w:pPr>
        <w:spacing w:after="0" w:line="360" w:lineRule="auto"/>
        <w:rPr>
          <w:rFonts w:eastAsia="Times New Roman" w:cs="Tahoma"/>
          <w:b/>
          <w:bCs/>
          <w:color w:val="auto"/>
          <w:lang w:eastAsia="es-ES"/>
        </w:rPr>
      </w:pPr>
      <w:r w:rsidRPr="00987D1A">
        <w:rPr>
          <w:rFonts w:eastAsia="Times New Roman" w:cs="Tahoma"/>
          <w:b/>
          <w:bCs/>
          <w:color w:val="auto"/>
          <w:lang w:eastAsia="es-ES"/>
        </w:rPr>
        <w:t>TERCERO. Causales de sobreseimiento.</w:t>
      </w:r>
    </w:p>
    <w:p w:rsidRPr="00987D1A" w:rsidR="00FD6312" w:rsidP="00F82CF6" w:rsidRDefault="00FD6312" w14:paraId="46DF2499" w14:textId="77777777">
      <w:pPr>
        <w:spacing w:after="0" w:line="360" w:lineRule="auto"/>
        <w:rPr>
          <w:rFonts w:eastAsia="Times New Roman" w:cs="Tahoma"/>
          <w:bCs/>
          <w:color w:val="auto"/>
          <w:lang w:eastAsia="es-ES"/>
        </w:rPr>
      </w:pPr>
    </w:p>
    <w:p w:rsidR="00FD6312" w:rsidP="00F82CF6" w:rsidRDefault="00FD6312" w14:paraId="798BE3A9" w14:textId="77777777">
      <w:pPr>
        <w:spacing w:after="0" w:line="360" w:lineRule="auto"/>
        <w:rPr>
          <w:rFonts w:eastAsia="Times New Roman" w:cs="Tahoma"/>
          <w:bCs/>
          <w:color w:val="auto"/>
          <w:lang w:eastAsia="es-ES"/>
        </w:rPr>
      </w:pPr>
      <w:r w:rsidRPr="00987D1A">
        <w:rPr>
          <w:rFonts w:eastAsia="Times New Roman" w:cs="Tahoma"/>
          <w:bCs/>
          <w:color w:val="auto"/>
          <w:lang w:eastAsia="es-ES"/>
        </w:rPr>
        <w:t xml:space="preserve">Por ser de previo y especial pronunciamiento, este Instituto analiza si se actualiza alguna causal de sobreseimiento. </w:t>
      </w:r>
    </w:p>
    <w:p w:rsidR="00FD6312" w:rsidP="00F82CF6" w:rsidRDefault="00FD6312" w14:paraId="06A9C1AF" w14:textId="77777777">
      <w:pPr>
        <w:spacing w:after="0" w:line="360" w:lineRule="auto"/>
        <w:rPr>
          <w:rFonts w:eastAsia="Times New Roman" w:cs="Tahoma"/>
          <w:bCs/>
          <w:color w:val="auto"/>
          <w:lang w:eastAsia="es-ES"/>
        </w:rPr>
      </w:pPr>
    </w:p>
    <w:p w:rsidRPr="00987D1A" w:rsidR="00FD6312" w:rsidP="00F82CF6" w:rsidRDefault="00FD6312" w14:paraId="397810A5" w14:textId="77777777">
      <w:pPr>
        <w:spacing w:after="0" w:line="360" w:lineRule="auto"/>
        <w:rPr>
          <w:rFonts w:eastAsia="Times New Roman" w:cs="Tahoma"/>
          <w:bCs/>
          <w:color w:val="auto"/>
          <w:lang w:eastAsia="es-ES"/>
        </w:rPr>
      </w:pPr>
      <w:r w:rsidRPr="00987D1A">
        <w:rPr>
          <w:rFonts w:eastAsia="Times New Roman" w:cs="Tahoma"/>
          <w:bCs/>
          <w:color w:val="auto"/>
          <w:lang w:eastAsia="es-ES"/>
        </w:rPr>
        <w:t xml:space="preserve">Al respecto, 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987D1A">
        <w:rPr>
          <w:rFonts w:eastAsia="Times New Roman" w:cs="Tahoma"/>
          <w:b/>
          <w:bCs/>
          <w:color w:val="auto"/>
          <w:lang w:eastAsia="es-ES"/>
        </w:rPr>
        <w:t>que no se actualizan los supuestos de sobreseimiento previstos en las fracciones I, II, IV y V</w:t>
      </w:r>
      <w:r w:rsidRPr="00987D1A">
        <w:rPr>
          <w:rFonts w:eastAsia="Times New Roman" w:cs="Tahoma"/>
          <w:bCs/>
          <w:color w:val="auto"/>
          <w:lang w:eastAsia="es-ES"/>
        </w:rPr>
        <w:t xml:space="preserve">, del artículo en comento, lo anterior, en virtud de que no hay constancias en el expediente en que se actúa, de que la Recurrente se haya desistido del recurso, haya fallecido, o bien, se haya actualizado alguna causal de improcedencia. </w:t>
      </w:r>
    </w:p>
    <w:p w:rsidRPr="00987D1A" w:rsidR="00FD6312" w:rsidP="00F82CF6" w:rsidRDefault="00FD6312" w14:paraId="4E235B03" w14:textId="77777777">
      <w:pPr>
        <w:spacing w:after="0" w:line="360" w:lineRule="auto"/>
        <w:rPr>
          <w:rFonts w:eastAsia="Times New Roman" w:cs="Tahoma"/>
          <w:bCs/>
          <w:color w:val="auto"/>
          <w:lang w:eastAsia="es-ES"/>
        </w:rPr>
      </w:pPr>
    </w:p>
    <w:p w:rsidRPr="00987D1A" w:rsidR="00FD6312" w:rsidP="00F82CF6" w:rsidRDefault="00FD6312" w14:paraId="3D677076" w14:textId="3A206FAE">
      <w:pPr>
        <w:spacing w:after="0" w:line="360" w:lineRule="auto"/>
        <w:rPr>
          <w:rFonts w:cs="Tahoma"/>
          <w:szCs w:val="24"/>
          <w:lang w:val="es-ES"/>
        </w:rPr>
      </w:pPr>
      <w:r w:rsidRPr="00987D1A">
        <w:rPr>
          <w:rFonts w:cs="Tahoma"/>
          <w:szCs w:val="24"/>
          <w:lang w:val="es-ES"/>
        </w:rPr>
        <w:t xml:space="preserve">No obstante, toda vez que durante la sustanciación del Recurso de Revisión </w:t>
      </w:r>
      <w:r>
        <w:rPr>
          <w:rFonts w:eastAsia="Calibri" w:cs="Tahoma"/>
        </w:rPr>
        <w:t>17331/INFOEM/IP/RR/2022</w:t>
      </w:r>
      <w:r>
        <w:rPr>
          <w:rFonts w:cs="Tahoma"/>
          <w:szCs w:val="24"/>
          <w:lang w:val="es-ES"/>
        </w:rPr>
        <w:t>, el Ayuntamiento de Toluca</w:t>
      </w:r>
      <w:r w:rsidRPr="00987D1A">
        <w:rPr>
          <w:rFonts w:eastAsia="Calibri" w:cs="Tahoma"/>
        </w:rPr>
        <w:t xml:space="preserve">, </w:t>
      </w:r>
      <w:r w:rsidRPr="00987D1A">
        <w:rPr>
          <w:rFonts w:cs="Tahoma"/>
          <w:szCs w:val="24"/>
          <w:lang w:val="es-ES"/>
        </w:rPr>
        <w:t>modificó su respuesta, a través de su Informe Justificado, se estima procedente entrar al estudio de la causal de sobreseimiento prevista en la fracción III, del artículo 192 de la Ley de la Materia.</w:t>
      </w:r>
    </w:p>
    <w:p w:rsidR="00FD6312" w:rsidP="00F82CF6" w:rsidRDefault="00FD6312" w14:paraId="7B2380D8" w14:textId="77777777">
      <w:pPr>
        <w:widowControl w:val="0"/>
        <w:autoSpaceDE w:val="0"/>
        <w:autoSpaceDN w:val="0"/>
        <w:adjustRightInd w:val="0"/>
        <w:spacing w:after="0" w:line="360" w:lineRule="auto"/>
        <w:contextualSpacing/>
        <w:rPr>
          <w:rFonts w:eastAsia="Times New Roman" w:cs="Tahoma"/>
          <w:bCs/>
          <w:color w:val="0D0D0D" w:themeColor="text1" w:themeTint="F2"/>
          <w:lang w:eastAsia="es-ES"/>
        </w:rPr>
      </w:pPr>
    </w:p>
    <w:p w:rsidR="00BF289C" w:rsidP="00F82CF6" w:rsidRDefault="00FD6312" w14:paraId="790DFED9" w14:textId="2B50D4CE">
      <w:pPr>
        <w:widowControl w:val="0"/>
        <w:autoSpaceDE w:val="0"/>
        <w:autoSpaceDN w:val="0"/>
        <w:adjustRightInd w:val="0"/>
        <w:spacing w:after="0" w:line="360" w:lineRule="auto"/>
        <w:contextualSpacing/>
        <w:rPr>
          <w:rFonts w:eastAsia="Calibri" w:cs="Tahoma"/>
          <w:lang w:val="es-ES" w:eastAsia="es-MX"/>
        </w:rPr>
      </w:pPr>
      <w:r w:rsidRPr="00A7027B">
        <w:rPr>
          <w:rFonts w:eastAsia="Times New Roman" w:cs="Tahoma"/>
          <w:color w:val="auto"/>
          <w:szCs w:val="24"/>
          <w:lang w:val="es-ES" w:eastAsia="es-ES"/>
        </w:rPr>
        <w:t xml:space="preserve">Al respecto, a efecto de verificar si se actualiza la causal de sobreseimiento, </w:t>
      </w:r>
      <w:r>
        <w:rPr>
          <w:rFonts w:eastAsia="Times New Roman" w:cs="Tahoma"/>
          <w:color w:val="auto"/>
          <w:szCs w:val="24"/>
          <w:lang w:val="es-ES" w:eastAsia="es-ES"/>
        </w:rPr>
        <w:t>en principio resulta necesario</w:t>
      </w:r>
      <w:r>
        <w:rPr>
          <w:rFonts w:eastAsia="Times New Roman" w:cs="Tahoma"/>
          <w:bCs/>
          <w:color w:val="0D0D0D" w:themeColor="text1" w:themeTint="F2"/>
          <w:lang w:eastAsia="es-ES"/>
        </w:rPr>
        <w:t xml:space="preserve"> precisar</w:t>
      </w:r>
      <w:r w:rsidRPr="002D0AC7" w:rsidR="00BF289C">
        <w:rPr>
          <w:rFonts w:eastAsia="Calibri" w:cs="Tahoma"/>
          <w:color w:val="000000"/>
          <w:lang w:val="es-ES" w:eastAsia="es-MX"/>
        </w:rPr>
        <w:t xml:space="preserve"> que el Particular </w:t>
      </w:r>
      <w:r w:rsidRPr="002D0AC7" w:rsidR="00BF289C">
        <w:rPr>
          <w:rFonts w:cs="Tahoma"/>
        </w:rPr>
        <w:t>requirió</w:t>
      </w:r>
      <w:r w:rsidRPr="00EA2335" w:rsidR="00BF289C">
        <w:rPr>
          <w:rFonts w:cs="Tahoma"/>
        </w:rPr>
        <w:t xml:space="preserve">, </w:t>
      </w:r>
      <w:r w:rsidRPr="00EA2335" w:rsidR="00EA2335">
        <w:rPr>
          <w:color w:val="000000"/>
        </w:rPr>
        <w:t xml:space="preserve">las percepciones por conceptos de salario </w:t>
      </w:r>
      <w:r w:rsidRPr="00EA2335" w:rsidR="00EA2335">
        <w:rPr>
          <w:color w:val="000000"/>
        </w:rPr>
        <w:lastRenderedPageBreak/>
        <w:t>bruto</w:t>
      </w:r>
      <w:r w:rsidR="00954D3F">
        <w:rPr>
          <w:color w:val="000000"/>
        </w:rPr>
        <w:t xml:space="preserve"> y</w:t>
      </w:r>
      <w:r w:rsidRPr="00EA2335" w:rsidR="00EA2335">
        <w:rPr>
          <w:color w:val="000000"/>
        </w:rPr>
        <w:t xml:space="preserve"> neto, aguinaldo, vacaciones y prima vacacional que </w:t>
      </w:r>
      <w:r w:rsidR="00EA2335">
        <w:rPr>
          <w:color w:val="000000"/>
        </w:rPr>
        <w:t xml:space="preserve">recibió el servidor público </w:t>
      </w:r>
      <w:r w:rsidRPr="00EA2335" w:rsidR="00EA2335">
        <w:rPr>
          <w:color w:val="000000"/>
        </w:rPr>
        <w:t xml:space="preserve">Luis Ernesto </w:t>
      </w:r>
      <w:r w:rsidRPr="00EA2335">
        <w:rPr>
          <w:color w:val="000000"/>
        </w:rPr>
        <w:t>Velázquez</w:t>
      </w:r>
      <w:r w:rsidRPr="00EA2335" w:rsidR="00EA2335">
        <w:rPr>
          <w:color w:val="000000"/>
        </w:rPr>
        <w:t xml:space="preserve"> Carpizo</w:t>
      </w:r>
      <w:r w:rsidR="00954D3F">
        <w:rPr>
          <w:color w:val="000000"/>
        </w:rPr>
        <w:t>,</w:t>
      </w:r>
      <w:r w:rsidR="003B3690">
        <w:rPr>
          <w:color w:val="000000"/>
        </w:rPr>
        <w:t xml:space="preserve"> </w:t>
      </w:r>
      <w:r w:rsidRPr="00EA2335" w:rsidR="003B3690">
        <w:rPr>
          <w:color w:val="000000"/>
        </w:rPr>
        <w:t xml:space="preserve">durante </w:t>
      </w:r>
      <w:r>
        <w:rPr>
          <w:color w:val="000000"/>
        </w:rPr>
        <w:t>el</w:t>
      </w:r>
      <w:r w:rsidRPr="00EA2335" w:rsidR="003B3690">
        <w:rPr>
          <w:color w:val="000000"/>
        </w:rPr>
        <w:t xml:space="preserve"> </w:t>
      </w:r>
      <w:r w:rsidR="003B3690">
        <w:rPr>
          <w:color w:val="000000"/>
        </w:rPr>
        <w:t>dos mil veintiuno</w:t>
      </w:r>
      <w:r w:rsidRPr="00EA2335" w:rsidR="00EA2335">
        <w:rPr>
          <w:color w:val="000000"/>
        </w:rPr>
        <w:t xml:space="preserve">, </w:t>
      </w:r>
      <w:r w:rsidR="00EA2335">
        <w:rPr>
          <w:color w:val="000000"/>
        </w:rPr>
        <w:t>quien</w:t>
      </w:r>
      <w:r w:rsidRPr="00EA2335" w:rsidR="00EA2335">
        <w:rPr>
          <w:color w:val="000000"/>
        </w:rPr>
        <w:t xml:space="preserve"> ocupó el cargo de Director Operativo de la Dirección General de Seguridad Publica</w:t>
      </w:r>
      <w:r w:rsidRPr="002D0AC7" w:rsidR="00BF289C">
        <w:rPr>
          <w:rFonts w:eastAsia="Calibri" w:cs="Tahoma"/>
          <w:lang w:val="es-ES" w:eastAsia="es-MX"/>
        </w:rPr>
        <w:t xml:space="preserve">. </w:t>
      </w:r>
    </w:p>
    <w:p w:rsidRPr="005F71FE" w:rsidR="00BF289C" w:rsidP="00F82CF6" w:rsidRDefault="00BF289C" w14:paraId="28F6B5D5" w14:textId="77777777">
      <w:pPr>
        <w:widowControl w:val="0"/>
        <w:autoSpaceDE w:val="0"/>
        <w:autoSpaceDN w:val="0"/>
        <w:adjustRightInd w:val="0"/>
        <w:spacing w:after="0" w:line="360" w:lineRule="auto"/>
        <w:contextualSpacing/>
        <w:rPr>
          <w:rFonts w:eastAsia="Calibri" w:cs="Tahoma"/>
          <w:lang w:val="es-ES" w:eastAsia="es-MX"/>
        </w:rPr>
      </w:pPr>
    </w:p>
    <w:p w:rsidRPr="00295971" w:rsidR="00EA2335" w:rsidP="00F82CF6" w:rsidRDefault="00EA2335" w14:paraId="770957F5" w14:textId="1496484E">
      <w:pPr>
        <w:pStyle w:val="Prrafodelista"/>
        <w:tabs>
          <w:tab w:val="left" w:pos="4962"/>
        </w:tabs>
        <w:spacing w:after="0" w:line="360" w:lineRule="auto"/>
        <w:ind w:left="0" w:right="-28"/>
        <w:rPr>
          <w:rFonts w:cs="Tahoma"/>
          <w:iCs/>
          <w:lang w:val="es-ES"/>
        </w:rPr>
      </w:pPr>
      <w:r w:rsidRPr="00295971">
        <w:rPr>
          <w:rFonts w:eastAsia="Calibri" w:cs="Tahoma"/>
          <w:iCs/>
          <w:lang w:val="es-ES" w:eastAsia="es-ES_tradnl"/>
        </w:rPr>
        <w:t xml:space="preserve">En respuesta, el Sujeto Obligado, </w:t>
      </w:r>
      <w:r w:rsidR="00D440EF">
        <w:rPr>
          <w:rFonts w:eastAsia="Calibri" w:cs="Tahoma"/>
          <w:iCs/>
          <w:lang w:val="es-ES" w:eastAsia="es-ES_tradnl"/>
        </w:rPr>
        <w:t xml:space="preserve">proporcionó un enlace que conduce al </w:t>
      </w:r>
      <w:r w:rsidRPr="00295971">
        <w:rPr>
          <w:rFonts w:eastAsia="Calibri" w:cs="Tahoma"/>
          <w:iCs/>
          <w:lang w:val="es-ES" w:eastAsia="es-ES_tradnl"/>
        </w:rPr>
        <w:t>Portal de Información Pública de Oficio Mexiquense,</w:t>
      </w:r>
      <w:r w:rsidR="00D440EF">
        <w:rPr>
          <w:rFonts w:eastAsia="Calibri" w:cs="Tahoma"/>
          <w:iCs/>
          <w:lang w:val="es-ES" w:eastAsia="es-ES_tradnl"/>
        </w:rPr>
        <w:t xml:space="preserve"> sobre el que el que señaló el procedimiento para acceder a las remuneraciones </w:t>
      </w:r>
      <w:r w:rsidR="00FD6312">
        <w:rPr>
          <w:rFonts w:eastAsia="Calibri" w:cs="Tahoma"/>
          <w:iCs/>
          <w:lang w:val="es-ES" w:eastAsia="es-ES_tradnl"/>
        </w:rPr>
        <w:t>del servidor público solicitado;</w:t>
      </w:r>
      <w:r w:rsidRPr="00295971">
        <w:rPr>
          <w:rFonts w:eastAsia="Calibri" w:cs="Tahoma"/>
          <w:iCs/>
          <w:lang w:val="es-ES" w:eastAsia="es-ES_tradnl"/>
        </w:rPr>
        <w:t xml:space="preserve"> ante tal circunstancia, el Solicitante se inconform</w:t>
      </w:r>
      <w:r w:rsidR="00FD6312">
        <w:rPr>
          <w:rFonts w:eastAsia="Calibri" w:cs="Tahoma"/>
          <w:iCs/>
          <w:lang w:val="es-ES" w:eastAsia="es-ES_tradnl"/>
        </w:rPr>
        <w:t>ó con la entrega de información</w:t>
      </w:r>
      <w:r w:rsidRPr="00295971">
        <w:rPr>
          <w:rFonts w:eastAsia="Calibri" w:cs="Tahoma"/>
          <w:iCs/>
          <w:lang w:val="es-ES" w:eastAsia="es-ES_tradnl"/>
        </w:rPr>
        <w:t>, lo cual actualiza la causal de procedencia, establecida en el artículo 179, fracción V</w:t>
      </w:r>
      <w:r w:rsidR="00FD6312">
        <w:rPr>
          <w:rFonts w:eastAsia="Calibri" w:cs="Tahoma"/>
          <w:iCs/>
          <w:lang w:val="es-ES" w:eastAsia="es-ES_tradnl"/>
        </w:rPr>
        <w:t>I</w:t>
      </w:r>
      <w:r w:rsidRPr="00295971">
        <w:rPr>
          <w:rFonts w:eastAsia="Calibri" w:cs="Tahoma"/>
          <w:iCs/>
          <w:lang w:val="es-ES" w:eastAsia="es-ES_tradnl"/>
        </w:rPr>
        <w:t xml:space="preserve">, de la Ley de Transparencia y Acceso a la Información Pública del Estado de México y Municipios. </w:t>
      </w:r>
      <w:r w:rsidRPr="00295971">
        <w:rPr>
          <w:rFonts w:cs="Tahoma"/>
          <w:iCs/>
          <w:lang w:val="es-ES"/>
        </w:rPr>
        <w:t xml:space="preserve">Así las cosas, una vez admitido y notificado el Recurso de Revisión a las partes, el </w:t>
      </w:r>
      <w:r w:rsidR="00D440EF">
        <w:rPr>
          <w:rFonts w:cs="Tahoma"/>
          <w:iCs/>
          <w:lang w:val="es-ES"/>
        </w:rPr>
        <w:t>S</w:t>
      </w:r>
      <w:r w:rsidRPr="00295971">
        <w:rPr>
          <w:rFonts w:cs="Tahoma"/>
          <w:iCs/>
          <w:lang w:val="es-ES"/>
        </w:rPr>
        <w:t>ujeto</w:t>
      </w:r>
      <w:r w:rsidR="00D440EF">
        <w:rPr>
          <w:rFonts w:cs="Tahoma"/>
          <w:iCs/>
          <w:lang w:val="es-ES"/>
        </w:rPr>
        <w:t xml:space="preserve"> Obligado </w:t>
      </w:r>
      <w:r w:rsidR="00FD6312">
        <w:rPr>
          <w:rFonts w:cs="Tahoma"/>
          <w:iCs/>
          <w:lang w:val="es-ES"/>
        </w:rPr>
        <w:t xml:space="preserve">precisó el procedimiento específico para acceder a la información del servidor público, en el Portal de Información Pública de Oficio Mexiquense. </w:t>
      </w:r>
    </w:p>
    <w:p w:rsidRPr="00295971" w:rsidR="00EA2335" w:rsidP="00F82CF6" w:rsidRDefault="00EA2335" w14:paraId="3C805607" w14:textId="77777777">
      <w:pPr>
        <w:pStyle w:val="Prrafodelista"/>
        <w:tabs>
          <w:tab w:val="left" w:pos="4962"/>
        </w:tabs>
        <w:spacing w:after="0" w:line="360" w:lineRule="auto"/>
        <w:ind w:left="0" w:right="-28"/>
        <w:rPr>
          <w:rFonts w:eastAsia="Calibri" w:cs="Tahoma"/>
          <w:iCs/>
          <w:lang w:val="es-ES" w:eastAsia="es-ES_tradnl"/>
        </w:rPr>
      </w:pPr>
    </w:p>
    <w:p w:rsidRPr="00295971" w:rsidR="00EA2335" w:rsidP="00F82CF6" w:rsidRDefault="00EA2335" w14:paraId="2271267B" w14:textId="47873C13">
      <w:pPr>
        <w:spacing w:after="0" w:line="360" w:lineRule="auto"/>
        <w:contextualSpacing/>
        <w:rPr>
          <w:rFonts w:cs="Tahoma"/>
          <w:bCs/>
        </w:rPr>
      </w:pPr>
      <w:r w:rsidRPr="00295971">
        <w:rPr>
          <w:rFonts w:cs="Tahoma"/>
          <w:iCs/>
        </w:rPr>
        <w:t xml:space="preserve">Lo anterior, se desprende de las documentales que obran en </w:t>
      </w:r>
      <w:r w:rsidR="00D440EF">
        <w:rPr>
          <w:rFonts w:cs="Tahoma"/>
          <w:iCs/>
        </w:rPr>
        <w:t>e</w:t>
      </w:r>
      <w:r w:rsidRPr="00295971">
        <w:rPr>
          <w:rFonts w:cs="Tahoma"/>
          <w:iCs/>
        </w:rPr>
        <w:t xml:space="preserve">l expediente de referencia, materia de la presente resolución, consistente en: la solicitud de acceso a la información; la respuesta proporcionada por el Sujeto Obligado, el escrito recursal y el informe justificado; </w:t>
      </w:r>
      <w:r w:rsidRPr="00295971">
        <w:rPr>
          <w:rFonts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2D0AC7" w:rsidR="00BF289C" w:rsidP="00F82CF6" w:rsidRDefault="00BF289C" w14:paraId="47529AB2" w14:textId="77777777">
      <w:pPr>
        <w:spacing w:after="0" w:line="360" w:lineRule="auto"/>
        <w:contextualSpacing/>
        <w:rPr>
          <w:rFonts w:eastAsia="Calibri" w:cs="Tahoma"/>
          <w:color w:val="auto"/>
          <w:lang w:eastAsia="es-ES_tradnl"/>
        </w:rPr>
      </w:pPr>
    </w:p>
    <w:p w:rsidR="003B3690" w:rsidP="00F82CF6" w:rsidRDefault="00FD6312" w14:paraId="0F355111" w14:textId="21CB083F">
      <w:pPr>
        <w:spacing w:after="0" w:line="360" w:lineRule="auto"/>
        <w:contextualSpacing/>
        <w:rPr>
          <w:rFonts w:eastAsia="Times New Roman" w:cs="Tahoma"/>
          <w:b/>
          <w:bCs/>
          <w:iCs/>
          <w:color w:val="auto"/>
          <w:lang w:val="es-ES" w:eastAsia="es-ES"/>
        </w:rPr>
      </w:pPr>
      <w:r>
        <w:rPr>
          <w:rFonts w:eastAsia="Times New Roman" w:cs="Tahoma"/>
          <w:bCs/>
          <w:iCs/>
          <w:color w:val="auto"/>
          <w:lang w:eastAsia="es-ES"/>
        </w:rPr>
        <w:t>Una vez establecido lo anterior, en principio resulta necesario contextualizar la solicitud de información, referente a las remuneraciones que percibió un servidor público, durante el dos mil veintiuno, por sueldo bruto o neto, aguinaldo, vacaciones y prima vacacional.</w:t>
      </w:r>
    </w:p>
    <w:p w:rsidR="00FD6312" w:rsidP="00F82CF6" w:rsidRDefault="00FD6312" w14:paraId="5700BB40" w14:textId="77777777">
      <w:pPr>
        <w:spacing w:after="0" w:line="360" w:lineRule="auto"/>
        <w:contextualSpacing/>
        <w:rPr>
          <w:rFonts w:eastAsia="Times New Roman" w:cs="Tahoma"/>
          <w:b/>
          <w:bCs/>
          <w:iCs/>
          <w:color w:val="auto"/>
          <w:lang w:val="es-ES" w:eastAsia="es-ES"/>
        </w:rPr>
      </w:pPr>
    </w:p>
    <w:p w:rsidRPr="00295971" w:rsidR="003B3690" w:rsidP="00F82CF6" w:rsidRDefault="003B3690" w14:paraId="10AD0A61" w14:textId="77777777">
      <w:pPr>
        <w:spacing w:after="0" w:line="360" w:lineRule="auto"/>
        <w:contextualSpacing/>
        <w:rPr>
          <w:rFonts w:eastAsia="Calibri"/>
          <w:bCs/>
          <w:color w:val="000000"/>
        </w:rPr>
      </w:pPr>
      <w:r w:rsidRPr="00295971">
        <w:rPr>
          <w:rFonts w:eastAsia="Calibri" w:cs="Tahoma"/>
          <w:iCs/>
          <w:lang w:val="es-ES" w:eastAsia="es-MX"/>
        </w:rPr>
        <w:t xml:space="preserve">En principio, resulta </w:t>
      </w:r>
      <w:r w:rsidRPr="00295971">
        <w:rPr>
          <w:rFonts w:eastAsia="Calibri"/>
          <w:bCs/>
          <w:color w:val="000000"/>
          <w:lang w:val="es-ES"/>
        </w:rPr>
        <w:t>necesario</w:t>
      </w:r>
      <w:r w:rsidRPr="00295971">
        <w:rPr>
          <w:rFonts w:eastAsia="Calibri"/>
          <w:bCs/>
          <w:color w:val="000000"/>
        </w:rPr>
        <w:t xml:space="preserve"> traer a colación, el artículo 147 de la Constitución Política del Estado Libre y Soberano de México, que establece que los trabajadores al servicio del Estado, </w:t>
      </w:r>
      <w:r w:rsidRPr="00295971">
        <w:rPr>
          <w:rFonts w:eastAsia="Calibri"/>
          <w:bCs/>
          <w:color w:val="000000"/>
        </w:rPr>
        <w:lastRenderedPageBreak/>
        <w:t xml:space="preserve">como los miembros de los Ayuntamientos, recibirán una remuneración adecuada e irrenunciable por el desempeño de su empleo, cargo o comisión, que será determinada en el presupuesto de egresos que corresponda. </w:t>
      </w:r>
    </w:p>
    <w:p w:rsidRPr="00295971" w:rsidR="003B3690" w:rsidP="00F82CF6" w:rsidRDefault="003B3690" w14:paraId="5973E455" w14:textId="77777777">
      <w:pPr>
        <w:spacing w:after="0" w:line="360" w:lineRule="auto"/>
        <w:contextualSpacing/>
        <w:rPr>
          <w:rFonts w:eastAsia="Calibri"/>
          <w:color w:val="000000"/>
        </w:rPr>
      </w:pPr>
    </w:p>
    <w:p w:rsidRPr="00295971" w:rsidR="003B3690" w:rsidP="00F82CF6" w:rsidRDefault="003B3690" w14:paraId="4E0B7A74" w14:textId="77777777">
      <w:pPr>
        <w:spacing w:after="0" w:line="360" w:lineRule="auto"/>
        <w:contextualSpacing/>
        <w:rPr>
          <w:rFonts w:eastAsia="Calibri"/>
          <w:bCs/>
          <w:color w:val="000000"/>
        </w:rPr>
      </w:pPr>
      <w:r w:rsidRPr="00295971">
        <w:rPr>
          <w:rFonts w:eastAsia="Calibri"/>
          <w:bCs/>
          <w:color w:val="000000"/>
        </w:rPr>
        <w:t xml:space="preserve">En orden de ideas, el artículo 3°, fracción XXXII, del Código Financiero del Estado de México y Municipios establece que </w:t>
      </w:r>
      <w:r w:rsidRPr="00BD4C38">
        <w:rPr>
          <w:rFonts w:eastAsia="Calibri"/>
          <w:b/>
          <w:color w:val="000000"/>
        </w:rPr>
        <w:t>la remuneración consiste en los pagos hechos por concepto de sueldo, compensaciones, gratificaciones, habitación, primas, comisiones, prestaciones, en especie y cualquier otra percepción o prestación que se entregue al servidor por su trabajo.</w:t>
      </w:r>
    </w:p>
    <w:p w:rsidRPr="00295971" w:rsidR="003B3690" w:rsidP="00F82CF6" w:rsidRDefault="003B3690" w14:paraId="29658B5C" w14:textId="77777777">
      <w:pPr>
        <w:spacing w:after="0" w:line="360" w:lineRule="auto"/>
        <w:contextualSpacing/>
        <w:rPr>
          <w:rFonts w:eastAsia="Calibri"/>
          <w:bCs/>
          <w:color w:val="000000"/>
        </w:rPr>
      </w:pPr>
    </w:p>
    <w:p w:rsidRPr="00295971" w:rsidR="003B3690" w:rsidP="00F82CF6" w:rsidRDefault="003B3690" w14:paraId="37A00C62" w14:textId="77777777">
      <w:pPr>
        <w:spacing w:after="0" w:line="360" w:lineRule="auto"/>
        <w:contextualSpacing/>
        <w:rPr>
          <w:rFonts w:eastAsia="Calibri"/>
          <w:bCs/>
          <w:color w:val="000000"/>
        </w:rPr>
      </w:pPr>
      <w:r w:rsidRPr="00295971">
        <w:rPr>
          <w:rFonts w:eastAsia="Calibri"/>
          <w:bCs/>
          <w:color w:val="000000"/>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295971" w:rsidR="003B3690" w:rsidP="00F82CF6" w:rsidRDefault="003B3690" w14:paraId="1207DBC7" w14:textId="77777777">
      <w:pPr>
        <w:spacing w:after="0" w:line="360" w:lineRule="auto"/>
        <w:contextualSpacing/>
        <w:rPr>
          <w:rFonts w:eastAsia="Calibri"/>
          <w:bCs/>
          <w:color w:val="000000"/>
        </w:rPr>
      </w:pPr>
    </w:p>
    <w:p w:rsidRPr="00295971" w:rsidR="003B3690" w:rsidP="00F82CF6" w:rsidRDefault="003B3690" w14:paraId="52872268" w14:textId="77777777">
      <w:pPr>
        <w:spacing w:after="0" w:line="360" w:lineRule="auto"/>
        <w:contextualSpacing/>
        <w:rPr>
          <w:rFonts w:eastAsia="Calibri"/>
          <w:b/>
          <w:bCs/>
          <w:iCs/>
          <w:color w:val="000000"/>
          <w:lang w:val="es-ES"/>
        </w:rPr>
      </w:pPr>
      <w:r w:rsidRPr="00295971">
        <w:rPr>
          <w:rFonts w:eastAsia="Calibri"/>
          <w:bCs/>
          <w:iCs/>
          <w:color w:val="000000"/>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295971">
        <w:rPr>
          <w:rFonts w:eastAsia="Calibri"/>
          <w:b/>
          <w:bCs/>
          <w:iCs/>
          <w:color w:val="000000"/>
          <w:lang w:val="es-ES"/>
        </w:rPr>
        <w:t>las remuneraciones brutas y netas de todos los servidores públicos, que incluya todas las percepciones, entre las cuales, se encuentran los sueldos, prestaciones, gratificaciones, primas, comisiones, dietas, bonos, estímulos, ingresos, entre otros.</w:t>
      </w:r>
    </w:p>
    <w:p w:rsidRPr="00295971" w:rsidR="003B3690" w:rsidP="00F82CF6" w:rsidRDefault="003B3690" w14:paraId="253FC3B4" w14:textId="77777777">
      <w:pPr>
        <w:spacing w:after="0" w:line="360" w:lineRule="auto"/>
        <w:contextualSpacing/>
        <w:rPr>
          <w:rFonts w:eastAsia="Calibri"/>
          <w:b/>
          <w:bCs/>
          <w:iCs/>
          <w:color w:val="000000"/>
          <w:lang w:val="es-ES"/>
        </w:rPr>
      </w:pPr>
    </w:p>
    <w:p w:rsidRPr="00295971" w:rsidR="003B3690" w:rsidP="00F82CF6" w:rsidRDefault="003B3690" w14:paraId="1A4394A7" w14:textId="77777777">
      <w:pPr>
        <w:spacing w:after="0" w:line="360" w:lineRule="auto"/>
        <w:contextualSpacing/>
        <w:rPr>
          <w:rFonts w:eastAsia="Calibri"/>
          <w:b/>
          <w:bCs/>
          <w:iCs/>
          <w:color w:val="000000"/>
          <w:lang w:val="es-ES"/>
        </w:rPr>
      </w:pPr>
      <w:r w:rsidRPr="00295971">
        <w:rPr>
          <w:rFonts w:eastAsia="Calibri"/>
          <w:bCs/>
          <w:iCs/>
          <w:color w:val="000000"/>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295971">
        <w:rPr>
          <w:rFonts w:eastAsia="Calibri"/>
          <w:b/>
          <w:bCs/>
          <w:iCs/>
          <w:color w:val="000000"/>
          <w:lang w:val="es-ES"/>
        </w:rPr>
        <w:t>1000 Servicios Personales</w:t>
      </w:r>
      <w:r w:rsidRPr="00295971">
        <w:rPr>
          <w:rFonts w:eastAsia="Calibri"/>
          <w:bCs/>
          <w:iCs/>
          <w:color w:val="000000"/>
          <w:lang w:val="es-ES"/>
        </w:rPr>
        <w:t>,</w:t>
      </w:r>
      <w:r w:rsidRPr="00295971">
        <w:rPr>
          <w:rFonts w:eastAsia="Calibri"/>
          <w:b/>
          <w:bCs/>
          <w:iCs/>
          <w:color w:val="000000"/>
          <w:lang w:val="es-ES"/>
        </w:rPr>
        <w:t xml:space="preserve"> que agrupa las remuneraciones del </w:t>
      </w:r>
      <w:r w:rsidRPr="00295971">
        <w:rPr>
          <w:rFonts w:eastAsia="Calibri"/>
          <w:b/>
          <w:bCs/>
          <w:iCs/>
          <w:color w:val="000000"/>
          <w:lang w:val="es-ES"/>
        </w:rPr>
        <w:lastRenderedPageBreak/>
        <w:t>personal al servicio de los entes públicos, tales como el sueldo, salarios, dietas, honorarios, prestaciones, obligaciones laborales, gratificaciones, entre otras.</w:t>
      </w:r>
    </w:p>
    <w:p w:rsidRPr="00295971" w:rsidR="003B3690" w:rsidP="00F82CF6" w:rsidRDefault="003B3690" w14:paraId="2DAA905A" w14:textId="77777777">
      <w:pPr>
        <w:tabs>
          <w:tab w:val="left" w:pos="1245"/>
        </w:tabs>
        <w:spacing w:after="0" w:line="360" w:lineRule="auto"/>
        <w:ind w:right="-28"/>
        <w:contextualSpacing/>
        <w:rPr>
          <w:rFonts w:cs="Tahoma"/>
        </w:rPr>
      </w:pPr>
    </w:p>
    <w:p w:rsidRPr="00295971" w:rsidR="003B3690" w:rsidP="00F82CF6" w:rsidRDefault="003B3690" w14:paraId="0370A3B1" w14:textId="77777777">
      <w:pPr>
        <w:spacing w:after="0" w:line="360" w:lineRule="auto"/>
        <w:ind w:right="-93"/>
        <w:contextualSpacing/>
        <w:rPr>
          <w:rFonts w:eastAsia="Calibri" w:cs="Tahoma"/>
          <w:b/>
          <w:bCs/>
          <w:color w:val="000000"/>
        </w:rPr>
      </w:pPr>
      <w:r w:rsidRPr="00295971">
        <w:rPr>
          <w:rFonts w:eastAsia="Calibri" w:cs="Tahoma"/>
          <w:bCs/>
          <w:color w:val="000000"/>
        </w:rPr>
        <w:t>En ese orden de ideas, respecto a la nómina</w:t>
      </w:r>
      <w:r w:rsidRPr="00295971">
        <w:rPr>
          <w:rFonts w:eastAsia="Calibri" w:cs="Tahoma"/>
          <w:b/>
          <w:bCs/>
          <w:color w:val="000000"/>
        </w:rPr>
        <w:t xml:space="preserve">, </w:t>
      </w:r>
      <w:r w:rsidRPr="00295971">
        <w:rPr>
          <w:rFonts w:eastAsia="Calibri" w:cs="Tahoma"/>
          <w:bCs/>
          <w:color w:val="000000"/>
        </w:rPr>
        <w:t>el Glosario localizado en la página de Transparencia Presupuestaria de la Secretaría de Hacienda y Crédito Público (</w:t>
      </w:r>
      <w:hyperlink w:history="1" r:id="rId9">
        <w:r w:rsidRPr="00295971">
          <w:rPr>
            <w:rFonts w:eastAsia="Calibri" w:cs="Tahoma"/>
            <w:bCs/>
            <w:color w:val="000000"/>
            <w:u w:val="single"/>
          </w:rPr>
          <w:t>http://www.transparenciapresupuestaria.gob.mx/es/PTP/Glosario</w:t>
        </w:r>
      </w:hyperlink>
      <w:r w:rsidRPr="00295971">
        <w:rPr>
          <w:rFonts w:eastAsia="Calibri" w:cs="Tahoma"/>
          <w:bCs/>
          <w:color w:val="000000"/>
        </w:rPr>
        <w:t xml:space="preserve">, consultado el veinticinco de abril de dos mil veintidós, a las doce horas), establece que </w:t>
      </w:r>
      <w:r w:rsidRPr="00295971">
        <w:rPr>
          <w:rFonts w:eastAsia="Calibri" w:cs="Tahoma"/>
          <w:b/>
          <w:bCs/>
          <w:color w:val="000000"/>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295971" w:rsidR="003B3690" w:rsidP="00F82CF6" w:rsidRDefault="003B3690" w14:paraId="13446C5C" w14:textId="77777777">
      <w:pPr>
        <w:spacing w:after="0" w:line="360" w:lineRule="auto"/>
        <w:ind w:right="-93"/>
        <w:contextualSpacing/>
        <w:rPr>
          <w:rFonts w:eastAsia="Calibri" w:cs="Tahoma"/>
          <w:b/>
          <w:bCs/>
          <w:color w:val="000000"/>
        </w:rPr>
      </w:pPr>
    </w:p>
    <w:p w:rsidRPr="00295971" w:rsidR="003B3690" w:rsidP="00F82CF6" w:rsidRDefault="003B3690" w14:paraId="42FDBB98" w14:textId="77777777">
      <w:pPr>
        <w:spacing w:after="0" w:line="360" w:lineRule="auto"/>
        <w:ind w:right="-93"/>
        <w:contextualSpacing/>
        <w:rPr>
          <w:rFonts w:eastAsia="Calibri" w:cs="Tahoma"/>
          <w:b/>
          <w:bCs/>
          <w:color w:val="000000"/>
        </w:rPr>
      </w:pPr>
      <w:r w:rsidRPr="00295971">
        <w:rPr>
          <w:rFonts w:eastAsia="Calibri" w:cs="Tahoma"/>
          <w:bCs/>
          <w:color w:val="000000"/>
        </w:rPr>
        <w:t>De la misma manera, el Glosario de términos más usuales en la Administración Pública Federal, emitido por la Secretaría de Hacienda y Crédito Público (</w:t>
      </w:r>
      <w:hyperlink w:history="1" r:id="rId10">
        <w:r w:rsidRPr="00295971">
          <w:rPr>
            <w:rFonts w:eastAsia="Calibri" w:cs="Tahoma"/>
            <w:bCs/>
            <w:color w:val="000000"/>
            <w:u w:val="single"/>
          </w:rPr>
          <w:t>http://www.apartados.hacienda.gob.mx/contabilidad/documentos/informe_cuenta/1998/cuenta_publica/Glosario/n.htm</w:t>
        </w:r>
      </w:hyperlink>
      <w:r w:rsidRPr="00295971">
        <w:rPr>
          <w:rFonts w:eastAsia="Calibri" w:cs="Tahoma"/>
          <w:bCs/>
          <w:color w:val="000000"/>
        </w:rPr>
        <w:t xml:space="preserve">, consultada el veinticinco de abril de dos mil veintidós, a las trece horas), establece que la </w:t>
      </w:r>
      <w:r w:rsidRPr="00295971">
        <w:rPr>
          <w:rFonts w:eastAsia="Calibri" w:cs="Tahoma"/>
          <w:b/>
          <w:bCs/>
          <w:color w:val="000000"/>
        </w:rPr>
        <w:t>nómina es un listado general de los trabajadores de una institución, en el cual se asientan las percepciones brutas, deducciones y alcance neto de las mismas.</w:t>
      </w:r>
    </w:p>
    <w:p w:rsidRPr="00295971" w:rsidR="003B3690" w:rsidP="00F82CF6" w:rsidRDefault="003B3690" w14:paraId="1B129C93" w14:textId="77777777">
      <w:pPr>
        <w:spacing w:after="0" w:line="360" w:lineRule="auto"/>
        <w:ind w:right="-93"/>
        <w:contextualSpacing/>
        <w:rPr>
          <w:rFonts w:eastAsia="Calibri" w:cs="Tahoma"/>
          <w:bCs/>
          <w:color w:val="000000"/>
        </w:rPr>
      </w:pPr>
    </w:p>
    <w:p w:rsidRPr="00295971" w:rsidR="003B3690" w:rsidP="00F82CF6" w:rsidRDefault="003B3690" w14:paraId="340D6B86" w14:textId="77777777">
      <w:pPr>
        <w:spacing w:after="0" w:line="360" w:lineRule="auto"/>
        <w:ind w:right="-93"/>
        <w:contextualSpacing/>
        <w:rPr>
          <w:rFonts w:eastAsia="Calibri" w:cs="Tahoma"/>
          <w:bCs/>
          <w:color w:val="000000"/>
        </w:rPr>
      </w:pPr>
      <w:r w:rsidRPr="00295971">
        <w:rPr>
          <w:rFonts w:eastAsia="Calibri" w:cs="Tahoma"/>
          <w:bCs/>
          <w:color w:val="000000"/>
        </w:rPr>
        <w:t>Conforme a lo anterior, se puede advertir que la nómina se puede referir a lo siguiente:</w:t>
      </w:r>
    </w:p>
    <w:p w:rsidRPr="00295971" w:rsidR="003B3690" w:rsidP="00F82CF6" w:rsidRDefault="003B3690" w14:paraId="01E2CF65" w14:textId="77777777">
      <w:pPr>
        <w:spacing w:after="0" w:line="360" w:lineRule="auto"/>
        <w:ind w:right="-93"/>
        <w:contextualSpacing/>
        <w:rPr>
          <w:rFonts w:eastAsia="Calibri" w:cs="Tahoma"/>
          <w:bCs/>
          <w:color w:val="000000"/>
        </w:rPr>
      </w:pPr>
    </w:p>
    <w:p w:rsidRPr="00295971" w:rsidR="003B3690" w:rsidP="00F82CF6" w:rsidRDefault="003B3690" w14:paraId="753B15C1" w14:textId="77777777">
      <w:pPr>
        <w:numPr>
          <w:ilvl w:val="0"/>
          <w:numId w:val="5"/>
        </w:numPr>
        <w:spacing w:after="0" w:line="360" w:lineRule="auto"/>
        <w:ind w:right="-93"/>
        <w:contextualSpacing/>
        <w:rPr>
          <w:rFonts w:eastAsia="Calibri" w:cs="Tahoma"/>
          <w:bCs/>
          <w:color w:val="000000"/>
        </w:rPr>
      </w:pPr>
      <w:r w:rsidRPr="00295971">
        <w:rPr>
          <w:rFonts w:eastAsia="Calibri" w:cs="Tahoma"/>
          <w:bCs/>
          <w:color w:val="000000"/>
        </w:rPr>
        <w:t>Relación de trabajadores con las percepciones monetarias de cada uno.</w:t>
      </w:r>
    </w:p>
    <w:p w:rsidRPr="00295971" w:rsidR="003B3690" w:rsidP="00F82CF6" w:rsidRDefault="003B3690" w14:paraId="76BE7291" w14:textId="77777777">
      <w:pPr>
        <w:spacing w:after="0" w:line="360" w:lineRule="auto"/>
        <w:ind w:left="720" w:right="-93"/>
        <w:contextualSpacing/>
        <w:rPr>
          <w:rFonts w:eastAsia="Calibri" w:cs="Tahoma"/>
          <w:b/>
          <w:bCs/>
          <w:color w:val="000000"/>
        </w:rPr>
      </w:pPr>
    </w:p>
    <w:p w:rsidRPr="00295971" w:rsidR="003B3690" w:rsidP="00F82CF6" w:rsidRDefault="003B3690" w14:paraId="033E1359" w14:textId="77777777">
      <w:pPr>
        <w:numPr>
          <w:ilvl w:val="0"/>
          <w:numId w:val="5"/>
        </w:numPr>
        <w:spacing w:after="0" w:line="360" w:lineRule="auto"/>
        <w:ind w:right="-93"/>
        <w:contextualSpacing/>
        <w:rPr>
          <w:rFonts w:eastAsia="Calibri" w:cs="Tahoma"/>
          <w:bCs/>
          <w:color w:val="000000"/>
        </w:rPr>
      </w:pPr>
      <w:r w:rsidRPr="00295971">
        <w:rPr>
          <w:rFonts w:eastAsia="Calibri" w:cs="Tahoma"/>
          <w:bCs/>
          <w:color w:val="000000"/>
        </w:rPr>
        <w:t>Recibo individual que contiene las prestaciones y deducciones de un trabajador.</w:t>
      </w:r>
    </w:p>
    <w:p w:rsidRPr="00295971" w:rsidR="003B3690" w:rsidP="00F82CF6" w:rsidRDefault="003B3690" w14:paraId="7F78FBBE" w14:textId="77777777">
      <w:pPr>
        <w:spacing w:after="0" w:line="360" w:lineRule="auto"/>
        <w:ind w:left="720"/>
        <w:contextualSpacing/>
        <w:rPr>
          <w:rFonts w:eastAsia="Calibri" w:cs="Tahoma"/>
          <w:b/>
          <w:bCs/>
          <w:color w:val="000000"/>
        </w:rPr>
      </w:pPr>
    </w:p>
    <w:p w:rsidRPr="002848FA" w:rsidR="003B3690" w:rsidP="00F82CF6" w:rsidRDefault="003B3690" w14:paraId="5F5EB3FE" w14:textId="77777777">
      <w:pPr>
        <w:numPr>
          <w:ilvl w:val="0"/>
          <w:numId w:val="5"/>
        </w:numPr>
        <w:spacing w:after="0" w:line="360" w:lineRule="auto"/>
        <w:ind w:right="-93"/>
        <w:contextualSpacing/>
        <w:rPr>
          <w:rFonts w:eastAsia="Calibri" w:cs="Tahoma"/>
          <w:bCs/>
          <w:color w:val="000000"/>
        </w:rPr>
      </w:pPr>
      <w:r w:rsidRPr="002848FA">
        <w:rPr>
          <w:rFonts w:eastAsia="Calibri" w:cs="Tahoma"/>
          <w:bCs/>
          <w:color w:val="000000"/>
        </w:rPr>
        <w:t>Listado general de los servidores públicos de una institución o dependencia, en el cual se asientan las percepciones brutas, deducciones y alcance neto de las mismas.</w:t>
      </w:r>
    </w:p>
    <w:p w:rsidR="001E3DBD" w:rsidP="00F82CF6" w:rsidRDefault="001E3DBD" w14:paraId="2BE0A5F8" w14:textId="77777777">
      <w:pPr>
        <w:widowControl w:val="0"/>
        <w:spacing w:after="0" w:line="360" w:lineRule="auto"/>
        <w:contextualSpacing/>
        <w:rPr>
          <w:rFonts w:cs="Tahoma"/>
          <w:color w:val="000000"/>
          <w:lang w:eastAsia="es-MX"/>
        </w:rPr>
      </w:pPr>
    </w:p>
    <w:p w:rsidR="002848FA" w:rsidP="00F82CF6" w:rsidRDefault="002848FA" w14:paraId="676C5FFA" w14:textId="3BCC14C8">
      <w:pPr>
        <w:widowControl w:val="0"/>
        <w:spacing w:after="0" w:line="360" w:lineRule="auto"/>
        <w:contextualSpacing/>
        <w:rPr>
          <w:rFonts w:cs="Tahoma"/>
          <w:color w:val="000000"/>
          <w:lang w:eastAsia="es-MX"/>
        </w:rPr>
      </w:pPr>
      <w:r>
        <w:rPr>
          <w:rFonts w:cs="Tahoma"/>
          <w:color w:val="000000"/>
          <w:lang w:eastAsia="es-MX"/>
        </w:rPr>
        <w:t>Conforme a dicha circunstancia, se logra vislumbrar que la pretensión del ahora Recurrente, es obtener el monto que recibía el Director de Seguridad Pública, durante el dos mil veintiuno, por concepto de sueldo bruto y neto, aguinaldo, vacaciones y prima vacacional; sobre dichas percepciones la Ley del Trabajo de los Servidores Públicos del Estado y Municipios, establece lo siguiente:</w:t>
      </w:r>
    </w:p>
    <w:p w:rsidR="002848FA" w:rsidP="00F82CF6" w:rsidRDefault="002848FA" w14:paraId="1F461EE4" w14:textId="77777777">
      <w:pPr>
        <w:widowControl w:val="0"/>
        <w:spacing w:after="0" w:line="360" w:lineRule="auto"/>
        <w:contextualSpacing/>
        <w:rPr>
          <w:rFonts w:cs="Tahoma"/>
          <w:color w:val="000000"/>
          <w:lang w:eastAsia="es-MX"/>
        </w:rPr>
      </w:pPr>
    </w:p>
    <w:p w:rsidRPr="002848FA" w:rsidR="002848FA" w:rsidP="00F82CF6" w:rsidRDefault="002848FA" w14:paraId="0E78038A" w14:textId="77777777">
      <w:pPr>
        <w:pStyle w:val="Prrafodelista"/>
        <w:widowControl w:val="0"/>
        <w:numPr>
          <w:ilvl w:val="0"/>
          <w:numId w:val="10"/>
        </w:numPr>
        <w:spacing w:after="0" w:line="360" w:lineRule="auto"/>
        <w:rPr>
          <w:rFonts w:cs="Tahoma"/>
          <w:b/>
          <w:color w:val="000000"/>
          <w:lang w:eastAsia="es-MX"/>
        </w:rPr>
      </w:pPr>
      <w:r w:rsidRPr="002848FA">
        <w:rPr>
          <w:rFonts w:cs="Tahoma"/>
          <w:b/>
          <w:color w:val="000000"/>
          <w:lang w:eastAsia="es-MX"/>
        </w:rPr>
        <w:t>Artículo</w:t>
      </w:r>
      <w:r>
        <w:rPr>
          <w:rFonts w:cs="Tahoma"/>
          <w:b/>
          <w:color w:val="000000"/>
          <w:lang w:eastAsia="es-MX"/>
        </w:rPr>
        <w:t xml:space="preserve">s 71, 72, 75 y 76: </w:t>
      </w:r>
      <w:r>
        <w:rPr>
          <w:rFonts w:cs="Tahoma"/>
          <w:color w:val="000000"/>
          <w:lang w:eastAsia="es-MX"/>
        </w:rPr>
        <w:t>El Sueldo es la retribución que la institución pública debe pagar al servidor público por los servicios prestados, mismo que en ningún caso podrá ser disminuido, ni podrá ser menor al salario mínimo general fijado.</w:t>
      </w:r>
    </w:p>
    <w:p w:rsidRPr="002848FA" w:rsidR="002848FA" w:rsidP="00F82CF6" w:rsidRDefault="002848FA" w14:paraId="2088AE69" w14:textId="77777777">
      <w:pPr>
        <w:pStyle w:val="Prrafodelista"/>
        <w:widowControl w:val="0"/>
        <w:spacing w:after="0" w:line="360" w:lineRule="auto"/>
        <w:rPr>
          <w:rFonts w:cs="Tahoma"/>
          <w:b/>
          <w:color w:val="000000"/>
          <w:lang w:eastAsia="es-MX"/>
        </w:rPr>
      </w:pPr>
    </w:p>
    <w:p w:rsidRPr="00B402A4" w:rsidR="002848FA" w:rsidP="00F82CF6" w:rsidRDefault="002848FA" w14:paraId="601BC953" w14:textId="1EFB75AB">
      <w:pPr>
        <w:pStyle w:val="Prrafodelista"/>
        <w:widowControl w:val="0"/>
        <w:numPr>
          <w:ilvl w:val="0"/>
          <w:numId w:val="10"/>
        </w:numPr>
        <w:spacing w:after="0" w:line="360" w:lineRule="auto"/>
        <w:rPr>
          <w:rFonts w:cs="Tahoma"/>
          <w:b/>
          <w:color w:val="000000"/>
          <w:lang w:eastAsia="es-MX"/>
        </w:rPr>
      </w:pPr>
      <w:r>
        <w:rPr>
          <w:rFonts w:cs="Tahoma"/>
          <w:b/>
          <w:color w:val="000000"/>
          <w:lang w:eastAsia="es-MX"/>
        </w:rPr>
        <w:t xml:space="preserve"> Artículo 78: </w:t>
      </w:r>
      <w:r>
        <w:rPr>
          <w:rFonts w:cs="Tahoma"/>
          <w:color w:val="000000"/>
          <w:lang w:eastAsia="es-MX"/>
        </w:rPr>
        <w:t>Todo servidor público tendrá derecho a un aguinaldo anual, equivalente a cuarenta días de sueldo base, sin deducción alguna y estará comprendi</w:t>
      </w:r>
      <w:r w:rsidR="00B402A4">
        <w:rPr>
          <w:rFonts w:cs="Tahoma"/>
          <w:color w:val="000000"/>
          <w:lang w:eastAsia="es-MX"/>
        </w:rPr>
        <w:t>do en el presupuesto de egresos, mismo que será pagado de manera proporcional, en el caso de que el trabajador tenga menos de un año de servicio.</w:t>
      </w:r>
    </w:p>
    <w:p w:rsidRPr="00B402A4" w:rsidR="00B402A4" w:rsidP="00F82CF6" w:rsidRDefault="00B402A4" w14:paraId="2FDDD2BA" w14:textId="77777777">
      <w:pPr>
        <w:pStyle w:val="Prrafodelista"/>
        <w:spacing w:after="0"/>
        <w:rPr>
          <w:rFonts w:cs="Tahoma"/>
          <w:b/>
          <w:color w:val="000000"/>
          <w:lang w:eastAsia="es-MX"/>
        </w:rPr>
      </w:pPr>
    </w:p>
    <w:p w:rsidRPr="002848FA" w:rsidR="00B402A4" w:rsidP="00F82CF6" w:rsidRDefault="00B402A4" w14:paraId="2716565A" w14:textId="2A25A9F2">
      <w:pPr>
        <w:pStyle w:val="Prrafodelista"/>
        <w:widowControl w:val="0"/>
        <w:numPr>
          <w:ilvl w:val="0"/>
          <w:numId w:val="10"/>
        </w:numPr>
        <w:spacing w:after="0" w:line="360" w:lineRule="auto"/>
        <w:rPr>
          <w:rFonts w:cs="Tahoma"/>
          <w:b/>
          <w:color w:val="000000"/>
          <w:lang w:eastAsia="es-MX"/>
        </w:rPr>
      </w:pPr>
      <w:r>
        <w:rPr>
          <w:rFonts w:cs="Tahoma"/>
          <w:b/>
          <w:color w:val="000000"/>
          <w:lang w:eastAsia="es-MX"/>
        </w:rPr>
        <w:t xml:space="preserve">Artículos 66 y 81: </w:t>
      </w:r>
      <w:r>
        <w:rPr>
          <w:rFonts w:cs="Tahoma"/>
          <w:color w:val="000000"/>
          <w:lang w:eastAsia="es-MX"/>
        </w:rPr>
        <w:t>Los servidores públicos tienen derecho a dos períodos anuales de vacaciones, de diez días laborales cada uno; para lo cual, recibirán sueldo íntegro, durante dichos periodos; además, que percibirán una prima vacacional, de un veinticinco por ciento, sobre el sueldo base presupuestal.</w:t>
      </w:r>
      <w:r>
        <w:rPr>
          <w:rFonts w:cs="Tahoma"/>
          <w:b/>
          <w:color w:val="000000"/>
          <w:lang w:eastAsia="es-MX"/>
        </w:rPr>
        <w:t xml:space="preserve"> </w:t>
      </w:r>
    </w:p>
    <w:p w:rsidR="001E3DBD" w:rsidP="00F82CF6" w:rsidRDefault="001E3DBD" w14:paraId="644BED23" w14:textId="77777777">
      <w:pPr>
        <w:widowControl w:val="0"/>
        <w:spacing w:after="0" w:line="360" w:lineRule="auto"/>
        <w:contextualSpacing/>
        <w:rPr>
          <w:rFonts w:cs="Tahoma"/>
          <w:color w:val="000000"/>
          <w:lang w:eastAsia="es-MX"/>
        </w:rPr>
      </w:pPr>
    </w:p>
    <w:p w:rsidR="001E3DBD" w:rsidP="00F82CF6" w:rsidRDefault="00B402A4" w14:paraId="4FD553F2" w14:textId="7D828279">
      <w:pPr>
        <w:widowControl w:val="0"/>
        <w:spacing w:after="0" w:line="360" w:lineRule="auto"/>
        <w:contextualSpacing/>
        <w:rPr>
          <w:rFonts w:cs="Tahoma"/>
          <w:color w:val="000000"/>
          <w:lang w:eastAsia="es-MX"/>
        </w:rPr>
      </w:pPr>
      <w:r>
        <w:rPr>
          <w:rFonts w:cs="Tahoma"/>
          <w:color w:val="000000"/>
          <w:lang w:eastAsia="es-MX"/>
        </w:rPr>
        <w:t>Lo anterior, toma relevancia, pues este Instituto localizó el Tabulador de S</w:t>
      </w:r>
      <w:r w:rsidR="00720F44">
        <w:rPr>
          <w:rFonts w:cs="Tahoma"/>
          <w:color w:val="000000"/>
          <w:lang w:eastAsia="es-MX"/>
        </w:rPr>
        <w:t>ueldos del Ayuntamiento de Toluca, del primero de enero al treinta y uno de diciembre de dos mil veintiuno, y respecto a las prestaciones requeridas, se logra vislumbrar que únicamente pago la prestación de sueldo base, aguinaldo y prima vacacional, pues aunque existen otras percepciones, ninguna se relaciona con vacaciones de los servidores públicos, tal como se muestra a continuación:</w:t>
      </w:r>
    </w:p>
    <w:p w:rsidR="00720F44" w:rsidP="00F82CF6" w:rsidRDefault="00720F44" w14:paraId="12D45305" w14:textId="77777777">
      <w:pPr>
        <w:widowControl w:val="0"/>
        <w:spacing w:after="0" w:line="360" w:lineRule="auto"/>
        <w:contextualSpacing/>
        <w:rPr>
          <w:rFonts w:cs="Tahoma"/>
          <w:color w:val="000000"/>
          <w:lang w:eastAsia="es-MX"/>
        </w:rPr>
      </w:pPr>
    </w:p>
    <w:p w:rsidR="00720F44" w:rsidP="00F82CF6" w:rsidRDefault="00720F44" w14:paraId="7681B26B" w14:textId="2DA8207F">
      <w:pPr>
        <w:widowControl w:val="0"/>
        <w:spacing w:after="0" w:line="360" w:lineRule="auto"/>
        <w:contextualSpacing/>
        <w:rPr>
          <w:rFonts w:cs="Tahoma"/>
          <w:color w:val="000000"/>
          <w:lang w:eastAsia="es-MX"/>
        </w:rPr>
      </w:pPr>
      <w:r w:rsidRPr="00720F44">
        <w:rPr>
          <w:rFonts w:cs="Tahoma"/>
          <w:noProof/>
          <w:color w:val="000000"/>
          <w:lang w:eastAsia="es-MX"/>
        </w:rPr>
        <w:lastRenderedPageBreak/>
        <w:drawing>
          <wp:inline distT="0" distB="0" distL="0" distR="0" wp14:anchorId="25F36462" wp14:editId="0780B30D">
            <wp:extent cx="5671185" cy="596265"/>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596265"/>
                    </a:xfrm>
                    <a:prstGeom prst="rect">
                      <a:avLst/>
                    </a:prstGeom>
                  </pic:spPr>
                </pic:pic>
              </a:graphicData>
            </a:graphic>
          </wp:inline>
        </w:drawing>
      </w:r>
    </w:p>
    <w:p w:rsidR="001E3DBD" w:rsidP="00F82CF6" w:rsidRDefault="001E3DBD" w14:paraId="46024AE6" w14:textId="77777777">
      <w:pPr>
        <w:widowControl w:val="0"/>
        <w:spacing w:after="0" w:line="360" w:lineRule="auto"/>
        <w:contextualSpacing/>
        <w:rPr>
          <w:rFonts w:cs="Tahoma"/>
          <w:color w:val="000000"/>
          <w:lang w:eastAsia="es-MX"/>
        </w:rPr>
      </w:pPr>
    </w:p>
    <w:p w:rsidR="00720F44" w:rsidP="00F82CF6" w:rsidRDefault="00720F44" w14:paraId="156900E7" w14:textId="7F687EE3">
      <w:pPr>
        <w:widowControl w:val="0"/>
        <w:spacing w:after="0" w:line="360" w:lineRule="auto"/>
        <w:contextualSpacing/>
        <w:rPr>
          <w:rFonts w:cs="Tahoma"/>
          <w:color w:val="000000"/>
          <w:lang w:eastAsia="es-MX"/>
        </w:rPr>
      </w:pPr>
      <w:r>
        <w:rPr>
          <w:rFonts w:cs="Tahoma"/>
          <w:color w:val="000000"/>
          <w:lang w:eastAsia="es-MX"/>
        </w:rPr>
        <w:t>Finalmente, respecto al cargo solicitado, se logra vislumbrar, que la fracción VIII, del artículo 92, del Portal de Información Pública de Oficio Mexiquense de Toluca, y localizó que durante el dos mil veintiuno, Luis Ernesto Velázquez Carpizo, fue Director General de Seguridad y Protección, tal como se muestra a continuación:</w:t>
      </w:r>
    </w:p>
    <w:p w:rsidR="00720F44" w:rsidP="00F82CF6" w:rsidRDefault="00720F44" w14:paraId="66D8BB9B" w14:textId="77777777">
      <w:pPr>
        <w:widowControl w:val="0"/>
        <w:spacing w:after="0" w:line="360" w:lineRule="auto"/>
        <w:contextualSpacing/>
        <w:rPr>
          <w:rFonts w:cs="Tahoma"/>
          <w:color w:val="000000"/>
          <w:lang w:eastAsia="es-MX"/>
        </w:rPr>
      </w:pPr>
    </w:p>
    <w:p w:rsidR="00720F44" w:rsidP="00F82CF6" w:rsidRDefault="00720F44" w14:paraId="23A20DF0" w14:textId="700E1235">
      <w:pPr>
        <w:widowControl w:val="0"/>
        <w:spacing w:after="0" w:line="360" w:lineRule="auto"/>
        <w:contextualSpacing/>
        <w:jc w:val="center"/>
        <w:rPr>
          <w:rFonts w:cs="Tahoma"/>
          <w:color w:val="000000"/>
          <w:lang w:eastAsia="es-MX"/>
        </w:rPr>
      </w:pPr>
      <w:r w:rsidRPr="00720F44">
        <w:rPr>
          <w:rFonts w:cs="Tahoma"/>
          <w:noProof/>
          <w:color w:val="000000"/>
          <w:lang w:eastAsia="es-MX"/>
        </w:rPr>
        <w:drawing>
          <wp:inline distT="0" distB="0" distL="0" distR="0" wp14:anchorId="66DD72B0" wp14:editId="5885B875">
            <wp:extent cx="3105583" cy="1381318"/>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05583" cy="1381318"/>
                    </a:xfrm>
                    <a:prstGeom prst="rect">
                      <a:avLst/>
                    </a:prstGeom>
                  </pic:spPr>
                </pic:pic>
              </a:graphicData>
            </a:graphic>
          </wp:inline>
        </w:drawing>
      </w:r>
    </w:p>
    <w:p w:rsidR="00720F44" w:rsidP="00F82CF6" w:rsidRDefault="00720F44" w14:paraId="0ED78FBE" w14:textId="77777777">
      <w:pPr>
        <w:widowControl w:val="0"/>
        <w:spacing w:after="0" w:line="360" w:lineRule="auto"/>
        <w:contextualSpacing/>
        <w:rPr>
          <w:rFonts w:cs="Tahoma"/>
          <w:color w:val="000000"/>
          <w:lang w:eastAsia="es-MX"/>
        </w:rPr>
      </w:pPr>
    </w:p>
    <w:p w:rsidR="00720F44" w:rsidP="00F82CF6" w:rsidRDefault="00720F44" w14:paraId="6F61A567" w14:textId="7AABC6FD">
      <w:pPr>
        <w:widowControl w:val="0"/>
        <w:spacing w:after="0" w:line="360" w:lineRule="auto"/>
        <w:contextualSpacing/>
        <w:rPr>
          <w:rFonts w:cs="Tahoma"/>
          <w:color w:val="000000"/>
          <w:lang w:eastAsia="es-MX"/>
        </w:rPr>
      </w:pPr>
      <w:r>
        <w:rPr>
          <w:rFonts w:cs="Tahoma"/>
          <w:color w:val="000000"/>
          <w:lang w:eastAsia="es-MX"/>
        </w:rPr>
        <w:t>Conforme a lo anterior, se logra advertir que la pretensión del ahora Recurrente, es obtener, respecto al entonces Director General de Seguridad y Protección, Luis Ernesto Velázquez Carpizo, los documentos donde consten las percepciones pagadas durante el dos mil veintiuno, siguientes:</w:t>
      </w:r>
    </w:p>
    <w:p w:rsidR="00720F44" w:rsidP="00F82CF6" w:rsidRDefault="00720F44" w14:paraId="2AFDD677" w14:textId="77777777">
      <w:pPr>
        <w:widowControl w:val="0"/>
        <w:spacing w:after="0" w:line="360" w:lineRule="auto"/>
        <w:contextualSpacing/>
        <w:rPr>
          <w:rFonts w:cs="Tahoma"/>
          <w:color w:val="000000"/>
          <w:lang w:eastAsia="es-MX"/>
        </w:rPr>
      </w:pPr>
    </w:p>
    <w:p w:rsidR="00720F44" w:rsidP="00F82CF6" w:rsidRDefault="00720F44" w14:paraId="67196520" w14:textId="2BABAE1B">
      <w:pPr>
        <w:pStyle w:val="Prrafodelista"/>
        <w:widowControl w:val="0"/>
        <w:numPr>
          <w:ilvl w:val="0"/>
          <w:numId w:val="11"/>
        </w:numPr>
        <w:spacing w:after="0" w:line="360" w:lineRule="auto"/>
        <w:rPr>
          <w:rFonts w:cs="Tahoma"/>
          <w:color w:val="000000"/>
          <w:lang w:eastAsia="es-MX"/>
        </w:rPr>
      </w:pPr>
      <w:r>
        <w:rPr>
          <w:rFonts w:cs="Tahoma"/>
          <w:color w:val="000000"/>
          <w:lang w:eastAsia="es-MX"/>
        </w:rPr>
        <w:t>Sueldo bruto y neto;</w:t>
      </w:r>
    </w:p>
    <w:p w:rsidR="00720F44" w:rsidP="00F82CF6" w:rsidRDefault="00720F44" w14:paraId="74431640" w14:textId="2D77A6FC">
      <w:pPr>
        <w:pStyle w:val="Prrafodelista"/>
        <w:widowControl w:val="0"/>
        <w:numPr>
          <w:ilvl w:val="0"/>
          <w:numId w:val="11"/>
        </w:numPr>
        <w:spacing w:after="0" w:line="360" w:lineRule="auto"/>
        <w:rPr>
          <w:rFonts w:cs="Tahoma"/>
          <w:color w:val="000000"/>
          <w:lang w:eastAsia="es-MX"/>
        </w:rPr>
      </w:pPr>
      <w:r>
        <w:rPr>
          <w:rFonts w:cs="Tahoma"/>
          <w:color w:val="000000"/>
          <w:lang w:eastAsia="es-MX"/>
        </w:rPr>
        <w:t>Aguinaldo, y</w:t>
      </w:r>
    </w:p>
    <w:p w:rsidRPr="00720F44" w:rsidR="00720F44" w:rsidP="00F82CF6" w:rsidRDefault="00720F44" w14:paraId="04FB083C" w14:textId="7E5216AF">
      <w:pPr>
        <w:pStyle w:val="Prrafodelista"/>
        <w:widowControl w:val="0"/>
        <w:numPr>
          <w:ilvl w:val="0"/>
          <w:numId w:val="11"/>
        </w:numPr>
        <w:spacing w:after="0" w:line="360" w:lineRule="auto"/>
        <w:rPr>
          <w:rFonts w:cs="Tahoma"/>
          <w:color w:val="000000"/>
          <w:lang w:eastAsia="es-MX"/>
        </w:rPr>
      </w:pPr>
      <w:r>
        <w:rPr>
          <w:rFonts w:cs="Tahoma"/>
          <w:color w:val="000000"/>
          <w:lang w:eastAsia="es-MX"/>
        </w:rPr>
        <w:t>Prima vacacional (vacaciones).</w:t>
      </w:r>
    </w:p>
    <w:p w:rsidR="001E3DBD" w:rsidP="00F82CF6" w:rsidRDefault="001E3DBD" w14:paraId="6100272E" w14:textId="77777777">
      <w:pPr>
        <w:widowControl w:val="0"/>
        <w:spacing w:after="0" w:line="360" w:lineRule="auto"/>
        <w:contextualSpacing/>
        <w:rPr>
          <w:rFonts w:cs="Tahoma"/>
          <w:color w:val="000000"/>
          <w:lang w:eastAsia="es-MX"/>
        </w:rPr>
      </w:pPr>
    </w:p>
    <w:p w:rsidRPr="00F8584E" w:rsidR="002C307B" w:rsidP="00F82CF6" w:rsidRDefault="00720F44" w14:paraId="70BE49B3" w14:textId="784E427B">
      <w:pPr>
        <w:tabs>
          <w:tab w:val="left" w:pos="4962"/>
        </w:tabs>
        <w:spacing w:after="0" w:line="360" w:lineRule="auto"/>
        <w:contextualSpacing/>
        <w:rPr>
          <w:rFonts w:eastAsia="Calibri" w:cs="Tahoma"/>
          <w:bCs/>
          <w:iCs/>
          <w:color w:val="000000"/>
          <w:szCs w:val="24"/>
          <w:lang w:eastAsia="es-MX"/>
        </w:rPr>
      </w:pPr>
      <w:r>
        <w:rPr>
          <w:rFonts w:eastAsia="Batang" w:cs="Tahoma"/>
          <w:bCs/>
          <w:color w:val="auto"/>
          <w:lang w:eastAsia="es-ES"/>
        </w:rPr>
        <w:t>Ahora bien</w:t>
      </w:r>
      <w:r w:rsidRPr="00F8584E" w:rsidR="002C307B">
        <w:rPr>
          <w:rFonts w:eastAsia="Batang" w:cs="Tahoma"/>
          <w:bCs/>
          <w:color w:val="auto"/>
          <w:lang w:eastAsia="es-ES"/>
        </w:rPr>
        <w:t>, de las constancias que obran en el expediente, se logra advertir que el Ayuntamiento turno la solicitud de información, a la</w:t>
      </w:r>
      <w:r w:rsidR="002C307B">
        <w:rPr>
          <w:rFonts w:eastAsia="Batang" w:cs="Tahoma"/>
          <w:bCs/>
          <w:color w:val="auto"/>
          <w:lang w:eastAsia="es-ES"/>
        </w:rPr>
        <w:t xml:space="preserve"> Dirección </w:t>
      </w:r>
      <w:r w:rsidR="003A66BB">
        <w:rPr>
          <w:rFonts w:eastAsia="Batang" w:cs="Tahoma"/>
          <w:bCs/>
          <w:color w:val="auto"/>
          <w:lang w:eastAsia="es-ES"/>
        </w:rPr>
        <w:t xml:space="preserve">General </w:t>
      </w:r>
      <w:r w:rsidR="002C307B">
        <w:rPr>
          <w:rFonts w:eastAsia="Batang" w:cs="Tahoma"/>
          <w:bCs/>
          <w:color w:val="auto"/>
          <w:lang w:eastAsia="es-ES"/>
        </w:rPr>
        <w:t>de Administración</w:t>
      </w:r>
      <w:r w:rsidRPr="00F8584E" w:rsidR="002C307B">
        <w:rPr>
          <w:rFonts w:eastAsia="Batang" w:cs="Tahoma"/>
          <w:bCs/>
          <w:color w:val="auto"/>
          <w:lang w:eastAsia="es-ES"/>
        </w:rPr>
        <w:t xml:space="preserve">; por lo que, resulta </w:t>
      </w:r>
      <w:r w:rsidRPr="00F8584E" w:rsidR="002C307B">
        <w:rPr>
          <w:rFonts w:eastAsia="Calibri" w:cs="Tahoma"/>
          <w:bCs/>
          <w:color w:val="000000"/>
          <w:szCs w:val="24"/>
          <w:lang w:eastAsia="es-MX"/>
        </w:rPr>
        <w:t xml:space="preserve">necesario hacer referencia </w:t>
      </w:r>
      <w:r w:rsidRPr="00F8584E" w:rsidR="002C307B">
        <w:rPr>
          <w:rFonts w:eastAsia="Calibri" w:cs="Tahoma"/>
          <w:color w:val="000000"/>
          <w:szCs w:val="24"/>
          <w:lang w:eastAsia="es-MX"/>
        </w:rPr>
        <w:t xml:space="preserve">al </w:t>
      </w:r>
      <w:r w:rsidRPr="00F8584E" w:rsidR="002C307B">
        <w:rPr>
          <w:rFonts w:eastAsia="Calibri" w:cs="Tahoma"/>
          <w:b/>
          <w:color w:val="000000"/>
          <w:szCs w:val="24"/>
          <w:lang w:eastAsia="es-MX"/>
        </w:rPr>
        <w:t>procedimiento de búsqueda que deben de seguir los Sujetos Obligados para localizar la información</w:t>
      </w:r>
      <w:r w:rsidRPr="00F8584E" w:rsidR="002C307B">
        <w:rPr>
          <w:rFonts w:eastAsia="Calibri" w:cs="Tahoma"/>
          <w:color w:val="000000"/>
          <w:szCs w:val="24"/>
          <w:lang w:eastAsia="es-MX"/>
        </w:rPr>
        <w:t xml:space="preserve">, el cual se encuentra previsto en </w:t>
      </w:r>
      <w:r w:rsidRPr="00F8584E" w:rsidR="002C307B">
        <w:rPr>
          <w:rFonts w:eastAsia="Calibri" w:cs="Tahoma"/>
          <w:color w:val="000000"/>
          <w:szCs w:val="24"/>
          <w:lang w:eastAsia="es-MX"/>
        </w:rPr>
        <w:lastRenderedPageBreak/>
        <w:t>los artículos</w:t>
      </w:r>
      <w:r w:rsidRPr="00F8584E" w:rsidR="002C307B">
        <w:rPr>
          <w:rFonts w:eastAsia="Calibri" w:cs="Tahoma"/>
          <w:bCs/>
          <w:color w:val="000000"/>
          <w:szCs w:val="24"/>
          <w:lang w:eastAsia="es-MX"/>
        </w:rPr>
        <w:t xml:space="preserve"> 160 y 162 de la Ley de Transparencia y Acceso a la Información Pública del Estado de México y Municipios, mismo que es el siguiente:</w:t>
      </w:r>
    </w:p>
    <w:p w:rsidRPr="00F8584E" w:rsidR="002C307B" w:rsidP="00F82CF6" w:rsidRDefault="002C307B" w14:paraId="4F1E5947" w14:textId="77777777">
      <w:pPr>
        <w:autoSpaceDE w:val="0"/>
        <w:autoSpaceDN w:val="0"/>
        <w:adjustRightInd w:val="0"/>
        <w:spacing w:after="0" w:line="360" w:lineRule="auto"/>
        <w:contextualSpacing/>
        <w:rPr>
          <w:rFonts w:eastAsia="Calibri" w:cs="Tahoma"/>
          <w:bCs/>
          <w:color w:val="000000"/>
          <w:szCs w:val="24"/>
          <w:lang w:eastAsia="es-MX"/>
        </w:rPr>
      </w:pPr>
    </w:p>
    <w:p w:rsidRPr="00F8584E" w:rsidR="002C307B" w:rsidP="00F82CF6" w:rsidRDefault="002C307B" w14:paraId="5A53DF5E" w14:textId="77777777">
      <w:pPr>
        <w:numPr>
          <w:ilvl w:val="0"/>
          <w:numId w:val="6"/>
        </w:numPr>
        <w:autoSpaceDE w:val="0"/>
        <w:autoSpaceDN w:val="0"/>
        <w:adjustRightInd w:val="0"/>
        <w:spacing w:after="0" w:line="360" w:lineRule="auto"/>
        <w:contextualSpacing/>
        <w:rPr>
          <w:rFonts w:eastAsia="Calibri" w:cs="Tahoma"/>
          <w:bCs/>
          <w:color w:val="000000"/>
          <w:szCs w:val="24"/>
          <w:lang w:eastAsia="es-MX"/>
        </w:rPr>
      </w:pPr>
      <w:r w:rsidRPr="00F8584E">
        <w:rPr>
          <w:rFonts w:eastAsia="Calibri" w:cs="Tahoma"/>
          <w:bCs/>
          <w:color w:val="000000"/>
          <w:szCs w:val="24"/>
          <w:lang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F8584E" w:rsidR="002C307B" w:rsidP="00F82CF6" w:rsidRDefault="002C307B" w14:paraId="5EAD0C89" w14:textId="77777777">
      <w:pPr>
        <w:autoSpaceDE w:val="0"/>
        <w:autoSpaceDN w:val="0"/>
        <w:adjustRightInd w:val="0"/>
        <w:spacing w:after="0" w:line="360" w:lineRule="auto"/>
        <w:contextualSpacing/>
        <w:rPr>
          <w:rFonts w:eastAsia="Calibri" w:cs="Tahoma"/>
          <w:bCs/>
          <w:color w:val="000000"/>
          <w:szCs w:val="24"/>
          <w:lang w:eastAsia="es-MX"/>
        </w:rPr>
      </w:pPr>
    </w:p>
    <w:p w:rsidRPr="00F8584E" w:rsidR="002C307B" w:rsidP="00F82CF6" w:rsidRDefault="002C307B" w14:paraId="2FC6D97C" w14:textId="77777777">
      <w:pPr>
        <w:numPr>
          <w:ilvl w:val="0"/>
          <w:numId w:val="6"/>
        </w:numPr>
        <w:autoSpaceDE w:val="0"/>
        <w:autoSpaceDN w:val="0"/>
        <w:adjustRightInd w:val="0"/>
        <w:spacing w:after="0" w:line="360" w:lineRule="auto"/>
        <w:contextualSpacing/>
        <w:rPr>
          <w:rFonts w:eastAsia="Calibri" w:cs="Tahoma"/>
          <w:bCs/>
          <w:color w:val="000000"/>
          <w:szCs w:val="24"/>
          <w:lang w:eastAsia="es-MX"/>
        </w:rPr>
      </w:pPr>
      <w:r w:rsidRPr="00F8584E">
        <w:rPr>
          <w:rFonts w:eastAsia="Calibri" w:cs="Tahoma"/>
          <w:bCs/>
          <w:color w:val="000000"/>
          <w:szCs w:val="24"/>
          <w:lang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2C307B" w:rsidP="00F82CF6" w:rsidRDefault="002C307B" w14:paraId="7A922B3B" w14:textId="77777777">
      <w:pPr>
        <w:spacing w:after="0" w:line="360" w:lineRule="auto"/>
        <w:contextualSpacing/>
        <w:rPr>
          <w:rFonts w:eastAsia="Calibri" w:cs="Tahoma"/>
          <w:color w:val="000000"/>
          <w:szCs w:val="24"/>
          <w:lang w:eastAsia="es-MX"/>
        </w:rPr>
      </w:pPr>
    </w:p>
    <w:p w:rsidR="002C307B" w:rsidP="00F82CF6" w:rsidRDefault="002C307B" w14:paraId="2A7FB184" w14:textId="582B8DC7">
      <w:pPr>
        <w:spacing w:after="0" w:line="360" w:lineRule="auto"/>
        <w:contextualSpacing/>
        <w:rPr>
          <w:rFonts w:eastAsia="Calibri" w:cs="Arial"/>
          <w:bCs/>
          <w:color w:val="000000"/>
          <w:lang w:val="es-ES"/>
        </w:rPr>
      </w:pPr>
      <w:r w:rsidRPr="003F15DB">
        <w:rPr>
          <w:rFonts w:eastAsia="Calibri" w:cs="Arial"/>
          <w:bCs/>
          <w:color w:val="000000"/>
          <w:lang w:val="es-ES"/>
        </w:rPr>
        <w:t xml:space="preserve">Así, a efecto de determinar si el Sujeto Obligado, cumplió con el procedimiento de búsqueda antes referido, se trae al estudio lo previsto en </w:t>
      </w:r>
      <w:r w:rsidR="003A66BB">
        <w:rPr>
          <w:rFonts w:eastAsia="Calibri" w:cs="Arial"/>
          <w:bCs/>
          <w:color w:val="000000"/>
          <w:lang w:val="es-ES"/>
        </w:rPr>
        <w:t>el artículo</w:t>
      </w:r>
      <w:r w:rsidR="005B6C46">
        <w:rPr>
          <w:rFonts w:eastAsia="Calibri" w:cs="Arial"/>
          <w:bCs/>
          <w:color w:val="000000"/>
          <w:lang w:val="es-ES"/>
        </w:rPr>
        <w:t xml:space="preserve"> 3.40</w:t>
      </w:r>
      <w:r w:rsidR="003A66BB">
        <w:rPr>
          <w:rFonts w:eastAsia="Calibri" w:cs="Arial"/>
          <w:bCs/>
          <w:color w:val="000000"/>
          <w:lang w:val="es-ES"/>
        </w:rPr>
        <w:t>,</w:t>
      </w:r>
      <w:r w:rsidR="005B6C46">
        <w:rPr>
          <w:rFonts w:eastAsia="Calibri" w:cs="Arial"/>
          <w:bCs/>
          <w:color w:val="000000"/>
          <w:lang w:val="es-ES"/>
        </w:rPr>
        <w:t xml:space="preserve"> fracción IV</w:t>
      </w:r>
      <w:r w:rsidR="00AC3DFB">
        <w:rPr>
          <w:rFonts w:eastAsia="Calibri" w:cs="Arial"/>
          <w:bCs/>
          <w:color w:val="000000"/>
          <w:lang w:val="es-ES"/>
        </w:rPr>
        <w:t>, d</w:t>
      </w:r>
      <w:r w:rsidRPr="003F15DB">
        <w:rPr>
          <w:rFonts w:eastAsia="Calibri" w:cs="Arial"/>
          <w:bCs/>
          <w:color w:val="000000"/>
          <w:lang w:val="es-ES"/>
        </w:rPr>
        <w:t>el</w:t>
      </w:r>
      <w:r w:rsidR="00AC3DFB">
        <w:rPr>
          <w:rFonts w:eastAsia="Calibri" w:cs="Arial"/>
          <w:bCs/>
          <w:color w:val="000000"/>
          <w:lang w:val="es-ES"/>
        </w:rPr>
        <w:t xml:space="preserve"> Código Reglamentario Municipal de Toluca</w:t>
      </w:r>
      <w:r>
        <w:rPr>
          <w:rFonts w:eastAsia="Calibri" w:cs="Arial"/>
          <w:bCs/>
          <w:color w:val="000000"/>
          <w:lang w:val="es-ES"/>
        </w:rPr>
        <w:t>, establece que el Sujeto Obligado para el cumplimiento de sus funciones contará</w:t>
      </w:r>
      <w:r w:rsidR="00AC3DFB">
        <w:rPr>
          <w:rFonts w:eastAsia="Calibri" w:cs="Arial"/>
          <w:bCs/>
          <w:color w:val="000000"/>
          <w:lang w:val="es-ES"/>
        </w:rPr>
        <w:t xml:space="preserve"> con la</w:t>
      </w:r>
      <w:r w:rsidR="002A6DA9">
        <w:rPr>
          <w:rFonts w:eastAsia="Calibri" w:cs="Arial"/>
          <w:bCs/>
          <w:color w:val="000000"/>
          <w:lang w:val="es-ES"/>
        </w:rPr>
        <w:t xml:space="preserve"> </w:t>
      </w:r>
      <w:r w:rsidRPr="002A6DA9" w:rsidR="002A6DA9">
        <w:rPr>
          <w:rFonts w:eastAsia="Calibri" w:cs="Arial"/>
          <w:bCs/>
          <w:color w:val="000000"/>
          <w:lang w:val="es-ES"/>
        </w:rPr>
        <w:t>Dirección General de Administración</w:t>
      </w:r>
      <w:r w:rsidR="002A6DA9">
        <w:rPr>
          <w:rFonts w:eastAsia="Calibri" w:cs="Arial"/>
          <w:bCs/>
          <w:color w:val="000000"/>
          <w:lang w:val="es-ES"/>
        </w:rPr>
        <w:t>, quien se encargará de autorizar la elaboración y distribución oportuna de la nómina al personal que labora</w:t>
      </w:r>
      <w:r w:rsidR="003A66BB">
        <w:rPr>
          <w:rFonts w:eastAsia="Calibri" w:cs="Arial"/>
          <w:bCs/>
          <w:color w:val="000000"/>
          <w:lang w:val="es-ES"/>
        </w:rPr>
        <w:t>ba</w:t>
      </w:r>
      <w:r w:rsidR="002A6DA9">
        <w:rPr>
          <w:rFonts w:eastAsia="Calibri" w:cs="Arial"/>
          <w:bCs/>
          <w:color w:val="000000"/>
          <w:lang w:val="es-ES"/>
        </w:rPr>
        <w:t xml:space="preserve"> en el Ayuntamiento. </w:t>
      </w:r>
    </w:p>
    <w:p w:rsidRPr="002A6DA9" w:rsidR="002A6DA9" w:rsidP="00F82CF6" w:rsidRDefault="002A6DA9" w14:paraId="691F846F" w14:textId="77777777">
      <w:pPr>
        <w:spacing w:after="0" w:line="360" w:lineRule="auto"/>
        <w:contextualSpacing/>
        <w:rPr>
          <w:rFonts w:eastAsia="Calibri" w:cs="Arial"/>
          <w:bCs/>
          <w:color w:val="000000"/>
          <w:lang w:val="es-ES"/>
        </w:rPr>
      </w:pPr>
    </w:p>
    <w:p w:rsidR="002C307B" w:rsidP="00F82CF6" w:rsidRDefault="002C307B" w14:paraId="7FC9D623" w14:textId="50959750">
      <w:pPr>
        <w:autoSpaceDE w:val="0"/>
        <w:autoSpaceDN w:val="0"/>
        <w:adjustRightInd w:val="0"/>
        <w:spacing w:after="0" w:line="360" w:lineRule="auto"/>
        <w:contextualSpacing/>
        <w:rPr>
          <w:rFonts w:eastAsia="Calibri" w:cs="Tahoma"/>
          <w:color w:val="000000"/>
          <w:szCs w:val="24"/>
          <w:lang w:eastAsia="es-MX"/>
        </w:rPr>
      </w:pPr>
      <w:r w:rsidRPr="00F8584E">
        <w:rPr>
          <w:rFonts w:eastAsia="Calibri" w:cs="Tahoma"/>
          <w:color w:val="000000"/>
          <w:szCs w:val="24"/>
          <w:lang w:eastAsia="es-MX"/>
        </w:rPr>
        <w:t xml:space="preserve">Conforme a lo anterior, se colige que el Ente Recurrido, gestionó la solicitud de información, al área con atribuciones para conocer de lo peticionado, a saber, la </w:t>
      </w:r>
      <w:r w:rsidR="002A6DA9">
        <w:rPr>
          <w:rFonts w:eastAsia="Batang" w:cs="Tahoma"/>
          <w:bCs/>
          <w:color w:val="auto"/>
          <w:lang w:eastAsia="es-ES"/>
        </w:rPr>
        <w:t>D</w:t>
      </w:r>
      <w:r>
        <w:rPr>
          <w:rFonts w:eastAsia="Batang" w:cs="Tahoma"/>
          <w:bCs/>
          <w:color w:val="auto"/>
          <w:lang w:eastAsia="es-ES"/>
        </w:rPr>
        <w:t>irección</w:t>
      </w:r>
      <w:r w:rsidR="002A6DA9">
        <w:rPr>
          <w:rFonts w:eastAsia="Batang" w:cs="Tahoma"/>
          <w:bCs/>
          <w:color w:val="auto"/>
          <w:lang w:eastAsia="es-ES"/>
        </w:rPr>
        <w:t xml:space="preserve"> General</w:t>
      </w:r>
      <w:r>
        <w:rPr>
          <w:rFonts w:eastAsia="Batang" w:cs="Tahoma"/>
          <w:bCs/>
          <w:color w:val="auto"/>
          <w:lang w:eastAsia="es-ES"/>
        </w:rPr>
        <w:t xml:space="preserve"> de Administración</w:t>
      </w:r>
      <w:r w:rsidR="003A66BB">
        <w:rPr>
          <w:rFonts w:eastAsia="Batang" w:cs="Tahoma"/>
          <w:bCs/>
          <w:color w:val="auto"/>
          <w:lang w:eastAsia="es-ES"/>
        </w:rPr>
        <w:t>,</w:t>
      </w:r>
      <w:r>
        <w:rPr>
          <w:rFonts w:eastAsia="Batang" w:cs="Tahoma"/>
          <w:bCs/>
          <w:color w:val="auto"/>
          <w:lang w:eastAsia="es-ES"/>
        </w:rPr>
        <w:t xml:space="preserve"> </w:t>
      </w:r>
      <w:r w:rsidR="003A66BB">
        <w:rPr>
          <w:rFonts w:eastAsia="Calibri" w:cs="Tahoma"/>
          <w:color w:val="000000"/>
          <w:szCs w:val="24"/>
          <w:lang w:eastAsia="es-MX"/>
        </w:rPr>
        <w:t>al</w:t>
      </w:r>
      <w:r w:rsidRPr="00F8584E">
        <w:rPr>
          <w:rFonts w:eastAsia="Calibri" w:cs="Tahoma"/>
          <w:color w:val="000000"/>
          <w:szCs w:val="24"/>
          <w:lang w:eastAsia="es-MX"/>
        </w:rPr>
        <w:t xml:space="preserve"> ver todas las cuestiones relacionadas con</w:t>
      </w:r>
      <w:r w:rsidR="002A6DA9">
        <w:rPr>
          <w:rFonts w:eastAsia="Calibri" w:cs="Tahoma"/>
          <w:color w:val="000000"/>
          <w:szCs w:val="24"/>
          <w:lang w:eastAsia="es-MX"/>
        </w:rPr>
        <w:t xml:space="preserve"> la elaboración y distribución de nómina</w:t>
      </w:r>
      <w:r w:rsidRPr="00F8584E">
        <w:rPr>
          <w:rFonts w:eastAsia="Calibri" w:cs="Tahoma"/>
          <w:color w:val="000000"/>
          <w:szCs w:val="24"/>
          <w:lang w:eastAsia="es-MX"/>
        </w:rPr>
        <w:t>, por lo que, se advierte que cumplió con el procedimiento de búsqueda establecido en el artículo 162 de la Ley de Transparencia y Acceso a la Información Pública del Estado de México y Municipios.</w:t>
      </w:r>
    </w:p>
    <w:p w:rsidRPr="00F8584E" w:rsidR="00031646" w:rsidP="00F82CF6" w:rsidRDefault="00031646" w14:paraId="15DABAD2" w14:textId="77777777">
      <w:pPr>
        <w:autoSpaceDE w:val="0"/>
        <w:autoSpaceDN w:val="0"/>
        <w:adjustRightInd w:val="0"/>
        <w:spacing w:after="0" w:line="360" w:lineRule="auto"/>
        <w:contextualSpacing/>
        <w:rPr>
          <w:rFonts w:eastAsia="Calibri" w:cs="Tahoma"/>
          <w:color w:val="000000"/>
          <w:szCs w:val="24"/>
          <w:lang w:eastAsia="es-MX"/>
        </w:rPr>
      </w:pPr>
    </w:p>
    <w:p w:rsidR="003A66BB" w:rsidP="00F82CF6" w:rsidRDefault="004C4A7A" w14:paraId="05581443" w14:textId="311A1DA7">
      <w:pPr>
        <w:widowControl w:val="0"/>
        <w:tabs>
          <w:tab w:val="center" w:pos="4522"/>
        </w:tabs>
        <w:spacing w:after="0" w:line="360" w:lineRule="auto"/>
        <w:contextualSpacing/>
        <w:rPr>
          <w:rFonts w:cs="Tahoma"/>
          <w:bCs/>
          <w:lang w:val="es-ES"/>
        </w:rPr>
      </w:pPr>
      <w:r>
        <w:rPr>
          <w:rFonts w:cs="Tahoma"/>
          <w:bCs/>
          <w:iCs/>
          <w:lang w:val="es-ES"/>
        </w:rPr>
        <w:t xml:space="preserve">En ese contexto, </w:t>
      </w:r>
      <w:r w:rsidR="002A6DA9">
        <w:rPr>
          <w:rFonts w:cs="Tahoma"/>
          <w:bCs/>
          <w:iCs/>
          <w:lang w:val="es-ES"/>
        </w:rPr>
        <w:t>dicha unidad administrativa</w:t>
      </w:r>
      <w:r>
        <w:rPr>
          <w:rFonts w:cs="Tahoma"/>
          <w:bCs/>
          <w:iCs/>
          <w:lang w:val="es-ES"/>
        </w:rPr>
        <w:t xml:space="preserve"> </w:t>
      </w:r>
      <w:r w:rsidR="003A66BB">
        <w:rPr>
          <w:rFonts w:cs="Tahoma"/>
          <w:bCs/>
          <w:iCs/>
          <w:lang w:val="es-ES"/>
        </w:rPr>
        <w:t>precisó que la información</w:t>
      </w:r>
      <w:r>
        <w:rPr>
          <w:rFonts w:cs="Tahoma"/>
          <w:bCs/>
          <w:iCs/>
          <w:lang w:val="es-ES"/>
        </w:rPr>
        <w:t xml:space="preserve"> </w:t>
      </w:r>
      <w:r w:rsidR="003A66BB">
        <w:rPr>
          <w:rFonts w:cs="Tahoma"/>
          <w:bCs/>
          <w:iCs/>
          <w:lang w:val="es-ES"/>
        </w:rPr>
        <w:t xml:space="preserve">se localizaba </w:t>
      </w:r>
      <w:hyperlink w:history="1" r:id="rId13">
        <w:r w:rsidRPr="004C4A7A">
          <w:rPr>
            <w:rStyle w:val="Hipervnculo"/>
            <w:rFonts w:eastAsia="Times New Roman" w:cs="Tahoma"/>
            <w:u w:val="none"/>
            <w:lang w:eastAsia="es-ES"/>
          </w:rPr>
          <w:t>https://www.ipomex.org.mx/ipo3/lgt/indice/TOLUCA/art_92_viii.web</w:t>
        </w:r>
      </w:hyperlink>
      <w:r w:rsidRPr="004C4A7A">
        <w:rPr>
          <w:rFonts w:cs="Tahoma"/>
          <w:bCs/>
          <w:lang w:val="es-ES"/>
        </w:rPr>
        <w:t>,</w:t>
      </w:r>
      <w:r>
        <w:rPr>
          <w:rFonts w:cs="Tahoma"/>
          <w:bCs/>
          <w:lang w:val="es-ES"/>
        </w:rPr>
        <w:t xml:space="preserve"> </w:t>
      </w:r>
      <w:r w:rsidR="003A66BB">
        <w:rPr>
          <w:rFonts w:cs="Tahoma"/>
          <w:bCs/>
          <w:lang w:val="es-ES"/>
        </w:rPr>
        <w:t>en el ejercicio fiscal dos mil veintiuno; además, precisó que tenía que seleccionar el apartado de Descargar para obtener un documento Excel; sobre el tema, este Instituto realizó dicho procedimiento, del cual se obtiene una relación con dieciocho mil, novecientos treinta y tres registros de servidores públicos, se muestra un extracto a continuación:</w:t>
      </w:r>
    </w:p>
    <w:p w:rsidR="003A66BB" w:rsidP="00F82CF6" w:rsidRDefault="003A66BB" w14:paraId="76F585C5" w14:textId="77777777">
      <w:pPr>
        <w:widowControl w:val="0"/>
        <w:tabs>
          <w:tab w:val="center" w:pos="4522"/>
        </w:tabs>
        <w:spacing w:after="0" w:line="360" w:lineRule="auto"/>
        <w:contextualSpacing/>
        <w:rPr>
          <w:rFonts w:cs="Tahoma"/>
          <w:bCs/>
          <w:lang w:val="es-ES"/>
        </w:rPr>
      </w:pPr>
    </w:p>
    <w:p w:rsidR="00C97996" w:rsidP="00F82CF6" w:rsidRDefault="00F82CF6" w14:paraId="514CD3F4" w14:textId="3CA862D1">
      <w:pPr>
        <w:widowControl w:val="0"/>
        <w:tabs>
          <w:tab w:val="center" w:pos="4522"/>
        </w:tabs>
        <w:spacing w:after="0" w:line="360" w:lineRule="auto"/>
        <w:contextualSpacing/>
        <w:jc w:val="center"/>
        <w:rPr>
          <w:rFonts w:cs="Tahoma"/>
          <w:bCs/>
          <w:lang w:val="es-ES"/>
        </w:rPr>
      </w:pPr>
      <w:r>
        <w:rPr>
          <w:noProof/>
          <w:lang w:eastAsia="es-MX"/>
        </w:rPr>
        <w:drawing>
          <wp:inline distT="0" distB="0" distL="0" distR="0" wp14:anchorId="22E3C218" wp14:editId="702E8626">
            <wp:extent cx="4929699" cy="2806996"/>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56914" cy="2822493"/>
                    </a:xfrm>
                    <a:prstGeom prst="rect">
                      <a:avLst/>
                    </a:prstGeom>
                  </pic:spPr>
                </pic:pic>
              </a:graphicData>
            </a:graphic>
          </wp:inline>
        </w:drawing>
      </w:r>
    </w:p>
    <w:p w:rsidR="00F82CF6" w:rsidP="00F82CF6" w:rsidRDefault="00F82CF6" w14:paraId="0E160B1B" w14:textId="2F2DFF01">
      <w:pPr>
        <w:widowControl w:val="0"/>
        <w:tabs>
          <w:tab w:val="center" w:pos="4522"/>
        </w:tabs>
        <w:spacing w:after="0" w:line="360" w:lineRule="auto"/>
        <w:contextualSpacing/>
        <w:rPr>
          <w:rFonts w:cs="Tahoma"/>
          <w:bCs/>
          <w:lang w:val="es-ES"/>
        </w:rPr>
      </w:pPr>
    </w:p>
    <w:p w:rsidR="003B5D0E" w:rsidP="003B5D0E" w:rsidRDefault="003B5D0E" w14:paraId="7B6E2517" w14:textId="0D8BC046">
      <w:pPr>
        <w:widowControl w:val="0"/>
        <w:tabs>
          <w:tab w:val="center" w:pos="4522"/>
        </w:tabs>
        <w:spacing w:after="0" w:line="360" w:lineRule="auto"/>
        <w:contextualSpacing/>
        <w:jc w:val="center"/>
        <w:rPr>
          <w:rFonts w:cs="Tahoma"/>
          <w:bCs/>
          <w:lang w:val="es-ES"/>
        </w:rPr>
      </w:pPr>
      <w:r>
        <w:rPr>
          <w:noProof/>
          <w:lang w:eastAsia="es-MX"/>
        </w:rPr>
        <w:drawing>
          <wp:inline distT="0" distB="0" distL="0" distR="0" wp14:anchorId="455BFADF" wp14:editId="39BE1217">
            <wp:extent cx="5671185" cy="1660525"/>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71185" cy="1660525"/>
                    </a:xfrm>
                    <a:prstGeom prst="rect">
                      <a:avLst/>
                    </a:prstGeom>
                  </pic:spPr>
                </pic:pic>
              </a:graphicData>
            </a:graphic>
          </wp:inline>
        </w:drawing>
      </w:r>
    </w:p>
    <w:p w:rsidR="003B5D0E" w:rsidP="00F82CF6" w:rsidRDefault="003B5D0E" w14:paraId="7274F1D8" w14:textId="43DD42A3">
      <w:pPr>
        <w:widowControl w:val="0"/>
        <w:tabs>
          <w:tab w:val="center" w:pos="4522"/>
        </w:tabs>
        <w:spacing w:after="0" w:line="360" w:lineRule="auto"/>
        <w:contextualSpacing/>
        <w:rPr>
          <w:rFonts w:cs="Tahoma"/>
          <w:bCs/>
          <w:lang w:val="es-ES"/>
        </w:rPr>
      </w:pPr>
    </w:p>
    <w:p w:rsidR="00031646" w:rsidP="00F82CF6" w:rsidRDefault="00031646" w14:paraId="1A52312C" w14:textId="5E35232C">
      <w:pPr>
        <w:widowControl w:val="0"/>
        <w:tabs>
          <w:tab w:val="center" w:pos="4522"/>
        </w:tabs>
        <w:spacing w:after="0" w:line="360" w:lineRule="auto"/>
        <w:contextualSpacing/>
        <w:rPr>
          <w:rFonts w:cs="Tahoma"/>
          <w:bCs/>
          <w:lang w:val="es-ES"/>
        </w:rPr>
      </w:pPr>
    </w:p>
    <w:p w:rsidR="00031646" w:rsidP="00F82CF6" w:rsidRDefault="00031646" w14:paraId="3793460C" w14:textId="77777777">
      <w:pPr>
        <w:widowControl w:val="0"/>
        <w:tabs>
          <w:tab w:val="center" w:pos="4522"/>
        </w:tabs>
        <w:spacing w:after="0" w:line="360" w:lineRule="auto"/>
        <w:contextualSpacing/>
        <w:rPr>
          <w:rFonts w:cs="Tahoma"/>
          <w:bCs/>
          <w:lang w:val="es-ES"/>
        </w:rPr>
      </w:pPr>
    </w:p>
    <w:p w:rsidR="00C97996" w:rsidP="00F82CF6" w:rsidRDefault="00C97996" w14:paraId="4F45C68F" w14:textId="4BC8D3DF">
      <w:pPr>
        <w:widowControl w:val="0"/>
        <w:tabs>
          <w:tab w:val="center" w:pos="4522"/>
        </w:tabs>
        <w:spacing w:after="0" w:line="360" w:lineRule="auto"/>
        <w:contextualSpacing/>
        <w:rPr>
          <w:rFonts w:cs="Tahoma"/>
          <w:bCs/>
          <w:lang w:val="es-ES"/>
        </w:rPr>
      </w:pPr>
      <w:r w:rsidRPr="00C97996">
        <w:rPr>
          <w:rFonts w:cs="Tahoma"/>
          <w:bCs/>
          <w:lang w:val="es-ES"/>
        </w:rPr>
        <w:t xml:space="preserve">Como se logra observar, el Sujeto Obligado </w:t>
      </w:r>
      <w:r>
        <w:rPr>
          <w:rFonts w:cs="Tahoma"/>
          <w:bCs/>
          <w:lang w:val="es-ES"/>
        </w:rPr>
        <w:t xml:space="preserve">precisó el procedimiento para acceder a los dieciocho mil novecientos treinta y tres registros de las remuneraciones de los servidores públicos, sin embargo, </w:t>
      </w:r>
      <w:r w:rsidRPr="00C97996">
        <w:rPr>
          <w:rFonts w:cs="Tahoma"/>
          <w:bCs/>
          <w:lang w:val="es-ES"/>
        </w:rPr>
        <w:t xml:space="preserve">omitió señalar </w:t>
      </w:r>
      <w:r>
        <w:rPr>
          <w:rFonts w:cs="Tahoma"/>
          <w:bCs/>
          <w:lang w:val="es-ES"/>
        </w:rPr>
        <w:t xml:space="preserve">el número de registro donde se localizaba la información del servidor público requerido, es decir, si bien señaló la forma de acceder a la información de las remuneraciones de los servidores públicos, no indicó la forma de acceder a lo requerido, </w:t>
      </w:r>
      <w:r w:rsidRPr="00C97996">
        <w:rPr>
          <w:rFonts w:cs="Tahoma"/>
          <w:bCs/>
          <w:lang w:val="es-ES"/>
        </w:rPr>
        <w:t xml:space="preserve">esto es, </w:t>
      </w:r>
      <w:r>
        <w:rPr>
          <w:rFonts w:cs="Tahoma"/>
          <w:bCs/>
          <w:lang w:val="es-ES"/>
        </w:rPr>
        <w:t>si bien señaló la fuente</w:t>
      </w:r>
      <w:r w:rsidRPr="00C97996">
        <w:rPr>
          <w:rFonts w:cs="Tahoma"/>
          <w:bCs/>
          <w:lang w:val="es-ES"/>
        </w:rPr>
        <w:t>,</w:t>
      </w:r>
      <w:r>
        <w:rPr>
          <w:rFonts w:cs="Tahoma"/>
          <w:bCs/>
          <w:lang w:val="es-ES"/>
        </w:rPr>
        <w:t xml:space="preserve"> omitió indicar</w:t>
      </w:r>
      <w:r w:rsidRPr="00C97996">
        <w:rPr>
          <w:rFonts w:cs="Tahoma"/>
          <w:bCs/>
          <w:lang w:val="es-ES"/>
        </w:rPr>
        <w:t xml:space="preserve"> la forma y el lugar específico</w:t>
      </w:r>
      <w:r>
        <w:rPr>
          <w:rFonts w:cs="Tahoma"/>
          <w:bCs/>
          <w:lang w:val="es-ES"/>
        </w:rPr>
        <w:t xml:space="preserve"> </w:t>
      </w:r>
      <w:r w:rsidRPr="00C97996">
        <w:rPr>
          <w:rFonts w:cs="Tahoma"/>
          <w:bCs/>
          <w:lang w:val="es-ES"/>
        </w:rPr>
        <w:t xml:space="preserve">para poder obtener </w:t>
      </w:r>
      <w:r>
        <w:rPr>
          <w:rFonts w:cs="Tahoma"/>
          <w:bCs/>
          <w:lang w:val="es-ES"/>
        </w:rPr>
        <w:t xml:space="preserve">las percepciones solicitadas </w:t>
      </w:r>
      <w:r w:rsidRPr="00C97996">
        <w:rPr>
          <w:rFonts w:cs="Tahoma"/>
          <w:bCs/>
          <w:lang w:val="es-ES"/>
        </w:rPr>
        <w:t>y, por lo tanto, incumplió con lo establecido en</w:t>
      </w:r>
      <w:r>
        <w:rPr>
          <w:rFonts w:cs="Tahoma"/>
          <w:bCs/>
          <w:lang w:val="es-ES"/>
        </w:rPr>
        <w:t xml:space="preserve"> </w:t>
      </w:r>
      <w:r w:rsidRPr="00C97996">
        <w:rPr>
          <w:rFonts w:cs="Tahoma"/>
          <w:bCs/>
          <w:lang w:val="es-ES"/>
        </w:rPr>
        <w:t>el artículo 161 de la Ley de Transparencia y Acceso a la Información Pública del Estado de</w:t>
      </w:r>
      <w:r>
        <w:rPr>
          <w:rFonts w:cs="Tahoma"/>
          <w:bCs/>
          <w:lang w:val="es-ES"/>
        </w:rPr>
        <w:t xml:space="preserve"> México y Municipios.</w:t>
      </w:r>
    </w:p>
    <w:p w:rsidR="00C97996" w:rsidP="00F82CF6" w:rsidRDefault="00C97996" w14:paraId="00410E0B" w14:textId="77777777">
      <w:pPr>
        <w:widowControl w:val="0"/>
        <w:tabs>
          <w:tab w:val="center" w:pos="4522"/>
        </w:tabs>
        <w:spacing w:after="0" w:line="360" w:lineRule="auto"/>
        <w:contextualSpacing/>
        <w:rPr>
          <w:rFonts w:cs="Tahoma"/>
          <w:bCs/>
          <w:lang w:val="es-ES"/>
        </w:rPr>
      </w:pPr>
    </w:p>
    <w:p w:rsidR="00380B24" w:rsidP="00F82CF6" w:rsidRDefault="00C97996" w14:paraId="1F87DF89" w14:textId="7EC7D5DF">
      <w:pPr>
        <w:spacing w:after="0" w:line="360" w:lineRule="auto"/>
        <w:contextualSpacing/>
        <w:rPr>
          <w:rFonts w:cs="Tahoma"/>
          <w:bCs/>
        </w:rPr>
      </w:pPr>
      <w:r>
        <w:rPr>
          <w:rFonts w:cs="Tahoma"/>
          <w:bCs/>
          <w:lang w:val="es-ES"/>
        </w:rPr>
        <w:t xml:space="preserve">No obstante, durante la sustanciación del Medio de Impugnación, la Dirección General de Administración, aclaró su actuar y </w:t>
      </w:r>
      <w:r w:rsidR="00380B24">
        <w:rPr>
          <w:rFonts w:cs="Tahoma"/>
          <w:bCs/>
        </w:rPr>
        <w:t>aclaró, que la información respecto a las percepciones económicas que recibió el servidor público solicitado, se localizaban en el siguiente procedimiento:</w:t>
      </w:r>
    </w:p>
    <w:p w:rsidR="00380B24" w:rsidP="00F82CF6" w:rsidRDefault="00380B24" w14:paraId="3A9754E0" w14:textId="77777777">
      <w:pPr>
        <w:spacing w:after="0" w:line="360" w:lineRule="auto"/>
        <w:contextualSpacing/>
        <w:rPr>
          <w:rFonts w:cs="Tahoma"/>
          <w:bCs/>
        </w:rPr>
      </w:pPr>
    </w:p>
    <w:p w:rsidRPr="00031646" w:rsidR="00380B24" w:rsidP="00F82CF6" w:rsidRDefault="00380B24" w14:paraId="1104BAF5" w14:textId="033DCD34">
      <w:pPr>
        <w:pStyle w:val="Prrafodelista"/>
        <w:numPr>
          <w:ilvl w:val="0"/>
          <w:numId w:val="12"/>
        </w:numPr>
        <w:spacing w:after="0" w:line="360" w:lineRule="auto"/>
        <w:rPr>
          <w:rFonts w:cs="Tahoma"/>
          <w:bCs/>
        </w:rPr>
      </w:pPr>
      <w:r>
        <w:rPr>
          <w:rFonts w:cs="Tahoma"/>
          <w:bCs/>
        </w:rPr>
        <w:t xml:space="preserve">Ingresar al Portal de Información Pública de Oficio Mexiquense, en la liga </w:t>
      </w:r>
      <w:hyperlink w:history="1" r:id="rId16">
        <w:r w:rsidRPr="004C4A7A">
          <w:rPr>
            <w:rStyle w:val="Hipervnculo"/>
            <w:rFonts w:eastAsia="Times New Roman" w:cs="Tahoma"/>
            <w:u w:val="none"/>
            <w:lang w:eastAsia="es-ES"/>
          </w:rPr>
          <w:t>https://www.ipomex.org.mx/ipo3/lgt/indice/TOLUCA/art_92_viii.web</w:t>
        </w:r>
      </w:hyperlink>
      <w:r>
        <w:rPr>
          <w:rFonts w:cs="Tahoma"/>
          <w:bCs/>
          <w:lang w:val="es-ES"/>
        </w:rPr>
        <w:t>;</w:t>
      </w:r>
    </w:p>
    <w:p w:rsidRPr="00380B24" w:rsidR="00031646" w:rsidP="00031646" w:rsidRDefault="00031646" w14:paraId="74F5FF3B" w14:textId="77777777">
      <w:pPr>
        <w:pStyle w:val="Prrafodelista"/>
        <w:spacing w:after="0" w:line="360" w:lineRule="auto"/>
        <w:rPr>
          <w:rFonts w:cs="Tahoma"/>
          <w:bCs/>
        </w:rPr>
      </w:pPr>
    </w:p>
    <w:p w:rsidR="00380B24" w:rsidP="00F82CF6" w:rsidRDefault="00380B24" w14:paraId="112A16D2" w14:textId="1C4D753F">
      <w:pPr>
        <w:pStyle w:val="Prrafodelista"/>
        <w:numPr>
          <w:ilvl w:val="0"/>
          <w:numId w:val="12"/>
        </w:numPr>
        <w:spacing w:after="0" w:line="360" w:lineRule="auto"/>
        <w:rPr>
          <w:rFonts w:cs="Tahoma"/>
          <w:bCs/>
        </w:rPr>
      </w:pPr>
      <w:r>
        <w:rPr>
          <w:rFonts w:cs="Tahoma"/>
          <w:bCs/>
        </w:rPr>
        <w:t>Acceder al ejercicio fiscal dos mil veintiuno;</w:t>
      </w:r>
    </w:p>
    <w:p w:rsidRPr="00031646" w:rsidR="00031646" w:rsidP="00031646" w:rsidRDefault="00031646" w14:paraId="7075DE05" w14:textId="77777777">
      <w:pPr>
        <w:pStyle w:val="Prrafodelista"/>
        <w:rPr>
          <w:rFonts w:cs="Tahoma"/>
          <w:bCs/>
        </w:rPr>
      </w:pPr>
    </w:p>
    <w:p w:rsidR="00380B24" w:rsidP="00F82CF6" w:rsidRDefault="00380B24" w14:paraId="2942EA42" w14:textId="1BC8BC5A">
      <w:pPr>
        <w:pStyle w:val="Prrafodelista"/>
        <w:numPr>
          <w:ilvl w:val="0"/>
          <w:numId w:val="12"/>
        </w:numPr>
        <w:spacing w:after="0" w:line="360" w:lineRule="auto"/>
        <w:rPr>
          <w:rFonts w:cs="Tahoma"/>
          <w:bCs/>
        </w:rPr>
      </w:pPr>
      <w:r>
        <w:rPr>
          <w:rFonts w:cs="Tahoma"/>
          <w:bCs/>
        </w:rPr>
        <w:t>Escoger a la Dirección General de Seguridad y Protección, y</w:t>
      </w:r>
    </w:p>
    <w:p w:rsidRPr="00031646" w:rsidR="00031646" w:rsidP="00031646" w:rsidRDefault="00031646" w14:paraId="1DDF3881" w14:textId="77777777">
      <w:pPr>
        <w:pStyle w:val="Prrafodelista"/>
        <w:rPr>
          <w:rFonts w:cs="Tahoma"/>
          <w:bCs/>
        </w:rPr>
      </w:pPr>
    </w:p>
    <w:p w:rsidRPr="00380B24" w:rsidR="00380B24" w:rsidP="00F82CF6" w:rsidRDefault="00380B24" w14:paraId="567505AA" w14:textId="127DCA55">
      <w:pPr>
        <w:pStyle w:val="Prrafodelista"/>
        <w:numPr>
          <w:ilvl w:val="0"/>
          <w:numId w:val="12"/>
        </w:numPr>
        <w:spacing w:after="0" w:line="360" w:lineRule="auto"/>
        <w:rPr>
          <w:rFonts w:cs="Tahoma"/>
          <w:bCs/>
        </w:rPr>
      </w:pPr>
      <w:r>
        <w:rPr>
          <w:rFonts w:cs="Tahoma"/>
          <w:bCs/>
        </w:rPr>
        <w:t>Buscar el registro 26.</w:t>
      </w:r>
    </w:p>
    <w:p w:rsidRPr="000E16FD" w:rsidR="00380B24" w:rsidP="00F82CF6" w:rsidRDefault="00380B24" w14:paraId="5A9FE180" w14:textId="662C28FD">
      <w:pPr>
        <w:spacing w:after="0" w:line="360" w:lineRule="auto"/>
        <w:contextualSpacing/>
        <w:jc w:val="center"/>
        <w:rPr>
          <w:rFonts w:cs="Tahoma"/>
          <w:bCs/>
        </w:rPr>
      </w:pPr>
    </w:p>
    <w:p w:rsidR="00380B24" w:rsidP="00F82CF6" w:rsidRDefault="00380B24" w14:paraId="429ADA52" w14:textId="094C8114">
      <w:pPr>
        <w:spacing w:after="0" w:line="360" w:lineRule="auto"/>
        <w:contextualSpacing/>
        <w:rPr>
          <w:rFonts w:cs="Tahoma"/>
          <w:lang w:val="es-ES_tradnl"/>
        </w:rPr>
      </w:pPr>
      <w:r>
        <w:rPr>
          <w:rFonts w:cs="Tahoma"/>
          <w:lang w:val="es-ES_tradnl"/>
        </w:rPr>
        <w:t>En ese orden de ideas, este Instituto realizó el procedimiento referido y logro acceder al registro que contiene las remuneraciones del entonces Director de Seguridad Pública y Protección, Luis Ernesto Velázquez Carpizo, tal como se muestra a continuación:</w:t>
      </w:r>
    </w:p>
    <w:p w:rsidR="00380B24" w:rsidP="00F82CF6" w:rsidRDefault="00380B24" w14:paraId="57008B05" w14:textId="77777777">
      <w:pPr>
        <w:spacing w:after="0" w:line="360" w:lineRule="auto"/>
        <w:contextualSpacing/>
        <w:rPr>
          <w:rFonts w:cs="Tahoma"/>
          <w:lang w:val="es-ES_tradnl"/>
        </w:rPr>
      </w:pPr>
    </w:p>
    <w:p w:rsidR="00380B24" w:rsidP="00F82CF6" w:rsidRDefault="00380B24" w14:paraId="4AE225D8" w14:textId="51DFB639">
      <w:pPr>
        <w:spacing w:after="0" w:line="360" w:lineRule="auto"/>
        <w:contextualSpacing/>
        <w:jc w:val="center"/>
        <w:rPr>
          <w:rFonts w:cs="Tahoma"/>
          <w:lang w:val="es-ES_tradnl"/>
        </w:rPr>
      </w:pPr>
      <w:r w:rsidRPr="00380B24">
        <w:rPr>
          <w:rFonts w:cs="Tahoma"/>
          <w:noProof/>
          <w:lang w:eastAsia="es-MX"/>
        </w:rPr>
        <w:drawing>
          <wp:inline distT="0" distB="0" distL="0" distR="0" wp14:anchorId="0E5E9C8D" wp14:editId="4A77959E">
            <wp:extent cx="3885507" cy="1805305"/>
            <wp:effectExtent l="0" t="0" r="127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6333"/>
                    <a:stretch/>
                  </pic:blipFill>
                  <pic:spPr bwMode="auto">
                    <a:xfrm>
                      <a:off x="0" y="0"/>
                      <a:ext cx="3897772" cy="1811004"/>
                    </a:xfrm>
                    <a:prstGeom prst="rect">
                      <a:avLst/>
                    </a:prstGeom>
                    <a:ln>
                      <a:noFill/>
                    </a:ln>
                    <a:extLst>
                      <a:ext uri="{53640926-AAD7-44D8-BBD7-CCE9431645EC}">
                        <a14:shadowObscured xmlns:a14="http://schemas.microsoft.com/office/drawing/2010/main"/>
                      </a:ext>
                    </a:extLst>
                  </pic:spPr>
                </pic:pic>
              </a:graphicData>
            </a:graphic>
          </wp:inline>
        </w:drawing>
      </w:r>
    </w:p>
    <w:p w:rsidR="00C97996" w:rsidP="00F82CF6" w:rsidRDefault="00C97996" w14:paraId="3A8B4270" w14:textId="4A4B3370">
      <w:pPr>
        <w:widowControl w:val="0"/>
        <w:tabs>
          <w:tab w:val="center" w:pos="4522"/>
        </w:tabs>
        <w:spacing w:after="0" w:line="360" w:lineRule="auto"/>
        <w:contextualSpacing/>
        <w:rPr>
          <w:rFonts w:cs="Tahoma"/>
          <w:bCs/>
          <w:lang w:val="es-ES"/>
        </w:rPr>
      </w:pPr>
    </w:p>
    <w:p w:rsidR="00380B24" w:rsidP="00F82CF6" w:rsidRDefault="00380B24" w14:paraId="004FF0DC" w14:textId="4A35E155">
      <w:pPr>
        <w:widowControl w:val="0"/>
        <w:tabs>
          <w:tab w:val="center" w:pos="4522"/>
        </w:tabs>
        <w:spacing w:after="0" w:line="360" w:lineRule="auto"/>
        <w:contextualSpacing/>
        <w:rPr>
          <w:rFonts w:cs="Tahoma"/>
          <w:bCs/>
          <w:lang w:val="es-ES"/>
        </w:rPr>
      </w:pPr>
      <w:r>
        <w:rPr>
          <w:rFonts w:cs="Tahoma"/>
          <w:bCs/>
          <w:lang w:val="es-ES"/>
        </w:rPr>
        <w:t>Además, al ingresar a sus percepciones</w:t>
      </w:r>
      <w:r w:rsidR="00F14C60">
        <w:rPr>
          <w:rFonts w:cs="Tahoma"/>
          <w:bCs/>
          <w:lang w:val="es-ES"/>
        </w:rPr>
        <w:t xml:space="preserve"> (ver detalles)</w:t>
      </w:r>
      <w:r>
        <w:rPr>
          <w:rFonts w:cs="Tahoma"/>
          <w:bCs/>
          <w:lang w:val="es-ES"/>
        </w:rPr>
        <w:t>, se lo</w:t>
      </w:r>
      <w:r w:rsidR="00F14C60">
        <w:rPr>
          <w:rFonts w:cs="Tahoma"/>
          <w:bCs/>
          <w:lang w:val="es-ES"/>
        </w:rPr>
        <w:t>gró acceder al monto referente al aguinaldo y prima vacacional, tal como se logra observar:</w:t>
      </w:r>
    </w:p>
    <w:p w:rsidR="00F14C60" w:rsidP="00F82CF6" w:rsidRDefault="00F14C60" w14:paraId="7297D23B" w14:textId="77777777">
      <w:pPr>
        <w:widowControl w:val="0"/>
        <w:tabs>
          <w:tab w:val="center" w:pos="4522"/>
        </w:tabs>
        <w:spacing w:after="0" w:line="360" w:lineRule="auto"/>
        <w:contextualSpacing/>
        <w:rPr>
          <w:rFonts w:cs="Tahoma"/>
          <w:bCs/>
          <w:lang w:val="es-ES"/>
        </w:rPr>
      </w:pPr>
    </w:p>
    <w:p w:rsidR="00F14C60" w:rsidP="00F82CF6" w:rsidRDefault="00F14C60" w14:paraId="45691B0B" w14:textId="280E5A44">
      <w:pPr>
        <w:widowControl w:val="0"/>
        <w:tabs>
          <w:tab w:val="center" w:pos="4522"/>
        </w:tabs>
        <w:spacing w:after="0" w:line="360" w:lineRule="auto"/>
        <w:contextualSpacing/>
        <w:jc w:val="center"/>
        <w:rPr>
          <w:rFonts w:cs="Tahoma"/>
          <w:bCs/>
          <w:lang w:val="es-ES"/>
        </w:rPr>
      </w:pPr>
      <w:r w:rsidRPr="00F14C60">
        <w:rPr>
          <w:rFonts w:cs="Tahoma"/>
          <w:bCs/>
          <w:noProof/>
          <w:lang w:eastAsia="es-MX"/>
        </w:rPr>
        <w:drawing>
          <wp:inline distT="0" distB="0" distL="0" distR="0" wp14:anchorId="3DE75447" wp14:editId="635FB181">
            <wp:extent cx="4680000" cy="985698"/>
            <wp:effectExtent l="0" t="0" r="635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80000" cy="985698"/>
                    </a:xfrm>
                    <a:prstGeom prst="rect">
                      <a:avLst/>
                    </a:prstGeom>
                  </pic:spPr>
                </pic:pic>
              </a:graphicData>
            </a:graphic>
          </wp:inline>
        </w:drawing>
      </w:r>
    </w:p>
    <w:p w:rsidR="00D34010" w:rsidP="00F82CF6" w:rsidRDefault="00D34010" w14:paraId="49A9A22B" w14:textId="77777777">
      <w:pPr>
        <w:widowControl w:val="0"/>
        <w:tabs>
          <w:tab w:val="center" w:pos="4522"/>
        </w:tabs>
        <w:spacing w:after="0" w:line="360" w:lineRule="auto"/>
        <w:contextualSpacing/>
        <w:jc w:val="center"/>
        <w:rPr>
          <w:rFonts w:cs="Tahoma"/>
          <w:bCs/>
          <w:lang w:val="es-ES"/>
        </w:rPr>
      </w:pPr>
    </w:p>
    <w:p w:rsidR="00C97996" w:rsidP="00F82CF6" w:rsidRDefault="00F14C60" w14:paraId="42DF2CA6" w14:textId="6656C9DE">
      <w:pPr>
        <w:widowControl w:val="0"/>
        <w:tabs>
          <w:tab w:val="center" w:pos="4522"/>
        </w:tabs>
        <w:spacing w:after="0" w:line="360" w:lineRule="auto"/>
        <w:contextualSpacing/>
        <w:jc w:val="center"/>
        <w:rPr>
          <w:rFonts w:cs="Tahoma"/>
          <w:bCs/>
          <w:lang w:val="es-ES"/>
        </w:rPr>
      </w:pPr>
      <w:r w:rsidRPr="00F14C60">
        <w:rPr>
          <w:rFonts w:cs="Tahoma"/>
          <w:bCs/>
          <w:noProof/>
          <w:lang w:eastAsia="es-MX"/>
        </w:rPr>
        <w:drawing>
          <wp:inline distT="0" distB="0" distL="0" distR="0" wp14:anchorId="2A8B2EBA" wp14:editId="600C9118">
            <wp:extent cx="4680000" cy="1005212"/>
            <wp:effectExtent l="0" t="0" r="635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80000" cy="1005212"/>
                    </a:xfrm>
                    <a:prstGeom prst="rect">
                      <a:avLst/>
                    </a:prstGeom>
                  </pic:spPr>
                </pic:pic>
              </a:graphicData>
            </a:graphic>
          </wp:inline>
        </w:drawing>
      </w:r>
    </w:p>
    <w:p w:rsidR="00C97996" w:rsidP="00F82CF6" w:rsidRDefault="00C97996" w14:paraId="06C0A7D6" w14:textId="77777777">
      <w:pPr>
        <w:widowControl w:val="0"/>
        <w:tabs>
          <w:tab w:val="center" w:pos="4522"/>
        </w:tabs>
        <w:spacing w:after="0" w:line="360" w:lineRule="auto"/>
        <w:contextualSpacing/>
        <w:rPr>
          <w:rFonts w:eastAsia="Calibri"/>
          <w:bCs/>
          <w:lang w:val="es-ES_tradnl"/>
        </w:rPr>
      </w:pPr>
    </w:p>
    <w:p w:rsidR="00C85FBE" w:rsidP="003B5D0E" w:rsidRDefault="00CD40E1" w14:paraId="1152F16F" w14:textId="4638111C">
      <w:pPr>
        <w:spacing w:after="0" w:line="360" w:lineRule="auto"/>
        <w:contextualSpacing/>
        <w:rPr>
          <w:rFonts w:eastAsia="Calibri"/>
          <w:bCs/>
          <w:lang w:val="es-ES_tradnl"/>
        </w:rPr>
      </w:pPr>
      <w:r>
        <w:rPr>
          <w:rFonts w:eastAsia="Calibri"/>
          <w:bCs/>
          <w:lang w:val="es-ES_tradnl"/>
        </w:rPr>
        <w:t>Conforme a lo anterior, se logra vislumbrar que el Sujeto Obligado</w:t>
      </w:r>
      <w:r w:rsidR="00771FF1">
        <w:rPr>
          <w:rFonts w:eastAsia="Calibri"/>
          <w:bCs/>
          <w:lang w:val="es-ES_tradnl"/>
        </w:rPr>
        <w:t xml:space="preserve"> </w:t>
      </w:r>
      <w:r w:rsidR="003B5D0E">
        <w:rPr>
          <w:rFonts w:eastAsia="Calibri"/>
          <w:bCs/>
          <w:lang w:val="es-ES_tradnl"/>
        </w:rPr>
        <w:t>durante la sustanciación del Medio de Impugnación, señaló en términos, la fuente, el lugar y la forma específica para acceder a la información solicitada, a saber, al sueldo bruto y neto, así como aguinaldo y prima vacacional que recibió el entonces Director General de Seguridad y Protección.</w:t>
      </w:r>
    </w:p>
    <w:p w:rsidR="003B5D0E" w:rsidP="003B5D0E" w:rsidRDefault="003B5D0E" w14:paraId="2512AB60" w14:textId="27F305E4">
      <w:pPr>
        <w:spacing w:after="0" w:line="360" w:lineRule="auto"/>
        <w:contextualSpacing/>
        <w:rPr>
          <w:rFonts w:eastAsia="Calibri"/>
          <w:bCs/>
          <w:lang w:val="es-ES_tradnl"/>
        </w:rPr>
      </w:pPr>
    </w:p>
    <w:p w:rsidR="00031646" w:rsidP="003B5D0E" w:rsidRDefault="00031646" w14:paraId="3135B2E7" w14:textId="741D0ECC">
      <w:pPr>
        <w:spacing w:after="0" w:line="360" w:lineRule="auto"/>
        <w:contextualSpacing/>
        <w:rPr>
          <w:rFonts w:eastAsia="Calibri"/>
          <w:bCs/>
          <w:lang w:val="es-ES_tradnl"/>
        </w:rPr>
      </w:pPr>
    </w:p>
    <w:p w:rsidR="00031646" w:rsidP="003B5D0E" w:rsidRDefault="00031646" w14:paraId="19CDA1DF" w14:textId="77777777">
      <w:pPr>
        <w:spacing w:after="0" w:line="360" w:lineRule="auto"/>
        <w:contextualSpacing/>
        <w:rPr>
          <w:rFonts w:eastAsia="Calibri"/>
          <w:bCs/>
          <w:lang w:val="es-ES_tradnl"/>
        </w:rPr>
      </w:pPr>
    </w:p>
    <w:p w:rsidR="003B5D0E" w:rsidP="003B5D0E" w:rsidRDefault="003B5D0E" w14:paraId="08AEC89D" w14:textId="0802E6A2">
      <w:pPr>
        <w:spacing w:after="0" w:line="360" w:lineRule="auto"/>
        <w:rPr>
          <w:rFonts w:eastAsia="Calibri" w:cs="Times New Roman"/>
          <w:b/>
          <w:color w:val="000000"/>
        </w:rPr>
      </w:pPr>
      <w:r>
        <w:rPr>
          <w:rFonts w:eastAsia="Times New Roman" w:cs="Tahoma"/>
          <w:color w:val="auto"/>
          <w:szCs w:val="24"/>
          <w:lang w:val="es-ES" w:eastAsia="es-ES"/>
        </w:rPr>
        <w:t>Así, se colige que, durante el Ayuntamiento de Toluca modificó su actuar y en cumplimiento al artículo 161 de la Ley de la materia, indicó el procedimiento para acceder a la información solicitada,</w:t>
      </w:r>
      <w:r>
        <w:rPr>
          <w:rFonts w:eastAsia="Calibri" w:cs="Times New Roman"/>
          <w:b/>
          <w:color w:val="000000"/>
        </w:rPr>
        <w:t xml:space="preserve"> por lo que,</w:t>
      </w:r>
      <w:r>
        <w:rPr>
          <w:rFonts w:eastAsia="Calibri" w:cs="Times New Roman"/>
          <w:b/>
          <w:color w:val="000000"/>
          <w:lang w:val="x-none"/>
        </w:rPr>
        <w:t xml:space="preserve"> se considera que la impugnación que se dirime ha quedado sin materia.</w:t>
      </w:r>
    </w:p>
    <w:p w:rsidR="003B5D0E" w:rsidP="003B5D0E" w:rsidRDefault="003B5D0E" w14:paraId="6C2C41EE" w14:textId="77777777">
      <w:pPr>
        <w:spacing w:after="0" w:line="360" w:lineRule="auto"/>
        <w:contextualSpacing/>
        <w:rPr>
          <w:rFonts w:eastAsia="Calibri"/>
          <w:bCs/>
          <w:lang w:val="es-ES_tradnl"/>
        </w:rPr>
      </w:pPr>
    </w:p>
    <w:p w:rsidR="003B5D0E" w:rsidP="003B5D0E" w:rsidRDefault="003B5D0E" w14:paraId="4B073428" w14:textId="77777777">
      <w:pPr>
        <w:spacing w:after="0" w:line="360" w:lineRule="auto"/>
        <w:rPr>
          <w:rFonts w:eastAsia="Calibri" w:cs="Tahoma"/>
          <w:b/>
          <w:color w:val="000000"/>
        </w:rPr>
      </w:pPr>
      <w:r>
        <w:rPr>
          <w:rFonts w:eastAsia="Calibri" w:cs="Tahoma"/>
          <w:b/>
          <w:color w:val="000000"/>
        </w:rPr>
        <w:t xml:space="preserve">SEXTO. Decisión. </w:t>
      </w:r>
    </w:p>
    <w:p w:rsidR="003B5D0E" w:rsidP="003B5D0E" w:rsidRDefault="003B5D0E" w14:paraId="6E68B16E" w14:textId="77777777">
      <w:pPr>
        <w:spacing w:line="360" w:lineRule="auto"/>
        <w:contextualSpacing/>
        <w:rPr>
          <w:rFonts w:eastAsia="Calibri" w:cs="Tahoma"/>
          <w:b/>
          <w:color w:val="000000"/>
          <w:highlight w:val="yellow"/>
        </w:rPr>
      </w:pPr>
    </w:p>
    <w:p w:rsidR="003B5D0E" w:rsidP="003B5D0E" w:rsidRDefault="003B5D0E" w14:paraId="416BAD11" w14:textId="77777777">
      <w:pPr>
        <w:spacing w:after="0" w:line="360" w:lineRule="auto"/>
        <w:rPr>
          <w:rFonts w:eastAsia="Calibri" w:cs="Tahoma"/>
          <w:bCs/>
          <w:color w:val="000000"/>
          <w:lang w:val="es-ES"/>
        </w:rPr>
      </w:pPr>
      <w:r>
        <w:rPr>
          <w:rFonts w:eastAsia="Calibri" w:cs="Tahoma"/>
          <w:bCs/>
          <w:color w:val="000000"/>
          <w:lang w:val="es-ES"/>
        </w:rPr>
        <w:t xml:space="preserve">Con fundamento en lo dispuesto en el artículo 186, fracción I de la Ley de Transparencia y Acceso a la Información Pública del Estado de México y Municipios, se considera procedente </w:t>
      </w:r>
      <w:r>
        <w:rPr>
          <w:rFonts w:eastAsia="Calibri" w:cs="Tahoma"/>
          <w:b/>
          <w:bCs/>
          <w:color w:val="000000"/>
          <w:lang w:val="es-ES"/>
        </w:rPr>
        <w:t xml:space="preserve">SOBRESEER </w:t>
      </w:r>
      <w:r>
        <w:rPr>
          <w:rFonts w:eastAsia="Calibri" w:cs="Tahoma"/>
          <w:bCs/>
          <w:color w:val="000000"/>
          <w:lang w:val="es-ES"/>
        </w:rPr>
        <w:t>el Recurso de Revisión, en virtud de que se actualiza la hipótesis normativa prevista en la fracción III, del artículo 192, del citado ordenamiento legal.</w:t>
      </w:r>
    </w:p>
    <w:p w:rsidR="003B5D0E" w:rsidP="003B5D0E" w:rsidRDefault="003B5D0E" w14:paraId="5ADB326D" w14:textId="77777777">
      <w:pPr>
        <w:spacing w:after="0" w:line="360" w:lineRule="auto"/>
        <w:rPr>
          <w:rFonts w:eastAsia="Times New Roman" w:cs="Tahoma"/>
          <w:color w:val="auto"/>
          <w:lang w:eastAsia="es-ES"/>
        </w:rPr>
      </w:pPr>
    </w:p>
    <w:p w:rsidR="003B5D0E" w:rsidP="003B5D0E" w:rsidRDefault="003B5D0E" w14:paraId="262A63DB" w14:textId="77777777">
      <w:pPr>
        <w:autoSpaceDE w:val="0"/>
        <w:autoSpaceDN w:val="0"/>
        <w:adjustRightInd w:val="0"/>
        <w:spacing w:after="0" w:line="360" w:lineRule="auto"/>
        <w:rPr>
          <w:rFonts w:eastAsia="Calibri" w:cs="Tahoma"/>
          <w:b/>
          <w:bCs/>
          <w:iCs/>
          <w:color w:val="auto"/>
          <w:lang w:val="es-ES"/>
        </w:rPr>
      </w:pPr>
      <w:r>
        <w:rPr>
          <w:rFonts w:eastAsia="Calibri" w:cs="Tahoma"/>
          <w:b/>
          <w:bCs/>
          <w:iCs/>
          <w:color w:val="auto"/>
          <w:lang w:val="es-ES"/>
        </w:rPr>
        <w:t>Términos de la Resolución para conocimiento del Particular.</w:t>
      </w:r>
    </w:p>
    <w:p w:rsidR="003B5D0E" w:rsidP="003B5D0E" w:rsidRDefault="003B5D0E" w14:paraId="43457D62" w14:textId="77777777">
      <w:pPr>
        <w:autoSpaceDE w:val="0"/>
        <w:autoSpaceDN w:val="0"/>
        <w:adjustRightInd w:val="0"/>
        <w:spacing w:after="0" w:line="360" w:lineRule="auto"/>
        <w:rPr>
          <w:rFonts w:eastAsia="Calibri" w:cs="Tahoma"/>
          <w:b/>
          <w:bCs/>
          <w:iCs/>
          <w:color w:val="auto"/>
          <w:lang w:val="es-ES"/>
        </w:rPr>
      </w:pPr>
    </w:p>
    <w:p w:rsidR="003B5D0E" w:rsidP="003B5D0E" w:rsidRDefault="003B5D0E" w14:paraId="5BE7F49D" w14:textId="58C8EB35">
      <w:pPr>
        <w:widowControl w:val="0"/>
        <w:autoSpaceDE w:val="0"/>
        <w:autoSpaceDN w:val="0"/>
        <w:adjustRightInd w:val="0"/>
        <w:spacing w:after="0" w:line="360" w:lineRule="auto"/>
        <w:rPr>
          <w:rFonts w:eastAsia="Calibri" w:cs="Tahoma"/>
          <w:bCs/>
          <w:iCs/>
          <w:color w:val="auto"/>
          <w:lang w:val="es-ES"/>
        </w:rPr>
      </w:pPr>
      <w:r>
        <w:rPr>
          <w:rFonts w:eastAsia="Calibri" w:cs="Tahoma"/>
          <w:bCs/>
          <w:iCs/>
          <w:color w:val="auto"/>
          <w:lang w:val="es-ES"/>
        </w:rPr>
        <w:t>Se le hace del conocimiento al Particular, que, en el presente caso, se le daba la razón, pues el Ayuntamiento de Toluca en un principio omitió entregar el procedimiento específico para acceder a lo peticionado; no obstante, durante la sustanciación indicó de manera precisa la manera de acceder a los sueldos y prestaciones del servidor público requerido, lo cual dejó sin materia el Medio de Impugnación.</w:t>
      </w:r>
    </w:p>
    <w:p w:rsidR="003B5D0E" w:rsidP="003B5D0E" w:rsidRDefault="003B5D0E" w14:paraId="2EF43C3A" w14:textId="6AB74D17">
      <w:pPr>
        <w:widowControl w:val="0"/>
        <w:autoSpaceDE w:val="0"/>
        <w:autoSpaceDN w:val="0"/>
        <w:adjustRightInd w:val="0"/>
        <w:spacing w:after="0" w:line="360" w:lineRule="auto"/>
        <w:rPr>
          <w:rFonts w:eastAsia="Calibri" w:cs="Tahoma"/>
          <w:bCs/>
          <w:iCs/>
          <w:color w:val="auto"/>
          <w:lang w:val="es-ES"/>
        </w:rPr>
      </w:pPr>
    </w:p>
    <w:p w:rsidR="003B5D0E" w:rsidP="003B5D0E" w:rsidRDefault="003B5D0E" w14:paraId="15156B43" w14:textId="7053006F">
      <w:pPr>
        <w:widowControl w:val="0"/>
        <w:autoSpaceDE w:val="0"/>
        <w:autoSpaceDN w:val="0"/>
        <w:adjustRightInd w:val="0"/>
        <w:spacing w:after="0" w:line="360" w:lineRule="auto"/>
        <w:rPr>
          <w:rFonts w:eastAsia="Calibri" w:cs="Tahoma"/>
          <w:bCs/>
          <w:iCs/>
          <w:color w:val="auto"/>
          <w:lang w:val="es-ES"/>
        </w:rPr>
      </w:pPr>
      <w:r>
        <w:rPr>
          <w:rFonts w:eastAsia="Calibri" w:cs="Tahoma"/>
          <w:bCs/>
          <w:iCs/>
          <w:color w:val="auto"/>
        </w:rPr>
        <w:t>Finalmente,</w:t>
      </w:r>
      <w:r w:rsidR="00031646">
        <w:rPr>
          <w:rFonts w:eastAsia="Calibri" w:cs="Tahoma"/>
          <w:bCs/>
          <w:iCs/>
          <w:color w:val="auto"/>
        </w:rPr>
        <w:t xml:space="preserve"> se le informa que la</w:t>
      </w:r>
      <w:r>
        <w:rPr>
          <w:rFonts w:eastAsia="Calibri" w:cs="Tahoma"/>
          <w:bCs/>
          <w:iCs/>
          <w:color w:val="auto"/>
        </w:rPr>
        <w:t xml:space="preserve"> labor del Instituto de Transparencia, Acceso a la Información Pública y Protección de Datos Personales del Estado de México y Municipios, </w:t>
      </w:r>
      <w:r w:rsidR="00031646">
        <w:rPr>
          <w:rFonts w:eastAsia="Calibri" w:cs="Tahoma"/>
          <w:bCs/>
          <w:iCs/>
          <w:color w:val="auto"/>
        </w:rPr>
        <w:t xml:space="preserve">por una parte, </w:t>
      </w:r>
      <w:r>
        <w:rPr>
          <w:rFonts w:eastAsia="Calibri" w:cs="Tahoma"/>
          <w:bCs/>
          <w:iCs/>
          <w:color w:val="auto"/>
        </w:rPr>
        <w:t>es apoyar a la población a acceder a la información pública y</w:t>
      </w:r>
      <w:r w:rsidR="00031646">
        <w:rPr>
          <w:rFonts w:eastAsia="Calibri" w:cs="Tahoma"/>
          <w:bCs/>
          <w:iCs/>
          <w:color w:val="auto"/>
        </w:rPr>
        <w:t>, por otra es,</w:t>
      </w:r>
      <w:r>
        <w:rPr>
          <w:rFonts w:eastAsia="Calibri" w:cs="Tahoma"/>
          <w:bCs/>
          <w:iCs/>
          <w:color w:val="auto"/>
        </w:rPr>
        <w:t xml:space="preserve"> garantizar la protección de sus datos</w:t>
      </w:r>
    </w:p>
    <w:p w:rsidR="00031646" w:rsidP="00F82CF6" w:rsidRDefault="00031646" w14:paraId="68DCF0FC" w14:textId="77777777">
      <w:pPr>
        <w:spacing w:after="0" w:line="360" w:lineRule="auto"/>
        <w:contextualSpacing/>
        <w:rPr>
          <w:rFonts w:eastAsia="Calibri" w:cs="Tahoma"/>
          <w:b/>
          <w:color w:val="000000"/>
        </w:rPr>
      </w:pPr>
    </w:p>
    <w:p w:rsidR="00BF289C" w:rsidP="00F82CF6" w:rsidRDefault="00BF289C" w14:paraId="1B5746C4" w14:textId="06F195C5">
      <w:pPr>
        <w:spacing w:after="0" w:line="360" w:lineRule="auto"/>
        <w:contextualSpacing/>
        <w:jc w:val="center"/>
        <w:rPr>
          <w:rFonts w:eastAsia="Times New Roman" w:cs="Tahoma"/>
          <w:b/>
          <w:bCs/>
          <w:color w:val="auto"/>
          <w:lang w:eastAsia="es-ES"/>
        </w:rPr>
      </w:pPr>
      <w:r w:rsidRPr="002D0AC7">
        <w:rPr>
          <w:rFonts w:eastAsia="Times New Roman" w:cs="Tahoma"/>
          <w:b/>
          <w:bCs/>
          <w:color w:val="auto"/>
          <w:lang w:eastAsia="es-ES"/>
        </w:rPr>
        <w:t>R E S U E L V E:</w:t>
      </w:r>
    </w:p>
    <w:p w:rsidRPr="0050715D" w:rsidR="0014349F" w:rsidP="00F82CF6" w:rsidRDefault="0014349F" w14:paraId="41758E6D" w14:textId="77777777">
      <w:pPr>
        <w:widowControl w:val="0"/>
        <w:spacing w:after="0" w:line="360" w:lineRule="auto"/>
        <w:contextualSpacing/>
        <w:rPr>
          <w:rFonts w:eastAsia="Calibri"/>
        </w:rPr>
      </w:pPr>
    </w:p>
    <w:p w:rsidRPr="003B5D0E" w:rsidR="003B5D0E" w:rsidP="003B5D0E" w:rsidRDefault="003B5D0E" w14:paraId="66233FD7" w14:textId="5DC29234">
      <w:pPr>
        <w:spacing w:after="0" w:line="360" w:lineRule="auto"/>
        <w:rPr>
          <w:rFonts w:eastAsia="Calibri" w:cs="Tahoma"/>
          <w:b/>
          <w:bCs/>
          <w:iCs/>
        </w:rPr>
      </w:pPr>
      <w:r w:rsidRPr="003B5D0E">
        <w:rPr>
          <w:rFonts w:eastAsia="Calibri" w:cs="Tahoma"/>
          <w:b/>
          <w:bCs/>
          <w:iCs/>
        </w:rPr>
        <w:t xml:space="preserve">PRIMERO. </w:t>
      </w:r>
      <w:r w:rsidRPr="003B5D0E">
        <w:rPr>
          <w:rFonts w:eastAsia="Calibri" w:cs="Tahoma"/>
          <w:bCs/>
          <w:iCs/>
        </w:rPr>
        <w:t xml:space="preserve">Se </w:t>
      </w:r>
      <w:r w:rsidRPr="003B5D0E">
        <w:rPr>
          <w:rFonts w:eastAsia="Calibri" w:cs="Tahoma"/>
          <w:b/>
          <w:bCs/>
          <w:iCs/>
        </w:rPr>
        <w:t xml:space="preserve">SOBRESEE </w:t>
      </w:r>
      <w:r w:rsidRPr="003B5D0E">
        <w:rPr>
          <w:rFonts w:eastAsia="Calibri" w:cs="Tahoma"/>
          <w:bCs/>
          <w:iCs/>
        </w:rPr>
        <w:t>el Recurso de Revisión con número</w:t>
      </w:r>
      <w:r w:rsidRPr="003B5D0E">
        <w:rPr>
          <w:rFonts w:eastAsia="Calibri" w:cs="Tahoma"/>
          <w:b/>
          <w:bCs/>
          <w:iCs/>
        </w:rPr>
        <w:t xml:space="preserve"> </w:t>
      </w:r>
      <w:r>
        <w:rPr>
          <w:rFonts w:eastAsia="Calibri" w:cs="Tahoma"/>
        </w:rPr>
        <w:t>17331</w:t>
      </w:r>
      <w:r w:rsidRPr="003B5D0E">
        <w:rPr>
          <w:rFonts w:eastAsia="Calibri" w:cs="Tahoma"/>
        </w:rPr>
        <w:t>/INFOEM/IP/RR/2022</w:t>
      </w:r>
      <w:r w:rsidRPr="003B5D0E">
        <w:rPr>
          <w:rFonts w:eastAsia="Calibri" w:cs="Tahoma"/>
          <w:bCs/>
          <w:iCs/>
        </w:rPr>
        <w:t>,</w:t>
      </w:r>
      <w:r w:rsidRPr="003B5D0E">
        <w:rPr>
          <w:rFonts w:eastAsia="Calibri" w:cs="Tahoma"/>
          <w:bCs/>
          <w:iCs/>
          <w:color w:val="auto"/>
        </w:rPr>
        <w:t xml:space="preserve"> </w:t>
      </w:r>
      <w:r w:rsidRPr="003B5D0E">
        <w:rPr>
          <w:rFonts w:eastAsia="Calibri" w:cs="Tahoma"/>
          <w:bCs/>
          <w:iCs/>
          <w:color w:val="auto"/>
          <w:lang w:val="es-ES"/>
        </w:rPr>
        <w:t>en términos del artículo 192, fracción III, de la Ley de Transparencia y Acceso a la Información Pública del Estado de México y Municipios</w:t>
      </w:r>
      <w:r w:rsidRPr="003B5D0E">
        <w:rPr>
          <w:rFonts w:eastAsia="Calibri" w:cs="Arial"/>
          <w:bCs/>
          <w:color w:val="000000"/>
          <w:lang w:val="es-ES"/>
        </w:rPr>
        <w:t xml:space="preserve">, </w:t>
      </w:r>
      <w:r w:rsidRPr="003B5D0E">
        <w:rPr>
          <w:rFonts w:eastAsia="Calibri" w:cs="Tahoma"/>
          <w:bCs/>
          <w:iCs/>
          <w:szCs w:val="24"/>
          <w:lang w:val="es-ES_tradnl"/>
        </w:rPr>
        <w:t>porque el Sujeto Obligado al modificar la respuesta de la solicitud de acceso a la información con número de folio</w:t>
      </w:r>
      <w:r w:rsidRPr="003B5D0E">
        <w:rPr>
          <w:rFonts w:eastAsia="Calibri" w:cs="Tahoma"/>
          <w:bCs/>
          <w:iCs/>
          <w:lang w:val="es-ES_tradnl"/>
        </w:rPr>
        <w:t xml:space="preserve"> </w:t>
      </w:r>
      <w:r w:rsidRPr="00BF289C">
        <w:t>02484/TOLUCA/IP/2022</w:t>
      </w:r>
      <w:r w:rsidRPr="003B5D0E">
        <w:rPr>
          <w:rFonts w:eastAsia="Calibri" w:cs="Tahoma"/>
          <w:bCs/>
          <w:iCs/>
        </w:rPr>
        <w:t>, el Medio de Impugnación, quedó sin materia, en términos de los Considerandos</w:t>
      </w:r>
      <w:r w:rsidRPr="003B5D0E">
        <w:rPr>
          <w:rFonts w:eastAsia="Calibri" w:cs="Tahoma"/>
          <w:b/>
          <w:bCs/>
          <w:iCs/>
        </w:rPr>
        <w:t xml:space="preserve"> </w:t>
      </w:r>
      <w:r w:rsidRPr="003B5D0E">
        <w:rPr>
          <w:rFonts w:eastAsia="Calibri" w:cs="Tahoma"/>
          <w:bCs/>
          <w:iCs/>
        </w:rPr>
        <w:t>TERCERO y CUARTO</w:t>
      </w:r>
      <w:r w:rsidRPr="003B5D0E">
        <w:rPr>
          <w:rFonts w:eastAsia="Calibri" w:cs="Tahoma"/>
          <w:b/>
          <w:bCs/>
          <w:iCs/>
        </w:rPr>
        <w:t xml:space="preserve"> </w:t>
      </w:r>
      <w:r w:rsidRPr="003B5D0E">
        <w:rPr>
          <w:rFonts w:eastAsia="Calibri" w:cs="Tahoma"/>
          <w:bCs/>
          <w:iCs/>
        </w:rPr>
        <w:t>de la presente Resolución.</w:t>
      </w:r>
    </w:p>
    <w:p w:rsidRPr="003B5D0E" w:rsidR="003B5D0E" w:rsidP="003B5D0E" w:rsidRDefault="003B5D0E" w14:paraId="715500C8" w14:textId="77777777">
      <w:pPr>
        <w:spacing w:after="0" w:line="360" w:lineRule="auto"/>
        <w:ind w:right="113"/>
        <w:rPr>
          <w:rFonts w:eastAsia="Times New Roman" w:cs="Arial"/>
          <w:b/>
          <w:color w:val="auto"/>
          <w:lang w:eastAsia="es-ES"/>
        </w:rPr>
      </w:pPr>
    </w:p>
    <w:p w:rsidRPr="003B5D0E" w:rsidR="003B5D0E" w:rsidP="003B5D0E" w:rsidRDefault="003B5D0E" w14:paraId="650BE527" w14:textId="77777777">
      <w:pPr>
        <w:spacing w:after="0" w:line="360" w:lineRule="auto"/>
        <w:rPr>
          <w:rFonts w:eastAsia="Calibri" w:cs="Tahoma"/>
          <w:b/>
          <w:bCs/>
          <w:iCs/>
        </w:rPr>
      </w:pPr>
      <w:r w:rsidRPr="003B5D0E">
        <w:rPr>
          <w:rFonts w:eastAsia="Calibri" w:cs="Tahoma"/>
          <w:b/>
          <w:bCs/>
          <w:iCs/>
        </w:rPr>
        <w:t xml:space="preserve">SEGUNDO. NOTIFÍQUESE </w:t>
      </w:r>
      <w:r w:rsidRPr="003B5D0E">
        <w:rPr>
          <w:rFonts w:eastAsia="Calibri" w:cs="Tahoma"/>
          <w:bCs/>
          <w:iCs/>
        </w:rPr>
        <w:t>la presente Resolución al Titular de la Unidad de Transparencia del Sujeto Obligado.</w:t>
      </w:r>
    </w:p>
    <w:p w:rsidRPr="003B5D0E" w:rsidR="003B5D0E" w:rsidP="003B5D0E" w:rsidRDefault="003B5D0E" w14:paraId="1462E39C" w14:textId="77777777">
      <w:pPr>
        <w:spacing w:after="0" w:line="360" w:lineRule="auto"/>
        <w:rPr>
          <w:rFonts w:eastAsia="Calibri" w:cs="Tahoma"/>
          <w:b/>
          <w:bCs/>
          <w:i/>
          <w:iCs/>
        </w:rPr>
      </w:pPr>
    </w:p>
    <w:p w:rsidRPr="003B5D0E" w:rsidR="003B5D0E" w:rsidP="003B5D0E" w:rsidRDefault="003B5D0E" w14:paraId="30C2945D" w14:textId="77777777">
      <w:pPr>
        <w:spacing w:after="0" w:line="360" w:lineRule="auto"/>
        <w:rPr>
          <w:rFonts w:eastAsia="Calibri" w:cs="Tahoma"/>
          <w:b/>
          <w:bCs/>
          <w:iCs/>
        </w:rPr>
      </w:pPr>
      <w:r w:rsidRPr="003B5D0E">
        <w:rPr>
          <w:rFonts w:eastAsia="Calibri" w:cs="Tahoma"/>
          <w:b/>
          <w:bCs/>
          <w:iCs/>
        </w:rPr>
        <w:t xml:space="preserve">TERCERO. NOTIFÍQUESE </w:t>
      </w:r>
      <w:r w:rsidRPr="003B5D0E">
        <w:rPr>
          <w:rFonts w:eastAsia="Calibri" w:cs="Tahoma"/>
          <w:bCs/>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14349F" w:rsidP="003B5D0E" w:rsidRDefault="0014349F" w14:paraId="3974514E" w14:textId="77777777">
      <w:pPr>
        <w:spacing w:after="0" w:line="360" w:lineRule="auto"/>
        <w:rPr>
          <w:rFonts w:cs="Tahoma"/>
        </w:rPr>
      </w:pPr>
    </w:p>
    <w:p w:rsidR="0014349F" w:rsidP="00F82CF6" w:rsidRDefault="0014349F" w14:paraId="3E5FF813" w14:textId="40701DB0">
      <w:pPr>
        <w:spacing w:after="0" w:line="360" w:lineRule="auto"/>
        <w:contextualSpacing/>
        <w:rPr>
          <w:rFonts w:eastAsia="Calibri" w:cs="Tahoma"/>
          <w:lang w:val="es-ES" w:eastAsia="es-ES_tradnl"/>
        </w:rPr>
      </w:pPr>
      <w:r>
        <w:rPr>
          <w:rFonts w:eastAsia="Calibri" w:cs="Tahoma"/>
          <w:lang w:val="es-ES" w:eastAsia="es-ES_tradnl"/>
        </w:rPr>
        <w:t xml:space="preserve">ASÍ LO RESUELVE, </w:t>
      </w:r>
      <w:r w:rsidRPr="00EB7A54">
        <w:rPr>
          <w:rFonts w:eastAsia="Calibri" w:cs="Tahoma"/>
          <w:b/>
          <w:bCs/>
          <w:lang w:val="es-ES" w:eastAsia="es-ES_tradnl"/>
        </w:rPr>
        <w:t>POR UNANIMIDAD</w:t>
      </w:r>
      <w:r>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31646">
        <w:rPr>
          <w:rFonts w:eastAsia="Calibri" w:cs="Tahoma"/>
          <w:lang w:val="es-ES" w:eastAsia="es-ES_tradnl"/>
        </w:rPr>
        <w:t>NOVENA</w:t>
      </w:r>
      <w:r>
        <w:rPr>
          <w:rFonts w:eastAsia="Calibri" w:cs="Tahoma"/>
          <w:lang w:val="es-ES" w:eastAsia="es-ES_tradnl"/>
        </w:rPr>
        <w:t xml:space="preserve"> SESIÓN ORDINARIA, CELEBRADA EL </w:t>
      </w:r>
      <w:r w:rsidR="00031646">
        <w:rPr>
          <w:rFonts w:eastAsia="Calibri" w:cs="Tahoma"/>
          <w:lang w:val="es-ES" w:eastAsia="es-ES_tradnl"/>
        </w:rPr>
        <w:t>OCHO</w:t>
      </w:r>
      <w:r>
        <w:rPr>
          <w:rFonts w:eastAsia="Calibri" w:cs="Tahoma"/>
          <w:lang w:val="es-ES" w:eastAsia="es-ES_tradnl"/>
        </w:rPr>
        <w:t xml:space="preserve"> DE </w:t>
      </w:r>
      <w:r w:rsidR="00FC31C9">
        <w:rPr>
          <w:rFonts w:eastAsia="Calibri" w:cs="Tahoma"/>
          <w:lang w:val="es-ES" w:eastAsia="es-ES_tradnl"/>
        </w:rPr>
        <w:t>MARZO</w:t>
      </w:r>
      <w:r>
        <w:rPr>
          <w:rFonts w:eastAsia="Calibri" w:cs="Tahoma"/>
          <w:lang w:val="es-ES" w:eastAsia="es-ES_tradnl"/>
        </w:rPr>
        <w:t xml:space="preserve"> DE DOS MIL VEINT</w:t>
      </w:r>
      <w:r w:rsidR="00FC31C9">
        <w:rPr>
          <w:rFonts w:eastAsia="Calibri" w:cs="Tahoma"/>
          <w:lang w:val="es-ES" w:eastAsia="es-ES_tradnl"/>
        </w:rPr>
        <w:t>ITRÉS</w:t>
      </w:r>
      <w:r>
        <w:rPr>
          <w:rFonts w:eastAsia="Calibri" w:cs="Tahoma"/>
          <w:lang w:val="es-ES" w:eastAsia="es-ES_tradnl"/>
        </w:rPr>
        <w:t>, ANTE EL SECRETARIO TÉCNICO DEL PLENO, ALEXIS TAPIA RAMÍREZ.</w:t>
      </w:r>
    </w:p>
    <w:p w:rsidR="003A06E3" w:rsidRDefault="003A06E3" w14:paraId="63296A0F" w14:textId="46D6A1CF">
      <w:pPr>
        <w:jc w:val="left"/>
        <w:rPr>
          <w:rFonts w:eastAsia="Calibri" w:cs="Tahoma"/>
          <w:lang w:val="es-ES" w:eastAsia="es-ES_tradnl"/>
        </w:rPr>
      </w:pPr>
      <w:r>
        <w:rPr>
          <w:rFonts w:eastAsia="Calibri" w:cs="Tahoma"/>
          <w:lang w:val="es-ES" w:eastAsia="es-ES_tradnl"/>
        </w:rPr>
        <w:br w:type="page"/>
      </w:r>
    </w:p>
    <w:p w:rsidR="003A06E3" w:rsidP="00F82CF6" w:rsidRDefault="003A06E3" w14:paraId="330A57C5" w14:textId="77777777">
      <w:pPr>
        <w:spacing w:after="0" w:line="360" w:lineRule="auto"/>
        <w:contextualSpacing/>
        <w:rPr>
          <w:rFonts w:eastAsia="Calibri" w:cs="Tahoma"/>
          <w:lang w:val="es-ES" w:eastAsia="es-ES_tradnl"/>
        </w:rPr>
      </w:pPr>
    </w:p>
    <w:sectPr w:rsidR="003A06E3" w:rsidSect="009C7B84">
      <w:headerReference w:type="even" r:id="rId20"/>
      <w:headerReference w:type="default" r:id="rId21"/>
      <w:footerReference w:type="even" r:id="rId22"/>
      <w:footerReference w:type="default" r:id="rId23"/>
      <w:headerReference w:type="first" r:id="rId24"/>
      <w:footerReference w:type="first" r:id="rId25"/>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3C08" w:rsidP="00BF289C" w:rsidRDefault="000A3C08" w14:paraId="52C9AE52" w14:textId="77777777">
      <w:pPr>
        <w:spacing w:after="0" w:line="240" w:lineRule="auto"/>
      </w:pPr>
      <w:r>
        <w:separator/>
      </w:r>
    </w:p>
  </w:endnote>
  <w:endnote w:type="continuationSeparator" w:id="0">
    <w:p w:rsidR="000A3C08" w:rsidP="00BF289C" w:rsidRDefault="000A3C08" w14:paraId="689B4C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5A7F8B" w14:paraId="45E6EB6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000000" w14:paraId="46E1493F"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rsidR="00881E53" w:rsidRDefault="005A7F8B" w14:paraId="34B3E55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0F89">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0F89">
              <w:rPr>
                <w:b/>
                <w:bCs/>
                <w:noProof/>
              </w:rPr>
              <w:t>22</w:t>
            </w:r>
            <w:r>
              <w:rPr>
                <w:b/>
                <w:bCs/>
                <w:sz w:val="24"/>
                <w:szCs w:val="24"/>
              </w:rPr>
              <w:fldChar w:fldCharType="end"/>
            </w:r>
          </w:p>
        </w:sdtContent>
      </w:sdt>
    </w:sdtContent>
  </w:sdt>
  <w:p w:rsidR="00881E53" w:rsidRDefault="00000000" w14:paraId="7471D3C7"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5A7F8B" w14:paraId="581870F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0F8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0F89">
      <w:rPr>
        <w:b/>
        <w:bCs/>
        <w:noProof/>
      </w:rPr>
      <w:t>22</w:t>
    </w:r>
    <w:r>
      <w:rPr>
        <w:b/>
        <w:bCs/>
        <w:sz w:val="24"/>
        <w:szCs w:val="24"/>
      </w:rPr>
      <w:fldChar w:fldCharType="end"/>
    </w:r>
  </w:p>
  <w:p w:rsidR="00881E53" w:rsidRDefault="00000000" w14:paraId="3CB2B1FC"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3C08" w:rsidP="00BF289C" w:rsidRDefault="000A3C08" w14:paraId="2E5C2699" w14:textId="77777777">
      <w:pPr>
        <w:spacing w:after="0" w:line="240" w:lineRule="auto"/>
      </w:pPr>
      <w:r>
        <w:separator/>
      </w:r>
    </w:p>
  </w:footnote>
  <w:footnote w:type="continuationSeparator" w:id="0">
    <w:p w:rsidR="000A3C08" w:rsidP="00BF289C" w:rsidRDefault="000A3C08" w14:paraId="0B0BF01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09F69B6D" w14:textId="77777777">
      <w:trPr>
        <w:trHeight w:val="132"/>
      </w:trPr>
      <w:tc>
        <w:tcPr>
          <w:tcW w:w="2691" w:type="dxa"/>
        </w:tcPr>
        <w:p w:rsidRPr="00E152D8" w:rsidR="00881E53" w:rsidP="00881E53" w:rsidRDefault="005A7F8B" w14:paraId="15F25A12"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5A7F8B" w14:paraId="0D762F05"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76C9CC3E" w14:textId="77777777">
      <w:trPr>
        <w:trHeight w:val="261"/>
      </w:trPr>
      <w:tc>
        <w:tcPr>
          <w:tcW w:w="2691" w:type="dxa"/>
        </w:tcPr>
        <w:p w:rsidRPr="00E152D8" w:rsidR="00881E53" w:rsidP="00881E53" w:rsidRDefault="005A7F8B" w14:paraId="54B5587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5A7F8B" w14:paraId="4C0F01ED"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0FD8A100" w14:textId="77777777">
      <w:trPr>
        <w:trHeight w:val="261"/>
      </w:trPr>
      <w:tc>
        <w:tcPr>
          <w:tcW w:w="2691" w:type="dxa"/>
        </w:tcPr>
        <w:p w:rsidRPr="00E152D8" w:rsidR="00881E53" w:rsidP="00881E53" w:rsidRDefault="005A7F8B" w14:paraId="36AD5CFC"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5A7F8B" w14:paraId="33D51021"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000000" w14:paraId="04A53CC5" w14:textId="77777777">
    <w:pPr>
      <w:pStyle w:val="Encabezado"/>
    </w:pPr>
    <w:r>
      <w:rPr>
        <w:noProof/>
      </w:rPr>
      <w:pict w14:anchorId="4E7A51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2976"/>
    </w:tblGrid>
    <w:tr w:rsidRPr="00E152D8" w:rsidR="00881E53" w:rsidTr="00494ADB" w14:paraId="5CFBF0D0" w14:textId="77777777">
      <w:trPr>
        <w:trHeight w:val="138"/>
      </w:trPr>
      <w:tc>
        <w:tcPr>
          <w:tcW w:w="2552" w:type="dxa"/>
          <w:vAlign w:val="center"/>
        </w:tcPr>
        <w:p w:rsidRPr="00E152D8" w:rsidR="00881E53" w:rsidP="00756312" w:rsidRDefault="005A7F8B" w14:paraId="227384BC"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2976" w:type="dxa"/>
        </w:tcPr>
        <w:p w:rsidRPr="00051642" w:rsidR="00881E53" w:rsidP="00B93061" w:rsidRDefault="00BF289C" w14:paraId="44B7DF3D" w14:textId="0AC21BD4">
          <w:pPr>
            <w:tabs>
              <w:tab w:val="right" w:pos="8838"/>
            </w:tabs>
            <w:ind w:right="-32"/>
            <w:rPr>
              <w:rFonts w:eastAsia="Calibri" w:cs="Tahoma"/>
            </w:rPr>
          </w:pPr>
          <w:r>
            <w:rPr>
              <w:rFonts w:eastAsia="Calibri" w:cs="Tahoma"/>
              <w:lang w:val="es-MX"/>
            </w:rPr>
            <w:t>1733</w:t>
          </w:r>
          <w:r w:rsidR="005A7F8B">
            <w:rPr>
              <w:rFonts w:eastAsia="Calibri" w:cs="Tahoma"/>
              <w:lang w:val="es-MX"/>
            </w:rPr>
            <w:t>1/INFOEM/IP/RR/2022</w:t>
          </w:r>
        </w:p>
      </w:tc>
    </w:tr>
    <w:tr w:rsidRPr="00E152D8" w:rsidR="00881E53" w:rsidTr="00494ADB" w14:paraId="127D94CE" w14:textId="77777777">
      <w:trPr>
        <w:trHeight w:val="273"/>
      </w:trPr>
      <w:tc>
        <w:tcPr>
          <w:tcW w:w="2552" w:type="dxa"/>
        </w:tcPr>
        <w:p w:rsidRPr="00E152D8" w:rsidR="00881E53" w:rsidP="00881E53" w:rsidRDefault="005A7F8B" w14:paraId="48524A9B"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6" w:type="dxa"/>
        </w:tcPr>
        <w:p w:rsidRPr="00051642" w:rsidR="00881E53" w:rsidP="00881E53" w:rsidRDefault="005A7F8B" w14:paraId="1804FD7E" w14:textId="4A30BFDC">
          <w:pPr>
            <w:tabs>
              <w:tab w:val="right" w:pos="8838"/>
            </w:tabs>
            <w:ind w:left="-28" w:right="-32"/>
            <w:rPr>
              <w:rFonts w:eastAsia="Calibri" w:cs="Tahoma"/>
              <w:lang w:val="es-MX"/>
            </w:rPr>
          </w:pPr>
          <w:r>
            <w:rPr>
              <w:rFonts w:eastAsia="Calibri" w:cs="Tahoma"/>
              <w:lang w:val="es-MX"/>
            </w:rPr>
            <w:t xml:space="preserve">Ayuntamiento de </w:t>
          </w:r>
          <w:r w:rsidR="00BF289C">
            <w:rPr>
              <w:rFonts w:eastAsia="Calibri" w:cs="Tahoma"/>
              <w:lang w:val="es-MX"/>
            </w:rPr>
            <w:t>Toluca</w:t>
          </w:r>
        </w:p>
      </w:tc>
    </w:tr>
    <w:tr w:rsidRPr="00E152D8" w:rsidR="00881E53" w:rsidTr="00494ADB" w14:paraId="2CBD0009" w14:textId="77777777">
      <w:trPr>
        <w:trHeight w:val="273"/>
      </w:trPr>
      <w:tc>
        <w:tcPr>
          <w:tcW w:w="2552" w:type="dxa"/>
        </w:tcPr>
        <w:p w:rsidRPr="00E152D8" w:rsidR="00881E53" w:rsidP="00881E53" w:rsidRDefault="005A7F8B" w14:paraId="76C267FE" w14:textId="77777777">
          <w:pPr>
            <w:tabs>
              <w:tab w:val="right" w:pos="8838"/>
            </w:tabs>
            <w:ind w:right="-105"/>
            <w:rPr>
              <w:rFonts w:eastAsia="Calibri" w:cs="Tahoma"/>
              <w:b/>
              <w:lang w:val="es-MX"/>
            </w:rPr>
          </w:pPr>
          <w:r w:rsidRPr="00E152D8">
            <w:rPr>
              <w:rFonts w:eastAsia="Calibri" w:cs="Tahoma"/>
              <w:b/>
              <w:lang w:val="es-MX"/>
            </w:rPr>
            <w:t>Comisionado Ponente:</w:t>
          </w:r>
        </w:p>
      </w:tc>
      <w:tc>
        <w:tcPr>
          <w:tcW w:w="2976" w:type="dxa"/>
        </w:tcPr>
        <w:p w:rsidRPr="00E152D8" w:rsidR="00881E53" w:rsidP="00881E53" w:rsidRDefault="005A7F8B" w14:paraId="1B1C6E37"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000000" w14:paraId="69B71AC1" w14:textId="77777777">
    <w:pPr>
      <w:pStyle w:val="Encabezado"/>
    </w:pPr>
    <w:r>
      <w:rPr>
        <w:noProof/>
      </w:rPr>
      <w:pict w14:anchorId="45A87E3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875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7F4B" w:rsidRDefault="00000000" w14:paraId="382DCCD1" w14:textId="77777777">
    <w:r>
      <w:rPr>
        <w:noProof/>
      </w:rPr>
      <w:pict w14:anchorId="6BFF41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95.1pt;margin-top:-124.75pt;width:663.5pt;height:12in;z-index:-251657728;mso-wrap-edited:f;mso-width-percent:0;mso-height-percent:0;mso-position-horizontal-relative:margin;mso-position-vertical-relative:margin;mso-width-percent:0;mso-height-percent:0" alt="" o:spid="_x0000_s1027" o:allowincell="f" type="#_x0000_t75">
          <v:imagedata o:title="MARCA DE AGUA - HOJA RESOLUCIÓN" r:id="rId1"/>
          <w10:wrap anchorx="margin" anchory="margin"/>
        </v:shape>
      </w:pict>
    </w:r>
  </w:p>
  <w:tbl>
    <w:tblPr>
      <w:tblStyle w:val="Tablaconcuadrcula"/>
      <w:tblW w:w="5670"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260"/>
    </w:tblGrid>
    <w:tr w:rsidRPr="00E152D8" w:rsidR="00881E53" w:rsidTr="4123D839" w14:paraId="3C095E7D" w14:textId="77777777">
      <w:trPr>
        <w:trHeight w:val="132"/>
      </w:trPr>
      <w:tc>
        <w:tcPr>
          <w:tcW w:w="2410" w:type="dxa"/>
          <w:tcMar/>
        </w:tcPr>
        <w:p w:rsidRPr="00E152D8" w:rsidR="00881E53" w:rsidP="00881E53" w:rsidRDefault="005A7F8B" w14:paraId="501732B6" w14:textId="77777777">
          <w:pPr>
            <w:tabs>
              <w:tab w:val="right" w:pos="8838"/>
            </w:tabs>
            <w:ind w:right="-105"/>
            <w:rPr>
              <w:rFonts w:eastAsia="Calibri" w:cs="Tahoma"/>
              <w:b/>
              <w:lang w:val="es-MX"/>
            </w:rPr>
          </w:pPr>
          <w:r w:rsidRPr="00E152D8">
            <w:rPr>
              <w:rFonts w:eastAsia="Calibri" w:cs="Tahoma"/>
              <w:b/>
              <w:lang w:val="es-MX"/>
            </w:rPr>
            <w:t>Recurso de Revisión:</w:t>
          </w:r>
        </w:p>
      </w:tc>
      <w:tc>
        <w:tcPr>
          <w:tcW w:w="3260" w:type="dxa"/>
          <w:tcMar/>
        </w:tcPr>
        <w:p w:rsidRPr="00051642" w:rsidR="00881E53" w:rsidP="00881E53" w:rsidRDefault="005A7F8B" w14:paraId="25014038" w14:textId="5791FA91">
          <w:pPr>
            <w:tabs>
              <w:tab w:val="right" w:pos="8838"/>
            </w:tabs>
            <w:ind w:left="-111" w:right="-32"/>
            <w:rPr>
              <w:rFonts w:eastAsia="Calibri" w:cs="Tahoma"/>
            </w:rPr>
          </w:pPr>
          <w:r>
            <w:rPr>
              <w:rFonts w:eastAsia="Calibri" w:cs="Tahoma"/>
              <w:lang w:val="es-MX"/>
            </w:rPr>
            <w:t>1</w:t>
          </w:r>
          <w:r w:rsidR="00BF289C">
            <w:rPr>
              <w:rFonts w:eastAsia="Calibri" w:cs="Tahoma"/>
              <w:lang w:val="es-MX"/>
            </w:rPr>
            <w:t>733</w:t>
          </w:r>
          <w:r>
            <w:rPr>
              <w:rFonts w:eastAsia="Calibri" w:cs="Tahoma"/>
              <w:lang w:val="es-MX"/>
            </w:rPr>
            <w:t>1/INFOEM/IP/RR/2022</w:t>
          </w:r>
        </w:p>
      </w:tc>
    </w:tr>
    <w:tr w:rsidRPr="00E152D8" w:rsidR="00881E53" w:rsidTr="4123D839" w14:paraId="2E95E4C0" w14:textId="77777777">
      <w:trPr>
        <w:trHeight w:val="132"/>
      </w:trPr>
      <w:tc>
        <w:tcPr>
          <w:tcW w:w="2410" w:type="dxa"/>
          <w:tcMar/>
        </w:tcPr>
        <w:p w:rsidRPr="00E152D8" w:rsidR="00881E53" w:rsidP="00712E99" w:rsidRDefault="005A7F8B" w14:paraId="4E7AB973"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Mar/>
        </w:tcPr>
        <w:p w:rsidRPr="00E152D8" w:rsidR="00881E53" w:rsidP="4123D839" w:rsidRDefault="00BF289C" w14:paraId="55295B06" w14:textId="43EF7B71">
          <w:pPr>
            <w:tabs>
              <w:tab w:val="right" w:pos="8838"/>
            </w:tabs>
            <w:ind w:left="-111" w:right="-109"/>
            <w:rPr>
              <w:rFonts w:eastAsia="Calibri" w:cs="Tahoma"/>
              <w:highlight w:val="black"/>
              <w:lang w:val="es-MX"/>
            </w:rPr>
          </w:pPr>
          <w:r w:rsidRPr="4123D839" w:rsidR="4123D839">
            <w:rPr>
              <w:rFonts w:eastAsia="Calibri" w:cs="Tahoma"/>
              <w:highlight w:val="black"/>
              <w:lang w:val="es-MX"/>
            </w:rPr>
            <w:t>XXXXXXXXXXXXXXXXXXXXXXXXXXXX</w:t>
          </w:r>
        </w:p>
      </w:tc>
    </w:tr>
    <w:tr w:rsidRPr="00E152D8" w:rsidR="00881E53" w:rsidTr="4123D839" w14:paraId="62680980" w14:textId="77777777">
      <w:trPr>
        <w:trHeight w:val="261"/>
      </w:trPr>
      <w:tc>
        <w:tcPr>
          <w:tcW w:w="2410" w:type="dxa"/>
          <w:tcMar/>
        </w:tcPr>
        <w:p w:rsidRPr="00E152D8" w:rsidR="00881E53" w:rsidP="00881E53" w:rsidRDefault="005A7F8B" w14:paraId="47755EFC"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Mar/>
        </w:tcPr>
        <w:p w:rsidRPr="00051642" w:rsidR="00881E53" w:rsidP="005E139E" w:rsidRDefault="005A7F8B" w14:paraId="7CC9BD17" w14:textId="39200A7A">
          <w:pPr>
            <w:tabs>
              <w:tab w:val="right" w:pos="8838"/>
            </w:tabs>
            <w:ind w:left="-111" w:right="-32"/>
            <w:rPr>
              <w:rFonts w:eastAsia="Calibri" w:cs="Tahoma"/>
              <w:lang w:val="es-MX"/>
            </w:rPr>
          </w:pPr>
          <w:r>
            <w:rPr>
              <w:rFonts w:eastAsia="Calibri" w:cs="Tahoma"/>
              <w:lang w:val="es-MX"/>
            </w:rPr>
            <w:t xml:space="preserve">Ayuntamiento de </w:t>
          </w:r>
          <w:r w:rsidR="00BF289C">
            <w:rPr>
              <w:rFonts w:eastAsia="Calibri" w:cs="Tahoma"/>
              <w:lang w:val="es-MX"/>
            </w:rPr>
            <w:t>Toluca</w:t>
          </w:r>
        </w:p>
      </w:tc>
    </w:tr>
    <w:tr w:rsidRPr="00E152D8" w:rsidR="00881E53" w:rsidTr="4123D839" w14:paraId="444FD04F" w14:textId="77777777">
      <w:trPr>
        <w:trHeight w:val="261"/>
      </w:trPr>
      <w:tc>
        <w:tcPr>
          <w:tcW w:w="2410" w:type="dxa"/>
          <w:tcMar/>
        </w:tcPr>
        <w:p w:rsidRPr="00E152D8" w:rsidR="00881E53" w:rsidP="00881E53" w:rsidRDefault="005A7F8B" w14:paraId="4C414DF0"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0" w:type="dxa"/>
          <w:tcMar/>
        </w:tcPr>
        <w:p w:rsidRPr="00E152D8" w:rsidR="00881E53" w:rsidP="00881E53" w:rsidRDefault="005A7F8B" w14:paraId="0057D33F"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000000" w14:paraId="44F737EC" w14:textId="77777777">
    <w:pPr>
      <w:pStyle w:val="Encabezado"/>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2999"/>
    <w:multiLevelType w:val="hybridMultilevel"/>
    <w:tmpl w:val="2BC2F7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4EE145F"/>
    <w:multiLevelType w:val="hybridMultilevel"/>
    <w:tmpl w:val="55E00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1921A8C"/>
    <w:multiLevelType w:val="hybridMultilevel"/>
    <w:tmpl w:val="2FF2B2A0"/>
    <w:lvl w:ilvl="0" w:tplc="080A0001">
      <w:start w:val="1"/>
      <w:numFmt w:val="bullet"/>
      <w:lvlText w:val=""/>
      <w:lvlJc w:val="left"/>
      <w:pPr>
        <w:ind w:left="771" w:hanging="360"/>
      </w:pPr>
      <w:rPr>
        <w:rFonts w:hint="default" w:ascii="Symbol" w:hAnsi="Symbol"/>
      </w:rPr>
    </w:lvl>
    <w:lvl w:ilvl="1" w:tplc="080A0003" w:tentative="1">
      <w:start w:val="1"/>
      <w:numFmt w:val="bullet"/>
      <w:lvlText w:val="o"/>
      <w:lvlJc w:val="left"/>
      <w:pPr>
        <w:ind w:left="1491" w:hanging="360"/>
      </w:pPr>
      <w:rPr>
        <w:rFonts w:hint="default" w:ascii="Courier New" w:hAnsi="Courier New" w:cs="Courier New"/>
      </w:rPr>
    </w:lvl>
    <w:lvl w:ilvl="2" w:tplc="080A0005" w:tentative="1">
      <w:start w:val="1"/>
      <w:numFmt w:val="bullet"/>
      <w:lvlText w:val=""/>
      <w:lvlJc w:val="left"/>
      <w:pPr>
        <w:ind w:left="2211" w:hanging="360"/>
      </w:pPr>
      <w:rPr>
        <w:rFonts w:hint="default" w:ascii="Wingdings" w:hAnsi="Wingdings"/>
      </w:rPr>
    </w:lvl>
    <w:lvl w:ilvl="3" w:tplc="080A0001" w:tentative="1">
      <w:start w:val="1"/>
      <w:numFmt w:val="bullet"/>
      <w:lvlText w:val=""/>
      <w:lvlJc w:val="left"/>
      <w:pPr>
        <w:ind w:left="2931" w:hanging="360"/>
      </w:pPr>
      <w:rPr>
        <w:rFonts w:hint="default" w:ascii="Symbol" w:hAnsi="Symbol"/>
      </w:rPr>
    </w:lvl>
    <w:lvl w:ilvl="4" w:tplc="080A0003" w:tentative="1">
      <w:start w:val="1"/>
      <w:numFmt w:val="bullet"/>
      <w:lvlText w:val="o"/>
      <w:lvlJc w:val="left"/>
      <w:pPr>
        <w:ind w:left="3651" w:hanging="360"/>
      </w:pPr>
      <w:rPr>
        <w:rFonts w:hint="default" w:ascii="Courier New" w:hAnsi="Courier New" w:cs="Courier New"/>
      </w:rPr>
    </w:lvl>
    <w:lvl w:ilvl="5" w:tplc="080A0005" w:tentative="1">
      <w:start w:val="1"/>
      <w:numFmt w:val="bullet"/>
      <w:lvlText w:val=""/>
      <w:lvlJc w:val="left"/>
      <w:pPr>
        <w:ind w:left="4371" w:hanging="360"/>
      </w:pPr>
      <w:rPr>
        <w:rFonts w:hint="default" w:ascii="Wingdings" w:hAnsi="Wingdings"/>
      </w:rPr>
    </w:lvl>
    <w:lvl w:ilvl="6" w:tplc="080A0001" w:tentative="1">
      <w:start w:val="1"/>
      <w:numFmt w:val="bullet"/>
      <w:lvlText w:val=""/>
      <w:lvlJc w:val="left"/>
      <w:pPr>
        <w:ind w:left="5091" w:hanging="360"/>
      </w:pPr>
      <w:rPr>
        <w:rFonts w:hint="default" w:ascii="Symbol" w:hAnsi="Symbol"/>
      </w:rPr>
    </w:lvl>
    <w:lvl w:ilvl="7" w:tplc="080A0003" w:tentative="1">
      <w:start w:val="1"/>
      <w:numFmt w:val="bullet"/>
      <w:lvlText w:val="o"/>
      <w:lvlJc w:val="left"/>
      <w:pPr>
        <w:ind w:left="5811" w:hanging="360"/>
      </w:pPr>
      <w:rPr>
        <w:rFonts w:hint="default" w:ascii="Courier New" w:hAnsi="Courier New" w:cs="Courier New"/>
      </w:rPr>
    </w:lvl>
    <w:lvl w:ilvl="8" w:tplc="080A0005" w:tentative="1">
      <w:start w:val="1"/>
      <w:numFmt w:val="bullet"/>
      <w:lvlText w:val=""/>
      <w:lvlJc w:val="left"/>
      <w:pPr>
        <w:ind w:left="6531" w:hanging="360"/>
      </w:pPr>
      <w:rPr>
        <w:rFonts w:hint="default" w:ascii="Wingdings" w:hAnsi="Wingdings"/>
      </w:rPr>
    </w:lvl>
  </w:abstractNum>
  <w:abstractNum w:abstractNumId="3" w15:restartNumberingAfterBreak="0">
    <w:nsid w:val="2507242E"/>
    <w:multiLevelType w:val="hybridMultilevel"/>
    <w:tmpl w:val="72AEFF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2F214270"/>
    <w:multiLevelType w:val="hybridMultilevel"/>
    <w:tmpl w:val="278EF5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54481F97"/>
    <w:multiLevelType w:val="hybridMultilevel"/>
    <w:tmpl w:val="2E3E47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7D84719F"/>
    <w:multiLevelType w:val="hybridMultilevel"/>
    <w:tmpl w:val="594418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08355439">
    <w:abstractNumId w:val="4"/>
  </w:num>
  <w:num w:numId="2" w16cid:durableId="1519734660">
    <w:abstractNumId w:val="10"/>
  </w:num>
  <w:num w:numId="3" w16cid:durableId="1812597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287866">
    <w:abstractNumId w:val="0"/>
  </w:num>
  <w:num w:numId="5" w16cid:durableId="855383208">
    <w:abstractNumId w:val="7"/>
  </w:num>
  <w:num w:numId="6" w16cid:durableId="9240694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2983932">
    <w:abstractNumId w:val="5"/>
  </w:num>
  <w:num w:numId="8" w16cid:durableId="1750735272">
    <w:abstractNumId w:val="1"/>
  </w:num>
  <w:num w:numId="9" w16cid:durableId="911937434">
    <w:abstractNumId w:val="2"/>
  </w:num>
  <w:num w:numId="10" w16cid:durableId="1776053171">
    <w:abstractNumId w:val="3"/>
  </w:num>
  <w:num w:numId="11" w16cid:durableId="882131322">
    <w:abstractNumId w:val="6"/>
  </w:num>
  <w:num w:numId="12" w16cid:durableId="9729498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9C"/>
    <w:rsid w:val="00031646"/>
    <w:rsid w:val="000A288D"/>
    <w:rsid w:val="000A3C08"/>
    <w:rsid w:val="000E16FD"/>
    <w:rsid w:val="0014349F"/>
    <w:rsid w:val="001E3DBD"/>
    <w:rsid w:val="00263BA9"/>
    <w:rsid w:val="002848FA"/>
    <w:rsid w:val="002A6DA9"/>
    <w:rsid w:val="002C307B"/>
    <w:rsid w:val="003204DF"/>
    <w:rsid w:val="00380B24"/>
    <w:rsid w:val="003A06E3"/>
    <w:rsid w:val="003A66BB"/>
    <w:rsid w:val="003B3690"/>
    <w:rsid w:val="003B5D0E"/>
    <w:rsid w:val="0043592F"/>
    <w:rsid w:val="004917F1"/>
    <w:rsid w:val="004C3577"/>
    <w:rsid w:val="004C4A7A"/>
    <w:rsid w:val="005A7F8B"/>
    <w:rsid w:val="005B6C46"/>
    <w:rsid w:val="00610F89"/>
    <w:rsid w:val="006241C3"/>
    <w:rsid w:val="00720F44"/>
    <w:rsid w:val="00771FF1"/>
    <w:rsid w:val="007F7E15"/>
    <w:rsid w:val="00954D3F"/>
    <w:rsid w:val="00957183"/>
    <w:rsid w:val="00A370DA"/>
    <w:rsid w:val="00AB4EDD"/>
    <w:rsid w:val="00AC3DFB"/>
    <w:rsid w:val="00B402A4"/>
    <w:rsid w:val="00BD4C38"/>
    <w:rsid w:val="00BF289C"/>
    <w:rsid w:val="00C85FBE"/>
    <w:rsid w:val="00C97996"/>
    <w:rsid w:val="00CD40E1"/>
    <w:rsid w:val="00CE5264"/>
    <w:rsid w:val="00D23C4E"/>
    <w:rsid w:val="00D34010"/>
    <w:rsid w:val="00D440EF"/>
    <w:rsid w:val="00D53DDB"/>
    <w:rsid w:val="00EA2335"/>
    <w:rsid w:val="00F14C60"/>
    <w:rsid w:val="00F82CF6"/>
    <w:rsid w:val="00FA069C"/>
    <w:rsid w:val="00FC31C9"/>
    <w:rsid w:val="00FD6312"/>
    <w:rsid w:val="4123D8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82117"/>
  <w15:chartTrackingRefBased/>
  <w15:docId w15:val="{FAB5635F-A9E4-40E6-9FCA-D7F52BBE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289C"/>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F289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F289C"/>
    <w:rPr>
      <w:rFonts w:ascii="Palatino Linotype" w:hAnsi="Palatino Linotype"/>
      <w:color w:val="000000" w:themeColor="text1"/>
    </w:rPr>
  </w:style>
  <w:style w:type="paragraph" w:styleId="Piedepgina">
    <w:name w:val="footer"/>
    <w:basedOn w:val="Normal"/>
    <w:link w:val="PiedepginaCar"/>
    <w:uiPriority w:val="99"/>
    <w:unhideWhenUsed/>
    <w:rsid w:val="00BF289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F289C"/>
    <w:rPr>
      <w:rFonts w:ascii="Palatino Linotype" w:hAnsi="Palatino Linotype"/>
      <w:color w:val="000000" w:themeColor="text1"/>
    </w:rPr>
  </w:style>
  <w:style w:type="table" w:styleId="Tablaconcuadrcula">
    <w:name w:val="Table Grid"/>
    <w:basedOn w:val="Tablanormal"/>
    <w:uiPriority w:val="39"/>
    <w:qFormat/>
    <w:rsid w:val="00BF289C"/>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BF289C"/>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289C"/>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F289C"/>
    <w:rPr>
      <w:rFonts w:ascii="Palatino Linotype" w:hAnsi="Palatino Linotype"/>
      <w:color w:val="000000" w:themeColor="text1"/>
    </w:rPr>
  </w:style>
  <w:style w:type="paragraph" w:styleId="paragraph" w:customStyle="1">
    <w:name w:val="paragraph"/>
    <w:basedOn w:val="Normal"/>
    <w:rsid w:val="003204DF"/>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Hipervnculo">
    <w:name w:val="Hyperlink"/>
    <w:basedOn w:val="Fuentedeprrafopredeter"/>
    <w:uiPriority w:val="99"/>
    <w:unhideWhenUsed/>
    <w:rsid w:val="00AB4EDD"/>
    <w:rPr>
      <w:color w:val="0563C1" w:themeColor="hyperlink"/>
      <w:u w:val="single"/>
    </w:rPr>
  </w:style>
  <w:style w:type="character" w:styleId="Mencinsinresolver1" w:customStyle="1">
    <w:name w:val="Mención sin resolver1"/>
    <w:basedOn w:val="Fuentedeprrafopredeter"/>
    <w:uiPriority w:val="99"/>
    <w:semiHidden/>
    <w:unhideWhenUsed/>
    <w:rsid w:val="00AB4EDD"/>
    <w:rPr>
      <w:color w:val="605E5C"/>
      <w:shd w:val="clear" w:color="auto" w:fill="E1DFDD"/>
    </w:rPr>
  </w:style>
  <w:style w:type="character" w:styleId="Hipervnculovisitado">
    <w:name w:val="FollowedHyperlink"/>
    <w:basedOn w:val="Fuentedeprrafopredeter"/>
    <w:uiPriority w:val="99"/>
    <w:semiHidden/>
    <w:unhideWhenUsed/>
    <w:rsid w:val="00F82C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1442">
      <w:bodyDiv w:val="1"/>
      <w:marLeft w:val="0"/>
      <w:marRight w:val="0"/>
      <w:marTop w:val="0"/>
      <w:marBottom w:val="0"/>
      <w:divBdr>
        <w:top w:val="none" w:sz="0" w:space="0" w:color="auto"/>
        <w:left w:val="none" w:sz="0" w:space="0" w:color="auto"/>
        <w:bottom w:val="none" w:sz="0" w:space="0" w:color="auto"/>
        <w:right w:val="none" w:sz="0" w:space="0" w:color="auto"/>
      </w:divBdr>
    </w:div>
    <w:div w:id="504708266">
      <w:bodyDiv w:val="1"/>
      <w:marLeft w:val="0"/>
      <w:marRight w:val="0"/>
      <w:marTop w:val="0"/>
      <w:marBottom w:val="0"/>
      <w:divBdr>
        <w:top w:val="none" w:sz="0" w:space="0" w:color="auto"/>
        <w:left w:val="none" w:sz="0" w:space="0" w:color="auto"/>
        <w:bottom w:val="none" w:sz="0" w:space="0" w:color="auto"/>
        <w:right w:val="none" w:sz="0" w:space="0" w:color="auto"/>
      </w:divBdr>
    </w:div>
    <w:div w:id="1190216449">
      <w:bodyDiv w:val="1"/>
      <w:marLeft w:val="0"/>
      <w:marRight w:val="0"/>
      <w:marTop w:val="0"/>
      <w:marBottom w:val="0"/>
      <w:divBdr>
        <w:top w:val="none" w:sz="0" w:space="0" w:color="auto"/>
        <w:left w:val="none" w:sz="0" w:space="0" w:color="auto"/>
        <w:bottom w:val="none" w:sz="0" w:space="0" w:color="auto"/>
        <w:right w:val="none" w:sz="0" w:space="0" w:color="auto"/>
      </w:divBdr>
    </w:div>
    <w:div w:id="1223063242">
      <w:bodyDiv w:val="1"/>
      <w:marLeft w:val="0"/>
      <w:marRight w:val="0"/>
      <w:marTop w:val="0"/>
      <w:marBottom w:val="0"/>
      <w:divBdr>
        <w:top w:val="none" w:sz="0" w:space="0" w:color="auto"/>
        <w:left w:val="none" w:sz="0" w:space="0" w:color="auto"/>
        <w:bottom w:val="none" w:sz="0" w:space="0" w:color="auto"/>
        <w:right w:val="none" w:sz="0" w:space="0" w:color="auto"/>
      </w:divBdr>
    </w:div>
    <w:div w:id="199775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https://www.ipomex.org.mx/ipo3/lgt/indice/TOLUCA/art_92_viii.web" TargetMode="External" Id="rId13" /><Relationship Type="http://schemas.openxmlformats.org/officeDocument/2006/relationships/image" Target="media/image8.png" Id="rId18"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eader" Target="header2.xml" Id="rId21" /><Relationship Type="http://schemas.openxmlformats.org/officeDocument/2006/relationships/image" Target="media/image1.png" Id="rId7" /><Relationship Type="http://schemas.openxmlformats.org/officeDocument/2006/relationships/image" Target="media/image4.png" Id="rId12" /><Relationship Type="http://schemas.openxmlformats.org/officeDocument/2006/relationships/image" Target="media/image7.png" Id="rId17" /><Relationship Type="http://schemas.openxmlformats.org/officeDocument/2006/relationships/footer" Target="footer3.xml" Id="rId25" /><Relationship Type="http://schemas.openxmlformats.org/officeDocument/2006/relationships/styles" Target="styles.xml" Id="rId2" /><Relationship Type="http://schemas.openxmlformats.org/officeDocument/2006/relationships/hyperlink" Target="https://www.ipomex.org.mx/ipo3/lgt/indice/TOLUCA/art_92_viii.web" TargetMode="External" Id="rId16"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header" Target="header3.xml" Id="rId24" /><Relationship Type="http://schemas.openxmlformats.org/officeDocument/2006/relationships/footnotes" Target="footnotes.xml" Id="rId5" /><Relationship Type="http://schemas.openxmlformats.org/officeDocument/2006/relationships/image" Target="media/image6.png" Id="rId15" /><Relationship Type="http://schemas.openxmlformats.org/officeDocument/2006/relationships/footer" Target="footer2.xml" Id="rId23" /><Relationship Type="http://schemas.openxmlformats.org/officeDocument/2006/relationships/hyperlink" Target="http://www.apartados.hacienda.gob.mx/contabilidad/documentos/informe_cuenta/1998/cuenta_publica/Glosario/n.htm" TargetMode="External" Id="rId10" /><Relationship Type="http://schemas.openxmlformats.org/officeDocument/2006/relationships/image" Target="media/image9.png" Id="rId19" /><Relationship Type="http://schemas.openxmlformats.org/officeDocument/2006/relationships/webSettings" Target="webSettings.xml" Id="rId4" /><Relationship Type="http://schemas.openxmlformats.org/officeDocument/2006/relationships/hyperlink" Target="http://www.transparenciapresupuestaria.gob.mx/es/PTP/Glosario" TargetMode="External" Id="rId9" /><Relationship Type="http://schemas.openxmlformats.org/officeDocument/2006/relationships/image" Target="media/image5.png"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glossaryDocument" Target="glossary/document.xml" Id="R023e76e5404e4ce6" /></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9df31c9-6298-4d81-90cd-77b98e73b4c3}"/>
      </w:docPartPr>
      <w:docPartBody>
        <w:p w14:paraId="6F112AF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Denisse Eduarte</lastModifiedBy>
  <revision>6</revision>
  <dcterms:created xsi:type="dcterms:W3CDTF">2023-02-28T18:50:00.0000000Z</dcterms:created>
  <dcterms:modified xsi:type="dcterms:W3CDTF">2023-04-14T06:45:10.2450055Z</dcterms:modified>
</coreProperties>
</file>