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B9899" w14:textId="77777777" w:rsidR="006639DB" w:rsidRPr="00F006AF" w:rsidRDefault="000E3CE0">
      <w:pPr>
        <w:spacing w:before="240" w:after="240"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F006AF">
        <w:rPr>
          <w:rFonts w:ascii="Palatino Linotype" w:eastAsia="Palatino Linotype" w:hAnsi="Palatino Linotype" w:cs="Palatino Linotype"/>
          <w:b/>
        </w:rPr>
        <w:t>quince de noviembre del dos mil veintitrés</w:t>
      </w:r>
      <w:r w:rsidRPr="00F006AF">
        <w:rPr>
          <w:rFonts w:ascii="Palatino Linotype" w:eastAsia="Palatino Linotype" w:hAnsi="Palatino Linotype" w:cs="Palatino Linotype"/>
        </w:rPr>
        <w:t>.</w:t>
      </w:r>
    </w:p>
    <w:p w14:paraId="1F2A2231" w14:textId="43F94EC1" w:rsidR="006639DB" w:rsidRPr="00F006AF" w:rsidRDefault="000E3CE0">
      <w:pPr>
        <w:spacing w:line="360" w:lineRule="auto"/>
        <w:jc w:val="both"/>
        <w:rPr>
          <w:rFonts w:ascii="Palatino Linotype" w:eastAsia="Palatino Linotype" w:hAnsi="Palatino Linotype" w:cs="Palatino Linotype"/>
          <w:b/>
          <w:sz w:val="22"/>
          <w:szCs w:val="22"/>
        </w:rPr>
      </w:pPr>
      <w:r w:rsidRPr="00F006AF">
        <w:rPr>
          <w:rFonts w:ascii="Palatino Linotype" w:eastAsia="Palatino Linotype" w:hAnsi="Palatino Linotype" w:cs="Palatino Linotype"/>
          <w:b/>
        </w:rPr>
        <w:t>Visto</w:t>
      </w:r>
      <w:r w:rsidRPr="00F006AF">
        <w:rPr>
          <w:rFonts w:ascii="Palatino Linotype" w:eastAsia="Palatino Linotype" w:hAnsi="Palatino Linotype" w:cs="Palatino Linotype"/>
        </w:rPr>
        <w:t xml:space="preserve"> el expediente relativo al recurso de revisión </w:t>
      </w:r>
      <w:r w:rsidRPr="00F006AF">
        <w:rPr>
          <w:rFonts w:ascii="Palatino Linotype" w:eastAsia="Palatino Linotype" w:hAnsi="Palatino Linotype" w:cs="Palatino Linotype"/>
          <w:b/>
          <w:sz w:val="22"/>
          <w:szCs w:val="22"/>
        </w:rPr>
        <w:t>00204/INFOEM/IP/RR/2023</w:t>
      </w:r>
      <w:r w:rsidRPr="00F006AF">
        <w:rPr>
          <w:rFonts w:ascii="Palatino Linotype" w:eastAsia="Palatino Linotype" w:hAnsi="Palatino Linotype" w:cs="Palatino Linotype"/>
        </w:rPr>
        <w:t xml:space="preserve">, interpuesto por </w:t>
      </w:r>
      <w:r w:rsidR="00BC25D2">
        <w:rPr>
          <w:rFonts w:ascii="Palatino Linotype" w:eastAsia="Palatino Linotype" w:hAnsi="Palatino Linotype" w:cs="Palatino Linotype"/>
          <w:b/>
        </w:rPr>
        <w:t>XXXX XXXXXXX XXXXXX</w:t>
      </w:r>
      <w:r w:rsidRPr="00F006AF">
        <w:rPr>
          <w:rFonts w:ascii="Palatino Linotype" w:eastAsia="Palatino Linotype" w:hAnsi="Palatino Linotype" w:cs="Palatino Linotype"/>
          <w:b/>
        </w:rPr>
        <w:t>,</w:t>
      </w:r>
      <w:r w:rsidRPr="00F006AF">
        <w:rPr>
          <w:rFonts w:ascii="Palatino Linotype" w:eastAsia="Palatino Linotype" w:hAnsi="Palatino Linotype" w:cs="Palatino Linotype"/>
        </w:rPr>
        <w:t xml:space="preserve"> a quien en lo sucesivo se le denominará </w:t>
      </w:r>
      <w:r w:rsidRPr="00F006AF">
        <w:rPr>
          <w:rFonts w:ascii="Palatino Linotype" w:eastAsia="Palatino Linotype" w:hAnsi="Palatino Linotype" w:cs="Palatino Linotype"/>
          <w:b/>
        </w:rPr>
        <w:t>la parte</w:t>
      </w:r>
      <w:r w:rsidRPr="00F006AF">
        <w:rPr>
          <w:rFonts w:ascii="Palatino Linotype" w:eastAsia="Palatino Linotype" w:hAnsi="Palatino Linotype" w:cs="Palatino Linotype"/>
          <w:b/>
          <w:i/>
        </w:rPr>
        <w:t xml:space="preserv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b/>
          <w:i/>
        </w:rPr>
        <w:t xml:space="preserve"> </w:t>
      </w:r>
      <w:r w:rsidRPr="00F006AF">
        <w:rPr>
          <w:rFonts w:ascii="Palatino Linotype" w:eastAsia="Palatino Linotype" w:hAnsi="Palatino Linotype" w:cs="Palatino Linotype"/>
        </w:rPr>
        <w:t>en contra de la respuesta a su solicitud de información con número de folio</w:t>
      </w:r>
      <w:r w:rsidRPr="00F006AF">
        <w:rPr>
          <w:rFonts w:ascii="Verdana" w:eastAsia="Verdana" w:hAnsi="Verdana" w:cs="Verdana"/>
          <w:b/>
          <w:color w:val="FF0000"/>
        </w:rPr>
        <w:t> </w:t>
      </w:r>
      <w:r w:rsidRPr="00F006AF">
        <w:rPr>
          <w:rFonts w:ascii="Palatino Linotype" w:eastAsia="Palatino Linotype" w:hAnsi="Palatino Linotype" w:cs="Palatino Linotype"/>
          <w:b/>
          <w:sz w:val="22"/>
          <w:szCs w:val="22"/>
        </w:rPr>
        <w:t>00524/SF/IP/2022</w:t>
      </w:r>
      <w:r w:rsidRPr="00F006AF">
        <w:rPr>
          <w:rFonts w:ascii="Palatino Linotype" w:eastAsia="Palatino Linotype" w:hAnsi="Palatino Linotype" w:cs="Palatino Linotype"/>
          <w:b/>
        </w:rPr>
        <w:t>,</w:t>
      </w:r>
      <w:r w:rsidRPr="00F006AF">
        <w:rPr>
          <w:rFonts w:ascii="Palatino Linotype" w:eastAsia="Palatino Linotype" w:hAnsi="Palatino Linotype" w:cs="Palatino Linotype"/>
        </w:rPr>
        <w:t xml:space="preserve"> otorgada por la </w:t>
      </w:r>
      <w:r w:rsidRPr="00F006AF">
        <w:rPr>
          <w:rFonts w:ascii="Palatino Linotype" w:eastAsia="Palatino Linotype" w:hAnsi="Palatino Linotype" w:cs="Palatino Linotype"/>
          <w:b/>
          <w:sz w:val="22"/>
          <w:szCs w:val="22"/>
        </w:rPr>
        <w:t>Secretaría de Finanzas</w:t>
      </w:r>
      <w:r w:rsidRPr="00F006AF">
        <w:rPr>
          <w:rFonts w:ascii="Palatino Linotype" w:eastAsia="Palatino Linotype" w:hAnsi="Palatino Linotype" w:cs="Palatino Linotype"/>
        </w:rPr>
        <w:t xml:space="preserve">, en lo sucesivo 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w:t>
      </w:r>
      <w:r w:rsidRPr="00F006AF">
        <w:rPr>
          <w:rFonts w:ascii="Palatino Linotype" w:eastAsia="Palatino Linotype" w:hAnsi="Palatino Linotype" w:cs="Palatino Linotype"/>
          <w:b/>
        </w:rPr>
        <w:t xml:space="preserve"> </w:t>
      </w:r>
      <w:r w:rsidRPr="00F006AF">
        <w:rPr>
          <w:rFonts w:ascii="Palatino Linotype" w:eastAsia="Palatino Linotype" w:hAnsi="Palatino Linotype" w:cs="Palatino Linotype"/>
        </w:rPr>
        <w:t xml:space="preserve">se procede a dictar la presente resolución, con base en lo siguiente. </w:t>
      </w:r>
    </w:p>
    <w:p w14:paraId="2E6E7EE7" w14:textId="77777777" w:rsidR="006639DB" w:rsidRPr="00F006AF" w:rsidRDefault="000E3CE0">
      <w:pPr>
        <w:pStyle w:val="Ttulo2"/>
        <w:jc w:val="center"/>
        <w:rPr>
          <w:rFonts w:ascii="Palatino Linotype" w:eastAsia="Palatino Linotype" w:hAnsi="Palatino Linotype" w:cs="Palatino Linotype"/>
          <w:b/>
          <w:color w:val="000000"/>
          <w:sz w:val="24"/>
          <w:szCs w:val="24"/>
        </w:rPr>
      </w:pPr>
      <w:r w:rsidRPr="00F006AF">
        <w:rPr>
          <w:rFonts w:ascii="Palatino Linotype" w:eastAsia="Palatino Linotype" w:hAnsi="Palatino Linotype" w:cs="Palatino Linotype"/>
          <w:b/>
          <w:color w:val="000000"/>
          <w:sz w:val="24"/>
          <w:szCs w:val="24"/>
        </w:rPr>
        <w:t>I. A N T E C E D E N T E S:</w:t>
      </w:r>
    </w:p>
    <w:p w14:paraId="60073A3C"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1. Solicitud de acceso a la información.</w:t>
      </w:r>
      <w:r w:rsidRPr="00F006AF">
        <w:rPr>
          <w:rFonts w:ascii="Palatino Linotype" w:eastAsia="Palatino Linotype" w:hAnsi="Palatino Linotype" w:cs="Palatino Linotype"/>
          <w:b/>
          <w:sz w:val="22"/>
          <w:szCs w:val="22"/>
        </w:rPr>
        <w:t xml:space="preserve"> </w:t>
      </w:r>
      <w:r w:rsidRPr="00F006AF">
        <w:rPr>
          <w:rFonts w:ascii="Palatino Linotype" w:eastAsia="Palatino Linotype" w:hAnsi="Palatino Linotype" w:cs="Palatino Linotype"/>
        </w:rPr>
        <w:t>Con fecha quince</w:t>
      </w:r>
      <w:r w:rsidRPr="00F006AF">
        <w:rPr>
          <w:rFonts w:ascii="Palatino Linotype" w:eastAsia="Palatino Linotype" w:hAnsi="Palatino Linotype" w:cs="Palatino Linotype"/>
          <w:b/>
        </w:rPr>
        <w:t xml:space="preserve"> de noviembre del dos mil veintidós,</w:t>
      </w:r>
      <w:r w:rsidRPr="00F006AF">
        <w:rPr>
          <w:rFonts w:ascii="Palatino Linotype" w:eastAsia="Palatino Linotype" w:hAnsi="Palatino Linotype" w:cs="Palatino Linotype"/>
        </w:rPr>
        <w:t xml:space="preserve"> la ahora parte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rPr>
        <w:t xml:space="preserve"> formuló solicitud de acceso a la información pública al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a través del Sistema de Acceso a la Información Mexiquense, en adelante </w:t>
      </w:r>
      <w:r w:rsidRPr="00F006AF">
        <w:rPr>
          <w:rFonts w:ascii="Palatino Linotype" w:eastAsia="Palatino Linotype" w:hAnsi="Palatino Linotype" w:cs="Palatino Linotype"/>
          <w:b/>
        </w:rPr>
        <w:t>SAIMEX,</w:t>
      </w:r>
      <w:r w:rsidRPr="00F006AF">
        <w:rPr>
          <w:rFonts w:ascii="Palatino Linotype" w:eastAsia="Palatino Linotype" w:hAnsi="Palatino Linotype" w:cs="Palatino Linotype"/>
        </w:rPr>
        <w:t xml:space="preserve"> requiriendo lo siguiente:</w:t>
      </w:r>
    </w:p>
    <w:p w14:paraId="1051F33B" w14:textId="77777777" w:rsidR="006639DB" w:rsidRPr="00F006AF" w:rsidRDefault="000E3CE0">
      <w:pPr>
        <w:spacing w:before="240"/>
        <w:ind w:left="851"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“Solicito el nombre de los sujetos evaluados que NO realizaron la evaluación señalada en el Programa Anual de Evaluación (PAE) desde el año 2013 hasta el año 2021 y que por ende no están publicadas en la página web de transparencia fiscal de la Secretaría de Finanzas. Solicito el nombre de los sujetos evaluados que no han dado cumplimiento a los hallazgos, recomendaciones y/o Aspectos Susceptibles de Mejora derivadas de sus respectivas evaluaciones desde el año 2013 hasta el año 2021 y que por ende no hay un Acta de Cumplimiento que de fe de lo antes expuesto y que por ende no están publicada en la página web de transparencia fiscal de la Secretaría de Finanzas. ¿Cuál es la normatividad estatal aplicable al Programa Anual de Evaluación (PAE), en cuanto a las sanciones en caso de incumplir con alguna evaluación o con la </w:t>
      </w:r>
      <w:proofErr w:type="spellStart"/>
      <w:r w:rsidRPr="00F006AF">
        <w:rPr>
          <w:rFonts w:ascii="Palatino Linotype" w:eastAsia="Palatino Linotype" w:hAnsi="Palatino Linotype" w:cs="Palatino Linotype"/>
          <w:i/>
          <w:sz w:val="22"/>
          <w:szCs w:val="22"/>
        </w:rPr>
        <w:t>solventación</w:t>
      </w:r>
      <w:proofErr w:type="spellEnd"/>
      <w:r w:rsidRPr="00F006AF">
        <w:rPr>
          <w:rFonts w:ascii="Palatino Linotype" w:eastAsia="Palatino Linotype" w:hAnsi="Palatino Linotype" w:cs="Palatino Linotype"/>
          <w:i/>
          <w:sz w:val="22"/>
          <w:szCs w:val="22"/>
        </w:rPr>
        <w:t xml:space="preserve"> (atención) de hallazgos, recomendaciones y/o Aspectos Susceptibles de Mejora (ASM).? </w:t>
      </w:r>
      <w:r w:rsidRPr="00F006AF">
        <w:rPr>
          <w:rFonts w:ascii="Palatino Linotype" w:eastAsia="Palatino Linotype" w:hAnsi="Palatino Linotype" w:cs="Palatino Linotype"/>
          <w:i/>
          <w:sz w:val="22"/>
          <w:szCs w:val="22"/>
        </w:rPr>
        <w:lastRenderedPageBreak/>
        <w:t xml:space="preserve">¿Cuántas responsabilidades fincadas y/o sanciones de cualquier tipo, se ejecutaron a servidores públicos, derivado del incumplimiento al Programa Anual de Evaluación (PAE), a la normatividad aplicable al PAE y a cada convenio para la mejora del desempeño y resultados gubernamentales, desde el año 2013 hasta el año 2021 (por año y sujeto evaluado).? ¿Cuáles son los actos u omisiones que, de acuerdo a la normatividad aplicable al Programa Anual de Evaluación (PAE) y a los "convenios para la mejora del desempeño y resultados gubernamentales", son acreedores de sanciones de cualquier tipo o de que se finque alguna responsabilidad? Solicito nombres, cargo y profesión, de los servidores públicos que actualmente laboran en la Dirección General de Evaluación del Desempeño Institucional y que son los responsables de coordinar la implementación del PAE , así como de llevar a cabo TODO lo señalado en el artículo 22 Bis, fracciones I, VI y VIII del Reglamento Interior de la Secretaría de Finanzas; así como también </w:t>
      </w:r>
      <w:proofErr w:type="spellStart"/>
      <w:r w:rsidRPr="00F006AF">
        <w:rPr>
          <w:rFonts w:ascii="Palatino Linotype" w:eastAsia="Palatino Linotype" w:hAnsi="Palatino Linotype" w:cs="Palatino Linotype"/>
          <w:i/>
          <w:sz w:val="22"/>
          <w:szCs w:val="22"/>
        </w:rPr>
        <w:t>antiguedad</w:t>
      </w:r>
      <w:proofErr w:type="spellEnd"/>
      <w:r w:rsidRPr="00F006AF">
        <w:rPr>
          <w:rFonts w:ascii="Palatino Linotype" w:eastAsia="Palatino Linotype" w:hAnsi="Palatino Linotype" w:cs="Palatino Linotype"/>
          <w:i/>
          <w:sz w:val="22"/>
          <w:szCs w:val="22"/>
        </w:rPr>
        <w:t xml:space="preserve"> en el puesto; constancias de capacitación en materia de Evaluación de Programas Presupuestarios y Metodología de Marco Lógico; y cuál es su experiencia en materia de PAE, en el periodo de los últimos 5 años. En el caso de los Sujetos Evaluados que NO contrataron evaluadores externos para el Programa Anual de Evaluaciones, de cada Sujeto Evaluado requiero lo siguiente de los años 2018 al año 2021: 1.- Nombre, cargo y profesión de los servidores públicos que desarrollaron la evaluación. 2.- Constancias de los servidores públicos que desarrollaron la evaluación, en materia de Evaluación de Programas Presupuestarios y Metodología de Marco Lógico. En relación al Programa Anual de Evaluación 2022, solicito las conciliaciones para revisar avances de la evaluación de los meses de julio y septiembre, de cada sujeto evaluado, así como las medidas que se han implementado (documentadas) para aquellos que no han tenido avance alguno en el desarrollo de la evaluación. Por último, qué acciones, sanciones o medidas se </w:t>
      </w:r>
      <w:proofErr w:type="gramStart"/>
      <w:r w:rsidRPr="00F006AF">
        <w:rPr>
          <w:rFonts w:ascii="Palatino Linotype" w:eastAsia="Palatino Linotype" w:hAnsi="Palatino Linotype" w:cs="Palatino Linotype"/>
          <w:i/>
          <w:sz w:val="22"/>
          <w:szCs w:val="22"/>
        </w:rPr>
        <w:t>implementaran</w:t>
      </w:r>
      <w:proofErr w:type="gramEnd"/>
      <w:r w:rsidRPr="00F006AF">
        <w:rPr>
          <w:rFonts w:ascii="Palatino Linotype" w:eastAsia="Palatino Linotype" w:hAnsi="Palatino Linotype" w:cs="Palatino Linotype"/>
          <w:i/>
          <w:sz w:val="22"/>
          <w:szCs w:val="22"/>
        </w:rPr>
        <w:t xml:space="preserve"> a los sujetos evaluados que en diciembre 2022 no entreguen su evaluación del PAE 2022, correspondiente al ejercicio fiscal 2021. “(Sic)</w:t>
      </w:r>
    </w:p>
    <w:p w14:paraId="32ECD356" w14:textId="77777777" w:rsidR="006639DB" w:rsidRPr="00F006AF" w:rsidRDefault="006639DB">
      <w:pPr>
        <w:spacing w:after="240" w:line="360" w:lineRule="auto"/>
        <w:jc w:val="both"/>
        <w:rPr>
          <w:rFonts w:ascii="Palatino Linotype" w:eastAsia="Palatino Linotype" w:hAnsi="Palatino Linotype" w:cs="Palatino Linotype"/>
          <w:b/>
        </w:rPr>
      </w:pPr>
    </w:p>
    <w:p w14:paraId="427446DC" w14:textId="77777777" w:rsidR="006639DB" w:rsidRPr="00F006AF" w:rsidRDefault="000E3CE0">
      <w:pPr>
        <w:spacing w:before="240" w:after="240"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b/>
        </w:rPr>
        <w:t>Modalidad de entrega de la información</w:t>
      </w:r>
      <w:r w:rsidRPr="00F006AF">
        <w:rPr>
          <w:rFonts w:ascii="Palatino Linotype" w:eastAsia="Palatino Linotype" w:hAnsi="Palatino Linotype" w:cs="Palatino Linotype"/>
        </w:rPr>
        <w:t xml:space="preserve">: A través del SAIMEX. </w:t>
      </w:r>
    </w:p>
    <w:p w14:paraId="01CF3DBE"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lastRenderedPageBreak/>
        <w:t xml:space="preserve">2. Respuesta. </w:t>
      </w:r>
      <w:r w:rsidRPr="00F006AF">
        <w:rPr>
          <w:rFonts w:ascii="Palatino Linotype" w:eastAsia="Palatino Linotype" w:hAnsi="Palatino Linotype" w:cs="Palatino Linotype"/>
        </w:rPr>
        <w:t xml:space="preserve">Con fecha </w:t>
      </w:r>
      <w:proofErr w:type="gramStart"/>
      <w:r w:rsidRPr="00F006AF">
        <w:rPr>
          <w:rFonts w:ascii="Palatino Linotype" w:eastAsia="Palatino Linotype" w:hAnsi="Palatino Linotype" w:cs="Palatino Linotype"/>
          <w:b/>
        </w:rPr>
        <w:t>siete  de</w:t>
      </w:r>
      <w:proofErr w:type="gramEnd"/>
      <w:r w:rsidRPr="00F006AF">
        <w:rPr>
          <w:rFonts w:ascii="Palatino Linotype" w:eastAsia="Palatino Linotype" w:hAnsi="Palatino Linotype" w:cs="Palatino Linotype"/>
          <w:b/>
        </w:rPr>
        <w:t xml:space="preserve"> diciembre del dos mil veintidós</w:t>
      </w:r>
      <w:r w:rsidRPr="00F006AF">
        <w:rPr>
          <w:rFonts w:ascii="Palatino Linotype" w:eastAsia="Palatino Linotype" w:hAnsi="Palatino Linotype" w:cs="Palatino Linotype"/>
        </w:rPr>
        <w:t xml:space="preserve">, 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otorgó, a través del </w:t>
      </w:r>
      <w:r w:rsidRPr="00F006AF">
        <w:rPr>
          <w:rFonts w:ascii="Palatino Linotype" w:eastAsia="Palatino Linotype" w:hAnsi="Palatino Linotype" w:cs="Palatino Linotype"/>
          <w:b/>
        </w:rPr>
        <w:t>SAIMEX</w:t>
      </w:r>
      <w:r w:rsidRPr="00F006AF">
        <w:rPr>
          <w:rFonts w:ascii="Palatino Linotype" w:eastAsia="Palatino Linotype" w:hAnsi="Palatino Linotype" w:cs="Palatino Linotype"/>
        </w:rPr>
        <w:t>, respuesta a la solicitud de acceso a la información de la siguiente manera:</w:t>
      </w:r>
    </w:p>
    <w:p w14:paraId="06805102" w14:textId="77777777" w:rsidR="006639DB" w:rsidRPr="00F006AF" w:rsidRDefault="000E3CE0">
      <w:pPr>
        <w:spacing w:before="240"/>
        <w:ind w:left="851"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B068F0" w14:textId="77777777" w:rsidR="006639DB" w:rsidRPr="00F006AF" w:rsidRDefault="000E3CE0">
      <w:pPr>
        <w:ind w:left="851"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Sobre el particular, sírvase encontrar en archivo adjunto copia del oficio de notificación número 20700004S/UT-2070/2022 mediante el cual se detalla lo referente a su solicitud. (Sic)</w:t>
      </w:r>
    </w:p>
    <w:p w14:paraId="21B673EE" w14:textId="77777777" w:rsidR="006639DB" w:rsidRPr="00F006AF" w:rsidRDefault="006639DB">
      <w:pPr>
        <w:ind w:left="851" w:right="902"/>
        <w:jc w:val="both"/>
        <w:rPr>
          <w:rFonts w:ascii="Palatino Linotype" w:eastAsia="Palatino Linotype" w:hAnsi="Palatino Linotype" w:cs="Palatino Linotype"/>
          <w:i/>
          <w:sz w:val="22"/>
          <w:szCs w:val="22"/>
        </w:rPr>
      </w:pPr>
    </w:p>
    <w:p w14:paraId="6F8A373F" w14:textId="77777777" w:rsidR="006639DB" w:rsidRPr="00F006AF" w:rsidRDefault="000E3CE0">
      <w:pPr>
        <w:ind w:left="851"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(Énfasis añadido)</w:t>
      </w:r>
    </w:p>
    <w:p w14:paraId="24765144" w14:textId="77777777" w:rsidR="006639DB" w:rsidRPr="00F006AF" w:rsidRDefault="006639DB">
      <w:pPr>
        <w:ind w:left="851" w:right="902"/>
        <w:jc w:val="both"/>
        <w:rPr>
          <w:rFonts w:ascii="Palatino Linotype" w:eastAsia="Palatino Linotype" w:hAnsi="Palatino Linotype" w:cs="Palatino Linotype"/>
          <w:sz w:val="22"/>
          <w:szCs w:val="22"/>
        </w:rPr>
      </w:pPr>
    </w:p>
    <w:p w14:paraId="6A186E66" w14:textId="77777777" w:rsidR="006639DB" w:rsidRPr="00F006AF" w:rsidRDefault="006639DB">
      <w:pPr>
        <w:ind w:left="851" w:right="902"/>
        <w:jc w:val="both"/>
        <w:rPr>
          <w:rFonts w:ascii="Palatino Linotype" w:eastAsia="Palatino Linotype" w:hAnsi="Palatino Linotype" w:cs="Palatino Linotype"/>
          <w:sz w:val="22"/>
          <w:szCs w:val="22"/>
        </w:rPr>
      </w:pPr>
    </w:p>
    <w:p w14:paraId="465030F2" w14:textId="77777777" w:rsidR="006639DB" w:rsidRPr="00F006AF" w:rsidRDefault="000E3CE0">
      <w:pPr>
        <w:spacing w:after="240" w:line="360" w:lineRule="auto"/>
        <w:ind w:right="49"/>
        <w:jc w:val="both"/>
        <w:rPr>
          <w:rFonts w:ascii="Palatino Linotype" w:eastAsia="Palatino Linotype" w:hAnsi="Palatino Linotype" w:cs="Palatino Linotype"/>
        </w:rPr>
      </w:pPr>
      <w:r w:rsidRPr="00F006AF">
        <w:rPr>
          <w:rFonts w:ascii="Palatino Linotype" w:eastAsia="Palatino Linotype" w:hAnsi="Palatino Linotype" w:cs="Palatino Linotype"/>
          <w:sz w:val="22"/>
          <w:szCs w:val="22"/>
        </w:rPr>
        <w:t xml:space="preserve"> En </w:t>
      </w:r>
      <w:r w:rsidRPr="00F006AF">
        <w:rPr>
          <w:rFonts w:ascii="Palatino Linotype" w:eastAsia="Palatino Linotype" w:hAnsi="Palatino Linotype" w:cs="Palatino Linotype"/>
        </w:rPr>
        <w:t xml:space="preserve">su respuesta 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proporcionó los archivos digitales siguientes: </w:t>
      </w:r>
    </w:p>
    <w:p w14:paraId="0D72915A" w14:textId="77777777" w:rsidR="006639DB" w:rsidRPr="00F006AF" w:rsidRDefault="000E3CE0">
      <w:pPr>
        <w:numPr>
          <w:ilvl w:val="0"/>
          <w:numId w:val="9"/>
        </w:numPr>
        <w:pBdr>
          <w:top w:val="nil"/>
          <w:left w:val="nil"/>
          <w:bottom w:val="nil"/>
          <w:right w:val="nil"/>
          <w:between w:val="nil"/>
        </w:pBdr>
        <w:spacing w:before="240" w:line="360" w:lineRule="auto"/>
        <w:ind w:left="851" w:right="49" w:hanging="284"/>
        <w:jc w:val="both"/>
        <w:rPr>
          <w:rFonts w:ascii="Palatino Linotype" w:eastAsia="Palatino Linotype" w:hAnsi="Palatino Linotype" w:cs="Palatino Linotype"/>
          <w:b/>
          <w:color w:val="000000"/>
        </w:rPr>
      </w:pPr>
      <w:r w:rsidRPr="00F006AF">
        <w:rPr>
          <w:rFonts w:ascii="Palatino Linotype" w:eastAsia="Palatino Linotype" w:hAnsi="Palatino Linotype" w:cs="Palatino Linotype"/>
          <w:b/>
          <w:i/>
          <w:color w:val="000000"/>
        </w:rPr>
        <w:t xml:space="preserve">524 </w:t>
      </w:r>
      <w:proofErr w:type="gramStart"/>
      <w:r w:rsidRPr="00F006AF">
        <w:rPr>
          <w:rFonts w:ascii="Palatino Linotype" w:eastAsia="Palatino Linotype" w:hAnsi="Palatino Linotype" w:cs="Palatino Linotype"/>
          <w:b/>
          <w:i/>
          <w:color w:val="000000"/>
        </w:rPr>
        <w:t>SSPP.pdf</w:t>
      </w:r>
      <w:r w:rsidRPr="00F006AF">
        <w:rPr>
          <w:rFonts w:ascii="Palatino Linotype" w:eastAsia="Palatino Linotype" w:hAnsi="Palatino Linotype" w:cs="Palatino Linotype"/>
          <w:b/>
          <w:color w:val="000000"/>
        </w:rPr>
        <w:t xml:space="preserve"> :</w:t>
      </w:r>
      <w:proofErr w:type="gramEnd"/>
      <w:r w:rsidRPr="00F006AF">
        <w:rPr>
          <w:rFonts w:ascii="Palatino Linotype" w:eastAsia="Palatino Linotype" w:hAnsi="Palatino Linotype" w:cs="Palatino Linotype"/>
          <w:b/>
          <w:color w:val="000000"/>
        </w:rPr>
        <w:t xml:space="preserve"> </w:t>
      </w:r>
      <w:r w:rsidRPr="00F006AF">
        <w:rPr>
          <w:rFonts w:ascii="Palatino Linotype" w:eastAsia="Palatino Linotype" w:hAnsi="Palatino Linotype" w:cs="Palatino Linotype"/>
          <w:color w:val="000000"/>
        </w:rPr>
        <w:t xml:space="preserve">Contiene el oficio 20704000020000/250/2022 de fecha 29 de noviembre de 2022, suscrito por la Servidora Pública Habilitada de la Subsecretaria de Planeación y Presupuesto, en cuyo contenido se tiene: </w:t>
      </w:r>
    </w:p>
    <w:p w14:paraId="7F3EF093" w14:textId="77777777" w:rsidR="006639DB" w:rsidRPr="00F006AF" w:rsidRDefault="006639DB">
      <w:pPr>
        <w:pBdr>
          <w:top w:val="nil"/>
          <w:left w:val="nil"/>
          <w:bottom w:val="nil"/>
          <w:right w:val="nil"/>
          <w:between w:val="nil"/>
        </w:pBdr>
        <w:spacing w:line="360" w:lineRule="auto"/>
        <w:ind w:left="1571" w:right="902"/>
        <w:jc w:val="both"/>
        <w:rPr>
          <w:rFonts w:ascii="Palatino Linotype" w:eastAsia="Palatino Linotype" w:hAnsi="Palatino Linotype" w:cs="Palatino Linotype"/>
          <w:b/>
          <w:color w:val="000000"/>
        </w:rPr>
      </w:pPr>
    </w:p>
    <w:p w14:paraId="2CA0312A" w14:textId="77777777" w:rsidR="006639DB" w:rsidRPr="00F006AF" w:rsidRDefault="006639DB">
      <w:pPr>
        <w:pBdr>
          <w:top w:val="nil"/>
          <w:left w:val="nil"/>
          <w:bottom w:val="nil"/>
          <w:right w:val="nil"/>
          <w:between w:val="nil"/>
        </w:pBdr>
        <w:spacing w:line="360" w:lineRule="auto"/>
        <w:ind w:left="1571" w:right="902"/>
        <w:jc w:val="both"/>
        <w:rPr>
          <w:rFonts w:ascii="Palatino Linotype" w:eastAsia="Palatino Linotype" w:hAnsi="Palatino Linotype" w:cs="Palatino Linotype"/>
          <w:b/>
          <w:color w:val="000000"/>
        </w:rPr>
      </w:pPr>
    </w:p>
    <w:p w14:paraId="188AD22E" w14:textId="77777777" w:rsidR="006639DB" w:rsidRPr="00F006AF" w:rsidRDefault="000E3CE0">
      <w:pPr>
        <w:pBdr>
          <w:top w:val="nil"/>
          <w:left w:val="nil"/>
          <w:bottom w:val="nil"/>
          <w:right w:val="nil"/>
          <w:between w:val="nil"/>
        </w:pBdr>
        <w:ind w:right="902"/>
        <w:rPr>
          <w:rFonts w:ascii="Palatino Linotype" w:eastAsia="Palatino Linotype" w:hAnsi="Palatino Linotype" w:cs="Palatino Linotype"/>
          <w:b/>
          <w:color w:val="000000"/>
        </w:rPr>
      </w:pPr>
      <w:r w:rsidRPr="00F006AF">
        <w:rPr>
          <w:rFonts w:ascii="Palatino Linotype" w:eastAsia="Palatino Linotype" w:hAnsi="Palatino Linotype" w:cs="Palatino Linotype"/>
          <w:b/>
          <w:noProof/>
          <w:color w:val="000000"/>
          <w:lang w:val="es-MX"/>
        </w:rPr>
        <w:lastRenderedPageBreak/>
        <w:drawing>
          <wp:inline distT="0" distB="0" distL="0" distR="0" wp14:anchorId="2220EA30" wp14:editId="63C50868">
            <wp:extent cx="5577840" cy="7040880"/>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77840" cy="7040880"/>
                    </a:xfrm>
                    <a:prstGeom prst="rect">
                      <a:avLst/>
                    </a:prstGeom>
                    <a:ln/>
                  </pic:spPr>
                </pic:pic>
              </a:graphicData>
            </a:graphic>
          </wp:inline>
        </w:drawing>
      </w:r>
    </w:p>
    <w:p w14:paraId="20ADF1D9" w14:textId="77777777" w:rsidR="006639DB" w:rsidRPr="00F006AF" w:rsidRDefault="006639DB">
      <w:pPr>
        <w:pBdr>
          <w:top w:val="nil"/>
          <w:left w:val="nil"/>
          <w:bottom w:val="nil"/>
          <w:right w:val="nil"/>
          <w:between w:val="nil"/>
        </w:pBdr>
        <w:ind w:left="1571" w:right="902"/>
        <w:jc w:val="both"/>
        <w:rPr>
          <w:rFonts w:ascii="Palatino Linotype" w:eastAsia="Palatino Linotype" w:hAnsi="Palatino Linotype" w:cs="Palatino Linotype"/>
          <w:b/>
          <w:color w:val="000000"/>
        </w:rPr>
      </w:pPr>
    </w:p>
    <w:p w14:paraId="4C23E214" w14:textId="77777777" w:rsidR="006639DB" w:rsidRPr="00F006AF" w:rsidRDefault="006639DB">
      <w:pPr>
        <w:pBdr>
          <w:top w:val="nil"/>
          <w:left w:val="nil"/>
          <w:bottom w:val="nil"/>
          <w:right w:val="nil"/>
          <w:between w:val="nil"/>
        </w:pBdr>
        <w:ind w:left="1571" w:right="902"/>
        <w:jc w:val="both"/>
        <w:rPr>
          <w:rFonts w:ascii="Palatino Linotype" w:eastAsia="Palatino Linotype" w:hAnsi="Palatino Linotype" w:cs="Palatino Linotype"/>
          <w:b/>
          <w:color w:val="000000"/>
        </w:rPr>
      </w:pPr>
    </w:p>
    <w:p w14:paraId="17A507B6" w14:textId="77777777" w:rsidR="006639DB" w:rsidRPr="00F006AF" w:rsidRDefault="006639DB">
      <w:pPr>
        <w:pBdr>
          <w:top w:val="nil"/>
          <w:left w:val="nil"/>
          <w:bottom w:val="nil"/>
          <w:right w:val="nil"/>
          <w:between w:val="nil"/>
        </w:pBdr>
        <w:ind w:left="1571" w:right="902"/>
        <w:jc w:val="both"/>
        <w:rPr>
          <w:rFonts w:ascii="Palatino Linotype" w:eastAsia="Palatino Linotype" w:hAnsi="Palatino Linotype" w:cs="Palatino Linotype"/>
          <w:b/>
          <w:color w:val="000000"/>
        </w:rPr>
      </w:pPr>
    </w:p>
    <w:p w14:paraId="3125A0EB" w14:textId="77777777" w:rsidR="006639DB" w:rsidRPr="00F006AF" w:rsidRDefault="000E3CE0">
      <w:pPr>
        <w:pBdr>
          <w:top w:val="nil"/>
          <w:left w:val="nil"/>
          <w:bottom w:val="nil"/>
          <w:right w:val="nil"/>
          <w:between w:val="nil"/>
        </w:pBdr>
        <w:ind w:right="902"/>
        <w:jc w:val="both"/>
        <w:rPr>
          <w:rFonts w:ascii="Palatino Linotype" w:eastAsia="Palatino Linotype" w:hAnsi="Palatino Linotype" w:cs="Palatino Linotype"/>
          <w:b/>
          <w:color w:val="000000"/>
        </w:rPr>
      </w:pPr>
      <w:r w:rsidRPr="00F006AF">
        <w:rPr>
          <w:rFonts w:ascii="Palatino Linotype" w:eastAsia="Palatino Linotype" w:hAnsi="Palatino Linotype" w:cs="Palatino Linotype"/>
          <w:b/>
          <w:noProof/>
          <w:color w:val="000000"/>
          <w:lang w:val="es-MX"/>
        </w:rPr>
        <w:drawing>
          <wp:inline distT="0" distB="0" distL="0" distR="0" wp14:anchorId="18E056E0" wp14:editId="717181B9">
            <wp:extent cx="5577840" cy="5857875"/>
            <wp:effectExtent l="0" t="0" r="3810" b="9525"/>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577840" cy="5857875"/>
                    </a:xfrm>
                    <a:prstGeom prst="rect">
                      <a:avLst/>
                    </a:prstGeom>
                    <a:ln/>
                  </pic:spPr>
                </pic:pic>
              </a:graphicData>
            </a:graphic>
          </wp:inline>
        </w:drawing>
      </w:r>
    </w:p>
    <w:p w14:paraId="0B9B1C02" w14:textId="77777777" w:rsidR="006639DB" w:rsidRPr="00F006AF" w:rsidRDefault="000E3CE0">
      <w:pPr>
        <w:pBdr>
          <w:top w:val="nil"/>
          <w:left w:val="nil"/>
          <w:bottom w:val="nil"/>
          <w:right w:val="nil"/>
          <w:between w:val="nil"/>
        </w:pBdr>
        <w:ind w:right="49"/>
        <w:jc w:val="both"/>
        <w:rPr>
          <w:rFonts w:ascii="Palatino Linotype" w:eastAsia="Palatino Linotype" w:hAnsi="Palatino Linotype" w:cs="Palatino Linotype"/>
          <w:b/>
          <w:color w:val="000000"/>
        </w:rPr>
      </w:pPr>
      <w:r w:rsidRPr="00F006AF">
        <w:rPr>
          <w:rFonts w:ascii="Palatino Linotype" w:eastAsia="Palatino Linotype" w:hAnsi="Palatino Linotype" w:cs="Palatino Linotype"/>
          <w:b/>
          <w:noProof/>
          <w:color w:val="000000"/>
          <w:lang w:val="es-MX"/>
        </w:rPr>
        <w:lastRenderedPageBreak/>
        <w:drawing>
          <wp:inline distT="0" distB="0" distL="0" distR="0" wp14:anchorId="2A8A98CF" wp14:editId="221507C1">
            <wp:extent cx="5543550" cy="6324600"/>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543550" cy="6324600"/>
                    </a:xfrm>
                    <a:prstGeom prst="rect">
                      <a:avLst/>
                    </a:prstGeom>
                    <a:ln/>
                  </pic:spPr>
                </pic:pic>
              </a:graphicData>
            </a:graphic>
          </wp:inline>
        </w:drawing>
      </w:r>
    </w:p>
    <w:p w14:paraId="588E3AE3" w14:textId="77777777" w:rsidR="006639DB" w:rsidRPr="00F006AF" w:rsidRDefault="006639DB">
      <w:pPr>
        <w:pBdr>
          <w:top w:val="nil"/>
          <w:left w:val="nil"/>
          <w:bottom w:val="nil"/>
          <w:right w:val="nil"/>
          <w:between w:val="nil"/>
        </w:pBdr>
        <w:ind w:left="1571" w:right="902"/>
        <w:jc w:val="both"/>
        <w:rPr>
          <w:rFonts w:ascii="Palatino Linotype" w:eastAsia="Palatino Linotype" w:hAnsi="Palatino Linotype" w:cs="Palatino Linotype"/>
          <w:b/>
          <w:color w:val="000000"/>
        </w:rPr>
      </w:pPr>
    </w:p>
    <w:p w14:paraId="6375FF36" w14:textId="77777777" w:rsidR="006639DB" w:rsidRPr="00F006AF" w:rsidRDefault="006639DB">
      <w:pPr>
        <w:pBdr>
          <w:top w:val="nil"/>
          <w:left w:val="nil"/>
          <w:bottom w:val="nil"/>
          <w:right w:val="nil"/>
          <w:between w:val="nil"/>
        </w:pBdr>
        <w:ind w:left="1571" w:right="902"/>
        <w:jc w:val="both"/>
        <w:rPr>
          <w:rFonts w:ascii="Palatino Linotype" w:eastAsia="Palatino Linotype" w:hAnsi="Palatino Linotype" w:cs="Palatino Linotype"/>
          <w:b/>
          <w:color w:val="000000"/>
        </w:rPr>
      </w:pPr>
    </w:p>
    <w:p w14:paraId="40CCB846" w14:textId="77777777" w:rsidR="006639DB" w:rsidRPr="00F006AF" w:rsidRDefault="006639DB">
      <w:pPr>
        <w:pBdr>
          <w:top w:val="nil"/>
          <w:left w:val="nil"/>
          <w:bottom w:val="nil"/>
          <w:right w:val="nil"/>
          <w:between w:val="nil"/>
        </w:pBdr>
        <w:ind w:left="1571" w:right="902"/>
        <w:jc w:val="both"/>
        <w:rPr>
          <w:rFonts w:ascii="Palatino Linotype" w:eastAsia="Palatino Linotype" w:hAnsi="Palatino Linotype" w:cs="Palatino Linotype"/>
          <w:b/>
          <w:color w:val="000000"/>
        </w:rPr>
      </w:pPr>
    </w:p>
    <w:p w14:paraId="08C6205D" w14:textId="77777777" w:rsidR="006639DB" w:rsidRPr="00F006AF" w:rsidRDefault="000E3CE0">
      <w:pPr>
        <w:numPr>
          <w:ilvl w:val="0"/>
          <w:numId w:val="9"/>
        </w:num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rPr>
      </w:pPr>
      <w:r w:rsidRPr="00F006AF">
        <w:rPr>
          <w:rFonts w:ascii="Palatino Linotype" w:eastAsia="Palatino Linotype" w:hAnsi="Palatino Linotype" w:cs="Palatino Linotype"/>
          <w:b/>
          <w:color w:val="000000"/>
        </w:rPr>
        <w:lastRenderedPageBreak/>
        <w:t xml:space="preserve">UIPPE 524.pdf </w:t>
      </w:r>
      <w:r w:rsidRPr="00F006AF">
        <w:rPr>
          <w:rFonts w:ascii="Palatino Linotype" w:eastAsia="Palatino Linotype" w:hAnsi="Palatino Linotype" w:cs="Palatino Linotype"/>
          <w:color w:val="000000"/>
        </w:rPr>
        <w:t xml:space="preserve">en su contenido se advierte el oficio número 20700004S/UT-2070/2022, suscrito por el jefe de la </w:t>
      </w:r>
      <w:proofErr w:type="gramStart"/>
      <w:r w:rsidRPr="00F006AF">
        <w:rPr>
          <w:rFonts w:ascii="Palatino Linotype" w:eastAsia="Palatino Linotype" w:hAnsi="Palatino Linotype" w:cs="Palatino Linotype"/>
          <w:color w:val="000000"/>
        </w:rPr>
        <w:t>UIPPE  de</w:t>
      </w:r>
      <w:proofErr w:type="gramEnd"/>
      <w:r w:rsidRPr="00F006AF">
        <w:rPr>
          <w:rFonts w:ascii="Palatino Linotype" w:eastAsia="Palatino Linotype" w:hAnsi="Palatino Linotype" w:cs="Palatino Linotype"/>
          <w:color w:val="000000"/>
        </w:rPr>
        <w:t xml:space="preserve"> cuyo contenido se advierte: </w:t>
      </w:r>
    </w:p>
    <w:p w14:paraId="33D4357A" w14:textId="0ABB379A" w:rsidR="006639DB" w:rsidRPr="00F006AF" w:rsidRDefault="00BC25D2">
      <w:p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rPr>
      </w:pPr>
      <w:r w:rsidRPr="00BC25D2">
        <w:rPr>
          <w:rFonts w:ascii="Palatino Linotype" w:eastAsia="Palatino Linotype" w:hAnsi="Palatino Linotype" w:cs="Palatino Linotype"/>
          <w:b/>
          <w:color w:val="000000"/>
        </w:rPr>
        <w:drawing>
          <wp:inline distT="0" distB="0" distL="0" distR="0" wp14:anchorId="4B50B47C" wp14:editId="544F8627">
            <wp:extent cx="5420056" cy="5657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7650" cy="5665778"/>
                    </a:xfrm>
                    <a:prstGeom prst="rect">
                      <a:avLst/>
                    </a:prstGeom>
                  </pic:spPr>
                </pic:pic>
              </a:graphicData>
            </a:graphic>
          </wp:inline>
        </w:drawing>
      </w:r>
    </w:p>
    <w:p w14:paraId="6F144ACE" w14:textId="47899115" w:rsidR="006639DB" w:rsidRPr="00F006AF" w:rsidRDefault="006639DB">
      <w:pPr>
        <w:pBdr>
          <w:top w:val="nil"/>
          <w:left w:val="nil"/>
          <w:bottom w:val="nil"/>
          <w:right w:val="nil"/>
          <w:between w:val="nil"/>
        </w:pBdr>
        <w:spacing w:after="240"/>
        <w:ind w:right="902"/>
        <w:jc w:val="both"/>
        <w:rPr>
          <w:rFonts w:ascii="Palatino Linotype" w:eastAsia="Palatino Linotype" w:hAnsi="Palatino Linotype" w:cs="Palatino Linotype"/>
          <w:b/>
          <w:color w:val="000000"/>
        </w:rPr>
      </w:pPr>
    </w:p>
    <w:p w14:paraId="7886B798" w14:textId="77777777" w:rsidR="006639DB" w:rsidRPr="00F006AF" w:rsidRDefault="000E3CE0">
      <w:pPr>
        <w:spacing w:before="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lastRenderedPageBreak/>
        <w:t>3. Recurso de revisión.</w:t>
      </w:r>
      <w:r w:rsidRPr="00F006AF">
        <w:rPr>
          <w:rFonts w:ascii="Palatino Linotype" w:eastAsia="Palatino Linotype" w:hAnsi="Palatino Linotype" w:cs="Palatino Linotype"/>
          <w:b/>
          <w:sz w:val="22"/>
          <w:szCs w:val="22"/>
        </w:rPr>
        <w:t xml:space="preserve"> </w:t>
      </w:r>
      <w:r w:rsidRPr="00F006AF">
        <w:rPr>
          <w:rFonts w:ascii="Palatino Linotype" w:eastAsia="Palatino Linotype" w:hAnsi="Palatino Linotype" w:cs="Palatino Linotype"/>
        </w:rPr>
        <w:t xml:space="preserve">Inconforme con la respuesta recibida, la parte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rPr>
        <w:t xml:space="preserve"> interpuso en fecha doce de enero de la presente anualidad, el presente medio de impugnación expresando las siguientes manifestaciones:</w:t>
      </w:r>
    </w:p>
    <w:p w14:paraId="633E3EAC" w14:textId="77777777" w:rsidR="006639DB" w:rsidRPr="00F006AF" w:rsidRDefault="006639DB">
      <w:pPr>
        <w:spacing w:line="360" w:lineRule="auto"/>
        <w:jc w:val="both"/>
        <w:rPr>
          <w:rFonts w:ascii="Palatino Linotype" w:eastAsia="Palatino Linotype" w:hAnsi="Palatino Linotype" w:cs="Palatino Linotype"/>
        </w:rPr>
      </w:pPr>
    </w:p>
    <w:p w14:paraId="65F74172" w14:textId="77777777" w:rsidR="006639DB" w:rsidRPr="00F006AF" w:rsidRDefault="000E3CE0">
      <w:pPr>
        <w:spacing w:line="360" w:lineRule="auto"/>
        <w:ind w:left="567"/>
        <w:rPr>
          <w:rFonts w:ascii="Palatino Linotype" w:eastAsia="Palatino Linotype" w:hAnsi="Palatino Linotype" w:cs="Palatino Linotype"/>
          <w:b/>
        </w:rPr>
      </w:pPr>
      <w:r w:rsidRPr="00F006AF">
        <w:rPr>
          <w:rFonts w:ascii="Palatino Linotype" w:eastAsia="Palatino Linotype" w:hAnsi="Palatino Linotype" w:cs="Palatino Linotype"/>
          <w:b/>
        </w:rPr>
        <w:t>a) Acto impugnado.</w:t>
      </w:r>
    </w:p>
    <w:p w14:paraId="5996A102" w14:textId="77777777" w:rsidR="006639DB" w:rsidRPr="00F006AF" w:rsidRDefault="000E3CE0">
      <w:pPr>
        <w:ind w:left="851"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“La entrega de la información a la solicitud de información pública 00524/SF/IP/</w:t>
      </w:r>
      <w:proofErr w:type="gramStart"/>
      <w:r w:rsidRPr="00F006AF">
        <w:rPr>
          <w:rFonts w:ascii="Palatino Linotype" w:eastAsia="Palatino Linotype" w:hAnsi="Palatino Linotype" w:cs="Palatino Linotype"/>
          <w:i/>
          <w:sz w:val="22"/>
          <w:szCs w:val="22"/>
        </w:rPr>
        <w:t>2022”(</w:t>
      </w:r>
      <w:proofErr w:type="gramEnd"/>
      <w:r w:rsidRPr="00F006AF">
        <w:rPr>
          <w:rFonts w:ascii="Palatino Linotype" w:eastAsia="Palatino Linotype" w:hAnsi="Palatino Linotype" w:cs="Palatino Linotype"/>
          <w:i/>
          <w:sz w:val="22"/>
          <w:szCs w:val="22"/>
        </w:rPr>
        <w:t>Sic)</w:t>
      </w:r>
    </w:p>
    <w:p w14:paraId="02ABA777" w14:textId="77777777" w:rsidR="006639DB" w:rsidRPr="00F006AF" w:rsidRDefault="006639DB">
      <w:pPr>
        <w:ind w:left="851" w:right="902"/>
        <w:jc w:val="both"/>
        <w:rPr>
          <w:rFonts w:ascii="Palatino Linotype" w:eastAsia="Palatino Linotype" w:hAnsi="Palatino Linotype" w:cs="Palatino Linotype"/>
          <w:i/>
          <w:sz w:val="22"/>
          <w:szCs w:val="22"/>
        </w:rPr>
      </w:pPr>
    </w:p>
    <w:p w14:paraId="0E443CA0" w14:textId="77777777" w:rsidR="006639DB" w:rsidRPr="00F006AF" w:rsidRDefault="000E3CE0">
      <w:pPr>
        <w:spacing w:after="240" w:line="360" w:lineRule="auto"/>
        <w:ind w:left="567"/>
        <w:jc w:val="both"/>
        <w:rPr>
          <w:rFonts w:ascii="Palatino Linotype" w:eastAsia="Palatino Linotype" w:hAnsi="Palatino Linotype" w:cs="Palatino Linotype"/>
          <w:b/>
        </w:rPr>
      </w:pPr>
      <w:r w:rsidRPr="00F006AF">
        <w:rPr>
          <w:rFonts w:ascii="Palatino Linotype" w:eastAsia="Palatino Linotype" w:hAnsi="Palatino Linotype" w:cs="Palatino Linotype"/>
          <w:b/>
        </w:rPr>
        <w:t>b) Razones o motivos de inconformidad.</w:t>
      </w:r>
    </w:p>
    <w:p w14:paraId="6AD68909" w14:textId="77777777" w:rsidR="006639DB" w:rsidRPr="00F006AF" w:rsidRDefault="000E3CE0">
      <w:pPr>
        <w:spacing w:before="240" w:after="240"/>
        <w:ind w:left="851" w:right="616"/>
        <w:jc w:val="both"/>
        <w:rPr>
          <w:rFonts w:ascii="Palatino Linotype" w:eastAsia="Palatino Linotype" w:hAnsi="Palatino Linotype" w:cs="Palatino Linotype"/>
          <w:b/>
        </w:rPr>
      </w:pPr>
      <w:r w:rsidRPr="00F006AF">
        <w:rPr>
          <w:rFonts w:ascii="Palatino Linotype" w:eastAsia="Palatino Linotype" w:hAnsi="Palatino Linotype" w:cs="Palatino Linotype"/>
          <w:i/>
          <w:sz w:val="22"/>
          <w:szCs w:val="22"/>
        </w:rPr>
        <w:t xml:space="preserve">“No responde a los cuestionamientos para cada uno de los periodos señalados. No responde quienes son los sujetos obligados que no realizaron evaluaciones del PAE desde el año 2013 a la fecha, solo anexa la liga de transparencia fiscal, </w:t>
      </w:r>
      <w:proofErr w:type="spellStart"/>
      <w:r w:rsidRPr="00F006AF">
        <w:rPr>
          <w:rFonts w:ascii="Palatino Linotype" w:eastAsia="Palatino Linotype" w:hAnsi="Palatino Linotype" w:cs="Palatino Linotype"/>
          <w:i/>
          <w:sz w:val="22"/>
          <w:szCs w:val="22"/>
        </w:rPr>
        <w:t>si</w:t>
      </w:r>
      <w:proofErr w:type="spellEnd"/>
      <w:r w:rsidRPr="00F006AF">
        <w:rPr>
          <w:rFonts w:ascii="Palatino Linotype" w:eastAsia="Palatino Linotype" w:hAnsi="Palatino Linotype" w:cs="Palatino Linotype"/>
          <w:i/>
          <w:sz w:val="22"/>
          <w:szCs w:val="22"/>
        </w:rPr>
        <w:t xml:space="preserve"> embrago en esta liga solo están publicadas las evaluaciones realizadas, más no los sujetos evaluados que no las realizaron; así como también faltan los nombres de los sujetos evaluados que no cumplieron con los ASM y eso no </w:t>
      </w:r>
      <w:proofErr w:type="spellStart"/>
      <w:r w:rsidRPr="00F006AF">
        <w:rPr>
          <w:rFonts w:ascii="Palatino Linotype" w:eastAsia="Palatino Linotype" w:hAnsi="Palatino Linotype" w:cs="Palatino Linotype"/>
          <w:i/>
          <w:sz w:val="22"/>
          <w:szCs w:val="22"/>
        </w:rPr>
        <w:t>esta</w:t>
      </w:r>
      <w:proofErr w:type="spellEnd"/>
      <w:r w:rsidRPr="00F006AF">
        <w:rPr>
          <w:rFonts w:ascii="Palatino Linotype" w:eastAsia="Palatino Linotype" w:hAnsi="Palatino Linotype" w:cs="Palatino Linotype"/>
          <w:i/>
          <w:sz w:val="22"/>
          <w:szCs w:val="22"/>
        </w:rPr>
        <w:t xml:space="preserve"> en la liga que refieren, ni en los periodos solicitados. No dan información alguna de las sanciones por las omisiones y/o incumplimiento a las evaluaciones o la </w:t>
      </w:r>
      <w:proofErr w:type="spellStart"/>
      <w:r w:rsidRPr="00F006AF">
        <w:rPr>
          <w:rFonts w:ascii="Palatino Linotype" w:eastAsia="Palatino Linotype" w:hAnsi="Palatino Linotype" w:cs="Palatino Linotype"/>
          <w:i/>
          <w:sz w:val="22"/>
          <w:szCs w:val="22"/>
        </w:rPr>
        <w:t>solventación</w:t>
      </w:r>
      <w:proofErr w:type="spellEnd"/>
      <w:r w:rsidRPr="00F006AF">
        <w:rPr>
          <w:rFonts w:ascii="Palatino Linotype" w:eastAsia="Palatino Linotype" w:hAnsi="Palatino Linotype" w:cs="Palatino Linotype"/>
          <w:i/>
          <w:sz w:val="22"/>
          <w:szCs w:val="22"/>
        </w:rPr>
        <w:t xml:space="preserve"> de los ASM desde 2013 a la </w:t>
      </w:r>
      <w:proofErr w:type="gramStart"/>
      <w:r w:rsidRPr="00F006AF">
        <w:rPr>
          <w:rFonts w:ascii="Palatino Linotype" w:eastAsia="Palatino Linotype" w:hAnsi="Palatino Linotype" w:cs="Palatino Linotype"/>
          <w:i/>
          <w:sz w:val="22"/>
          <w:szCs w:val="22"/>
        </w:rPr>
        <w:t>fecha .</w:t>
      </w:r>
      <w:proofErr w:type="gramEnd"/>
      <w:r w:rsidRPr="00F006AF">
        <w:rPr>
          <w:rFonts w:ascii="Palatino Linotype" w:eastAsia="Palatino Linotype" w:hAnsi="Palatino Linotype" w:cs="Palatino Linotype"/>
          <w:i/>
          <w:sz w:val="22"/>
          <w:szCs w:val="22"/>
        </w:rPr>
        <w:t xml:space="preserve"> No ase anexa evidencia de la capacitación en materia de MML del personal de la Dirección de Evaluación del Desempeño Institucional a cargo del PAE. (Sic)</w:t>
      </w:r>
    </w:p>
    <w:p w14:paraId="435416FB"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 </w:t>
      </w:r>
      <w:r w:rsidRPr="00F006AF">
        <w:rPr>
          <w:rFonts w:ascii="Palatino Linotype" w:eastAsia="Palatino Linotype" w:hAnsi="Palatino Linotype" w:cs="Palatino Linotype"/>
          <w:b/>
        </w:rPr>
        <w:t xml:space="preserve">4. Turno. </w:t>
      </w:r>
      <w:r w:rsidRPr="00F006A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F006AF">
        <w:rPr>
          <w:rFonts w:ascii="Palatino Linotype" w:eastAsia="Palatino Linotype" w:hAnsi="Palatino Linotype" w:cs="Palatino Linotype"/>
          <w:b/>
        </w:rPr>
        <w:t>Comisionada</w:t>
      </w:r>
      <w:r w:rsidRPr="00F006AF">
        <w:rPr>
          <w:rFonts w:ascii="Palatino Linotype" w:eastAsia="Palatino Linotype" w:hAnsi="Palatino Linotype" w:cs="Palatino Linotype"/>
        </w:rPr>
        <w:t xml:space="preserve"> </w:t>
      </w:r>
      <w:r w:rsidRPr="00F006AF">
        <w:rPr>
          <w:rFonts w:ascii="Palatino Linotype" w:eastAsia="Palatino Linotype" w:hAnsi="Palatino Linotype" w:cs="Palatino Linotype"/>
          <w:b/>
        </w:rPr>
        <w:t>Guadalupe Ramírez Peña</w:t>
      </w:r>
      <w:r w:rsidRPr="00F006AF">
        <w:rPr>
          <w:rFonts w:ascii="Palatino Linotype" w:eastAsia="Palatino Linotype" w:hAnsi="Palatino Linotype" w:cs="Palatino Linotype"/>
        </w:rPr>
        <w:t xml:space="preserve"> a su análisis, estudio, elaboración del proyecto y presentación ante el Pleno de este Instituto.</w:t>
      </w:r>
    </w:p>
    <w:p w14:paraId="0C0266A4"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lastRenderedPageBreak/>
        <w:t xml:space="preserve">6. Admisión. </w:t>
      </w:r>
      <w:r w:rsidRPr="00F006AF">
        <w:rPr>
          <w:rFonts w:ascii="Palatino Linotype" w:eastAsia="Palatino Linotype" w:hAnsi="Palatino Linotype" w:cs="Palatino Linotype"/>
        </w:rPr>
        <w:t xml:space="preserve">Mediante auto de fecha </w:t>
      </w:r>
      <w:r w:rsidRPr="00F006AF">
        <w:rPr>
          <w:rFonts w:ascii="Palatino Linotype" w:eastAsia="Palatino Linotype" w:hAnsi="Palatino Linotype" w:cs="Palatino Linotype"/>
          <w:b/>
        </w:rPr>
        <w:t>diecisiete de enero de este año</w:t>
      </w:r>
      <w:r w:rsidRPr="00F006AF">
        <w:rPr>
          <w:rFonts w:ascii="Palatino Linotype" w:eastAsia="Palatino Linotype" w:hAnsi="Palatino Linotype" w:cs="Palatino Linotype"/>
        </w:rPr>
        <w:t xml:space="preserve">, este Órgano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532851AE" w14:textId="77777777" w:rsidR="006639DB" w:rsidRPr="00F006AF" w:rsidRDefault="000E3CE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b/>
          <w:color w:val="000000"/>
        </w:rPr>
        <w:t>7. Manifestaciones.</w:t>
      </w:r>
      <w:r w:rsidRPr="00F006AF">
        <w:rPr>
          <w:rFonts w:ascii="Palatino Linotype" w:eastAsia="Palatino Linotype" w:hAnsi="Palatino Linotype" w:cs="Palatino Linotype"/>
          <w:b/>
          <w:color w:val="000000"/>
          <w:sz w:val="28"/>
          <w:szCs w:val="28"/>
        </w:rPr>
        <w:t xml:space="preserve"> </w:t>
      </w:r>
      <w:r w:rsidRPr="00F006AF">
        <w:rPr>
          <w:rFonts w:ascii="Palatino Linotype" w:eastAsia="Palatino Linotype" w:hAnsi="Palatino Linotype" w:cs="Palatino Linotype"/>
          <w:color w:val="000000"/>
        </w:rPr>
        <w:t xml:space="preserve">De las constancias que integran el expediente en que se actúan se advierte que el </w:t>
      </w:r>
      <w:r w:rsidRPr="00F006AF">
        <w:rPr>
          <w:rFonts w:ascii="Palatino Linotype" w:eastAsia="Palatino Linotype" w:hAnsi="Palatino Linotype" w:cs="Palatino Linotype"/>
          <w:b/>
          <w:color w:val="000000"/>
        </w:rPr>
        <w:t xml:space="preserve">SUJETO </w:t>
      </w:r>
      <w:proofErr w:type="gramStart"/>
      <w:r w:rsidRPr="00F006AF">
        <w:rPr>
          <w:rFonts w:ascii="Palatino Linotype" w:eastAsia="Palatino Linotype" w:hAnsi="Palatino Linotype" w:cs="Palatino Linotype"/>
          <w:b/>
          <w:color w:val="000000"/>
        </w:rPr>
        <w:t>OBLIGADO</w:t>
      </w:r>
      <w:r w:rsidRPr="00F006AF">
        <w:rPr>
          <w:rFonts w:ascii="Palatino Linotype" w:eastAsia="Palatino Linotype" w:hAnsi="Palatino Linotype" w:cs="Palatino Linotype"/>
          <w:color w:val="000000"/>
        </w:rPr>
        <w:t xml:space="preserve">  emitió</w:t>
      </w:r>
      <w:proofErr w:type="gramEnd"/>
      <w:r w:rsidRPr="00F006AF">
        <w:rPr>
          <w:rFonts w:ascii="Palatino Linotype" w:eastAsia="Palatino Linotype" w:hAnsi="Palatino Linotype" w:cs="Palatino Linotype"/>
          <w:color w:val="000000"/>
        </w:rPr>
        <w:t xml:space="preserve"> pronunciamiento en fecha veintiséis de enero de la presente anualidad, adjuntando los archivos:</w:t>
      </w:r>
    </w:p>
    <w:p w14:paraId="4CD27194" w14:textId="77777777" w:rsidR="006639DB" w:rsidRPr="00F006AF" w:rsidRDefault="000E3CE0">
      <w:pPr>
        <w:widowControl w:val="0"/>
        <w:numPr>
          <w:ilvl w:val="0"/>
          <w:numId w:val="9"/>
        </w:numPr>
        <w:pBdr>
          <w:top w:val="nil"/>
          <w:left w:val="nil"/>
          <w:bottom w:val="nil"/>
          <w:right w:val="nil"/>
          <w:between w:val="nil"/>
        </w:pBdr>
        <w:spacing w:before="120" w:after="240" w:line="360" w:lineRule="auto"/>
        <w:ind w:left="709" w:hanging="70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b/>
          <w:color w:val="000000"/>
        </w:rPr>
        <w:t xml:space="preserve">204 Informe </w:t>
      </w:r>
      <w:proofErr w:type="gramStart"/>
      <w:r w:rsidRPr="00F006AF">
        <w:rPr>
          <w:rFonts w:ascii="Palatino Linotype" w:eastAsia="Palatino Linotype" w:hAnsi="Palatino Linotype" w:cs="Palatino Linotype"/>
          <w:b/>
          <w:color w:val="000000"/>
        </w:rPr>
        <w:t xml:space="preserve">Justificado.pdf  </w:t>
      </w:r>
      <w:r w:rsidRPr="00F006AF">
        <w:rPr>
          <w:rFonts w:ascii="Palatino Linotype" w:eastAsia="Palatino Linotype" w:hAnsi="Palatino Linotype" w:cs="Palatino Linotype"/>
          <w:color w:val="000000"/>
        </w:rPr>
        <w:t>en</w:t>
      </w:r>
      <w:proofErr w:type="gramEnd"/>
      <w:r w:rsidRPr="00F006AF">
        <w:rPr>
          <w:rFonts w:ascii="Palatino Linotype" w:eastAsia="Palatino Linotype" w:hAnsi="Palatino Linotype" w:cs="Palatino Linotype"/>
          <w:color w:val="000000"/>
        </w:rPr>
        <w:t xml:space="preserve"> su contenido se advierten los oficios 220000006030000L/0169/2022 y 22000010000S/UG/012/2022, en cuyo contenido se advierte que aporta los siguientes elementos nuevos: </w:t>
      </w:r>
    </w:p>
    <w:p w14:paraId="405C0DC9" w14:textId="77777777" w:rsidR="006639DB" w:rsidRPr="00F006AF" w:rsidRDefault="000E3CE0">
      <w:pPr>
        <w:widowControl w:val="0"/>
        <w:pBdr>
          <w:top w:val="nil"/>
          <w:left w:val="nil"/>
          <w:bottom w:val="nil"/>
          <w:right w:val="nil"/>
          <w:between w:val="nil"/>
        </w:pBdr>
        <w:tabs>
          <w:tab w:val="left" w:pos="709"/>
        </w:tabs>
        <w:spacing w:before="120" w:after="240" w:line="360" w:lineRule="auto"/>
        <w:ind w:left="1571" w:right="333" w:hanging="862"/>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noProof/>
          <w:color w:val="000000"/>
          <w:lang w:val="es-MX"/>
        </w:rPr>
        <w:lastRenderedPageBreak/>
        <w:drawing>
          <wp:inline distT="0" distB="0" distL="0" distR="0" wp14:anchorId="4F04956E" wp14:editId="7DE58495">
            <wp:extent cx="5078713" cy="2868091"/>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78713" cy="2868091"/>
                    </a:xfrm>
                    <a:prstGeom prst="rect">
                      <a:avLst/>
                    </a:prstGeom>
                    <a:ln/>
                  </pic:spPr>
                </pic:pic>
              </a:graphicData>
            </a:graphic>
          </wp:inline>
        </w:drawing>
      </w:r>
    </w:p>
    <w:p w14:paraId="2689BBC0" w14:textId="77777777" w:rsidR="006639DB" w:rsidRPr="00F006AF" w:rsidRDefault="000E3CE0">
      <w:pPr>
        <w:widowControl w:val="0"/>
        <w:pBdr>
          <w:top w:val="nil"/>
          <w:left w:val="nil"/>
          <w:bottom w:val="nil"/>
          <w:right w:val="nil"/>
          <w:between w:val="nil"/>
        </w:pBdr>
        <w:tabs>
          <w:tab w:val="left" w:pos="709"/>
        </w:tabs>
        <w:spacing w:before="120" w:after="240" w:line="360" w:lineRule="auto"/>
        <w:ind w:left="1571" w:hanging="720"/>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noProof/>
          <w:color w:val="000000"/>
          <w:lang w:val="es-MX"/>
        </w:rPr>
        <w:drawing>
          <wp:inline distT="0" distB="0" distL="0" distR="0" wp14:anchorId="691C5059" wp14:editId="7E4348DC">
            <wp:extent cx="5098973" cy="1207201"/>
            <wp:effectExtent l="0" t="0" r="0" b="0"/>
            <wp:docPr id="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098973" cy="1207201"/>
                    </a:xfrm>
                    <a:prstGeom prst="rect">
                      <a:avLst/>
                    </a:prstGeom>
                    <a:ln/>
                  </pic:spPr>
                </pic:pic>
              </a:graphicData>
            </a:graphic>
          </wp:inline>
        </w:drawing>
      </w:r>
    </w:p>
    <w:p w14:paraId="0CF48587" w14:textId="77777777" w:rsidR="006639DB" w:rsidRPr="00F006AF" w:rsidRDefault="000E3CE0">
      <w:pPr>
        <w:widowControl w:val="0"/>
        <w:numPr>
          <w:ilvl w:val="0"/>
          <w:numId w:val="9"/>
        </w:numPr>
        <w:pBdr>
          <w:top w:val="nil"/>
          <w:left w:val="nil"/>
          <w:bottom w:val="nil"/>
          <w:right w:val="nil"/>
          <w:between w:val="nil"/>
        </w:pBdr>
        <w:tabs>
          <w:tab w:val="left" w:pos="709"/>
        </w:tabs>
        <w:spacing w:before="120" w:after="240" w:line="360" w:lineRule="auto"/>
        <w:ind w:left="709" w:hanging="709"/>
        <w:jc w:val="both"/>
        <w:rPr>
          <w:rFonts w:ascii="Palatino Linotype" w:eastAsia="Palatino Linotype" w:hAnsi="Palatino Linotype" w:cs="Palatino Linotype"/>
          <w:color w:val="000000"/>
        </w:rPr>
      </w:pPr>
      <w:proofErr w:type="gramStart"/>
      <w:r w:rsidRPr="00F006AF">
        <w:rPr>
          <w:rFonts w:ascii="Palatino Linotype" w:eastAsia="Palatino Linotype" w:hAnsi="Palatino Linotype" w:cs="Palatino Linotype"/>
          <w:b/>
          <w:color w:val="000000"/>
        </w:rPr>
        <w:t xml:space="preserve">CT-2023-0006.pdf  </w:t>
      </w:r>
      <w:r w:rsidRPr="00F006AF">
        <w:rPr>
          <w:rFonts w:ascii="Palatino Linotype" w:eastAsia="Palatino Linotype" w:hAnsi="Palatino Linotype" w:cs="Palatino Linotype"/>
          <w:color w:val="000000"/>
        </w:rPr>
        <w:t>en</w:t>
      </w:r>
      <w:proofErr w:type="gramEnd"/>
      <w:r w:rsidRPr="00F006AF">
        <w:rPr>
          <w:rFonts w:ascii="Palatino Linotype" w:eastAsia="Palatino Linotype" w:hAnsi="Palatino Linotype" w:cs="Palatino Linotype"/>
          <w:color w:val="000000"/>
        </w:rPr>
        <w:t xml:space="preserve"> su contenido se advierte el acuerdo del Comité de Transparencia CT-2023-0006 a través del cual se determina lo siguiente:  </w:t>
      </w:r>
    </w:p>
    <w:p w14:paraId="1BB3382E" w14:textId="77777777" w:rsidR="006639DB" w:rsidRPr="00F006AF" w:rsidRDefault="000E3CE0">
      <w:pPr>
        <w:widowControl w:val="0"/>
        <w:tabs>
          <w:tab w:val="left" w:pos="709"/>
        </w:tabs>
        <w:spacing w:before="120" w:after="240" w:line="360" w:lineRule="auto"/>
        <w:ind w:left="1211"/>
        <w:jc w:val="both"/>
        <w:rPr>
          <w:rFonts w:ascii="Palatino Linotype" w:eastAsia="Palatino Linotype" w:hAnsi="Palatino Linotype" w:cs="Palatino Linotype"/>
        </w:rPr>
      </w:pPr>
      <w:r w:rsidRPr="00F006AF">
        <w:rPr>
          <w:noProof/>
          <w:lang w:val="es-MX"/>
        </w:rPr>
        <w:drawing>
          <wp:inline distT="0" distB="0" distL="0" distR="0" wp14:anchorId="764F1AA7" wp14:editId="53BE66E3">
            <wp:extent cx="4962414" cy="1196426"/>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962414" cy="1196426"/>
                    </a:xfrm>
                    <a:prstGeom prst="rect">
                      <a:avLst/>
                    </a:prstGeom>
                    <a:ln/>
                  </pic:spPr>
                </pic:pic>
              </a:graphicData>
            </a:graphic>
          </wp:inline>
        </w:drawing>
      </w:r>
    </w:p>
    <w:p w14:paraId="457EEFAA" w14:textId="77777777" w:rsidR="006639DB" w:rsidRPr="00F006AF" w:rsidRDefault="006639DB">
      <w:pPr>
        <w:widowControl w:val="0"/>
        <w:pBdr>
          <w:top w:val="nil"/>
          <w:left w:val="nil"/>
          <w:bottom w:val="nil"/>
          <w:right w:val="nil"/>
          <w:between w:val="nil"/>
        </w:pBdr>
        <w:tabs>
          <w:tab w:val="left" w:pos="709"/>
        </w:tabs>
        <w:spacing w:before="120" w:after="240" w:line="360" w:lineRule="auto"/>
        <w:ind w:left="709"/>
        <w:jc w:val="both"/>
        <w:rPr>
          <w:color w:val="000000"/>
        </w:rPr>
      </w:pPr>
    </w:p>
    <w:p w14:paraId="31BD1404" w14:textId="77777777" w:rsidR="006639DB" w:rsidRPr="00F006AF" w:rsidRDefault="000E3CE0">
      <w:pPr>
        <w:widowControl w:val="0"/>
        <w:numPr>
          <w:ilvl w:val="0"/>
          <w:numId w:val="9"/>
        </w:numPr>
        <w:pBdr>
          <w:top w:val="nil"/>
          <w:left w:val="nil"/>
          <w:bottom w:val="nil"/>
          <w:right w:val="nil"/>
          <w:between w:val="nil"/>
        </w:pBdr>
        <w:tabs>
          <w:tab w:val="left" w:pos="709"/>
        </w:tabs>
        <w:spacing w:before="120" w:after="240" w:line="360" w:lineRule="auto"/>
        <w:ind w:left="709" w:hanging="567"/>
        <w:jc w:val="both"/>
        <w:rPr>
          <w:color w:val="000000"/>
        </w:rPr>
      </w:pPr>
      <w:r w:rsidRPr="00F006AF">
        <w:rPr>
          <w:rFonts w:ascii="Palatino Linotype" w:eastAsia="Palatino Linotype" w:hAnsi="Palatino Linotype" w:cs="Palatino Linotype"/>
          <w:b/>
          <w:color w:val="000000"/>
        </w:rPr>
        <w:lastRenderedPageBreak/>
        <w:t xml:space="preserve">RR 204-2023 </w:t>
      </w:r>
      <w:proofErr w:type="gramStart"/>
      <w:r w:rsidRPr="00F006AF">
        <w:rPr>
          <w:rFonts w:ascii="Palatino Linotype" w:eastAsia="Palatino Linotype" w:hAnsi="Palatino Linotype" w:cs="Palatino Linotype"/>
          <w:b/>
          <w:color w:val="000000"/>
        </w:rPr>
        <w:t xml:space="preserve">SPP.pdf  </w:t>
      </w:r>
      <w:r w:rsidRPr="00F006AF">
        <w:rPr>
          <w:rFonts w:ascii="Palatino Linotype" w:eastAsia="Palatino Linotype" w:hAnsi="Palatino Linotype" w:cs="Palatino Linotype"/>
          <w:color w:val="000000"/>
        </w:rPr>
        <w:t>en</w:t>
      </w:r>
      <w:proofErr w:type="gramEnd"/>
      <w:r w:rsidRPr="00F006AF">
        <w:rPr>
          <w:rFonts w:ascii="Palatino Linotype" w:eastAsia="Palatino Linotype" w:hAnsi="Palatino Linotype" w:cs="Palatino Linotype"/>
          <w:color w:val="000000"/>
        </w:rPr>
        <w:t xml:space="preserve"> su contenido se advierte el oficio 20704000020000S/020/2023  de fecha 18 de enero de la presente anualidad, suscrito por la Servidora Pública Habilitada de la Subsecretaria de Planeación y Presupuesto, de cuyo contenido al tema que se analiza, se advierte:  </w:t>
      </w:r>
    </w:p>
    <w:p w14:paraId="3DB5AD54" w14:textId="77777777" w:rsidR="006639DB" w:rsidRPr="00F006AF" w:rsidRDefault="000E3CE0">
      <w:pPr>
        <w:widowControl w:val="0"/>
        <w:pBdr>
          <w:top w:val="nil"/>
          <w:left w:val="nil"/>
          <w:bottom w:val="nil"/>
          <w:right w:val="nil"/>
          <w:between w:val="nil"/>
        </w:pBdr>
        <w:tabs>
          <w:tab w:val="left" w:pos="709"/>
        </w:tabs>
        <w:spacing w:before="120" w:after="240" w:line="360" w:lineRule="auto"/>
        <w:ind w:left="708"/>
        <w:rPr>
          <w:color w:val="000000"/>
        </w:rPr>
      </w:pPr>
      <w:r w:rsidRPr="00F006AF">
        <w:rPr>
          <w:noProof/>
          <w:color w:val="000000"/>
          <w:lang w:val="es-MX"/>
        </w:rPr>
        <w:drawing>
          <wp:inline distT="0" distB="0" distL="0" distR="0" wp14:anchorId="4A7DF3CC" wp14:editId="5CFEB113">
            <wp:extent cx="5114925" cy="5429250"/>
            <wp:effectExtent l="0" t="0" r="9525"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114925" cy="5429250"/>
                    </a:xfrm>
                    <a:prstGeom prst="rect">
                      <a:avLst/>
                    </a:prstGeom>
                    <a:ln/>
                  </pic:spPr>
                </pic:pic>
              </a:graphicData>
            </a:graphic>
          </wp:inline>
        </w:drawing>
      </w:r>
    </w:p>
    <w:p w14:paraId="7DC73B1D" w14:textId="77777777" w:rsidR="006639DB" w:rsidRPr="00F006AF" w:rsidRDefault="006639DB">
      <w:pPr>
        <w:widowControl w:val="0"/>
        <w:pBdr>
          <w:top w:val="nil"/>
          <w:left w:val="nil"/>
          <w:bottom w:val="nil"/>
          <w:right w:val="nil"/>
          <w:between w:val="nil"/>
        </w:pBdr>
        <w:tabs>
          <w:tab w:val="left" w:pos="709"/>
        </w:tabs>
        <w:spacing w:before="120" w:after="240" w:line="360" w:lineRule="auto"/>
        <w:ind w:left="708"/>
        <w:rPr>
          <w:color w:val="000000"/>
        </w:rPr>
      </w:pPr>
    </w:p>
    <w:p w14:paraId="5F33D24D" w14:textId="77777777" w:rsidR="006639DB" w:rsidRPr="00F006AF" w:rsidRDefault="000E3CE0">
      <w:pPr>
        <w:widowControl w:val="0"/>
        <w:pBdr>
          <w:top w:val="nil"/>
          <w:left w:val="nil"/>
          <w:bottom w:val="nil"/>
          <w:right w:val="nil"/>
          <w:between w:val="nil"/>
        </w:pBdr>
        <w:tabs>
          <w:tab w:val="left" w:pos="709"/>
        </w:tabs>
        <w:spacing w:before="120" w:after="240" w:line="360" w:lineRule="auto"/>
        <w:ind w:left="708"/>
        <w:rPr>
          <w:color w:val="000000"/>
        </w:rPr>
      </w:pPr>
      <w:r w:rsidRPr="00F006AF">
        <w:rPr>
          <w:noProof/>
          <w:color w:val="000000"/>
          <w:lang w:val="es-MX"/>
        </w:rPr>
        <w:drawing>
          <wp:inline distT="0" distB="0" distL="0" distR="0" wp14:anchorId="31DC092F" wp14:editId="61591D66">
            <wp:extent cx="5212080" cy="6629400"/>
            <wp:effectExtent l="0" t="0" r="0" b="0"/>
            <wp:docPr id="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212080" cy="6629400"/>
                    </a:xfrm>
                    <a:prstGeom prst="rect">
                      <a:avLst/>
                    </a:prstGeom>
                    <a:ln/>
                  </pic:spPr>
                </pic:pic>
              </a:graphicData>
            </a:graphic>
          </wp:inline>
        </w:drawing>
      </w:r>
    </w:p>
    <w:p w14:paraId="6217BD18" w14:textId="77777777" w:rsidR="006639DB" w:rsidRPr="00F006AF" w:rsidRDefault="006639DB">
      <w:pPr>
        <w:widowControl w:val="0"/>
        <w:pBdr>
          <w:top w:val="nil"/>
          <w:left w:val="nil"/>
          <w:bottom w:val="nil"/>
          <w:right w:val="nil"/>
          <w:between w:val="nil"/>
        </w:pBdr>
        <w:tabs>
          <w:tab w:val="left" w:pos="709"/>
        </w:tabs>
        <w:spacing w:before="120" w:after="240" w:line="360" w:lineRule="auto"/>
        <w:ind w:left="1571"/>
        <w:rPr>
          <w:rFonts w:ascii="Palatino Linotype" w:eastAsia="Palatino Linotype" w:hAnsi="Palatino Linotype" w:cs="Palatino Linotype"/>
          <w:color w:val="000000"/>
        </w:rPr>
      </w:pPr>
    </w:p>
    <w:p w14:paraId="43BE3BDA" w14:textId="77777777" w:rsidR="006639DB" w:rsidRPr="00F006AF" w:rsidRDefault="000E3CE0">
      <w:pPr>
        <w:widowControl w:val="0"/>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8. Ampliación de plazo.</w:t>
      </w:r>
      <w:r w:rsidRPr="00F006AF">
        <w:rPr>
          <w:rFonts w:ascii="Palatino Linotype" w:eastAsia="Palatino Linotype" w:hAnsi="Palatino Linotype" w:cs="Palatino Linotype"/>
        </w:rPr>
        <w:t xml:space="preserve"> En fecha </w:t>
      </w:r>
      <w:r w:rsidRPr="00F006AF">
        <w:rPr>
          <w:rFonts w:ascii="Palatino Linotype" w:eastAsia="Palatino Linotype" w:hAnsi="Palatino Linotype" w:cs="Palatino Linotype"/>
          <w:b/>
        </w:rPr>
        <w:t>veinticinco de septiembre de dos mil veintitrés</w:t>
      </w:r>
      <w:r w:rsidRPr="00F006AF">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aplicación del plazo para su resolución.</w:t>
      </w:r>
    </w:p>
    <w:p w14:paraId="740AF6E1" w14:textId="77777777" w:rsidR="006639DB" w:rsidRPr="00F006AF" w:rsidRDefault="006639DB">
      <w:pPr>
        <w:widowControl w:val="0"/>
        <w:spacing w:line="360" w:lineRule="auto"/>
        <w:jc w:val="both"/>
        <w:rPr>
          <w:rFonts w:ascii="Palatino Linotype" w:eastAsia="Palatino Linotype" w:hAnsi="Palatino Linotype" w:cs="Palatino Linotype"/>
        </w:rPr>
      </w:pPr>
    </w:p>
    <w:p w14:paraId="63AE0A06"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C384CA" w14:textId="77777777" w:rsidR="006639DB" w:rsidRPr="00F006AF" w:rsidRDefault="006639DB">
      <w:pPr>
        <w:spacing w:line="360" w:lineRule="auto"/>
        <w:jc w:val="both"/>
        <w:rPr>
          <w:rFonts w:ascii="Palatino Linotype" w:eastAsia="Palatino Linotype" w:hAnsi="Palatino Linotype" w:cs="Palatino Linotype"/>
        </w:rPr>
      </w:pPr>
    </w:p>
    <w:p w14:paraId="35C9EF7B"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ello, es menester precisar </w:t>
      </w:r>
      <w:proofErr w:type="gramStart"/>
      <w:r w:rsidRPr="00F006AF">
        <w:rPr>
          <w:rFonts w:ascii="Palatino Linotype" w:eastAsia="Palatino Linotype" w:hAnsi="Palatino Linotype" w:cs="Palatino Linotype"/>
        </w:rPr>
        <w:t>que</w:t>
      </w:r>
      <w:proofErr w:type="gramEnd"/>
      <w:r w:rsidRPr="00F006AF">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EF52112" w14:textId="77777777" w:rsidR="006639DB" w:rsidRPr="00F006AF" w:rsidRDefault="006639DB">
      <w:pPr>
        <w:spacing w:line="360" w:lineRule="auto"/>
        <w:jc w:val="both"/>
        <w:rPr>
          <w:rFonts w:ascii="Palatino Linotype" w:eastAsia="Palatino Linotype" w:hAnsi="Palatino Linotype" w:cs="Palatino Linotype"/>
        </w:rPr>
      </w:pPr>
    </w:p>
    <w:p w14:paraId="3D026BC8"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F006AF">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20EDB2FF" w14:textId="77777777" w:rsidR="006639DB" w:rsidRPr="00F006AF" w:rsidRDefault="006639DB">
      <w:pPr>
        <w:spacing w:line="360" w:lineRule="auto"/>
        <w:jc w:val="both"/>
        <w:rPr>
          <w:rFonts w:ascii="Palatino Linotype" w:eastAsia="Palatino Linotype" w:hAnsi="Palatino Linotype" w:cs="Palatino Linotype"/>
        </w:rPr>
      </w:pPr>
    </w:p>
    <w:p w14:paraId="59F8A439"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2C0F267" w14:textId="77777777" w:rsidR="006639DB" w:rsidRPr="00F006AF" w:rsidRDefault="006639DB">
      <w:pPr>
        <w:spacing w:line="360" w:lineRule="auto"/>
        <w:jc w:val="both"/>
        <w:rPr>
          <w:rFonts w:ascii="Palatino Linotype" w:eastAsia="Palatino Linotype" w:hAnsi="Palatino Linotype" w:cs="Palatino Linotype"/>
        </w:rPr>
      </w:pPr>
    </w:p>
    <w:p w14:paraId="2F202F23" w14:textId="77777777" w:rsidR="006639DB" w:rsidRPr="00F006AF" w:rsidRDefault="000E3CE0">
      <w:pPr>
        <w:spacing w:line="360" w:lineRule="auto"/>
        <w:jc w:val="both"/>
        <w:rPr>
          <w:rFonts w:ascii="Palatino Linotype" w:eastAsia="Palatino Linotype" w:hAnsi="Palatino Linotype" w:cs="Palatino Linotype"/>
          <w:strike/>
          <w:color w:val="FF0000"/>
        </w:rPr>
      </w:pPr>
      <w:r w:rsidRPr="00F006A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0BD23C4" w14:textId="77777777" w:rsidR="006639DB" w:rsidRPr="00F006AF" w:rsidRDefault="006639DB">
      <w:pPr>
        <w:spacing w:line="360" w:lineRule="auto"/>
        <w:jc w:val="both"/>
        <w:rPr>
          <w:rFonts w:ascii="Palatino Linotype" w:eastAsia="Palatino Linotype" w:hAnsi="Palatino Linotype" w:cs="Palatino Linotype"/>
        </w:rPr>
      </w:pPr>
    </w:p>
    <w:p w14:paraId="7311C5B4" w14:textId="77777777" w:rsidR="006639DB" w:rsidRPr="00F006AF" w:rsidRDefault="000E3CE0">
      <w:pPr>
        <w:numPr>
          <w:ilvl w:val="0"/>
          <w:numId w:val="1"/>
        </w:num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BDA90BE" w14:textId="77777777" w:rsidR="006639DB" w:rsidRPr="00F006AF" w:rsidRDefault="006639DB">
      <w:pPr>
        <w:spacing w:line="360" w:lineRule="auto"/>
        <w:ind w:left="927"/>
        <w:jc w:val="both"/>
        <w:rPr>
          <w:rFonts w:ascii="Palatino Linotype" w:eastAsia="Palatino Linotype" w:hAnsi="Palatino Linotype" w:cs="Palatino Linotype"/>
        </w:rPr>
      </w:pPr>
    </w:p>
    <w:p w14:paraId="5AEF7BE6" w14:textId="77777777" w:rsidR="006639DB" w:rsidRPr="00F006AF" w:rsidRDefault="000E3CE0">
      <w:pPr>
        <w:numPr>
          <w:ilvl w:val="0"/>
          <w:numId w:val="1"/>
        </w:num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Actividad Procesal del interesado. Acciones u omisiones del interesado.</w:t>
      </w:r>
    </w:p>
    <w:p w14:paraId="30710D35" w14:textId="77777777" w:rsidR="006639DB" w:rsidRPr="00F006AF" w:rsidRDefault="006639DB">
      <w:pPr>
        <w:spacing w:line="360" w:lineRule="auto"/>
        <w:jc w:val="both"/>
        <w:rPr>
          <w:rFonts w:ascii="Palatino Linotype" w:eastAsia="Palatino Linotype" w:hAnsi="Palatino Linotype" w:cs="Palatino Linotype"/>
        </w:rPr>
      </w:pPr>
    </w:p>
    <w:p w14:paraId="7C147E3F" w14:textId="77777777" w:rsidR="006639DB" w:rsidRPr="00F006AF" w:rsidRDefault="000E3CE0">
      <w:pPr>
        <w:numPr>
          <w:ilvl w:val="0"/>
          <w:numId w:val="1"/>
        </w:num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Conducta de la Autoridad: Las Acciones u omisiones realizadas en el procedimiento. Así como si la autoridad actuó con la debida diligencia.</w:t>
      </w:r>
    </w:p>
    <w:p w14:paraId="393C287B" w14:textId="77777777" w:rsidR="006639DB" w:rsidRPr="00F006AF" w:rsidRDefault="006639DB">
      <w:pPr>
        <w:spacing w:line="360" w:lineRule="auto"/>
        <w:ind w:left="708"/>
        <w:rPr>
          <w:rFonts w:ascii="Palatino Linotype" w:eastAsia="Palatino Linotype" w:hAnsi="Palatino Linotype" w:cs="Palatino Linotype"/>
        </w:rPr>
      </w:pPr>
    </w:p>
    <w:p w14:paraId="53E9B83F" w14:textId="77777777" w:rsidR="006639DB" w:rsidRPr="00F006AF" w:rsidRDefault="000E3CE0">
      <w:pPr>
        <w:spacing w:line="360" w:lineRule="auto"/>
        <w:ind w:left="567"/>
        <w:jc w:val="both"/>
        <w:rPr>
          <w:rFonts w:ascii="Palatino Linotype" w:eastAsia="Palatino Linotype" w:hAnsi="Palatino Linotype" w:cs="Palatino Linotype"/>
        </w:rPr>
      </w:pPr>
      <w:r w:rsidRPr="00F006AF">
        <w:rPr>
          <w:rFonts w:ascii="Palatino Linotype" w:eastAsia="Palatino Linotype" w:hAnsi="Palatino Linotype" w:cs="Palatino Linotype"/>
        </w:rPr>
        <w:t>d) La afectación generada en la situación jurídica de la persona involucrada en el proceso: Violación a sus derechos humanos.</w:t>
      </w:r>
    </w:p>
    <w:p w14:paraId="484E2041" w14:textId="77777777" w:rsidR="006639DB" w:rsidRPr="00F006AF" w:rsidRDefault="006639DB">
      <w:pPr>
        <w:spacing w:line="360" w:lineRule="auto"/>
        <w:jc w:val="both"/>
        <w:rPr>
          <w:rFonts w:ascii="Palatino Linotype" w:eastAsia="Palatino Linotype" w:hAnsi="Palatino Linotype" w:cs="Palatino Linotype"/>
        </w:rPr>
      </w:pPr>
    </w:p>
    <w:p w14:paraId="78382F82"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837C86" w14:textId="77777777" w:rsidR="006639DB" w:rsidRPr="00F006AF" w:rsidRDefault="006639DB">
      <w:pPr>
        <w:spacing w:line="360" w:lineRule="auto"/>
        <w:jc w:val="both"/>
        <w:rPr>
          <w:rFonts w:ascii="Palatino Linotype" w:eastAsia="Palatino Linotype" w:hAnsi="Palatino Linotype" w:cs="Palatino Linotype"/>
        </w:rPr>
      </w:pPr>
    </w:p>
    <w:p w14:paraId="354CE28B" w14:textId="77777777" w:rsidR="006639DB" w:rsidRPr="00F006AF" w:rsidRDefault="000E3CE0">
      <w:pPr>
        <w:spacing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006A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006AF">
        <w:rPr>
          <w:rFonts w:ascii="Palatino Linotype" w:eastAsia="Palatino Linotype" w:hAnsi="Palatino Linotype" w:cs="Palatino Linotype"/>
        </w:rPr>
        <w:t>, visible en la Gaceta del Seminario Judicial de la Federación con el registro digital 205635.</w:t>
      </w:r>
    </w:p>
    <w:p w14:paraId="619BBB5F" w14:textId="77777777" w:rsidR="006639DB" w:rsidRPr="00F006AF" w:rsidRDefault="006639DB">
      <w:pPr>
        <w:spacing w:line="360" w:lineRule="auto"/>
        <w:jc w:val="both"/>
        <w:rPr>
          <w:rFonts w:ascii="Palatino Linotype" w:eastAsia="Palatino Linotype" w:hAnsi="Palatino Linotype" w:cs="Palatino Linotype"/>
        </w:rPr>
      </w:pPr>
    </w:p>
    <w:p w14:paraId="2E70134A"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F006AF">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1CA0C751" w14:textId="77777777" w:rsidR="006639DB" w:rsidRPr="00F006AF" w:rsidRDefault="006639DB">
      <w:pPr>
        <w:spacing w:line="360" w:lineRule="auto"/>
        <w:jc w:val="both"/>
        <w:rPr>
          <w:rFonts w:ascii="Palatino Linotype" w:eastAsia="Palatino Linotype" w:hAnsi="Palatino Linotype" w:cs="Palatino Linotype"/>
        </w:rPr>
      </w:pPr>
    </w:p>
    <w:p w14:paraId="5F0B2233"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92BEC13" w14:textId="77777777" w:rsidR="006639DB" w:rsidRPr="00F006AF" w:rsidRDefault="006639DB">
      <w:pPr>
        <w:spacing w:line="360" w:lineRule="auto"/>
        <w:jc w:val="both"/>
        <w:rPr>
          <w:rFonts w:ascii="Palatino Linotype" w:eastAsia="Palatino Linotype" w:hAnsi="Palatino Linotype" w:cs="Palatino Linotype"/>
        </w:rPr>
      </w:pPr>
    </w:p>
    <w:p w14:paraId="350C5DC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 </w:t>
      </w:r>
      <w:r w:rsidRPr="00F006AF">
        <w:rPr>
          <w:rFonts w:ascii="Palatino Linotype" w:eastAsia="Palatino Linotype" w:hAnsi="Palatino Linotype" w:cs="Palatino Linotype"/>
          <w:i/>
        </w:rPr>
        <w:t>“PLAZO RAZONABLE PARA RESOLVER. DIMENSIÓN Y EFECTOS DE ESTE CONCEPTO CUANDO SE ADUCE EXCESIVA CARGA DE TRABAJO.”</w:t>
      </w:r>
      <w:r w:rsidRPr="00F006AF">
        <w:rPr>
          <w:rFonts w:ascii="Palatino Linotype" w:eastAsia="Palatino Linotype" w:hAnsi="Palatino Linotype" w:cs="Palatino Linotype"/>
        </w:rPr>
        <w:t xml:space="preserve"> consultable en el Seminario Judicial de la Federación y su gaceta, con el registro digital 2002351.</w:t>
      </w:r>
    </w:p>
    <w:p w14:paraId="36779DED" w14:textId="77777777" w:rsidR="006639DB" w:rsidRPr="00F006AF" w:rsidRDefault="006639DB">
      <w:pPr>
        <w:spacing w:line="360" w:lineRule="auto"/>
        <w:jc w:val="both"/>
        <w:rPr>
          <w:rFonts w:ascii="Palatino Linotype" w:eastAsia="Palatino Linotype" w:hAnsi="Palatino Linotype" w:cs="Palatino Linotype"/>
          <w:b/>
        </w:rPr>
      </w:pPr>
    </w:p>
    <w:p w14:paraId="25F24AC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i/>
        </w:rPr>
        <w:t>“PLAZO RAZONABLE PARA RESOLVER. CONCEPTO Y ELEMENTOS QUE LO INTEGRAN A LA LUZ DEL DERECHO INTERNACIONAL DE LOS DERECHOS HUMANOS.”</w:t>
      </w:r>
      <w:r w:rsidRPr="00F006AF">
        <w:rPr>
          <w:rFonts w:ascii="Palatino Linotype" w:eastAsia="Palatino Linotype" w:hAnsi="Palatino Linotype" w:cs="Palatino Linotype"/>
        </w:rPr>
        <w:t>, visible en el Seminario Judicial de la Federación y su gaceta, con el registro digital 2002350.</w:t>
      </w:r>
    </w:p>
    <w:p w14:paraId="5B2B077C" w14:textId="77777777" w:rsidR="006639DB" w:rsidRPr="00F006AF" w:rsidRDefault="006639DB">
      <w:pPr>
        <w:spacing w:line="360" w:lineRule="auto"/>
        <w:jc w:val="both"/>
        <w:rPr>
          <w:rFonts w:ascii="Palatino Linotype" w:eastAsia="Palatino Linotype" w:hAnsi="Palatino Linotype" w:cs="Palatino Linotype"/>
        </w:rPr>
      </w:pPr>
    </w:p>
    <w:p w14:paraId="1CCB086D"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40EF20C" w14:textId="77777777" w:rsidR="006639DB" w:rsidRPr="00F006AF" w:rsidRDefault="006639DB">
      <w:pPr>
        <w:spacing w:line="360" w:lineRule="auto"/>
        <w:jc w:val="both"/>
        <w:rPr>
          <w:rFonts w:ascii="Palatino Linotype" w:eastAsia="Palatino Linotype" w:hAnsi="Palatino Linotype" w:cs="Palatino Linotype"/>
        </w:rPr>
      </w:pPr>
    </w:p>
    <w:p w14:paraId="3C6895E5" w14:textId="77777777" w:rsidR="006639DB" w:rsidRPr="00F006AF" w:rsidRDefault="000E3CE0">
      <w:pPr>
        <w:widowControl w:val="0"/>
        <w:spacing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b/>
        </w:rPr>
        <w:t xml:space="preserve">9. Cierre de Instrucción. </w:t>
      </w:r>
      <w:r w:rsidRPr="00F006AF">
        <w:rPr>
          <w:rFonts w:ascii="Palatino Linotype" w:eastAsia="Palatino Linotype" w:hAnsi="Palatino Linotype" w:cs="Palatino Linotype"/>
        </w:rPr>
        <w:t xml:space="preserve">En fecha </w:t>
      </w:r>
      <w:r w:rsidRPr="00F006AF">
        <w:rPr>
          <w:rFonts w:ascii="Palatino Linotype" w:eastAsia="Palatino Linotype" w:hAnsi="Palatino Linotype" w:cs="Palatino Linotype"/>
          <w:b/>
        </w:rPr>
        <w:t>tres de octubre de dos mil veintitrés</w:t>
      </w:r>
      <w:r w:rsidRPr="00F006AF">
        <w:rPr>
          <w:rFonts w:ascii="Palatino Linotype" w:eastAsia="Palatino Linotype" w:hAnsi="Palatino Linotype" w:cs="Palatino Linotype"/>
        </w:rPr>
        <w:t xml:space="preserve">, se emitió el acuerdo por medio del cual se declaró cerrada la instrucción, pasando el expediente </w:t>
      </w:r>
      <w:r w:rsidRPr="00F006AF">
        <w:rPr>
          <w:rFonts w:ascii="Palatino Linotype" w:eastAsia="Palatino Linotype" w:hAnsi="Palatino Linotype" w:cs="Palatino Linotype"/>
        </w:rPr>
        <w:lastRenderedPageBreak/>
        <w:t xml:space="preserve">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F006AF">
        <w:rPr>
          <w:rFonts w:ascii="Palatino Linotype" w:eastAsia="Palatino Linotype" w:hAnsi="Palatino Linotype" w:cs="Palatino Linotype"/>
          <w:b/>
          <w:sz w:val="28"/>
          <w:szCs w:val="28"/>
        </w:rPr>
        <w:t xml:space="preserve"> </w:t>
      </w:r>
    </w:p>
    <w:p w14:paraId="134B3C60" w14:textId="77777777" w:rsidR="006639DB" w:rsidRPr="00F006AF" w:rsidRDefault="006639DB">
      <w:pPr>
        <w:widowControl w:val="0"/>
        <w:spacing w:line="360" w:lineRule="auto"/>
        <w:jc w:val="both"/>
        <w:rPr>
          <w:rFonts w:ascii="Palatino Linotype" w:eastAsia="Palatino Linotype" w:hAnsi="Palatino Linotype" w:cs="Palatino Linotype"/>
          <w:b/>
        </w:rPr>
      </w:pPr>
    </w:p>
    <w:p w14:paraId="4857DB9B" w14:textId="77777777" w:rsidR="006639DB" w:rsidRPr="00F006AF" w:rsidRDefault="000E3CE0">
      <w:pPr>
        <w:pStyle w:val="Ttulo2"/>
        <w:jc w:val="center"/>
        <w:rPr>
          <w:rFonts w:ascii="Palatino Linotype" w:eastAsia="Palatino Linotype" w:hAnsi="Palatino Linotype" w:cs="Palatino Linotype"/>
          <w:b/>
          <w:color w:val="000000"/>
          <w:sz w:val="24"/>
          <w:szCs w:val="24"/>
        </w:rPr>
      </w:pPr>
      <w:r w:rsidRPr="00F006AF">
        <w:rPr>
          <w:rFonts w:ascii="Palatino Linotype" w:eastAsia="Palatino Linotype" w:hAnsi="Palatino Linotype" w:cs="Palatino Linotype"/>
          <w:b/>
          <w:color w:val="000000"/>
          <w:sz w:val="24"/>
          <w:szCs w:val="24"/>
        </w:rPr>
        <w:t>II. C O N S I D E R A N D O S:</w:t>
      </w:r>
    </w:p>
    <w:p w14:paraId="6D90B401" w14:textId="77777777" w:rsidR="006639DB" w:rsidRPr="00F006AF" w:rsidRDefault="000E3CE0">
      <w:pPr>
        <w:spacing w:before="240" w:after="240"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b/>
        </w:rPr>
        <w:t>PRIMERO. Competencia</w:t>
      </w:r>
      <w:r w:rsidRPr="00F006AF">
        <w:rPr>
          <w:rFonts w:ascii="Palatino Linotype" w:eastAsia="Palatino Linotype" w:hAnsi="Palatino Linotype" w:cs="Palatino Linotype"/>
          <w:b/>
          <w:sz w:val="22"/>
          <w:szCs w:val="22"/>
        </w:rPr>
        <w:t xml:space="preserve">. </w:t>
      </w:r>
      <w:r w:rsidRPr="00F006AF">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rPr>
        <w:t>, conforme a lo dispuesto en los artículos 6, apartado A de la Constitución Política de los Estados Unidos Mexicanos; 5, párrafos trigésimo,  trigésimo segundo, trigésimo tercero y trigésimo cuarto, fracción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63567D60"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SEGUNDO. Oportunidad y Procedibilidad del Recurso de Revisión.</w:t>
      </w:r>
      <w:r w:rsidRPr="00F006AF">
        <w:rPr>
          <w:rFonts w:ascii="Palatino Linotype" w:eastAsia="Palatino Linotype" w:hAnsi="Palatino Linotype" w:cs="Palatino Linotype"/>
          <w:b/>
          <w:sz w:val="22"/>
          <w:szCs w:val="22"/>
        </w:rPr>
        <w:t xml:space="preserve"> </w:t>
      </w:r>
      <w:r w:rsidRPr="00F006AF">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w:t>
      </w:r>
      <w:r w:rsidRPr="00F006AF">
        <w:rPr>
          <w:rFonts w:ascii="Palatino Linotype" w:eastAsia="Palatino Linotype" w:hAnsi="Palatino Linotype" w:cs="Palatino Linotype"/>
        </w:rPr>
        <w:lastRenderedPageBreak/>
        <w:t xml:space="preserve">en la especie se advierte que el presente medio de impugnación fue interpuesto dentro del plazo de quince días previsto en el primer artículo de referencia; toda vez que 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emitió su respuesta a la solicitud el </w:t>
      </w:r>
      <w:r w:rsidRPr="00F006AF">
        <w:rPr>
          <w:rFonts w:ascii="Palatino Linotype" w:eastAsia="Palatino Linotype" w:hAnsi="Palatino Linotype" w:cs="Palatino Linotype"/>
          <w:b/>
        </w:rPr>
        <w:t>siete de diciembre del año dos mil veintidós</w:t>
      </w:r>
      <w:r w:rsidRPr="00F006AF">
        <w:rPr>
          <w:rFonts w:ascii="Palatino Linotype" w:eastAsia="Palatino Linotype" w:hAnsi="Palatino Linotype" w:cs="Palatino Linotype"/>
        </w:rPr>
        <w:t xml:space="preserve"> y la parte</w:t>
      </w:r>
      <w:r w:rsidRPr="00F006AF">
        <w:rPr>
          <w:rFonts w:ascii="Palatino Linotype" w:eastAsia="Palatino Linotype" w:hAnsi="Palatino Linotype" w:cs="Palatino Linotype"/>
          <w:b/>
        </w:rPr>
        <w:t xml:space="preserve"> Recurrente</w:t>
      </w:r>
      <w:r w:rsidRPr="00F006AF">
        <w:rPr>
          <w:rFonts w:ascii="Palatino Linotype" w:eastAsia="Palatino Linotype" w:hAnsi="Palatino Linotype" w:cs="Palatino Linotype"/>
        </w:rPr>
        <w:t xml:space="preserve"> presentó su recurso de revisión en fecha </w:t>
      </w:r>
      <w:r w:rsidRPr="00F006AF">
        <w:rPr>
          <w:rFonts w:ascii="Palatino Linotype" w:eastAsia="Palatino Linotype" w:hAnsi="Palatino Linotype" w:cs="Palatino Linotype"/>
          <w:b/>
        </w:rPr>
        <w:t>doce de enero de dos mil veintitrés</w:t>
      </w:r>
      <w:r w:rsidRPr="00F006AF">
        <w:rPr>
          <w:rFonts w:ascii="Palatino Linotype" w:eastAsia="Palatino Linotype" w:hAnsi="Palatino Linotype" w:cs="Palatino Linotype"/>
        </w:rPr>
        <w:t xml:space="preserve">,  de la contabilidad se precisa que el presente medio de impugnación fue ingresado por vía del sistema SAIMEX al décimo cuarto día hábil del que se tuvo conocimiento de la respuesta por el particular. </w:t>
      </w:r>
    </w:p>
    <w:p w14:paraId="0814C530"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ese sentido, al considerar la fecha en que la parte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rPr>
        <w:t xml:space="preserve"> interpuso el recurso de revisión, éste como ya se refirió se encuentra dentro de los márgenes temporales previstos en el cuerpo de leyes de la materia</w:t>
      </w:r>
    </w:p>
    <w:p w14:paraId="1FDD78D6" w14:textId="77777777" w:rsidR="006639DB" w:rsidRPr="00F006AF" w:rsidRDefault="006639DB">
      <w:pPr>
        <w:spacing w:line="360" w:lineRule="auto"/>
        <w:jc w:val="both"/>
      </w:pPr>
    </w:p>
    <w:p w14:paraId="0E717EA4" w14:textId="77777777" w:rsidR="006639DB" w:rsidRPr="00F006AF" w:rsidRDefault="000E3CE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rPr>
        <w:t xml:space="preserve">Ahora bien, resulta procedente la interposición del recurso, según lo aducido por la parte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rPr>
        <w:t xml:space="preserve"> en sus razones o </w:t>
      </w:r>
      <w:r w:rsidRPr="00F006AF">
        <w:rPr>
          <w:rFonts w:ascii="Palatino Linotype" w:eastAsia="Palatino Linotype" w:hAnsi="Palatino Linotype" w:cs="Palatino Linotype"/>
          <w:color w:val="000000"/>
        </w:rPr>
        <w:t xml:space="preserve">motivos de inconformidad, de acuerdo a los artículos 176 </w:t>
      </w:r>
      <w:proofErr w:type="gramStart"/>
      <w:r w:rsidRPr="00F006AF">
        <w:rPr>
          <w:rFonts w:ascii="Palatino Linotype" w:eastAsia="Palatino Linotype" w:hAnsi="Palatino Linotype" w:cs="Palatino Linotype"/>
          <w:color w:val="000000"/>
        </w:rPr>
        <w:t>y  179</w:t>
      </w:r>
      <w:proofErr w:type="gramEnd"/>
      <w:r w:rsidRPr="00F006AF">
        <w:rPr>
          <w:rFonts w:ascii="Palatino Linotype" w:eastAsia="Palatino Linotype" w:hAnsi="Palatino Linotype" w:cs="Palatino Linotype"/>
          <w:color w:val="000000"/>
        </w:rPr>
        <w:t>, fracción V  de la Ley de Transparencia y Acceso a la Información Pública del Estado de México y Municipios; que a la letra dice:</w:t>
      </w:r>
    </w:p>
    <w:p w14:paraId="33140556" w14:textId="77777777" w:rsidR="006639DB" w:rsidRPr="00F006AF" w:rsidRDefault="006639DB">
      <w:pPr>
        <w:spacing w:after="120"/>
        <w:ind w:left="851" w:right="902"/>
        <w:jc w:val="both"/>
        <w:rPr>
          <w:rFonts w:ascii="Palatino Linotype" w:eastAsia="Palatino Linotype" w:hAnsi="Palatino Linotype" w:cs="Palatino Linotype"/>
          <w:b/>
          <w:i/>
          <w:sz w:val="20"/>
          <w:szCs w:val="20"/>
        </w:rPr>
      </w:pPr>
    </w:p>
    <w:p w14:paraId="221D9115" w14:textId="77777777" w:rsidR="006639DB" w:rsidRPr="00F006AF" w:rsidRDefault="000E3CE0">
      <w:pPr>
        <w:spacing w:after="120"/>
        <w:ind w:left="851"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 xml:space="preserve"> “Artículo 176. </w:t>
      </w:r>
      <w:r w:rsidRPr="00F006AF">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14:paraId="63538820" w14:textId="77777777" w:rsidR="006639DB" w:rsidRPr="00F006AF" w:rsidRDefault="000E3CE0">
      <w:pPr>
        <w:spacing w:after="120"/>
        <w:ind w:left="851"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Artículo 179</w:t>
      </w:r>
      <w:r w:rsidRPr="00F006AF">
        <w:rPr>
          <w:rFonts w:ascii="Palatino Linotype" w:eastAsia="Palatino Linotype" w:hAnsi="Palatino Linotype" w:cs="Palatino Linotype"/>
          <w:b/>
          <w:sz w:val="22"/>
          <w:szCs w:val="22"/>
        </w:rPr>
        <w:t>.-</w:t>
      </w:r>
      <w:r w:rsidRPr="00F006AF">
        <w:rPr>
          <w:rFonts w:ascii="Palatino Linotype" w:eastAsia="Palatino Linotype" w:hAnsi="Palatino Linotype" w:cs="Palatino Linotype"/>
          <w:sz w:val="22"/>
          <w:szCs w:val="22"/>
        </w:rPr>
        <w:t xml:space="preserve"> </w:t>
      </w:r>
      <w:r w:rsidRPr="00F006A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9A27FE" w14:textId="77777777" w:rsidR="006639DB" w:rsidRPr="00F006AF" w:rsidRDefault="000E3CE0">
      <w:pPr>
        <w:spacing w:after="120"/>
        <w:ind w:left="851" w:right="902"/>
        <w:jc w:val="both"/>
        <w:rPr>
          <w:rFonts w:ascii="Palatino Linotype" w:eastAsia="Palatino Linotype" w:hAnsi="Palatino Linotype" w:cs="Palatino Linotype"/>
          <w:sz w:val="22"/>
          <w:szCs w:val="22"/>
        </w:rPr>
      </w:pPr>
      <w:r w:rsidRPr="00F006AF">
        <w:rPr>
          <w:rFonts w:ascii="Palatino Linotype" w:eastAsia="Palatino Linotype" w:hAnsi="Palatino Linotype" w:cs="Palatino Linotype"/>
          <w:sz w:val="22"/>
          <w:szCs w:val="22"/>
        </w:rPr>
        <w:t>…</w:t>
      </w:r>
    </w:p>
    <w:p w14:paraId="32FCF21F" w14:textId="77777777" w:rsidR="006639DB" w:rsidRPr="00F006AF" w:rsidRDefault="006639DB">
      <w:pPr>
        <w:spacing w:after="120"/>
        <w:ind w:left="851" w:right="902"/>
        <w:jc w:val="both"/>
        <w:rPr>
          <w:rFonts w:ascii="Palatino Linotype" w:eastAsia="Palatino Linotype" w:hAnsi="Palatino Linotype" w:cs="Palatino Linotype"/>
          <w:i/>
          <w:sz w:val="22"/>
          <w:szCs w:val="22"/>
        </w:rPr>
      </w:pPr>
    </w:p>
    <w:p w14:paraId="2CE1679B" w14:textId="77777777" w:rsidR="006639DB" w:rsidRPr="00F006AF" w:rsidRDefault="000E3CE0">
      <w:pPr>
        <w:spacing w:after="120"/>
        <w:ind w:left="708" w:right="902"/>
        <w:jc w:val="both"/>
        <w:rPr>
          <w:rFonts w:ascii="Palatino Linotype" w:eastAsia="Palatino Linotype" w:hAnsi="Palatino Linotype" w:cs="Palatino Linotype"/>
          <w:b/>
          <w:i/>
          <w:sz w:val="22"/>
          <w:szCs w:val="22"/>
        </w:rPr>
      </w:pPr>
      <w:r w:rsidRPr="00F006AF">
        <w:rPr>
          <w:rFonts w:ascii="Palatino Linotype" w:eastAsia="Palatino Linotype" w:hAnsi="Palatino Linotype" w:cs="Palatino Linotype"/>
          <w:b/>
          <w:i/>
          <w:sz w:val="22"/>
          <w:szCs w:val="22"/>
        </w:rPr>
        <w:t>V. La entrega de información incompleta;</w:t>
      </w:r>
    </w:p>
    <w:p w14:paraId="5E505EB4" w14:textId="77777777" w:rsidR="006639DB" w:rsidRPr="00F006AF" w:rsidRDefault="000E3CE0">
      <w:pPr>
        <w:spacing w:after="120"/>
        <w:ind w:left="708" w:right="902"/>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lastRenderedPageBreak/>
        <w:t xml:space="preserve">        …” (Sic)</w:t>
      </w:r>
      <w:r w:rsidRPr="00F006AF">
        <w:rPr>
          <w:rFonts w:ascii="Palatino Linotype" w:eastAsia="Palatino Linotype" w:hAnsi="Palatino Linotype" w:cs="Palatino Linotype"/>
          <w:b/>
          <w:i/>
          <w:sz w:val="22"/>
          <w:szCs w:val="22"/>
        </w:rPr>
        <w:t xml:space="preserve">              </w:t>
      </w:r>
    </w:p>
    <w:p w14:paraId="4C4DFE79"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6728550D" w14:textId="77777777" w:rsidR="006639DB" w:rsidRPr="00F006AF" w:rsidRDefault="000E3CE0">
      <w:pPr>
        <w:spacing w:before="280" w:after="28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 xml:space="preserve">Tercero. Materia de la revisión. </w:t>
      </w:r>
      <w:r w:rsidRPr="00F006AF">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F006A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006AF">
        <w:rPr>
          <w:rFonts w:ascii="Palatino Linotype" w:eastAsia="Palatino Linotype" w:hAnsi="Palatino Linotype" w:cs="Palatino Linotype"/>
        </w:rPr>
        <w:t xml:space="preserve">de la parte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rPr>
        <w:t>, o en su defecto, en caso de ser procedente, ordenar la entrega de información oportuna.</w:t>
      </w:r>
    </w:p>
    <w:p w14:paraId="1153BF8C" w14:textId="77777777" w:rsidR="006639DB" w:rsidRPr="00F006AF" w:rsidRDefault="000E3CE0">
      <w:pPr>
        <w:spacing w:before="240" w:after="240"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b/>
        </w:rPr>
        <w:t>Cuarto. Estudio del asunto. Agotado lo anterior, tenemos</w:t>
      </w:r>
      <w:r w:rsidRPr="00F006AF">
        <w:rPr>
          <w:rFonts w:ascii="Palatino Linotype" w:eastAsia="Palatino Linotype" w:hAnsi="Palatino Linotype" w:cs="Palatino Linotype"/>
        </w:rPr>
        <w:t xml:space="preserve"> en principio de cuentas </w:t>
      </w:r>
      <w:proofErr w:type="gramStart"/>
      <w:r w:rsidRPr="00F006AF">
        <w:rPr>
          <w:rFonts w:ascii="Palatino Linotype" w:eastAsia="Palatino Linotype" w:hAnsi="Palatino Linotype" w:cs="Palatino Linotype"/>
        </w:rPr>
        <w:t>que  el</w:t>
      </w:r>
      <w:proofErr w:type="gramEnd"/>
      <w:r w:rsidRPr="00F006AF">
        <w:rPr>
          <w:rFonts w:ascii="Palatino Linotype" w:eastAsia="Palatino Linotype" w:hAnsi="Palatino Linotype" w:cs="Palatino Linotype"/>
        </w:rPr>
        <w:t xml:space="preserve"> artículo 6°, Apartado A), fracción I de la Constitución Política de los Estados Unidos Mexicanos, establece que toda la información en posesión de cualquier autoridad es pública y sólo podrá ser reservada temporalmente por razones de interés público. </w:t>
      </w:r>
    </w:p>
    <w:p w14:paraId="54E81FF2"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w:t>
      </w:r>
      <w:r w:rsidRPr="00F006AF">
        <w:rPr>
          <w:rFonts w:ascii="Palatino Linotype" w:eastAsia="Palatino Linotype" w:hAnsi="Palatino Linotype" w:cs="Palatino Linotype"/>
        </w:rPr>
        <w:lastRenderedPageBreak/>
        <w:t>proteger el interés público, así como la información referente a la intimidad de la vida privada y la imagen de las personas, con las excepciones que establezca la ley reglamentaria.</w:t>
      </w:r>
    </w:p>
    <w:p w14:paraId="681E68B2" w14:textId="77777777" w:rsidR="006639DB" w:rsidRPr="00F006AF" w:rsidRDefault="006639DB">
      <w:pPr>
        <w:spacing w:line="360" w:lineRule="auto"/>
        <w:jc w:val="both"/>
        <w:rPr>
          <w:rFonts w:ascii="Palatino Linotype" w:eastAsia="Palatino Linotype" w:hAnsi="Palatino Linotype" w:cs="Palatino Linotype"/>
        </w:rPr>
      </w:pPr>
    </w:p>
    <w:p w14:paraId="71A35013"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2143D9D2" w14:textId="77777777" w:rsidR="006639DB" w:rsidRPr="00F006AF" w:rsidRDefault="006639DB">
      <w:pPr>
        <w:spacing w:line="360" w:lineRule="auto"/>
        <w:jc w:val="both"/>
        <w:rPr>
          <w:rFonts w:ascii="Palatino Linotype" w:eastAsia="Palatino Linotype" w:hAnsi="Palatino Linotype" w:cs="Palatino Linotype"/>
        </w:rPr>
      </w:pPr>
    </w:p>
    <w:p w14:paraId="43081CF0" w14:textId="77777777" w:rsidR="006639DB" w:rsidRPr="00F006AF" w:rsidRDefault="000E3CE0">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El artículo 12, que, quienes generen, recopilen, administren, manejen, procesen, archiven o conserven información pública serán responsables de la misma.</w:t>
      </w:r>
    </w:p>
    <w:p w14:paraId="294B0040" w14:textId="77777777" w:rsidR="006639DB" w:rsidRPr="00F006AF" w:rsidRDefault="006639DB">
      <w:pPr>
        <w:spacing w:line="360" w:lineRule="auto"/>
        <w:jc w:val="both"/>
        <w:rPr>
          <w:rFonts w:ascii="Palatino Linotype" w:eastAsia="Palatino Linotype" w:hAnsi="Palatino Linotype" w:cs="Palatino Linotype"/>
        </w:rPr>
      </w:pPr>
    </w:p>
    <w:p w14:paraId="3D5561A7" w14:textId="77777777" w:rsidR="006639DB" w:rsidRPr="00F006AF" w:rsidRDefault="000E3CE0">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F902BAC" w14:textId="77777777" w:rsidR="006639DB" w:rsidRPr="00F006AF" w:rsidRDefault="006639DB">
      <w:pPr>
        <w:spacing w:line="360" w:lineRule="auto"/>
        <w:jc w:val="both"/>
        <w:rPr>
          <w:rFonts w:ascii="Palatino Linotype" w:eastAsia="Palatino Linotype" w:hAnsi="Palatino Linotype" w:cs="Palatino Linotype"/>
        </w:rPr>
      </w:pPr>
    </w:p>
    <w:p w14:paraId="28E81D75" w14:textId="77777777" w:rsidR="006639DB" w:rsidRPr="00F006AF" w:rsidRDefault="000E3CE0">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BBEDF47" w14:textId="77777777" w:rsidR="006639DB" w:rsidRPr="00F006AF" w:rsidRDefault="006639DB">
      <w:pPr>
        <w:spacing w:line="360" w:lineRule="auto"/>
        <w:ind w:right="-93"/>
        <w:jc w:val="both"/>
        <w:rPr>
          <w:rFonts w:ascii="Palatino Linotype" w:eastAsia="Palatino Linotype" w:hAnsi="Palatino Linotype" w:cs="Palatino Linotype"/>
          <w:color w:val="FF0000"/>
        </w:rPr>
      </w:pPr>
    </w:p>
    <w:p w14:paraId="14889577"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lastRenderedPageBreak/>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DAB4A5" w14:textId="77777777" w:rsidR="006639DB" w:rsidRPr="00F006AF" w:rsidRDefault="006639DB">
      <w:pPr>
        <w:ind w:left="851" w:right="899"/>
        <w:jc w:val="both"/>
        <w:rPr>
          <w:rFonts w:ascii="Palatino Linotype" w:eastAsia="Palatino Linotype" w:hAnsi="Palatino Linotype" w:cs="Palatino Linotype"/>
          <w:i/>
          <w:sz w:val="22"/>
          <w:szCs w:val="22"/>
        </w:rPr>
      </w:pPr>
    </w:p>
    <w:p w14:paraId="1F51038C" w14:textId="77777777" w:rsidR="006639DB" w:rsidRPr="00F006AF" w:rsidRDefault="000E3CE0">
      <w:pPr>
        <w:ind w:left="851" w:right="899"/>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r w:rsidRPr="00F006AF">
        <w:rPr>
          <w:rFonts w:ascii="Palatino Linotype" w:eastAsia="Palatino Linotype" w:hAnsi="Palatino Linotype" w:cs="Palatino Linotype"/>
          <w:b/>
          <w:i/>
          <w:sz w:val="22"/>
          <w:szCs w:val="22"/>
        </w:rPr>
        <w:t xml:space="preserve">Artículo 3. </w:t>
      </w:r>
      <w:r w:rsidRPr="00F006AF">
        <w:rPr>
          <w:rFonts w:ascii="Palatino Linotype" w:eastAsia="Palatino Linotype" w:hAnsi="Palatino Linotype" w:cs="Palatino Linotype"/>
          <w:i/>
          <w:sz w:val="22"/>
          <w:szCs w:val="22"/>
        </w:rPr>
        <w:t>Para los efectos de la presente Ley se entenderá por:</w:t>
      </w:r>
    </w:p>
    <w:p w14:paraId="0201D107" w14:textId="77777777" w:rsidR="006639DB" w:rsidRPr="00F006AF" w:rsidRDefault="000E3CE0">
      <w:pPr>
        <w:ind w:left="851" w:right="899"/>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p>
    <w:p w14:paraId="1ABCB1BE" w14:textId="77777777" w:rsidR="006639DB" w:rsidRPr="00F006AF" w:rsidRDefault="000E3CE0">
      <w:pPr>
        <w:ind w:left="851" w:right="899"/>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b/>
          <w:i/>
          <w:color w:val="000000"/>
          <w:sz w:val="22"/>
          <w:szCs w:val="22"/>
        </w:rPr>
        <w:t>XI. Documento:</w:t>
      </w:r>
      <w:r w:rsidRPr="00F006AF">
        <w:rPr>
          <w:rFonts w:ascii="Palatino Linotype" w:eastAsia="Palatino Linotype" w:hAnsi="Palatino Linotype" w:cs="Palatino Linotype"/>
          <w:i/>
          <w:color w:val="000000"/>
          <w:sz w:val="22"/>
          <w:szCs w:val="22"/>
        </w:rPr>
        <w:t xml:space="preserve"> Los expedientes, reportes, estudios, actas</w:t>
      </w:r>
      <w:r w:rsidRPr="00F006AF">
        <w:rPr>
          <w:rFonts w:ascii="Palatino Linotype" w:eastAsia="Palatino Linotype" w:hAnsi="Palatino Linotype" w:cs="Palatino Linotype"/>
          <w:b/>
          <w:i/>
          <w:color w:val="000000"/>
          <w:sz w:val="22"/>
          <w:szCs w:val="22"/>
        </w:rPr>
        <w:t>,</w:t>
      </w:r>
      <w:r w:rsidRPr="00F006AF">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3FB8258" w14:textId="77777777" w:rsidR="006639DB" w:rsidRPr="00F006AF" w:rsidRDefault="006639DB">
      <w:pPr>
        <w:ind w:left="851" w:right="899"/>
        <w:jc w:val="both"/>
        <w:rPr>
          <w:rFonts w:ascii="Palatino Linotype" w:eastAsia="Palatino Linotype" w:hAnsi="Palatino Linotype" w:cs="Palatino Linotype"/>
          <w:sz w:val="22"/>
          <w:szCs w:val="22"/>
        </w:rPr>
      </w:pPr>
    </w:p>
    <w:p w14:paraId="72C43CE9"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61B9C4" w14:textId="77777777" w:rsidR="006639DB" w:rsidRPr="00F006AF" w:rsidRDefault="006639DB">
      <w:pPr>
        <w:ind w:right="899"/>
        <w:jc w:val="both"/>
        <w:rPr>
          <w:rFonts w:ascii="Palatino Linotype" w:eastAsia="Palatino Linotype" w:hAnsi="Palatino Linotype" w:cs="Palatino Linotype"/>
        </w:rPr>
      </w:pPr>
    </w:p>
    <w:p w14:paraId="59208F9C" w14:textId="77777777" w:rsidR="006639DB" w:rsidRPr="00F006AF" w:rsidRDefault="000E3CE0">
      <w:pPr>
        <w:ind w:left="851" w:right="899"/>
        <w:jc w:val="both"/>
        <w:rPr>
          <w:rFonts w:ascii="Palatino Linotype" w:eastAsia="Palatino Linotype" w:hAnsi="Palatino Linotype" w:cs="Palatino Linotype"/>
          <w:b/>
          <w:i/>
          <w:sz w:val="22"/>
          <w:szCs w:val="22"/>
        </w:rPr>
      </w:pPr>
      <w:r w:rsidRPr="00F006AF">
        <w:rPr>
          <w:rFonts w:ascii="Palatino Linotype" w:eastAsia="Palatino Linotype" w:hAnsi="Palatino Linotype" w:cs="Palatino Linotype"/>
          <w:b/>
          <w:sz w:val="22"/>
          <w:szCs w:val="22"/>
        </w:rPr>
        <w:t>“</w:t>
      </w:r>
      <w:r w:rsidRPr="00F006AF">
        <w:rPr>
          <w:rFonts w:ascii="Palatino Linotype" w:eastAsia="Palatino Linotype" w:hAnsi="Palatino Linotype" w:cs="Palatino Linotype"/>
          <w:b/>
          <w:i/>
          <w:sz w:val="22"/>
          <w:szCs w:val="22"/>
        </w:rPr>
        <w:t>CRITERIO 0002-11</w:t>
      </w:r>
    </w:p>
    <w:p w14:paraId="513233CE" w14:textId="77777777" w:rsidR="006639DB" w:rsidRPr="00F006AF" w:rsidRDefault="000E3CE0">
      <w:pPr>
        <w:ind w:left="851" w:right="899"/>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F006AF">
        <w:rPr>
          <w:rFonts w:ascii="Palatino Linotype" w:eastAsia="Palatino Linotype" w:hAnsi="Palatino Linotype" w:cs="Palatino Linotype"/>
          <w:b/>
          <w:i/>
          <w:sz w:val="22"/>
          <w:szCs w:val="22"/>
        </w:rPr>
        <w:lastRenderedPageBreak/>
        <w:t>ARTÍCULOS 2°, FRACCIÓN V, XV, Y XVI, 3°, 4°, 11 Y 41.</w:t>
      </w:r>
      <w:r w:rsidRPr="00F006A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DFA4167" w14:textId="77777777" w:rsidR="006639DB" w:rsidRPr="00F006AF" w:rsidRDefault="000E3CE0">
      <w:pPr>
        <w:ind w:left="851" w:right="899"/>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En </w:t>
      </w:r>
      <w:proofErr w:type="gramStart"/>
      <w:r w:rsidRPr="00F006AF">
        <w:rPr>
          <w:rFonts w:ascii="Palatino Linotype" w:eastAsia="Palatino Linotype" w:hAnsi="Palatino Linotype" w:cs="Palatino Linotype"/>
          <w:i/>
          <w:sz w:val="22"/>
          <w:szCs w:val="22"/>
        </w:rPr>
        <w:t>consecuencia</w:t>
      </w:r>
      <w:proofErr w:type="gramEnd"/>
      <w:r w:rsidRPr="00F006A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4ABBE8B" w14:textId="77777777" w:rsidR="006639DB" w:rsidRPr="00F006AF" w:rsidRDefault="000E3CE0">
      <w:pPr>
        <w:ind w:left="851" w:right="899"/>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1) </w:t>
      </w:r>
      <w:r w:rsidRPr="00F006AF">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F006AF">
        <w:rPr>
          <w:rFonts w:ascii="Palatino Linotype" w:eastAsia="Palatino Linotype" w:hAnsi="Palatino Linotype" w:cs="Palatino Linotype"/>
          <w:b/>
          <w:i/>
          <w:sz w:val="22"/>
          <w:szCs w:val="22"/>
        </w:rPr>
        <w:t>que</w:t>
      </w:r>
      <w:proofErr w:type="gramEnd"/>
      <w:r w:rsidRPr="00F006AF">
        <w:rPr>
          <w:rFonts w:ascii="Palatino Linotype" w:eastAsia="Palatino Linotype" w:hAnsi="Palatino Linotype" w:cs="Palatino Linotype"/>
          <w:b/>
          <w:i/>
          <w:sz w:val="22"/>
          <w:szCs w:val="22"/>
        </w:rPr>
        <w:t xml:space="preserve"> en ejercicio de las atribuciones conferidas, sea generada por los Sujetos Obligados;</w:t>
      </w:r>
    </w:p>
    <w:p w14:paraId="5BB9C831" w14:textId="77777777" w:rsidR="006639DB" w:rsidRPr="00F006AF" w:rsidRDefault="000E3CE0">
      <w:pPr>
        <w:ind w:left="851" w:right="899"/>
        <w:jc w:val="both"/>
        <w:rPr>
          <w:rFonts w:ascii="Palatino Linotype" w:eastAsia="Palatino Linotype" w:hAnsi="Palatino Linotype" w:cs="Palatino Linotype"/>
          <w:b/>
          <w:i/>
          <w:sz w:val="22"/>
          <w:szCs w:val="22"/>
        </w:rPr>
      </w:pPr>
      <w:r w:rsidRPr="00F006A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006AF">
        <w:rPr>
          <w:rFonts w:ascii="Palatino Linotype" w:eastAsia="Palatino Linotype" w:hAnsi="Palatino Linotype" w:cs="Palatino Linotype"/>
          <w:b/>
          <w:i/>
          <w:sz w:val="22"/>
          <w:szCs w:val="22"/>
        </w:rPr>
        <w:t>que</w:t>
      </w:r>
      <w:proofErr w:type="gramEnd"/>
      <w:r w:rsidRPr="00F006AF">
        <w:rPr>
          <w:rFonts w:ascii="Palatino Linotype" w:eastAsia="Palatino Linotype" w:hAnsi="Palatino Linotype" w:cs="Palatino Linotype"/>
          <w:b/>
          <w:i/>
          <w:sz w:val="22"/>
          <w:szCs w:val="22"/>
        </w:rPr>
        <w:t xml:space="preserve"> en ejercicio de las atribuciones conferidas, sea administrada por los Sujetos Obligados, y</w:t>
      </w:r>
    </w:p>
    <w:p w14:paraId="0141D6A6" w14:textId="77777777" w:rsidR="006639DB" w:rsidRPr="00F006AF" w:rsidRDefault="000E3CE0">
      <w:pPr>
        <w:ind w:left="851" w:right="899"/>
        <w:jc w:val="both"/>
        <w:rPr>
          <w:rFonts w:ascii="Palatino Linotype" w:eastAsia="Palatino Linotype" w:hAnsi="Palatino Linotype" w:cs="Palatino Linotype"/>
          <w:b/>
          <w:i/>
          <w:sz w:val="22"/>
          <w:szCs w:val="22"/>
        </w:rPr>
      </w:pPr>
      <w:r w:rsidRPr="00F006AF">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F006AF">
        <w:rPr>
          <w:rFonts w:ascii="Palatino Linotype" w:eastAsia="Palatino Linotype" w:hAnsi="Palatino Linotype" w:cs="Palatino Linotype"/>
          <w:b/>
          <w:i/>
          <w:sz w:val="22"/>
          <w:szCs w:val="22"/>
        </w:rPr>
        <w:t>que</w:t>
      </w:r>
      <w:proofErr w:type="gramEnd"/>
      <w:r w:rsidRPr="00F006AF">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55D43F6C" w14:textId="77777777" w:rsidR="006639DB" w:rsidRPr="00F006AF" w:rsidRDefault="006639DB">
      <w:pPr>
        <w:spacing w:before="240" w:after="360" w:line="360" w:lineRule="auto"/>
        <w:jc w:val="both"/>
        <w:rPr>
          <w:rFonts w:ascii="Palatino Linotype" w:eastAsia="Palatino Linotype" w:hAnsi="Palatino Linotype" w:cs="Palatino Linotype"/>
          <w:sz w:val="4"/>
          <w:szCs w:val="4"/>
        </w:rPr>
      </w:pPr>
    </w:p>
    <w:p w14:paraId="4A91F70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Bajo este contexto, es oportuno reiterar que la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 xml:space="preserve">solicitó al </w:t>
      </w:r>
      <w:r w:rsidRPr="00F006AF">
        <w:rPr>
          <w:rFonts w:ascii="Palatino Linotype" w:eastAsia="Palatino Linotype" w:hAnsi="Palatino Linotype" w:cs="Palatino Linotype"/>
          <w:b/>
        </w:rPr>
        <w:t xml:space="preserve">Sujeto Obligado </w:t>
      </w:r>
      <w:r w:rsidRPr="00F006AF">
        <w:rPr>
          <w:rFonts w:ascii="Palatino Linotype" w:eastAsia="Palatino Linotype" w:hAnsi="Palatino Linotype" w:cs="Palatino Linotype"/>
        </w:rPr>
        <w:t xml:space="preserve">le proporcionará la siguiente información: </w:t>
      </w:r>
    </w:p>
    <w:p w14:paraId="5CBE1F28" w14:textId="77777777" w:rsidR="006639DB" w:rsidRPr="00F006AF" w:rsidRDefault="006639DB">
      <w:pPr>
        <w:spacing w:line="360" w:lineRule="auto"/>
        <w:jc w:val="both"/>
        <w:rPr>
          <w:rFonts w:ascii="Palatino Linotype" w:eastAsia="Palatino Linotype" w:hAnsi="Palatino Linotype" w:cs="Palatino Linotype"/>
        </w:rPr>
      </w:pPr>
    </w:p>
    <w:p w14:paraId="04BE1F0C"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1. Nombre de los sujetos evaluados que NO realizaron la evaluación señalada en el Programa Anual de Evaluación (PAE) desde el año 2013 hasta el año 2021 y que por ende no están publicadas en la página web de transparencia fiscal de la Secretaría de Finanzas;</w:t>
      </w:r>
    </w:p>
    <w:p w14:paraId="0CB9B6DA" w14:textId="77777777" w:rsidR="006639DB" w:rsidRPr="00F006AF" w:rsidRDefault="006639DB">
      <w:pPr>
        <w:spacing w:line="360" w:lineRule="auto"/>
        <w:jc w:val="both"/>
        <w:rPr>
          <w:rFonts w:ascii="Palatino Linotype" w:eastAsia="Palatino Linotype" w:hAnsi="Palatino Linotype" w:cs="Palatino Linotype"/>
        </w:rPr>
      </w:pPr>
    </w:p>
    <w:p w14:paraId="4BA8721B"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2. Nombre de los sujetos evaluados que no han dado cumplimiento a los hallazgos, recomendaciones y/o Aspectos Susceptibles de Mejora derivadas de sus respectivas evaluaciones desde el año 2013 hasta el año 2021 y que por ende no hay un Acta de </w:t>
      </w:r>
      <w:r w:rsidRPr="00F006AF">
        <w:rPr>
          <w:rFonts w:ascii="Palatino Linotype" w:eastAsia="Palatino Linotype" w:hAnsi="Palatino Linotype" w:cs="Palatino Linotype"/>
        </w:rPr>
        <w:lastRenderedPageBreak/>
        <w:t>Cumplimiento que de fe de lo antes expuesto y que por ende no están publicada en la página web de transparencia fiscal de la Secretaría de Finanzas;</w:t>
      </w:r>
    </w:p>
    <w:p w14:paraId="182E5665" w14:textId="77777777" w:rsidR="006639DB" w:rsidRPr="00F006AF" w:rsidRDefault="006639DB">
      <w:pPr>
        <w:spacing w:line="360" w:lineRule="auto"/>
        <w:jc w:val="both"/>
        <w:rPr>
          <w:rFonts w:ascii="Palatino Linotype" w:eastAsia="Palatino Linotype" w:hAnsi="Palatino Linotype" w:cs="Palatino Linotype"/>
        </w:rPr>
      </w:pPr>
    </w:p>
    <w:p w14:paraId="44B51956"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3. Normatividad estatal aplicable al Programa Anual de Evaluación (PAE), en cuanto a las sanciones en caso de incumplir con alguna evaluación o con la </w:t>
      </w:r>
      <w:proofErr w:type="spellStart"/>
      <w:r w:rsidRPr="00F006AF">
        <w:rPr>
          <w:rFonts w:ascii="Palatino Linotype" w:eastAsia="Palatino Linotype" w:hAnsi="Palatino Linotype" w:cs="Palatino Linotype"/>
        </w:rPr>
        <w:t>solventación</w:t>
      </w:r>
      <w:proofErr w:type="spellEnd"/>
      <w:r w:rsidRPr="00F006AF">
        <w:rPr>
          <w:rFonts w:ascii="Palatino Linotype" w:eastAsia="Palatino Linotype" w:hAnsi="Palatino Linotype" w:cs="Palatino Linotype"/>
        </w:rPr>
        <w:t xml:space="preserve"> (atención) de hallazgos, recomendaciones y/o Aspectos Susceptibles de Mejora (ASM);</w:t>
      </w:r>
    </w:p>
    <w:p w14:paraId="7299DE5E" w14:textId="77777777" w:rsidR="006639DB" w:rsidRPr="00F006AF" w:rsidRDefault="006639DB">
      <w:pPr>
        <w:spacing w:line="360" w:lineRule="auto"/>
        <w:jc w:val="both"/>
        <w:rPr>
          <w:rFonts w:ascii="Palatino Linotype" w:eastAsia="Palatino Linotype" w:hAnsi="Palatino Linotype" w:cs="Palatino Linotype"/>
        </w:rPr>
      </w:pPr>
    </w:p>
    <w:p w14:paraId="13F4AC18"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4.</w:t>
      </w:r>
      <w:r w:rsidRPr="00F006AF">
        <w:rPr>
          <w:rFonts w:ascii="Palatino Linotype" w:eastAsia="Palatino Linotype" w:hAnsi="Palatino Linotype" w:cs="Palatino Linotype"/>
        </w:rPr>
        <w:tab/>
        <w:t>Número responsabilidades fincadas y/o sanciones de cualquier tipo, se ejecutaron a servidores públicos, derivado del incumplimiento al Programa Anual de Evaluación (PAE), a la normatividad aplicable al PAE y a cada convenio para la mejora del desempeño y resultados gubernamentales, desde el año 2013 hasta el año 2021 (por año y sujeto evaluado);</w:t>
      </w:r>
    </w:p>
    <w:p w14:paraId="2C7AD695" w14:textId="77777777" w:rsidR="006639DB" w:rsidRPr="00F006AF" w:rsidRDefault="006639DB">
      <w:pPr>
        <w:spacing w:line="360" w:lineRule="auto"/>
        <w:jc w:val="both"/>
        <w:rPr>
          <w:rFonts w:ascii="Palatino Linotype" w:eastAsia="Palatino Linotype" w:hAnsi="Palatino Linotype" w:cs="Palatino Linotype"/>
        </w:rPr>
      </w:pPr>
    </w:p>
    <w:p w14:paraId="7F86DF00"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5.</w:t>
      </w:r>
      <w:r w:rsidRPr="00F006AF">
        <w:rPr>
          <w:rFonts w:ascii="Palatino Linotype" w:eastAsia="Palatino Linotype" w:hAnsi="Palatino Linotype" w:cs="Palatino Linotype"/>
        </w:rPr>
        <w:tab/>
        <w:t xml:space="preserve">Los actos u omisiones que, de acuerdo a la normatividad aplicable al Programa Anual de Evaluación (PAE) y a los "convenios para la mejora del desempeño y resultados gubernamentales", son acreedores de sanciones de cualquier tipo o de que se finque alguna responsabilidad; </w:t>
      </w:r>
    </w:p>
    <w:p w14:paraId="74261123" w14:textId="77777777" w:rsidR="006639DB" w:rsidRPr="00F006AF" w:rsidRDefault="006639DB">
      <w:pPr>
        <w:spacing w:line="360" w:lineRule="auto"/>
        <w:jc w:val="both"/>
        <w:rPr>
          <w:rFonts w:ascii="Palatino Linotype" w:eastAsia="Palatino Linotype" w:hAnsi="Palatino Linotype" w:cs="Palatino Linotype"/>
        </w:rPr>
      </w:pPr>
    </w:p>
    <w:p w14:paraId="736C5B9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6. Nombres, cargo y profesión, de los servidores públicos que actualmente laboran en la Dirección General de Evaluación del Desempeño Institucional y que son los responsables de coordinar la implementación del PAE , así como de llevar a cabo TODO lo señalado en el artículo 22 Bis, fracciones I, VI y VIII del Reglamento Interior </w:t>
      </w:r>
      <w:r w:rsidRPr="00F006AF">
        <w:rPr>
          <w:rFonts w:ascii="Palatino Linotype" w:eastAsia="Palatino Linotype" w:hAnsi="Palatino Linotype" w:cs="Palatino Linotype"/>
        </w:rPr>
        <w:lastRenderedPageBreak/>
        <w:t xml:space="preserve">de la Secretaría de Finanzas; así como también </w:t>
      </w:r>
      <w:proofErr w:type="spellStart"/>
      <w:r w:rsidRPr="00F006AF">
        <w:rPr>
          <w:rFonts w:ascii="Palatino Linotype" w:eastAsia="Palatino Linotype" w:hAnsi="Palatino Linotype" w:cs="Palatino Linotype"/>
        </w:rPr>
        <w:t>antiguedad</w:t>
      </w:r>
      <w:proofErr w:type="spellEnd"/>
      <w:r w:rsidRPr="00F006AF">
        <w:rPr>
          <w:rFonts w:ascii="Palatino Linotype" w:eastAsia="Palatino Linotype" w:hAnsi="Palatino Linotype" w:cs="Palatino Linotype"/>
        </w:rPr>
        <w:t xml:space="preserve"> en el puesto; constancias de capacitación en materia de Evaluación de Programas Presupuestarios y Metodología de Marco Lógico; y cuál es su experiencia en materia de PAE, en el periodo de los últimos 5 años.</w:t>
      </w:r>
    </w:p>
    <w:p w14:paraId="1F024450" w14:textId="77777777" w:rsidR="006639DB" w:rsidRPr="00F006AF" w:rsidRDefault="000E3CE0">
      <w:pPr>
        <w:pBdr>
          <w:top w:val="nil"/>
          <w:left w:val="nil"/>
          <w:bottom w:val="nil"/>
          <w:right w:val="nil"/>
          <w:between w:val="nil"/>
        </w:pBdr>
        <w:spacing w:before="240" w:after="240" w:line="360" w:lineRule="auto"/>
        <w:ind w:left="2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7.</w:t>
      </w:r>
      <w:r w:rsidRPr="00F006AF">
        <w:rPr>
          <w:rFonts w:ascii="Palatino Linotype" w:eastAsia="Palatino Linotype" w:hAnsi="Palatino Linotype" w:cs="Palatino Linotype"/>
          <w:color w:val="000000"/>
        </w:rPr>
        <w:tab/>
        <w:t>En el caso de los Sujetos Evaluados que NO contrataron evaluadores externos para el Programa Anual de Evaluaciones, de cada Sujeto Evaluado requiero lo siguiente de los años 2018 al año 2021:</w:t>
      </w:r>
    </w:p>
    <w:p w14:paraId="35037B2B" w14:textId="77777777" w:rsidR="006639DB" w:rsidRPr="00F006AF" w:rsidRDefault="000E3CE0">
      <w:pPr>
        <w:pBdr>
          <w:top w:val="nil"/>
          <w:left w:val="nil"/>
          <w:bottom w:val="nil"/>
          <w:right w:val="nil"/>
          <w:between w:val="nil"/>
        </w:pBdr>
        <w:spacing w:before="240" w:after="240" w:line="360" w:lineRule="auto"/>
        <w:ind w:left="2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a</w:t>
      </w:r>
      <w:proofErr w:type="gramStart"/>
      <w:r w:rsidRPr="00F006AF">
        <w:rPr>
          <w:rFonts w:ascii="Palatino Linotype" w:eastAsia="Palatino Linotype" w:hAnsi="Palatino Linotype" w:cs="Palatino Linotype"/>
          <w:color w:val="000000"/>
        </w:rPr>
        <w:t>).-</w:t>
      </w:r>
      <w:proofErr w:type="gramEnd"/>
      <w:r w:rsidRPr="00F006AF">
        <w:rPr>
          <w:rFonts w:ascii="Palatino Linotype" w:eastAsia="Palatino Linotype" w:hAnsi="Palatino Linotype" w:cs="Palatino Linotype"/>
          <w:color w:val="000000"/>
        </w:rPr>
        <w:t xml:space="preserve"> Nombre, cargo y profesión de los servidores públicos que desarrollaron la evaluación. </w:t>
      </w:r>
    </w:p>
    <w:p w14:paraId="6198ECBF" w14:textId="77777777" w:rsidR="006639DB" w:rsidRPr="00F006AF" w:rsidRDefault="000E3CE0">
      <w:pPr>
        <w:pBdr>
          <w:top w:val="nil"/>
          <w:left w:val="nil"/>
          <w:bottom w:val="nil"/>
          <w:right w:val="nil"/>
          <w:between w:val="nil"/>
        </w:pBdr>
        <w:spacing w:before="240" w:after="240" w:line="360" w:lineRule="auto"/>
        <w:ind w:left="2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b</w:t>
      </w:r>
      <w:proofErr w:type="gramStart"/>
      <w:r w:rsidRPr="00F006AF">
        <w:rPr>
          <w:rFonts w:ascii="Palatino Linotype" w:eastAsia="Palatino Linotype" w:hAnsi="Palatino Linotype" w:cs="Palatino Linotype"/>
          <w:color w:val="000000"/>
        </w:rPr>
        <w:t>).-</w:t>
      </w:r>
      <w:proofErr w:type="gramEnd"/>
      <w:r w:rsidRPr="00F006AF">
        <w:rPr>
          <w:rFonts w:ascii="Palatino Linotype" w:eastAsia="Palatino Linotype" w:hAnsi="Palatino Linotype" w:cs="Palatino Linotype"/>
          <w:color w:val="000000"/>
        </w:rPr>
        <w:t xml:space="preserve"> Constancias de los servidores públicos que desarrollaron la evaluación, en materia de Evaluación de Programas Presupuestarios y Metodología de Marco Lógico.</w:t>
      </w:r>
    </w:p>
    <w:p w14:paraId="42BF4A35" w14:textId="77777777" w:rsidR="006639DB" w:rsidRPr="00F006AF" w:rsidRDefault="000E3CE0">
      <w:pPr>
        <w:pBdr>
          <w:top w:val="nil"/>
          <w:left w:val="nil"/>
          <w:bottom w:val="nil"/>
          <w:right w:val="nil"/>
          <w:between w:val="nil"/>
        </w:pBdr>
        <w:spacing w:before="240" w:after="240" w:line="360" w:lineRule="auto"/>
        <w:ind w:left="2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8. En relación al Programa Anual de Evaluación 2022: </w:t>
      </w:r>
    </w:p>
    <w:p w14:paraId="3F8E9F88" w14:textId="77777777" w:rsidR="006639DB" w:rsidRPr="00F006AF" w:rsidRDefault="000E3CE0">
      <w:pPr>
        <w:pBdr>
          <w:top w:val="nil"/>
          <w:left w:val="nil"/>
          <w:bottom w:val="nil"/>
          <w:right w:val="nil"/>
          <w:between w:val="nil"/>
        </w:pBdr>
        <w:spacing w:before="240" w:after="240" w:line="360" w:lineRule="auto"/>
        <w:ind w:left="2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1. Conciliaciones para revisar avances de la evaluación de los meses de julio y septiembre, de cada sujeto evaluado, así como las medidas que se han implementado (documentadas) para aquellos que no han tenido avance alguno en el desarrollo de la evaluación; </w:t>
      </w:r>
    </w:p>
    <w:p w14:paraId="5D8AFACC"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2. Acciones, sanciones o medidas se </w:t>
      </w:r>
      <w:proofErr w:type="gramStart"/>
      <w:r w:rsidRPr="00F006AF">
        <w:rPr>
          <w:rFonts w:ascii="Palatino Linotype" w:eastAsia="Palatino Linotype" w:hAnsi="Palatino Linotype" w:cs="Palatino Linotype"/>
        </w:rPr>
        <w:t>implementaran</w:t>
      </w:r>
      <w:proofErr w:type="gramEnd"/>
      <w:r w:rsidRPr="00F006AF">
        <w:rPr>
          <w:rFonts w:ascii="Palatino Linotype" w:eastAsia="Palatino Linotype" w:hAnsi="Palatino Linotype" w:cs="Palatino Linotype"/>
        </w:rPr>
        <w:t xml:space="preserve"> a los sujetos evaluados que en diciembre 2022 no entreguen su evaluación del PAE 2022, correspondiente al ejercicio fiscal 2021.</w:t>
      </w:r>
    </w:p>
    <w:p w14:paraId="37C44E82" w14:textId="77777777" w:rsidR="006639DB" w:rsidRPr="00F006AF" w:rsidRDefault="006639DB">
      <w:pPr>
        <w:spacing w:line="360" w:lineRule="auto"/>
        <w:jc w:val="both"/>
        <w:rPr>
          <w:rFonts w:ascii="Palatino Linotype" w:eastAsia="Palatino Linotype" w:hAnsi="Palatino Linotype" w:cs="Palatino Linotype"/>
        </w:rPr>
      </w:pPr>
    </w:p>
    <w:p w14:paraId="0104A85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su respuesta, el </w:t>
      </w:r>
      <w:r w:rsidRPr="00F006AF">
        <w:rPr>
          <w:rFonts w:ascii="Palatino Linotype" w:eastAsia="Palatino Linotype" w:hAnsi="Palatino Linotype" w:cs="Palatino Linotype"/>
          <w:b/>
        </w:rPr>
        <w:t xml:space="preserve">Sujeto Obligado </w:t>
      </w:r>
      <w:r w:rsidRPr="00F006AF">
        <w:rPr>
          <w:rFonts w:ascii="Palatino Linotype" w:eastAsia="Palatino Linotype" w:hAnsi="Palatino Linotype" w:cs="Palatino Linotype"/>
        </w:rPr>
        <w:t xml:space="preserve">a través  la Servidora Pública Habilitada de la Subsecretaría de Planeación y presupuesto comentó que la Dirección General de Evaluación del Desempeño Institucional no cuenta con la información al nivel de desagregación que refiere el solicitante; no obstante, bajo el principio de máxima publicidad informó que los Programas Anuales de Evaluación (PAE) desde el año 2013 hasta el año 2021, las Evaluaciones realizadas, los Convenios para la Mejora del Desempeño y Resultados Gubernamentales que contienen los Aspectos Susceptibles de Mejora (ASM), así como las Actas de Atención de los Aspectos de Mejora, son públicos y están disponibles en la página de Transparencia Fiscal, cuales se podrá acceder mediante las siguientes ligas electrónicas: </w:t>
      </w:r>
      <w:hyperlink r:id="rId17">
        <w:r w:rsidRPr="00F006AF">
          <w:rPr>
            <w:rFonts w:ascii="Palatino Linotype" w:eastAsia="Palatino Linotype" w:hAnsi="Palatino Linotype" w:cs="Palatino Linotype"/>
            <w:color w:val="0000FF"/>
            <w:u w:val="single"/>
          </w:rPr>
          <w:t>https://transparenciafiscal.edomex.gob.mx/marcoproq-proqramaanualevaluaciones</w:t>
        </w:r>
      </w:hyperlink>
      <w:r w:rsidRPr="00F006AF">
        <w:rPr>
          <w:rFonts w:ascii="Palatino Linotype" w:eastAsia="Palatino Linotype" w:hAnsi="Palatino Linotype" w:cs="Palatino Linotype"/>
        </w:rPr>
        <w:t xml:space="preserve">    </w:t>
      </w:r>
    </w:p>
    <w:p w14:paraId="2ABC0181" w14:textId="77777777" w:rsidR="006639DB" w:rsidRPr="00F006AF" w:rsidRDefault="00BC25D2">
      <w:pPr>
        <w:spacing w:line="360" w:lineRule="auto"/>
        <w:jc w:val="both"/>
        <w:rPr>
          <w:rFonts w:ascii="Palatino Linotype" w:eastAsia="Palatino Linotype" w:hAnsi="Palatino Linotype" w:cs="Palatino Linotype"/>
        </w:rPr>
      </w:pPr>
      <w:hyperlink r:id="rId18">
        <w:r w:rsidR="000E3CE0" w:rsidRPr="00F006AF">
          <w:rPr>
            <w:rFonts w:ascii="Palatino Linotype" w:eastAsia="Palatino Linotype" w:hAnsi="Palatino Linotype" w:cs="Palatino Linotype"/>
            <w:color w:val="0000FF"/>
            <w:u w:val="single"/>
          </w:rPr>
          <w:t>https://transparenciafiscal.edomex.qob.mx/resultado-evaluaciones</w:t>
        </w:r>
      </w:hyperlink>
      <w:r w:rsidR="000E3CE0" w:rsidRPr="00F006AF">
        <w:rPr>
          <w:rFonts w:ascii="Palatino Linotype" w:eastAsia="Palatino Linotype" w:hAnsi="Palatino Linotype" w:cs="Palatino Linotype"/>
        </w:rPr>
        <w:t xml:space="preserve"> </w:t>
      </w:r>
    </w:p>
    <w:p w14:paraId="0992862A" w14:textId="77777777" w:rsidR="006639DB" w:rsidRPr="00F006AF" w:rsidRDefault="000E3CE0">
      <w:pPr>
        <w:spacing w:before="240" w:after="360" w:line="360" w:lineRule="auto"/>
        <w:jc w:val="both"/>
        <w:rPr>
          <w:rFonts w:ascii="Palatino Linotype" w:eastAsia="Palatino Linotype" w:hAnsi="Palatino Linotype" w:cs="Palatino Linotype"/>
          <w:i/>
        </w:rPr>
      </w:pPr>
      <w:r w:rsidRPr="00F006AF">
        <w:rPr>
          <w:rFonts w:ascii="Palatino Linotype" w:eastAsia="Palatino Linotype" w:hAnsi="Palatino Linotype" w:cs="Palatino Linotype"/>
        </w:rPr>
        <w:t>Respecto a la normatividad aplicable manifestó que “</w:t>
      </w:r>
      <w:r w:rsidRPr="00F006AF">
        <w:rPr>
          <w:rFonts w:ascii="Palatino Linotype" w:eastAsia="Palatino Linotype" w:hAnsi="Palatino Linotype" w:cs="Palatino Linotype"/>
          <w:i/>
        </w:rPr>
        <w:t>cuenta con los Lineamientos Generales para la Evaluación de los Programas Presupuestarios del Gobierno del Estado de México (LGEPPGEM), visibles en la liga electrónica: https://leqisIacion.edomex.sob.mx/sites/IepisIacion.edomex.qob.mx/files/files/pdf/cict/2017/feb23 1.Pdf  los cuales en su Capítulo XIV, establecen las sanciones en caso de incumplimiento por la falta o retraso en la entrega del informe final de evaluación o en atención de hallazgos, recomendaciones y/o Aspectos Susceptibles de Mejora (ASM).”</w:t>
      </w:r>
    </w:p>
    <w:p w14:paraId="55319F22" w14:textId="77777777" w:rsidR="006639DB" w:rsidRPr="00F006AF" w:rsidRDefault="000E3CE0">
      <w:pPr>
        <w:spacing w:before="240" w:after="360" w:line="360" w:lineRule="auto"/>
        <w:jc w:val="both"/>
        <w:rPr>
          <w:rFonts w:ascii="Palatino Linotype" w:eastAsia="Palatino Linotype" w:hAnsi="Palatino Linotype" w:cs="Palatino Linotype"/>
          <w:i/>
        </w:rPr>
      </w:pPr>
      <w:r w:rsidRPr="00F006AF">
        <w:rPr>
          <w:rFonts w:ascii="Palatino Linotype" w:eastAsia="Palatino Linotype" w:hAnsi="Palatino Linotype" w:cs="Palatino Linotype"/>
        </w:rPr>
        <w:lastRenderedPageBreak/>
        <w:t>Por cuanto hace a las responsabilidades fincadas y/o sanciones de cualquier tipo refirió que “</w:t>
      </w:r>
      <w:r w:rsidRPr="00F006AF">
        <w:rPr>
          <w:rFonts w:ascii="Palatino Linotype" w:eastAsia="Palatino Linotype" w:hAnsi="Palatino Linotype" w:cs="Palatino Linotype"/>
          <w:i/>
        </w:rPr>
        <w:t>de acuerdo a las facultades conferidas en el artículo 22 Bis del Reglamento Interior de la Secretaría de Finanzas, la Dirección General de Evaluación del Desempeño Institucional, no tiene atribuciones para aplicar sanciones por responsabilidades fincadas y/o de cualquier tipo a servidores públicos, derivado del incumplimiento a la normatividad aplicable al PAE.”</w:t>
      </w:r>
    </w:p>
    <w:p w14:paraId="6BB2C170" w14:textId="77777777" w:rsidR="006639DB" w:rsidRPr="00F006AF" w:rsidRDefault="000E3CE0">
      <w:pPr>
        <w:spacing w:before="240" w:after="36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Finalmente, en relación a los nombres, cargo y profesión de los servidores públicos que actualmente laboran en la Dirección General señaló que “</w:t>
      </w:r>
      <w:r w:rsidRPr="00F006AF">
        <w:rPr>
          <w:rFonts w:ascii="Palatino Linotype" w:eastAsia="Palatino Linotype" w:hAnsi="Palatino Linotype" w:cs="Palatino Linotype"/>
          <w:i/>
        </w:rPr>
        <w:t xml:space="preserve">el 22 de septiembre de 2020, fue publicado en el Periódico Oficial "Gaceta del Gobierno", el Reglamento Interior de la Secretaría de Finanzas, mediante el cual se crea la Dirección General de Evaluación del Desempeño Institucional, asumiendo la titularidad de la Dirección General el Maestro en Administración Pública, Hugo Ayala Ramos; asimismo, se precisa en el artículo 22 Bis del citado Reglamento, que se auxiliará de los directores de área de Análisis y Seguimiento, y de Monitoreo y Evaluación, que actualmente se encuentra como encargada del despacho, la pasante de Ingeniero en Gestión Empresarial Luz María Cuero Hernández y el Maestro en Estudios de Población Julio Enrique Santa Ana Guevara, Subdirector de Evaluaciones y Mejora Continua, quienes son los responsables de coordinar la implementación del PAE en el Gobierno del Estado de México, información que se encuentra disponible en el Directorio de Servidores Públicos del Gobierno del Estado de México” </w:t>
      </w:r>
    </w:p>
    <w:p w14:paraId="43B3E55E" w14:textId="77777777" w:rsidR="006639DB" w:rsidRPr="00F006AF" w:rsidRDefault="000E3CE0">
      <w:pPr>
        <w:spacing w:before="240" w:after="360" w:line="360" w:lineRule="auto"/>
        <w:jc w:val="both"/>
        <w:rPr>
          <w:rFonts w:ascii="Palatino Linotype" w:eastAsia="Palatino Linotype" w:hAnsi="Palatino Linotype" w:cs="Palatino Linotype"/>
          <w:i/>
        </w:rPr>
      </w:pPr>
      <w:r w:rsidRPr="00F006AF">
        <w:rPr>
          <w:rFonts w:ascii="Palatino Linotype" w:eastAsia="Palatino Linotype" w:hAnsi="Palatino Linotype" w:cs="Palatino Linotype"/>
        </w:rPr>
        <w:t xml:space="preserve">Conocida la respuesta por la </w:t>
      </w:r>
      <w:proofErr w:type="spellStart"/>
      <w:r w:rsidRPr="00F006AF">
        <w:rPr>
          <w:rFonts w:ascii="Palatino Linotype" w:eastAsia="Palatino Linotype" w:hAnsi="Palatino Linotype" w:cs="Palatino Linotype"/>
        </w:rPr>
        <w:t>la</w:t>
      </w:r>
      <w:proofErr w:type="spellEnd"/>
      <w:r w:rsidRPr="00F006AF">
        <w:rPr>
          <w:rFonts w:ascii="Palatino Linotype" w:eastAsia="Palatino Linotype" w:hAnsi="Palatino Linotype" w:cs="Palatino Linotype"/>
        </w:rPr>
        <w:t xml:space="preserve">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 xml:space="preserve">interpuso el recurso de revisión en el que manifestó como razones o motivos de inconformidad que el </w:t>
      </w:r>
      <w:r w:rsidRPr="00F006AF">
        <w:rPr>
          <w:rFonts w:ascii="Palatino Linotype" w:eastAsia="Palatino Linotype" w:hAnsi="Palatino Linotype" w:cs="Palatino Linotype"/>
          <w:b/>
        </w:rPr>
        <w:t>Sujeto Obligado “</w:t>
      </w:r>
      <w:r w:rsidRPr="00F006AF">
        <w:rPr>
          <w:rFonts w:ascii="Palatino Linotype" w:eastAsia="Palatino Linotype" w:hAnsi="Palatino Linotype" w:cs="Palatino Linotype"/>
          <w:i/>
        </w:rPr>
        <w:t xml:space="preserve">No responde a los cuestionamientos para cada uno de los periodos señalados. No responde </w:t>
      </w:r>
      <w:r w:rsidRPr="00F006AF">
        <w:rPr>
          <w:rFonts w:ascii="Palatino Linotype" w:eastAsia="Palatino Linotype" w:hAnsi="Palatino Linotype" w:cs="Palatino Linotype"/>
          <w:i/>
        </w:rPr>
        <w:lastRenderedPageBreak/>
        <w:t xml:space="preserve">quienes son los sujetos obligados que no realizaron evaluaciones del PAE desde el año 2013 a la fecha, solo anexa la liga de transparencia fiscal, </w:t>
      </w:r>
      <w:proofErr w:type="spellStart"/>
      <w:r w:rsidRPr="00F006AF">
        <w:rPr>
          <w:rFonts w:ascii="Palatino Linotype" w:eastAsia="Palatino Linotype" w:hAnsi="Palatino Linotype" w:cs="Palatino Linotype"/>
          <w:i/>
        </w:rPr>
        <w:t>si</w:t>
      </w:r>
      <w:proofErr w:type="spellEnd"/>
      <w:r w:rsidRPr="00F006AF">
        <w:rPr>
          <w:rFonts w:ascii="Palatino Linotype" w:eastAsia="Palatino Linotype" w:hAnsi="Palatino Linotype" w:cs="Palatino Linotype"/>
          <w:i/>
        </w:rPr>
        <w:t xml:space="preserve"> embrago en esta liga solo están publicadas las evaluaciones realizadas, más no los sujetos evaluados que no las realizaron; así como también faltan los nombres de los sujetos evaluados que no cumplieron con los ASM y eso no </w:t>
      </w:r>
      <w:proofErr w:type="spellStart"/>
      <w:r w:rsidRPr="00F006AF">
        <w:rPr>
          <w:rFonts w:ascii="Palatino Linotype" w:eastAsia="Palatino Linotype" w:hAnsi="Palatino Linotype" w:cs="Palatino Linotype"/>
          <w:i/>
        </w:rPr>
        <w:t>esta</w:t>
      </w:r>
      <w:proofErr w:type="spellEnd"/>
      <w:r w:rsidRPr="00F006AF">
        <w:rPr>
          <w:rFonts w:ascii="Palatino Linotype" w:eastAsia="Palatino Linotype" w:hAnsi="Palatino Linotype" w:cs="Palatino Linotype"/>
          <w:i/>
        </w:rPr>
        <w:t xml:space="preserve"> en la liga que refieren, ni en los periodos solicitados. No dan información alguna de las sanciones por las omisiones y/o incumplimiento a las evaluaciones o la </w:t>
      </w:r>
      <w:proofErr w:type="spellStart"/>
      <w:r w:rsidRPr="00F006AF">
        <w:rPr>
          <w:rFonts w:ascii="Palatino Linotype" w:eastAsia="Palatino Linotype" w:hAnsi="Palatino Linotype" w:cs="Palatino Linotype"/>
          <w:i/>
        </w:rPr>
        <w:t>solventación</w:t>
      </w:r>
      <w:proofErr w:type="spellEnd"/>
      <w:r w:rsidRPr="00F006AF">
        <w:rPr>
          <w:rFonts w:ascii="Palatino Linotype" w:eastAsia="Palatino Linotype" w:hAnsi="Palatino Linotype" w:cs="Palatino Linotype"/>
          <w:i/>
        </w:rPr>
        <w:t xml:space="preserve"> de los ASM desde 2013 a la </w:t>
      </w:r>
      <w:proofErr w:type="gramStart"/>
      <w:r w:rsidRPr="00F006AF">
        <w:rPr>
          <w:rFonts w:ascii="Palatino Linotype" w:eastAsia="Palatino Linotype" w:hAnsi="Palatino Linotype" w:cs="Palatino Linotype"/>
          <w:i/>
        </w:rPr>
        <w:t>fecha .</w:t>
      </w:r>
      <w:proofErr w:type="gramEnd"/>
      <w:r w:rsidRPr="00F006AF">
        <w:rPr>
          <w:rFonts w:ascii="Palatino Linotype" w:eastAsia="Palatino Linotype" w:hAnsi="Palatino Linotype" w:cs="Palatino Linotype"/>
          <w:i/>
        </w:rPr>
        <w:t xml:space="preserve"> No ase anexa evidencia de la capacitación en materia de MML del personal de la Dirección de Evaluación del Desempeño Institucional a cargo del PAE.” (Sic) </w:t>
      </w:r>
    </w:p>
    <w:p w14:paraId="67730E67" w14:textId="77777777" w:rsidR="006639DB" w:rsidRPr="00F006AF" w:rsidRDefault="000E3CE0">
      <w:pPr>
        <w:spacing w:before="240" w:after="360" w:line="360" w:lineRule="auto"/>
        <w:jc w:val="both"/>
        <w:rPr>
          <w:rFonts w:ascii="Palatino Linotype" w:eastAsia="Palatino Linotype" w:hAnsi="Palatino Linotype" w:cs="Palatino Linotype"/>
          <w:i/>
        </w:rPr>
      </w:pPr>
      <w:r w:rsidRPr="00F006AF">
        <w:rPr>
          <w:rFonts w:ascii="Palatino Linotype" w:eastAsia="Palatino Linotype" w:hAnsi="Palatino Linotype" w:cs="Palatino Linotype"/>
        </w:rPr>
        <w:t xml:space="preserve">Una vez presentado el recurso de revisión, el </w:t>
      </w:r>
      <w:r w:rsidRPr="00F006AF">
        <w:rPr>
          <w:rFonts w:ascii="Palatino Linotype" w:eastAsia="Palatino Linotype" w:hAnsi="Palatino Linotype" w:cs="Palatino Linotype"/>
          <w:b/>
        </w:rPr>
        <w:t xml:space="preserve">Sujeto Obligado </w:t>
      </w:r>
      <w:r w:rsidRPr="00F006AF">
        <w:rPr>
          <w:rFonts w:ascii="Palatino Linotype" w:eastAsia="Palatino Linotype" w:hAnsi="Palatino Linotype" w:cs="Palatino Linotype"/>
        </w:rPr>
        <w:t>haciendo uso de su derecho remitió su informe justificado, en el que además de ratificar la respuesta inicial remitió el acuerdo emitido por el Comité de Transparencia en el que confirmó la declaratoria de incompetencia respecto al cuestionamiento ¿</w:t>
      </w:r>
      <w:r w:rsidRPr="00F006AF">
        <w:rPr>
          <w:rFonts w:ascii="Palatino Linotype" w:eastAsia="Palatino Linotype" w:hAnsi="Palatino Linotype" w:cs="Palatino Linotype"/>
          <w:i/>
        </w:rPr>
        <w:t>Cuántas responsabilidades fincadas y/o sanciones de cualquier tipo, se ejecutaron a servidores públicos, derivado del incumplimiento al Programa Anual de Evaluación (PAE), a la normatividad aplicable al PAE y a cada convenio para la mejora del desempeño y resultados gubernamentales, desde el año 2013 hasta el año 2021 (por año y sujeto evaluado).?</w:t>
      </w:r>
    </w:p>
    <w:p w14:paraId="43FC7BA8" w14:textId="77777777" w:rsidR="006639DB" w:rsidRPr="00F006AF" w:rsidRDefault="000E3CE0">
      <w:pPr>
        <w:spacing w:before="240" w:after="36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Conocida la respuesta por la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 xml:space="preserve">manifestó su inconformidad en los siguientes términos: </w:t>
      </w:r>
    </w:p>
    <w:p w14:paraId="4820A7A2" w14:textId="77777777" w:rsidR="006639DB" w:rsidRPr="00F006AF" w:rsidRDefault="000E3CE0">
      <w:pPr>
        <w:spacing w:before="240" w:after="360" w:line="276" w:lineRule="auto"/>
        <w:ind w:left="851" w:right="616"/>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“No responde a los cuestionamientos para cada uno de los periodos señalados. No responde quienes son los sujetos obligados que no realizaron evaluaciones del PAE desde el año 2013 a la fecha, solo anexa la liga de transparencia fiscal, </w:t>
      </w:r>
      <w:proofErr w:type="spellStart"/>
      <w:r w:rsidRPr="00F006AF">
        <w:rPr>
          <w:rFonts w:ascii="Palatino Linotype" w:eastAsia="Palatino Linotype" w:hAnsi="Palatino Linotype" w:cs="Palatino Linotype"/>
          <w:i/>
          <w:sz w:val="22"/>
          <w:szCs w:val="22"/>
        </w:rPr>
        <w:t>si</w:t>
      </w:r>
      <w:proofErr w:type="spellEnd"/>
      <w:r w:rsidRPr="00F006AF">
        <w:rPr>
          <w:rFonts w:ascii="Palatino Linotype" w:eastAsia="Palatino Linotype" w:hAnsi="Palatino Linotype" w:cs="Palatino Linotype"/>
          <w:i/>
          <w:sz w:val="22"/>
          <w:szCs w:val="22"/>
        </w:rPr>
        <w:t xml:space="preserve"> embrago en </w:t>
      </w:r>
      <w:r w:rsidRPr="00F006AF">
        <w:rPr>
          <w:rFonts w:ascii="Palatino Linotype" w:eastAsia="Palatino Linotype" w:hAnsi="Palatino Linotype" w:cs="Palatino Linotype"/>
          <w:i/>
          <w:sz w:val="22"/>
          <w:szCs w:val="22"/>
        </w:rPr>
        <w:lastRenderedPageBreak/>
        <w:t xml:space="preserve">esta liga solo están publicadas las evaluaciones realizadas, más no los sujetos evaluados que no las realizaron; así como también faltan los nombres de los sujetos evaluados que no cumplieron con los ASM y eso no </w:t>
      </w:r>
      <w:proofErr w:type="spellStart"/>
      <w:r w:rsidRPr="00F006AF">
        <w:rPr>
          <w:rFonts w:ascii="Palatino Linotype" w:eastAsia="Palatino Linotype" w:hAnsi="Palatino Linotype" w:cs="Palatino Linotype"/>
          <w:i/>
          <w:sz w:val="22"/>
          <w:szCs w:val="22"/>
        </w:rPr>
        <w:t>esta</w:t>
      </w:r>
      <w:proofErr w:type="spellEnd"/>
      <w:r w:rsidRPr="00F006AF">
        <w:rPr>
          <w:rFonts w:ascii="Palatino Linotype" w:eastAsia="Palatino Linotype" w:hAnsi="Palatino Linotype" w:cs="Palatino Linotype"/>
          <w:i/>
          <w:sz w:val="22"/>
          <w:szCs w:val="22"/>
        </w:rPr>
        <w:t xml:space="preserve"> en la liga que refieren, ni en los periodos solicitados. No dan información alguna de las sanciones por las omisiones y/o incumplimiento a las evaluaciones o la </w:t>
      </w:r>
      <w:proofErr w:type="spellStart"/>
      <w:r w:rsidRPr="00F006AF">
        <w:rPr>
          <w:rFonts w:ascii="Palatino Linotype" w:eastAsia="Palatino Linotype" w:hAnsi="Palatino Linotype" w:cs="Palatino Linotype"/>
          <w:i/>
          <w:sz w:val="22"/>
          <w:szCs w:val="22"/>
        </w:rPr>
        <w:t>solventación</w:t>
      </w:r>
      <w:proofErr w:type="spellEnd"/>
      <w:r w:rsidRPr="00F006AF">
        <w:rPr>
          <w:rFonts w:ascii="Palatino Linotype" w:eastAsia="Palatino Linotype" w:hAnsi="Palatino Linotype" w:cs="Palatino Linotype"/>
          <w:i/>
          <w:sz w:val="22"/>
          <w:szCs w:val="22"/>
        </w:rPr>
        <w:t xml:space="preserve"> de los ASM desde 2013 a la </w:t>
      </w:r>
      <w:proofErr w:type="gramStart"/>
      <w:r w:rsidRPr="00F006AF">
        <w:rPr>
          <w:rFonts w:ascii="Palatino Linotype" w:eastAsia="Palatino Linotype" w:hAnsi="Palatino Linotype" w:cs="Palatino Linotype"/>
          <w:i/>
          <w:sz w:val="22"/>
          <w:szCs w:val="22"/>
        </w:rPr>
        <w:t>fecha .</w:t>
      </w:r>
      <w:proofErr w:type="gramEnd"/>
      <w:r w:rsidRPr="00F006AF">
        <w:rPr>
          <w:rFonts w:ascii="Palatino Linotype" w:eastAsia="Palatino Linotype" w:hAnsi="Palatino Linotype" w:cs="Palatino Linotype"/>
          <w:i/>
          <w:sz w:val="22"/>
          <w:szCs w:val="22"/>
        </w:rPr>
        <w:t xml:space="preserve"> No ase anexa evidencia de la capacitación en materia de MML del personal de la Dirección de Evaluación del Desempeño Institucional a cargo del PAE.”</w:t>
      </w:r>
    </w:p>
    <w:p w14:paraId="27CBD642" w14:textId="77777777" w:rsidR="006639DB" w:rsidRPr="00F006AF" w:rsidRDefault="000E3CE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este sentido, no pasa inadvertido para este Organismo Garante que, toda vez que los motivos de inconformidad, no versan sobre la totalidad de la información proporcionada por el Sujeto Obligado, pues la parte Recurrente se inconformó de manera expresa respecto del nombre de los sujetos evaluados que NO realizaron la evaluación señalada en el Programa Anual de Evaluación (PAE) desde el año 2013 hasta el año 2021 y que por ende no están publicadas en la página web de transparencia fiscal de la Secretaría de Finanzas; nombre de los sujetos evaluados que no han dado cumplimiento a los hallazgos, recomendaciones y/o Aspectos Susceptibles de Mejora derivadas de sus respectivas evaluaciones desde el año 2013 hasta el año 2021 y que por ende no hay un Acta de Cumplimiento que de fe de lo antes expuesto y que por ende no están publicada en la página web de transparencia fiscal de la Secretaría de Finanzas; nombre de los sujetos evaluados que no han dado cumplimiento a los hallazgos, recomendaciones y/o Aspectos Susceptibles de Mejora derivadas de sus respectivas evaluaciones desde el año 2013 hasta el año 2021 y que por ende no hay un Acta de Cumplimiento que de fe de lo antes expuesto y que por ende no están publicada en la página web de transparencia fiscal de la Secretaría de Finanzas y sobre constancias de capacitación en materia de Evaluación </w:t>
      </w:r>
      <w:r w:rsidRPr="00F006AF">
        <w:rPr>
          <w:rFonts w:ascii="Palatino Linotype" w:eastAsia="Palatino Linotype" w:hAnsi="Palatino Linotype" w:cs="Palatino Linotype"/>
        </w:rPr>
        <w:lastRenderedPageBreak/>
        <w:t>de Programas Presupuestarios y Metodología de Marco Lógico del personal de la Dirección de Evaluación del Desempeño Institucional a cargo del PAE</w:t>
      </w:r>
      <w:r w:rsidRPr="00F006AF">
        <w:rPr>
          <w:rFonts w:ascii="Palatino Linotype" w:eastAsia="Palatino Linotype" w:hAnsi="Palatino Linotype" w:cs="Palatino Linotype"/>
          <w:sz w:val="18"/>
          <w:szCs w:val="18"/>
        </w:rPr>
        <w:t>;</w:t>
      </w:r>
      <w:r w:rsidRPr="00F006AF">
        <w:rPr>
          <w:rFonts w:ascii="Palatino Linotype" w:eastAsia="Palatino Linotype" w:hAnsi="Palatino Linotype" w:cs="Palatino Linotype"/>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51E764BD" w14:textId="77777777" w:rsidR="006639DB" w:rsidRPr="00F006AF" w:rsidRDefault="006639DB">
      <w:pPr>
        <w:spacing w:line="360" w:lineRule="auto"/>
        <w:jc w:val="both"/>
        <w:rPr>
          <w:rFonts w:ascii="Palatino Linotype" w:eastAsia="Palatino Linotype" w:hAnsi="Palatino Linotype" w:cs="Palatino Linotype"/>
        </w:rPr>
      </w:pPr>
    </w:p>
    <w:p w14:paraId="35107A6E"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435AAA5" w14:textId="77777777" w:rsidR="006639DB" w:rsidRPr="00F006AF" w:rsidRDefault="006639DB">
      <w:pPr>
        <w:spacing w:line="360" w:lineRule="auto"/>
        <w:jc w:val="both"/>
        <w:rPr>
          <w:rFonts w:ascii="Palatino Linotype" w:eastAsia="Palatino Linotype" w:hAnsi="Palatino Linotype" w:cs="Palatino Linotype"/>
        </w:rPr>
      </w:pPr>
    </w:p>
    <w:p w14:paraId="29E0703B" w14:textId="77777777" w:rsidR="006639DB" w:rsidRPr="00F006AF" w:rsidRDefault="000E3CE0">
      <w:pPr>
        <w:spacing w:line="276" w:lineRule="auto"/>
        <w:ind w:left="567" w:right="616"/>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 xml:space="preserve">“REVISIÓN EN AMPARO. LOS RESOLUTIVOS NO COMBATIDOS DEBEN DECLARARSE FIRMES. </w:t>
      </w:r>
      <w:r w:rsidRPr="00F006A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23E5DAE" w14:textId="77777777" w:rsidR="006639DB" w:rsidRPr="00F006AF" w:rsidRDefault="006639DB">
      <w:pPr>
        <w:spacing w:line="360" w:lineRule="auto"/>
        <w:jc w:val="both"/>
        <w:rPr>
          <w:rFonts w:ascii="Palatino Linotype" w:eastAsia="Palatino Linotype" w:hAnsi="Palatino Linotype" w:cs="Palatino Linotype"/>
        </w:rPr>
      </w:pPr>
      <w:bookmarkStart w:id="0" w:name="_heading=h.gjdgxs" w:colFirst="0" w:colLast="0"/>
      <w:bookmarkEnd w:id="0"/>
    </w:p>
    <w:p w14:paraId="4D9C924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lastRenderedPageBreak/>
        <w:t>Consecuentemente, se insiste, ante la falta de impugnación eficaz, la respuesta entregada debe declararse consentida por persona solicitante.</w:t>
      </w:r>
    </w:p>
    <w:p w14:paraId="0AA5C016" w14:textId="77777777" w:rsidR="006639DB" w:rsidRPr="00F006AF" w:rsidRDefault="000E3CE0">
      <w:pPr>
        <w:tabs>
          <w:tab w:val="left" w:pos="1560"/>
        </w:tabs>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ab/>
      </w:r>
    </w:p>
    <w:p w14:paraId="13C6C83D"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4BFC8122" w14:textId="77777777" w:rsidR="006639DB" w:rsidRPr="00F006AF" w:rsidRDefault="006639DB">
      <w:pPr>
        <w:spacing w:line="360" w:lineRule="auto"/>
        <w:jc w:val="both"/>
        <w:rPr>
          <w:rFonts w:ascii="Palatino Linotype" w:eastAsia="Palatino Linotype" w:hAnsi="Palatino Linotype" w:cs="Palatino Linotype"/>
        </w:rPr>
      </w:pPr>
    </w:p>
    <w:p w14:paraId="30F2DF4D" w14:textId="77777777" w:rsidR="006639DB" w:rsidRPr="00F006AF" w:rsidRDefault="000E3CE0">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w:t>
      </w:r>
      <w:r w:rsidRPr="00F006AF">
        <w:rPr>
          <w:rFonts w:ascii="Palatino Linotype" w:eastAsia="Palatino Linotype" w:hAnsi="Palatino Linotype" w:cs="Palatino Linotype"/>
          <w:b/>
          <w:i/>
          <w:color w:val="000000"/>
          <w:sz w:val="22"/>
          <w:szCs w:val="22"/>
        </w:rPr>
        <w:t xml:space="preserve">Actos consentidos tácitamente. Improcedencia de su análisis. </w:t>
      </w:r>
      <w:r w:rsidRPr="00F006AF">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06D60AA" w14:textId="77777777" w:rsidR="006639DB" w:rsidRPr="00F006AF" w:rsidRDefault="006639DB">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rPr>
      </w:pPr>
    </w:p>
    <w:p w14:paraId="2F2255D7"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343EB27" w14:textId="77777777" w:rsidR="006639DB" w:rsidRPr="00F006AF" w:rsidRDefault="006639DB">
      <w:pPr>
        <w:spacing w:line="360" w:lineRule="auto"/>
        <w:ind w:left="851" w:right="900"/>
        <w:jc w:val="both"/>
        <w:rPr>
          <w:rFonts w:ascii="Palatino Linotype" w:eastAsia="Palatino Linotype" w:hAnsi="Palatino Linotype" w:cs="Palatino Linotype"/>
          <w:b/>
          <w:i/>
          <w:smallCaps/>
          <w:sz w:val="22"/>
          <w:szCs w:val="22"/>
        </w:rPr>
      </w:pPr>
    </w:p>
    <w:p w14:paraId="6FA10D09" w14:textId="77777777" w:rsidR="006639DB" w:rsidRPr="00F006AF" w:rsidRDefault="000E3CE0">
      <w:pPr>
        <w:tabs>
          <w:tab w:val="left" w:pos="851"/>
          <w:tab w:val="left" w:pos="1276"/>
        </w:tabs>
        <w:spacing w:line="276" w:lineRule="auto"/>
        <w:ind w:left="567" w:right="709"/>
        <w:jc w:val="both"/>
        <w:rPr>
          <w:rFonts w:ascii="Palatino Linotype" w:eastAsia="Palatino Linotype" w:hAnsi="Palatino Linotype" w:cs="Palatino Linotype"/>
        </w:rPr>
      </w:pPr>
      <w:r w:rsidRPr="00F006AF">
        <w:rPr>
          <w:rFonts w:ascii="Palatino Linotype" w:eastAsia="Palatino Linotype" w:hAnsi="Palatino Linotype" w:cs="Palatino Linotype"/>
          <w:b/>
          <w:i/>
          <w:smallCaps/>
          <w:sz w:val="22"/>
          <w:szCs w:val="22"/>
        </w:rPr>
        <w:t xml:space="preserve">“ACTOS CONSENTIDOS. SON LOS QUE NO SE IMPUGNAN MEDIANTE EL RECURSO IDÓNEO. </w:t>
      </w:r>
      <w:r w:rsidRPr="00F006AF">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F006AF">
        <w:rPr>
          <w:rFonts w:ascii="Palatino Linotype" w:eastAsia="Palatino Linotype" w:hAnsi="Palatino Linotype" w:cs="Palatino Linotype"/>
          <w:i/>
          <w:sz w:val="22"/>
          <w:szCs w:val="22"/>
        </w:rPr>
        <w:t>ya que</w:t>
      </w:r>
      <w:proofErr w:type="gramEnd"/>
      <w:r w:rsidRPr="00F006AF">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07DF242" w14:textId="77777777" w:rsidR="006639DB" w:rsidRPr="00F006AF" w:rsidRDefault="006639DB">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AC37550" w14:textId="77777777" w:rsidR="006639DB" w:rsidRPr="00F006AF" w:rsidRDefault="000E3CE0">
      <w:pPr>
        <w:spacing w:before="240" w:after="360"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rPr>
        <w:t xml:space="preserve">Acotado lo anterior, es procedente analizar la naturaleza jurídica de los puntos de la solicitud sobre la cual la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 xml:space="preserve">manifestó su inconformidad; así como, la </w:t>
      </w:r>
      <w:r w:rsidRPr="00F006AF">
        <w:rPr>
          <w:rFonts w:ascii="Palatino Linotype" w:eastAsia="Palatino Linotype" w:hAnsi="Palatino Linotype" w:cs="Palatino Linotype"/>
        </w:rPr>
        <w:lastRenderedPageBreak/>
        <w:t xml:space="preserve">documentación remitida en respuesta </w:t>
      </w:r>
      <w:proofErr w:type="gramStart"/>
      <w:r w:rsidRPr="00F006AF">
        <w:rPr>
          <w:rFonts w:ascii="Palatino Linotype" w:eastAsia="Palatino Linotype" w:hAnsi="Palatino Linotype" w:cs="Palatino Linotype"/>
        </w:rPr>
        <w:t>y  en</w:t>
      </w:r>
      <w:proofErr w:type="gramEnd"/>
      <w:r w:rsidRPr="00F006AF">
        <w:rPr>
          <w:rFonts w:ascii="Palatino Linotype" w:eastAsia="Palatino Linotype" w:hAnsi="Palatino Linotype" w:cs="Palatino Linotype"/>
        </w:rPr>
        <w:t xml:space="preserve"> informe justificado para determinar si se colma el derecho de acceso a la información. </w:t>
      </w:r>
    </w:p>
    <w:p w14:paraId="477865C3" w14:textId="77777777" w:rsidR="006639DB" w:rsidRPr="00F006AF" w:rsidRDefault="000E3CE0">
      <w:pPr>
        <w:spacing w:before="240" w:after="36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primer término, es de señalar la </w:t>
      </w:r>
      <w:r w:rsidRPr="00F006AF">
        <w:rPr>
          <w:rFonts w:ascii="Palatino Linotype" w:eastAsia="Palatino Linotype" w:hAnsi="Palatino Linotype" w:cs="Palatino Linotype"/>
          <w:b/>
        </w:rPr>
        <w:t>Ley General de Contabilidad Gubernamental</w:t>
      </w:r>
      <w:r w:rsidRPr="00F006AF">
        <w:rPr>
          <w:rFonts w:ascii="Palatino Linotype" w:eastAsia="Palatino Linotype" w:hAnsi="Palatino Linotype" w:cs="Palatino Linotype"/>
        </w:rPr>
        <w:t xml:space="preserve"> en su artículo 79, establece que los entes públicos deberán publicar en sus páginas de Internet a más tardar el último día hábil de abril su </w:t>
      </w:r>
      <w:r w:rsidRPr="00F006AF">
        <w:rPr>
          <w:rFonts w:ascii="Palatino Linotype" w:eastAsia="Palatino Linotype" w:hAnsi="Palatino Linotype" w:cs="Palatino Linotype"/>
          <w:b/>
        </w:rPr>
        <w:t>programa anual de evaluaciones</w:t>
      </w:r>
      <w:r w:rsidRPr="00F006AF">
        <w:rPr>
          <w:rFonts w:ascii="Palatino Linotype" w:eastAsia="Palatino Linotype" w:hAnsi="Palatino Linotype" w:cs="Palatino Linotype"/>
        </w:rPr>
        <w:t xml:space="preserve">, así como las metodologías e indicadores de desempeño. </w:t>
      </w:r>
    </w:p>
    <w:p w14:paraId="70E4D2A9" w14:textId="77777777" w:rsidR="006639DB" w:rsidRPr="00F006AF" w:rsidRDefault="000E3CE0">
      <w:pPr>
        <w:spacing w:before="240" w:after="36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Los entes públicos deberán publicar a más tardar a los 30 días posteriores a la conclusión de las evaluaciones, los resultados de las mismas e informar sobre las personas que realizaron dichas evaluaciones. La Secretaría de Hacienda y el Consejo Nacional de Evaluación de la Política de Desarrollo Social, en el ámbito de su competencia y de conformidad con el artículo 110 de la Ley Federal de Presupuesto y Responsabilidad Hacendaria, enviarán al Consejo los criterios de evaluación de los recursos federales ministrados a las entidades federativas, los municipios y los órganos </w:t>
      </w:r>
      <w:proofErr w:type="spellStart"/>
      <w:r w:rsidRPr="00F006AF">
        <w:rPr>
          <w:rFonts w:ascii="Palatino Linotype" w:eastAsia="Palatino Linotype" w:hAnsi="Palatino Linotype" w:cs="Palatino Linotype"/>
        </w:rPr>
        <w:t>políticoadministrativos</w:t>
      </w:r>
      <w:proofErr w:type="spellEnd"/>
      <w:r w:rsidRPr="00F006AF">
        <w:rPr>
          <w:rFonts w:ascii="Palatino Linotype" w:eastAsia="Palatino Linotype" w:hAnsi="Palatino Linotype" w:cs="Palatino Linotype"/>
        </w:rPr>
        <w:t xml:space="preserve"> de las demarcaciones territoriales de la Ciudad de México, así como los lineamientos de evaluación que permitan homologar y estandarizar tanto las evaluaciones como los indicadores para que dicho Consejo, en el ámbito de sus atribuciones, proceda a determinar los formatos para la difusión de los resultados de las evaluaciones, conforme a lo establecido en el artículo 56 de esta Ley.</w:t>
      </w:r>
    </w:p>
    <w:p w14:paraId="1572A205" w14:textId="77777777" w:rsidR="006639DB" w:rsidRPr="00F006AF" w:rsidRDefault="000E3CE0">
      <w:pPr>
        <w:spacing w:before="240" w:after="36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su parte, el </w:t>
      </w:r>
      <w:r w:rsidRPr="00F006AF">
        <w:rPr>
          <w:rFonts w:ascii="Palatino Linotype" w:eastAsia="Palatino Linotype" w:hAnsi="Palatino Linotype" w:cs="Palatino Linotype"/>
          <w:b/>
        </w:rPr>
        <w:t>Código Financiero del Estado de México y Municipios</w:t>
      </w:r>
      <w:r w:rsidRPr="00F006AF">
        <w:rPr>
          <w:rFonts w:ascii="Palatino Linotype" w:eastAsia="Palatino Linotype" w:hAnsi="Palatino Linotype" w:cs="Palatino Linotype"/>
        </w:rPr>
        <w:t xml:space="preserve"> respecto al tema que se analiza, atiende en su artículo 327 las siguientes consideraciones: </w:t>
      </w:r>
    </w:p>
    <w:p w14:paraId="69BE60C5"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lastRenderedPageBreak/>
        <w:t>“Artículo 327.- Será responsabilidad de la Secretaría y la Contraloría, en el ámbito de sus respectivas competencias, cumplir y hacer cumplir las disposiciones del presente Título, estableciendo las medidas para su correcta aplicación, así como determinar las normas, Manuales, Lineamientos y procedimientos administrativos tendientes a homogeneizar, desconcentrar, transparentar, racionalizar y llevar a cabo un mejor control del gasto público estatal.</w:t>
      </w:r>
    </w:p>
    <w:p w14:paraId="4793664B"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p>
    <w:p w14:paraId="7CC82754"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La Secretaría, será la instancia técnica a que alude el artículo 134 de la Constitución Política de los Estados Unidos Mexicanos, encargada de la evaluación del desempeño por lo que respecta a las Dependencias y Entidades Públicas y para el caso de los Municipios, la evaluación del desempeño le corresponde a la Unidad de Información, Planeación, Programación y Evaluación o los servidores públicos responsables de realizar estas funciones, en coordinación con la Tesorería.</w:t>
      </w:r>
    </w:p>
    <w:p w14:paraId="2599CAC9"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Son atribuciones de la Secretaría en relación con el Sistema de Evaluación del Desempeño, las siguientes</w:t>
      </w:r>
      <w:r w:rsidRPr="00F006AF">
        <w:rPr>
          <w:rFonts w:ascii="Palatino Linotype" w:eastAsia="Palatino Linotype" w:hAnsi="Palatino Linotype" w:cs="Palatino Linotype"/>
          <w:i/>
          <w:sz w:val="22"/>
          <w:szCs w:val="22"/>
        </w:rPr>
        <w:t>:</w:t>
      </w:r>
    </w:p>
    <w:p w14:paraId="180551DF"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I. Diseñar, coordinar y emitir los Lineamientos metodológicos y técnicos para su operación; II. Aprobar los indicadores del desempeño de tipo estratégico y de gestión, relativos a los programas presupuestarios de las Dependencias, y Entidades Públicas, conforme a los Lineamientos que establezca para tal efecto;</w:t>
      </w:r>
    </w:p>
    <w:p w14:paraId="1F228B1D" w14:textId="77777777" w:rsidR="006639DB" w:rsidRPr="00F006AF" w:rsidRDefault="000E3CE0">
      <w:pPr>
        <w:ind w:left="708" w:right="-28"/>
        <w:jc w:val="both"/>
        <w:rPr>
          <w:rFonts w:ascii="Palatino Linotype" w:eastAsia="Palatino Linotype" w:hAnsi="Palatino Linotype" w:cs="Palatino Linotype"/>
          <w:b/>
          <w:i/>
          <w:sz w:val="22"/>
          <w:szCs w:val="22"/>
          <w:u w:val="single"/>
        </w:rPr>
      </w:pPr>
      <w:r w:rsidRPr="00F006AF">
        <w:rPr>
          <w:rFonts w:ascii="Palatino Linotype" w:eastAsia="Palatino Linotype" w:hAnsi="Palatino Linotype" w:cs="Palatino Linotype"/>
          <w:b/>
          <w:i/>
          <w:sz w:val="22"/>
          <w:szCs w:val="22"/>
          <w:u w:val="single"/>
        </w:rPr>
        <w:t>III. Formular y publicar un Programa Anual de Evaluación apegado a los correspondientes indicadores de desempeño;</w:t>
      </w:r>
    </w:p>
    <w:p w14:paraId="0B3FACBB"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IV. Revisar los resultados de la evaluación de los indicadores de desempeño de las Dependencias y Entidades Públicas, y V. Formular recomendaciones a las Dependencias y Entidades Públicas, con base en los resultados de las evaluaciones</w:t>
      </w:r>
      <w:r w:rsidRPr="00F006AF">
        <w:rPr>
          <w:rFonts w:ascii="Palatino Linotype" w:eastAsia="Palatino Linotype" w:hAnsi="Palatino Linotype" w:cs="Palatino Linotype"/>
          <w:i/>
          <w:sz w:val="22"/>
          <w:szCs w:val="22"/>
        </w:rPr>
        <w:t>.</w:t>
      </w:r>
    </w:p>
    <w:p w14:paraId="24D24991"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Los Poderes Legislativo y Judicial, los Organismos Autónomos y los Municipios, diseñarán, administrarán y operarán su respectivo Sistema de Evaluación del Desempeño, observando los principios rectores a que se refiere el artículo 134 de la Constitución Política de los Estados Unidos Mexicanos y el presente Código. Así mismo, se sujetarán, a la Ley de Coordinación Fiscal, a la Ley Federal de Presupuesto y Responsabilidad Hacendaria y a la Ley General de Contabilidad Gubernamental y demás normatividad aplicable, considerando al mismo tiempo las previsiones presupuestales necesarias para dar cumplimiento a </w:t>
      </w:r>
      <w:proofErr w:type="gramStart"/>
      <w:r w:rsidRPr="00F006AF">
        <w:rPr>
          <w:rFonts w:ascii="Palatino Linotype" w:eastAsia="Palatino Linotype" w:hAnsi="Palatino Linotype" w:cs="Palatino Linotype"/>
          <w:i/>
          <w:sz w:val="22"/>
          <w:szCs w:val="22"/>
        </w:rPr>
        <w:t>éstas</w:t>
      </w:r>
      <w:proofErr w:type="gramEnd"/>
      <w:r w:rsidRPr="00F006AF">
        <w:rPr>
          <w:rFonts w:ascii="Palatino Linotype" w:eastAsia="Palatino Linotype" w:hAnsi="Palatino Linotype" w:cs="Palatino Linotype"/>
          <w:i/>
          <w:sz w:val="22"/>
          <w:szCs w:val="22"/>
        </w:rPr>
        <w:t xml:space="preserve"> disposiciones</w:t>
      </w:r>
    </w:p>
    <w:p w14:paraId="325D0C07" w14:textId="77777777" w:rsidR="006639DB" w:rsidRPr="00F006AF" w:rsidRDefault="006639DB">
      <w:pPr>
        <w:ind w:left="708" w:right="-28"/>
        <w:jc w:val="both"/>
        <w:rPr>
          <w:rFonts w:ascii="Palatino Linotype" w:eastAsia="Palatino Linotype" w:hAnsi="Palatino Linotype" w:cs="Palatino Linotype"/>
          <w:i/>
          <w:sz w:val="22"/>
          <w:szCs w:val="22"/>
        </w:rPr>
      </w:pPr>
    </w:p>
    <w:p w14:paraId="36A345E8"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La evaluación del desempeño, se efectuará sin perjuicio de lo que establezcan otras disposiciones legales y de la que lleve a cabo la Contraloría, en el ámbito de su competencia y de las atribuciones que la Ley confiera al Órgano Superior de Fiscalización.</w:t>
      </w:r>
    </w:p>
    <w:p w14:paraId="30BD9532"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El Gobernador del Estado, a través de la Secretaría y a petición expresa de los Poderes Legislativo y Judicial, así como los Organismos Autónomos, les proporcionará la asesoría y apoyo técnico que requieran en materia de evaluación del desempeño, así como todos los datos </w:t>
      </w:r>
      <w:r w:rsidRPr="00F006AF">
        <w:rPr>
          <w:rFonts w:ascii="Palatino Linotype" w:eastAsia="Palatino Linotype" w:hAnsi="Palatino Linotype" w:cs="Palatino Linotype"/>
          <w:i/>
          <w:sz w:val="22"/>
          <w:szCs w:val="22"/>
        </w:rPr>
        <w:lastRenderedPageBreak/>
        <w:t>estadísticos, estudios o informes que soliciten y que sean necesarios para llevar a cabo tal evaluación en el ámbito de su competencia.</w:t>
      </w:r>
    </w:p>
    <w:p w14:paraId="741176AD" w14:textId="77777777" w:rsidR="006639DB" w:rsidRPr="00F006AF" w:rsidRDefault="006639DB">
      <w:pPr>
        <w:spacing w:line="360" w:lineRule="auto"/>
        <w:ind w:right="-28"/>
        <w:jc w:val="both"/>
        <w:rPr>
          <w:rFonts w:ascii="Palatino Linotype" w:eastAsia="Palatino Linotype" w:hAnsi="Palatino Linotype" w:cs="Palatino Linotype"/>
        </w:rPr>
      </w:pPr>
    </w:p>
    <w:p w14:paraId="5D02D10B" w14:textId="77777777" w:rsidR="006639DB" w:rsidRPr="00F006AF" w:rsidRDefault="000E3CE0">
      <w:pPr>
        <w:spacing w:line="360" w:lineRule="auto"/>
        <w:ind w:right="-28"/>
        <w:jc w:val="both"/>
        <w:rPr>
          <w:rFonts w:ascii="Palatino Linotype" w:eastAsia="Palatino Linotype" w:hAnsi="Palatino Linotype" w:cs="Palatino Linotype"/>
        </w:rPr>
      </w:pPr>
      <w:r w:rsidRPr="00F006AF">
        <w:rPr>
          <w:rFonts w:ascii="Palatino Linotype" w:eastAsia="Palatino Linotype" w:hAnsi="Palatino Linotype" w:cs="Palatino Linotype"/>
        </w:rPr>
        <w:t>Asimismo, en el apartado Décimo Sexto de los Lineamientos Generales para la Evaluación se los Programas Presupuestarios del Gobierno del Estado de México, se precisa que:</w:t>
      </w:r>
    </w:p>
    <w:p w14:paraId="501A791F"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“DÉCIMA </w:t>
      </w:r>
      <w:proofErr w:type="gramStart"/>
      <w:r w:rsidRPr="00F006AF">
        <w:rPr>
          <w:rFonts w:ascii="Palatino Linotype" w:eastAsia="Palatino Linotype" w:hAnsi="Palatino Linotype" w:cs="Palatino Linotype"/>
          <w:i/>
          <w:sz w:val="22"/>
          <w:szCs w:val="22"/>
        </w:rPr>
        <w:t>SEXTA.-</w:t>
      </w:r>
      <w:proofErr w:type="gramEnd"/>
      <w:r w:rsidRPr="00F006AF">
        <w:rPr>
          <w:rFonts w:ascii="Palatino Linotype" w:eastAsia="Palatino Linotype" w:hAnsi="Palatino Linotype" w:cs="Palatino Linotype"/>
          <w:i/>
          <w:sz w:val="22"/>
          <w:szCs w:val="22"/>
        </w:rPr>
        <w:t xml:space="preserve"> </w:t>
      </w:r>
      <w:r w:rsidRPr="00F006AF">
        <w:rPr>
          <w:rFonts w:ascii="Palatino Linotype" w:eastAsia="Palatino Linotype" w:hAnsi="Palatino Linotype" w:cs="Palatino Linotype"/>
          <w:b/>
          <w:i/>
          <w:sz w:val="22"/>
          <w:szCs w:val="22"/>
          <w:u w:val="single"/>
        </w:rPr>
        <w:t>La Secretaría, establecerá un PAE en el que se determinarán los sujetos evaluados y los tipos de evaluación que se llevarán a cabo</w:t>
      </w:r>
      <w:r w:rsidRPr="00F006AF">
        <w:rPr>
          <w:rFonts w:ascii="Palatino Linotype" w:eastAsia="Palatino Linotype" w:hAnsi="Palatino Linotype" w:cs="Palatino Linotype"/>
          <w:i/>
          <w:sz w:val="22"/>
          <w:szCs w:val="22"/>
        </w:rPr>
        <w:t>. Asimismo, se determinará a que programas se aplicarán y el calendario de evaluación correspondiente.</w:t>
      </w:r>
    </w:p>
    <w:p w14:paraId="22A58A35" w14:textId="77777777" w:rsidR="006639DB" w:rsidRPr="00F006AF" w:rsidRDefault="006639DB">
      <w:pPr>
        <w:ind w:left="708" w:right="-28"/>
        <w:jc w:val="both"/>
        <w:rPr>
          <w:rFonts w:ascii="Palatino Linotype" w:eastAsia="Palatino Linotype" w:hAnsi="Palatino Linotype" w:cs="Palatino Linotype"/>
          <w:i/>
          <w:sz w:val="22"/>
          <w:szCs w:val="22"/>
        </w:rPr>
      </w:pPr>
    </w:p>
    <w:p w14:paraId="43B3D4F7" w14:textId="77777777" w:rsidR="006639DB" w:rsidRPr="00F006AF" w:rsidRDefault="000E3CE0">
      <w:pPr>
        <w:ind w:left="708" w:right="-28"/>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 El PAE, se emitirá a más tardar el último día hábil del mes de abril de cada ejercicio fiscal, conforme al calendario de actividades que emita la Secretaría</w:t>
      </w:r>
      <w:proofErr w:type="gramStart"/>
      <w:r w:rsidRPr="00F006AF">
        <w:rPr>
          <w:rFonts w:ascii="Palatino Linotype" w:eastAsia="Palatino Linotype" w:hAnsi="Palatino Linotype" w:cs="Palatino Linotype"/>
          <w:i/>
          <w:sz w:val="22"/>
          <w:szCs w:val="22"/>
        </w:rPr>
        <w:t>.”(</w:t>
      </w:r>
      <w:proofErr w:type="gramEnd"/>
      <w:r w:rsidRPr="00F006AF">
        <w:rPr>
          <w:rFonts w:ascii="Palatino Linotype" w:eastAsia="Palatino Linotype" w:hAnsi="Palatino Linotype" w:cs="Palatino Linotype"/>
          <w:i/>
          <w:sz w:val="22"/>
          <w:szCs w:val="22"/>
        </w:rPr>
        <w:t>Sic)</w:t>
      </w:r>
    </w:p>
    <w:p w14:paraId="64FDED08" w14:textId="77777777" w:rsidR="006639DB" w:rsidRPr="00F006AF" w:rsidRDefault="006639DB">
      <w:pPr>
        <w:spacing w:line="360" w:lineRule="auto"/>
        <w:ind w:right="-28"/>
        <w:jc w:val="both"/>
        <w:rPr>
          <w:rFonts w:ascii="Palatino Linotype" w:eastAsia="Palatino Linotype" w:hAnsi="Palatino Linotype" w:cs="Palatino Linotype"/>
        </w:rPr>
      </w:pPr>
    </w:p>
    <w:p w14:paraId="7C7B3BEC" w14:textId="77777777" w:rsidR="006639DB" w:rsidRPr="00F006AF" w:rsidRDefault="000E3CE0">
      <w:pPr>
        <w:spacing w:line="360" w:lineRule="auto"/>
        <w:ind w:right="-28"/>
        <w:jc w:val="both"/>
        <w:rPr>
          <w:rFonts w:ascii="Palatino Linotype" w:eastAsia="Palatino Linotype" w:hAnsi="Palatino Linotype" w:cs="Palatino Linotype"/>
          <w:color w:val="F79646"/>
        </w:rPr>
      </w:pPr>
      <w:r w:rsidRPr="00F006AF">
        <w:rPr>
          <w:rFonts w:ascii="Palatino Linotype" w:eastAsia="Palatino Linotype" w:hAnsi="Palatino Linotype" w:cs="Palatino Linotype"/>
        </w:rPr>
        <w:t xml:space="preserve">En este sentido, con la finalidad de consolidar el Presupuesto basado en Resultados y el Sistema de Evaluación del Desempeño el Gobierno del Estado de México utiliza diversas herramientas en el diseño y evaluación del desempeño de los Programas presupuestarios, tales como la Metodología del Marco Lógico, la Matriz de Indicadores para Resultados entre otros, con lo que se plantea optimizar la eficacia, eficiencia, economía, transparencia y rendición de cuentas en correlación con los objetivos y estrategias planteados en el Plan de Desarrollo del Estado de México. </w:t>
      </w:r>
    </w:p>
    <w:p w14:paraId="1EB6BBC8" w14:textId="77777777" w:rsidR="006639DB" w:rsidRPr="00F006AF" w:rsidRDefault="006639DB">
      <w:pPr>
        <w:spacing w:line="360" w:lineRule="auto"/>
        <w:ind w:right="-28"/>
        <w:jc w:val="both"/>
        <w:rPr>
          <w:rFonts w:ascii="Palatino Linotype" w:eastAsia="Palatino Linotype" w:hAnsi="Palatino Linotype" w:cs="Palatino Linotype"/>
          <w:color w:val="F79646"/>
        </w:rPr>
      </w:pPr>
    </w:p>
    <w:p w14:paraId="634EA29F" w14:textId="77777777" w:rsidR="006639DB" w:rsidRPr="00F006AF" w:rsidRDefault="000E3CE0">
      <w:pPr>
        <w:spacing w:line="360" w:lineRule="auto"/>
        <w:ind w:right="-28"/>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este contexto, se cuenta con una herramienta que permite planear y ejecutar las evaluaciones y contribuye al monitoreo y evaluación de los Programas que conforman el Presupuesto de Egresos del Estado de México, de tal manera que el Presupuesto basado en Resultados permita consolidar el Sistema de Evaluación del Desempeño el Gobierno del Estado de México. Por tal </w:t>
      </w:r>
      <w:proofErr w:type="gramStart"/>
      <w:r w:rsidRPr="00F006AF">
        <w:rPr>
          <w:rFonts w:ascii="Palatino Linotype" w:eastAsia="Palatino Linotype" w:hAnsi="Palatino Linotype" w:cs="Palatino Linotype"/>
        </w:rPr>
        <w:t>motivo,  se</w:t>
      </w:r>
      <w:proofErr w:type="gramEnd"/>
      <w:r w:rsidRPr="00F006AF">
        <w:rPr>
          <w:rFonts w:ascii="Palatino Linotype" w:eastAsia="Palatino Linotype" w:hAnsi="Palatino Linotype" w:cs="Palatino Linotype"/>
        </w:rPr>
        <w:t xml:space="preserve"> emite el Programa </w:t>
      </w:r>
      <w:r w:rsidRPr="00F006AF">
        <w:rPr>
          <w:rFonts w:ascii="Palatino Linotype" w:eastAsia="Palatino Linotype" w:hAnsi="Palatino Linotype" w:cs="Palatino Linotype"/>
        </w:rPr>
        <w:lastRenderedPageBreak/>
        <w:t xml:space="preserve">Anual de Evaluación  a efecto de establecer los Programas presupuestarios que serán evaluados en el ejercicio fiscal correspondiente. </w:t>
      </w:r>
    </w:p>
    <w:p w14:paraId="5AC1AC17" w14:textId="77777777" w:rsidR="006639DB" w:rsidRPr="00F006AF" w:rsidRDefault="006639DB">
      <w:pPr>
        <w:spacing w:line="360" w:lineRule="auto"/>
        <w:ind w:right="-28"/>
        <w:jc w:val="both"/>
        <w:rPr>
          <w:rFonts w:ascii="Palatino Linotype" w:eastAsia="Palatino Linotype" w:hAnsi="Palatino Linotype" w:cs="Palatino Linotype"/>
        </w:rPr>
      </w:pPr>
    </w:p>
    <w:p w14:paraId="52F3D1A2" w14:textId="77777777" w:rsidR="006639DB" w:rsidRPr="00F006AF" w:rsidRDefault="000E3CE0">
      <w:pPr>
        <w:spacing w:line="360" w:lineRule="auto"/>
        <w:ind w:right="-28"/>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su parte en el </w:t>
      </w:r>
      <w:r w:rsidRPr="00F006AF">
        <w:rPr>
          <w:rFonts w:ascii="Palatino Linotype" w:eastAsia="Palatino Linotype" w:hAnsi="Palatino Linotype" w:cs="Palatino Linotype"/>
          <w:b/>
        </w:rPr>
        <w:t xml:space="preserve">Programa Anual de </w:t>
      </w:r>
      <w:proofErr w:type="spellStart"/>
      <w:r w:rsidRPr="00F006AF">
        <w:rPr>
          <w:rFonts w:ascii="Palatino Linotype" w:eastAsia="Palatino Linotype" w:hAnsi="Palatino Linotype" w:cs="Palatino Linotype"/>
          <w:b/>
        </w:rPr>
        <w:t>Evaluacion</w:t>
      </w:r>
      <w:proofErr w:type="spellEnd"/>
      <w:r w:rsidRPr="00F006AF">
        <w:rPr>
          <w:rFonts w:ascii="Palatino Linotype" w:eastAsia="Palatino Linotype" w:hAnsi="Palatino Linotype" w:cs="Palatino Linotype"/>
          <w:b/>
        </w:rPr>
        <w:t xml:space="preserve"> (PAE) para el Ejercicio Fiscal 2023</w:t>
      </w:r>
      <w:r w:rsidRPr="00F006AF">
        <w:rPr>
          <w:rFonts w:ascii="Palatino Linotype" w:eastAsia="Palatino Linotype" w:hAnsi="Palatino Linotype" w:cs="Palatino Linotype"/>
        </w:rPr>
        <w:t xml:space="preserve"> se precisa que se contemplan como objetivos: </w:t>
      </w:r>
    </w:p>
    <w:p w14:paraId="6EBE278A" w14:textId="77777777" w:rsidR="006639DB" w:rsidRPr="00F006AF" w:rsidRDefault="000E3CE0">
      <w:pPr>
        <w:numPr>
          <w:ilvl w:val="0"/>
          <w:numId w:val="4"/>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Establecer los Programas presupuestarios que serán objeto de un ejercicio de evaluación en el Ejercicio Fiscal 2023;</w:t>
      </w:r>
    </w:p>
    <w:p w14:paraId="0FFFC45C" w14:textId="77777777" w:rsidR="006639DB" w:rsidRPr="00F006AF" w:rsidRDefault="000E3CE0">
      <w:pPr>
        <w:numPr>
          <w:ilvl w:val="0"/>
          <w:numId w:val="4"/>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Determinar los tipos de evaluación para cada Programa presupuestario;</w:t>
      </w:r>
    </w:p>
    <w:p w14:paraId="621CAE33" w14:textId="77777777" w:rsidR="006639DB" w:rsidRPr="00F006AF" w:rsidRDefault="000E3CE0">
      <w:pPr>
        <w:numPr>
          <w:ilvl w:val="0"/>
          <w:numId w:val="4"/>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Dar a conocer los Sujetos Evaluados que tendrán a cargo algún ejercicio de evaluación;</w:t>
      </w:r>
    </w:p>
    <w:p w14:paraId="0153BDE3" w14:textId="77777777" w:rsidR="006639DB" w:rsidRPr="00F006AF" w:rsidRDefault="000E3CE0">
      <w:pPr>
        <w:numPr>
          <w:ilvl w:val="0"/>
          <w:numId w:val="4"/>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Definir el calendario de reuniones de conciliaciones de avances y de entrega de los productos de la evaluación; y, </w:t>
      </w:r>
    </w:p>
    <w:p w14:paraId="04A85B66" w14:textId="77777777" w:rsidR="006639DB" w:rsidRPr="00F006AF" w:rsidRDefault="000E3CE0">
      <w:pPr>
        <w:numPr>
          <w:ilvl w:val="0"/>
          <w:numId w:val="4"/>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 Dar a conocer a los Sujetos Evaluados, los aspectos que integran el proceso de evaluación.</w:t>
      </w:r>
    </w:p>
    <w:p w14:paraId="49C718CB" w14:textId="77777777" w:rsidR="006639DB" w:rsidRPr="00F006AF" w:rsidRDefault="006639DB">
      <w:pPr>
        <w:spacing w:line="360" w:lineRule="auto"/>
        <w:ind w:right="-28"/>
        <w:jc w:val="both"/>
        <w:rPr>
          <w:rFonts w:ascii="Palatino Linotype" w:eastAsia="Palatino Linotype" w:hAnsi="Palatino Linotype" w:cs="Palatino Linotype"/>
        </w:rPr>
      </w:pPr>
    </w:p>
    <w:p w14:paraId="760F06AE" w14:textId="77777777" w:rsidR="006639DB" w:rsidRPr="00F006AF" w:rsidRDefault="000E3CE0">
      <w:pPr>
        <w:spacing w:line="360" w:lineRule="auto"/>
        <w:ind w:right="-28"/>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Dentro del proceso de evaluación del Programa Anual de Evaluación se señala que las evaluaciones se realizarán atendiendo lo establecido en los LGEPPGEM, </w:t>
      </w:r>
      <w:r w:rsidRPr="00F006AF">
        <w:rPr>
          <w:rFonts w:ascii="Palatino Linotype" w:eastAsia="Palatino Linotype" w:hAnsi="Palatino Linotype" w:cs="Palatino Linotype"/>
          <w:vertAlign w:val="superscript"/>
        </w:rPr>
        <w:footnoteReference w:id="1"/>
      </w:r>
      <w:r w:rsidRPr="00F006AF">
        <w:rPr>
          <w:rFonts w:ascii="Palatino Linotype" w:eastAsia="Palatino Linotype" w:hAnsi="Palatino Linotype" w:cs="Palatino Linotype"/>
        </w:rPr>
        <w:t xml:space="preserve">publicados en el Periódico Oficial "Gaceta del Gobierno", el cual consiste entre otras etapas: </w:t>
      </w:r>
    </w:p>
    <w:p w14:paraId="3980477C" w14:textId="77777777" w:rsidR="006639DB" w:rsidRPr="00F006AF" w:rsidRDefault="000E3CE0">
      <w:pPr>
        <w:numPr>
          <w:ilvl w:val="0"/>
          <w:numId w:val="6"/>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color w:val="000000"/>
        </w:rPr>
        <w:t xml:space="preserve">. </w:t>
      </w:r>
      <w:r w:rsidRPr="00F006AF">
        <w:rPr>
          <w:rFonts w:ascii="Palatino Linotype" w:eastAsia="Palatino Linotype" w:hAnsi="Palatino Linotype" w:cs="Palatino Linotype"/>
          <w:i/>
          <w:color w:val="000000"/>
          <w:sz w:val="22"/>
          <w:szCs w:val="22"/>
        </w:rPr>
        <w:t>Las evaluaciones que integran los Programas Anuales de Evaluación, deberán analizar la información correspondiente al ejercicio fiscal inmediato anterior al año corriente, con excepción de los Programas presupuestarios de nueva creación, los cuales, deberán realizar una evaluación de Diseño Programático durante el primer año de operación.</w:t>
      </w:r>
    </w:p>
    <w:p w14:paraId="094326B5"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lastRenderedPageBreak/>
        <w:t xml:space="preserve">Las evaluaciones se llevarán a cabo por los Sujetos Evaluados, o a través de la DGEDI. Excepcionalmente se podrá hacer a través de personas físicas o morales especializadas, con experiencia probada en la materia que corresponda evaluar, que cumplan con los requisitos de independencia, imparcialidad, transparencia y los demás que se establezcan en las disposiciones aplicables; con cargo al presupuesto del sujeto evaluado responsable del Programa presupuestario a evaluar, previa autorización de la Dirección General de Evaluación del Desempeño Institucional (DGEDI),o por el Consejo de Investigación y Evaluación. de la Política Social (CIEPS) en el ámbito de su competencia y cuando éste así lo determine, en términos de lo establecido en el artículo 327-A, fracción 111 del </w:t>
      </w:r>
      <w:proofErr w:type="spellStart"/>
      <w:r w:rsidRPr="00F006AF">
        <w:rPr>
          <w:rFonts w:ascii="Palatino Linotype" w:eastAsia="Palatino Linotype" w:hAnsi="Palatino Linotype" w:cs="Palatino Linotype"/>
          <w:i/>
          <w:color w:val="000000"/>
          <w:sz w:val="22"/>
          <w:szCs w:val="22"/>
        </w:rPr>
        <w:t>CFEMyM</w:t>
      </w:r>
      <w:proofErr w:type="spellEnd"/>
      <w:r w:rsidRPr="00F006AF">
        <w:rPr>
          <w:rFonts w:ascii="Palatino Linotype" w:eastAsia="Palatino Linotype" w:hAnsi="Palatino Linotype" w:cs="Palatino Linotype"/>
          <w:i/>
          <w:color w:val="000000"/>
          <w:sz w:val="22"/>
          <w:szCs w:val="22"/>
        </w:rPr>
        <w:t xml:space="preserve"> </w:t>
      </w:r>
      <w:proofErr w:type="spellStart"/>
      <w:r w:rsidRPr="00F006AF">
        <w:rPr>
          <w:rFonts w:ascii="Palatino Linotype" w:eastAsia="Palatino Linotype" w:hAnsi="Palatino Linotype" w:cs="Palatino Linotype"/>
          <w:i/>
          <w:color w:val="000000"/>
          <w:sz w:val="22"/>
          <w:szCs w:val="22"/>
        </w:rPr>
        <w:t>yen</w:t>
      </w:r>
      <w:proofErr w:type="spellEnd"/>
      <w:r w:rsidRPr="00F006AF">
        <w:rPr>
          <w:rFonts w:ascii="Palatino Linotype" w:eastAsia="Palatino Linotype" w:hAnsi="Palatino Linotype" w:cs="Palatino Linotype"/>
          <w:i/>
          <w:color w:val="000000"/>
          <w:sz w:val="22"/>
          <w:szCs w:val="22"/>
        </w:rPr>
        <w:t xml:space="preserve"> la disposición DÉCIMA QUINTA de los LGEPPGEM.</w:t>
      </w:r>
    </w:p>
    <w:p w14:paraId="7030AC3E"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Posterior a la publicación del PAE 2023, los Sujetos Evaluados deberán entregar un Cronograma de Ejecución, el cual deberá contener las fechas y las actividades que habrán de realizar hasta la entrega del Informe Final de Evaluación, conforme a la fecha establecida en el numeral 30 este documento</w:t>
      </w:r>
    </w:p>
    <w:p w14:paraId="164CB319"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 xml:space="preserve">El Sujeto Evaluado deberá entregar de manera formal el "Informe Final de la Evaluación", atendiendo las fechas establecidas en el PAE, mismo que la </w:t>
      </w:r>
      <w:proofErr w:type="spellStart"/>
      <w:proofErr w:type="gramStart"/>
      <w:r w:rsidRPr="00F006AF">
        <w:rPr>
          <w:rFonts w:ascii="Palatino Linotype" w:eastAsia="Palatino Linotype" w:hAnsi="Palatino Linotype" w:cs="Palatino Linotype"/>
          <w:i/>
          <w:color w:val="000000"/>
          <w:sz w:val="22"/>
          <w:szCs w:val="22"/>
        </w:rPr>
        <w:t>DGEDI,revisaráy</w:t>
      </w:r>
      <w:proofErr w:type="spellEnd"/>
      <w:proofErr w:type="gramEnd"/>
      <w:r w:rsidRPr="00F006AF">
        <w:rPr>
          <w:rFonts w:ascii="Palatino Linotype" w:eastAsia="Palatino Linotype" w:hAnsi="Palatino Linotype" w:cs="Palatino Linotype"/>
          <w:i/>
          <w:color w:val="000000"/>
          <w:sz w:val="22"/>
          <w:szCs w:val="22"/>
        </w:rPr>
        <w:t xml:space="preserve"> en su caso, emitirá las observaciones correspondientes al documento, de tal manera que la retroalimentación permita contar con un documento apegado a sus </w:t>
      </w:r>
      <w:proofErr w:type="spellStart"/>
      <w:r w:rsidRPr="00F006AF">
        <w:rPr>
          <w:rFonts w:ascii="Palatino Linotype" w:eastAsia="Palatino Linotype" w:hAnsi="Palatino Linotype" w:cs="Palatino Linotype"/>
          <w:i/>
          <w:color w:val="000000"/>
          <w:sz w:val="22"/>
          <w:szCs w:val="22"/>
        </w:rPr>
        <w:t>TdR</w:t>
      </w:r>
      <w:proofErr w:type="spellEnd"/>
      <w:r w:rsidRPr="00F006AF">
        <w:rPr>
          <w:rFonts w:ascii="Palatino Linotype" w:eastAsia="Palatino Linotype" w:hAnsi="Palatino Linotype" w:cs="Palatino Linotype"/>
          <w:i/>
          <w:color w:val="000000"/>
          <w:sz w:val="22"/>
          <w:szCs w:val="22"/>
        </w:rPr>
        <w:t xml:space="preserve"> y cumpla con los requisitos para su publicación en medios electrónicos.</w:t>
      </w:r>
    </w:p>
    <w:p w14:paraId="177F8134"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Adicionalmente, los Sujetos Evaluados deberán llenar el "Formato para la difusión de los resultados de las Evaluaciones" del Consejo Nacional de Armonización Contable (CONAC), mismo que deberá entregarse junto al Informe Final de Evaluación</w:t>
      </w:r>
    </w:p>
    <w:p w14:paraId="118C676F"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 Los resultados presentados en el "Informe Final de Evaluación" serán denominados como "Aspectos Susceptibles de Mejora" (ASM), los cuales serán incluidos en el "Convenio para la Mejora del Desempeño y Resultados Gubernamentales", siendo este último, el mecanismo para el seguimiento e implementación de los resultados derivados de los ejercicios de evaluación, en el cual se establecen-las acciones y fechas en las que los Sujetos Evaluados atenderán cada uno de los ASM, con el propósito de mejorar el desempeño del Pp.</w:t>
      </w:r>
    </w:p>
    <w:p w14:paraId="5268C1FF"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En cuanto se agoten las acciones para dar cumplimiento a los ASM establecidos en el Convenio, se celebrará el "Acta de Atención de los ASM" con la participación de quienes se definen en el mismo, con lo cual se dará por concluido el proceso de evaluación, en términos de la Disposición VIGÉSIMA QUINTA de los LGEPPGEM</w:t>
      </w:r>
    </w:p>
    <w:p w14:paraId="17E74814"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4. El "Convenio para la Mejora del Desempeño y Resultados Gubernamentales", el "Acta de Atención de los ASM", y el "Formato para la difusión de los resultados de las Evaluaciones" del Consejo Nacional de Armonización Contable (CONAC), serán proporcionados por la DGEOI para su llenado, conforme al modelo que establezca la Secretaría.</w:t>
      </w:r>
    </w:p>
    <w:p w14:paraId="1EC4E515" w14:textId="77777777" w:rsidR="006639DB" w:rsidRPr="00F006AF" w:rsidRDefault="000E3CE0">
      <w:pPr>
        <w:numPr>
          <w:ilvl w:val="0"/>
          <w:numId w:val="5"/>
        </w:numPr>
        <w:pBdr>
          <w:top w:val="nil"/>
          <w:left w:val="nil"/>
          <w:bottom w:val="nil"/>
          <w:right w:val="nil"/>
          <w:between w:val="nil"/>
        </w:pBdr>
        <w:ind w:right="-28"/>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lastRenderedPageBreak/>
        <w:t>Los Sujetos Evaluados deberán dar a conocer de forma permanente a través de sus respectivas páginas de Internet, en un lugar visible y de fácil acceso, los documentos y resultados de todas las evaluaciones existentes de los Pp.</w:t>
      </w:r>
    </w:p>
    <w:p w14:paraId="02952ADA" w14:textId="77777777" w:rsidR="006639DB" w:rsidRPr="00F006AF" w:rsidRDefault="006639DB">
      <w:pPr>
        <w:spacing w:line="360" w:lineRule="auto"/>
        <w:ind w:right="-28"/>
        <w:jc w:val="both"/>
        <w:rPr>
          <w:rFonts w:ascii="Palatino Linotype" w:eastAsia="Palatino Linotype" w:hAnsi="Palatino Linotype" w:cs="Palatino Linotype"/>
        </w:rPr>
      </w:pPr>
    </w:p>
    <w:p w14:paraId="2F99A6F7" w14:textId="77777777" w:rsidR="006639DB" w:rsidRPr="00F006AF" w:rsidRDefault="000E3CE0">
      <w:pPr>
        <w:spacing w:line="360" w:lineRule="auto"/>
        <w:ind w:right="-28"/>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Agotado lo previo, por orden y método jurídico aplicado en esta resolución, resulta de importancia presente asunto comenzar con el análisis de los requerimientos formulados en relación con la respuesta y el motivo de informidad planteados en el recurso de revisión que se resuelve. </w:t>
      </w:r>
    </w:p>
    <w:p w14:paraId="34A72D4C" w14:textId="77777777" w:rsidR="006639DB" w:rsidRPr="00F006AF" w:rsidRDefault="006639DB">
      <w:pPr>
        <w:spacing w:line="360" w:lineRule="auto"/>
        <w:ind w:right="-28"/>
        <w:jc w:val="both"/>
        <w:rPr>
          <w:rFonts w:ascii="Palatino Linotype" w:eastAsia="Palatino Linotype" w:hAnsi="Palatino Linotype" w:cs="Palatino Linotype"/>
        </w:rPr>
      </w:pPr>
    </w:p>
    <w:p w14:paraId="0C8185BE" w14:textId="77777777" w:rsidR="006639DB" w:rsidRPr="00F006AF" w:rsidRDefault="000E3CE0">
      <w:pPr>
        <w:spacing w:line="360" w:lineRule="auto"/>
        <w:ind w:right="-28"/>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primer término, por cuanto hace al planteamiento descrito en el numeral 1 relativo al </w:t>
      </w:r>
      <w:r w:rsidRPr="00F006AF">
        <w:rPr>
          <w:rFonts w:ascii="Palatino Linotype" w:eastAsia="Palatino Linotype" w:hAnsi="Palatino Linotype" w:cs="Palatino Linotype"/>
          <w:u w:val="single"/>
        </w:rPr>
        <w:t>nombre de los sujetos evaluados que NO realizaron la evaluación señalada en el Programa Anual de Evaluación (PAE) desde el año 2013 hasta el año 2021 y que por ende no están publicadas en la página web de transparencia fiscal de la Secretaría de Finanzas</w:t>
      </w:r>
      <w:r w:rsidRPr="00F006AF">
        <w:rPr>
          <w:rFonts w:ascii="Palatino Linotype" w:eastAsia="Palatino Linotype" w:hAnsi="Palatino Linotype" w:cs="Palatino Linotype"/>
        </w:rPr>
        <w:t>; la Servidora Pública Habilitada  de la Subsecretaria de Planeación y Presupuesto remitió las ligas electrónicas donde;  a su decir,  se pueden descargar los Programas Anuales   de Evaluación (PAE) desde el año 2013 al ejercicio fiscal 2022, se identifican cada una de las evaluaciones y los sujetos evaluados obligados a realizarlas, los cuales publican además las evaluaciones realizadas y se puede obtener la información relacionada con los sujetos evaluados que NO realizaron las evaluaciones  del 2013 a la fecha.</w:t>
      </w:r>
      <w:r w:rsidRPr="00F006AF">
        <w:rPr>
          <w:rFonts w:ascii="Palatino Linotype" w:eastAsia="Palatino Linotype" w:hAnsi="Palatino Linotype" w:cs="Palatino Linotype"/>
          <w:sz w:val="22"/>
          <w:szCs w:val="22"/>
        </w:rPr>
        <w:t xml:space="preserve"> </w:t>
      </w:r>
    </w:p>
    <w:p w14:paraId="5FF4884A" w14:textId="77777777" w:rsidR="006639DB" w:rsidRPr="00F006AF" w:rsidRDefault="000E3CE0">
      <w:pPr>
        <w:spacing w:line="360" w:lineRule="auto"/>
        <w:ind w:right="-28"/>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Inconforme con la respuesta, la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manifestó: “</w:t>
      </w:r>
      <w:r w:rsidRPr="00F006AF">
        <w:rPr>
          <w:rFonts w:ascii="Palatino Linotype" w:eastAsia="Palatino Linotype" w:hAnsi="Palatino Linotype" w:cs="Palatino Linotype"/>
          <w:i/>
        </w:rPr>
        <w:t xml:space="preserve">No responde quienes son los sujetos obligados que no realizaron evaluaciones del PAE desde el año 2013 a la fecha, solo anexa la liga de transparencia fiscal, </w:t>
      </w:r>
      <w:proofErr w:type="spellStart"/>
      <w:r w:rsidRPr="00F006AF">
        <w:rPr>
          <w:rFonts w:ascii="Palatino Linotype" w:eastAsia="Palatino Linotype" w:hAnsi="Palatino Linotype" w:cs="Palatino Linotype"/>
          <w:i/>
        </w:rPr>
        <w:t>si</w:t>
      </w:r>
      <w:proofErr w:type="spellEnd"/>
      <w:r w:rsidRPr="00F006AF">
        <w:rPr>
          <w:rFonts w:ascii="Palatino Linotype" w:eastAsia="Palatino Linotype" w:hAnsi="Palatino Linotype" w:cs="Palatino Linotype"/>
          <w:i/>
        </w:rPr>
        <w:t xml:space="preserve"> embrago en esta liga solo están publicadas las evaluaciones realizadas, más no los sujetos evaluados que no las realizaron</w:t>
      </w:r>
      <w:r w:rsidRPr="00F006AF">
        <w:rPr>
          <w:rFonts w:ascii="Palatino Linotype" w:eastAsia="Palatino Linotype" w:hAnsi="Palatino Linotype" w:cs="Palatino Linotype"/>
        </w:rPr>
        <w:t>”</w:t>
      </w:r>
    </w:p>
    <w:p w14:paraId="431D568D" w14:textId="77777777" w:rsidR="006639DB" w:rsidRPr="00F006AF" w:rsidRDefault="006639DB">
      <w:pPr>
        <w:spacing w:line="360" w:lineRule="auto"/>
        <w:ind w:right="-28"/>
        <w:jc w:val="both"/>
        <w:rPr>
          <w:rFonts w:ascii="Palatino Linotype" w:eastAsia="Palatino Linotype" w:hAnsi="Palatino Linotype" w:cs="Palatino Linotype"/>
        </w:rPr>
      </w:pPr>
    </w:p>
    <w:p w14:paraId="578E26A1"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este sentido, se procedió de realizar la consulta respectiva, en primer lugar,  del sitio de internet  </w:t>
      </w:r>
      <w:hyperlink r:id="rId19">
        <w:r w:rsidRPr="00F006AF">
          <w:rPr>
            <w:rFonts w:ascii="Palatino Linotype" w:eastAsia="Palatino Linotype" w:hAnsi="Palatino Linotype" w:cs="Palatino Linotype"/>
            <w:color w:val="0000FF"/>
            <w:u w:val="single"/>
          </w:rPr>
          <w:t>https://transparenciafiscal.edomex.gob.mx/marcoprog-programa_anual_evaluaciones</w:t>
        </w:r>
      </w:hyperlink>
      <w:r w:rsidRPr="00F006AF">
        <w:rPr>
          <w:rFonts w:ascii="Palatino Linotype" w:eastAsia="Palatino Linotype" w:hAnsi="Palatino Linotype" w:cs="Palatino Linotype"/>
        </w:rPr>
        <w:t xml:space="preserve">) de cuyo contenido se advierte el Programa Anual de Evaluaciones  de los ejercicios fiscales del 2013 al 2023, obteniendo en cada uno el Sujeto Evaluado con referencia al programa presupuestario y al tipo de evaluación, tal  como se  observa en las siguientes imágenes:  </w:t>
      </w:r>
    </w:p>
    <w:p w14:paraId="036CCC4D" w14:textId="77777777" w:rsidR="006639DB" w:rsidRPr="00F006AF" w:rsidRDefault="006639DB">
      <w:pPr>
        <w:spacing w:line="360" w:lineRule="auto"/>
        <w:jc w:val="both"/>
        <w:rPr>
          <w:rFonts w:ascii="Palatino Linotype" w:eastAsia="Palatino Linotype" w:hAnsi="Palatino Linotype" w:cs="Palatino Linotype"/>
        </w:rPr>
      </w:pPr>
    </w:p>
    <w:p w14:paraId="7FE6695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drawing>
          <wp:inline distT="0" distB="0" distL="0" distR="0" wp14:anchorId="32C9BD47" wp14:editId="006F23DD">
            <wp:extent cx="5622501" cy="3064056"/>
            <wp:effectExtent l="0" t="0" r="0" b="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622501" cy="3064056"/>
                    </a:xfrm>
                    <a:prstGeom prst="rect">
                      <a:avLst/>
                    </a:prstGeom>
                    <a:ln/>
                  </pic:spPr>
                </pic:pic>
              </a:graphicData>
            </a:graphic>
          </wp:inline>
        </w:drawing>
      </w:r>
    </w:p>
    <w:p w14:paraId="4563C708"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lastRenderedPageBreak/>
        <w:drawing>
          <wp:inline distT="0" distB="0" distL="0" distR="0" wp14:anchorId="42BF8B4F" wp14:editId="49502E1E">
            <wp:extent cx="5620568" cy="2634700"/>
            <wp:effectExtent l="0" t="0" r="0" b="0"/>
            <wp:docPr id="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620568" cy="2634700"/>
                    </a:xfrm>
                    <a:prstGeom prst="rect">
                      <a:avLst/>
                    </a:prstGeom>
                    <a:ln/>
                  </pic:spPr>
                </pic:pic>
              </a:graphicData>
            </a:graphic>
          </wp:inline>
        </w:drawing>
      </w:r>
    </w:p>
    <w:p w14:paraId="1FD76024" w14:textId="77777777" w:rsidR="006639DB" w:rsidRPr="00F006AF" w:rsidRDefault="006639DB">
      <w:pPr>
        <w:spacing w:line="360" w:lineRule="auto"/>
        <w:jc w:val="both"/>
        <w:rPr>
          <w:rFonts w:ascii="Palatino Linotype" w:eastAsia="Palatino Linotype" w:hAnsi="Palatino Linotype" w:cs="Palatino Linotype"/>
        </w:rPr>
      </w:pPr>
    </w:p>
    <w:p w14:paraId="248FFD93"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Por otro lado, dentro del link (</w:t>
      </w:r>
      <w:hyperlink r:id="rId22">
        <w:r w:rsidRPr="00F006AF">
          <w:rPr>
            <w:rFonts w:ascii="Palatino Linotype" w:eastAsia="Palatino Linotype" w:hAnsi="Palatino Linotype" w:cs="Palatino Linotype"/>
            <w:color w:val="0000FF"/>
            <w:u w:val="single"/>
          </w:rPr>
          <w:t>https://transparenciafiscal.edomex.gob.mx/resultado-evaluaciones</w:t>
        </w:r>
      </w:hyperlink>
      <w:r w:rsidRPr="00F006AF">
        <w:rPr>
          <w:rFonts w:ascii="Palatino Linotype" w:eastAsia="Palatino Linotype" w:hAnsi="Palatino Linotype" w:cs="Palatino Linotype"/>
        </w:rPr>
        <w:t xml:space="preserve">) se tiene acceso a los Resultados de las Evaluaciones de Programa Anual de Evaluación Estatal, en cuyo contenido se advierte el Sujeto Evaluado con Referencia a la evaluación que tuvo cada sujeto evaluado, tal y como se observa en las imágenes siguientes: </w:t>
      </w:r>
    </w:p>
    <w:p w14:paraId="42FFC898"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lastRenderedPageBreak/>
        <w:drawing>
          <wp:inline distT="0" distB="0" distL="0" distR="0" wp14:anchorId="240600BA" wp14:editId="1556B285">
            <wp:extent cx="5596255" cy="2619375"/>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596255" cy="2619375"/>
                    </a:xfrm>
                    <a:prstGeom prst="rect">
                      <a:avLst/>
                    </a:prstGeom>
                    <a:ln/>
                  </pic:spPr>
                </pic:pic>
              </a:graphicData>
            </a:graphic>
          </wp:inline>
        </w:drawing>
      </w:r>
    </w:p>
    <w:p w14:paraId="69BF410A"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drawing>
          <wp:inline distT="0" distB="0" distL="0" distR="0" wp14:anchorId="3A0B4EB7" wp14:editId="5ED7975F">
            <wp:extent cx="5614677" cy="2577071"/>
            <wp:effectExtent l="0" t="0" r="0" b="0"/>
            <wp:docPr id="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614677" cy="2577071"/>
                    </a:xfrm>
                    <a:prstGeom prst="rect">
                      <a:avLst/>
                    </a:prstGeom>
                    <a:ln/>
                  </pic:spPr>
                </pic:pic>
              </a:graphicData>
            </a:graphic>
          </wp:inline>
        </w:drawing>
      </w:r>
    </w:p>
    <w:p w14:paraId="692F03F5" w14:textId="77777777" w:rsidR="006639DB" w:rsidRPr="00F006AF" w:rsidRDefault="006639DB">
      <w:pPr>
        <w:spacing w:line="360" w:lineRule="auto"/>
        <w:jc w:val="both"/>
        <w:rPr>
          <w:rFonts w:ascii="Palatino Linotype" w:eastAsia="Palatino Linotype" w:hAnsi="Palatino Linotype" w:cs="Palatino Linotype"/>
          <w:b/>
        </w:rPr>
      </w:pPr>
    </w:p>
    <w:p w14:paraId="4BB7BA5A"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síntesis, con lo entregado por 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se atiende a cabalidad lo peticionado por el particular, dejando como infundado el motivo de inconformidad que planteó  el recurrente en su recurso de revisión, en virtud de que se atendió a cabalidad el contenido del artículo 24 de la Ley de la materia, el cual dispone que los Sujetos Obligados sólo proporcionarán la información pública que generen, </w:t>
      </w:r>
      <w:r w:rsidRPr="00F006AF">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274DB32" w14:textId="77777777" w:rsidR="006639DB" w:rsidRPr="00F006AF" w:rsidRDefault="006639DB">
      <w:pPr>
        <w:pBdr>
          <w:top w:val="nil"/>
          <w:left w:val="nil"/>
          <w:bottom w:val="nil"/>
          <w:right w:val="nil"/>
          <w:between w:val="nil"/>
        </w:pBdr>
        <w:ind w:left="720"/>
        <w:jc w:val="both"/>
        <w:rPr>
          <w:rFonts w:ascii="Palatino Linotype" w:eastAsia="Palatino Linotype" w:hAnsi="Palatino Linotype" w:cs="Palatino Linotype"/>
          <w:color w:val="000000"/>
          <w:sz w:val="16"/>
          <w:szCs w:val="16"/>
        </w:rPr>
      </w:pPr>
    </w:p>
    <w:p w14:paraId="3809F876" w14:textId="77777777" w:rsidR="006639DB" w:rsidRPr="00F006AF" w:rsidRDefault="000E3CE0">
      <w:pPr>
        <w:spacing w:line="360" w:lineRule="auto"/>
        <w:jc w:val="both"/>
        <w:rPr>
          <w:rFonts w:ascii="Palatino Linotype" w:eastAsia="Palatino Linotype" w:hAnsi="Palatino Linotype" w:cs="Palatino Linotype"/>
          <w:b/>
          <w:color w:val="000000"/>
          <w:u w:val="single"/>
        </w:rPr>
      </w:pPr>
      <w:r w:rsidRPr="00F006AF">
        <w:rPr>
          <w:rFonts w:ascii="Palatino Linotype" w:eastAsia="Palatino Linotype" w:hAnsi="Palatino Linotype" w:cs="Palatino Linotype"/>
        </w:rPr>
        <w:t>Por otro lado, no se omite señalar que el particular refiere que: “</w:t>
      </w:r>
      <w:r w:rsidRPr="00F006AF">
        <w:rPr>
          <w:rFonts w:ascii="Palatino Linotype" w:eastAsia="Palatino Linotype" w:hAnsi="Palatino Linotype" w:cs="Palatino Linotype"/>
          <w:i/>
        </w:rPr>
        <w:t xml:space="preserve">No responde a los cuestionamientos para cada uno de los periodos señalados…” </w:t>
      </w:r>
      <w:r w:rsidRPr="00F006AF">
        <w:rPr>
          <w:rFonts w:ascii="Palatino Linotype" w:eastAsia="Palatino Linotype" w:hAnsi="Palatino Linotype" w:cs="Palatino Linotype"/>
        </w:rPr>
        <w:t xml:space="preserve">en este </w:t>
      </w:r>
      <w:proofErr w:type="gramStart"/>
      <w:r w:rsidRPr="00F006AF">
        <w:rPr>
          <w:rFonts w:ascii="Palatino Linotype" w:eastAsia="Palatino Linotype" w:hAnsi="Palatino Linotype" w:cs="Palatino Linotype"/>
        </w:rPr>
        <w:t>sentido  el</w:t>
      </w:r>
      <w:proofErr w:type="gramEnd"/>
      <w:r w:rsidRPr="00F006AF">
        <w:rPr>
          <w:rFonts w:ascii="Palatino Linotype" w:eastAsia="Palatino Linotype" w:hAnsi="Palatino Linotype" w:cs="Palatino Linotype"/>
        </w:rPr>
        <w:t xml:space="preserve"> particular siente agravio considerando que la Secretaría de Finanzas no le entregó el nombre de los</w:t>
      </w:r>
      <w:r w:rsidRPr="00F006AF">
        <w:rPr>
          <w:rFonts w:ascii="Palatino Linotype" w:eastAsia="Palatino Linotype" w:hAnsi="Palatino Linotype" w:cs="Palatino Linotype"/>
          <w:color w:val="000000"/>
        </w:rPr>
        <w:t xml:space="preserve"> sujetos evaluados que NO realizaron la evaluación señalada en el Programa Anual de Evaluación (PAE) </w:t>
      </w:r>
      <w:r w:rsidRPr="00F006AF">
        <w:rPr>
          <w:rFonts w:ascii="Palatino Linotype" w:eastAsia="Palatino Linotype" w:hAnsi="Palatino Linotype" w:cs="Palatino Linotype"/>
          <w:b/>
          <w:color w:val="000000"/>
          <w:u w:val="single"/>
        </w:rPr>
        <w:t>desde el año 2013 hasta el año 2021.</w:t>
      </w:r>
    </w:p>
    <w:p w14:paraId="718DA4E6" w14:textId="77777777" w:rsidR="006639DB" w:rsidRPr="00F006AF" w:rsidRDefault="006639DB">
      <w:pPr>
        <w:spacing w:line="360" w:lineRule="auto"/>
        <w:jc w:val="both"/>
        <w:rPr>
          <w:rFonts w:ascii="Palatino Linotype" w:eastAsia="Palatino Linotype" w:hAnsi="Palatino Linotype" w:cs="Palatino Linotype"/>
          <w:b/>
          <w:color w:val="000000"/>
          <w:u w:val="single"/>
        </w:rPr>
      </w:pPr>
    </w:p>
    <w:p w14:paraId="61FC0A2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color w:val="000000"/>
        </w:rPr>
        <w:t xml:space="preserve">Al respecto, contrario a lo manifestado por en sus motivos de agravio por parte del particular, en las ligas electrónicas sí se contiene la información solicitada para el periodo comprendido de ejercicio discal 2013 al periodo fiscal 2021, tal y como se observa en la imagen siguiente: </w:t>
      </w:r>
    </w:p>
    <w:p w14:paraId="1D1F8604" w14:textId="77777777" w:rsidR="006639DB" w:rsidRPr="00F006AF" w:rsidRDefault="006639DB">
      <w:pPr>
        <w:spacing w:line="360" w:lineRule="auto"/>
        <w:jc w:val="both"/>
        <w:rPr>
          <w:rFonts w:ascii="Arial" w:eastAsia="Arial" w:hAnsi="Arial" w:cs="Arial"/>
          <w:color w:val="FF0000"/>
        </w:rPr>
      </w:pPr>
    </w:p>
    <w:p w14:paraId="5D65123B" w14:textId="77777777" w:rsidR="006639DB" w:rsidRPr="00F006AF" w:rsidRDefault="000E3CE0">
      <w:pPr>
        <w:spacing w:line="360" w:lineRule="auto"/>
        <w:jc w:val="both"/>
        <w:rPr>
          <w:rFonts w:ascii="Arial" w:eastAsia="Arial" w:hAnsi="Arial" w:cs="Arial"/>
          <w:color w:val="FF0000"/>
        </w:rPr>
      </w:pPr>
      <w:r w:rsidRPr="00F006AF">
        <w:rPr>
          <w:rFonts w:ascii="Arial" w:eastAsia="Arial" w:hAnsi="Arial" w:cs="Arial"/>
          <w:noProof/>
          <w:color w:val="FF0000"/>
          <w:lang w:val="es-MX"/>
        </w:rPr>
        <w:drawing>
          <wp:inline distT="0" distB="0" distL="0" distR="0" wp14:anchorId="0FD71000" wp14:editId="488D8679">
            <wp:extent cx="4995713" cy="1855124"/>
            <wp:effectExtent l="0" t="0" r="0" b="0"/>
            <wp:docPr id="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995713" cy="1855124"/>
                    </a:xfrm>
                    <a:prstGeom prst="rect">
                      <a:avLst/>
                    </a:prstGeom>
                    <a:ln/>
                  </pic:spPr>
                </pic:pic>
              </a:graphicData>
            </a:graphic>
          </wp:inline>
        </w:drawing>
      </w:r>
    </w:p>
    <w:p w14:paraId="097945EB" w14:textId="77777777" w:rsidR="006639DB" w:rsidRPr="00F006AF" w:rsidRDefault="006639DB">
      <w:pPr>
        <w:spacing w:line="360" w:lineRule="auto"/>
        <w:jc w:val="both"/>
        <w:rPr>
          <w:rFonts w:ascii="Palatino Linotype" w:eastAsia="Palatino Linotype" w:hAnsi="Palatino Linotype" w:cs="Palatino Linotype"/>
          <w:b/>
        </w:rPr>
      </w:pPr>
    </w:p>
    <w:p w14:paraId="0C7BEBBE" w14:textId="77777777" w:rsidR="006639DB" w:rsidRPr="00F006AF" w:rsidRDefault="000E3CE0">
      <w:pPr>
        <w:spacing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b/>
          <w:noProof/>
          <w:lang w:val="es-MX"/>
        </w:rPr>
        <w:lastRenderedPageBreak/>
        <w:drawing>
          <wp:inline distT="0" distB="0" distL="0" distR="0" wp14:anchorId="786CABD1" wp14:editId="7C086549">
            <wp:extent cx="4969311" cy="1873508"/>
            <wp:effectExtent l="0" t="0" r="0" b="0"/>
            <wp:docPr id="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969311" cy="1873508"/>
                    </a:xfrm>
                    <a:prstGeom prst="rect">
                      <a:avLst/>
                    </a:prstGeom>
                    <a:ln/>
                  </pic:spPr>
                </pic:pic>
              </a:graphicData>
            </a:graphic>
          </wp:inline>
        </w:drawing>
      </w:r>
    </w:p>
    <w:p w14:paraId="090F8150" w14:textId="77777777" w:rsidR="006639DB" w:rsidRPr="00F006AF" w:rsidRDefault="006639DB">
      <w:pPr>
        <w:spacing w:line="360" w:lineRule="auto"/>
        <w:jc w:val="both"/>
        <w:rPr>
          <w:rFonts w:ascii="Palatino Linotype" w:eastAsia="Palatino Linotype" w:hAnsi="Palatino Linotype" w:cs="Palatino Linotype"/>
          <w:b/>
        </w:rPr>
      </w:pPr>
    </w:p>
    <w:p w14:paraId="32E090C3"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 xml:space="preserve">En </w:t>
      </w:r>
      <w:r w:rsidRPr="00F006AF">
        <w:rPr>
          <w:rFonts w:ascii="Palatino Linotype" w:eastAsia="Palatino Linotype" w:hAnsi="Palatino Linotype" w:cs="Palatino Linotype"/>
        </w:rPr>
        <w:t xml:space="preserve">razón de lo anterior, los argumentos esgrimidos como motivo de inconformidad por  parte del particular, debe declararse infundados ya que, contrario a su decir dentro del contenido de las páginas de internet previamente analizadas, sí desprende el nombre de los sujetos evaluados que no realizaron la evaluación señalada en el Programa Anual de Evaluación (PAE) para los ejercicios fiscales del 2013 al 2021 y para efectos ejemplificativos se inserta la imagen del sujeto evaluado que no presentó la evaluación. </w:t>
      </w:r>
    </w:p>
    <w:p w14:paraId="6C1E533E" w14:textId="77777777" w:rsidR="006639DB" w:rsidRPr="00F006AF" w:rsidRDefault="006639DB">
      <w:pPr>
        <w:spacing w:line="360" w:lineRule="auto"/>
        <w:jc w:val="both"/>
        <w:rPr>
          <w:rFonts w:ascii="Palatino Linotype" w:eastAsia="Palatino Linotype" w:hAnsi="Palatino Linotype" w:cs="Palatino Linotype"/>
        </w:rPr>
      </w:pPr>
    </w:p>
    <w:p w14:paraId="626C5986"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drawing>
          <wp:inline distT="0" distB="0" distL="0" distR="0" wp14:anchorId="6922A52B" wp14:editId="71274201">
            <wp:extent cx="5612130" cy="1494155"/>
            <wp:effectExtent l="0" t="0" r="0" b="0"/>
            <wp:docPr id="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612130" cy="1494155"/>
                    </a:xfrm>
                    <a:prstGeom prst="rect">
                      <a:avLst/>
                    </a:prstGeom>
                    <a:ln/>
                  </pic:spPr>
                </pic:pic>
              </a:graphicData>
            </a:graphic>
          </wp:inline>
        </w:drawing>
      </w:r>
      <w:r w:rsidRPr="00F006AF">
        <w:rPr>
          <w:noProof/>
          <w:lang w:val="es-MX"/>
        </w:rPr>
        <mc:AlternateContent>
          <mc:Choice Requires="wpg">
            <w:drawing>
              <wp:anchor distT="0" distB="0" distL="114300" distR="114300" simplePos="0" relativeHeight="251658240" behindDoc="0" locked="0" layoutInCell="1" hidden="0" allowOverlap="1" wp14:anchorId="0A1C02F9" wp14:editId="6FAABF6E">
                <wp:simplePos x="0" y="0"/>
                <wp:positionH relativeFrom="column">
                  <wp:posOffset>317500</wp:posOffset>
                </wp:positionH>
                <wp:positionV relativeFrom="paragraph">
                  <wp:posOffset>838200</wp:posOffset>
                </wp:positionV>
                <wp:extent cx="5353050" cy="590550"/>
                <wp:effectExtent l="0" t="0" r="0" b="0"/>
                <wp:wrapNone/>
                <wp:docPr id="44" name="Rectángulo 44"/>
                <wp:cNvGraphicFramePr/>
                <a:graphic xmlns:a="http://schemas.openxmlformats.org/drawingml/2006/main">
                  <a:graphicData uri="http://schemas.microsoft.com/office/word/2010/wordprocessingShape">
                    <wps:wsp>
                      <wps:cNvSpPr/>
                      <wps:spPr>
                        <a:xfrm>
                          <a:off x="2674238" y="3489488"/>
                          <a:ext cx="5343525" cy="581025"/>
                        </a:xfrm>
                        <a:prstGeom prst="rect">
                          <a:avLst/>
                        </a:prstGeom>
                        <a:noFill/>
                        <a:ln w="9525" cap="flat" cmpd="sng">
                          <a:solidFill>
                            <a:srgbClr val="FF0000"/>
                          </a:solidFill>
                          <a:prstDash val="solid"/>
                          <a:round/>
                          <a:headEnd type="none" w="sm" len="sm"/>
                          <a:tailEnd type="none" w="sm" len="sm"/>
                        </a:ln>
                      </wps:spPr>
                      <wps:txbx>
                        <w:txbxContent>
                          <w:p w14:paraId="12476642"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838200</wp:posOffset>
                </wp:positionV>
                <wp:extent cx="5353050" cy="590550"/>
                <wp:effectExtent b="0" l="0" r="0" t="0"/>
                <wp:wrapNone/>
                <wp:docPr id="44"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5353050" cy="590550"/>
                        </a:xfrm>
                        <a:prstGeom prst="rect"/>
                        <a:ln/>
                      </pic:spPr>
                    </pic:pic>
                  </a:graphicData>
                </a:graphic>
              </wp:anchor>
            </w:drawing>
          </mc:Fallback>
        </mc:AlternateContent>
      </w:r>
    </w:p>
    <w:p w14:paraId="71B34803" w14:textId="77777777" w:rsidR="006639DB" w:rsidRPr="00F006AF" w:rsidRDefault="006639DB">
      <w:pPr>
        <w:spacing w:line="360" w:lineRule="auto"/>
        <w:jc w:val="both"/>
        <w:rPr>
          <w:rFonts w:ascii="Palatino Linotype" w:eastAsia="Palatino Linotype" w:hAnsi="Palatino Linotype" w:cs="Palatino Linotype"/>
          <w:color w:val="000000"/>
        </w:rPr>
      </w:pPr>
    </w:p>
    <w:p w14:paraId="05DE8F3C" w14:textId="77777777" w:rsidR="006639DB" w:rsidRPr="00F006AF" w:rsidRDefault="006639DB">
      <w:pPr>
        <w:spacing w:line="360" w:lineRule="auto"/>
        <w:jc w:val="both"/>
        <w:rPr>
          <w:rFonts w:ascii="Palatino Linotype" w:eastAsia="Palatino Linotype" w:hAnsi="Palatino Linotype" w:cs="Palatino Linotype"/>
        </w:rPr>
      </w:pPr>
    </w:p>
    <w:p w14:paraId="462992E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lastRenderedPageBreak/>
        <w:t xml:space="preserve">Ahora bien, por cuanto hace al requerimiento relacionado con el </w:t>
      </w:r>
      <w:r w:rsidRPr="00F006AF">
        <w:rPr>
          <w:rFonts w:ascii="Palatino Linotype" w:eastAsia="Palatino Linotype" w:hAnsi="Palatino Linotype" w:cs="Palatino Linotype"/>
          <w:color w:val="000000"/>
        </w:rPr>
        <w:t xml:space="preserve">nombre de los sujetos evaluados que no han dado cumplimiento a los hallazgos, recomendaciones y/o Aspectos Susceptibles de Mejora derivadas de sus respectivas evaluaciones desde el año 2013 hasta el año 2021, el </w:t>
      </w:r>
      <w:r w:rsidRPr="00F006AF">
        <w:rPr>
          <w:rFonts w:ascii="Palatino Linotype" w:eastAsia="Palatino Linotype" w:hAnsi="Palatino Linotype" w:cs="Palatino Linotype"/>
          <w:b/>
          <w:color w:val="000000"/>
        </w:rPr>
        <w:t xml:space="preserve">Sujeto Obligado </w:t>
      </w:r>
      <w:r w:rsidRPr="00F006AF">
        <w:rPr>
          <w:rFonts w:ascii="Palatino Linotype" w:eastAsia="Palatino Linotype" w:hAnsi="Palatino Linotype" w:cs="Palatino Linotype"/>
          <w:color w:val="000000"/>
        </w:rPr>
        <w:t xml:space="preserve">informó que en la liga electrónica </w:t>
      </w:r>
      <w:r w:rsidRPr="00F006AF">
        <w:rPr>
          <w:rFonts w:ascii="Palatino Linotype" w:eastAsia="Palatino Linotype" w:hAnsi="Palatino Linotype" w:cs="Palatino Linotype"/>
        </w:rPr>
        <w:t>(</w:t>
      </w:r>
      <w:hyperlink r:id="rId29">
        <w:r w:rsidRPr="00F006AF">
          <w:rPr>
            <w:rFonts w:ascii="Palatino Linotype" w:eastAsia="Palatino Linotype" w:hAnsi="Palatino Linotype" w:cs="Palatino Linotype"/>
            <w:color w:val="0000FF"/>
            <w:u w:val="single"/>
          </w:rPr>
          <w:t>https://transparenciafiscal.edomex.gob.mx/resultado-evaluaciones</w:t>
        </w:r>
      </w:hyperlink>
      <w:r w:rsidRPr="00F006AF">
        <w:rPr>
          <w:rFonts w:ascii="Palatino Linotype" w:eastAsia="Palatino Linotype" w:hAnsi="Palatino Linotype" w:cs="Palatino Linotype"/>
        </w:rPr>
        <w:t>) se pueden descargar las Actas de atención a los Aspectos Susceptibles de Mejoras  del Convenio para la Mejora del Desempeño y Resultados Gubernamentales</w:t>
      </w:r>
    </w:p>
    <w:p w14:paraId="43F5011B"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 </w:t>
      </w:r>
    </w:p>
    <w:p w14:paraId="29383F3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Inconforme con la respuesta a este punto de la solicitud, la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 xml:space="preserve">argumentó que: </w:t>
      </w:r>
      <w:r w:rsidRPr="00F006AF">
        <w:rPr>
          <w:rFonts w:ascii="Palatino Linotype" w:eastAsia="Palatino Linotype" w:hAnsi="Palatino Linotype" w:cs="Palatino Linotype"/>
          <w:i/>
        </w:rPr>
        <w:t xml:space="preserve">“…así como también faltan los nombres de los sujetos evaluados que no cumplieron con los ASM y eso no </w:t>
      </w:r>
      <w:proofErr w:type="spellStart"/>
      <w:r w:rsidRPr="00F006AF">
        <w:rPr>
          <w:rFonts w:ascii="Palatino Linotype" w:eastAsia="Palatino Linotype" w:hAnsi="Palatino Linotype" w:cs="Palatino Linotype"/>
          <w:i/>
        </w:rPr>
        <w:t>esta</w:t>
      </w:r>
      <w:proofErr w:type="spellEnd"/>
      <w:r w:rsidRPr="00F006AF">
        <w:rPr>
          <w:rFonts w:ascii="Palatino Linotype" w:eastAsia="Palatino Linotype" w:hAnsi="Palatino Linotype" w:cs="Palatino Linotype"/>
          <w:i/>
        </w:rPr>
        <w:t xml:space="preserve"> en la liga que refieren, ni en los periodos solicitados.”</w:t>
      </w:r>
      <w:r w:rsidRPr="00F006AF">
        <w:rPr>
          <w:rFonts w:ascii="Palatino Linotype" w:eastAsia="Palatino Linotype" w:hAnsi="Palatino Linotype" w:cs="Palatino Linotype"/>
        </w:rPr>
        <w:t xml:space="preserve"> </w:t>
      </w:r>
    </w:p>
    <w:p w14:paraId="6DDD71EC" w14:textId="77777777" w:rsidR="006639DB" w:rsidRPr="00F006AF" w:rsidRDefault="006639DB">
      <w:pPr>
        <w:spacing w:line="360" w:lineRule="auto"/>
        <w:jc w:val="both"/>
        <w:rPr>
          <w:rFonts w:ascii="Palatino Linotype" w:eastAsia="Palatino Linotype" w:hAnsi="Palatino Linotype" w:cs="Palatino Linotype"/>
        </w:rPr>
      </w:pPr>
    </w:p>
    <w:p w14:paraId="6368683D" w14:textId="77777777" w:rsidR="006639DB" w:rsidRPr="00F006AF" w:rsidRDefault="006639DB">
      <w:pPr>
        <w:spacing w:line="360" w:lineRule="auto"/>
        <w:jc w:val="both"/>
        <w:rPr>
          <w:rFonts w:ascii="Palatino Linotype" w:eastAsia="Palatino Linotype" w:hAnsi="Palatino Linotype" w:cs="Palatino Linotype"/>
        </w:rPr>
      </w:pPr>
    </w:p>
    <w:p w14:paraId="3773CF97"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Al respecto, es importante destacar que mediante la </w:t>
      </w:r>
      <w:proofErr w:type="gramStart"/>
      <w:r w:rsidRPr="00F006AF">
        <w:rPr>
          <w:rFonts w:ascii="Palatino Linotype" w:eastAsia="Palatino Linotype" w:hAnsi="Palatino Linotype" w:cs="Palatino Linotype"/>
        </w:rPr>
        <w:t>liga  (</w:t>
      </w:r>
      <w:proofErr w:type="gramEnd"/>
      <w:r w:rsidR="00BC25D2">
        <w:fldChar w:fldCharType="begin"/>
      </w:r>
      <w:r w:rsidR="00BC25D2">
        <w:instrText xml:space="preserve"> HYPERLINK "https://transparenciafiscal.edomex.gob.mx/resultado-evaluaciones" \h </w:instrText>
      </w:r>
      <w:r w:rsidR="00BC25D2">
        <w:fldChar w:fldCharType="separate"/>
      </w:r>
      <w:r w:rsidRPr="00F006AF">
        <w:rPr>
          <w:rFonts w:ascii="Palatino Linotype" w:eastAsia="Palatino Linotype" w:hAnsi="Palatino Linotype" w:cs="Palatino Linotype"/>
          <w:color w:val="0000FF"/>
          <w:u w:val="single"/>
        </w:rPr>
        <w:t>https://transparenciafiscal.edomex.gob.mx/resultado-evaluaciones</w:t>
      </w:r>
      <w:r w:rsidR="00BC25D2">
        <w:rPr>
          <w:rFonts w:ascii="Palatino Linotype" w:eastAsia="Palatino Linotype" w:hAnsi="Palatino Linotype" w:cs="Palatino Linotype"/>
          <w:color w:val="0000FF"/>
          <w:u w:val="single"/>
        </w:rPr>
        <w:fldChar w:fldCharType="end"/>
      </w:r>
      <w:r w:rsidRPr="00F006AF">
        <w:rPr>
          <w:rFonts w:ascii="Palatino Linotype" w:eastAsia="Palatino Linotype" w:hAnsi="Palatino Linotype" w:cs="Palatino Linotype"/>
        </w:rPr>
        <w:t xml:space="preserve">) tal y como lo señala el SUJETO OBLIGADO, se pueden descargar las Actas de atención a los Aspectos Susceptibles de Mejoras  del Convenio para la Mejora del Desempeño y Resultados Gubernamentales, tal y como se observa en la imagen siguiente: </w:t>
      </w:r>
    </w:p>
    <w:p w14:paraId="70EFAF1E"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lastRenderedPageBreak/>
        <w:drawing>
          <wp:inline distT="0" distB="0" distL="0" distR="0" wp14:anchorId="047EC8EA" wp14:editId="0EEE667E">
            <wp:extent cx="5612130" cy="5087739"/>
            <wp:effectExtent l="0" t="0" r="0" b="0"/>
            <wp:docPr id="7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5612130" cy="5087739"/>
                    </a:xfrm>
                    <a:prstGeom prst="rect">
                      <a:avLst/>
                    </a:prstGeom>
                    <a:ln/>
                  </pic:spPr>
                </pic:pic>
              </a:graphicData>
            </a:graphic>
          </wp:inline>
        </w:drawing>
      </w:r>
      <w:r w:rsidRPr="00F006AF">
        <w:rPr>
          <w:noProof/>
          <w:lang w:val="es-MX"/>
        </w:rPr>
        <mc:AlternateContent>
          <mc:Choice Requires="wpg">
            <w:drawing>
              <wp:anchor distT="0" distB="0" distL="114300" distR="114300" simplePos="0" relativeHeight="251659264" behindDoc="0" locked="0" layoutInCell="1" hidden="0" allowOverlap="1" wp14:anchorId="6ADEAD10" wp14:editId="7BA22EFA">
                <wp:simplePos x="0" y="0"/>
                <wp:positionH relativeFrom="column">
                  <wp:posOffset>3022600</wp:posOffset>
                </wp:positionH>
                <wp:positionV relativeFrom="paragraph">
                  <wp:posOffset>914400</wp:posOffset>
                </wp:positionV>
                <wp:extent cx="847476" cy="696181"/>
                <wp:effectExtent l="0" t="0" r="0" b="0"/>
                <wp:wrapNone/>
                <wp:docPr id="42" name="Rectángulo 42"/>
                <wp:cNvGraphicFramePr/>
                <a:graphic xmlns:a="http://schemas.openxmlformats.org/drawingml/2006/main">
                  <a:graphicData uri="http://schemas.microsoft.com/office/word/2010/wordprocessingShape">
                    <wps:wsp>
                      <wps:cNvSpPr/>
                      <wps:spPr>
                        <a:xfrm>
                          <a:off x="4960362" y="3470010"/>
                          <a:ext cx="771276" cy="619981"/>
                        </a:xfrm>
                        <a:prstGeom prst="rect">
                          <a:avLst/>
                        </a:prstGeom>
                        <a:noFill/>
                        <a:ln w="76200" cap="flat" cmpd="sng">
                          <a:solidFill>
                            <a:srgbClr val="FF0000"/>
                          </a:solidFill>
                          <a:prstDash val="solid"/>
                          <a:round/>
                          <a:headEnd type="none" w="sm" len="sm"/>
                          <a:tailEnd type="none" w="sm" len="sm"/>
                        </a:ln>
                      </wps:spPr>
                      <wps:txbx>
                        <w:txbxContent>
                          <w:p w14:paraId="773CA342"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3022600</wp:posOffset>
                </wp:positionH>
                <wp:positionV relativeFrom="paragraph">
                  <wp:posOffset>914400</wp:posOffset>
                </wp:positionV>
                <wp:extent cx="847476" cy="696181"/>
                <wp:effectExtent b="0" l="0" r="0" t="0"/>
                <wp:wrapNone/>
                <wp:docPr id="42" name="image19.png"/>
                <a:graphic>
                  <a:graphicData uri="http://schemas.openxmlformats.org/drawingml/2006/picture">
                    <pic:pic>
                      <pic:nvPicPr>
                        <pic:cNvPr id="0" name="image19.png"/>
                        <pic:cNvPicPr preferRelativeResize="0"/>
                      </pic:nvPicPr>
                      <pic:blipFill>
                        <a:blip r:embed="rId32"/>
                        <a:srcRect/>
                        <a:stretch>
                          <a:fillRect/>
                        </a:stretch>
                      </pic:blipFill>
                      <pic:spPr>
                        <a:xfrm>
                          <a:off x="0" y="0"/>
                          <a:ext cx="847476" cy="696181"/>
                        </a:xfrm>
                        <a:prstGeom prst="rect"/>
                        <a:ln/>
                      </pic:spPr>
                    </pic:pic>
                  </a:graphicData>
                </a:graphic>
              </wp:anchor>
            </w:drawing>
          </mc:Fallback>
        </mc:AlternateContent>
      </w:r>
    </w:p>
    <w:p w14:paraId="361DF4E1"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el apartado </w:t>
      </w:r>
      <w:proofErr w:type="gramStart"/>
      <w:r w:rsidRPr="00F006AF">
        <w:rPr>
          <w:rFonts w:ascii="Palatino Linotype" w:eastAsia="Palatino Linotype" w:hAnsi="Palatino Linotype" w:cs="Palatino Linotype"/>
        </w:rPr>
        <w:t>de  CONVENIO</w:t>
      </w:r>
      <w:proofErr w:type="gramEnd"/>
      <w:r w:rsidRPr="00F006AF">
        <w:rPr>
          <w:rFonts w:ascii="Palatino Linotype" w:eastAsia="Palatino Linotype" w:hAnsi="Palatino Linotype" w:cs="Palatino Linotype"/>
        </w:rPr>
        <w:t xml:space="preserve"> DE MEJORA se tiene la oportunidad de descargar el Convenio para la Mejora del Desempeño y Resultados  Gubernamentales, derivado de la evaluación de consistencia y resultados al programa presupuestario correspondiente, de cuyo contenido se contiene el apartado de “De los Aspectos Susceptibles de Mejora” (ASM) así como la Actividad Comprometida y la fecha te compromiso a efectos de realizar el cumplimiento: </w:t>
      </w:r>
    </w:p>
    <w:p w14:paraId="364833A1"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lastRenderedPageBreak/>
        <w:drawing>
          <wp:inline distT="0" distB="0" distL="0" distR="0" wp14:anchorId="17F129E1" wp14:editId="19E0565C">
            <wp:extent cx="5605780" cy="4190365"/>
            <wp:effectExtent l="0" t="0" r="0" b="0"/>
            <wp:docPr id="7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5605780" cy="4190365"/>
                    </a:xfrm>
                    <a:prstGeom prst="rect">
                      <a:avLst/>
                    </a:prstGeom>
                    <a:ln/>
                  </pic:spPr>
                </pic:pic>
              </a:graphicData>
            </a:graphic>
          </wp:inline>
        </w:drawing>
      </w:r>
      <w:r w:rsidRPr="00F006AF">
        <w:rPr>
          <w:noProof/>
          <w:lang w:val="es-MX"/>
        </w:rPr>
        <mc:AlternateContent>
          <mc:Choice Requires="wpg">
            <w:drawing>
              <wp:anchor distT="0" distB="0" distL="114300" distR="114300" simplePos="0" relativeHeight="251660288" behindDoc="0" locked="0" layoutInCell="1" hidden="0" allowOverlap="1" wp14:anchorId="4E5DD50C" wp14:editId="00C30E19">
                <wp:simplePos x="0" y="0"/>
                <wp:positionH relativeFrom="column">
                  <wp:posOffset>2387600</wp:posOffset>
                </wp:positionH>
                <wp:positionV relativeFrom="paragraph">
                  <wp:posOffset>190500</wp:posOffset>
                </wp:positionV>
                <wp:extent cx="1690315" cy="696181"/>
                <wp:effectExtent l="0" t="0" r="0" b="0"/>
                <wp:wrapNone/>
                <wp:docPr id="50" name="Rectángulo 50"/>
                <wp:cNvGraphicFramePr/>
                <a:graphic xmlns:a="http://schemas.openxmlformats.org/drawingml/2006/main">
                  <a:graphicData uri="http://schemas.microsoft.com/office/word/2010/wordprocessingShape">
                    <wps:wsp>
                      <wps:cNvSpPr/>
                      <wps:spPr>
                        <a:xfrm>
                          <a:off x="4538943" y="3470010"/>
                          <a:ext cx="1614115" cy="619981"/>
                        </a:xfrm>
                        <a:prstGeom prst="rect">
                          <a:avLst/>
                        </a:prstGeom>
                        <a:noFill/>
                        <a:ln w="76200" cap="flat" cmpd="sng">
                          <a:solidFill>
                            <a:srgbClr val="FF0000"/>
                          </a:solidFill>
                          <a:prstDash val="solid"/>
                          <a:round/>
                          <a:headEnd type="none" w="sm" len="sm"/>
                          <a:tailEnd type="none" w="sm" len="sm"/>
                        </a:ln>
                      </wps:spPr>
                      <wps:txbx>
                        <w:txbxContent>
                          <w:p w14:paraId="5674D95F"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190500</wp:posOffset>
                </wp:positionV>
                <wp:extent cx="1690315" cy="696181"/>
                <wp:effectExtent b="0" l="0" r="0" t="0"/>
                <wp:wrapNone/>
                <wp:docPr id="50" name="image35.png"/>
                <a:graphic>
                  <a:graphicData uri="http://schemas.openxmlformats.org/drawingml/2006/picture">
                    <pic:pic>
                      <pic:nvPicPr>
                        <pic:cNvPr id="0" name="image35.png"/>
                        <pic:cNvPicPr preferRelativeResize="0"/>
                      </pic:nvPicPr>
                      <pic:blipFill>
                        <a:blip r:embed="rId34"/>
                        <a:srcRect/>
                        <a:stretch>
                          <a:fillRect/>
                        </a:stretch>
                      </pic:blipFill>
                      <pic:spPr>
                        <a:xfrm>
                          <a:off x="0" y="0"/>
                          <a:ext cx="1690315" cy="696181"/>
                        </a:xfrm>
                        <a:prstGeom prst="rect"/>
                        <a:ln/>
                      </pic:spPr>
                    </pic:pic>
                  </a:graphicData>
                </a:graphic>
              </wp:anchor>
            </w:drawing>
          </mc:Fallback>
        </mc:AlternateContent>
      </w:r>
      <w:r w:rsidRPr="00F006AF">
        <w:rPr>
          <w:noProof/>
          <w:lang w:val="es-MX"/>
        </w:rPr>
        <mc:AlternateContent>
          <mc:Choice Requires="wpg">
            <w:drawing>
              <wp:anchor distT="0" distB="0" distL="114300" distR="114300" simplePos="0" relativeHeight="251661312" behindDoc="0" locked="0" layoutInCell="1" hidden="0" allowOverlap="1" wp14:anchorId="5600754D" wp14:editId="6AA0E8DB">
                <wp:simplePos x="0" y="0"/>
                <wp:positionH relativeFrom="column">
                  <wp:posOffset>469900</wp:posOffset>
                </wp:positionH>
                <wp:positionV relativeFrom="paragraph">
                  <wp:posOffset>203200</wp:posOffset>
                </wp:positionV>
                <wp:extent cx="1840810" cy="696181"/>
                <wp:effectExtent l="0" t="0" r="0" b="0"/>
                <wp:wrapNone/>
                <wp:docPr id="52" name="Rectángulo 52"/>
                <wp:cNvGraphicFramePr/>
                <a:graphic xmlns:a="http://schemas.openxmlformats.org/drawingml/2006/main">
                  <a:graphicData uri="http://schemas.microsoft.com/office/word/2010/wordprocessingShape">
                    <wps:wsp>
                      <wps:cNvSpPr/>
                      <wps:spPr>
                        <a:xfrm>
                          <a:off x="4463695" y="3470010"/>
                          <a:ext cx="1764610" cy="619981"/>
                        </a:xfrm>
                        <a:prstGeom prst="rect">
                          <a:avLst/>
                        </a:prstGeom>
                        <a:noFill/>
                        <a:ln w="76200" cap="flat" cmpd="sng">
                          <a:solidFill>
                            <a:srgbClr val="FF0000"/>
                          </a:solidFill>
                          <a:prstDash val="solid"/>
                          <a:round/>
                          <a:headEnd type="none" w="sm" len="sm"/>
                          <a:tailEnd type="none" w="sm" len="sm"/>
                        </a:ln>
                      </wps:spPr>
                      <wps:txbx>
                        <w:txbxContent>
                          <w:p w14:paraId="0A44BE0A"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203200</wp:posOffset>
                </wp:positionV>
                <wp:extent cx="1840810" cy="696181"/>
                <wp:effectExtent b="0" l="0" r="0" t="0"/>
                <wp:wrapNone/>
                <wp:docPr id="52" name="image37.png"/>
                <a:graphic>
                  <a:graphicData uri="http://schemas.openxmlformats.org/drawingml/2006/picture">
                    <pic:pic>
                      <pic:nvPicPr>
                        <pic:cNvPr id="0" name="image37.png"/>
                        <pic:cNvPicPr preferRelativeResize="0"/>
                      </pic:nvPicPr>
                      <pic:blipFill>
                        <a:blip r:embed="rId35"/>
                        <a:srcRect/>
                        <a:stretch>
                          <a:fillRect/>
                        </a:stretch>
                      </pic:blipFill>
                      <pic:spPr>
                        <a:xfrm>
                          <a:off x="0" y="0"/>
                          <a:ext cx="1840810" cy="696181"/>
                        </a:xfrm>
                        <a:prstGeom prst="rect"/>
                        <a:ln/>
                      </pic:spPr>
                    </pic:pic>
                  </a:graphicData>
                </a:graphic>
              </wp:anchor>
            </w:drawing>
          </mc:Fallback>
        </mc:AlternateContent>
      </w:r>
      <w:r w:rsidRPr="00F006AF">
        <w:rPr>
          <w:noProof/>
          <w:lang w:val="es-MX"/>
        </w:rPr>
        <mc:AlternateContent>
          <mc:Choice Requires="wpg">
            <w:drawing>
              <wp:anchor distT="0" distB="0" distL="114300" distR="114300" simplePos="0" relativeHeight="251662336" behindDoc="0" locked="0" layoutInCell="1" hidden="0" allowOverlap="1" wp14:anchorId="3A1215B7" wp14:editId="62D7E67E">
                <wp:simplePos x="0" y="0"/>
                <wp:positionH relativeFrom="column">
                  <wp:posOffset>4203700</wp:posOffset>
                </wp:positionH>
                <wp:positionV relativeFrom="paragraph">
                  <wp:posOffset>190500</wp:posOffset>
                </wp:positionV>
                <wp:extent cx="950843" cy="696181"/>
                <wp:effectExtent l="0" t="0" r="0" b="0"/>
                <wp:wrapNone/>
                <wp:docPr id="47" name="Rectángulo 47"/>
                <wp:cNvGraphicFramePr/>
                <a:graphic xmlns:a="http://schemas.openxmlformats.org/drawingml/2006/main">
                  <a:graphicData uri="http://schemas.microsoft.com/office/word/2010/wordprocessingShape">
                    <wps:wsp>
                      <wps:cNvSpPr/>
                      <wps:spPr>
                        <a:xfrm>
                          <a:off x="4908679" y="3470010"/>
                          <a:ext cx="874643" cy="619981"/>
                        </a:xfrm>
                        <a:prstGeom prst="rect">
                          <a:avLst/>
                        </a:prstGeom>
                        <a:noFill/>
                        <a:ln w="76200" cap="flat" cmpd="sng">
                          <a:solidFill>
                            <a:srgbClr val="FF0000"/>
                          </a:solidFill>
                          <a:prstDash val="solid"/>
                          <a:round/>
                          <a:headEnd type="none" w="sm" len="sm"/>
                          <a:tailEnd type="none" w="sm" len="sm"/>
                        </a:ln>
                      </wps:spPr>
                      <wps:txbx>
                        <w:txbxContent>
                          <w:p w14:paraId="1B27CE93"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4203700</wp:posOffset>
                </wp:positionH>
                <wp:positionV relativeFrom="paragraph">
                  <wp:posOffset>190500</wp:posOffset>
                </wp:positionV>
                <wp:extent cx="950843" cy="696181"/>
                <wp:effectExtent b="0" l="0" r="0" t="0"/>
                <wp:wrapNone/>
                <wp:docPr id="47"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950843" cy="696181"/>
                        </a:xfrm>
                        <a:prstGeom prst="rect"/>
                        <a:ln/>
                      </pic:spPr>
                    </pic:pic>
                  </a:graphicData>
                </a:graphic>
              </wp:anchor>
            </w:drawing>
          </mc:Fallback>
        </mc:AlternateContent>
      </w:r>
    </w:p>
    <w:p w14:paraId="0AF183CE" w14:textId="77777777" w:rsidR="006639DB" w:rsidRPr="00F006AF" w:rsidRDefault="006639DB">
      <w:pPr>
        <w:spacing w:line="360" w:lineRule="auto"/>
        <w:jc w:val="both"/>
        <w:rPr>
          <w:rFonts w:ascii="Palatino Linotype" w:eastAsia="Palatino Linotype" w:hAnsi="Palatino Linotype" w:cs="Palatino Linotype"/>
        </w:rPr>
      </w:pPr>
    </w:p>
    <w:p w14:paraId="6E5A20EB"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Ahora bien, dentro de la misma liga se puede obtener en el apartado </w:t>
      </w:r>
      <w:proofErr w:type="gramStart"/>
      <w:r w:rsidRPr="00F006AF">
        <w:rPr>
          <w:rFonts w:ascii="Palatino Linotype" w:eastAsia="Palatino Linotype" w:hAnsi="Palatino Linotype" w:cs="Palatino Linotype"/>
        </w:rPr>
        <w:t>de  “</w:t>
      </w:r>
      <w:proofErr w:type="gramEnd"/>
      <w:r w:rsidRPr="00F006AF">
        <w:rPr>
          <w:rFonts w:ascii="Palatino Linotype" w:eastAsia="Palatino Linotype" w:hAnsi="Palatino Linotype" w:cs="Palatino Linotype"/>
        </w:rPr>
        <w:t xml:space="preserve">ACTAS DE SOLVENTACION” el Acta de Atención de los Aspectos Susceptibles de Mejora del Convenio para la Mejora del Desempeño y Resultados Gubernamentales de la Evaluación de Consistencia y Resultados a cada uno de los Programas presupuestarios:   </w:t>
      </w:r>
    </w:p>
    <w:p w14:paraId="12ADC239"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lastRenderedPageBreak/>
        <w:drawing>
          <wp:inline distT="0" distB="0" distL="0" distR="0" wp14:anchorId="0FB267E3" wp14:editId="4A482976">
            <wp:extent cx="5605780" cy="2154803"/>
            <wp:effectExtent l="0" t="0" r="0" b="0"/>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b="58374"/>
                    <a:stretch>
                      <a:fillRect/>
                    </a:stretch>
                  </pic:blipFill>
                  <pic:spPr>
                    <a:xfrm>
                      <a:off x="0" y="0"/>
                      <a:ext cx="5605780" cy="2154803"/>
                    </a:xfrm>
                    <a:prstGeom prst="rect">
                      <a:avLst/>
                    </a:prstGeom>
                    <a:ln/>
                  </pic:spPr>
                </pic:pic>
              </a:graphicData>
            </a:graphic>
          </wp:inline>
        </w:drawing>
      </w:r>
      <w:r w:rsidRPr="00F006AF">
        <w:rPr>
          <w:noProof/>
          <w:lang w:val="es-MX"/>
        </w:rPr>
        <mc:AlternateContent>
          <mc:Choice Requires="wpg">
            <w:drawing>
              <wp:anchor distT="0" distB="0" distL="114300" distR="114300" simplePos="0" relativeHeight="251663360" behindDoc="0" locked="0" layoutInCell="1" hidden="0" allowOverlap="1" wp14:anchorId="4D6B5DF9" wp14:editId="2B00E596">
                <wp:simplePos x="0" y="0"/>
                <wp:positionH relativeFrom="column">
                  <wp:posOffset>3683000</wp:posOffset>
                </wp:positionH>
                <wp:positionV relativeFrom="paragraph">
                  <wp:posOffset>952500</wp:posOffset>
                </wp:positionV>
                <wp:extent cx="950843" cy="696181"/>
                <wp:effectExtent l="0" t="0" r="0" b="0"/>
                <wp:wrapNone/>
                <wp:docPr id="45" name="Rectángulo 45"/>
                <wp:cNvGraphicFramePr/>
                <a:graphic xmlns:a="http://schemas.openxmlformats.org/drawingml/2006/main">
                  <a:graphicData uri="http://schemas.microsoft.com/office/word/2010/wordprocessingShape">
                    <wps:wsp>
                      <wps:cNvSpPr/>
                      <wps:spPr>
                        <a:xfrm>
                          <a:off x="4908679" y="3470010"/>
                          <a:ext cx="874643" cy="619981"/>
                        </a:xfrm>
                        <a:prstGeom prst="rect">
                          <a:avLst/>
                        </a:prstGeom>
                        <a:noFill/>
                        <a:ln w="76200" cap="flat" cmpd="sng">
                          <a:solidFill>
                            <a:srgbClr val="FF0000"/>
                          </a:solidFill>
                          <a:prstDash val="solid"/>
                          <a:round/>
                          <a:headEnd type="none" w="sm" len="sm"/>
                          <a:tailEnd type="none" w="sm" len="sm"/>
                        </a:ln>
                      </wps:spPr>
                      <wps:txbx>
                        <w:txbxContent>
                          <w:p w14:paraId="05F29716"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3683000</wp:posOffset>
                </wp:positionH>
                <wp:positionV relativeFrom="paragraph">
                  <wp:posOffset>952500</wp:posOffset>
                </wp:positionV>
                <wp:extent cx="950843" cy="696181"/>
                <wp:effectExtent b="0" l="0" r="0" t="0"/>
                <wp:wrapNone/>
                <wp:docPr id="45"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950843" cy="696181"/>
                        </a:xfrm>
                        <a:prstGeom prst="rect"/>
                        <a:ln/>
                      </pic:spPr>
                    </pic:pic>
                  </a:graphicData>
                </a:graphic>
              </wp:anchor>
            </w:drawing>
          </mc:Fallback>
        </mc:AlternateContent>
      </w:r>
    </w:p>
    <w:p w14:paraId="2F00B915"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drawing>
          <wp:inline distT="0" distB="0" distL="0" distR="0" wp14:anchorId="5C7473F2" wp14:editId="7A90FD8D">
            <wp:extent cx="5605780" cy="3959860"/>
            <wp:effectExtent l="0" t="0" r="0" b="0"/>
            <wp:docPr id="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5605780" cy="3959860"/>
                    </a:xfrm>
                    <a:prstGeom prst="rect">
                      <a:avLst/>
                    </a:prstGeom>
                    <a:ln/>
                  </pic:spPr>
                </pic:pic>
              </a:graphicData>
            </a:graphic>
          </wp:inline>
        </w:drawing>
      </w:r>
    </w:p>
    <w:p w14:paraId="49C93332" w14:textId="77777777" w:rsidR="006639DB" w:rsidRPr="00F006AF" w:rsidRDefault="000E3CE0">
      <w:pPr>
        <w:spacing w:line="360" w:lineRule="auto"/>
        <w:ind w:right="616" w:firstLine="709"/>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lastRenderedPageBreak/>
        <w:drawing>
          <wp:inline distT="0" distB="0" distL="0" distR="0" wp14:anchorId="275C06FB" wp14:editId="10848F4C">
            <wp:extent cx="5029200" cy="93091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029200" cy="930910"/>
                    </a:xfrm>
                    <a:prstGeom prst="rect">
                      <a:avLst/>
                    </a:prstGeom>
                    <a:ln/>
                  </pic:spPr>
                </pic:pic>
              </a:graphicData>
            </a:graphic>
          </wp:inline>
        </w:drawing>
      </w:r>
    </w:p>
    <w:p w14:paraId="46BDD377" w14:textId="77777777" w:rsidR="006639DB" w:rsidRPr="00F006AF" w:rsidRDefault="000E3CE0">
      <w:pPr>
        <w:spacing w:line="360" w:lineRule="auto"/>
        <w:jc w:val="both"/>
        <w:rPr>
          <w:rFonts w:ascii="Palatino Linotype" w:eastAsia="Palatino Linotype" w:hAnsi="Palatino Linotype" w:cs="Palatino Linotype"/>
          <w:b/>
          <w:color w:val="000000"/>
          <w:u w:val="single"/>
        </w:rPr>
      </w:pPr>
      <w:r w:rsidRPr="00F006AF">
        <w:rPr>
          <w:rFonts w:ascii="Palatino Linotype" w:eastAsia="Palatino Linotype" w:hAnsi="Palatino Linotype" w:cs="Palatino Linotype"/>
        </w:rPr>
        <w:t xml:space="preserve">Por lo que, con la información entregada por la Secretaria de Finanzas  el particular se encontraba en oportunidad ya que en su respuesta fueron entregados el total de convenios para la Mejora del Desempeño y Resultaos Gubernamentales en los que, como quedó demostrado se contienen los Aspectos Susceptible de Mejoras (ASM), por lo que se únicamente es  restar las Actas de Atención a los ASM a efectos de obtener los nombres de los Sujetos Evaluados que no han atendido los ASM en los ejercicios fiscales solicitados por el particular, </w:t>
      </w:r>
      <w:r w:rsidRPr="00F006AF">
        <w:rPr>
          <w:rFonts w:ascii="Palatino Linotype" w:eastAsia="Palatino Linotype" w:hAnsi="Palatino Linotype" w:cs="Palatino Linotype"/>
          <w:b/>
          <w:u w:val="single"/>
        </w:rPr>
        <w:t xml:space="preserve">esto es del </w:t>
      </w:r>
      <w:r w:rsidRPr="00F006AF">
        <w:rPr>
          <w:rFonts w:ascii="Palatino Linotype" w:eastAsia="Palatino Linotype" w:hAnsi="Palatino Linotype" w:cs="Palatino Linotype"/>
          <w:b/>
          <w:color w:val="000000"/>
          <w:u w:val="single"/>
        </w:rPr>
        <w:t>desde el año 2013 hasta el año 2021, tal y como se observa en la imagen siguiente:</w:t>
      </w:r>
    </w:p>
    <w:p w14:paraId="7B664EF3" w14:textId="77777777" w:rsidR="006639DB" w:rsidRPr="00F006AF" w:rsidRDefault="000E3CE0">
      <w:pPr>
        <w:spacing w:line="360" w:lineRule="auto"/>
        <w:jc w:val="both"/>
        <w:rPr>
          <w:rFonts w:ascii="Palatino Linotype" w:eastAsia="Palatino Linotype" w:hAnsi="Palatino Linotype" w:cs="Palatino Linotype"/>
          <w:b/>
          <w:color w:val="000000"/>
          <w:u w:val="single"/>
        </w:rPr>
      </w:pPr>
      <w:r w:rsidRPr="00F006AF">
        <w:rPr>
          <w:rFonts w:ascii="Palatino Linotype" w:eastAsia="Palatino Linotype" w:hAnsi="Palatino Linotype" w:cs="Palatino Linotype"/>
          <w:b/>
          <w:noProof/>
          <w:lang w:val="es-MX"/>
        </w:rPr>
        <w:drawing>
          <wp:inline distT="0" distB="0" distL="0" distR="0" wp14:anchorId="487A0E5B" wp14:editId="0D85984C">
            <wp:extent cx="4969311" cy="1873508"/>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969311" cy="1873508"/>
                    </a:xfrm>
                    <a:prstGeom prst="rect">
                      <a:avLst/>
                    </a:prstGeom>
                    <a:ln/>
                  </pic:spPr>
                </pic:pic>
              </a:graphicData>
            </a:graphic>
          </wp:inline>
        </w:drawing>
      </w:r>
    </w:p>
    <w:p w14:paraId="1EEFAE80" w14:textId="77777777" w:rsidR="006639DB" w:rsidRPr="00F006AF" w:rsidRDefault="006639DB">
      <w:pPr>
        <w:spacing w:line="360" w:lineRule="auto"/>
        <w:jc w:val="both"/>
        <w:rPr>
          <w:rFonts w:ascii="Palatino Linotype" w:eastAsia="Palatino Linotype" w:hAnsi="Palatino Linotype" w:cs="Palatino Linotype"/>
        </w:rPr>
      </w:pPr>
    </w:p>
    <w:p w14:paraId="6C061F77"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lo dicho, al igual que el motivo de inconformidad previamente analizado, se debe de considerar como infundado en virtud de que, contrario a lo esgrimido por el particular, la Secretaria de Finanzas sí entrego las documentales de donde el particular estaba en oportunidad de obtener los datos   que fueron solicitados en su </w:t>
      </w:r>
      <w:r w:rsidRPr="00F006AF">
        <w:rPr>
          <w:rFonts w:ascii="Palatino Linotype" w:eastAsia="Palatino Linotype" w:hAnsi="Palatino Linotype" w:cs="Palatino Linotype"/>
        </w:rPr>
        <w:lastRenderedPageBreak/>
        <w:t>requerimiento; es decir, con la información contenida en la liga electrónica el particular puede conocer  el nombre de los sujetos que fueron evaluados y que no atendieron los Aspectos Susceptibles de Mejoras (ASM).</w:t>
      </w:r>
    </w:p>
    <w:p w14:paraId="41F2168F" w14:textId="77777777" w:rsidR="006639DB" w:rsidRPr="00F006AF" w:rsidRDefault="006639DB">
      <w:pPr>
        <w:spacing w:line="360" w:lineRule="auto"/>
        <w:jc w:val="both"/>
        <w:rPr>
          <w:rFonts w:ascii="Palatino Linotype" w:eastAsia="Palatino Linotype" w:hAnsi="Palatino Linotype" w:cs="Palatino Linotype"/>
        </w:rPr>
      </w:pPr>
    </w:p>
    <w:p w14:paraId="7F584F60"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lo entregado, resulta importante traer a colación el segundo </w:t>
      </w:r>
      <w:proofErr w:type="spellStart"/>
      <w:r w:rsidRPr="00F006AF">
        <w:rPr>
          <w:rFonts w:ascii="Palatino Linotype" w:eastAsia="Palatino Linotype" w:hAnsi="Palatino Linotype" w:cs="Palatino Linotype"/>
        </w:rPr>
        <w:t>segundo</w:t>
      </w:r>
      <w:proofErr w:type="spellEnd"/>
      <w:r w:rsidRPr="00F006AF">
        <w:rPr>
          <w:rFonts w:ascii="Palatino Linotype" w:eastAsia="Palatino Linotype" w:hAnsi="Palatino Linotype" w:cs="Palatino Linotype"/>
        </w:rPr>
        <w:t xml:space="preserve"> párrafo del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w:t>
      </w:r>
    </w:p>
    <w:p w14:paraId="79EA177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 </w:t>
      </w:r>
    </w:p>
    <w:p w14:paraId="24946CA2" w14:textId="77777777" w:rsidR="006639DB" w:rsidRPr="00F006AF" w:rsidRDefault="000E3CE0">
      <w:pPr>
        <w:widowControl w:val="0"/>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Resulta de importancia señalar que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F006AF">
        <w:rPr>
          <w:rFonts w:ascii="Palatino Linotype" w:eastAsia="Palatino Linotype" w:hAnsi="Palatino Linotype" w:cs="Palatino Linotype"/>
          <w:i/>
        </w:rPr>
        <w:t>ad hoc</w:t>
      </w:r>
      <w:r w:rsidRPr="00F006AF">
        <w:rPr>
          <w:rFonts w:ascii="Palatino Linotype" w:eastAsia="Palatino Linotype" w:hAnsi="Palatino Linotype" w:cs="Palatino Linotype"/>
        </w:rPr>
        <w:t>, para satisfacer el derecho de acceso a la información pública.</w:t>
      </w:r>
    </w:p>
    <w:p w14:paraId="6D184250" w14:textId="77777777" w:rsidR="006639DB" w:rsidRPr="00F006AF" w:rsidRDefault="006639DB">
      <w:pPr>
        <w:widowControl w:val="0"/>
        <w:spacing w:line="360" w:lineRule="auto"/>
        <w:jc w:val="both"/>
        <w:rPr>
          <w:rFonts w:ascii="Palatino Linotype" w:eastAsia="Palatino Linotype" w:hAnsi="Palatino Linotype" w:cs="Palatino Linotype"/>
        </w:rPr>
      </w:pPr>
    </w:p>
    <w:p w14:paraId="56B4F17F" w14:textId="77777777" w:rsidR="006639DB" w:rsidRPr="00F006AF" w:rsidRDefault="000E3CE0">
      <w:pPr>
        <w:widowControl w:val="0"/>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Lo que en el presente caso se actualiza en virtud de que la </w:t>
      </w:r>
      <w:proofErr w:type="gramStart"/>
      <w:r w:rsidRPr="00F006AF">
        <w:rPr>
          <w:rFonts w:ascii="Palatino Linotype" w:eastAsia="Palatino Linotype" w:hAnsi="Palatino Linotype" w:cs="Palatino Linotype"/>
        </w:rPr>
        <w:t>Secretaria</w:t>
      </w:r>
      <w:proofErr w:type="gramEnd"/>
      <w:r w:rsidRPr="00F006AF">
        <w:rPr>
          <w:rFonts w:ascii="Palatino Linotype" w:eastAsia="Palatino Linotype" w:hAnsi="Palatino Linotype" w:cs="Palatino Linotype"/>
        </w:rPr>
        <w:t xml:space="preserve"> de Finanzas a través de las ligas electrónicas proporcionó las documentales en las cuales, en primer lugar se contienen los sujeto que se iban a someter a evaluación y por el otro lado entregó las documentales donde se contenían los sujetos que habían sido evaluados, </w:t>
      </w:r>
      <w:r w:rsidRPr="00F006AF">
        <w:rPr>
          <w:rFonts w:ascii="Palatino Linotype" w:eastAsia="Palatino Linotype" w:hAnsi="Palatino Linotype" w:cs="Palatino Linotype"/>
        </w:rPr>
        <w:lastRenderedPageBreak/>
        <w:t xml:space="preserve">con lo que se puede obtener que el particular a través de un comparativo puede desagregar los sujetos considerados a ser evaluados que no la realizaron. </w:t>
      </w:r>
    </w:p>
    <w:p w14:paraId="76A1677B" w14:textId="77777777" w:rsidR="006639DB" w:rsidRPr="00F006AF" w:rsidRDefault="006639DB">
      <w:pPr>
        <w:widowControl w:val="0"/>
        <w:spacing w:line="360" w:lineRule="auto"/>
        <w:jc w:val="both"/>
        <w:rPr>
          <w:rFonts w:ascii="Palatino Linotype" w:eastAsia="Palatino Linotype" w:hAnsi="Palatino Linotype" w:cs="Palatino Linotype"/>
          <w:color w:val="FF0000"/>
        </w:rPr>
      </w:pPr>
    </w:p>
    <w:p w14:paraId="290BCB6D" w14:textId="77777777" w:rsidR="006639DB" w:rsidRPr="00F006AF" w:rsidRDefault="000E3CE0">
      <w:pPr>
        <w:widowControl w:val="0"/>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Como apoyo a lo anterior, es aplicable el Criterio 03-17, emitido por el Pleno del Instituto Nacional de Transparencia, Acceso a la Información y Protección de Datos Personales, que dice: </w:t>
      </w:r>
    </w:p>
    <w:p w14:paraId="4487E43F" w14:textId="77777777" w:rsidR="006639DB" w:rsidRPr="00F006AF" w:rsidRDefault="000E3CE0">
      <w:pPr>
        <w:widowControl w:val="0"/>
        <w:ind w:left="709" w:right="757"/>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r w:rsidRPr="00F006AF">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F006A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C4C21F3" w14:textId="77777777" w:rsidR="006639DB" w:rsidRPr="00F006AF" w:rsidRDefault="006639DB">
      <w:pPr>
        <w:widowControl w:val="0"/>
        <w:ind w:left="709" w:right="757"/>
        <w:jc w:val="both"/>
        <w:rPr>
          <w:rFonts w:ascii="Palatino Linotype" w:eastAsia="Palatino Linotype" w:hAnsi="Palatino Linotype" w:cs="Palatino Linotype"/>
          <w:b/>
          <w:i/>
          <w:sz w:val="22"/>
          <w:szCs w:val="22"/>
        </w:rPr>
      </w:pPr>
    </w:p>
    <w:p w14:paraId="7FBF31AD" w14:textId="77777777" w:rsidR="006639DB" w:rsidRPr="00F006AF" w:rsidRDefault="000E3CE0">
      <w:pPr>
        <w:widowControl w:val="0"/>
        <w:ind w:left="709" w:right="757"/>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Resoluciones:</w:t>
      </w:r>
    </w:p>
    <w:p w14:paraId="64E1C836" w14:textId="77777777" w:rsidR="006639DB" w:rsidRPr="00F006AF" w:rsidRDefault="000E3CE0">
      <w:pPr>
        <w:widowControl w:val="0"/>
        <w:ind w:left="1134" w:right="757" w:hanging="425"/>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r w:rsidRPr="00F006AF">
        <w:rPr>
          <w:rFonts w:ascii="Palatino Linotype" w:eastAsia="Palatino Linotype" w:hAnsi="Palatino Linotype" w:cs="Palatino Linotype"/>
          <w:i/>
          <w:sz w:val="22"/>
          <w:szCs w:val="22"/>
        </w:rPr>
        <w:tab/>
        <w:t>RRA 0050/16. Instituto Nacional para la Evaluación de la Educación. 13 julio de 2016. Por unanimidad. Comisionado Ponente: Francisco Javier Acuña Llamas.</w:t>
      </w:r>
    </w:p>
    <w:p w14:paraId="44CA9DF4" w14:textId="77777777" w:rsidR="006639DB" w:rsidRPr="00F006AF" w:rsidRDefault="000E3CE0">
      <w:pPr>
        <w:widowControl w:val="0"/>
        <w:ind w:left="1134" w:right="757" w:hanging="425"/>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r w:rsidRPr="00F006AF">
        <w:rPr>
          <w:rFonts w:ascii="Palatino Linotype" w:eastAsia="Palatino Linotype" w:hAnsi="Palatino Linotype" w:cs="Palatino Linotype"/>
          <w:i/>
          <w:sz w:val="22"/>
          <w:szCs w:val="22"/>
        </w:rPr>
        <w:tab/>
        <w:t>RRA 0310/16. Instituto Nacional de Transparencia, Acceso a la Información y Protección de Datos Personales. 10 de agosto de 2016. Por unanimidad. Comisionada Ponente. Areli Cano Guadiana.</w:t>
      </w:r>
    </w:p>
    <w:p w14:paraId="2C1A676B" w14:textId="77777777" w:rsidR="006639DB" w:rsidRPr="00F006AF" w:rsidRDefault="000E3CE0">
      <w:pPr>
        <w:widowControl w:val="0"/>
        <w:ind w:left="1134" w:right="757" w:hanging="425"/>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r w:rsidRPr="00F006AF">
        <w:rPr>
          <w:rFonts w:ascii="Palatino Linotype" w:eastAsia="Palatino Linotype" w:hAnsi="Palatino Linotype" w:cs="Palatino Linotype"/>
          <w:i/>
          <w:sz w:val="22"/>
          <w:szCs w:val="22"/>
        </w:rPr>
        <w:tab/>
        <w:t>RRA 1889/16. Secretaría de Hacienda y Crédito Público. 05 de octubre de 2016. Por unanimidad. Comisionada Ponente. Ximena Puente de la Mora.”</w:t>
      </w:r>
    </w:p>
    <w:p w14:paraId="0BFE3C2E" w14:textId="77777777" w:rsidR="006639DB" w:rsidRPr="00F006AF" w:rsidRDefault="006639DB">
      <w:pPr>
        <w:spacing w:line="360" w:lineRule="auto"/>
        <w:jc w:val="both"/>
        <w:rPr>
          <w:rFonts w:ascii="Palatino Linotype" w:eastAsia="Palatino Linotype" w:hAnsi="Palatino Linotype" w:cs="Palatino Linotype"/>
        </w:rPr>
      </w:pPr>
    </w:p>
    <w:p w14:paraId="33576F0D"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Ahora bien, por cuanto hace a la información requerida en los puntos 4 y 5 relativa a: </w:t>
      </w:r>
      <w:r w:rsidRPr="00F006AF">
        <w:rPr>
          <w:rFonts w:ascii="Palatino Linotype" w:eastAsia="Palatino Linotype" w:hAnsi="Palatino Linotype" w:cs="Palatino Linotype"/>
          <w:u w:val="single"/>
        </w:rPr>
        <w:t xml:space="preserve">número responsabilidades fincadas y/o sanciones de cualquier tipo, se ejecutaron a servidores públicos, derivado del incumplimiento al Programa Anual de </w:t>
      </w:r>
      <w:r w:rsidRPr="00F006AF">
        <w:rPr>
          <w:rFonts w:ascii="Palatino Linotype" w:eastAsia="Palatino Linotype" w:hAnsi="Palatino Linotype" w:cs="Palatino Linotype"/>
          <w:u w:val="single"/>
        </w:rPr>
        <w:lastRenderedPageBreak/>
        <w:t xml:space="preserve">Evaluación (PAE), a la normatividad aplicable al PAE y a cada convenio para la mejora del desempeño y resultados gubernamentales, desde el año 2013 hasta el año 2021 (por año y sujeto evaluado); </w:t>
      </w:r>
      <w:r w:rsidRPr="00F006AF">
        <w:rPr>
          <w:rFonts w:ascii="Palatino Linotype" w:eastAsia="Palatino Linotype" w:hAnsi="Palatino Linotype" w:cs="Palatino Linotype"/>
        </w:rPr>
        <w:t>el Sujeto Obligado respondió que la Dirección General de Evaluación del Desempeño Institucional, no tiene atribuciones para aplicar sanciones por responsabilidades fincadas y/o de cualquier tipo a servidores públicos, derivado del incumplimiento a la normatividad aplicable al PAE de conformidad con lo dispuesto en el artículo 22 Bis del Reglamento Interior de la Secretaría de Finanzas.</w:t>
      </w:r>
    </w:p>
    <w:p w14:paraId="3C4C245C" w14:textId="77777777" w:rsidR="006639DB" w:rsidRPr="00F006AF" w:rsidRDefault="006639DB">
      <w:pPr>
        <w:spacing w:line="360" w:lineRule="auto"/>
        <w:jc w:val="both"/>
        <w:rPr>
          <w:rFonts w:ascii="Palatino Linotype" w:eastAsia="Palatino Linotype" w:hAnsi="Palatino Linotype" w:cs="Palatino Linotype"/>
        </w:rPr>
      </w:pPr>
    </w:p>
    <w:p w14:paraId="501BA0B5" w14:textId="77777777" w:rsidR="006639DB" w:rsidRPr="00F006AF" w:rsidRDefault="000E3CE0">
      <w:pPr>
        <w:spacing w:line="360" w:lineRule="auto"/>
        <w:jc w:val="both"/>
        <w:rPr>
          <w:rFonts w:ascii="Palatino Linotype" w:eastAsia="Palatino Linotype" w:hAnsi="Palatino Linotype" w:cs="Palatino Linotype"/>
          <w:i/>
        </w:rPr>
      </w:pPr>
      <w:r w:rsidRPr="00F006AF">
        <w:rPr>
          <w:rFonts w:ascii="Palatino Linotype" w:eastAsia="Palatino Linotype" w:hAnsi="Palatino Linotype" w:cs="Palatino Linotype"/>
        </w:rPr>
        <w:t xml:space="preserve">Inconforme con la respuesta la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manifestó como motivo de inconformidad que: “</w:t>
      </w:r>
      <w:r w:rsidRPr="00F006AF">
        <w:rPr>
          <w:rFonts w:ascii="Palatino Linotype" w:eastAsia="Palatino Linotype" w:hAnsi="Palatino Linotype" w:cs="Palatino Linotype"/>
          <w:i/>
        </w:rPr>
        <w:t xml:space="preserve">…No dan información alguna de las sanciones por las omisiones y/o incumplimiento a las evaluaciones o la </w:t>
      </w:r>
      <w:proofErr w:type="spellStart"/>
      <w:r w:rsidRPr="00F006AF">
        <w:rPr>
          <w:rFonts w:ascii="Palatino Linotype" w:eastAsia="Palatino Linotype" w:hAnsi="Palatino Linotype" w:cs="Palatino Linotype"/>
          <w:i/>
        </w:rPr>
        <w:t>solventación</w:t>
      </w:r>
      <w:proofErr w:type="spellEnd"/>
      <w:r w:rsidRPr="00F006AF">
        <w:rPr>
          <w:rFonts w:ascii="Palatino Linotype" w:eastAsia="Palatino Linotype" w:hAnsi="Palatino Linotype" w:cs="Palatino Linotype"/>
          <w:i/>
        </w:rPr>
        <w:t xml:space="preserve"> de los ASM desde 2013 a la fecha...</w:t>
      </w:r>
    </w:p>
    <w:p w14:paraId="4EF11DF0" w14:textId="77777777" w:rsidR="006639DB" w:rsidRPr="00F006AF" w:rsidRDefault="006639DB">
      <w:pPr>
        <w:spacing w:line="360" w:lineRule="auto"/>
        <w:jc w:val="both"/>
        <w:rPr>
          <w:rFonts w:ascii="Palatino Linotype" w:eastAsia="Palatino Linotype" w:hAnsi="Palatino Linotype" w:cs="Palatino Linotype"/>
        </w:rPr>
      </w:pPr>
    </w:p>
    <w:p w14:paraId="13166665" w14:textId="77777777" w:rsidR="00AB3902" w:rsidRPr="00F006AF" w:rsidRDefault="008A477D" w:rsidP="00AB3902">
      <w:pPr>
        <w:spacing w:line="360" w:lineRule="auto"/>
        <w:jc w:val="both"/>
        <w:rPr>
          <w:rFonts w:ascii="Palatino Linotype" w:hAnsi="Palatino Linotype" w:cs="Tahoma"/>
          <w:sz w:val="22"/>
        </w:rPr>
      </w:pPr>
      <w:r w:rsidRPr="00F006AF">
        <w:rPr>
          <w:rFonts w:ascii="Palatino Linotype" w:eastAsia="Palatino Linotype" w:hAnsi="Palatino Linotype" w:cs="Palatino Linotype"/>
        </w:rPr>
        <w:t xml:space="preserve">Acotado lo anterior, es importante precisar que, </w:t>
      </w:r>
      <w:r w:rsidR="00AB3902" w:rsidRPr="00F006AF">
        <w:rPr>
          <w:rFonts w:ascii="Palatino Linotype" w:eastAsia="Palatino Linotype" w:hAnsi="Palatino Linotype" w:cs="Palatino Linotype"/>
        </w:rPr>
        <w:t xml:space="preserve">de la lectura y análisis </w:t>
      </w:r>
      <w:r w:rsidR="00AB3902" w:rsidRPr="00F006AF">
        <w:rPr>
          <w:rFonts w:ascii="Palatino Linotype" w:hAnsi="Palatino Linotype" w:cs="Tahoma"/>
        </w:rPr>
        <w:t xml:space="preserve">del requerimiento de información, se logra vislumbrar que la pretensión del Particular es conocer información estadística </w:t>
      </w:r>
      <w:r w:rsidR="004E7157" w:rsidRPr="00F006AF">
        <w:rPr>
          <w:rFonts w:ascii="Palatino Linotype" w:hAnsi="Palatino Linotype" w:cs="Tahoma"/>
        </w:rPr>
        <w:t>sobre</w:t>
      </w:r>
      <w:r w:rsidR="00AB3902" w:rsidRPr="00F006AF">
        <w:rPr>
          <w:rFonts w:ascii="Palatino Linotype" w:hAnsi="Palatino Linotype" w:cs="Tahoma"/>
        </w:rPr>
        <w:t xml:space="preserve"> número de responsabilidades y/o </w:t>
      </w:r>
      <w:r w:rsidR="004E7157" w:rsidRPr="00F006AF">
        <w:rPr>
          <w:rFonts w:ascii="Palatino Linotype" w:hAnsi="Palatino Linotype" w:cs="Tahoma"/>
        </w:rPr>
        <w:t>sanciones a</w:t>
      </w:r>
      <w:r w:rsidRPr="00F006AF">
        <w:rPr>
          <w:rFonts w:ascii="Palatino Linotype" w:hAnsi="Palatino Linotype" w:cs="Tahoma"/>
        </w:rPr>
        <w:t xml:space="preserve"> servidores </w:t>
      </w:r>
      <w:r w:rsidRPr="00F006AF">
        <w:rPr>
          <w:rFonts w:ascii="Palatino Linotype" w:eastAsia="Palatino Linotype" w:hAnsi="Palatino Linotype" w:cs="Palatino Linotype"/>
        </w:rPr>
        <w:t>a servidores públicos que se derivaron del incumplimiento al Programa Anual de Evaluación (PAE)</w:t>
      </w:r>
      <w:r w:rsidR="00525559" w:rsidRPr="00F006AF">
        <w:rPr>
          <w:rFonts w:ascii="Palatino Linotype" w:eastAsia="Palatino Linotype" w:hAnsi="Palatino Linotype" w:cs="Palatino Linotype"/>
        </w:rPr>
        <w:t xml:space="preserve">; no así, los expedientes integrados derivados de los procedimientos iniciados por el incumplimiento al referido programa. </w:t>
      </w:r>
    </w:p>
    <w:p w14:paraId="5D62DAE0" w14:textId="77777777" w:rsidR="00AB3902" w:rsidRPr="00F006AF" w:rsidRDefault="00AB3902" w:rsidP="00AB3902">
      <w:pPr>
        <w:spacing w:line="360" w:lineRule="auto"/>
        <w:jc w:val="both"/>
        <w:rPr>
          <w:rFonts w:ascii="Palatino Linotype" w:hAnsi="Palatino Linotype" w:cs="Tahoma"/>
          <w:sz w:val="22"/>
        </w:rPr>
      </w:pPr>
    </w:p>
    <w:p w14:paraId="3473A755" w14:textId="77777777" w:rsidR="00AB3902" w:rsidRPr="00F006AF" w:rsidRDefault="00AB3902" w:rsidP="00AB3902">
      <w:pPr>
        <w:spacing w:after="160" w:line="360" w:lineRule="auto"/>
        <w:jc w:val="both"/>
        <w:rPr>
          <w:rFonts w:ascii="Palatino Linotype" w:eastAsia="Calibri" w:hAnsi="Palatino Linotype" w:cs="Tahoma"/>
          <w:iCs/>
          <w:lang w:eastAsia="es-ES_tradnl"/>
        </w:rPr>
      </w:pPr>
      <w:r w:rsidRPr="00F006AF">
        <w:rPr>
          <w:rFonts w:ascii="Palatino Linotype" w:hAnsi="Palatino Linotype" w:cs="Tahoma"/>
          <w:bCs/>
          <w:iCs/>
        </w:rPr>
        <w:t xml:space="preserve">Sobre esta situación </w:t>
      </w:r>
      <w:r w:rsidRPr="00F006AF">
        <w:rPr>
          <w:rFonts w:ascii="Palatino Linotype" w:eastAsia="Calibri" w:hAnsi="Palatino Linotype" w:cs="Tahoma"/>
          <w:bCs/>
          <w:iCs/>
          <w:color w:val="000000" w:themeColor="text1"/>
          <w:lang w:eastAsia="en-US"/>
        </w:rPr>
        <w:t xml:space="preserve">el </w:t>
      </w:r>
      <w:r w:rsidRPr="00F006AF">
        <w:rPr>
          <w:rFonts w:ascii="Palatino Linotype" w:eastAsia="Calibri" w:hAnsi="Palatino Linotype" w:cs="Tahoma"/>
          <w:bCs/>
          <w:color w:val="000000" w:themeColor="text1"/>
          <w:lang w:eastAsia="en-US"/>
        </w:rPr>
        <w:t>Criterio de Interpretación, de la Primera Época, con número de registro SO/011/2009</w:t>
      </w:r>
      <w:r w:rsidRPr="00F006AF">
        <w:rPr>
          <w:rFonts w:ascii="Palatino Linotype" w:eastAsia="Calibri" w:hAnsi="Palatino Linotype" w:cs="Tahoma"/>
          <w:iCs/>
          <w:lang w:eastAsia="es-ES_tradnl"/>
        </w:rPr>
        <w:t xml:space="preserve">, emitido por el Pleno del entonces Instituto Federal de </w:t>
      </w:r>
      <w:r w:rsidRPr="00F006AF">
        <w:rPr>
          <w:rFonts w:ascii="Palatino Linotype" w:eastAsia="Calibri" w:hAnsi="Palatino Linotype" w:cs="Tahoma"/>
          <w:iCs/>
          <w:lang w:eastAsia="es-ES_tradnl"/>
        </w:rPr>
        <w:lastRenderedPageBreak/>
        <w:t>Acceso a la Información y Protección de Datos, traído por analogía, establece lo siguiente:</w:t>
      </w:r>
    </w:p>
    <w:p w14:paraId="53E72731" w14:textId="77777777" w:rsidR="00AB3902" w:rsidRPr="00F006AF" w:rsidRDefault="00AB3902" w:rsidP="00AB3902">
      <w:pPr>
        <w:spacing w:line="360" w:lineRule="auto"/>
        <w:jc w:val="both"/>
        <w:rPr>
          <w:rFonts w:ascii="Palatino Linotype" w:eastAsia="Calibri" w:hAnsi="Palatino Linotype" w:cs="Tahoma"/>
          <w:iCs/>
          <w:sz w:val="22"/>
          <w:szCs w:val="22"/>
          <w:lang w:eastAsia="es-ES_tradnl"/>
        </w:rPr>
      </w:pPr>
    </w:p>
    <w:p w14:paraId="65D76F4C" w14:textId="77777777" w:rsidR="00AB3902" w:rsidRPr="00F006AF" w:rsidRDefault="00AB3902" w:rsidP="004E7157">
      <w:pPr>
        <w:ind w:left="567" w:right="567"/>
        <w:jc w:val="both"/>
        <w:rPr>
          <w:rFonts w:ascii="Palatino Linotype" w:eastAsia="Calibri" w:hAnsi="Palatino Linotype" w:cs="Tahoma"/>
          <w:bCs/>
          <w:i/>
          <w:sz w:val="22"/>
          <w:szCs w:val="22"/>
          <w:lang w:eastAsia="en-US"/>
        </w:rPr>
      </w:pPr>
      <w:r w:rsidRPr="00F006AF">
        <w:rPr>
          <w:rFonts w:ascii="Palatino Linotype" w:eastAsia="Calibri" w:hAnsi="Palatino Linotype" w:cs="Tahoma"/>
          <w:b/>
          <w:bCs/>
          <w:i/>
          <w:sz w:val="22"/>
          <w:szCs w:val="22"/>
          <w:lang w:eastAsia="en-US"/>
        </w:rPr>
        <w:t xml:space="preserve">“La información estadística es de naturaleza pública, independientemente de la materia con la que se encuentre vinculada. </w:t>
      </w:r>
      <w:r w:rsidRPr="00F006AF">
        <w:rPr>
          <w:rFonts w:ascii="Palatino Linotype" w:eastAsia="Calibri" w:hAnsi="Palatino Linotype" w:cs="Tahoma"/>
          <w:bCs/>
          <w:i/>
          <w:sz w:val="22"/>
          <w:szCs w:val="22"/>
          <w:lang w:eastAsia="en-US"/>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14D5910D" w14:textId="77777777" w:rsidR="00AB3902" w:rsidRPr="00F006AF" w:rsidRDefault="00AB3902" w:rsidP="00AB3902">
      <w:pPr>
        <w:spacing w:line="360" w:lineRule="auto"/>
        <w:ind w:right="-28"/>
        <w:contextualSpacing/>
        <w:jc w:val="both"/>
        <w:rPr>
          <w:rFonts w:ascii="Palatino Linotype" w:hAnsi="Palatino Linotype" w:cs="Tahoma"/>
          <w:bCs/>
          <w:sz w:val="22"/>
          <w:szCs w:val="22"/>
          <w:shd w:val="clear" w:color="auto" w:fill="FFFFFF"/>
        </w:rPr>
      </w:pPr>
    </w:p>
    <w:p w14:paraId="602A5C6A" w14:textId="77777777" w:rsidR="00AB3902" w:rsidRPr="00F006AF" w:rsidRDefault="00AB3902" w:rsidP="004E7157">
      <w:pPr>
        <w:spacing w:line="360" w:lineRule="auto"/>
        <w:jc w:val="both"/>
        <w:rPr>
          <w:rFonts w:ascii="Palatino Linotype" w:hAnsi="Palatino Linotype" w:cs="Tahoma"/>
        </w:rPr>
      </w:pPr>
      <w:r w:rsidRPr="00F006AF">
        <w:rPr>
          <w:rFonts w:ascii="Palatino Linotype" w:hAnsi="Palatino Linotype" w:cs="Tahoma"/>
        </w:rPr>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w:t>
      </w:r>
      <w:r w:rsidR="00525559" w:rsidRPr="00F006AF">
        <w:rPr>
          <w:rFonts w:ascii="Palatino Linotype" w:hAnsi="Palatino Linotype" w:cs="Tahoma"/>
        </w:rPr>
        <w:t xml:space="preserve">dividualizados o personalizados. </w:t>
      </w:r>
    </w:p>
    <w:p w14:paraId="54282D4B" w14:textId="77777777" w:rsidR="00B720E7" w:rsidRPr="00F006AF" w:rsidRDefault="00B720E7">
      <w:pPr>
        <w:spacing w:line="360" w:lineRule="auto"/>
        <w:jc w:val="both"/>
        <w:rPr>
          <w:rFonts w:ascii="Palatino Linotype" w:eastAsia="Palatino Linotype" w:hAnsi="Palatino Linotype" w:cs="Palatino Linotype"/>
        </w:rPr>
      </w:pPr>
    </w:p>
    <w:p w14:paraId="245E6778"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este sentido resulta de importancia el contenido del artículo 46 de la ley Orgánica de la Administración Pública del Estado de México, señala que le corresponde a la </w:t>
      </w:r>
      <w:proofErr w:type="gramStart"/>
      <w:r w:rsidRPr="00F006AF">
        <w:rPr>
          <w:rFonts w:ascii="Palatino Linotype" w:eastAsia="Palatino Linotype" w:hAnsi="Palatino Linotype" w:cs="Palatino Linotype"/>
        </w:rPr>
        <w:t>Secretaria</w:t>
      </w:r>
      <w:proofErr w:type="gramEnd"/>
      <w:r w:rsidRPr="00F006AF">
        <w:rPr>
          <w:rFonts w:ascii="Palatino Linotype" w:eastAsia="Palatino Linotype" w:hAnsi="Palatino Linotype" w:cs="Palatino Linotype"/>
        </w:rPr>
        <w:t xml:space="preserve"> de la Contraloría prevenir, detectar y, en el ámbito de su competencia, sancionar las faltas administrativas y hechos de corrupción, así como la vigilancia, </w:t>
      </w:r>
      <w:r w:rsidRPr="00F006AF">
        <w:rPr>
          <w:rFonts w:ascii="Palatino Linotype" w:eastAsia="Palatino Linotype" w:hAnsi="Palatino Linotype" w:cs="Palatino Linotype"/>
        </w:rPr>
        <w:lastRenderedPageBreak/>
        <w:t xml:space="preserve">fiscalización y control de los ingresos, gastos, recursos y obligaciones de la administración pública estatal, tal y como se precisa: </w:t>
      </w:r>
    </w:p>
    <w:p w14:paraId="54B43C89" w14:textId="77777777" w:rsidR="006639DB" w:rsidRPr="00F006AF" w:rsidRDefault="006639DB">
      <w:pPr>
        <w:spacing w:line="276" w:lineRule="auto"/>
        <w:ind w:left="708"/>
        <w:jc w:val="both"/>
        <w:rPr>
          <w:rFonts w:ascii="Palatino Linotype" w:eastAsia="Palatino Linotype" w:hAnsi="Palatino Linotype" w:cs="Palatino Linotype"/>
          <w:i/>
          <w:sz w:val="22"/>
          <w:szCs w:val="22"/>
        </w:rPr>
      </w:pPr>
    </w:p>
    <w:p w14:paraId="21833AB9" w14:textId="77777777" w:rsidR="006639DB" w:rsidRPr="00F006AF" w:rsidRDefault="000E3CE0">
      <w:pPr>
        <w:spacing w:line="276" w:lineRule="auto"/>
        <w:ind w:left="708" w:right="616"/>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r w:rsidRPr="00F006AF">
        <w:rPr>
          <w:rFonts w:ascii="Palatino Linotype" w:eastAsia="Palatino Linotype" w:hAnsi="Palatino Linotype" w:cs="Palatino Linotype"/>
          <w:b/>
          <w:i/>
          <w:sz w:val="22"/>
          <w:szCs w:val="22"/>
        </w:rPr>
        <w:t>Artículo 46</w:t>
      </w:r>
      <w:r w:rsidRPr="00F006AF">
        <w:rPr>
          <w:rFonts w:ascii="Palatino Linotype" w:eastAsia="Palatino Linotype" w:hAnsi="Palatino Linotype" w:cs="Palatino Linotype"/>
          <w:i/>
          <w:sz w:val="22"/>
          <w:szCs w:val="22"/>
        </w:rPr>
        <w:t xml:space="preserve">. La Secretaría de la Contraloría </w:t>
      </w:r>
      <w:r w:rsidRPr="00F006AF">
        <w:rPr>
          <w:rFonts w:ascii="Palatino Linotype" w:eastAsia="Palatino Linotype" w:hAnsi="Palatino Linotype" w:cs="Palatino Linotype"/>
          <w:b/>
          <w:i/>
          <w:sz w:val="22"/>
          <w:szCs w:val="22"/>
        </w:rPr>
        <w:t>es la encargada de prevenir, detectar y, en el ámbito de su competencia, sancionar las faltas administrativas</w:t>
      </w:r>
      <w:r w:rsidRPr="00F006AF">
        <w:rPr>
          <w:rFonts w:ascii="Palatino Linotype" w:eastAsia="Palatino Linotype" w:hAnsi="Palatino Linotype" w:cs="Palatino Linotype"/>
          <w:i/>
          <w:sz w:val="22"/>
          <w:szCs w:val="22"/>
        </w:rPr>
        <w:t xml:space="preserve"> y hechos de corrupción, así como la vigilancia, fiscalización y control de los ingresos, gastos, recursos y obligaciones de la administración pública estatal y su sector auxiliar, bajo los principios de legalidad, objetividad, profesionalismo, honradez, lealtad, imparcialidad, eficiencia, eficacia, equidad, transparencia, economía, integridad, competencia por mérito y rendición de cuentas, en los términos de las disposiciones legales aplicables.”(Sic)</w:t>
      </w:r>
    </w:p>
    <w:p w14:paraId="427094B6" w14:textId="77777777" w:rsidR="006639DB" w:rsidRPr="00F006AF" w:rsidRDefault="006639DB">
      <w:pPr>
        <w:spacing w:line="360" w:lineRule="auto"/>
        <w:jc w:val="both"/>
      </w:pPr>
    </w:p>
    <w:p w14:paraId="7405EB39" w14:textId="77777777" w:rsidR="006639DB" w:rsidRPr="00F006AF" w:rsidRDefault="0087096A">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su parte, </w:t>
      </w:r>
      <w:r w:rsidR="000E3CE0" w:rsidRPr="00F006AF">
        <w:rPr>
          <w:rFonts w:ascii="Palatino Linotype" w:eastAsia="Palatino Linotype" w:hAnsi="Palatino Linotype" w:cs="Palatino Linotype"/>
        </w:rPr>
        <w:t xml:space="preserve">en los Lineamientos Generales para la Evaluación de los Programas Presupuestarios del Gobierno del Estado de México, se precisa: </w:t>
      </w:r>
    </w:p>
    <w:p w14:paraId="221DD322" w14:textId="77777777" w:rsidR="006639DB" w:rsidRPr="00F006AF" w:rsidRDefault="006639DB">
      <w:pPr>
        <w:ind w:left="708" w:right="616"/>
        <w:jc w:val="both"/>
        <w:rPr>
          <w:rFonts w:ascii="Palatino Linotype" w:eastAsia="Palatino Linotype" w:hAnsi="Palatino Linotype" w:cs="Palatino Linotype"/>
          <w:i/>
          <w:sz w:val="22"/>
          <w:szCs w:val="22"/>
        </w:rPr>
      </w:pPr>
    </w:p>
    <w:p w14:paraId="6D3988B4" w14:textId="77777777" w:rsidR="006639DB" w:rsidRPr="00F006AF" w:rsidRDefault="000E3CE0">
      <w:pPr>
        <w:ind w:left="708" w:right="616"/>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w:t>
      </w:r>
      <w:r w:rsidRPr="00F006AF">
        <w:rPr>
          <w:rFonts w:ascii="Palatino Linotype" w:eastAsia="Palatino Linotype" w:hAnsi="Palatino Linotype" w:cs="Palatino Linotype"/>
          <w:b/>
          <w:i/>
          <w:sz w:val="22"/>
          <w:szCs w:val="22"/>
        </w:rPr>
        <w:t>TRIGÉSIMA TERCERA</w:t>
      </w:r>
      <w:r w:rsidRPr="00F006AF">
        <w:rPr>
          <w:rFonts w:ascii="Palatino Linotype" w:eastAsia="Palatino Linotype" w:hAnsi="Palatino Linotype" w:cs="Palatino Linotype"/>
          <w:i/>
          <w:sz w:val="22"/>
          <w:szCs w:val="22"/>
        </w:rPr>
        <w:t>.- Los actos u omisiones que impliquen el incumplimiento a lo establecido en los presentes Lineamientos Generales para la Evaluación y Seguimiento de los Programas Presupuestarios del Gobierno del Estado de México, serán sancionados de conformidad con lo previsto en el Título Sexto, de las Sanciones, de la Ley General de Contabilidad Gubernamental, así como lo establecido en la Ley de Responsabilidades de los Servidores Públicos del Estado y Municipios, y las demás disposiciones aplicables vigentes.</w:t>
      </w:r>
    </w:p>
    <w:p w14:paraId="533E5AEC" w14:textId="77777777" w:rsidR="006639DB" w:rsidRPr="00F006AF" w:rsidRDefault="006639DB">
      <w:pPr>
        <w:ind w:left="708" w:right="616"/>
        <w:jc w:val="both"/>
        <w:rPr>
          <w:rFonts w:ascii="Palatino Linotype" w:eastAsia="Palatino Linotype" w:hAnsi="Palatino Linotype" w:cs="Palatino Linotype"/>
          <w:i/>
          <w:sz w:val="22"/>
          <w:szCs w:val="22"/>
        </w:rPr>
      </w:pPr>
    </w:p>
    <w:p w14:paraId="1A33018E" w14:textId="77777777" w:rsidR="006639DB" w:rsidRPr="00F006AF" w:rsidRDefault="000E3CE0">
      <w:pPr>
        <w:ind w:left="708" w:right="616"/>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Las responsabilidades administrativas se fincarán, a todos aquellos que directamente hayan ejecutado los actos o incurran en las omisiones y de igual manera, a aquellos que, por la naturaleza de sus funciones, hayan omitido la revisión o hayan autorizado tales actos por causas que impliquen dolo, culpa, mala fe o negligenc</w:t>
      </w:r>
      <w:r w:rsidR="00F127A2" w:rsidRPr="00F006AF">
        <w:rPr>
          <w:rFonts w:ascii="Palatino Linotype" w:eastAsia="Palatino Linotype" w:hAnsi="Palatino Linotype" w:cs="Palatino Linotype"/>
          <w:i/>
          <w:sz w:val="22"/>
          <w:szCs w:val="22"/>
        </w:rPr>
        <w:t>ia por parte de los mismos”</w:t>
      </w:r>
    </w:p>
    <w:p w14:paraId="31CF54B1" w14:textId="77777777" w:rsidR="006639DB" w:rsidRPr="00F006AF" w:rsidRDefault="006639DB">
      <w:pPr>
        <w:spacing w:line="360" w:lineRule="auto"/>
        <w:jc w:val="both"/>
      </w:pPr>
    </w:p>
    <w:p w14:paraId="79F0D54D"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este sentido, la Ley General De Contabilidad Gubernamental en su artículo 84 establece que los actos u omisiones que impliquen el incumplimiento a los preceptos establecidos en la presente Ley y demás disposiciones aplicables en la materia, serán </w:t>
      </w:r>
      <w:r w:rsidRPr="00F006AF">
        <w:rPr>
          <w:rFonts w:ascii="Palatino Linotype" w:eastAsia="Palatino Linotype" w:hAnsi="Palatino Linotype" w:cs="Palatino Linotype"/>
        </w:rPr>
        <w:lastRenderedPageBreak/>
        <w:t>sancionados de conformidad con lo previsto en la Ley Federal de Responsabilidades Administrativas de los Servidores Públicos; las leyes equivalentes de las entidades federativas, y las demás disposiciones aplicables en términos del Título Cuarto de la Constitución Política de los Estados Unidos Mexicanos y de las constituciones de las entidades federativas.</w:t>
      </w:r>
    </w:p>
    <w:p w14:paraId="2733E45C" w14:textId="77777777" w:rsidR="006639DB" w:rsidRPr="00F006AF" w:rsidRDefault="006639DB">
      <w:pPr>
        <w:spacing w:line="360" w:lineRule="auto"/>
        <w:jc w:val="both"/>
      </w:pPr>
    </w:p>
    <w:p w14:paraId="0CCC5ACB" w14:textId="77777777" w:rsidR="006639DB" w:rsidRPr="00F006AF" w:rsidRDefault="000E3CE0">
      <w:pPr>
        <w:tabs>
          <w:tab w:val="left" w:pos="426"/>
        </w:tabs>
        <w:spacing w:line="360" w:lineRule="auto"/>
        <w:ind w:right="51"/>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Luego entonces la Secretaría de la </w:t>
      </w:r>
      <w:proofErr w:type="gramStart"/>
      <w:r w:rsidRPr="00F006AF">
        <w:rPr>
          <w:rFonts w:ascii="Palatino Linotype" w:eastAsia="Palatino Linotype" w:hAnsi="Palatino Linotype" w:cs="Palatino Linotype"/>
        </w:rPr>
        <w:t>Contraloría,  tal</w:t>
      </w:r>
      <w:proofErr w:type="gramEnd"/>
      <w:r w:rsidRPr="00F006AF">
        <w:rPr>
          <w:rFonts w:ascii="Palatino Linotype" w:eastAsia="Palatino Linotype" w:hAnsi="Palatino Linotype" w:cs="Palatino Linotype"/>
        </w:rPr>
        <w:t xml:space="preserve"> y como fue señalado por el Sujeto Obligado es la encargada</w:t>
      </w:r>
      <w:r w:rsidRPr="00F006AF">
        <w:rPr>
          <w:rFonts w:ascii="Palatino Linotype" w:eastAsia="Palatino Linotype" w:hAnsi="Palatino Linotype" w:cs="Palatino Linotype"/>
          <w:b/>
          <w:sz w:val="22"/>
          <w:szCs w:val="22"/>
        </w:rPr>
        <w:t xml:space="preserve"> de prevenir, detectar y, en el ámbito de su competencia, sancionar las faltas administrativas</w:t>
      </w:r>
      <w:r w:rsidRPr="00F006AF">
        <w:rPr>
          <w:rFonts w:ascii="Palatino Linotype" w:eastAsia="Palatino Linotype" w:hAnsi="Palatino Linotype" w:cs="Palatino Linotype"/>
          <w:sz w:val="22"/>
          <w:szCs w:val="22"/>
        </w:rPr>
        <w:t xml:space="preserve"> y hechos de corrupción, así como la vigilancia, fiscalización y control de los ingresos, gastos, recursos y obligaciones de la administración pública. </w:t>
      </w:r>
    </w:p>
    <w:p w14:paraId="16C3C829" w14:textId="77777777" w:rsidR="006639DB" w:rsidRPr="00F006AF" w:rsidRDefault="006639DB">
      <w:pPr>
        <w:spacing w:line="360" w:lineRule="auto"/>
        <w:jc w:val="both"/>
      </w:pPr>
    </w:p>
    <w:p w14:paraId="6FE27906"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ese contexto, se puede apreciar que efectivamente el </w:t>
      </w:r>
      <w:r w:rsidRPr="00F006AF">
        <w:rPr>
          <w:rFonts w:ascii="Palatino Linotype" w:eastAsia="Palatino Linotype" w:hAnsi="Palatino Linotype" w:cs="Palatino Linotype"/>
          <w:b/>
        </w:rPr>
        <w:t xml:space="preserve">Sujeto Obligado </w:t>
      </w:r>
      <w:r w:rsidRPr="00F006AF">
        <w:rPr>
          <w:rFonts w:ascii="Palatino Linotype" w:eastAsia="Palatino Linotype" w:hAnsi="Palatino Linotype" w:cs="Palatino Linotype"/>
        </w:rPr>
        <w:t xml:space="preserve">es incompetente para conocer de la información relativa al número de responsabilidades fincadas y/o sanciones de cualquier tipo, que se ejecutaron a servidores públicos, derivado del incumplimiento al Programa Anual de Evaluación (PAE), a la normatividad aplicable al PAE y a cada convenio para la mejora del desempeño y resultados gubernamentales, desde el año 2013 hasta el año </w:t>
      </w:r>
      <w:proofErr w:type="gramStart"/>
      <w:r w:rsidRPr="00F006AF">
        <w:rPr>
          <w:rFonts w:ascii="Palatino Linotype" w:eastAsia="Palatino Linotype" w:hAnsi="Palatino Linotype" w:cs="Palatino Linotype"/>
        </w:rPr>
        <w:t>2021,  de</w:t>
      </w:r>
      <w:proofErr w:type="gramEnd"/>
      <w:r w:rsidRPr="00F006AF">
        <w:rPr>
          <w:rFonts w:ascii="Palatino Linotype" w:eastAsia="Palatino Linotype" w:hAnsi="Palatino Linotype" w:cs="Palatino Linotype"/>
        </w:rPr>
        <w:t xml:space="preserve"> todos los sujetos evaluados. </w:t>
      </w:r>
    </w:p>
    <w:p w14:paraId="5E49DADB" w14:textId="77777777" w:rsidR="006639DB" w:rsidRPr="00F006AF" w:rsidRDefault="006639DB">
      <w:pPr>
        <w:spacing w:line="360" w:lineRule="auto"/>
        <w:jc w:val="both"/>
      </w:pPr>
    </w:p>
    <w:p w14:paraId="525DF12E" w14:textId="77777777" w:rsidR="006639DB" w:rsidRPr="00F006AF" w:rsidRDefault="000E3CE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Por lo anterior, se entiende que se declinó la competencia sobre la información requerida, en razón de que corresponde a otro sujeto obligado, es de referir que la solicitud de acceso a la información se presentó el día quince (15) de noviembre de dos mil veintidós y de acuerdo al artículo 167 primer párrafo antes citado, el plazo </w:t>
      </w:r>
      <w:r w:rsidRPr="00F006AF">
        <w:rPr>
          <w:rFonts w:ascii="Palatino Linotype" w:eastAsia="Palatino Linotype" w:hAnsi="Palatino Linotype" w:cs="Palatino Linotype"/>
          <w:color w:val="000000"/>
        </w:rPr>
        <w:lastRenderedPageBreak/>
        <w:t xml:space="preserve">de tres días para declinar competencia feneció el día dieciocho (18) de noviembre de la misma anualidad, mientras que el SUJETO OBLIGADO en cuestión declinó competencia el día siete (07) de diciembre de dos mil veintidós, por lo que es evidentemente que no se encuentra dentro del plazo </w:t>
      </w:r>
      <w:proofErr w:type="spellStart"/>
      <w:r w:rsidRPr="00F006AF">
        <w:rPr>
          <w:rFonts w:ascii="Palatino Linotype" w:eastAsia="Palatino Linotype" w:hAnsi="Palatino Linotype" w:cs="Palatino Linotype"/>
          <w:color w:val="000000"/>
        </w:rPr>
        <w:t>y</w:t>
      </w:r>
      <w:proofErr w:type="spellEnd"/>
      <w:r w:rsidRPr="00F006AF">
        <w:rPr>
          <w:rFonts w:ascii="Palatino Linotype" w:eastAsia="Palatino Linotype" w:hAnsi="Palatino Linotype" w:cs="Palatino Linotype"/>
          <w:color w:val="000000"/>
        </w:rPr>
        <w:t xml:space="preserve"> incumpliendo con la normatividad, éste deberá de proporcionar el acuerdo correspondiente a la declinación de incompetencia.</w:t>
      </w:r>
    </w:p>
    <w:p w14:paraId="78FA4195" w14:textId="77777777" w:rsidR="006639DB" w:rsidRPr="00F006AF" w:rsidRDefault="006639D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3B2E319" w14:textId="77777777" w:rsidR="006639DB" w:rsidRPr="00F006AF" w:rsidRDefault="000E3CE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Debemos reiterar sobre la declinación de competencia, misma que debe estar a lo dispuesto por el artículo 49 fracciones I y II de la Ley de Transparencia y Acceso a la Información Pública del Estado de México y Municipios que dispone los siguiente:</w:t>
      </w:r>
    </w:p>
    <w:p w14:paraId="70BEF432" w14:textId="77777777" w:rsidR="006639DB" w:rsidRPr="00F006AF" w:rsidRDefault="006639DB">
      <w:pPr>
        <w:ind w:left="360" w:hanging="360"/>
        <w:rPr>
          <w:rFonts w:ascii="Palatino Linotype" w:eastAsia="Palatino Linotype" w:hAnsi="Palatino Linotype" w:cs="Palatino Linotype"/>
        </w:rPr>
      </w:pPr>
    </w:p>
    <w:p w14:paraId="68AB1241" w14:textId="77777777" w:rsidR="006639DB" w:rsidRPr="00F006AF" w:rsidRDefault="000E3CE0">
      <w:pPr>
        <w:spacing w:line="360" w:lineRule="auto"/>
        <w:ind w:left="851" w:right="615" w:hanging="360"/>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Artículo 49</w:t>
      </w:r>
      <w:r w:rsidRPr="00F006AF">
        <w:rPr>
          <w:rFonts w:ascii="Palatino Linotype" w:eastAsia="Palatino Linotype" w:hAnsi="Palatino Linotype" w:cs="Palatino Linotype"/>
          <w:i/>
          <w:sz w:val="22"/>
          <w:szCs w:val="22"/>
        </w:rPr>
        <w:t>. Los Comités de Transparencia tendrán las siguientes atribuciones:</w:t>
      </w:r>
    </w:p>
    <w:p w14:paraId="05E83DA1" w14:textId="77777777" w:rsidR="006639DB" w:rsidRPr="00F006AF" w:rsidRDefault="000E3CE0">
      <w:pPr>
        <w:spacing w:line="360" w:lineRule="auto"/>
        <w:ind w:left="851" w:right="615" w:hanging="360"/>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b/>
          <w:i/>
          <w:sz w:val="22"/>
          <w:szCs w:val="22"/>
        </w:rPr>
        <w:t>I</w:t>
      </w:r>
      <w:r w:rsidRPr="00F006AF">
        <w:rPr>
          <w:rFonts w:ascii="Palatino Linotype" w:eastAsia="Palatino Linotype" w:hAnsi="Palatino Linotype" w:cs="Palatino Linotype"/>
          <w:i/>
          <w:sz w:val="22"/>
          <w:szCs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39910030" w14:textId="77777777" w:rsidR="006639DB" w:rsidRPr="00F006AF" w:rsidRDefault="000E3CE0">
      <w:pPr>
        <w:spacing w:line="360" w:lineRule="auto"/>
        <w:ind w:left="851" w:right="615" w:hanging="360"/>
        <w:jc w:val="both"/>
        <w:rPr>
          <w:rFonts w:ascii="Palatino Linotype" w:eastAsia="Palatino Linotype" w:hAnsi="Palatino Linotype" w:cs="Palatino Linotype"/>
          <w:b/>
          <w:i/>
          <w:sz w:val="22"/>
          <w:szCs w:val="22"/>
        </w:rPr>
      </w:pPr>
      <w:r w:rsidRPr="00F006AF">
        <w:rPr>
          <w:rFonts w:ascii="Palatino Linotype" w:eastAsia="Palatino Linotype" w:hAnsi="Palatino Linotype" w:cs="Palatino Linotype"/>
          <w:b/>
          <w:i/>
          <w:sz w:val="22"/>
          <w:szCs w:val="22"/>
        </w:rPr>
        <w:t>II</w:t>
      </w:r>
      <w:r w:rsidRPr="00F006AF">
        <w:rPr>
          <w:rFonts w:ascii="Palatino Linotype" w:eastAsia="Palatino Linotype" w:hAnsi="Palatino Linotype" w:cs="Palatino Linotype"/>
          <w:i/>
          <w:sz w:val="22"/>
          <w:szCs w:val="22"/>
        </w:rPr>
        <w:t xml:space="preserve">. </w:t>
      </w:r>
      <w:r w:rsidRPr="00F006AF">
        <w:rPr>
          <w:rFonts w:ascii="Palatino Linotype" w:eastAsia="Palatino Linotype" w:hAnsi="Palatino Linotype" w:cs="Palatino Linotype"/>
          <w:b/>
          <w:i/>
          <w:sz w:val="22"/>
          <w:szCs w:val="22"/>
        </w:rPr>
        <w:t>Confirmar, modificar o revocar</w:t>
      </w:r>
      <w:r w:rsidRPr="00F006AF">
        <w:rPr>
          <w:rFonts w:ascii="Palatino Linotype" w:eastAsia="Palatino Linotype" w:hAnsi="Palatino Linotype" w:cs="Palatino Linotype"/>
          <w:i/>
          <w:sz w:val="22"/>
          <w:szCs w:val="22"/>
        </w:rPr>
        <w:t xml:space="preserve"> las determinaciones </w:t>
      </w:r>
      <w:proofErr w:type="gramStart"/>
      <w:r w:rsidRPr="00F006AF">
        <w:rPr>
          <w:rFonts w:ascii="Palatino Linotype" w:eastAsia="Palatino Linotype" w:hAnsi="Palatino Linotype" w:cs="Palatino Linotype"/>
          <w:i/>
          <w:sz w:val="22"/>
          <w:szCs w:val="22"/>
        </w:rPr>
        <w:t>que</w:t>
      </w:r>
      <w:proofErr w:type="gramEnd"/>
      <w:r w:rsidRPr="00F006AF">
        <w:rPr>
          <w:rFonts w:ascii="Palatino Linotype" w:eastAsia="Palatino Linotype" w:hAnsi="Palatino Linotype" w:cs="Palatino Linotype"/>
          <w:i/>
          <w:sz w:val="22"/>
          <w:szCs w:val="22"/>
        </w:rPr>
        <w:t xml:space="preserve"> en materia de ampliación del plazo de respuesta, clasificación de la información y declaración de inexistencia </w:t>
      </w:r>
      <w:r w:rsidRPr="00F006AF">
        <w:rPr>
          <w:rFonts w:ascii="Palatino Linotype" w:eastAsia="Palatino Linotype" w:hAnsi="Palatino Linotype" w:cs="Palatino Linotype"/>
          <w:b/>
          <w:i/>
          <w:sz w:val="22"/>
          <w:szCs w:val="22"/>
        </w:rPr>
        <w:t>o de incompetencia realicen los titulares de las áreas de los sujetos obligados;</w:t>
      </w:r>
    </w:p>
    <w:p w14:paraId="0AC0FBD8" w14:textId="77777777" w:rsidR="006639DB" w:rsidRPr="00F006AF" w:rsidRDefault="000E3CE0">
      <w:pPr>
        <w:spacing w:line="360" w:lineRule="auto"/>
        <w:ind w:left="851" w:right="615" w:hanging="360"/>
        <w:rPr>
          <w:rFonts w:ascii="Palatino Linotype" w:eastAsia="Palatino Linotype" w:hAnsi="Palatino Linotype" w:cs="Palatino Linotype"/>
          <w:i/>
        </w:rPr>
      </w:pPr>
      <w:r w:rsidRPr="00F006AF">
        <w:rPr>
          <w:rFonts w:ascii="Palatino Linotype" w:eastAsia="Palatino Linotype" w:hAnsi="Palatino Linotype" w:cs="Palatino Linotype"/>
          <w:i/>
        </w:rPr>
        <w:t>…</w:t>
      </w:r>
    </w:p>
    <w:p w14:paraId="288A4F1C" w14:textId="77777777" w:rsidR="006639DB" w:rsidRPr="00F006AF" w:rsidRDefault="006639D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FF0000"/>
        </w:rPr>
      </w:pPr>
    </w:p>
    <w:p w14:paraId="5D099D24" w14:textId="77777777" w:rsidR="006639DB" w:rsidRPr="00F006AF" w:rsidRDefault="000E3CE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Ahora bien, en fecha veintiséis  (26) de enero de la presente anualidad fue remitido en vía de su informe de justificación la documental “CT-2023-0006.pdf”, descrita en </w:t>
      </w:r>
      <w:r w:rsidRPr="00F006AF">
        <w:rPr>
          <w:rFonts w:ascii="Palatino Linotype" w:eastAsia="Palatino Linotype" w:hAnsi="Palatino Linotype" w:cs="Palatino Linotype"/>
          <w:color w:val="000000"/>
        </w:rPr>
        <w:lastRenderedPageBreak/>
        <w:t>el apartado de antecedentes y en cuadro que antecede, por vía del cual se Declara la incompetencia respecto de “</w:t>
      </w:r>
      <w:r w:rsidRPr="00F006AF">
        <w:rPr>
          <w:rFonts w:ascii="Palatino Linotype" w:eastAsia="Palatino Linotype" w:hAnsi="Palatino Linotype" w:cs="Palatino Linotype"/>
          <w:i/>
          <w:color w:val="000000"/>
        </w:rPr>
        <w:t xml:space="preserve">cuantas responsabilidades fincadas y/o sanciones de cualquier tipo, se ejecutaron a servidores públicos derivado del incumplimiento al Programa Anual de Evaluación PAE, a la Normatividad aplicable al PAE  y a cada convenio para la mejora del desempeño y resultados gubernamentales, desde el 2013hasta el año 2021(por año y sujeto evaluado) </w:t>
      </w:r>
      <w:r w:rsidRPr="00F006AF">
        <w:rPr>
          <w:rFonts w:ascii="Palatino Linotype" w:eastAsia="Palatino Linotype" w:hAnsi="Palatino Linotype" w:cs="Palatino Linotype"/>
          <w:color w:val="000000"/>
        </w:rPr>
        <w:t>”</w:t>
      </w:r>
    </w:p>
    <w:p w14:paraId="54DE6237" w14:textId="77777777" w:rsidR="006639DB" w:rsidRPr="00F006AF" w:rsidRDefault="006639D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FF0000"/>
        </w:rPr>
      </w:pPr>
    </w:p>
    <w:p w14:paraId="726AC6A6" w14:textId="77777777" w:rsidR="006639DB" w:rsidRPr="00F006AF" w:rsidRDefault="000E3CE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En este sentido,  el Comité de Transparencia  si bien en informe justificado, emitió un acuerdo en donde se plasman los fundamentos y razones por las cuales no es competente para generar, poseer y/o administrar la información requerida, con la emisión de dicho acuerdo no afectar el derecho del particular y al mismo tiempo, brinda certeza a través de un documento firmado por los integrantes del Comité de Transparencia que la información no se encuentra en sus archivos, toda vez que no se cuenta con normatividad que lo disponga.</w:t>
      </w:r>
    </w:p>
    <w:p w14:paraId="0553B303" w14:textId="77777777" w:rsidR="006639DB" w:rsidRPr="00F006AF" w:rsidRDefault="006639DB">
      <w:pPr>
        <w:spacing w:line="360" w:lineRule="auto"/>
        <w:jc w:val="both"/>
      </w:pPr>
    </w:p>
    <w:p w14:paraId="7707325C" w14:textId="77777777" w:rsidR="006639DB" w:rsidRPr="00F006AF" w:rsidRDefault="000E3CE0">
      <w:pP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rPr>
        <w:t xml:space="preserve">Ahora, sin menoscabo de lo anterior  del análisis a las documentales que integran el expediente formado con motivo del re curso de re visión que se analiza, se precisa que si bien es cierto la Secretaría de Finanza no ostenta competencia a efectos de conocer de las documentales que den </w:t>
      </w:r>
      <w:r w:rsidRPr="00F006AF">
        <w:rPr>
          <w:rFonts w:ascii="Palatino Linotype" w:eastAsia="Palatino Linotype" w:hAnsi="Palatino Linotype" w:cs="Palatino Linotype"/>
          <w:b/>
        </w:rPr>
        <w:t>cuenta por sujeto evaluado del</w:t>
      </w:r>
      <w:r w:rsidRPr="00F006AF">
        <w:rPr>
          <w:rFonts w:ascii="Palatino Linotype" w:eastAsia="Palatino Linotype" w:hAnsi="Palatino Linotype" w:cs="Palatino Linotype"/>
        </w:rPr>
        <w:t xml:space="preserve"> número de </w:t>
      </w:r>
      <w:r w:rsidRPr="00F006AF">
        <w:rPr>
          <w:rFonts w:ascii="Palatino Linotype" w:eastAsia="Palatino Linotype" w:hAnsi="Palatino Linotype" w:cs="Palatino Linotype"/>
          <w:color w:val="000000"/>
        </w:rPr>
        <w:t xml:space="preserve">responsabilidades fincadas y/o sanciones, que se ejecutaron a servidores públicos, derivado del incumplimiento al Programa Anual de Evaluación (PAE), a la normatividad aplicable al PAE y a cada convenio para la mejora del desempeño y resultados gubernamentales, desde el año 2013 hasta el año 2021. </w:t>
      </w:r>
    </w:p>
    <w:p w14:paraId="6A23DD12" w14:textId="77777777" w:rsidR="006639DB" w:rsidRPr="00F006AF" w:rsidRDefault="006639DB">
      <w:pPr>
        <w:spacing w:line="360" w:lineRule="auto"/>
        <w:jc w:val="both"/>
        <w:rPr>
          <w:rFonts w:ascii="Palatino Linotype" w:eastAsia="Palatino Linotype" w:hAnsi="Palatino Linotype" w:cs="Palatino Linotype"/>
          <w:color w:val="000000"/>
        </w:rPr>
      </w:pPr>
    </w:p>
    <w:p w14:paraId="7CE4D9DF" w14:textId="77777777" w:rsidR="006639DB" w:rsidRPr="00F006AF" w:rsidRDefault="000E3CE0">
      <w:pPr>
        <w:spacing w:line="360" w:lineRule="auto"/>
        <w:jc w:val="both"/>
        <w:rPr>
          <w:b/>
        </w:rPr>
      </w:pPr>
      <w:r w:rsidRPr="00F006AF">
        <w:rPr>
          <w:rFonts w:ascii="Palatino Linotype" w:eastAsia="Palatino Linotype" w:hAnsi="Palatino Linotype" w:cs="Palatino Linotype"/>
          <w:color w:val="000000"/>
        </w:rPr>
        <w:t xml:space="preserve">La Secretaria de Finanzas soslayó que en materia de programas presupuestarios ha sido sujeto evaluado en diversos periodos, tal es el caso del ejercicio fiscal 2021 de donde fue evaluada con motivo del programa “Consolidación de la Administración </w:t>
      </w:r>
      <w:proofErr w:type="gramStart"/>
      <w:r w:rsidRPr="00F006AF">
        <w:rPr>
          <w:rFonts w:ascii="Palatino Linotype" w:eastAsia="Palatino Linotype" w:hAnsi="Palatino Linotype" w:cs="Palatino Linotype"/>
          <w:color w:val="000000"/>
        </w:rPr>
        <w:t>pública  de</w:t>
      </w:r>
      <w:proofErr w:type="gramEnd"/>
      <w:r w:rsidRPr="00F006AF">
        <w:rPr>
          <w:rFonts w:ascii="Palatino Linotype" w:eastAsia="Palatino Linotype" w:hAnsi="Palatino Linotype" w:cs="Palatino Linotype"/>
          <w:color w:val="000000"/>
        </w:rPr>
        <w:t xml:space="preserve"> resultados” de donde se generó la evaluación, así como el Convenio de Mejora y las acatas de Solvatación con motivo de las ASM, tal y como se observa en la imagen siguiente: </w:t>
      </w:r>
    </w:p>
    <w:p w14:paraId="72873426" w14:textId="77777777" w:rsidR="006639DB" w:rsidRPr="00F006AF" w:rsidRDefault="000E3CE0">
      <w:pPr>
        <w:spacing w:line="360" w:lineRule="auto"/>
        <w:jc w:val="both"/>
        <w:rPr>
          <w:b/>
        </w:rPr>
      </w:pPr>
      <w:r w:rsidRPr="00F006AF">
        <w:rPr>
          <w:b/>
          <w:noProof/>
          <w:lang w:val="es-MX"/>
        </w:rPr>
        <w:drawing>
          <wp:inline distT="0" distB="0" distL="0" distR="0" wp14:anchorId="593049EA" wp14:editId="2C907997">
            <wp:extent cx="5605145" cy="1015365"/>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605145" cy="1015365"/>
                    </a:xfrm>
                    <a:prstGeom prst="rect">
                      <a:avLst/>
                    </a:prstGeom>
                    <a:ln/>
                  </pic:spPr>
                </pic:pic>
              </a:graphicData>
            </a:graphic>
          </wp:inline>
        </w:drawing>
      </w:r>
    </w:p>
    <w:p w14:paraId="47E884A0" w14:textId="77777777" w:rsidR="006639DB" w:rsidRPr="00F006AF" w:rsidRDefault="000E3CE0">
      <w:pPr>
        <w:spacing w:line="360" w:lineRule="auto"/>
        <w:jc w:val="both"/>
        <w:rPr>
          <w:b/>
        </w:rPr>
      </w:pPr>
      <w:r w:rsidRPr="00F006AF">
        <w:rPr>
          <w:b/>
          <w:noProof/>
          <w:lang w:val="es-MX"/>
        </w:rPr>
        <w:drawing>
          <wp:inline distT="0" distB="0" distL="0" distR="0" wp14:anchorId="3D9558B1" wp14:editId="2578590A">
            <wp:extent cx="5580443" cy="1223655"/>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t="33338"/>
                    <a:stretch>
                      <a:fillRect/>
                    </a:stretch>
                  </pic:blipFill>
                  <pic:spPr>
                    <a:xfrm>
                      <a:off x="0" y="0"/>
                      <a:ext cx="5580443" cy="1223655"/>
                    </a:xfrm>
                    <a:prstGeom prst="rect">
                      <a:avLst/>
                    </a:prstGeom>
                    <a:ln/>
                  </pic:spPr>
                </pic:pic>
              </a:graphicData>
            </a:graphic>
          </wp:inline>
        </w:drawing>
      </w:r>
      <w:r w:rsidRPr="00F006AF">
        <w:rPr>
          <w:noProof/>
          <w:lang w:val="es-MX"/>
        </w:rPr>
        <mc:AlternateContent>
          <mc:Choice Requires="wpg">
            <w:drawing>
              <wp:anchor distT="0" distB="0" distL="114300" distR="114300" simplePos="0" relativeHeight="251664384" behindDoc="0" locked="0" layoutInCell="1" hidden="0" allowOverlap="1" wp14:anchorId="14FCAD33" wp14:editId="3C8D4BD4">
                <wp:simplePos x="0" y="0"/>
                <wp:positionH relativeFrom="column">
                  <wp:posOffset>114300</wp:posOffset>
                </wp:positionH>
                <wp:positionV relativeFrom="paragraph">
                  <wp:posOffset>444500</wp:posOffset>
                </wp:positionV>
                <wp:extent cx="1007176" cy="597477"/>
                <wp:effectExtent l="0" t="0" r="0" b="0"/>
                <wp:wrapNone/>
                <wp:docPr id="43" name="Rectángulo 43"/>
                <wp:cNvGraphicFramePr/>
                <a:graphic xmlns:a="http://schemas.openxmlformats.org/drawingml/2006/main">
                  <a:graphicData uri="http://schemas.microsoft.com/office/word/2010/wordprocessingShape">
                    <wps:wsp>
                      <wps:cNvSpPr/>
                      <wps:spPr>
                        <a:xfrm>
                          <a:off x="4870987" y="3509837"/>
                          <a:ext cx="950026" cy="540327"/>
                        </a:xfrm>
                        <a:prstGeom prst="rect">
                          <a:avLst/>
                        </a:prstGeom>
                        <a:noFill/>
                        <a:ln w="57150" cap="flat" cmpd="sng">
                          <a:solidFill>
                            <a:srgbClr val="FF0000"/>
                          </a:solidFill>
                          <a:prstDash val="solid"/>
                          <a:round/>
                          <a:headEnd type="none" w="sm" len="sm"/>
                          <a:tailEnd type="none" w="sm" len="sm"/>
                        </a:ln>
                      </wps:spPr>
                      <wps:txbx>
                        <w:txbxContent>
                          <w:p w14:paraId="3E0C7BA5"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444500</wp:posOffset>
                </wp:positionV>
                <wp:extent cx="1007176" cy="597477"/>
                <wp:effectExtent b="0" l="0" r="0" t="0"/>
                <wp:wrapNone/>
                <wp:docPr id="43" name="image20.png"/>
                <a:graphic>
                  <a:graphicData uri="http://schemas.openxmlformats.org/drawingml/2006/picture">
                    <pic:pic>
                      <pic:nvPicPr>
                        <pic:cNvPr id="0" name="image20.png"/>
                        <pic:cNvPicPr preferRelativeResize="0"/>
                      </pic:nvPicPr>
                      <pic:blipFill>
                        <a:blip r:embed="rId43"/>
                        <a:srcRect/>
                        <a:stretch>
                          <a:fillRect/>
                        </a:stretch>
                      </pic:blipFill>
                      <pic:spPr>
                        <a:xfrm>
                          <a:off x="0" y="0"/>
                          <a:ext cx="1007176" cy="597477"/>
                        </a:xfrm>
                        <a:prstGeom prst="rect"/>
                        <a:ln/>
                      </pic:spPr>
                    </pic:pic>
                  </a:graphicData>
                </a:graphic>
              </wp:anchor>
            </w:drawing>
          </mc:Fallback>
        </mc:AlternateContent>
      </w:r>
      <w:r w:rsidRPr="00F006AF">
        <w:rPr>
          <w:noProof/>
          <w:lang w:val="es-MX"/>
        </w:rPr>
        <mc:AlternateContent>
          <mc:Choice Requires="wpg">
            <w:drawing>
              <wp:anchor distT="0" distB="0" distL="114300" distR="114300" simplePos="0" relativeHeight="251665408" behindDoc="0" locked="0" layoutInCell="1" hidden="0" allowOverlap="1" wp14:anchorId="13A2D6BD" wp14:editId="6914D884">
                <wp:simplePos x="0" y="0"/>
                <wp:positionH relativeFrom="column">
                  <wp:posOffset>2387600</wp:posOffset>
                </wp:positionH>
                <wp:positionV relativeFrom="paragraph">
                  <wp:posOffset>546100</wp:posOffset>
                </wp:positionV>
                <wp:extent cx="1007176" cy="597477"/>
                <wp:effectExtent l="0" t="0" r="0" b="0"/>
                <wp:wrapNone/>
                <wp:docPr id="46" name="Rectángulo 46"/>
                <wp:cNvGraphicFramePr/>
                <a:graphic xmlns:a="http://schemas.openxmlformats.org/drawingml/2006/main">
                  <a:graphicData uri="http://schemas.microsoft.com/office/word/2010/wordprocessingShape">
                    <wps:wsp>
                      <wps:cNvSpPr/>
                      <wps:spPr>
                        <a:xfrm>
                          <a:off x="4870987" y="3509837"/>
                          <a:ext cx="950026" cy="540327"/>
                        </a:xfrm>
                        <a:prstGeom prst="rect">
                          <a:avLst/>
                        </a:prstGeom>
                        <a:noFill/>
                        <a:ln w="57150" cap="flat" cmpd="sng">
                          <a:solidFill>
                            <a:srgbClr val="FF0000"/>
                          </a:solidFill>
                          <a:prstDash val="solid"/>
                          <a:round/>
                          <a:headEnd type="none" w="sm" len="sm"/>
                          <a:tailEnd type="none" w="sm" len="sm"/>
                        </a:ln>
                      </wps:spPr>
                      <wps:txbx>
                        <w:txbxContent>
                          <w:p w14:paraId="3F22059F"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546100</wp:posOffset>
                </wp:positionV>
                <wp:extent cx="1007176" cy="597477"/>
                <wp:effectExtent b="0" l="0" r="0" t="0"/>
                <wp:wrapNone/>
                <wp:docPr id="46"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1007176" cy="597477"/>
                        </a:xfrm>
                        <a:prstGeom prst="rect"/>
                        <a:ln/>
                      </pic:spPr>
                    </pic:pic>
                  </a:graphicData>
                </a:graphic>
              </wp:anchor>
            </w:drawing>
          </mc:Fallback>
        </mc:AlternateContent>
      </w:r>
      <w:r w:rsidRPr="00F006AF">
        <w:rPr>
          <w:noProof/>
          <w:lang w:val="es-MX"/>
        </w:rPr>
        <mc:AlternateContent>
          <mc:Choice Requires="wpg">
            <w:drawing>
              <wp:anchor distT="0" distB="0" distL="114300" distR="114300" simplePos="0" relativeHeight="251666432" behindDoc="0" locked="0" layoutInCell="1" hidden="0" allowOverlap="1" wp14:anchorId="5FC32135" wp14:editId="5BDDE59D">
                <wp:simplePos x="0" y="0"/>
                <wp:positionH relativeFrom="column">
                  <wp:posOffset>3543300</wp:posOffset>
                </wp:positionH>
                <wp:positionV relativeFrom="paragraph">
                  <wp:posOffset>533400</wp:posOffset>
                </wp:positionV>
                <wp:extent cx="1007176" cy="597477"/>
                <wp:effectExtent l="0" t="0" r="0" b="0"/>
                <wp:wrapNone/>
                <wp:docPr id="48" name="Rectángulo 48"/>
                <wp:cNvGraphicFramePr/>
                <a:graphic xmlns:a="http://schemas.openxmlformats.org/drawingml/2006/main">
                  <a:graphicData uri="http://schemas.microsoft.com/office/word/2010/wordprocessingShape">
                    <wps:wsp>
                      <wps:cNvSpPr/>
                      <wps:spPr>
                        <a:xfrm>
                          <a:off x="4870987" y="3509837"/>
                          <a:ext cx="950026" cy="540327"/>
                        </a:xfrm>
                        <a:prstGeom prst="rect">
                          <a:avLst/>
                        </a:prstGeom>
                        <a:noFill/>
                        <a:ln w="57150" cap="flat" cmpd="sng">
                          <a:solidFill>
                            <a:srgbClr val="FF0000"/>
                          </a:solidFill>
                          <a:prstDash val="solid"/>
                          <a:round/>
                          <a:headEnd type="none" w="sm" len="sm"/>
                          <a:tailEnd type="none" w="sm" len="sm"/>
                        </a:ln>
                      </wps:spPr>
                      <wps:txbx>
                        <w:txbxContent>
                          <w:p w14:paraId="53E7A77A"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3543300</wp:posOffset>
                </wp:positionH>
                <wp:positionV relativeFrom="paragraph">
                  <wp:posOffset>533400</wp:posOffset>
                </wp:positionV>
                <wp:extent cx="1007176" cy="597477"/>
                <wp:effectExtent b="0" l="0" r="0" t="0"/>
                <wp:wrapNone/>
                <wp:docPr id="48" name="image29.png"/>
                <a:graphic>
                  <a:graphicData uri="http://schemas.openxmlformats.org/drawingml/2006/picture">
                    <pic:pic>
                      <pic:nvPicPr>
                        <pic:cNvPr id="0" name="image29.png"/>
                        <pic:cNvPicPr preferRelativeResize="0"/>
                      </pic:nvPicPr>
                      <pic:blipFill>
                        <a:blip r:embed="rId45"/>
                        <a:srcRect/>
                        <a:stretch>
                          <a:fillRect/>
                        </a:stretch>
                      </pic:blipFill>
                      <pic:spPr>
                        <a:xfrm>
                          <a:off x="0" y="0"/>
                          <a:ext cx="1007176" cy="597477"/>
                        </a:xfrm>
                        <a:prstGeom prst="rect"/>
                        <a:ln/>
                      </pic:spPr>
                    </pic:pic>
                  </a:graphicData>
                </a:graphic>
              </wp:anchor>
            </w:drawing>
          </mc:Fallback>
        </mc:AlternateContent>
      </w:r>
    </w:p>
    <w:p w14:paraId="3E34BA7A" w14:textId="77777777" w:rsidR="006639DB" w:rsidRPr="00F006AF" w:rsidRDefault="006639DB">
      <w:pPr>
        <w:spacing w:line="360" w:lineRule="auto"/>
        <w:jc w:val="both"/>
        <w:rPr>
          <w:rFonts w:ascii="Palatino Linotype" w:eastAsia="Palatino Linotype" w:hAnsi="Palatino Linotype" w:cs="Palatino Linotype"/>
          <w:color w:val="000000"/>
        </w:rPr>
      </w:pPr>
    </w:p>
    <w:p w14:paraId="07E2B7AF" w14:textId="77777777" w:rsidR="006639DB" w:rsidRPr="00F006AF" w:rsidRDefault="000E3CE0">
      <w:pP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Bajo este panorama, si bien se coincide con el </w:t>
      </w:r>
      <w:r w:rsidRPr="00F006AF">
        <w:rPr>
          <w:rFonts w:ascii="Palatino Linotype" w:eastAsia="Palatino Linotype" w:hAnsi="Palatino Linotype" w:cs="Palatino Linotype"/>
          <w:b/>
          <w:color w:val="000000"/>
        </w:rPr>
        <w:t>Sujeto Obligado</w:t>
      </w:r>
      <w:r w:rsidRPr="00F006AF">
        <w:rPr>
          <w:rFonts w:ascii="Palatino Linotype" w:eastAsia="Palatino Linotype" w:hAnsi="Palatino Linotype" w:cs="Palatino Linotype"/>
          <w:color w:val="000000"/>
        </w:rPr>
        <w:t xml:space="preserve"> en el entendido de declararse incompetente para conocer de la información solicitada respecto de otros sujetos evaluados,  si estaba en oportunidad de conocer </w:t>
      </w:r>
      <w:r w:rsidRPr="00F006AF">
        <w:rPr>
          <w:b/>
        </w:rPr>
        <w:t>el</w:t>
      </w:r>
      <w:r w:rsidRPr="00F006AF">
        <w:rPr>
          <w:rFonts w:ascii="Palatino Linotype" w:eastAsia="Palatino Linotype" w:hAnsi="Palatino Linotype" w:cs="Palatino Linotype"/>
        </w:rPr>
        <w:t xml:space="preserve"> número de </w:t>
      </w:r>
      <w:r w:rsidRPr="00F006AF">
        <w:rPr>
          <w:rFonts w:ascii="Palatino Linotype" w:eastAsia="Palatino Linotype" w:hAnsi="Palatino Linotype" w:cs="Palatino Linotype"/>
          <w:color w:val="000000"/>
        </w:rPr>
        <w:t xml:space="preserve">responsabilidades fincadas y/o sanciones, que se ejecutaron a servidores públicos, derivado del incumplimiento al Programa Anual de Evaluación (PAE), a la normatividad aplicable al PAE y a cada convenio para la mejora del desempeño y </w:t>
      </w:r>
      <w:r w:rsidRPr="00F006AF">
        <w:rPr>
          <w:rFonts w:ascii="Palatino Linotype" w:eastAsia="Palatino Linotype" w:hAnsi="Palatino Linotype" w:cs="Palatino Linotype"/>
          <w:color w:val="000000"/>
        </w:rPr>
        <w:lastRenderedPageBreak/>
        <w:t xml:space="preserve">resultados gubernamentales, desde el año 2013 hasta el año 2021, como sujeto evaluado. </w:t>
      </w:r>
    </w:p>
    <w:p w14:paraId="1FAD747E" w14:textId="77777777" w:rsidR="006639DB" w:rsidRPr="00F006AF" w:rsidRDefault="006639DB">
      <w:pPr>
        <w:spacing w:line="360" w:lineRule="auto"/>
        <w:jc w:val="both"/>
        <w:rPr>
          <w:rFonts w:ascii="Palatino Linotype" w:eastAsia="Palatino Linotype" w:hAnsi="Palatino Linotype" w:cs="Palatino Linotype"/>
          <w:color w:val="000000"/>
        </w:rPr>
      </w:pPr>
    </w:p>
    <w:p w14:paraId="5C5AB6ED" w14:textId="77777777" w:rsidR="006639DB" w:rsidRPr="00F006AF" w:rsidRDefault="000E3CE0">
      <w:pP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Lo anterior, considerando que de acuerdo al Manual General de Organización de la </w:t>
      </w:r>
      <w:proofErr w:type="gramStart"/>
      <w:r w:rsidRPr="00F006AF">
        <w:rPr>
          <w:rFonts w:ascii="Palatino Linotype" w:eastAsia="Palatino Linotype" w:hAnsi="Palatino Linotype" w:cs="Palatino Linotype"/>
          <w:color w:val="000000"/>
        </w:rPr>
        <w:t>Secretaria</w:t>
      </w:r>
      <w:proofErr w:type="gramEnd"/>
      <w:r w:rsidRPr="00F006AF">
        <w:rPr>
          <w:rFonts w:ascii="Palatino Linotype" w:eastAsia="Palatino Linotype" w:hAnsi="Palatino Linotype" w:cs="Palatino Linotype"/>
          <w:color w:val="000000"/>
        </w:rPr>
        <w:t xml:space="preserve"> de Finanzas el Órgano de Control Interno de esa dependencia le corresponde dentro de sus atribuciones, entre otras: </w:t>
      </w:r>
    </w:p>
    <w:p w14:paraId="1F2881EF" w14:textId="77777777" w:rsidR="006639DB" w:rsidRPr="00F006AF" w:rsidRDefault="006639DB">
      <w:pPr>
        <w:spacing w:line="360" w:lineRule="auto"/>
        <w:jc w:val="both"/>
      </w:pPr>
    </w:p>
    <w:p w14:paraId="700D6D83" w14:textId="77777777" w:rsidR="006639DB" w:rsidRPr="00F006AF" w:rsidRDefault="000E3CE0">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Supervisar la substanciación del procedimiento de responsabilidad administrativa y la imposición de las sanciones respectivas, cuando se trate de faltas administrativas no graves, así como el envío al Tribunal de Justicia Administrativa del Estado de México de los autos originales del expediente integrado con motivo de los procedimientos de responsabilidad administrativa, cuando se refieran a faltas administrativas graves y por conductas de particulares sancionables conforme a la Ley de Responsabilidades Administrativas del Estado de México y Municipios, para su resolución.</w:t>
      </w:r>
    </w:p>
    <w:p w14:paraId="4E2F2390" w14:textId="77777777" w:rsidR="006639DB" w:rsidRPr="00F006AF" w:rsidRDefault="006639DB">
      <w:pPr>
        <w:spacing w:line="276" w:lineRule="auto"/>
        <w:jc w:val="both"/>
        <w:rPr>
          <w:rFonts w:ascii="Palatino Linotype" w:eastAsia="Palatino Linotype" w:hAnsi="Palatino Linotype" w:cs="Palatino Linotype"/>
        </w:rPr>
      </w:pPr>
    </w:p>
    <w:p w14:paraId="01743797" w14:textId="77777777" w:rsidR="006639DB" w:rsidRPr="00F006AF" w:rsidRDefault="000E3CE0">
      <w:pPr>
        <w:numPr>
          <w:ilvl w:val="0"/>
          <w:numId w:val="7"/>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Coadyuvar al funcionamiento del sistema de control interno y la evaluación de la gestión gubernamental; así como vigilar el cumplimiento de las normas que en esas materias expida la Secretaría de la Contraloría.</w:t>
      </w:r>
    </w:p>
    <w:p w14:paraId="62853B06" w14:textId="77777777" w:rsidR="006639DB" w:rsidRPr="00F006AF" w:rsidRDefault="006639DB">
      <w:pPr>
        <w:spacing w:line="276" w:lineRule="auto"/>
        <w:jc w:val="both"/>
        <w:rPr>
          <w:rFonts w:ascii="Palatino Linotype" w:eastAsia="Palatino Linotype" w:hAnsi="Palatino Linotype" w:cs="Palatino Linotype"/>
          <w:color w:val="000000"/>
        </w:rPr>
      </w:pPr>
    </w:p>
    <w:p w14:paraId="2C36449A" w14:textId="77777777" w:rsidR="006639DB" w:rsidRPr="00F006AF" w:rsidRDefault="000E3CE0">
      <w:pP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 xml:space="preserve">En este sentido, la </w:t>
      </w:r>
      <w:r w:rsidRPr="00F006AF">
        <w:rPr>
          <w:rFonts w:ascii="Palatino Linotype" w:eastAsia="Palatino Linotype" w:hAnsi="Palatino Linotype" w:cs="Palatino Linotype"/>
          <w:b/>
          <w:sz w:val="22"/>
          <w:szCs w:val="22"/>
        </w:rPr>
        <w:t>Secretaría de Finanzas</w:t>
      </w:r>
      <w:r w:rsidRPr="00F006AF">
        <w:rPr>
          <w:rFonts w:ascii="Palatino Linotype" w:eastAsia="Palatino Linotype" w:hAnsi="Palatino Linotype" w:cs="Palatino Linotype"/>
          <w:color w:val="000000"/>
        </w:rPr>
        <w:t xml:space="preserve"> no acreditó haber realizado la búsqueda minuciosa exhaustiva y razonable, dentro del Órgano Interno de Control respecto de</w:t>
      </w:r>
      <w:r w:rsidRPr="00F006AF">
        <w:rPr>
          <w:b/>
        </w:rPr>
        <w:t>l</w:t>
      </w:r>
      <w:r w:rsidRPr="00F006AF">
        <w:rPr>
          <w:rFonts w:ascii="Palatino Linotype" w:eastAsia="Palatino Linotype" w:hAnsi="Palatino Linotype" w:cs="Palatino Linotype"/>
        </w:rPr>
        <w:t xml:space="preserve"> número de </w:t>
      </w:r>
      <w:r w:rsidRPr="00F006AF">
        <w:rPr>
          <w:rFonts w:ascii="Palatino Linotype" w:eastAsia="Palatino Linotype" w:hAnsi="Palatino Linotype" w:cs="Palatino Linotype"/>
          <w:color w:val="000000"/>
        </w:rPr>
        <w:t xml:space="preserve">responsabilidades fincadas y/o sanciones, que se ejecutaron a sus servidores públicos, derivado del incumplimiento al Programa Anual de Evaluación (PAE), a la normatividad aplicable al PAE y a cada convenio para la mejora del </w:t>
      </w:r>
      <w:r w:rsidRPr="00F006AF">
        <w:rPr>
          <w:rFonts w:ascii="Palatino Linotype" w:eastAsia="Palatino Linotype" w:hAnsi="Palatino Linotype" w:cs="Palatino Linotype"/>
          <w:color w:val="000000"/>
        </w:rPr>
        <w:lastRenderedPageBreak/>
        <w:t xml:space="preserve">desempeño y resultados gubernamentales, desde el año 2013 hasta el año 2021,  que  como sujeto evaluado ha tenido. </w:t>
      </w:r>
    </w:p>
    <w:p w14:paraId="38F28AB5" w14:textId="77777777" w:rsidR="006639DB" w:rsidRPr="00F006AF" w:rsidRDefault="006639DB">
      <w:pPr>
        <w:spacing w:line="360" w:lineRule="auto"/>
        <w:jc w:val="both"/>
        <w:rPr>
          <w:rFonts w:ascii="Palatino Linotype" w:eastAsia="Palatino Linotype" w:hAnsi="Palatino Linotype" w:cs="Palatino Linotype"/>
          <w:color w:val="000000"/>
        </w:rPr>
      </w:pPr>
    </w:p>
    <w:p w14:paraId="4BC01586" w14:textId="77777777" w:rsidR="006639DB" w:rsidRPr="00F006AF" w:rsidRDefault="000E3CE0">
      <w:pP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Siendo que conforme al artículo 162 de la de la Ley de Transparencia y Acceso a la Información Pública del Estado de México y Municipios,</w:t>
      </w:r>
      <w:r w:rsidRPr="00F006AF">
        <w:rPr>
          <w:rFonts w:ascii="Palatino Linotype" w:eastAsia="Palatino Linotype" w:hAnsi="Palatino Linotype" w:cs="Palatino Linotype"/>
          <w:color w:val="000000"/>
          <w:vertAlign w:val="superscript"/>
        </w:rPr>
        <w:footnoteReference w:id="2"/>
      </w:r>
      <w:r w:rsidRPr="00F006AF">
        <w:rPr>
          <w:rFonts w:ascii="Palatino Linotype" w:eastAsia="Palatino Linotype" w:hAnsi="Palatino Linotype" w:cs="Palatino Linotype"/>
          <w:color w:val="000000"/>
        </w:rPr>
        <w:t xml:space="preserve"> las Unidades de Transparencia deben garantizar que las solicitudes se turnen a todas las Áreas competentes que cuenten con la información o deban tenerla de acuerdo a sus facultades, competencias y funciones, </w:t>
      </w:r>
      <w:r w:rsidRPr="00F006AF">
        <w:rPr>
          <w:rFonts w:ascii="Palatino Linotype" w:eastAsia="Palatino Linotype" w:hAnsi="Palatino Linotype" w:cs="Palatino Linotype"/>
          <w:b/>
          <w:color w:val="000000"/>
          <w:u w:val="single"/>
        </w:rPr>
        <w:t>con el objeto de que realicen una búsqueda exhaustiva y razonable de la información solicitada</w:t>
      </w:r>
      <w:r w:rsidRPr="00F006AF">
        <w:rPr>
          <w:rFonts w:ascii="Palatino Linotype" w:eastAsia="Palatino Linotype" w:hAnsi="Palatino Linotype" w:cs="Palatino Linotype"/>
          <w:color w:val="000000"/>
        </w:rPr>
        <w:t xml:space="preserve">, situación que no fue realizada por el Titular de la Unidad de Transparencia del </w:t>
      </w:r>
      <w:r w:rsidRPr="00F006AF">
        <w:rPr>
          <w:rFonts w:ascii="Palatino Linotype" w:eastAsia="Palatino Linotype" w:hAnsi="Palatino Linotype" w:cs="Palatino Linotype"/>
          <w:b/>
          <w:color w:val="000000"/>
        </w:rPr>
        <w:t>SUJETO OBLIGADO</w:t>
      </w:r>
      <w:r w:rsidRPr="00F006AF">
        <w:rPr>
          <w:rFonts w:ascii="Palatino Linotype" w:eastAsia="Palatino Linotype" w:hAnsi="Palatino Linotype" w:cs="Palatino Linotype"/>
          <w:color w:val="000000"/>
        </w:rPr>
        <w:t>.</w:t>
      </w:r>
    </w:p>
    <w:p w14:paraId="2306925E" w14:textId="77777777" w:rsidR="006639DB" w:rsidRPr="00F006AF" w:rsidRDefault="006639DB">
      <w:pPr>
        <w:spacing w:line="360" w:lineRule="auto"/>
        <w:jc w:val="both"/>
      </w:pPr>
    </w:p>
    <w:p w14:paraId="4E29EE13" w14:textId="77777777" w:rsidR="006639DB" w:rsidRPr="00F006AF" w:rsidRDefault="000E3CE0">
      <w:pPr>
        <w:spacing w:line="360" w:lineRule="auto"/>
        <w:jc w:val="both"/>
        <w:rPr>
          <w:rFonts w:ascii="Palatino Linotype" w:eastAsia="Palatino Linotype" w:hAnsi="Palatino Linotype" w:cs="Palatino Linotype"/>
        </w:rPr>
      </w:pPr>
      <w:bookmarkStart w:id="1" w:name="_heading=h.30j0zll" w:colFirst="0" w:colLast="0"/>
      <w:bookmarkEnd w:id="1"/>
      <w:r w:rsidRPr="00F006AF">
        <w:rPr>
          <w:rFonts w:ascii="Palatino Linotype" w:eastAsia="Palatino Linotype" w:hAnsi="Palatino Linotype" w:cs="Palatino Linotype"/>
        </w:rPr>
        <w:t xml:space="preserve">Conforme a lo anterior, este Instituto considera que la </w:t>
      </w:r>
      <w:r w:rsidRPr="00F006AF">
        <w:rPr>
          <w:rFonts w:ascii="Palatino Linotype" w:eastAsia="Palatino Linotype" w:hAnsi="Palatino Linotype" w:cs="Palatino Linotype"/>
          <w:b/>
          <w:sz w:val="22"/>
          <w:szCs w:val="22"/>
        </w:rPr>
        <w:t>Secretaría de Finanzas</w:t>
      </w:r>
      <w:r w:rsidRPr="00F006AF">
        <w:rPr>
          <w:rFonts w:ascii="Palatino Linotype" w:eastAsia="Palatino Linotype" w:hAnsi="Palatino Linotype" w:cs="Palatino Linotype"/>
        </w:rPr>
        <w:t xml:space="preserve"> al no haber solicitado como sujeto evaluado, </w:t>
      </w:r>
      <w:r w:rsidRPr="00F006AF">
        <w:rPr>
          <w:rFonts w:ascii="Palatino Linotype" w:eastAsia="Palatino Linotype" w:hAnsi="Palatino Linotype" w:cs="Palatino Linotype"/>
          <w:color w:val="000000"/>
        </w:rPr>
        <w:t>el</w:t>
      </w:r>
      <w:r w:rsidRPr="00F006AF">
        <w:rPr>
          <w:rFonts w:ascii="Palatino Linotype" w:eastAsia="Palatino Linotype" w:hAnsi="Palatino Linotype" w:cs="Palatino Linotype"/>
        </w:rPr>
        <w:t xml:space="preserve"> número de </w:t>
      </w:r>
      <w:r w:rsidRPr="00F006AF">
        <w:rPr>
          <w:rFonts w:ascii="Palatino Linotype" w:eastAsia="Palatino Linotype" w:hAnsi="Palatino Linotype" w:cs="Palatino Linotype"/>
          <w:color w:val="000000"/>
        </w:rPr>
        <w:t xml:space="preserve">responsabilidades fincadas y/o sanciones, que se ejecutaron a sus servidores públicos, derivado del incumplimiento al Programa Anual de Evaluación (PAE), a la normatividad aplicable al PAE y a cada convenio para la mejora del desempeño y resultados gubernamentales, desde el año 2013 hasta el año 2021,  </w:t>
      </w:r>
      <w:r w:rsidRPr="00F006AF">
        <w:rPr>
          <w:rFonts w:ascii="Palatino Linotype" w:eastAsia="Palatino Linotype" w:hAnsi="Palatino Linotype" w:cs="Palatino Linotype"/>
        </w:rPr>
        <w:t xml:space="preserve">al órgano de Control Interno quien en términos de su normatividad es competente para conocer del asunto, esta Autoridad determina que, lo procedente a fin de garantizar a plenitud el derecho ejercido por el particular, es pertinente ordenar una búsqueda exhaustiva y razonable dentro de los archivos </w:t>
      </w:r>
      <w:r w:rsidRPr="00F006AF">
        <w:rPr>
          <w:rFonts w:ascii="Palatino Linotype" w:eastAsia="Palatino Linotype" w:hAnsi="Palatino Linotype" w:cs="Palatino Linotype"/>
        </w:rPr>
        <w:lastRenderedPageBreak/>
        <w:t xml:space="preserve">de esa área a fin de que, entregue en versión pública de ser procedente la documentación donde conste información requerida en este punto de la solicitud, tomando en consideración que de la respuesta del </w:t>
      </w:r>
      <w:r w:rsidRPr="00F006AF">
        <w:rPr>
          <w:rFonts w:ascii="Palatino Linotype" w:eastAsia="Palatino Linotype" w:hAnsi="Palatino Linotype" w:cs="Palatino Linotype"/>
          <w:b/>
        </w:rPr>
        <w:t xml:space="preserve">Sujeto Obligado </w:t>
      </w:r>
      <w:r w:rsidRPr="00F006AF">
        <w:rPr>
          <w:rFonts w:ascii="Palatino Linotype" w:eastAsia="Palatino Linotype" w:hAnsi="Palatino Linotype" w:cs="Palatino Linotype"/>
        </w:rPr>
        <w:t xml:space="preserve">y la consulta en las ligas proporcionadas se advierten omisiones de los Sujetos Evaluados. </w:t>
      </w:r>
    </w:p>
    <w:p w14:paraId="399F2525" w14:textId="77777777" w:rsidR="006639DB" w:rsidRPr="00F006AF" w:rsidRDefault="006639DB">
      <w:pPr>
        <w:spacing w:line="360" w:lineRule="auto"/>
        <w:jc w:val="both"/>
      </w:pPr>
    </w:p>
    <w:p w14:paraId="2960D8E8"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Ahora bien, por cuanto hace al requerimiento descrito en el numeral 6 correspondiente a: </w:t>
      </w:r>
      <w:r w:rsidRPr="00F006AF">
        <w:rPr>
          <w:rFonts w:ascii="Palatino Linotype" w:eastAsia="Palatino Linotype" w:hAnsi="Palatino Linotype" w:cs="Palatino Linotype"/>
          <w:u w:val="single"/>
        </w:rPr>
        <w:t xml:space="preserve">nombres, cargo y profesión, de los servidores públicos que actualmente laboran en la Dirección General de Evaluación del Desempeño Institucional y que son los responsables de coordinar la implementación del PAE , así como de llevar a cabo TODO lo señalado en el artículo 22 Bis, fracciones I, VI y VIII del Reglamento Interior de la Secretaría de Finanzas; así como también </w:t>
      </w:r>
      <w:proofErr w:type="spellStart"/>
      <w:r w:rsidRPr="00F006AF">
        <w:rPr>
          <w:rFonts w:ascii="Palatino Linotype" w:eastAsia="Palatino Linotype" w:hAnsi="Palatino Linotype" w:cs="Palatino Linotype"/>
          <w:u w:val="single"/>
        </w:rPr>
        <w:t>antiguedad</w:t>
      </w:r>
      <w:proofErr w:type="spellEnd"/>
      <w:r w:rsidRPr="00F006AF">
        <w:rPr>
          <w:rFonts w:ascii="Palatino Linotype" w:eastAsia="Palatino Linotype" w:hAnsi="Palatino Linotype" w:cs="Palatino Linotype"/>
          <w:u w:val="single"/>
        </w:rPr>
        <w:t xml:space="preserve"> en el puesto; constancias de capacitación en materia de Evaluación de Programas Presupuestarios y Metodología de Marco Lógico; y cuál es su experiencia en materia de PAE, en el periodo de los últimos 5 años</w:t>
      </w:r>
      <w:r w:rsidRPr="00F006AF">
        <w:rPr>
          <w:rFonts w:ascii="Palatino Linotype" w:eastAsia="Palatino Linotype" w:hAnsi="Palatino Linotype" w:cs="Palatino Linotype"/>
        </w:rPr>
        <w:t xml:space="preserve">, el </w:t>
      </w:r>
      <w:r w:rsidRPr="00F006AF">
        <w:rPr>
          <w:rFonts w:ascii="Palatino Linotype" w:eastAsia="Palatino Linotype" w:hAnsi="Palatino Linotype" w:cs="Palatino Linotype"/>
          <w:b/>
        </w:rPr>
        <w:t xml:space="preserve">Sujeto Obligado </w:t>
      </w:r>
      <w:r w:rsidRPr="00F006AF">
        <w:rPr>
          <w:rFonts w:ascii="Palatino Linotype" w:eastAsia="Palatino Linotype" w:hAnsi="Palatino Linotype" w:cs="Palatino Linotype"/>
        </w:rPr>
        <w:t xml:space="preserve">respondió que el 22 de septiembre de 2020, fue publicado en el Periódico Oficial "Gaceta del Gobierno", el Reglamento Interior de la Secretaría de Finanzas, mediante el cual se crea la Dirección General de Evaluación del Desempeño Institucional, asumiendo la titularidad de la Dirección General el Maestro en Administración Pública, Hugo Ayala Ramos; asimismo, se precisa en el artículo 22 Bis del citado Reglamento, que se auxiliará de los directores de área de Análisis y Seguimiento, y de Monitoreo y Evaluación, que actualmente se encuentra como encargada del despacho, la pasante de Ingeniero en Gestión Empresarial Luz María Cuero Hernández y el Maestro en Estudios de Población Julio Enrique Santa Ana Guevara, </w:t>
      </w:r>
      <w:r w:rsidRPr="00F006AF">
        <w:rPr>
          <w:rFonts w:ascii="Palatino Linotype" w:eastAsia="Palatino Linotype" w:hAnsi="Palatino Linotype" w:cs="Palatino Linotype"/>
        </w:rPr>
        <w:lastRenderedPageBreak/>
        <w:t xml:space="preserve">Subdirector de Evaluaciones y Mejora Continua, quienes son los responsables de coordinar la implementación del PAE en el Gobierno del Estado de México, información que se encuentra disponible en el Directorio de Servidores Públicos del Gobierno del Estado de México; asimismo, mencionó que en la liga electrónica: https://transparenciafiscal.edomex.qob.mx/resultado-evaluaciones, se encuentran publicados los "Formatos de difusión de las evaluaciones" del Consejo Nacional de Armonización Contable (CONAC), que en su numeral 4, pueden identificarse los datos de la instancia evaluadora de los años 2018 al año 2021; del mismo modo refirió que en el oficio 207040000200000S/020/2023 de fecha  dieciocho de enero de la presente anualidad, suscrito por la Subsecretaria de Planeación y Presupuesto refirió que, se anexaban documentales comprobatorios de capacitación recibida en materia de Gestión para Resultados que incluyen: el Presupuesto Basado en Resultados, el Sistema de Evaluación del Desempeño y la Metodología del Marco Lógico, tal y como se observa en la siguiente captura de pantalla: </w:t>
      </w:r>
    </w:p>
    <w:p w14:paraId="036DF54E"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noProof/>
          <w:lang w:val="es-MX"/>
        </w:rPr>
        <w:lastRenderedPageBreak/>
        <w:drawing>
          <wp:inline distT="0" distB="0" distL="0" distR="0" wp14:anchorId="6ABE9F6F" wp14:editId="2DF758A4">
            <wp:extent cx="5612242" cy="3233812"/>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5612242" cy="3233812"/>
                    </a:xfrm>
                    <a:prstGeom prst="rect">
                      <a:avLst/>
                    </a:prstGeom>
                    <a:ln/>
                  </pic:spPr>
                </pic:pic>
              </a:graphicData>
            </a:graphic>
          </wp:inline>
        </w:drawing>
      </w:r>
      <w:r w:rsidRPr="00F006AF">
        <w:rPr>
          <w:noProof/>
          <w:lang w:val="es-MX"/>
        </w:rPr>
        <mc:AlternateContent>
          <mc:Choice Requires="wpg">
            <w:drawing>
              <wp:anchor distT="0" distB="0" distL="114300" distR="114300" simplePos="0" relativeHeight="251667456" behindDoc="0" locked="0" layoutInCell="1" hidden="0" allowOverlap="1" wp14:anchorId="051053F6" wp14:editId="5E71C9AD">
                <wp:simplePos x="0" y="0"/>
                <wp:positionH relativeFrom="column">
                  <wp:posOffset>304800</wp:posOffset>
                </wp:positionH>
                <wp:positionV relativeFrom="paragraph">
                  <wp:posOffset>952500</wp:posOffset>
                </wp:positionV>
                <wp:extent cx="5181353" cy="519711"/>
                <wp:effectExtent l="0" t="0" r="0" b="0"/>
                <wp:wrapNone/>
                <wp:docPr id="49" name="Rectángulo 49"/>
                <wp:cNvGraphicFramePr/>
                <a:graphic xmlns:a="http://schemas.openxmlformats.org/drawingml/2006/main">
                  <a:graphicData uri="http://schemas.microsoft.com/office/word/2010/wordprocessingShape">
                    <wps:wsp>
                      <wps:cNvSpPr/>
                      <wps:spPr>
                        <a:xfrm>
                          <a:off x="2783899" y="3548720"/>
                          <a:ext cx="5124203" cy="462561"/>
                        </a:xfrm>
                        <a:prstGeom prst="rect">
                          <a:avLst/>
                        </a:prstGeom>
                        <a:noFill/>
                        <a:ln w="57150" cap="flat" cmpd="sng">
                          <a:solidFill>
                            <a:srgbClr val="FF0000"/>
                          </a:solidFill>
                          <a:prstDash val="solid"/>
                          <a:round/>
                          <a:headEnd type="none" w="sm" len="sm"/>
                          <a:tailEnd type="none" w="sm" len="sm"/>
                        </a:ln>
                      </wps:spPr>
                      <wps:txbx>
                        <w:txbxContent>
                          <w:p w14:paraId="17C60B19"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952500</wp:posOffset>
                </wp:positionV>
                <wp:extent cx="5181353" cy="519711"/>
                <wp:effectExtent b="0" l="0" r="0" t="0"/>
                <wp:wrapNone/>
                <wp:docPr id="49" name="image33.png"/>
                <a:graphic>
                  <a:graphicData uri="http://schemas.openxmlformats.org/drawingml/2006/picture">
                    <pic:pic>
                      <pic:nvPicPr>
                        <pic:cNvPr id="0" name="image33.png"/>
                        <pic:cNvPicPr preferRelativeResize="0"/>
                      </pic:nvPicPr>
                      <pic:blipFill>
                        <a:blip r:embed="rId47"/>
                        <a:srcRect/>
                        <a:stretch>
                          <a:fillRect/>
                        </a:stretch>
                      </pic:blipFill>
                      <pic:spPr>
                        <a:xfrm>
                          <a:off x="0" y="0"/>
                          <a:ext cx="5181353" cy="519711"/>
                        </a:xfrm>
                        <a:prstGeom prst="rect"/>
                        <a:ln/>
                      </pic:spPr>
                    </pic:pic>
                  </a:graphicData>
                </a:graphic>
              </wp:anchor>
            </w:drawing>
          </mc:Fallback>
        </mc:AlternateContent>
      </w:r>
    </w:p>
    <w:p w14:paraId="2C686D94" w14:textId="77777777" w:rsidR="006639DB" w:rsidRPr="00F006AF" w:rsidRDefault="006639DB">
      <w:pPr>
        <w:spacing w:line="360" w:lineRule="auto"/>
        <w:jc w:val="both"/>
        <w:rPr>
          <w:rFonts w:ascii="Palatino Linotype" w:eastAsia="Palatino Linotype" w:hAnsi="Palatino Linotype" w:cs="Palatino Linotype"/>
        </w:rPr>
      </w:pPr>
    </w:p>
    <w:p w14:paraId="3D40A21B" w14:textId="77777777" w:rsidR="006639DB" w:rsidRPr="00F006AF" w:rsidRDefault="006639DB">
      <w:pPr>
        <w:spacing w:line="360" w:lineRule="auto"/>
        <w:jc w:val="both"/>
        <w:rPr>
          <w:rFonts w:ascii="Palatino Linotype" w:eastAsia="Palatino Linotype" w:hAnsi="Palatino Linotype" w:cs="Palatino Linotype"/>
        </w:rPr>
      </w:pPr>
    </w:p>
    <w:p w14:paraId="7397A964" w14:textId="77777777" w:rsidR="006639DB" w:rsidRPr="00F006AF" w:rsidRDefault="006639DB">
      <w:pPr>
        <w:spacing w:line="360" w:lineRule="auto"/>
        <w:jc w:val="both"/>
        <w:rPr>
          <w:rFonts w:ascii="Palatino Linotype" w:eastAsia="Palatino Linotype" w:hAnsi="Palatino Linotype" w:cs="Palatino Linotype"/>
        </w:rPr>
      </w:pPr>
    </w:p>
    <w:p w14:paraId="1C4A5B6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Conocida la respuesta a este punto de la solicitud, es de señalar que la parte </w:t>
      </w:r>
      <w:r w:rsidRPr="00F006AF">
        <w:rPr>
          <w:rFonts w:ascii="Palatino Linotype" w:eastAsia="Palatino Linotype" w:hAnsi="Palatino Linotype" w:cs="Palatino Linotype"/>
          <w:b/>
        </w:rPr>
        <w:t xml:space="preserve">Recurrente </w:t>
      </w:r>
      <w:r w:rsidRPr="00F006AF">
        <w:rPr>
          <w:rFonts w:ascii="Palatino Linotype" w:eastAsia="Palatino Linotype" w:hAnsi="Palatino Linotype" w:cs="Palatino Linotype"/>
        </w:rPr>
        <w:t>argumentó como razones o motivos de inconformidad que: “</w:t>
      </w:r>
      <w:r w:rsidRPr="00F006AF">
        <w:rPr>
          <w:rFonts w:ascii="Palatino Linotype" w:eastAsia="Palatino Linotype" w:hAnsi="Palatino Linotype" w:cs="Palatino Linotype"/>
          <w:i/>
        </w:rPr>
        <w:t>…No ase anexa evidencia de la capacitación en materia de MML del personal de la Dirección de Evaluación del Desempeño Institucional a cargo del PAE</w:t>
      </w:r>
      <w:r w:rsidRPr="00F006AF">
        <w:rPr>
          <w:rFonts w:ascii="Palatino Linotype" w:eastAsia="Palatino Linotype" w:hAnsi="Palatino Linotype" w:cs="Palatino Linotype"/>
        </w:rPr>
        <w:t xml:space="preserve">.” </w:t>
      </w:r>
    </w:p>
    <w:p w14:paraId="6BA0BAC1" w14:textId="77777777" w:rsidR="006639DB" w:rsidRPr="00F006AF" w:rsidRDefault="006639DB">
      <w:pPr>
        <w:spacing w:line="360" w:lineRule="auto"/>
        <w:jc w:val="both"/>
        <w:rPr>
          <w:rFonts w:ascii="Palatino Linotype" w:eastAsia="Palatino Linotype" w:hAnsi="Palatino Linotype" w:cs="Palatino Linotype"/>
        </w:rPr>
      </w:pPr>
    </w:p>
    <w:p w14:paraId="10297D7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Es así que, una vez interpuesto el recurso de revisión el Titular de la Unidad de Transparencia  del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en vía de su  Informe Justificado, respecto del motivo de inconformidad que se analiza, precisó que, la Servidora Pública habilitada de la Subsecretaria de Planeación y Presupuesto, remitió diversos documentos  </w:t>
      </w:r>
      <w:r w:rsidRPr="00F006AF">
        <w:rPr>
          <w:rFonts w:ascii="Palatino Linotype" w:eastAsia="Palatino Linotype" w:hAnsi="Palatino Linotype" w:cs="Palatino Linotype"/>
        </w:rPr>
        <w:lastRenderedPageBreak/>
        <w:t xml:space="preserve">comprobatorios de las capacitaciones recibidas en materia de Gestión para Resultados por parte de quienes son los responsables de coordinar e implementar el PAE en el Gobierno del Estado de México, que incluye: el Presupuesto Basado en Resultados, el Sistema de Evaluación del Desempeño y la Metodología del Marco lógico, los cuales señala son anexados al citado informe justificado, tal y como se observa en la imagen siguiente: </w:t>
      </w:r>
    </w:p>
    <w:p w14:paraId="22C01C86" w14:textId="77777777" w:rsidR="006639DB" w:rsidRPr="00F006AF" w:rsidRDefault="006639DB">
      <w:pPr>
        <w:spacing w:line="360" w:lineRule="auto"/>
        <w:jc w:val="center"/>
      </w:pPr>
    </w:p>
    <w:p w14:paraId="3F12FAAD" w14:textId="77777777" w:rsidR="006639DB" w:rsidRPr="00F006AF" w:rsidRDefault="006639DB">
      <w:pPr>
        <w:spacing w:line="360" w:lineRule="auto"/>
        <w:jc w:val="both"/>
      </w:pPr>
    </w:p>
    <w:p w14:paraId="562788F3" w14:textId="77777777" w:rsidR="006639DB" w:rsidRPr="00F006AF" w:rsidRDefault="006639DB">
      <w:pPr>
        <w:spacing w:line="360" w:lineRule="auto"/>
        <w:jc w:val="both"/>
      </w:pPr>
    </w:p>
    <w:p w14:paraId="45BDC4C5" w14:textId="77777777" w:rsidR="006639DB" w:rsidRPr="00F006AF" w:rsidRDefault="006639DB">
      <w:pPr>
        <w:spacing w:line="360" w:lineRule="auto"/>
        <w:jc w:val="both"/>
      </w:pPr>
    </w:p>
    <w:p w14:paraId="1C328206" w14:textId="77777777" w:rsidR="006639DB" w:rsidRPr="00F006AF" w:rsidRDefault="000E3CE0">
      <w:pPr>
        <w:spacing w:line="360" w:lineRule="auto"/>
        <w:jc w:val="both"/>
      </w:pPr>
      <w:r w:rsidRPr="00F006AF">
        <w:rPr>
          <w:noProof/>
          <w:lang w:val="es-MX"/>
        </w:rPr>
        <w:drawing>
          <wp:inline distT="0" distB="0" distL="0" distR="0" wp14:anchorId="4E52CC5C" wp14:editId="5976CF72">
            <wp:extent cx="5577840" cy="3840480"/>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5577840" cy="3840480"/>
                    </a:xfrm>
                    <a:prstGeom prst="rect">
                      <a:avLst/>
                    </a:prstGeom>
                    <a:ln/>
                  </pic:spPr>
                </pic:pic>
              </a:graphicData>
            </a:graphic>
          </wp:inline>
        </w:drawing>
      </w:r>
      <w:r w:rsidRPr="00F006AF">
        <w:rPr>
          <w:noProof/>
          <w:lang w:val="es-MX"/>
        </w:rPr>
        <mc:AlternateContent>
          <mc:Choice Requires="wpg">
            <w:drawing>
              <wp:anchor distT="0" distB="0" distL="114300" distR="114300" simplePos="0" relativeHeight="251668480" behindDoc="0" locked="0" layoutInCell="1" hidden="0" allowOverlap="1" wp14:anchorId="3E012314" wp14:editId="4CAB87DD">
                <wp:simplePos x="0" y="0"/>
                <wp:positionH relativeFrom="column">
                  <wp:posOffset>38101</wp:posOffset>
                </wp:positionH>
                <wp:positionV relativeFrom="paragraph">
                  <wp:posOffset>495300</wp:posOffset>
                </wp:positionV>
                <wp:extent cx="5181353" cy="674667"/>
                <wp:effectExtent l="0" t="0" r="0" b="0"/>
                <wp:wrapNone/>
                <wp:docPr id="51" name="Rectángulo 51"/>
                <wp:cNvGraphicFramePr/>
                <a:graphic xmlns:a="http://schemas.openxmlformats.org/drawingml/2006/main">
                  <a:graphicData uri="http://schemas.microsoft.com/office/word/2010/wordprocessingShape">
                    <wps:wsp>
                      <wps:cNvSpPr/>
                      <wps:spPr>
                        <a:xfrm>
                          <a:off x="2783899" y="3471242"/>
                          <a:ext cx="5124203" cy="617517"/>
                        </a:xfrm>
                        <a:prstGeom prst="rect">
                          <a:avLst/>
                        </a:prstGeom>
                        <a:noFill/>
                        <a:ln w="57150" cap="flat" cmpd="sng">
                          <a:solidFill>
                            <a:srgbClr val="FF0000"/>
                          </a:solidFill>
                          <a:prstDash val="solid"/>
                          <a:round/>
                          <a:headEnd type="none" w="sm" len="sm"/>
                          <a:tailEnd type="none" w="sm" len="sm"/>
                        </a:ln>
                      </wps:spPr>
                      <wps:txbx>
                        <w:txbxContent>
                          <w:p w14:paraId="7AA49E94" w14:textId="77777777" w:rsidR="006639DB" w:rsidRDefault="006639D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495300</wp:posOffset>
                </wp:positionV>
                <wp:extent cx="5181353" cy="674667"/>
                <wp:effectExtent b="0" l="0" r="0" t="0"/>
                <wp:wrapNone/>
                <wp:docPr id="51" name="image36.png"/>
                <a:graphic>
                  <a:graphicData uri="http://schemas.openxmlformats.org/drawingml/2006/picture">
                    <pic:pic>
                      <pic:nvPicPr>
                        <pic:cNvPr id="0" name="image36.png"/>
                        <pic:cNvPicPr preferRelativeResize="0"/>
                      </pic:nvPicPr>
                      <pic:blipFill>
                        <a:blip r:embed="rId49"/>
                        <a:srcRect/>
                        <a:stretch>
                          <a:fillRect/>
                        </a:stretch>
                      </pic:blipFill>
                      <pic:spPr>
                        <a:xfrm>
                          <a:off x="0" y="0"/>
                          <a:ext cx="5181353" cy="674667"/>
                        </a:xfrm>
                        <a:prstGeom prst="rect"/>
                        <a:ln/>
                      </pic:spPr>
                    </pic:pic>
                  </a:graphicData>
                </a:graphic>
              </wp:anchor>
            </w:drawing>
          </mc:Fallback>
        </mc:AlternateContent>
      </w:r>
    </w:p>
    <w:p w14:paraId="58B2EC75" w14:textId="77777777" w:rsidR="006639DB" w:rsidRPr="00F006AF" w:rsidRDefault="006639DB">
      <w:pPr>
        <w:spacing w:line="360" w:lineRule="auto"/>
        <w:jc w:val="both"/>
      </w:pPr>
    </w:p>
    <w:p w14:paraId="63261AE5"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lastRenderedPageBreak/>
        <w:t xml:space="preserve">Por lo anterior, el </w:t>
      </w:r>
      <w:r w:rsidRPr="00F006AF">
        <w:rPr>
          <w:rFonts w:ascii="Palatino Linotype" w:eastAsia="Palatino Linotype" w:hAnsi="Palatino Linotype" w:cs="Palatino Linotype"/>
          <w:b/>
        </w:rPr>
        <w:t xml:space="preserve">Sujeto </w:t>
      </w:r>
      <w:proofErr w:type="gramStart"/>
      <w:r w:rsidRPr="00F006AF">
        <w:rPr>
          <w:rFonts w:ascii="Palatino Linotype" w:eastAsia="Palatino Linotype" w:hAnsi="Palatino Linotype" w:cs="Palatino Linotype"/>
          <w:b/>
        </w:rPr>
        <w:t>Obligado</w:t>
      </w:r>
      <w:r w:rsidRPr="00F006AF">
        <w:rPr>
          <w:rFonts w:ascii="Palatino Linotype" w:eastAsia="Palatino Linotype" w:hAnsi="Palatino Linotype" w:cs="Palatino Linotype"/>
        </w:rPr>
        <w:t xml:space="preserve">  asume</w:t>
      </w:r>
      <w:proofErr w:type="gramEnd"/>
      <w:r w:rsidRPr="00F006AF">
        <w:rPr>
          <w:rFonts w:ascii="Palatino Linotype" w:eastAsia="Palatino Linotype" w:hAnsi="Palatino Linotype" w:cs="Palatino Linotype"/>
        </w:rPr>
        <w:t xml:space="preserve"> el motivo de inconformidad  e incluso refiere la existencia de la información que es motivo del mismo, señalando que será puesta en manos del particular a través del informe justificado. </w:t>
      </w:r>
    </w:p>
    <w:p w14:paraId="47E2AD97" w14:textId="77777777" w:rsidR="006639DB" w:rsidRPr="00F006AF" w:rsidRDefault="006639DB">
      <w:pPr>
        <w:spacing w:line="360" w:lineRule="auto"/>
        <w:jc w:val="both"/>
        <w:rPr>
          <w:rFonts w:ascii="Palatino Linotype" w:eastAsia="Palatino Linotype" w:hAnsi="Palatino Linotype" w:cs="Palatino Linotype"/>
        </w:rPr>
      </w:pPr>
    </w:p>
    <w:p w14:paraId="5E2A50F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En esta lógica, de la revisión a las constancias que integran el expediente bajo análisis en específico de las documentales que fueron incluidas por la Secretaría de Finanzas en </w:t>
      </w:r>
      <w:proofErr w:type="gramStart"/>
      <w:r w:rsidRPr="00F006AF">
        <w:rPr>
          <w:rFonts w:ascii="Palatino Linotype" w:eastAsia="Palatino Linotype" w:hAnsi="Palatino Linotype" w:cs="Palatino Linotype"/>
        </w:rPr>
        <w:t>sus  Informe</w:t>
      </w:r>
      <w:proofErr w:type="gramEnd"/>
      <w:r w:rsidRPr="00F006AF">
        <w:rPr>
          <w:rFonts w:ascii="Palatino Linotype" w:eastAsia="Palatino Linotype" w:hAnsi="Palatino Linotype" w:cs="Palatino Linotype"/>
        </w:rPr>
        <w:t xml:space="preserve"> Justificado no se advierte que se hayan adjuntado lo consistente en:</w:t>
      </w:r>
    </w:p>
    <w:p w14:paraId="187229F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 </w:t>
      </w:r>
    </w:p>
    <w:p w14:paraId="6EC1C991" w14:textId="77777777" w:rsidR="006639DB" w:rsidRPr="00F006AF" w:rsidRDefault="000E3CE0">
      <w:pPr>
        <w:numPr>
          <w:ilvl w:val="0"/>
          <w:numId w:val="7"/>
        </w:numPr>
        <w:pBdr>
          <w:top w:val="nil"/>
          <w:left w:val="nil"/>
          <w:bottom w:val="nil"/>
          <w:right w:val="nil"/>
          <w:between w:val="nil"/>
        </w:pBdr>
        <w:spacing w:line="360" w:lineRule="auto"/>
        <w:jc w:val="both"/>
      </w:pPr>
      <w:r w:rsidRPr="00F006AF">
        <w:rPr>
          <w:rFonts w:ascii="Palatino Linotype" w:eastAsia="Palatino Linotype" w:hAnsi="Palatino Linotype" w:cs="Palatino Linotype"/>
          <w:color w:val="000000"/>
        </w:rPr>
        <w:t>El Presupuesto Basado en Resultados;</w:t>
      </w:r>
    </w:p>
    <w:p w14:paraId="1B5EA6C8" w14:textId="77777777" w:rsidR="006639DB" w:rsidRPr="00F006AF" w:rsidRDefault="000E3CE0">
      <w:pPr>
        <w:numPr>
          <w:ilvl w:val="0"/>
          <w:numId w:val="7"/>
        </w:numPr>
        <w:pBdr>
          <w:top w:val="nil"/>
          <w:left w:val="nil"/>
          <w:bottom w:val="nil"/>
          <w:right w:val="nil"/>
          <w:between w:val="nil"/>
        </w:pBdr>
        <w:spacing w:line="360" w:lineRule="auto"/>
        <w:jc w:val="both"/>
      </w:pPr>
      <w:r w:rsidRPr="00F006AF">
        <w:rPr>
          <w:rFonts w:ascii="Palatino Linotype" w:eastAsia="Palatino Linotype" w:hAnsi="Palatino Linotype" w:cs="Palatino Linotype"/>
          <w:color w:val="000000"/>
        </w:rPr>
        <w:t>El Sistema de Evaluación del Desempeño y la Metodología del Marco lógico.</w:t>
      </w:r>
    </w:p>
    <w:p w14:paraId="1930F7BD" w14:textId="77777777" w:rsidR="006639DB" w:rsidRPr="00F006AF" w:rsidRDefault="006639DB">
      <w:pPr>
        <w:pBdr>
          <w:top w:val="nil"/>
          <w:left w:val="nil"/>
          <w:bottom w:val="nil"/>
          <w:right w:val="nil"/>
          <w:between w:val="nil"/>
        </w:pBdr>
        <w:spacing w:line="360" w:lineRule="auto"/>
        <w:ind w:left="720"/>
        <w:jc w:val="both"/>
        <w:rPr>
          <w:color w:val="000000"/>
        </w:rPr>
      </w:pPr>
    </w:p>
    <w:p w14:paraId="069CC02A"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Que de acuerdo a lo previsto por 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dan cuenta de </w:t>
      </w:r>
      <w:proofErr w:type="gramStart"/>
      <w:r w:rsidRPr="00F006AF">
        <w:rPr>
          <w:rFonts w:ascii="Palatino Linotype" w:eastAsia="Palatino Linotype" w:hAnsi="Palatino Linotype" w:cs="Palatino Linotype"/>
        </w:rPr>
        <w:t>la  capacitación</w:t>
      </w:r>
      <w:proofErr w:type="gramEnd"/>
      <w:r w:rsidRPr="00F006AF">
        <w:rPr>
          <w:rFonts w:ascii="Palatino Linotype" w:eastAsia="Palatino Linotype" w:hAnsi="Palatino Linotype" w:cs="Palatino Linotype"/>
        </w:rPr>
        <w:t xml:space="preserve"> en materia de MML del personal de la Dirección de Evaluación del Desempeño Institucional a cargo del PAE. </w:t>
      </w:r>
    </w:p>
    <w:p w14:paraId="4684CF11" w14:textId="77777777" w:rsidR="006639DB" w:rsidRPr="00F006AF" w:rsidRDefault="006639DB">
      <w:pPr>
        <w:spacing w:line="360" w:lineRule="auto"/>
        <w:jc w:val="both"/>
        <w:rPr>
          <w:rFonts w:ascii="Palatino Linotype" w:eastAsia="Palatino Linotype" w:hAnsi="Palatino Linotype" w:cs="Palatino Linotype"/>
          <w:b/>
        </w:rPr>
      </w:pPr>
    </w:p>
    <w:p w14:paraId="7008A7C6"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Por lo que</w:t>
      </w:r>
      <w:r w:rsidRPr="00F006AF">
        <w:rPr>
          <w:rFonts w:ascii="Palatino Linotype" w:eastAsia="Palatino Linotype" w:hAnsi="Palatino Linotype" w:cs="Palatino Linotype"/>
          <w:b/>
        </w:rPr>
        <w:t xml:space="preserve">,  </w:t>
      </w:r>
      <w:r w:rsidRPr="00F006AF">
        <w:rPr>
          <w:rFonts w:ascii="Palatino Linotype" w:eastAsia="Palatino Linotype" w:hAnsi="Palatino Linotype" w:cs="Palatino Linotype"/>
        </w:rPr>
        <w:t xml:space="preserve"> atendiendo el principio de máxima publicidad con el que rigen las resoluciones esta Autoridad y considerando que el propio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refirió que se anexaban las documentales que dejaban sin efectos el motivo de inconformidad planteado por el ahora recurrente, esta Autoridad considera dable ordenar la entrega de:  el Presupuesto Basado en Resultados, el Sistema de Evaluación del Desempeño y la Metodología del Marco lógico; documentos que a su decir,  dan cuenta de la evidencia de la capacitación en materia de MML del </w:t>
      </w:r>
      <w:r w:rsidRPr="00F006AF">
        <w:rPr>
          <w:rFonts w:ascii="Palatino Linotype" w:eastAsia="Palatino Linotype" w:hAnsi="Palatino Linotype" w:cs="Palatino Linotype"/>
        </w:rPr>
        <w:lastRenderedPageBreak/>
        <w:t>personal de la Dirección de Evaluación del Desempeño Institucional a cargo del PAE.</w:t>
      </w:r>
    </w:p>
    <w:p w14:paraId="171946A7" w14:textId="77777777" w:rsidR="006639DB" w:rsidRPr="00F006AF" w:rsidRDefault="006639DB">
      <w:pPr>
        <w:spacing w:line="360" w:lineRule="auto"/>
        <w:jc w:val="both"/>
        <w:rPr>
          <w:rFonts w:ascii="Palatino Linotype" w:eastAsia="Palatino Linotype" w:hAnsi="Palatino Linotype" w:cs="Palatino Linotype"/>
          <w:b/>
        </w:rPr>
      </w:pPr>
    </w:p>
    <w:p w14:paraId="3FB8218D"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De la versión pública</w:t>
      </w:r>
    </w:p>
    <w:p w14:paraId="15EBF07F"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1775FC8D" w14:textId="77777777" w:rsidR="006639DB" w:rsidRPr="00F006AF" w:rsidRDefault="006639DB">
      <w:pPr>
        <w:ind w:left="567" w:right="567"/>
        <w:jc w:val="both"/>
        <w:rPr>
          <w:rFonts w:ascii="Palatino Linotype" w:eastAsia="Palatino Linotype" w:hAnsi="Palatino Linotype" w:cs="Palatino Linotype"/>
          <w:b/>
          <w:i/>
        </w:rPr>
      </w:pPr>
    </w:p>
    <w:p w14:paraId="24665A7B"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Artículo 3.</w:t>
      </w:r>
      <w:r w:rsidRPr="00F006AF">
        <w:rPr>
          <w:rFonts w:ascii="Palatino Linotype" w:eastAsia="Palatino Linotype" w:hAnsi="Palatino Linotype" w:cs="Palatino Linotype"/>
          <w:i/>
        </w:rPr>
        <w:t xml:space="preserve"> Para los efectos de la presente Ley se entenderá por:</w:t>
      </w:r>
    </w:p>
    <w:p w14:paraId="05A9EF70"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w:t>
      </w:r>
    </w:p>
    <w:p w14:paraId="63534B7D"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IX. Datos personales:</w:t>
      </w:r>
      <w:r w:rsidRPr="00F006AF">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D83F645"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XX.</w:t>
      </w:r>
      <w:r w:rsidRPr="00F006AF">
        <w:rPr>
          <w:rFonts w:ascii="Palatino Linotype" w:eastAsia="Palatino Linotype" w:hAnsi="Palatino Linotype" w:cs="Palatino Linotype"/>
          <w:i/>
        </w:rPr>
        <w:t xml:space="preserve"> </w:t>
      </w:r>
      <w:r w:rsidRPr="00F006AF">
        <w:rPr>
          <w:rFonts w:ascii="Palatino Linotype" w:eastAsia="Palatino Linotype" w:hAnsi="Palatino Linotype" w:cs="Palatino Linotype"/>
          <w:b/>
          <w:i/>
        </w:rPr>
        <w:t>Información clasificada:</w:t>
      </w:r>
      <w:r w:rsidRPr="00F006AF">
        <w:rPr>
          <w:rFonts w:ascii="Palatino Linotype" w:eastAsia="Palatino Linotype" w:hAnsi="Palatino Linotype" w:cs="Palatino Linotype"/>
          <w:i/>
        </w:rPr>
        <w:t xml:space="preserve"> Aquella considerada por la presente Ley como reservada o confidencial;</w:t>
      </w:r>
    </w:p>
    <w:p w14:paraId="1A8B7236"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XXI.</w:t>
      </w:r>
      <w:r w:rsidRPr="00F006AF">
        <w:rPr>
          <w:rFonts w:ascii="Palatino Linotype" w:eastAsia="Palatino Linotype" w:hAnsi="Palatino Linotype" w:cs="Palatino Linotype"/>
          <w:i/>
        </w:rPr>
        <w:t xml:space="preserve"> </w:t>
      </w:r>
      <w:r w:rsidRPr="00F006AF">
        <w:rPr>
          <w:rFonts w:ascii="Palatino Linotype" w:eastAsia="Palatino Linotype" w:hAnsi="Palatino Linotype" w:cs="Palatino Linotype"/>
          <w:b/>
          <w:i/>
        </w:rPr>
        <w:t>Información confidencial:</w:t>
      </w:r>
      <w:r w:rsidRPr="00F006AF">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A93D7B"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w:t>
      </w:r>
    </w:p>
    <w:p w14:paraId="61A89CE8"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XLV.</w:t>
      </w:r>
      <w:r w:rsidRPr="00F006AF">
        <w:rPr>
          <w:rFonts w:ascii="Palatino Linotype" w:eastAsia="Palatino Linotype" w:hAnsi="Palatino Linotype" w:cs="Palatino Linotype"/>
          <w:i/>
        </w:rPr>
        <w:t xml:space="preserve"> </w:t>
      </w:r>
      <w:r w:rsidRPr="00F006AF">
        <w:rPr>
          <w:rFonts w:ascii="Palatino Linotype" w:eastAsia="Palatino Linotype" w:hAnsi="Palatino Linotype" w:cs="Palatino Linotype"/>
          <w:b/>
          <w:i/>
        </w:rPr>
        <w:t>Versión pública:</w:t>
      </w:r>
      <w:r w:rsidRPr="00F006AF">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1C9848A0"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w:t>
      </w:r>
    </w:p>
    <w:p w14:paraId="1926DB86" w14:textId="77777777" w:rsidR="006639DB" w:rsidRPr="00F006AF" w:rsidRDefault="006639DB">
      <w:pPr>
        <w:ind w:left="567" w:right="567"/>
        <w:jc w:val="both"/>
        <w:rPr>
          <w:rFonts w:ascii="Palatino Linotype" w:eastAsia="Palatino Linotype" w:hAnsi="Palatino Linotype" w:cs="Palatino Linotype"/>
          <w:i/>
        </w:rPr>
      </w:pPr>
    </w:p>
    <w:p w14:paraId="02C05C68"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 xml:space="preserve">Artículo 91. </w:t>
      </w:r>
      <w:r w:rsidRPr="00F006AF">
        <w:rPr>
          <w:rFonts w:ascii="Palatino Linotype" w:eastAsia="Palatino Linotype" w:hAnsi="Palatino Linotype" w:cs="Palatino Linotype"/>
          <w:i/>
        </w:rPr>
        <w:t>El acceso a la información pública será restringido excepcionalmente, cuando ésta sea clasificada como reservada o confidencial.</w:t>
      </w:r>
    </w:p>
    <w:p w14:paraId="28A5A227" w14:textId="77777777" w:rsidR="006639DB" w:rsidRPr="00F006AF" w:rsidRDefault="006639DB">
      <w:pPr>
        <w:ind w:left="567" w:right="567"/>
        <w:jc w:val="both"/>
        <w:rPr>
          <w:rFonts w:ascii="Palatino Linotype" w:eastAsia="Palatino Linotype" w:hAnsi="Palatino Linotype" w:cs="Palatino Linotype"/>
          <w:i/>
        </w:rPr>
      </w:pPr>
    </w:p>
    <w:p w14:paraId="754A77A0"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Artículo 132.</w:t>
      </w:r>
      <w:r w:rsidRPr="00F006AF">
        <w:rPr>
          <w:rFonts w:ascii="Palatino Linotype" w:eastAsia="Palatino Linotype" w:hAnsi="Palatino Linotype" w:cs="Palatino Linotype"/>
          <w:i/>
        </w:rPr>
        <w:t xml:space="preserve"> </w:t>
      </w:r>
      <w:r w:rsidRPr="00F006AF">
        <w:rPr>
          <w:rFonts w:ascii="Palatino Linotype" w:eastAsia="Palatino Linotype" w:hAnsi="Palatino Linotype" w:cs="Palatino Linotype"/>
          <w:i/>
          <w:u w:val="single"/>
        </w:rPr>
        <w:t>La clasificación de la información se llevará a cabo en el momento en que</w:t>
      </w:r>
      <w:r w:rsidRPr="00F006AF">
        <w:rPr>
          <w:rFonts w:ascii="Palatino Linotype" w:eastAsia="Palatino Linotype" w:hAnsi="Palatino Linotype" w:cs="Palatino Linotype"/>
          <w:i/>
        </w:rPr>
        <w:t>:</w:t>
      </w:r>
    </w:p>
    <w:p w14:paraId="44DC3494"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lastRenderedPageBreak/>
        <w:t>I.</w:t>
      </w:r>
      <w:r w:rsidRPr="00F006AF">
        <w:rPr>
          <w:rFonts w:ascii="Palatino Linotype" w:eastAsia="Palatino Linotype" w:hAnsi="Palatino Linotype" w:cs="Palatino Linotype"/>
          <w:i/>
        </w:rPr>
        <w:t xml:space="preserve"> Se reciba una solicitud de acceso a la información;</w:t>
      </w:r>
    </w:p>
    <w:p w14:paraId="4ED9EA8E"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II.</w:t>
      </w:r>
      <w:r w:rsidRPr="00F006AF">
        <w:rPr>
          <w:rFonts w:ascii="Palatino Linotype" w:eastAsia="Palatino Linotype" w:hAnsi="Palatino Linotype" w:cs="Palatino Linotype"/>
          <w:i/>
        </w:rPr>
        <w:t xml:space="preserve"> </w:t>
      </w:r>
      <w:r w:rsidRPr="00F006AF">
        <w:rPr>
          <w:rFonts w:ascii="Palatino Linotype" w:eastAsia="Palatino Linotype" w:hAnsi="Palatino Linotype" w:cs="Palatino Linotype"/>
          <w:i/>
          <w:u w:val="single"/>
        </w:rPr>
        <w:t>Se determine mediante resolución de autoridad competente; o</w:t>
      </w:r>
    </w:p>
    <w:p w14:paraId="19082CCB" w14:textId="77777777" w:rsidR="006639DB" w:rsidRPr="00F006AF" w:rsidRDefault="000E3CE0">
      <w:pPr>
        <w:ind w:left="567" w:right="567"/>
        <w:jc w:val="both"/>
        <w:rPr>
          <w:rFonts w:ascii="Palatino Linotype" w:eastAsia="Palatino Linotype" w:hAnsi="Palatino Linotype" w:cs="Palatino Linotype"/>
          <w:i/>
          <w:u w:val="single"/>
        </w:rPr>
      </w:pPr>
      <w:r w:rsidRPr="00F006AF">
        <w:rPr>
          <w:rFonts w:ascii="Palatino Linotype" w:eastAsia="Palatino Linotype" w:hAnsi="Palatino Linotype" w:cs="Palatino Linotype"/>
          <w:b/>
          <w:i/>
        </w:rPr>
        <w:t>III.</w:t>
      </w:r>
      <w:r w:rsidRPr="00F006AF">
        <w:rPr>
          <w:rFonts w:ascii="Palatino Linotype" w:eastAsia="Palatino Linotype" w:hAnsi="Palatino Linotype" w:cs="Palatino Linotype"/>
          <w:i/>
        </w:rPr>
        <w:t xml:space="preserve"> </w:t>
      </w:r>
      <w:r w:rsidRPr="00F006AF">
        <w:rPr>
          <w:rFonts w:ascii="Palatino Linotype" w:eastAsia="Palatino Linotype" w:hAnsi="Palatino Linotype" w:cs="Palatino Linotype"/>
          <w:i/>
          <w:u w:val="single"/>
        </w:rPr>
        <w:t>Se generen versiones públicas para dar cumplimiento a las obligaciones de transparencia previstas en esta Ley.</w:t>
      </w:r>
    </w:p>
    <w:p w14:paraId="69AB2E1A"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w:t>
      </w:r>
    </w:p>
    <w:p w14:paraId="67148AC9" w14:textId="77777777" w:rsidR="006639DB" w:rsidRPr="00F006AF" w:rsidRDefault="006639DB">
      <w:pPr>
        <w:spacing w:line="360" w:lineRule="auto"/>
        <w:jc w:val="both"/>
        <w:rPr>
          <w:rFonts w:ascii="Palatino Linotype" w:eastAsia="Palatino Linotype" w:hAnsi="Palatino Linotype" w:cs="Palatino Linotype"/>
        </w:rPr>
      </w:pPr>
    </w:p>
    <w:p w14:paraId="1A1D3E14"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EE33ECF" w14:textId="77777777" w:rsidR="006639DB" w:rsidRPr="00F006AF" w:rsidRDefault="006639DB">
      <w:pPr>
        <w:spacing w:line="360" w:lineRule="auto"/>
        <w:jc w:val="both"/>
        <w:rPr>
          <w:rFonts w:ascii="Palatino Linotype" w:eastAsia="Palatino Linotype" w:hAnsi="Palatino Linotype" w:cs="Palatino Linotype"/>
        </w:rPr>
      </w:pPr>
    </w:p>
    <w:p w14:paraId="1EED7839"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otro lado, los </w:t>
      </w:r>
      <w:r w:rsidRPr="00F006AF">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F006AF">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729E146"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CB4079B" w14:textId="77777777" w:rsidR="006639DB" w:rsidRPr="00F006AF" w:rsidRDefault="006639DB">
      <w:pPr>
        <w:pBdr>
          <w:top w:val="nil"/>
          <w:left w:val="nil"/>
          <w:bottom w:val="nil"/>
          <w:right w:val="nil"/>
          <w:between w:val="nil"/>
        </w:pBdr>
        <w:rPr>
          <w:color w:val="000000"/>
        </w:rPr>
      </w:pPr>
    </w:p>
    <w:p w14:paraId="6194A298"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Quincuagésimo sexto.</w:t>
      </w:r>
      <w:r w:rsidRPr="00F006AF">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E2E8088" w14:textId="77777777" w:rsidR="006639DB" w:rsidRPr="00F006AF" w:rsidRDefault="006639DB">
      <w:pPr>
        <w:ind w:left="567" w:right="567"/>
        <w:jc w:val="both"/>
        <w:rPr>
          <w:rFonts w:ascii="Palatino Linotype" w:eastAsia="Palatino Linotype" w:hAnsi="Palatino Linotype" w:cs="Palatino Linotype"/>
          <w:i/>
        </w:rPr>
      </w:pPr>
    </w:p>
    <w:p w14:paraId="790596AD"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lastRenderedPageBreak/>
        <w:t>Quincuagésimo séptimo.</w:t>
      </w:r>
      <w:r w:rsidRPr="00F006AF">
        <w:rPr>
          <w:rFonts w:ascii="Palatino Linotype" w:eastAsia="Palatino Linotype" w:hAnsi="Palatino Linotype" w:cs="Palatino Linotype"/>
          <w:i/>
        </w:rPr>
        <w:t xml:space="preserve"> Se considera, en principio, como información pública y no podrá omitirse de las versiones públicas la siguiente:</w:t>
      </w:r>
    </w:p>
    <w:p w14:paraId="667270AB"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 xml:space="preserve"> </w:t>
      </w:r>
    </w:p>
    <w:p w14:paraId="4F5939D8"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2D0CF8A0"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65AACDD7"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4A7A864" w14:textId="77777777" w:rsidR="006639DB" w:rsidRPr="00F006AF" w:rsidRDefault="006639DB">
      <w:pPr>
        <w:ind w:left="567" w:right="567"/>
        <w:jc w:val="both"/>
        <w:rPr>
          <w:rFonts w:ascii="Palatino Linotype" w:eastAsia="Palatino Linotype" w:hAnsi="Palatino Linotype" w:cs="Palatino Linotype"/>
          <w:i/>
        </w:rPr>
      </w:pPr>
    </w:p>
    <w:p w14:paraId="0EF3E4C4"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F006AF">
        <w:rPr>
          <w:rFonts w:ascii="Palatino Linotype" w:eastAsia="Palatino Linotype" w:hAnsi="Palatino Linotype" w:cs="Palatino Linotype"/>
          <w:i/>
        </w:rPr>
        <w:t>internaciones suscritos</w:t>
      </w:r>
      <w:proofErr w:type="gramEnd"/>
      <w:r w:rsidRPr="00F006AF">
        <w:rPr>
          <w:rFonts w:ascii="Palatino Linotype" w:eastAsia="Palatino Linotype" w:hAnsi="Palatino Linotype" w:cs="Palatino Linotype"/>
          <w:i/>
        </w:rPr>
        <w:t xml:space="preserve"> por el Estado mexicano. </w:t>
      </w:r>
    </w:p>
    <w:p w14:paraId="3D9BDDEA" w14:textId="77777777" w:rsidR="006639DB" w:rsidRPr="00F006AF" w:rsidRDefault="006639DB">
      <w:pPr>
        <w:ind w:left="567" w:right="567"/>
        <w:jc w:val="both"/>
        <w:rPr>
          <w:rFonts w:ascii="Palatino Linotype" w:eastAsia="Palatino Linotype" w:hAnsi="Palatino Linotype" w:cs="Palatino Linotype"/>
          <w:i/>
        </w:rPr>
      </w:pPr>
    </w:p>
    <w:p w14:paraId="1F9D2204" w14:textId="77777777" w:rsidR="006639DB" w:rsidRPr="00F006AF" w:rsidRDefault="000E3CE0">
      <w:pPr>
        <w:ind w:left="567" w:right="567"/>
        <w:jc w:val="both"/>
        <w:rPr>
          <w:rFonts w:ascii="Palatino Linotype" w:eastAsia="Palatino Linotype" w:hAnsi="Palatino Linotype" w:cs="Palatino Linotype"/>
          <w:i/>
        </w:rPr>
      </w:pPr>
      <w:r w:rsidRPr="00F006AF">
        <w:rPr>
          <w:rFonts w:ascii="Palatino Linotype" w:eastAsia="Palatino Linotype" w:hAnsi="Palatino Linotype" w:cs="Palatino Linotype"/>
          <w:b/>
          <w:i/>
        </w:rPr>
        <w:t>Quincuagésimo octavo.</w:t>
      </w:r>
      <w:r w:rsidRPr="00F006AF">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la misma.</w:t>
      </w:r>
    </w:p>
    <w:p w14:paraId="6A2EBC48" w14:textId="77777777" w:rsidR="006639DB" w:rsidRPr="00F006AF" w:rsidRDefault="006639DB">
      <w:pPr>
        <w:spacing w:line="360" w:lineRule="auto"/>
        <w:jc w:val="both"/>
        <w:rPr>
          <w:rFonts w:ascii="Palatino Linotype" w:eastAsia="Palatino Linotype" w:hAnsi="Palatino Linotype" w:cs="Palatino Linotype"/>
          <w:i/>
        </w:rPr>
      </w:pPr>
    </w:p>
    <w:p w14:paraId="1DFA0547"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F006AF">
        <w:rPr>
          <w:rFonts w:ascii="Palatino Linotype" w:eastAsia="Palatino Linotype" w:hAnsi="Palatino Linotype" w:cs="Palatino Linotype"/>
        </w:rPr>
        <w:lastRenderedPageBreak/>
        <w:t>sea porque se testan o suprimen- deja al solicitante en estado de incertidumbre, al no conocer o comprender porque no aparecen en la documentación respectiva.</w:t>
      </w:r>
    </w:p>
    <w:p w14:paraId="1BA93695" w14:textId="77777777" w:rsidR="006639DB" w:rsidRPr="00F006AF" w:rsidRDefault="006639DB">
      <w:pPr>
        <w:spacing w:line="360" w:lineRule="auto"/>
        <w:jc w:val="both"/>
        <w:rPr>
          <w:rFonts w:ascii="Palatino Linotype" w:eastAsia="Palatino Linotype" w:hAnsi="Palatino Linotype" w:cs="Palatino Linotype"/>
        </w:rPr>
      </w:pPr>
    </w:p>
    <w:p w14:paraId="459FB809" w14:textId="77777777" w:rsidR="006639DB" w:rsidRPr="00F006AF" w:rsidRDefault="000E3CE0">
      <w:pPr>
        <w:spacing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rPr>
        <w:t>Por lo que respecta al Acuerdo del Comité de Transparencia que la sustente la versión pública, de la documentación a entregar, deberá ser notificado mediante el SAIMEX.</w:t>
      </w:r>
    </w:p>
    <w:p w14:paraId="1B641D2B" w14:textId="77777777" w:rsidR="006639DB" w:rsidRPr="00F006AF" w:rsidRDefault="006639DB">
      <w:pPr>
        <w:spacing w:line="360" w:lineRule="auto"/>
        <w:jc w:val="both"/>
        <w:rPr>
          <w:rFonts w:ascii="Palatino Linotype" w:eastAsia="Palatino Linotype" w:hAnsi="Palatino Linotype" w:cs="Palatino Linotype"/>
        </w:rPr>
      </w:pPr>
    </w:p>
    <w:p w14:paraId="6ABFC3AD" w14:textId="77777777" w:rsidR="006639DB" w:rsidRPr="00F006AF" w:rsidRDefault="000E3CE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006AF">
        <w:rPr>
          <w:rFonts w:ascii="Palatino Linotype" w:eastAsia="Palatino Linotype" w:hAnsi="Palatino Linotype" w:cs="Palatino Linotype"/>
          <w:color w:val="000000"/>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59C2A182" w14:textId="77777777" w:rsidR="006639DB" w:rsidRPr="00F006AF" w:rsidRDefault="000E3CE0">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F006AF">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ABAD404" w14:textId="77777777" w:rsidR="006639DB" w:rsidRPr="00F006AF" w:rsidRDefault="000E3CE0">
      <w:pPr>
        <w:numPr>
          <w:ilvl w:val="0"/>
          <w:numId w:val="8"/>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sidRPr="00F006AF">
        <w:rPr>
          <w:rFonts w:ascii="Palatino Linotype" w:eastAsia="Palatino Linotype" w:hAnsi="Palatino Linotype" w:cs="Palatino Linotype"/>
          <w:b/>
          <w:color w:val="000000"/>
        </w:rPr>
        <w:t>R E S U E L V E</w:t>
      </w:r>
    </w:p>
    <w:p w14:paraId="0C64647D" w14:textId="77777777" w:rsidR="006639DB" w:rsidRPr="00F006AF" w:rsidRDefault="000E3CE0">
      <w:pPr>
        <w:spacing w:before="240" w:after="240" w:line="360" w:lineRule="auto"/>
        <w:jc w:val="both"/>
        <w:rPr>
          <w:rFonts w:ascii="Palatino Linotype" w:eastAsia="Palatino Linotype" w:hAnsi="Palatino Linotype" w:cs="Palatino Linotype"/>
          <w:b/>
        </w:rPr>
      </w:pPr>
      <w:r w:rsidRPr="00F006AF">
        <w:rPr>
          <w:rFonts w:ascii="Palatino Linotype" w:eastAsia="Palatino Linotype" w:hAnsi="Palatino Linotype" w:cs="Palatino Linotype"/>
          <w:b/>
        </w:rPr>
        <w:t>Primero</w:t>
      </w:r>
      <w:r w:rsidRPr="00F006AF">
        <w:rPr>
          <w:rFonts w:ascii="Palatino Linotype" w:eastAsia="Palatino Linotype" w:hAnsi="Palatino Linotype" w:cs="Palatino Linotype"/>
        </w:rPr>
        <w:t xml:space="preserve">. Resultan parcialmente fundados los motivos de inconformidad planteados por la parte </w:t>
      </w:r>
      <w:r w:rsidRPr="00F006AF">
        <w:rPr>
          <w:rFonts w:ascii="Palatino Linotype" w:eastAsia="Palatino Linotype" w:hAnsi="Palatino Linotype" w:cs="Palatino Linotype"/>
          <w:b/>
        </w:rPr>
        <w:t>Recurrente</w:t>
      </w:r>
      <w:r w:rsidRPr="00F006AF">
        <w:rPr>
          <w:rFonts w:ascii="Palatino Linotype" w:eastAsia="Palatino Linotype" w:hAnsi="Palatino Linotype" w:cs="Palatino Linotype"/>
          <w:b/>
          <w:i/>
        </w:rPr>
        <w:t xml:space="preserve"> </w:t>
      </w:r>
      <w:r w:rsidRPr="00F006AF">
        <w:rPr>
          <w:rFonts w:ascii="Palatino Linotype" w:eastAsia="Palatino Linotype" w:hAnsi="Palatino Linotype" w:cs="Palatino Linotype"/>
        </w:rPr>
        <w:t xml:space="preserve">en el recurso de revisión </w:t>
      </w:r>
      <w:r w:rsidRPr="00F006AF">
        <w:rPr>
          <w:rFonts w:ascii="Palatino Linotype" w:eastAsia="Palatino Linotype" w:hAnsi="Palatino Linotype" w:cs="Palatino Linotype"/>
          <w:b/>
          <w:sz w:val="22"/>
          <w:szCs w:val="22"/>
        </w:rPr>
        <w:t>00204/INFOEM/IP/RR/2023</w:t>
      </w:r>
      <w:r w:rsidRPr="00F006AF">
        <w:rPr>
          <w:rFonts w:ascii="Palatino Linotype" w:eastAsia="Palatino Linotype" w:hAnsi="Palatino Linotype" w:cs="Palatino Linotype"/>
        </w:rPr>
        <w:t xml:space="preserve">, por lo que, en términos del </w:t>
      </w:r>
      <w:r w:rsidRPr="00F006AF">
        <w:rPr>
          <w:rFonts w:ascii="Palatino Linotype" w:eastAsia="Palatino Linotype" w:hAnsi="Palatino Linotype" w:cs="Palatino Linotype"/>
          <w:b/>
        </w:rPr>
        <w:t>Considerando Cuarto</w:t>
      </w:r>
      <w:r w:rsidRPr="00F006AF">
        <w:rPr>
          <w:rFonts w:ascii="Palatino Linotype" w:eastAsia="Palatino Linotype" w:hAnsi="Palatino Linotype" w:cs="Palatino Linotype"/>
        </w:rPr>
        <w:t xml:space="preserve"> de la presente resolución, se </w:t>
      </w:r>
      <w:r w:rsidRPr="00F006AF">
        <w:rPr>
          <w:rFonts w:ascii="Palatino Linotype" w:eastAsia="Palatino Linotype" w:hAnsi="Palatino Linotype" w:cs="Palatino Linotype"/>
          <w:b/>
        </w:rPr>
        <w:t>Modifica</w:t>
      </w:r>
      <w:r w:rsidRPr="00F006AF">
        <w:rPr>
          <w:rFonts w:ascii="Palatino Linotype" w:eastAsia="Palatino Linotype" w:hAnsi="Palatino Linotype" w:cs="Palatino Linotype"/>
        </w:rPr>
        <w:t xml:space="preserve"> la respuesta emitida por el </w:t>
      </w:r>
      <w:r w:rsidRPr="00F006AF">
        <w:rPr>
          <w:rFonts w:ascii="Palatino Linotype" w:eastAsia="Palatino Linotype" w:hAnsi="Palatino Linotype" w:cs="Palatino Linotype"/>
          <w:b/>
        </w:rPr>
        <w:t xml:space="preserve">Sujeto Obligado </w:t>
      </w:r>
    </w:p>
    <w:p w14:paraId="026FCA62" w14:textId="77777777" w:rsidR="006639DB" w:rsidRPr="00F006AF" w:rsidRDefault="000E3CE0">
      <w:pPr>
        <w:spacing w:before="240" w:after="240" w:line="360" w:lineRule="auto"/>
        <w:ind w:right="49"/>
        <w:jc w:val="both"/>
        <w:rPr>
          <w:rFonts w:ascii="Palatino Linotype" w:eastAsia="Palatino Linotype" w:hAnsi="Palatino Linotype" w:cs="Palatino Linotype"/>
        </w:rPr>
      </w:pPr>
      <w:r w:rsidRPr="00F006AF">
        <w:rPr>
          <w:rFonts w:ascii="Palatino Linotype" w:eastAsia="Palatino Linotype" w:hAnsi="Palatino Linotype" w:cs="Palatino Linotype"/>
          <w:b/>
        </w:rPr>
        <w:lastRenderedPageBreak/>
        <w:t>Segundo.</w:t>
      </w:r>
      <w:r w:rsidRPr="00F006AF">
        <w:rPr>
          <w:rFonts w:ascii="Palatino Linotype" w:eastAsia="Palatino Linotype" w:hAnsi="Palatino Linotype" w:cs="Palatino Linotype"/>
          <w:b/>
          <w:sz w:val="28"/>
          <w:szCs w:val="28"/>
        </w:rPr>
        <w:t xml:space="preserve"> </w:t>
      </w:r>
      <w:r w:rsidRPr="00F006AF">
        <w:rPr>
          <w:rFonts w:ascii="Palatino Linotype" w:eastAsia="Palatino Linotype" w:hAnsi="Palatino Linotype" w:cs="Palatino Linotype"/>
        </w:rPr>
        <w:t xml:space="preserve">Se </w:t>
      </w:r>
      <w:r w:rsidRPr="00F006AF">
        <w:rPr>
          <w:rFonts w:ascii="Palatino Linotype" w:eastAsia="Palatino Linotype" w:hAnsi="Palatino Linotype" w:cs="Palatino Linotype"/>
          <w:b/>
        </w:rPr>
        <w:t>Ordena</w:t>
      </w:r>
      <w:r w:rsidRPr="00F006AF">
        <w:rPr>
          <w:rFonts w:ascii="Palatino Linotype" w:eastAsia="Palatino Linotype" w:hAnsi="Palatino Linotype" w:cs="Palatino Linotype"/>
        </w:rPr>
        <w:t xml:space="preserve"> al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a que, en términos de los </w:t>
      </w:r>
      <w:r w:rsidRPr="00F006AF">
        <w:rPr>
          <w:rFonts w:ascii="Palatino Linotype" w:eastAsia="Palatino Linotype" w:hAnsi="Palatino Linotype" w:cs="Palatino Linotype"/>
          <w:b/>
        </w:rPr>
        <w:t>Considerandos Cuarto y Quinto</w:t>
      </w:r>
      <w:r w:rsidRPr="00F006AF">
        <w:rPr>
          <w:rFonts w:ascii="Palatino Linotype" w:eastAsia="Palatino Linotype" w:hAnsi="Palatino Linotype" w:cs="Palatino Linotype"/>
        </w:rPr>
        <w:t>, haga entrega, previa búsqueda exhaustiva y razonable, vía Sistema de Acceso a la Información Mexiquense, de ser procedente en versión pública, lo siguiente:</w:t>
      </w:r>
    </w:p>
    <w:p w14:paraId="15B3C335" w14:textId="77777777" w:rsidR="006639DB" w:rsidRPr="00F006AF" w:rsidRDefault="000E3CE0">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 xml:space="preserve">El Número de responsabilidades fincadas y/o sanciones que se ejecutaron a servidores públicos de la </w:t>
      </w:r>
      <w:r w:rsidRPr="00F006AF">
        <w:rPr>
          <w:rFonts w:ascii="Palatino Linotype" w:eastAsia="Palatino Linotype" w:hAnsi="Palatino Linotype" w:cs="Palatino Linotype"/>
          <w:i/>
          <w:sz w:val="22"/>
          <w:szCs w:val="22"/>
        </w:rPr>
        <w:t>Secretaría</w:t>
      </w:r>
      <w:r w:rsidRPr="00F006AF">
        <w:rPr>
          <w:rFonts w:ascii="Palatino Linotype" w:eastAsia="Palatino Linotype" w:hAnsi="Palatino Linotype" w:cs="Palatino Linotype"/>
          <w:i/>
          <w:color w:val="000000"/>
          <w:sz w:val="22"/>
          <w:szCs w:val="22"/>
        </w:rPr>
        <w:t xml:space="preserve"> de Finanzas derivado del incumplimiento al Programa Anual de Evaluación PAE, a la Normatividad aplicable al </w:t>
      </w:r>
      <w:proofErr w:type="gramStart"/>
      <w:r w:rsidRPr="00F006AF">
        <w:rPr>
          <w:rFonts w:ascii="Palatino Linotype" w:eastAsia="Palatino Linotype" w:hAnsi="Palatino Linotype" w:cs="Palatino Linotype"/>
          <w:i/>
          <w:color w:val="000000"/>
          <w:sz w:val="22"/>
          <w:szCs w:val="22"/>
        </w:rPr>
        <w:t>PAE  y</w:t>
      </w:r>
      <w:proofErr w:type="gramEnd"/>
      <w:r w:rsidRPr="00F006AF">
        <w:rPr>
          <w:rFonts w:ascii="Palatino Linotype" w:eastAsia="Palatino Linotype" w:hAnsi="Palatino Linotype" w:cs="Palatino Linotype"/>
          <w:i/>
          <w:color w:val="000000"/>
          <w:sz w:val="22"/>
          <w:szCs w:val="22"/>
        </w:rPr>
        <w:t xml:space="preserve">  a cada Convenio para la Mejora del Desempeño y Resultados Gubernamentales, desde el 2013 hasta el año 2021.</w:t>
      </w:r>
    </w:p>
    <w:p w14:paraId="2C54852D" w14:textId="77777777" w:rsidR="006639DB" w:rsidRPr="00F006AF" w:rsidRDefault="000E3CE0">
      <w:pPr>
        <w:pBdr>
          <w:top w:val="nil"/>
          <w:left w:val="nil"/>
          <w:bottom w:val="nil"/>
          <w:right w:val="nil"/>
          <w:between w:val="nil"/>
        </w:pBdr>
        <w:ind w:left="927" w:right="900"/>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 xml:space="preserve"> </w:t>
      </w:r>
    </w:p>
    <w:p w14:paraId="4185CD50" w14:textId="77777777" w:rsidR="006639DB" w:rsidRPr="00F006AF" w:rsidRDefault="000E3CE0">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sidRPr="00F006AF">
        <w:rPr>
          <w:rFonts w:ascii="Palatino Linotype" w:eastAsia="Palatino Linotype" w:hAnsi="Palatino Linotype" w:cs="Palatino Linotype"/>
          <w:i/>
          <w:color w:val="000000"/>
          <w:sz w:val="22"/>
          <w:szCs w:val="22"/>
        </w:rPr>
        <w:t xml:space="preserve">Las documentales comprobatorias de capacitación recibida en materia de Gestión para Resultados que incluyen: el Presupuesto Basado en Resultados, el Sistema de Evaluación del Desempeño y la Metodología del Marco Lógico, referidas en informe justificado; y, </w:t>
      </w:r>
    </w:p>
    <w:p w14:paraId="45225838" w14:textId="77777777" w:rsidR="006639DB" w:rsidRPr="00F006AF" w:rsidRDefault="006639DB">
      <w:pPr>
        <w:pBdr>
          <w:top w:val="nil"/>
          <w:left w:val="nil"/>
          <w:bottom w:val="nil"/>
          <w:right w:val="nil"/>
          <w:between w:val="nil"/>
        </w:pBdr>
        <w:ind w:left="1287" w:right="900"/>
        <w:jc w:val="both"/>
        <w:rPr>
          <w:rFonts w:ascii="Palatino Linotype" w:eastAsia="Palatino Linotype" w:hAnsi="Palatino Linotype" w:cs="Palatino Linotype"/>
          <w:i/>
          <w:color w:val="000000"/>
          <w:sz w:val="22"/>
          <w:szCs w:val="22"/>
        </w:rPr>
      </w:pPr>
    </w:p>
    <w:p w14:paraId="519F343C" w14:textId="77777777" w:rsidR="006639DB" w:rsidRPr="00F006AF" w:rsidRDefault="000E3CE0">
      <w:pPr>
        <w:ind w:left="851" w:right="616"/>
        <w:jc w:val="both"/>
        <w:rPr>
          <w:rFonts w:ascii="Palatino Linotype" w:eastAsia="Palatino Linotype" w:hAnsi="Palatino Linotype" w:cs="Palatino Linotype"/>
          <w:i/>
          <w:sz w:val="22"/>
          <w:szCs w:val="22"/>
        </w:rPr>
      </w:pPr>
      <w:r w:rsidRPr="00F006AF">
        <w:rPr>
          <w:rFonts w:ascii="Palatino Linotype" w:eastAsia="Palatino Linotype" w:hAnsi="Palatino Linotype" w:cs="Palatino Linotype"/>
          <w:i/>
          <w:sz w:val="22"/>
          <w:szCs w:val="22"/>
        </w:rPr>
        <w:t xml:space="preserve">De ser necesaria la versión pública se deberá emitir el Acuerdo del Comité de Transparencia, en el que funde y motive las razones sobre los datos que se supriman o eliminen y se ponga a disposición de la parte </w:t>
      </w:r>
      <w:r w:rsidRPr="00F006AF">
        <w:rPr>
          <w:rFonts w:ascii="Palatino Linotype" w:eastAsia="Palatino Linotype" w:hAnsi="Palatino Linotype" w:cs="Palatino Linotype"/>
          <w:b/>
          <w:i/>
          <w:sz w:val="22"/>
          <w:szCs w:val="22"/>
        </w:rPr>
        <w:t>Recurrente</w:t>
      </w:r>
      <w:r w:rsidRPr="00F006AF">
        <w:rPr>
          <w:rFonts w:ascii="Palatino Linotype" w:eastAsia="Palatino Linotype" w:hAnsi="Palatino Linotype" w:cs="Palatino Linotype"/>
          <w:i/>
          <w:sz w:val="22"/>
          <w:szCs w:val="22"/>
        </w:rPr>
        <w:t>.</w:t>
      </w:r>
    </w:p>
    <w:p w14:paraId="63A3BE1B" w14:textId="77777777" w:rsidR="006639DB" w:rsidRPr="00F006AF" w:rsidRDefault="006639DB">
      <w:pPr>
        <w:ind w:left="851" w:right="616"/>
        <w:jc w:val="both"/>
        <w:rPr>
          <w:rFonts w:ascii="Palatino Linotype" w:eastAsia="Palatino Linotype" w:hAnsi="Palatino Linotype" w:cs="Palatino Linotype"/>
          <w:i/>
        </w:rPr>
      </w:pPr>
    </w:p>
    <w:p w14:paraId="1BC1099F"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Tercero.</w:t>
      </w:r>
      <w:r w:rsidRPr="00F006AF">
        <w:rPr>
          <w:rFonts w:ascii="Palatino Linotype" w:eastAsia="Palatino Linotype" w:hAnsi="Palatino Linotype" w:cs="Palatino Linotype"/>
          <w:b/>
          <w:sz w:val="28"/>
          <w:szCs w:val="28"/>
        </w:rPr>
        <w:t xml:space="preserve">  </w:t>
      </w:r>
      <w:r w:rsidRPr="00F006AF">
        <w:rPr>
          <w:rFonts w:ascii="Palatino Linotype" w:eastAsia="Palatino Linotype" w:hAnsi="Palatino Linotype" w:cs="Palatino Linotype"/>
          <w:b/>
        </w:rPr>
        <w:t xml:space="preserve">Notifíquese, </w:t>
      </w:r>
      <w:r w:rsidRPr="00F006AF">
        <w:rPr>
          <w:rFonts w:ascii="Palatino Linotype" w:eastAsia="Palatino Linotype" w:hAnsi="Palatino Linotype" w:cs="Palatino Linotype"/>
        </w:rPr>
        <w:t xml:space="preserve">vía </w:t>
      </w:r>
      <w:r w:rsidRPr="00F006AF">
        <w:rPr>
          <w:rFonts w:ascii="Palatino Linotype" w:eastAsia="Palatino Linotype" w:hAnsi="Palatino Linotype" w:cs="Palatino Linotype"/>
          <w:b/>
        </w:rPr>
        <w:t>SAIMEX</w:t>
      </w:r>
      <w:r w:rsidRPr="00F006AF">
        <w:rPr>
          <w:rFonts w:ascii="Palatino Linotype" w:eastAsia="Palatino Linotype" w:hAnsi="Palatino Linotype" w:cs="Palatino Linotype"/>
        </w:rPr>
        <w:t xml:space="preserve">, al Titular de la Unidad de Transparencia del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F006AF">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579ADD3F" w14:textId="77777777" w:rsidR="006639DB" w:rsidRPr="00F006AF" w:rsidRDefault="000E3CE0">
      <w:pPr>
        <w:spacing w:before="240" w:after="240" w:line="360" w:lineRule="auto"/>
        <w:jc w:val="both"/>
        <w:rPr>
          <w:rFonts w:ascii="Palatino Linotype" w:eastAsia="Palatino Linotype" w:hAnsi="Palatino Linotype" w:cs="Palatino Linotype"/>
        </w:rPr>
      </w:pPr>
      <w:r w:rsidRPr="00F006AF">
        <w:rPr>
          <w:rFonts w:ascii="Palatino Linotype" w:eastAsia="Palatino Linotype" w:hAnsi="Palatino Linotype" w:cs="Palatino Linotype"/>
          <w:b/>
        </w:rPr>
        <w:t>Cuarto.</w:t>
      </w:r>
      <w:r w:rsidRPr="00F006AF">
        <w:rPr>
          <w:rFonts w:ascii="Palatino Linotype" w:eastAsia="Palatino Linotype" w:hAnsi="Palatino Linotype" w:cs="Palatino Linotype"/>
          <w:b/>
          <w:sz w:val="28"/>
          <w:szCs w:val="28"/>
        </w:rPr>
        <w:t xml:space="preserve"> </w:t>
      </w:r>
      <w:r w:rsidRPr="00F006A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006AF">
        <w:rPr>
          <w:rFonts w:ascii="Palatino Linotype" w:eastAsia="Palatino Linotype" w:hAnsi="Palatino Linotype" w:cs="Palatino Linotype"/>
          <w:b/>
        </w:rPr>
        <w:t>Sujeto Obligado</w:t>
      </w:r>
      <w:r w:rsidRPr="00F006AF">
        <w:rPr>
          <w:rFonts w:ascii="Palatino Linotype" w:eastAsia="Palatino Linotype" w:hAnsi="Palatino Linotype" w:cs="Palatino Linotype"/>
        </w:rPr>
        <w:t xml:space="preserve"> de manera fundada y motivada, podrá solicitar una ampliación de plazo para el cumplimiento de la presente resolución.</w:t>
      </w:r>
    </w:p>
    <w:p w14:paraId="6B269479" w14:textId="77777777" w:rsidR="006639DB" w:rsidRPr="00F006AF" w:rsidRDefault="000E3CE0">
      <w:pPr>
        <w:spacing w:line="360" w:lineRule="auto"/>
        <w:ind w:right="49"/>
        <w:jc w:val="both"/>
        <w:rPr>
          <w:rFonts w:ascii="Palatino Linotype" w:eastAsia="Palatino Linotype" w:hAnsi="Palatino Linotype" w:cs="Palatino Linotype"/>
        </w:rPr>
      </w:pPr>
      <w:r w:rsidRPr="00F006AF">
        <w:rPr>
          <w:rFonts w:ascii="Palatino Linotype" w:eastAsia="Palatino Linotype" w:hAnsi="Palatino Linotype" w:cs="Palatino Linotype"/>
          <w:b/>
        </w:rPr>
        <w:t xml:space="preserve">Quinto. </w:t>
      </w:r>
      <w:r w:rsidRPr="00F006AF">
        <w:rPr>
          <w:rFonts w:ascii="Palatino Linotype" w:eastAsia="Palatino Linotype" w:hAnsi="Palatino Linotype" w:cs="Palatino Linotype"/>
        </w:rPr>
        <w:t>Notifíquese,</w:t>
      </w:r>
      <w:r w:rsidRPr="00F006AF">
        <w:rPr>
          <w:rFonts w:ascii="Palatino Linotype" w:eastAsia="Palatino Linotype" w:hAnsi="Palatino Linotype" w:cs="Palatino Linotype"/>
          <w:b/>
        </w:rPr>
        <w:t xml:space="preserve"> </w:t>
      </w:r>
      <w:r w:rsidRPr="00F006AF">
        <w:rPr>
          <w:rFonts w:ascii="Palatino Linotype" w:eastAsia="Palatino Linotype" w:hAnsi="Palatino Linotype" w:cs="Palatino Linotype"/>
        </w:rPr>
        <w:t xml:space="preserve">a la parte </w:t>
      </w:r>
      <w:r w:rsidRPr="00F006AF">
        <w:rPr>
          <w:rFonts w:ascii="Palatino Linotype" w:eastAsia="Palatino Linotype" w:hAnsi="Palatino Linotype" w:cs="Palatino Linotype"/>
          <w:b/>
        </w:rPr>
        <w:t xml:space="preserve">Recurrente vía Sistema de Acceso a la Información Mexiquense (SAIMEX), </w:t>
      </w:r>
      <w:r w:rsidRPr="00F006AF">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21AD6F3" w14:textId="77777777" w:rsidR="006639DB" w:rsidRPr="00F006AF" w:rsidRDefault="006639DB">
      <w:pPr>
        <w:spacing w:line="360" w:lineRule="auto"/>
        <w:ind w:right="49"/>
        <w:jc w:val="both"/>
        <w:rPr>
          <w:rFonts w:ascii="Palatino Linotype" w:eastAsia="Palatino Linotype" w:hAnsi="Palatino Linotype" w:cs="Palatino Linotype"/>
        </w:rPr>
      </w:pPr>
    </w:p>
    <w:p w14:paraId="1AB4FED2" w14:textId="77777777" w:rsidR="006639DB" w:rsidRDefault="000E3CE0">
      <w:pPr>
        <w:spacing w:line="360" w:lineRule="auto"/>
        <w:ind w:right="49"/>
        <w:jc w:val="both"/>
        <w:rPr>
          <w:rFonts w:ascii="Palatino Linotype" w:eastAsia="Palatino Linotype" w:hAnsi="Palatino Linotype" w:cs="Palatino Linotype"/>
        </w:rPr>
      </w:pPr>
      <w:r w:rsidRPr="00F006A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w:t>
      </w:r>
    </w:p>
    <w:p w14:paraId="2CA09043" w14:textId="77777777" w:rsidR="006639DB" w:rsidRDefault="006639DB">
      <w:pPr>
        <w:spacing w:line="360" w:lineRule="auto"/>
        <w:ind w:right="49"/>
        <w:jc w:val="both"/>
        <w:rPr>
          <w:rFonts w:ascii="Palatino Linotype" w:eastAsia="Palatino Linotype" w:hAnsi="Palatino Linotype" w:cs="Palatino Linotype"/>
        </w:rPr>
      </w:pPr>
    </w:p>
    <w:p w14:paraId="26CB293E" w14:textId="77777777" w:rsidR="006639DB" w:rsidRDefault="006639DB">
      <w:pPr>
        <w:spacing w:line="360" w:lineRule="auto"/>
        <w:ind w:right="49"/>
        <w:jc w:val="both"/>
        <w:rPr>
          <w:rFonts w:ascii="Palatino Linotype" w:eastAsia="Palatino Linotype" w:hAnsi="Palatino Linotype" w:cs="Palatino Linotype"/>
        </w:rPr>
      </w:pPr>
    </w:p>
    <w:p w14:paraId="5AF9ED43" w14:textId="77777777" w:rsidR="006639DB" w:rsidRDefault="006639DB">
      <w:pPr>
        <w:spacing w:line="360" w:lineRule="auto"/>
        <w:ind w:right="49"/>
        <w:jc w:val="both"/>
        <w:rPr>
          <w:rFonts w:ascii="Palatino Linotype" w:eastAsia="Palatino Linotype" w:hAnsi="Palatino Linotype" w:cs="Palatino Linotype"/>
        </w:rPr>
      </w:pPr>
    </w:p>
    <w:p w14:paraId="411016F4" w14:textId="77777777" w:rsidR="006639DB" w:rsidRDefault="006639DB">
      <w:pPr>
        <w:spacing w:line="360" w:lineRule="auto"/>
        <w:ind w:right="49"/>
        <w:jc w:val="both"/>
        <w:rPr>
          <w:rFonts w:ascii="Palatino Linotype" w:eastAsia="Palatino Linotype" w:hAnsi="Palatino Linotype" w:cs="Palatino Linotype"/>
        </w:rPr>
      </w:pPr>
    </w:p>
    <w:p w14:paraId="214D72E6" w14:textId="77777777" w:rsidR="006639DB" w:rsidRDefault="006639DB">
      <w:pPr>
        <w:spacing w:line="360" w:lineRule="auto"/>
        <w:ind w:right="49"/>
        <w:jc w:val="both"/>
        <w:rPr>
          <w:rFonts w:ascii="Palatino Linotype" w:eastAsia="Palatino Linotype" w:hAnsi="Palatino Linotype" w:cs="Palatino Linotype"/>
        </w:rPr>
      </w:pPr>
    </w:p>
    <w:p w14:paraId="333D9661" w14:textId="77777777" w:rsidR="006639DB" w:rsidRDefault="006639DB">
      <w:pPr>
        <w:spacing w:line="360" w:lineRule="auto"/>
        <w:ind w:right="49"/>
        <w:jc w:val="both"/>
        <w:rPr>
          <w:rFonts w:ascii="Palatino Linotype" w:eastAsia="Palatino Linotype" w:hAnsi="Palatino Linotype" w:cs="Palatino Linotype"/>
        </w:rPr>
      </w:pPr>
    </w:p>
    <w:p w14:paraId="5CBEE340" w14:textId="77777777" w:rsidR="006639DB" w:rsidRDefault="006639DB">
      <w:pPr>
        <w:spacing w:before="240" w:after="240" w:line="360" w:lineRule="auto"/>
        <w:jc w:val="both"/>
        <w:rPr>
          <w:rFonts w:ascii="Palatino Linotype" w:eastAsia="Palatino Linotype" w:hAnsi="Palatino Linotype" w:cs="Palatino Linotype"/>
        </w:rPr>
      </w:pPr>
    </w:p>
    <w:sectPr w:rsidR="006639DB">
      <w:headerReference w:type="default" r:id="rId50"/>
      <w:footerReference w:type="default" r:id="rId51"/>
      <w:headerReference w:type="first" r:id="rId52"/>
      <w:footerReference w:type="first" r:id="rId53"/>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3DC54" w14:textId="77777777" w:rsidR="00DD72B7" w:rsidRDefault="00DD72B7">
      <w:r>
        <w:separator/>
      </w:r>
    </w:p>
  </w:endnote>
  <w:endnote w:type="continuationSeparator" w:id="0">
    <w:p w14:paraId="186F922E" w14:textId="77777777" w:rsidR="00DD72B7" w:rsidRDefault="00DD7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7D9C" w14:textId="77777777" w:rsidR="006639DB" w:rsidRDefault="000E3C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3B03">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3B03">
      <w:rPr>
        <w:rFonts w:ascii="Arial" w:eastAsia="Arial" w:hAnsi="Arial" w:cs="Arial"/>
        <w:b/>
        <w:noProof/>
        <w:color w:val="000000"/>
        <w:sz w:val="20"/>
        <w:szCs w:val="20"/>
      </w:rPr>
      <w:t>69</w:t>
    </w:r>
    <w:r>
      <w:rPr>
        <w:rFonts w:ascii="Arial" w:eastAsia="Arial" w:hAnsi="Arial" w:cs="Arial"/>
        <w:b/>
        <w:color w:val="000000"/>
        <w:sz w:val="20"/>
        <w:szCs w:val="20"/>
      </w:rPr>
      <w:fldChar w:fldCharType="end"/>
    </w:r>
  </w:p>
  <w:p w14:paraId="2575C8FA" w14:textId="77777777" w:rsidR="006639DB" w:rsidRDefault="006639DB">
    <w:pPr>
      <w:pBdr>
        <w:top w:val="nil"/>
        <w:left w:val="nil"/>
        <w:bottom w:val="nil"/>
        <w:right w:val="nil"/>
        <w:between w:val="nil"/>
      </w:pBdr>
      <w:tabs>
        <w:tab w:val="center" w:pos="4252"/>
        <w:tab w:val="right" w:pos="8504"/>
      </w:tabs>
      <w:rPr>
        <w:color w:val="000000"/>
      </w:rPr>
    </w:pPr>
  </w:p>
  <w:p w14:paraId="32ABE9AD" w14:textId="77777777" w:rsidR="006639DB" w:rsidRDefault="006639DB">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083056EF" w14:textId="77777777" w:rsidR="006639DB" w:rsidRDefault="006639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2F12" w14:textId="77777777" w:rsidR="006639DB" w:rsidRDefault="000E3C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3B0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3B03">
      <w:rPr>
        <w:rFonts w:ascii="Arial" w:eastAsia="Arial" w:hAnsi="Arial" w:cs="Arial"/>
        <w:b/>
        <w:noProof/>
        <w:color w:val="000000"/>
        <w:sz w:val="20"/>
        <w:szCs w:val="20"/>
      </w:rPr>
      <w:t>69</w:t>
    </w:r>
    <w:r>
      <w:rPr>
        <w:rFonts w:ascii="Arial" w:eastAsia="Arial" w:hAnsi="Arial" w:cs="Arial"/>
        <w:b/>
        <w:color w:val="000000"/>
        <w:sz w:val="20"/>
        <w:szCs w:val="20"/>
      </w:rPr>
      <w:fldChar w:fldCharType="end"/>
    </w:r>
  </w:p>
  <w:p w14:paraId="572FC8AA" w14:textId="77777777" w:rsidR="006639DB" w:rsidRDefault="006639DB">
    <w:pPr>
      <w:pBdr>
        <w:top w:val="nil"/>
        <w:left w:val="nil"/>
        <w:bottom w:val="nil"/>
        <w:right w:val="nil"/>
        <w:between w:val="nil"/>
      </w:pBdr>
      <w:tabs>
        <w:tab w:val="center" w:pos="4252"/>
        <w:tab w:val="right" w:pos="8504"/>
      </w:tabs>
      <w:rPr>
        <w:rFonts w:ascii="Cambria" w:eastAsia="Cambria" w:hAnsi="Cambria" w:cs="Cambria"/>
        <w:color w:val="000000"/>
      </w:rPr>
    </w:pPr>
  </w:p>
  <w:p w14:paraId="5F31F6CD" w14:textId="77777777" w:rsidR="006639DB" w:rsidRDefault="00663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7FBB4" w14:textId="77777777" w:rsidR="00DD72B7" w:rsidRDefault="00DD72B7">
      <w:r>
        <w:separator/>
      </w:r>
    </w:p>
  </w:footnote>
  <w:footnote w:type="continuationSeparator" w:id="0">
    <w:p w14:paraId="7D92ADE5" w14:textId="77777777" w:rsidR="00DD72B7" w:rsidRDefault="00DD72B7">
      <w:r>
        <w:continuationSeparator/>
      </w:r>
    </w:p>
  </w:footnote>
  <w:footnote w:id="1">
    <w:p w14:paraId="0D8936EC" w14:textId="77777777" w:rsidR="006639DB" w:rsidRDefault="000E3CE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LGEPPGEM: Lineamientos Generales para la Evaluación de los Programas</w:t>
      </w:r>
    </w:p>
    <w:p w14:paraId="640CB49A" w14:textId="77777777" w:rsidR="006639DB" w:rsidRDefault="000E3CE0">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Presupuestarios del Gobierno del Estado de México</w:t>
      </w:r>
    </w:p>
  </w:footnote>
  <w:footnote w:id="2">
    <w:p w14:paraId="567972FA" w14:textId="77777777" w:rsidR="006639DB" w:rsidRDefault="000E3CE0">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068D" w14:textId="77777777" w:rsidR="006639DB" w:rsidRDefault="006639DB">
    <w:pPr>
      <w:widowControl w:val="0"/>
      <w:pBdr>
        <w:top w:val="nil"/>
        <w:left w:val="nil"/>
        <w:bottom w:val="nil"/>
        <w:right w:val="nil"/>
        <w:between w:val="nil"/>
      </w:pBdr>
      <w:spacing w:line="276" w:lineRule="auto"/>
    </w:pPr>
  </w:p>
  <w:tbl>
    <w:tblPr>
      <w:tblStyle w:val="a0"/>
      <w:tblW w:w="6240" w:type="dxa"/>
      <w:tblInd w:w="3746" w:type="dxa"/>
      <w:tblLayout w:type="fixed"/>
      <w:tblLook w:val="0400" w:firstRow="0" w:lastRow="0" w:firstColumn="0" w:lastColumn="0" w:noHBand="0" w:noVBand="1"/>
    </w:tblPr>
    <w:tblGrid>
      <w:gridCol w:w="2553"/>
      <w:gridCol w:w="3687"/>
    </w:tblGrid>
    <w:tr w:rsidR="006639DB" w14:paraId="22339DF3" w14:textId="77777777">
      <w:tc>
        <w:tcPr>
          <w:tcW w:w="2553" w:type="dxa"/>
          <w:vAlign w:val="center"/>
        </w:tcPr>
        <w:p w14:paraId="138C228C"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21607BD" w14:textId="77777777" w:rsidR="006639DB" w:rsidRDefault="000E3CE0">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00204/INFOEM/IP/RR/2023</w:t>
          </w:r>
        </w:p>
      </w:tc>
    </w:tr>
    <w:tr w:rsidR="006639DB" w14:paraId="7593B9CD" w14:textId="77777777">
      <w:trPr>
        <w:trHeight w:val="228"/>
      </w:trPr>
      <w:tc>
        <w:tcPr>
          <w:tcW w:w="2553" w:type="dxa"/>
          <w:vAlign w:val="center"/>
        </w:tcPr>
        <w:p w14:paraId="313F4747"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39E2AA9" w14:textId="77777777" w:rsidR="006639DB" w:rsidRDefault="006639DB">
          <w:pPr>
            <w:ind w:right="954"/>
            <w:jc w:val="both"/>
            <w:rPr>
              <w:rFonts w:ascii="Palatino Linotype" w:eastAsia="Palatino Linotype" w:hAnsi="Palatino Linotype" w:cs="Palatino Linotype"/>
              <w:b/>
              <w:sz w:val="22"/>
              <w:szCs w:val="22"/>
            </w:rPr>
          </w:pPr>
        </w:p>
        <w:p w14:paraId="45D77441" w14:textId="77777777" w:rsidR="006639DB" w:rsidRDefault="000E3CE0">
          <w:pPr>
            <w:ind w:right="95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6639DB" w14:paraId="348FA068" w14:textId="77777777">
      <w:tc>
        <w:tcPr>
          <w:tcW w:w="2553" w:type="dxa"/>
          <w:vAlign w:val="center"/>
        </w:tcPr>
        <w:p w14:paraId="3F4BE5A8"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DB6455B" w14:textId="77777777" w:rsidR="006639DB" w:rsidRDefault="000E3CE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098249" w14:textId="77777777" w:rsidR="006639DB" w:rsidRDefault="000E3CE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76BDA09C" wp14:editId="63C76DFE">
          <wp:simplePos x="0" y="0"/>
          <wp:positionH relativeFrom="column">
            <wp:posOffset>-982344</wp:posOffset>
          </wp:positionH>
          <wp:positionV relativeFrom="paragraph">
            <wp:posOffset>-1108074</wp:posOffset>
          </wp:positionV>
          <wp:extent cx="7635600" cy="9943200"/>
          <wp:effectExtent l="0" t="0" r="0" b="0"/>
          <wp:wrapNone/>
          <wp:docPr id="59"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14:paraId="58D7EF74" w14:textId="77777777" w:rsidR="006639DB" w:rsidRDefault="006639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7658" w14:textId="77777777" w:rsidR="006639DB" w:rsidRDefault="000E3CE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74D383B6" wp14:editId="7170C02B">
          <wp:simplePos x="0" y="0"/>
          <wp:positionH relativeFrom="column">
            <wp:posOffset>-916304</wp:posOffset>
          </wp:positionH>
          <wp:positionV relativeFrom="paragraph">
            <wp:posOffset>-354865</wp:posOffset>
          </wp:positionV>
          <wp:extent cx="7635600" cy="9943200"/>
          <wp:effectExtent l="0" t="0" r="0" b="0"/>
          <wp:wrapNone/>
          <wp:docPr id="6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6639DB" w14:paraId="0C4161BB" w14:textId="77777777">
      <w:tc>
        <w:tcPr>
          <w:tcW w:w="2553" w:type="dxa"/>
          <w:vAlign w:val="center"/>
        </w:tcPr>
        <w:p w14:paraId="43BE0DDF"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D27003F"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00204/INFOEM/IP/RR/2023</w:t>
          </w:r>
        </w:p>
      </w:tc>
    </w:tr>
    <w:tr w:rsidR="006639DB" w14:paraId="36340344" w14:textId="77777777">
      <w:tc>
        <w:tcPr>
          <w:tcW w:w="2553" w:type="dxa"/>
          <w:vAlign w:val="center"/>
        </w:tcPr>
        <w:p w14:paraId="434F0BB0"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4A804716" w14:textId="624D5455" w:rsidR="006639DB" w:rsidRDefault="00BC25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w:t>
          </w:r>
        </w:p>
      </w:tc>
    </w:tr>
    <w:tr w:rsidR="006639DB" w14:paraId="2250945E" w14:textId="77777777">
      <w:trPr>
        <w:trHeight w:val="228"/>
      </w:trPr>
      <w:tc>
        <w:tcPr>
          <w:tcW w:w="2553" w:type="dxa"/>
          <w:vAlign w:val="center"/>
        </w:tcPr>
        <w:p w14:paraId="046E0D3E"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CFEA638" w14:textId="77777777" w:rsidR="006639DB" w:rsidRDefault="006639DB">
          <w:pPr>
            <w:ind w:right="596"/>
            <w:jc w:val="both"/>
            <w:rPr>
              <w:rFonts w:ascii="Palatino Linotype" w:eastAsia="Palatino Linotype" w:hAnsi="Palatino Linotype" w:cs="Palatino Linotype"/>
              <w:b/>
              <w:sz w:val="14"/>
              <w:szCs w:val="14"/>
            </w:rPr>
          </w:pPr>
        </w:p>
        <w:p w14:paraId="203B69A5" w14:textId="77777777" w:rsidR="006639DB" w:rsidRDefault="000E3CE0">
          <w:pPr>
            <w:ind w:right="59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6639DB" w14:paraId="7C14D4F5" w14:textId="77777777">
      <w:tc>
        <w:tcPr>
          <w:tcW w:w="2553" w:type="dxa"/>
          <w:vAlign w:val="center"/>
        </w:tcPr>
        <w:p w14:paraId="0858A12F" w14:textId="77777777" w:rsidR="006639DB" w:rsidRDefault="000E3C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B2C430B" w14:textId="77777777" w:rsidR="006639DB" w:rsidRDefault="000E3CE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3AC4A6" w14:textId="77777777" w:rsidR="006639DB" w:rsidRDefault="006639DB">
    <w:pPr>
      <w:pBdr>
        <w:top w:val="nil"/>
        <w:left w:val="nil"/>
        <w:bottom w:val="nil"/>
        <w:right w:val="nil"/>
        <w:between w:val="nil"/>
      </w:pBdr>
      <w:tabs>
        <w:tab w:val="center" w:pos="4252"/>
        <w:tab w:val="right" w:pos="8504"/>
      </w:tabs>
      <w:rPr>
        <w:rFonts w:ascii="Cambria" w:eastAsia="Cambria" w:hAnsi="Cambria" w:cs="Cambria"/>
        <w:color w:val="000000"/>
      </w:rPr>
    </w:pPr>
  </w:p>
  <w:p w14:paraId="5796E1B4" w14:textId="77777777" w:rsidR="006639DB" w:rsidRDefault="006639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5CF6"/>
    <w:multiLevelType w:val="multilevel"/>
    <w:tmpl w:val="282C9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A17DC5"/>
    <w:multiLevelType w:val="multilevel"/>
    <w:tmpl w:val="8CF0678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2F37E5F"/>
    <w:multiLevelType w:val="multilevel"/>
    <w:tmpl w:val="D1787C2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0E629F5"/>
    <w:multiLevelType w:val="multilevel"/>
    <w:tmpl w:val="CA5E2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1F0B96"/>
    <w:multiLevelType w:val="multilevel"/>
    <w:tmpl w:val="3386F72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3871E7"/>
    <w:multiLevelType w:val="multilevel"/>
    <w:tmpl w:val="F670E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B9357E"/>
    <w:multiLevelType w:val="multilevel"/>
    <w:tmpl w:val="DD34D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CC41F4"/>
    <w:multiLevelType w:val="multilevel"/>
    <w:tmpl w:val="C3669D3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 w15:restartNumberingAfterBreak="0">
    <w:nsid w:val="6A1156AE"/>
    <w:multiLevelType w:val="multilevel"/>
    <w:tmpl w:val="1674DC4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0E27BB"/>
    <w:multiLevelType w:val="multilevel"/>
    <w:tmpl w:val="F9CEF92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 w:numId="5">
    <w:abstractNumId w:val="5"/>
  </w:num>
  <w:num w:numId="6">
    <w:abstractNumId w:val="9"/>
  </w:num>
  <w:num w:numId="7">
    <w:abstractNumId w:val="6"/>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DB"/>
    <w:rsid w:val="000E3CE0"/>
    <w:rsid w:val="00123B03"/>
    <w:rsid w:val="002821A8"/>
    <w:rsid w:val="00416CEB"/>
    <w:rsid w:val="0049069D"/>
    <w:rsid w:val="004C01E9"/>
    <w:rsid w:val="004E7157"/>
    <w:rsid w:val="00525559"/>
    <w:rsid w:val="00657FF8"/>
    <w:rsid w:val="006639DB"/>
    <w:rsid w:val="00763E96"/>
    <w:rsid w:val="007A4C63"/>
    <w:rsid w:val="007C7850"/>
    <w:rsid w:val="0087096A"/>
    <w:rsid w:val="008A477D"/>
    <w:rsid w:val="008A5A29"/>
    <w:rsid w:val="00962B7D"/>
    <w:rsid w:val="00993FDF"/>
    <w:rsid w:val="009F620C"/>
    <w:rsid w:val="00A011A8"/>
    <w:rsid w:val="00AB3902"/>
    <w:rsid w:val="00B0673D"/>
    <w:rsid w:val="00B720E7"/>
    <w:rsid w:val="00BC25D2"/>
    <w:rsid w:val="00CB56D0"/>
    <w:rsid w:val="00DA5BA6"/>
    <w:rsid w:val="00DD72B7"/>
    <w:rsid w:val="00F006AF"/>
    <w:rsid w:val="00F127A2"/>
    <w:rsid w:val="00F56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8EFA"/>
  <w15:docId w15:val="{DB4B6707-C858-470B-8C16-968E5D38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con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rPr>
  </w:style>
  <w:style w:type="paragraph" w:customStyle="1" w:styleId="m-698976158124685028gmail-msonormal">
    <w:name w:val="m_-698976158124685028gmail-msonormal"/>
    <w:basedOn w:val="Normal"/>
    <w:rsid w:val="00D41810"/>
    <w:pPr>
      <w:spacing w:before="100" w:beforeAutospacing="1" w:after="100" w:afterAutospacing="1"/>
    </w:pPr>
    <w:rPr>
      <w:lang w:val="es-MX"/>
    </w:rPr>
  </w:style>
  <w:style w:type="character" w:customStyle="1" w:styleId="m-698976158124685028gmail-apple-converted-space">
    <w:name w:val="m_-698976158124685028gmail-apple-converted-space"/>
    <w:basedOn w:val="Fuentedeprrafopredeter"/>
    <w:rsid w:val="00D41810"/>
  </w:style>
  <w:style w:type="paragraph" w:customStyle="1" w:styleId="CitasINFOEM">
    <w:name w:val="Citas INFOEM"/>
    <w:basedOn w:val="Normal"/>
    <w:qFormat/>
    <w:rsid w:val="00967C98"/>
    <w:pPr>
      <w:spacing w:before="240" w:after="160" w:line="360" w:lineRule="auto"/>
      <w:ind w:left="851" w:right="851"/>
      <w:jc w:val="both"/>
    </w:pPr>
    <w:rPr>
      <w:rFonts w:ascii="Palatino Linotype" w:hAnsi="Palatino Linotype"/>
      <w:i/>
      <w:sz w:val="22"/>
      <w:lang w:val="es-MX" w:eastAsia="en-US"/>
    </w:rPr>
  </w:style>
  <w:style w:type="character" w:customStyle="1" w:styleId="field">
    <w:name w:val="field"/>
    <w:basedOn w:val="Fuentedeprrafopredeter"/>
    <w:rsid w:val="001B2657"/>
  </w:style>
  <w:style w:type="paragraph" w:customStyle="1" w:styleId="Citas">
    <w:name w:val="Citas"/>
    <w:basedOn w:val="Normal"/>
    <w:qFormat/>
    <w:rsid w:val="00D53FF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ransparenciafiscal.edomex.qob.mx/resultado-evaluaciones" TargetMode="External"/><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35.png"/><Relationship Id="rId42" Type="http://schemas.openxmlformats.org/officeDocument/2006/relationships/image" Target="media/image24.png"/><Relationship Id="rId47" Type="http://schemas.openxmlformats.org/officeDocument/2006/relationships/image" Target="media/image33.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transparenciafiscal.edomex.gob.mx/resultado-evaluaciones"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9.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transparenciafiscal.edomex.gob.mx/marcoprog-programa_anual_evaluaciones" TargetMode="External"/><Relationship Id="rId44" Type="http://schemas.openxmlformats.org/officeDocument/2006/relationships/image" Target="media/image2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ransparenciafiscal.edomex.gob.mx/resultado-evaluaciones" TargetMode="Externa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37.png"/><Relationship Id="rId43" Type="http://schemas.openxmlformats.org/officeDocument/2006/relationships/image" Target="media/image200.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transparenciafiscal.edomex.gob.mx/marcoproq-proqramaanualevaluaciones" TargetMode="Externa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6.png"/><Relationship Id="rId46"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25.png"/><Relationship Id="rId36" Type="http://schemas.openxmlformats.org/officeDocument/2006/relationships/image" Target="media/image28.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kvpsZQTWQ6TO5dX5b+iZIe0msg==">AMUW2mXicdFvnw7DegOIQoi1Lyp42CEQVnsAXFrHI9SPtO/UgE4RJLqr1cTKfSK4sQB7i1ofn6tqNc/BBrdeC8AXacAI749VUGNraDpRrXQ9iIQTH6wYNIB9hd8w5T4YNcfIS+cuyAR+cOUzUbJWpc6GVxqy2rEzDw==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13225</Words>
  <Characters>72740</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2023-11-17T17:16:00Z</cp:lastPrinted>
  <dcterms:created xsi:type="dcterms:W3CDTF">2023-12-04T22:15:00Z</dcterms:created>
  <dcterms:modified xsi:type="dcterms:W3CDTF">2023-12-04T22:15:00Z</dcterms:modified>
</cp:coreProperties>
</file>