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120" w:rsidRPr="00344EC4" w:rsidRDefault="003A2877">
      <w:pPr>
        <w:spacing w:before="240" w:after="240" w:line="360" w:lineRule="auto"/>
        <w:jc w:val="both"/>
        <w:rPr>
          <w:rFonts w:ascii="Palatino Linotype" w:eastAsia="Palatino Linotype" w:hAnsi="Palatino Linotype" w:cs="Palatino Linotype"/>
          <w:b/>
        </w:rPr>
      </w:pPr>
      <w:bookmarkStart w:id="0" w:name="_heading=h.gjdgxs" w:colFirst="0" w:colLast="0"/>
      <w:bookmarkStart w:id="1" w:name="_GoBack"/>
      <w:bookmarkEnd w:id="0"/>
      <w:bookmarkEnd w:id="1"/>
      <w:r w:rsidRPr="00344EC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417E52" w:rsidRPr="00344EC4">
        <w:rPr>
          <w:rFonts w:ascii="Palatino Linotype" w:eastAsia="Palatino Linotype" w:hAnsi="Palatino Linotype" w:cs="Palatino Linotype"/>
          <w:b/>
        </w:rPr>
        <w:t>ocho de marz</w:t>
      </w:r>
      <w:r w:rsidRPr="00344EC4">
        <w:rPr>
          <w:rFonts w:ascii="Palatino Linotype" w:eastAsia="Palatino Linotype" w:hAnsi="Palatino Linotype" w:cs="Palatino Linotype"/>
          <w:b/>
        </w:rPr>
        <w:t>o del dos mil veintitrés.</w:t>
      </w:r>
    </w:p>
    <w:p w:rsidR="00954120" w:rsidRPr="00344EC4" w:rsidRDefault="003A2877">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344EC4">
        <w:rPr>
          <w:rFonts w:ascii="Palatino Linotype" w:eastAsia="Palatino Linotype" w:hAnsi="Palatino Linotype" w:cs="Palatino Linotype"/>
          <w:b/>
        </w:rPr>
        <w:t xml:space="preserve">Visto </w:t>
      </w:r>
      <w:r w:rsidRPr="00344EC4">
        <w:rPr>
          <w:rFonts w:ascii="Palatino Linotype" w:eastAsia="Palatino Linotype" w:hAnsi="Palatino Linotype" w:cs="Palatino Linotype"/>
        </w:rPr>
        <w:t xml:space="preserve">el expediente relativo al recurso de revisión </w:t>
      </w:r>
      <w:r w:rsidR="00417E52" w:rsidRPr="00344EC4">
        <w:rPr>
          <w:rFonts w:ascii="Palatino Linotype" w:eastAsia="Palatino Linotype" w:hAnsi="Palatino Linotype" w:cs="Palatino Linotype"/>
          <w:b/>
        </w:rPr>
        <w:t>14814/INFOEM/ICR-10/IP/RR/2022</w:t>
      </w:r>
      <w:r w:rsidRPr="00344EC4">
        <w:rPr>
          <w:rFonts w:ascii="Palatino Linotype" w:eastAsia="Palatino Linotype" w:hAnsi="Palatino Linotype" w:cs="Palatino Linotype"/>
        </w:rPr>
        <w:t xml:space="preserve">, interpuesto por un </w:t>
      </w:r>
      <w:r w:rsidRPr="00344EC4">
        <w:rPr>
          <w:rFonts w:ascii="Palatino Linotype" w:eastAsia="Palatino Linotype" w:hAnsi="Palatino Linotype" w:cs="Palatino Linotype"/>
          <w:b/>
        </w:rPr>
        <w:t>particular de manera anónima,</w:t>
      </w:r>
      <w:r w:rsidRPr="00344EC4">
        <w:rPr>
          <w:rFonts w:ascii="Palatino Linotype" w:eastAsia="Palatino Linotype" w:hAnsi="Palatino Linotype" w:cs="Palatino Linotype"/>
        </w:rPr>
        <w:t xml:space="preserve"> en lo sucesivo la </w:t>
      </w:r>
      <w:r w:rsidRPr="00344EC4">
        <w:rPr>
          <w:rFonts w:ascii="Palatino Linotype" w:eastAsia="Palatino Linotype" w:hAnsi="Palatino Linotype" w:cs="Palatino Linotype"/>
          <w:b/>
        </w:rPr>
        <w:t>parte Recurrente</w:t>
      </w:r>
      <w:r w:rsidRPr="00344EC4">
        <w:rPr>
          <w:rFonts w:ascii="Palatino Linotype" w:eastAsia="Palatino Linotype" w:hAnsi="Palatino Linotype" w:cs="Palatino Linotype"/>
        </w:rPr>
        <w:t xml:space="preserve">, en contra de la falta de respuesta a la solicitud de información con número de folio </w:t>
      </w:r>
      <w:r w:rsidR="00417E52" w:rsidRPr="00344EC4">
        <w:rPr>
          <w:rFonts w:ascii="Palatino Linotype" w:eastAsia="Palatino Linotype" w:hAnsi="Palatino Linotype" w:cs="Palatino Linotype"/>
          <w:b/>
        </w:rPr>
        <w:t>00063/TEXCALTI/IP/2022</w:t>
      </w:r>
      <w:r w:rsidRPr="00344EC4">
        <w:rPr>
          <w:rFonts w:ascii="Palatino Linotype" w:eastAsia="Palatino Linotype" w:hAnsi="Palatino Linotype" w:cs="Palatino Linotype"/>
          <w:b/>
        </w:rPr>
        <w:t>,</w:t>
      </w:r>
      <w:r w:rsidRPr="00344EC4">
        <w:rPr>
          <w:rFonts w:ascii="Palatino Linotype" w:eastAsia="Palatino Linotype" w:hAnsi="Palatino Linotype" w:cs="Palatino Linotype"/>
        </w:rPr>
        <w:t xml:space="preserve"> por parte de</w:t>
      </w:r>
      <w:r w:rsidR="00417E52" w:rsidRPr="00344EC4">
        <w:rPr>
          <w:rFonts w:ascii="Palatino Linotype" w:eastAsia="Palatino Linotype" w:hAnsi="Palatino Linotype" w:cs="Palatino Linotype"/>
        </w:rPr>
        <w:t>l</w:t>
      </w:r>
      <w:r w:rsidRPr="00344EC4">
        <w:rPr>
          <w:rFonts w:ascii="Palatino Linotype" w:eastAsia="Palatino Linotype" w:hAnsi="Palatino Linotype" w:cs="Palatino Linotype"/>
        </w:rPr>
        <w:t xml:space="preserve"> </w:t>
      </w:r>
      <w:r w:rsidR="00417E52" w:rsidRPr="00344EC4">
        <w:rPr>
          <w:rFonts w:ascii="Palatino Linotype" w:eastAsia="Palatino Linotype" w:hAnsi="Palatino Linotype" w:cs="Palatino Linotype"/>
          <w:b/>
        </w:rPr>
        <w:t>Ayuntamiento de Texcaltitlán</w:t>
      </w:r>
      <w:r w:rsidRPr="00344EC4">
        <w:rPr>
          <w:rFonts w:ascii="Palatino Linotype" w:eastAsia="Palatino Linotype" w:hAnsi="Palatino Linotype" w:cs="Palatino Linotype"/>
        </w:rPr>
        <w:t xml:space="preserve">, en lo sucesivo el </w:t>
      </w:r>
      <w:r w:rsidRPr="00344EC4">
        <w:rPr>
          <w:rFonts w:ascii="Palatino Linotype" w:eastAsia="Palatino Linotype" w:hAnsi="Palatino Linotype" w:cs="Palatino Linotype"/>
          <w:b/>
        </w:rPr>
        <w:t xml:space="preserve">Sujeto Obligado; </w:t>
      </w:r>
      <w:r w:rsidRPr="00344EC4">
        <w:rPr>
          <w:rFonts w:ascii="Palatino Linotype" w:eastAsia="Palatino Linotype" w:hAnsi="Palatino Linotype" w:cs="Palatino Linotype"/>
        </w:rPr>
        <w:t xml:space="preserve">se procede a dictar la presente resolución, con base en lo siguiente. </w:t>
      </w:r>
    </w:p>
    <w:p w:rsidR="00954120" w:rsidRPr="00344EC4" w:rsidRDefault="003A287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344EC4">
        <w:rPr>
          <w:rFonts w:ascii="Palatino Linotype" w:eastAsia="Palatino Linotype" w:hAnsi="Palatino Linotype" w:cs="Palatino Linotype"/>
          <w:b/>
        </w:rPr>
        <w:t>I. A N T E C E D E N T E S</w:t>
      </w:r>
    </w:p>
    <w:p w:rsidR="00954120" w:rsidRPr="00344EC4" w:rsidRDefault="003A2877">
      <w:pPr>
        <w:spacing w:before="240" w:after="240"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b/>
        </w:rPr>
        <w:t xml:space="preserve">1. Solicitud de acceso a la información. </w:t>
      </w:r>
      <w:r w:rsidRPr="00344EC4">
        <w:rPr>
          <w:rFonts w:ascii="Palatino Linotype" w:eastAsia="Palatino Linotype" w:hAnsi="Palatino Linotype" w:cs="Palatino Linotype"/>
        </w:rPr>
        <w:t xml:space="preserve">El </w:t>
      </w:r>
      <w:r w:rsidR="00417E52" w:rsidRPr="00344EC4">
        <w:rPr>
          <w:rFonts w:ascii="Palatino Linotype" w:eastAsia="Palatino Linotype" w:hAnsi="Palatino Linotype" w:cs="Palatino Linotype"/>
          <w:b/>
        </w:rPr>
        <w:t>dieciocho de agost</w:t>
      </w:r>
      <w:r w:rsidRPr="00344EC4">
        <w:rPr>
          <w:rFonts w:ascii="Palatino Linotype" w:eastAsia="Palatino Linotype" w:hAnsi="Palatino Linotype" w:cs="Palatino Linotype"/>
          <w:b/>
        </w:rPr>
        <w:t>o de dos mil veintidós</w:t>
      </w:r>
      <w:r w:rsidRPr="00344EC4">
        <w:rPr>
          <w:rFonts w:ascii="Palatino Linotype" w:eastAsia="Palatino Linotype" w:hAnsi="Palatino Linotype" w:cs="Palatino Linotype"/>
        </w:rPr>
        <w:t xml:space="preserve">, la </w:t>
      </w:r>
      <w:r w:rsidRPr="00344EC4">
        <w:rPr>
          <w:rFonts w:ascii="Palatino Linotype" w:eastAsia="Palatino Linotype" w:hAnsi="Palatino Linotype" w:cs="Palatino Linotype"/>
          <w:b/>
        </w:rPr>
        <w:t>parte Recurrente</w:t>
      </w:r>
      <w:r w:rsidRPr="00344EC4">
        <w:rPr>
          <w:rFonts w:ascii="Palatino Linotype" w:eastAsia="Palatino Linotype" w:hAnsi="Palatino Linotype" w:cs="Palatino Linotype"/>
        </w:rPr>
        <w:t xml:space="preserve"> formuló su solicitud de acceso a información pública al </w:t>
      </w:r>
      <w:r w:rsidRPr="00344EC4">
        <w:rPr>
          <w:rFonts w:ascii="Palatino Linotype" w:eastAsia="Palatino Linotype" w:hAnsi="Palatino Linotype" w:cs="Palatino Linotype"/>
          <w:b/>
        </w:rPr>
        <w:t>Sujeto Obligado</w:t>
      </w:r>
      <w:r w:rsidRPr="00344EC4">
        <w:rPr>
          <w:rFonts w:ascii="Palatino Linotype" w:eastAsia="Palatino Linotype" w:hAnsi="Palatino Linotype" w:cs="Palatino Linotype"/>
        </w:rPr>
        <w:t xml:space="preserve"> a través del Sistema de Acceso a la Información Mexiquense, en adelante </w:t>
      </w:r>
      <w:r w:rsidRPr="00344EC4">
        <w:rPr>
          <w:rFonts w:ascii="Palatino Linotype" w:eastAsia="Palatino Linotype" w:hAnsi="Palatino Linotype" w:cs="Palatino Linotype"/>
          <w:b/>
        </w:rPr>
        <w:t>SAIMEX,</w:t>
      </w:r>
      <w:r w:rsidRPr="00344EC4">
        <w:rPr>
          <w:rFonts w:ascii="Palatino Linotype" w:eastAsia="Palatino Linotype" w:hAnsi="Palatino Linotype" w:cs="Palatino Linotype"/>
        </w:rPr>
        <w:t xml:space="preserve"> requiriendo lo siguiente:</w:t>
      </w:r>
    </w:p>
    <w:p w:rsidR="00954120" w:rsidRPr="00344EC4" w:rsidRDefault="003A2877">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w:t>
      </w:r>
      <w:r w:rsidR="00417E52" w:rsidRPr="00344EC4">
        <w:rPr>
          <w:rFonts w:ascii="Palatino Linotype" w:eastAsia="Palatino Linotype" w:hAnsi="Palatino Linotype" w:cs="Palatino Linotype"/>
          <w:b/>
          <w:i/>
          <w:sz w:val="22"/>
          <w:szCs w:val="22"/>
        </w:rPr>
        <w:t>todas las nóminas de la servidora pública Mayra Esperanza Ortiz Calixto desde su ingreso en el año 2016 cuando se desempeñaba como secretaria, en el hasta el día de hoy como regidora. incluyendo todo tipo de pagos nóminas, bonos, aguinaldo y cualquier otra prestación que ha tenido en su servicio público</w:t>
      </w:r>
      <w:r w:rsidR="00417E52" w:rsidRPr="00344EC4">
        <w:rPr>
          <w:rFonts w:ascii="Palatino Linotype" w:eastAsia="Palatino Linotype" w:hAnsi="Palatino Linotype" w:cs="Palatino Linotype"/>
          <w:i/>
          <w:sz w:val="22"/>
          <w:szCs w:val="22"/>
        </w:rPr>
        <w:t>.</w:t>
      </w:r>
      <w:r w:rsidRPr="00344EC4">
        <w:rPr>
          <w:rFonts w:ascii="Palatino Linotype" w:eastAsia="Palatino Linotype" w:hAnsi="Palatino Linotype" w:cs="Palatino Linotype"/>
          <w:i/>
          <w:sz w:val="22"/>
          <w:szCs w:val="22"/>
        </w:rPr>
        <w:t>” (Sic)</w:t>
      </w:r>
    </w:p>
    <w:p w:rsidR="00954120" w:rsidRPr="00344EC4" w:rsidRDefault="003A2877">
      <w:pPr>
        <w:spacing w:before="240" w:after="240"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b/>
        </w:rPr>
        <w:t xml:space="preserve">Modalidad elegida para la entrega de la información: </w:t>
      </w:r>
      <w:r w:rsidRPr="00344EC4">
        <w:rPr>
          <w:rFonts w:ascii="Palatino Linotype" w:eastAsia="Palatino Linotype" w:hAnsi="Palatino Linotype" w:cs="Palatino Linotype"/>
        </w:rPr>
        <w:t>a través del SAIMEX.</w:t>
      </w:r>
    </w:p>
    <w:p w:rsidR="00954120" w:rsidRPr="00344EC4" w:rsidRDefault="003A2877">
      <w:pPr>
        <w:spacing w:before="240" w:after="240" w:line="360" w:lineRule="auto"/>
        <w:jc w:val="both"/>
        <w:rPr>
          <w:rFonts w:ascii="Palatino Linotype" w:eastAsia="Palatino Linotype" w:hAnsi="Palatino Linotype" w:cs="Palatino Linotype"/>
          <w:sz w:val="22"/>
          <w:szCs w:val="22"/>
        </w:rPr>
      </w:pPr>
      <w:r w:rsidRPr="00344EC4">
        <w:rPr>
          <w:rFonts w:ascii="Palatino Linotype" w:eastAsia="Palatino Linotype" w:hAnsi="Palatino Linotype" w:cs="Palatino Linotype"/>
          <w:b/>
        </w:rPr>
        <w:lastRenderedPageBreak/>
        <w:t xml:space="preserve">2. </w:t>
      </w:r>
      <w:r w:rsidRPr="00344EC4">
        <w:rPr>
          <w:rFonts w:ascii="Palatino Linotype" w:eastAsia="Palatino Linotype" w:hAnsi="Palatino Linotype" w:cs="Palatino Linotype"/>
        </w:rPr>
        <w:t xml:space="preserve"> </w:t>
      </w:r>
      <w:r w:rsidRPr="00344EC4">
        <w:rPr>
          <w:rFonts w:ascii="Palatino Linotype" w:eastAsia="Palatino Linotype" w:hAnsi="Palatino Linotype" w:cs="Palatino Linotype"/>
          <w:b/>
        </w:rPr>
        <w:t xml:space="preserve">Respuesta. </w:t>
      </w:r>
      <w:r w:rsidRPr="00344EC4">
        <w:rPr>
          <w:rFonts w:ascii="Palatino Linotype" w:eastAsia="Palatino Linotype" w:hAnsi="Palatino Linotype" w:cs="Palatino Linotype"/>
        </w:rPr>
        <w:t xml:space="preserve">De las constancias que obran en SAIMEX, se observa que el </w:t>
      </w:r>
      <w:r w:rsidRPr="00344EC4">
        <w:rPr>
          <w:rFonts w:ascii="Palatino Linotype" w:eastAsia="Palatino Linotype" w:hAnsi="Palatino Linotype" w:cs="Palatino Linotype"/>
          <w:b/>
        </w:rPr>
        <w:t>Sujeto Obligado</w:t>
      </w:r>
      <w:r w:rsidRPr="00344EC4">
        <w:rPr>
          <w:rFonts w:ascii="Palatino Linotype" w:eastAsia="Palatino Linotype" w:hAnsi="Palatino Linotype" w:cs="Palatino Linotype"/>
        </w:rPr>
        <w:t xml:space="preserve"> no emitió respuesta a la solicitud de información formulada por la parte </w:t>
      </w:r>
      <w:r w:rsidRPr="00344EC4">
        <w:rPr>
          <w:rFonts w:ascii="Palatino Linotype" w:eastAsia="Palatino Linotype" w:hAnsi="Palatino Linotype" w:cs="Palatino Linotype"/>
          <w:b/>
        </w:rPr>
        <w:t>Recurrente.</w:t>
      </w:r>
    </w:p>
    <w:p w:rsidR="00954120" w:rsidRPr="00344EC4" w:rsidRDefault="00417E52">
      <w:pPr>
        <w:spacing w:before="240" w:after="240"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b/>
        </w:rPr>
        <w:t>3</w:t>
      </w:r>
      <w:r w:rsidR="003A2877" w:rsidRPr="00344EC4">
        <w:rPr>
          <w:rFonts w:ascii="Palatino Linotype" w:eastAsia="Palatino Linotype" w:hAnsi="Palatino Linotype" w:cs="Palatino Linotype"/>
          <w:b/>
        </w:rPr>
        <w:t xml:space="preserve">. Interposición del recurso de revisión. </w:t>
      </w:r>
      <w:r w:rsidR="003A2877" w:rsidRPr="00344EC4">
        <w:rPr>
          <w:rFonts w:ascii="Palatino Linotype" w:eastAsia="Palatino Linotype" w:hAnsi="Palatino Linotype" w:cs="Palatino Linotype"/>
        </w:rPr>
        <w:t xml:space="preserve">Inconforme la parte solicitante con la falta de respuesta del </w:t>
      </w:r>
      <w:r w:rsidR="003A2877" w:rsidRPr="00344EC4">
        <w:rPr>
          <w:rFonts w:ascii="Palatino Linotype" w:eastAsia="Palatino Linotype" w:hAnsi="Palatino Linotype" w:cs="Palatino Linotype"/>
          <w:b/>
        </w:rPr>
        <w:t>Sujeto Obligado</w:t>
      </w:r>
      <w:r w:rsidR="003A2877" w:rsidRPr="00344EC4">
        <w:rPr>
          <w:rFonts w:ascii="Palatino Linotype" w:eastAsia="Palatino Linotype" w:hAnsi="Palatino Linotype" w:cs="Palatino Linotype"/>
        </w:rPr>
        <w:t>, interpuso recurso de revisión a través de SAIMEX</w:t>
      </w:r>
      <w:r w:rsidRPr="00344EC4">
        <w:rPr>
          <w:rFonts w:ascii="Palatino Linotype" w:eastAsia="Palatino Linotype" w:hAnsi="Palatino Linotype" w:cs="Palatino Linotype"/>
        </w:rPr>
        <w:t xml:space="preserve"> el</w:t>
      </w:r>
      <w:r w:rsidR="003A2877" w:rsidRPr="00344EC4">
        <w:rPr>
          <w:rFonts w:ascii="Palatino Linotype" w:eastAsia="Palatino Linotype" w:hAnsi="Palatino Linotype" w:cs="Palatino Linotype"/>
        </w:rPr>
        <w:t xml:space="preserve"> </w:t>
      </w:r>
      <w:r w:rsidRPr="00344EC4">
        <w:rPr>
          <w:rFonts w:ascii="Palatino Linotype" w:eastAsia="Palatino Linotype" w:hAnsi="Palatino Linotype" w:cs="Palatino Linotype"/>
          <w:b/>
        </w:rPr>
        <w:t>diecinueve de septiembre de</w:t>
      </w:r>
      <w:r w:rsidR="003A2877" w:rsidRPr="00344EC4">
        <w:rPr>
          <w:rFonts w:ascii="Palatino Linotype" w:eastAsia="Palatino Linotype" w:hAnsi="Palatino Linotype" w:cs="Palatino Linotype"/>
          <w:b/>
        </w:rPr>
        <w:t xml:space="preserve"> dos mil veintidós</w:t>
      </w:r>
      <w:r w:rsidR="003A2877" w:rsidRPr="00344EC4">
        <w:rPr>
          <w:rFonts w:ascii="Palatino Linotype" w:eastAsia="Palatino Linotype" w:hAnsi="Palatino Linotype" w:cs="Palatino Linotype"/>
        </w:rPr>
        <w:t>, expresando lo siguiente:</w:t>
      </w:r>
    </w:p>
    <w:p w:rsidR="00954120" w:rsidRPr="00344EC4" w:rsidRDefault="003A2877">
      <w:pPr>
        <w:spacing w:line="360" w:lineRule="auto"/>
        <w:rPr>
          <w:rFonts w:ascii="Palatino Linotype" w:eastAsia="Palatino Linotype" w:hAnsi="Palatino Linotype" w:cs="Palatino Linotype"/>
          <w:b/>
        </w:rPr>
      </w:pPr>
      <w:r w:rsidRPr="00344EC4">
        <w:rPr>
          <w:rFonts w:ascii="Palatino Linotype" w:eastAsia="Palatino Linotype" w:hAnsi="Palatino Linotype" w:cs="Palatino Linotype"/>
          <w:b/>
        </w:rPr>
        <w:t>a) Acto impugnado.</w:t>
      </w:r>
    </w:p>
    <w:p w:rsidR="00954120" w:rsidRPr="00344EC4" w:rsidRDefault="003A2877">
      <w:pPr>
        <w:pBdr>
          <w:top w:val="nil"/>
          <w:left w:val="nil"/>
          <w:bottom w:val="nil"/>
          <w:right w:val="nil"/>
          <w:between w:val="nil"/>
        </w:pBdr>
        <w:spacing w:before="240" w:after="240"/>
        <w:ind w:left="851" w:right="900"/>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w:t>
      </w:r>
      <w:r w:rsidR="00417E52" w:rsidRPr="00344EC4">
        <w:rPr>
          <w:rFonts w:ascii="Palatino Linotype" w:eastAsia="Palatino Linotype" w:hAnsi="Palatino Linotype" w:cs="Palatino Linotype"/>
          <w:i/>
          <w:sz w:val="22"/>
          <w:szCs w:val="22"/>
        </w:rPr>
        <w:t>No fue atendido</w:t>
      </w:r>
      <w:r w:rsidRPr="00344EC4">
        <w:rPr>
          <w:rFonts w:ascii="Palatino Linotype" w:eastAsia="Palatino Linotype" w:hAnsi="Palatino Linotype" w:cs="Palatino Linotype"/>
          <w:i/>
          <w:sz w:val="22"/>
          <w:szCs w:val="22"/>
        </w:rPr>
        <w:t>” (Sic)</w:t>
      </w:r>
    </w:p>
    <w:p w:rsidR="00954120" w:rsidRPr="00344EC4" w:rsidRDefault="003A2877">
      <w:pPr>
        <w:spacing w:line="360" w:lineRule="auto"/>
        <w:jc w:val="both"/>
        <w:rPr>
          <w:rFonts w:ascii="Palatino Linotype" w:eastAsia="Palatino Linotype" w:hAnsi="Palatino Linotype" w:cs="Palatino Linotype"/>
          <w:b/>
        </w:rPr>
      </w:pPr>
      <w:r w:rsidRPr="00344EC4">
        <w:rPr>
          <w:rFonts w:ascii="Palatino Linotype" w:eastAsia="Palatino Linotype" w:hAnsi="Palatino Linotype" w:cs="Palatino Linotype"/>
          <w:b/>
        </w:rPr>
        <w:t>b) Motivos de inconformidad.</w:t>
      </w:r>
    </w:p>
    <w:p w:rsidR="00954120" w:rsidRPr="00344EC4" w:rsidRDefault="003A2877">
      <w:pPr>
        <w:pBdr>
          <w:top w:val="nil"/>
          <w:left w:val="nil"/>
          <w:bottom w:val="nil"/>
          <w:right w:val="nil"/>
          <w:between w:val="nil"/>
        </w:pBdr>
        <w:spacing w:before="240" w:after="240"/>
        <w:ind w:left="851" w:right="900"/>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w:t>
      </w:r>
      <w:r w:rsidR="00417E52" w:rsidRPr="00344EC4">
        <w:rPr>
          <w:rFonts w:ascii="Palatino Linotype" w:eastAsia="Palatino Linotype" w:hAnsi="Palatino Linotype" w:cs="Palatino Linotype"/>
          <w:i/>
          <w:sz w:val="22"/>
          <w:szCs w:val="22"/>
        </w:rPr>
        <w:t>No dio contestación</w:t>
      </w:r>
      <w:r w:rsidRPr="00344EC4">
        <w:rPr>
          <w:rFonts w:ascii="Palatino Linotype" w:eastAsia="Palatino Linotype" w:hAnsi="Palatino Linotype" w:cs="Palatino Linotype"/>
          <w:i/>
          <w:sz w:val="22"/>
          <w:szCs w:val="22"/>
        </w:rPr>
        <w:t>” (Sic)</w:t>
      </w:r>
    </w:p>
    <w:p w:rsidR="00954120" w:rsidRPr="00344EC4" w:rsidRDefault="00D3011C">
      <w:pPr>
        <w:spacing w:line="360" w:lineRule="auto"/>
        <w:jc w:val="both"/>
        <w:rPr>
          <w:rFonts w:ascii="Palatino Linotype" w:eastAsia="Palatino Linotype" w:hAnsi="Palatino Linotype" w:cs="Palatino Linotype"/>
          <w:b/>
        </w:rPr>
      </w:pPr>
      <w:r w:rsidRPr="00344EC4">
        <w:rPr>
          <w:rFonts w:ascii="Palatino Linotype" w:eastAsia="Palatino Linotype" w:hAnsi="Palatino Linotype" w:cs="Palatino Linotype"/>
          <w:b/>
        </w:rPr>
        <w:t>4</w:t>
      </w:r>
      <w:r w:rsidR="003A2877" w:rsidRPr="00344EC4">
        <w:rPr>
          <w:rFonts w:ascii="Palatino Linotype" w:eastAsia="Palatino Linotype" w:hAnsi="Palatino Linotype" w:cs="Palatino Linotype"/>
          <w:b/>
        </w:rPr>
        <w:t>.  Trámite del Recurso de Revisión ante el Instituto.</w:t>
      </w:r>
    </w:p>
    <w:p w:rsidR="00954120" w:rsidRPr="00344EC4" w:rsidRDefault="003A2877">
      <w:pPr>
        <w:spacing w:before="240" w:after="240" w:line="360" w:lineRule="auto"/>
        <w:jc w:val="both"/>
        <w:rPr>
          <w:rFonts w:ascii="Palatino Linotype" w:eastAsia="Palatino Linotype" w:hAnsi="Palatino Linotype" w:cs="Palatino Linotype"/>
          <w:b/>
        </w:rPr>
      </w:pPr>
      <w:r w:rsidRPr="00344EC4">
        <w:rPr>
          <w:rFonts w:ascii="Palatino Linotype" w:eastAsia="Palatino Linotype" w:hAnsi="Palatino Linotype" w:cs="Palatino Linotype"/>
          <w:b/>
        </w:rPr>
        <w:t xml:space="preserve">a. Turno. </w:t>
      </w:r>
      <w:r w:rsidRPr="00344EC4">
        <w:rPr>
          <w:rFonts w:ascii="Palatino Linotype" w:eastAsia="Palatino Linotype" w:hAnsi="Palatino Linotype" w:cs="Palatino Linotype"/>
        </w:rPr>
        <w:t xml:space="preserve">De conformidad con el artículo 185 Fracción I de la Ley Transparencia y Acceso a la Información Pública, el recurso de revisión número </w:t>
      </w:r>
      <w:r w:rsidR="00417E52" w:rsidRPr="00344EC4">
        <w:rPr>
          <w:rFonts w:ascii="Palatino Linotype" w:eastAsia="Palatino Linotype" w:hAnsi="Palatino Linotype" w:cs="Palatino Linotype"/>
          <w:b/>
        </w:rPr>
        <w:t xml:space="preserve">14814/INFOEM/IP/RR/2022 </w:t>
      </w:r>
      <w:r w:rsidRPr="00344EC4">
        <w:rPr>
          <w:rFonts w:ascii="Palatino Linotype" w:eastAsia="Palatino Linotype" w:hAnsi="Palatino Linotype" w:cs="Palatino Linotype"/>
        </w:rPr>
        <w:t xml:space="preserve">fue turnado a la Comisionada Ponente </w:t>
      </w:r>
      <w:r w:rsidRPr="00344EC4">
        <w:rPr>
          <w:rFonts w:ascii="Palatino Linotype" w:eastAsia="Palatino Linotype" w:hAnsi="Palatino Linotype" w:cs="Palatino Linotype"/>
          <w:b/>
        </w:rPr>
        <w:t>Guadalupe Ramírez Peña</w:t>
      </w:r>
      <w:r w:rsidRPr="00344EC4">
        <w:rPr>
          <w:rFonts w:ascii="Palatino Linotype" w:eastAsia="Palatino Linotype" w:hAnsi="Palatino Linotype" w:cs="Palatino Linotype"/>
        </w:rPr>
        <w:t>; a efecto de presentar al Pleno el proyecto de resolución correspondiente.</w:t>
      </w:r>
    </w:p>
    <w:p w:rsidR="00954120" w:rsidRPr="00344EC4" w:rsidRDefault="003A2877">
      <w:pPr>
        <w:spacing w:before="240" w:after="240"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b/>
        </w:rPr>
        <w:t xml:space="preserve">b. Admisión. </w:t>
      </w:r>
      <w:r w:rsidRPr="00344EC4">
        <w:rPr>
          <w:rFonts w:ascii="Palatino Linotype" w:eastAsia="Palatino Linotype" w:hAnsi="Palatino Linotype" w:cs="Palatino Linotype"/>
        </w:rPr>
        <w:t xml:space="preserve">El </w:t>
      </w:r>
      <w:r w:rsidR="00417E52" w:rsidRPr="00344EC4">
        <w:rPr>
          <w:rFonts w:ascii="Palatino Linotype" w:eastAsia="Palatino Linotype" w:hAnsi="Palatino Linotype" w:cs="Palatino Linotype"/>
          <w:b/>
        </w:rPr>
        <w:t>veintidós de septiembre</w:t>
      </w:r>
      <w:r w:rsidRPr="00344EC4">
        <w:rPr>
          <w:rFonts w:ascii="Palatino Linotype" w:eastAsia="Palatino Linotype" w:hAnsi="Palatino Linotype" w:cs="Palatino Linotype"/>
          <w:b/>
        </w:rPr>
        <w:t xml:space="preserve"> de dos mil veintidós</w:t>
      </w:r>
      <w:r w:rsidRPr="00344EC4">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admitió a trámite el recurso de revisión al rubro indicado.</w:t>
      </w:r>
    </w:p>
    <w:p w:rsidR="00954120" w:rsidRPr="00344EC4" w:rsidRDefault="003A2877">
      <w:pPr>
        <w:spacing w:before="240" w:after="240"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b/>
        </w:rPr>
        <w:lastRenderedPageBreak/>
        <w:t xml:space="preserve">c. Manifestaciones. </w:t>
      </w:r>
      <w:r w:rsidRPr="00344EC4">
        <w:rPr>
          <w:rFonts w:ascii="Palatino Linotype" w:eastAsia="Palatino Linotype" w:hAnsi="Palatino Linotype" w:cs="Palatino Linotype"/>
        </w:rPr>
        <w:t xml:space="preserve">De las constancias que obran en el expediente electrónico del SAIMEX se desprende que el </w:t>
      </w:r>
      <w:r w:rsidRPr="00344EC4">
        <w:rPr>
          <w:rFonts w:ascii="Palatino Linotype" w:eastAsia="Palatino Linotype" w:hAnsi="Palatino Linotype" w:cs="Palatino Linotype"/>
          <w:b/>
        </w:rPr>
        <w:t>Sujeto Obligado</w:t>
      </w:r>
      <w:r w:rsidRPr="00344EC4">
        <w:rPr>
          <w:rFonts w:ascii="Palatino Linotype" w:eastAsia="Palatino Linotype" w:hAnsi="Palatino Linotype" w:cs="Palatino Linotype"/>
        </w:rPr>
        <w:t xml:space="preserve"> no rindió su informe justificado, del mismo modo </w:t>
      </w:r>
      <w:r w:rsidRPr="00344EC4">
        <w:rPr>
          <w:rFonts w:ascii="Palatino Linotype" w:eastAsia="Palatino Linotype" w:hAnsi="Palatino Linotype" w:cs="Palatino Linotype"/>
          <w:b/>
        </w:rPr>
        <w:t>la parte</w:t>
      </w:r>
      <w:r w:rsidRPr="00344EC4">
        <w:rPr>
          <w:rFonts w:ascii="Palatino Linotype" w:eastAsia="Palatino Linotype" w:hAnsi="Palatino Linotype" w:cs="Palatino Linotype"/>
        </w:rPr>
        <w:t xml:space="preserve"> </w:t>
      </w:r>
      <w:r w:rsidRPr="00344EC4">
        <w:rPr>
          <w:rFonts w:ascii="Palatino Linotype" w:eastAsia="Palatino Linotype" w:hAnsi="Palatino Linotype" w:cs="Palatino Linotype"/>
          <w:b/>
        </w:rPr>
        <w:t>Recurrente</w:t>
      </w:r>
      <w:r w:rsidRPr="00344EC4">
        <w:rPr>
          <w:rFonts w:ascii="Palatino Linotype" w:eastAsia="Palatino Linotype" w:hAnsi="Palatino Linotype" w:cs="Palatino Linotype"/>
        </w:rPr>
        <w:t xml:space="preserve"> omitió realizar manifestaciones, como se observa a continuación:</w:t>
      </w:r>
    </w:p>
    <w:p w:rsidR="00954120" w:rsidRPr="00344EC4" w:rsidRDefault="00417E52">
      <w:pPr>
        <w:spacing w:before="240" w:after="240"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noProof/>
          <w:lang w:eastAsia="es-MX"/>
        </w:rPr>
        <w:drawing>
          <wp:inline distT="0" distB="0" distL="0" distR="0" wp14:anchorId="50D6EF89" wp14:editId="08134A56">
            <wp:extent cx="5581015" cy="1507490"/>
            <wp:effectExtent l="19050" t="19050" r="19685" b="165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1015" cy="1507490"/>
                    </a:xfrm>
                    <a:prstGeom prst="rect">
                      <a:avLst/>
                    </a:prstGeom>
                    <a:ln>
                      <a:solidFill>
                        <a:schemeClr val="tx1"/>
                      </a:solidFill>
                    </a:ln>
                  </pic:spPr>
                </pic:pic>
              </a:graphicData>
            </a:graphic>
          </wp:inline>
        </w:drawing>
      </w:r>
    </w:p>
    <w:p w:rsidR="00417E52" w:rsidRPr="00344EC4" w:rsidRDefault="00417E52" w:rsidP="00417E52">
      <w:pPr>
        <w:spacing w:before="240" w:after="240" w:line="360" w:lineRule="auto"/>
        <w:jc w:val="both"/>
        <w:rPr>
          <w:rFonts w:ascii="Palatino Linotype" w:eastAsia="Palatino Linotype" w:hAnsi="Palatino Linotype" w:cs="Palatino Linotype"/>
          <w:lang w:val="es-ES" w:eastAsia="es-MX"/>
        </w:rPr>
      </w:pPr>
      <w:r w:rsidRPr="00344EC4">
        <w:rPr>
          <w:rFonts w:ascii="Palatino Linotype" w:eastAsia="Palatino Linotype" w:hAnsi="Palatino Linotype" w:cs="Palatino Linotype"/>
          <w:b/>
        </w:rPr>
        <w:t xml:space="preserve">d. </w:t>
      </w:r>
      <w:r w:rsidRPr="00344EC4">
        <w:rPr>
          <w:rFonts w:ascii="Palatino Linotype" w:eastAsia="Palatino Linotype" w:hAnsi="Palatino Linotype" w:cs="Palatino Linotype"/>
          <w:b/>
          <w:lang w:val="es-ES" w:eastAsia="es-MX"/>
        </w:rPr>
        <w:t xml:space="preserve">Acumulación. </w:t>
      </w:r>
      <w:r w:rsidRPr="00344EC4">
        <w:rPr>
          <w:rFonts w:ascii="Palatino Linotype" w:eastAsia="Palatino Linotype" w:hAnsi="Palatino Linotype" w:cs="Palatino Linotype"/>
          <w:lang w:val="es-ES" w:eastAsia="es-MX"/>
        </w:rPr>
        <w:t xml:space="preserve">En la </w:t>
      </w:r>
      <w:r w:rsidRPr="00344EC4">
        <w:rPr>
          <w:rFonts w:ascii="Palatino Linotype" w:eastAsia="Palatino Linotype" w:hAnsi="Palatino Linotype" w:cs="Palatino Linotype"/>
          <w:b/>
          <w:lang w:val="es-ES" w:eastAsia="es-MX"/>
        </w:rPr>
        <w:t>Trigésima Quinta Sesión Ordinaria</w:t>
      </w:r>
      <w:r w:rsidRPr="00344EC4">
        <w:rPr>
          <w:rFonts w:ascii="Palatino Linotype" w:eastAsia="Palatino Linotype" w:hAnsi="Palatino Linotype" w:cs="Palatino Linotype"/>
          <w:lang w:val="es-ES" w:eastAsia="es-MX"/>
        </w:rPr>
        <w:t xml:space="preserve"> celebrada el </w:t>
      </w:r>
      <w:r w:rsidRPr="00344EC4">
        <w:rPr>
          <w:rFonts w:ascii="Palatino Linotype" w:eastAsia="Palatino Linotype" w:hAnsi="Palatino Linotype" w:cs="Palatino Linotype"/>
          <w:b/>
          <w:lang w:val="es-ES" w:eastAsia="es-MX"/>
        </w:rPr>
        <w:t>veintiocho de septiembre de dos mil veintidós</w:t>
      </w:r>
      <w:r w:rsidRPr="00344EC4">
        <w:rPr>
          <w:rFonts w:ascii="Palatino Linotype" w:eastAsia="Palatino Linotype" w:hAnsi="Palatino Linotype" w:cs="Palatino Linotype"/>
          <w:lang w:val="es-ES" w:eastAsia="es-MX"/>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del presente recurso de revisión a los recursos de revisión </w:t>
      </w:r>
      <w:r w:rsidRPr="00344EC4">
        <w:rPr>
          <w:rFonts w:ascii="Palatino Linotype" w:eastAsia="Palatino Linotype" w:hAnsi="Palatino Linotype" w:cs="Palatino Linotype"/>
          <w:b/>
          <w:bCs/>
          <w:sz w:val="22"/>
          <w:lang w:val="es-ES" w:eastAsia="es-MX"/>
        </w:rPr>
        <w:t>14815/INFOEM/IP/RR/2022, 14816/INFOEM/IP/RR/2022 y 14817/INFOEM/IP/RR/2022</w:t>
      </w:r>
      <w:r w:rsidRPr="00344EC4">
        <w:rPr>
          <w:rFonts w:ascii="Palatino Linotype" w:eastAsia="Palatino Linotype" w:hAnsi="Palatino Linotype" w:cs="Palatino Linotype"/>
          <w:lang w:val="es-ES" w:eastAsia="es-MX"/>
        </w:rPr>
        <w:t xml:space="preserve">, acordando que fuera Ponente la </w:t>
      </w:r>
      <w:r w:rsidRPr="00344EC4">
        <w:rPr>
          <w:rFonts w:ascii="Palatino Linotype" w:eastAsia="Palatino Linotype" w:hAnsi="Palatino Linotype" w:cs="Palatino Linotype"/>
          <w:b/>
          <w:lang w:val="es-ES" w:eastAsia="es-MX"/>
        </w:rPr>
        <w:t>Comisionada</w:t>
      </w:r>
      <w:r w:rsidRPr="00344EC4">
        <w:rPr>
          <w:rFonts w:ascii="Palatino Linotype" w:eastAsia="Palatino Linotype" w:hAnsi="Palatino Linotype" w:cs="Palatino Linotype"/>
          <w:lang w:val="es-ES" w:eastAsia="es-MX"/>
        </w:rPr>
        <w:t xml:space="preserve"> </w:t>
      </w:r>
      <w:r w:rsidRPr="00344EC4">
        <w:rPr>
          <w:rFonts w:ascii="Palatino Linotype" w:eastAsia="Palatino Linotype" w:hAnsi="Palatino Linotype" w:cs="Palatino Linotype"/>
          <w:b/>
          <w:lang w:val="es-ES" w:eastAsia="es-MX"/>
        </w:rPr>
        <w:t>Guadalupe Ramírez Peña</w:t>
      </w:r>
      <w:r w:rsidRPr="00344EC4">
        <w:rPr>
          <w:rFonts w:ascii="Palatino Linotype" w:eastAsia="Palatino Linotype" w:hAnsi="Palatino Linotype" w:cs="Palatino Linotype"/>
          <w:lang w:val="es-ES" w:eastAsia="es-MX"/>
        </w:rPr>
        <w:t>.</w:t>
      </w:r>
    </w:p>
    <w:p w:rsidR="00417E52" w:rsidRPr="00344EC4" w:rsidRDefault="00417E52" w:rsidP="00417E52">
      <w:pPr>
        <w:widowControl w:val="0"/>
        <w:spacing w:before="240" w:after="240"/>
        <w:ind w:left="851" w:right="902"/>
        <w:jc w:val="both"/>
        <w:rPr>
          <w:rFonts w:ascii="Palatino Linotype" w:eastAsia="Palatino Linotype" w:hAnsi="Palatino Linotype" w:cs="Palatino Linotype"/>
          <w:b/>
          <w:i/>
          <w:sz w:val="22"/>
          <w:szCs w:val="22"/>
          <w:lang w:val="es-ES" w:eastAsia="es-MX"/>
        </w:rPr>
      </w:pPr>
      <w:r w:rsidRPr="00344EC4">
        <w:rPr>
          <w:rFonts w:ascii="Palatino Linotype" w:eastAsia="Palatino Linotype" w:hAnsi="Palatino Linotype" w:cs="Palatino Linotype"/>
          <w:b/>
          <w:i/>
          <w:sz w:val="22"/>
          <w:szCs w:val="22"/>
          <w:lang w:val="es-ES" w:eastAsia="es-MX"/>
        </w:rPr>
        <w:t>Código de Procedimientos Administrativos del Estado de México</w:t>
      </w:r>
    </w:p>
    <w:p w:rsidR="00417E52" w:rsidRPr="00344EC4" w:rsidRDefault="00417E52" w:rsidP="00417E52">
      <w:pPr>
        <w:widowControl w:val="0"/>
        <w:spacing w:before="120" w:after="120"/>
        <w:ind w:left="851" w:right="902"/>
        <w:jc w:val="both"/>
        <w:rPr>
          <w:rFonts w:ascii="Palatino Linotype" w:eastAsia="Palatino Linotype" w:hAnsi="Palatino Linotype" w:cs="Palatino Linotype"/>
          <w:i/>
          <w:sz w:val="22"/>
          <w:szCs w:val="22"/>
          <w:lang w:val="es-ES" w:eastAsia="es-MX"/>
        </w:rPr>
      </w:pPr>
      <w:r w:rsidRPr="00344EC4">
        <w:rPr>
          <w:rFonts w:ascii="Palatino Linotype" w:eastAsia="Palatino Linotype" w:hAnsi="Palatino Linotype" w:cs="Palatino Linotype"/>
          <w:b/>
          <w:i/>
          <w:sz w:val="22"/>
          <w:szCs w:val="22"/>
          <w:lang w:val="es-ES" w:eastAsia="es-MX"/>
        </w:rPr>
        <w:t>“Artículo 18.-</w:t>
      </w:r>
      <w:r w:rsidRPr="00344EC4">
        <w:rPr>
          <w:rFonts w:ascii="Palatino Linotype" w:eastAsia="Palatino Linotype" w:hAnsi="Palatino Linotype" w:cs="Palatino Linotype"/>
          <w:i/>
          <w:sz w:val="22"/>
          <w:szCs w:val="22"/>
          <w:lang w:val="es-ES" w:eastAsia="es-MX"/>
        </w:rPr>
        <w:t xml:space="preserve"> </w:t>
      </w:r>
      <w:r w:rsidRPr="00344EC4">
        <w:rPr>
          <w:rFonts w:ascii="Palatino Linotype" w:eastAsia="Palatino Linotype" w:hAnsi="Palatino Linotype" w:cs="Palatino Linotype"/>
          <w:b/>
          <w:i/>
          <w:sz w:val="22"/>
          <w:szCs w:val="22"/>
          <w:lang w:val="es-ES" w:eastAsia="es-MX"/>
        </w:rPr>
        <w:t>La autoridad administrativa o el Tribunal acordarán la acumulación de los expedientes del procedimiento y proceso administrativo que ante ellos se sigan, de oficio</w:t>
      </w:r>
      <w:r w:rsidRPr="00344EC4">
        <w:rPr>
          <w:rFonts w:ascii="Palatino Linotype" w:eastAsia="Palatino Linotype" w:hAnsi="Palatino Linotype" w:cs="Palatino Linotype"/>
          <w:i/>
          <w:sz w:val="22"/>
          <w:szCs w:val="22"/>
          <w:lang w:val="es-ES" w:eastAsia="es-MX"/>
        </w:rPr>
        <w:t xml:space="preserve"> o a petición de parte, </w:t>
      </w:r>
      <w:r w:rsidRPr="00344EC4">
        <w:rPr>
          <w:rFonts w:ascii="Palatino Linotype" w:eastAsia="Palatino Linotype" w:hAnsi="Palatino Linotype" w:cs="Palatino Linotype"/>
          <w:b/>
          <w:i/>
          <w:sz w:val="22"/>
          <w:szCs w:val="22"/>
          <w:lang w:val="es-ES" w:eastAsia="es-MX"/>
        </w:rPr>
        <w:t>cuando las partes</w:t>
      </w:r>
      <w:r w:rsidRPr="00344EC4">
        <w:rPr>
          <w:rFonts w:ascii="Palatino Linotype" w:eastAsia="Palatino Linotype" w:hAnsi="Palatino Linotype" w:cs="Palatino Linotype"/>
          <w:i/>
          <w:sz w:val="22"/>
          <w:szCs w:val="22"/>
          <w:lang w:val="es-ES" w:eastAsia="es-MX"/>
        </w:rPr>
        <w:t xml:space="preserve"> o los actos administrativos sean iguales, se trate de actos conexos o </w:t>
      </w:r>
      <w:r w:rsidRPr="00344EC4">
        <w:rPr>
          <w:rFonts w:ascii="Palatino Linotype" w:eastAsia="Palatino Linotype" w:hAnsi="Palatino Linotype" w:cs="Palatino Linotype"/>
          <w:b/>
          <w:i/>
          <w:sz w:val="22"/>
          <w:szCs w:val="22"/>
          <w:lang w:val="es-ES" w:eastAsia="es-MX"/>
        </w:rPr>
        <w:t xml:space="preserve">resulte conveniente el trámite unificado de los asuntos, para </w:t>
      </w:r>
      <w:r w:rsidRPr="00344EC4">
        <w:rPr>
          <w:rFonts w:ascii="Palatino Linotype" w:eastAsia="Palatino Linotype" w:hAnsi="Palatino Linotype" w:cs="Palatino Linotype"/>
          <w:b/>
          <w:i/>
          <w:sz w:val="22"/>
          <w:szCs w:val="22"/>
          <w:lang w:val="es-ES" w:eastAsia="es-MX"/>
        </w:rPr>
        <w:lastRenderedPageBreak/>
        <w:t>evitar la emisión de resoluciones contradictorias</w:t>
      </w:r>
      <w:r w:rsidRPr="00344EC4">
        <w:rPr>
          <w:rFonts w:ascii="Palatino Linotype" w:eastAsia="Palatino Linotype" w:hAnsi="Palatino Linotype" w:cs="Palatino Linotype"/>
          <w:i/>
          <w:sz w:val="22"/>
          <w:szCs w:val="22"/>
          <w:lang w:val="es-ES" w:eastAsia="es-MX"/>
        </w:rPr>
        <w:t>. La misma regla se aplicará, en lo conducente, para la separación de los expedientes.”</w:t>
      </w:r>
    </w:p>
    <w:p w:rsidR="00417E52" w:rsidRPr="00344EC4" w:rsidRDefault="00417E52" w:rsidP="00417E52">
      <w:pPr>
        <w:widowControl w:val="0"/>
        <w:spacing w:before="120" w:after="120"/>
        <w:ind w:left="851" w:right="902"/>
        <w:jc w:val="both"/>
        <w:rPr>
          <w:rFonts w:ascii="Palatino Linotype" w:eastAsia="Palatino Linotype" w:hAnsi="Palatino Linotype" w:cs="Palatino Linotype"/>
          <w:b/>
          <w:i/>
          <w:sz w:val="22"/>
          <w:szCs w:val="22"/>
          <w:lang w:val="es-ES" w:eastAsia="es-MX"/>
        </w:rPr>
      </w:pPr>
      <w:r w:rsidRPr="00344EC4">
        <w:rPr>
          <w:rFonts w:ascii="Palatino Linotype" w:eastAsia="Palatino Linotype" w:hAnsi="Palatino Linotype" w:cs="Palatino Linotype"/>
          <w:b/>
          <w:i/>
          <w:sz w:val="22"/>
          <w:szCs w:val="22"/>
          <w:lang w:val="es-ES" w:eastAsia="es-MX"/>
        </w:rPr>
        <w:t>Ley de Transparencia y Acceso a la Información Pública del Estado de México y Municipios</w:t>
      </w:r>
    </w:p>
    <w:p w:rsidR="00417E52" w:rsidRPr="00344EC4" w:rsidRDefault="00417E52" w:rsidP="00417E52">
      <w:pPr>
        <w:widowControl w:val="0"/>
        <w:spacing w:before="120" w:after="120"/>
        <w:ind w:left="851" w:right="902"/>
        <w:jc w:val="both"/>
        <w:rPr>
          <w:rFonts w:ascii="Palatino Linotype" w:eastAsia="Palatino Linotype" w:hAnsi="Palatino Linotype" w:cs="Palatino Linotype"/>
          <w:i/>
          <w:sz w:val="22"/>
          <w:szCs w:val="22"/>
          <w:lang w:val="es-ES" w:eastAsia="es-MX"/>
        </w:rPr>
      </w:pPr>
      <w:r w:rsidRPr="00344EC4">
        <w:rPr>
          <w:rFonts w:ascii="Palatino Linotype" w:eastAsia="Palatino Linotype" w:hAnsi="Palatino Linotype" w:cs="Palatino Linotype"/>
          <w:b/>
          <w:i/>
          <w:sz w:val="22"/>
          <w:szCs w:val="22"/>
          <w:lang w:val="es-ES" w:eastAsia="es-MX"/>
        </w:rPr>
        <w:t>“Artículo 195.-</w:t>
      </w:r>
      <w:r w:rsidRPr="00344EC4">
        <w:rPr>
          <w:rFonts w:ascii="Palatino Linotype" w:eastAsia="Palatino Linotype" w:hAnsi="Palatino Linotype" w:cs="Palatino Linotype"/>
          <w:i/>
          <w:sz w:val="22"/>
          <w:szCs w:val="22"/>
          <w:lang w:val="es-ES" w:eastAsia="es-MX"/>
        </w:rPr>
        <w:t xml:space="preserve"> En la tramitación del recurso de revisión se aplicará supletoriamente las disposiciones contenidas en el Código de Procedimientos Administrativos del Estado de México.”</w:t>
      </w:r>
    </w:p>
    <w:p w:rsidR="00954120" w:rsidRPr="00344EC4" w:rsidRDefault="00417E52">
      <w:pPr>
        <w:spacing w:before="240" w:after="240"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b/>
        </w:rPr>
        <w:t>e</w:t>
      </w:r>
      <w:r w:rsidR="003A2877" w:rsidRPr="00344EC4">
        <w:rPr>
          <w:rFonts w:ascii="Palatino Linotype" w:eastAsia="Palatino Linotype" w:hAnsi="Palatino Linotype" w:cs="Palatino Linotype"/>
          <w:b/>
        </w:rPr>
        <w:t xml:space="preserve">. Cierre de Instrucción. </w:t>
      </w:r>
      <w:r w:rsidR="003A2877" w:rsidRPr="00344EC4">
        <w:rPr>
          <w:rFonts w:ascii="Palatino Linotype" w:eastAsia="Palatino Linotype" w:hAnsi="Palatino Linotype" w:cs="Palatino Linotype"/>
        </w:rPr>
        <w:t xml:space="preserve">El </w:t>
      </w:r>
      <w:r w:rsidRPr="00344EC4">
        <w:rPr>
          <w:rFonts w:ascii="Palatino Linotype" w:eastAsia="Palatino Linotype" w:hAnsi="Palatino Linotype" w:cs="Palatino Linotype"/>
          <w:b/>
        </w:rPr>
        <w:t>cinco de octubre</w:t>
      </w:r>
      <w:r w:rsidR="003A2877" w:rsidRPr="00344EC4">
        <w:rPr>
          <w:rFonts w:ascii="Palatino Linotype" w:eastAsia="Palatino Linotype" w:hAnsi="Palatino Linotype" w:cs="Palatino Linotype"/>
          <w:b/>
        </w:rPr>
        <w:t xml:space="preserve"> de dos mil veintidós</w:t>
      </w:r>
      <w:r w:rsidR="003A2877" w:rsidRPr="00344EC4">
        <w:rPr>
          <w:rFonts w:ascii="Palatino Linotype" w:eastAsia="Palatino Linotype" w:hAnsi="Palatino Linotype" w:cs="Palatino Linotype"/>
        </w:rPr>
        <w:t>,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rsidR="00954120" w:rsidRPr="00344EC4" w:rsidRDefault="00417E52" w:rsidP="00616EF4">
      <w:pPr>
        <w:pBdr>
          <w:top w:val="nil"/>
          <w:left w:val="nil"/>
          <w:bottom w:val="nil"/>
          <w:right w:val="nil"/>
          <w:between w:val="nil"/>
        </w:pBdr>
        <w:spacing w:line="360" w:lineRule="auto"/>
        <w:jc w:val="both"/>
        <w:rPr>
          <w:sz w:val="22"/>
          <w:szCs w:val="22"/>
        </w:rPr>
      </w:pPr>
      <w:r w:rsidRPr="00344EC4">
        <w:rPr>
          <w:rFonts w:ascii="Palatino Linotype" w:eastAsia="Palatino Linotype" w:hAnsi="Palatino Linotype" w:cs="Palatino Linotype"/>
          <w:b/>
        </w:rPr>
        <w:t>f</w:t>
      </w:r>
      <w:r w:rsidR="003A2877" w:rsidRPr="00344EC4">
        <w:rPr>
          <w:rFonts w:ascii="Palatino Linotype" w:eastAsia="Palatino Linotype" w:hAnsi="Palatino Linotype" w:cs="Palatino Linotype"/>
          <w:b/>
        </w:rPr>
        <w:t xml:space="preserve">. Resolución del Recurso de Revisión. </w:t>
      </w:r>
      <w:r w:rsidR="003A2877" w:rsidRPr="00344EC4">
        <w:rPr>
          <w:rFonts w:ascii="Palatino Linotype" w:eastAsia="Palatino Linotype" w:hAnsi="Palatino Linotype" w:cs="Palatino Linotype"/>
        </w:rPr>
        <w:t xml:space="preserve">El </w:t>
      </w:r>
      <w:r w:rsidR="00616EF4" w:rsidRPr="00344EC4">
        <w:rPr>
          <w:rFonts w:ascii="Palatino Linotype" w:eastAsia="Palatino Linotype" w:hAnsi="Palatino Linotype" w:cs="Palatino Linotype"/>
          <w:b/>
        </w:rPr>
        <w:t>doce de octubre</w:t>
      </w:r>
      <w:r w:rsidR="003A2877" w:rsidRPr="00344EC4">
        <w:rPr>
          <w:rFonts w:ascii="Palatino Linotype" w:eastAsia="Palatino Linotype" w:hAnsi="Palatino Linotype" w:cs="Palatino Linotype"/>
          <w:b/>
        </w:rPr>
        <w:t xml:space="preserve"> de dos mil veintidós</w:t>
      </w:r>
      <w:r w:rsidR="003A2877" w:rsidRPr="00344EC4">
        <w:rPr>
          <w:rFonts w:ascii="Palatino Linotype" w:eastAsia="Palatino Linotype" w:hAnsi="Palatino Linotype" w:cs="Palatino Linotype"/>
        </w:rPr>
        <w:t xml:space="preserve">, el Pleno del Instituto de Transparencia, Accesos la Información Pública y Protección de Datos Personales del Estado de México y Municipios, durante la </w:t>
      </w:r>
      <w:r w:rsidR="00616EF4" w:rsidRPr="00344EC4">
        <w:rPr>
          <w:rFonts w:ascii="Palatino Linotype" w:eastAsia="Palatino Linotype" w:hAnsi="Palatino Linotype" w:cs="Palatino Linotype"/>
          <w:b/>
        </w:rPr>
        <w:t xml:space="preserve">Trigésima Séptima </w:t>
      </w:r>
      <w:r w:rsidR="003A2877" w:rsidRPr="00344EC4">
        <w:rPr>
          <w:rFonts w:ascii="Palatino Linotype" w:eastAsia="Palatino Linotype" w:hAnsi="Palatino Linotype" w:cs="Palatino Linotype"/>
          <w:b/>
        </w:rPr>
        <w:t>Sesión Ordinaria</w:t>
      </w:r>
      <w:r w:rsidR="003A2877" w:rsidRPr="00344EC4">
        <w:rPr>
          <w:rFonts w:ascii="Palatino Linotype" w:eastAsia="Palatino Linotype" w:hAnsi="Palatino Linotype" w:cs="Palatino Linotype"/>
        </w:rPr>
        <w:t>, apro</w:t>
      </w:r>
      <w:r w:rsidR="00616EF4" w:rsidRPr="00344EC4">
        <w:rPr>
          <w:rFonts w:ascii="Palatino Linotype" w:eastAsia="Palatino Linotype" w:hAnsi="Palatino Linotype" w:cs="Palatino Linotype"/>
        </w:rPr>
        <w:t>bó por unanimidad de votos, la resolución del recurso de r</w:t>
      </w:r>
      <w:r w:rsidR="003A2877" w:rsidRPr="00344EC4">
        <w:rPr>
          <w:rFonts w:ascii="Palatino Linotype" w:eastAsia="Palatino Linotype" w:hAnsi="Palatino Linotype" w:cs="Palatino Linotype"/>
        </w:rPr>
        <w:t>evisión, en la cual se determinó lo siguiente:</w:t>
      </w:r>
    </w:p>
    <w:p w:rsidR="00616EF4" w:rsidRPr="00344EC4" w:rsidRDefault="003A2877" w:rsidP="00616EF4">
      <w:pPr>
        <w:spacing w:before="240" w:after="240" w:line="276" w:lineRule="auto"/>
        <w:ind w:left="567" w:right="616"/>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w:t>
      </w:r>
      <w:r w:rsidR="00616EF4" w:rsidRPr="00344EC4">
        <w:rPr>
          <w:rFonts w:ascii="Palatino Linotype" w:eastAsia="Palatino Linotype" w:hAnsi="Palatino Linotype" w:cs="Palatino Linotype"/>
          <w:b/>
          <w:i/>
          <w:sz w:val="22"/>
          <w:szCs w:val="22"/>
        </w:rPr>
        <w:t xml:space="preserve">Primero. </w:t>
      </w:r>
      <w:r w:rsidR="00616EF4" w:rsidRPr="00344EC4">
        <w:rPr>
          <w:rFonts w:ascii="Palatino Linotype" w:eastAsia="Palatino Linotype" w:hAnsi="Palatino Linotype" w:cs="Palatino Linotype"/>
          <w:i/>
          <w:sz w:val="22"/>
          <w:szCs w:val="22"/>
        </w:rPr>
        <w:t>Resultan fundados los motivos de inconformidad hechos valer por la parte Recurrente en los Recursos de Revisión</w:t>
      </w:r>
      <w:r w:rsidR="00616EF4" w:rsidRPr="00344EC4">
        <w:rPr>
          <w:rFonts w:ascii="Palatino Linotype" w:eastAsia="Palatino Linotype" w:hAnsi="Palatino Linotype" w:cs="Palatino Linotype"/>
          <w:b/>
          <w:i/>
          <w:sz w:val="22"/>
          <w:szCs w:val="22"/>
        </w:rPr>
        <w:t xml:space="preserve"> 14814/INFOEM/IP/RR/2022, 14815/INFOEM/IP/RR/2022, 14816/INFOEM/IP/RR/2022 y 14817/INFOEM/IP/RR/2022 acumulados, </w:t>
      </w:r>
      <w:r w:rsidR="00616EF4" w:rsidRPr="00344EC4">
        <w:rPr>
          <w:rFonts w:ascii="Palatino Linotype" w:eastAsia="Palatino Linotype" w:hAnsi="Palatino Linotype" w:cs="Palatino Linotype"/>
          <w:i/>
          <w:sz w:val="22"/>
          <w:szCs w:val="22"/>
        </w:rPr>
        <w:t>por lo que, en términos del Considerando Cuarto de la presente resolución.</w:t>
      </w:r>
    </w:p>
    <w:p w:rsidR="00954120" w:rsidRPr="00344EC4" w:rsidRDefault="00616EF4" w:rsidP="00616EF4">
      <w:pPr>
        <w:spacing w:before="240" w:after="240" w:line="276" w:lineRule="auto"/>
        <w:ind w:left="567" w:right="616"/>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b/>
          <w:i/>
          <w:sz w:val="22"/>
          <w:szCs w:val="22"/>
        </w:rPr>
        <w:lastRenderedPageBreak/>
        <w:t xml:space="preserve">Segundo. </w:t>
      </w:r>
      <w:r w:rsidRPr="00344EC4">
        <w:rPr>
          <w:rFonts w:ascii="Palatino Linotype" w:eastAsia="Palatino Linotype" w:hAnsi="Palatino Linotype" w:cs="Palatino Linotype"/>
          <w:i/>
          <w:sz w:val="22"/>
          <w:szCs w:val="22"/>
        </w:rPr>
        <w:t>Se Ordena al Sujeto Obligado dé trámite, vía Sistema de Acceso a la Información Mexiquense (SAIMEX), a las solicitudes de acceso a la información pública 00063/TEXCALTI/IP/2022, 00060/TEXCALTI/IP/2022, 00062/TEXCALTI/IP/2022 y 00061/TEXCALTI/IP/2022, que dieron origen al recurso de revisión 14814/INFOEM/IP/RR/2022, 14815/INFOEM/IP/RR/2022, 14816/INFOEM/IP/RR/2022 y 14817/INFOEM/IP/RR/2022, en términos del Considerando Cuarto de esta resolución y emita respuesta, debiendo observar las excepciones contenidas en la Ley de Transparencia y Acceso a la Información Pública del Estado de México y Municipios.</w:t>
      </w:r>
      <w:r w:rsidR="003A2877" w:rsidRPr="00344EC4">
        <w:rPr>
          <w:rFonts w:ascii="Palatino Linotype" w:eastAsia="Palatino Linotype" w:hAnsi="Palatino Linotype" w:cs="Palatino Linotype"/>
          <w:i/>
          <w:sz w:val="22"/>
          <w:szCs w:val="22"/>
        </w:rPr>
        <w:t xml:space="preserve">” </w:t>
      </w:r>
    </w:p>
    <w:p w:rsidR="00954120" w:rsidRPr="00344EC4" w:rsidRDefault="003A2877">
      <w:pPr>
        <w:spacing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b/>
        </w:rPr>
        <w:t xml:space="preserve">g. Notificación de la Resolución del Recurso de Revisión </w:t>
      </w:r>
      <w:r w:rsidR="00616EF4" w:rsidRPr="00344EC4">
        <w:rPr>
          <w:rFonts w:ascii="Palatino Linotype" w:eastAsia="Palatino Linotype" w:hAnsi="Palatino Linotype" w:cs="Palatino Linotype"/>
          <w:b/>
        </w:rPr>
        <w:t>14814/INFOEM/IP/RR/2022</w:t>
      </w:r>
      <w:r w:rsidRPr="00344EC4">
        <w:rPr>
          <w:rFonts w:ascii="Palatino Linotype" w:eastAsia="Palatino Linotype" w:hAnsi="Palatino Linotype" w:cs="Palatino Linotype"/>
          <w:b/>
        </w:rPr>
        <w:t xml:space="preserve">. </w:t>
      </w:r>
      <w:r w:rsidRPr="00344EC4">
        <w:rPr>
          <w:rFonts w:ascii="Palatino Linotype" w:eastAsia="Palatino Linotype" w:hAnsi="Palatino Linotype" w:cs="Palatino Linotype"/>
        </w:rPr>
        <w:t xml:space="preserve">El </w:t>
      </w:r>
      <w:r w:rsidR="00616EF4" w:rsidRPr="00344EC4">
        <w:rPr>
          <w:rFonts w:ascii="Palatino Linotype" w:eastAsia="Palatino Linotype" w:hAnsi="Palatino Linotype" w:cs="Palatino Linotype"/>
          <w:b/>
        </w:rPr>
        <w:t>diecisiete de octubre</w:t>
      </w:r>
      <w:r w:rsidRPr="00344EC4">
        <w:rPr>
          <w:rFonts w:ascii="Palatino Linotype" w:eastAsia="Palatino Linotype" w:hAnsi="Palatino Linotype" w:cs="Palatino Linotype"/>
        </w:rPr>
        <w:t xml:space="preserve"> </w:t>
      </w:r>
      <w:r w:rsidRPr="00344EC4">
        <w:rPr>
          <w:rFonts w:ascii="Palatino Linotype" w:eastAsia="Palatino Linotype" w:hAnsi="Palatino Linotype" w:cs="Palatino Linotype"/>
          <w:b/>
        </w:rPr>
        <w:t>de dos mil veintidós</w:t>
      </w:r>
      <w:r w:rsidRPr="00344EC4">
        <w:rPr>
          <w:rFonts w:ascii="Palatino Linotype" w:eastAsia="Palatino Linotype" w:hAnsi="Palatino Linotype" w:cs="Palatino Linotype"/>
        </w:rPr>
        <w:t xml:space="preserve">, se notificó a las partes la resolución del Medio de Impugnación previamente referido, por medio del Sistema de Acceso a la Información Mexiquense (SAIMEX). </w:t>
      </w:r>
    </w:p>
    <w:p w:rsidR="00954120" w:rsidRPr="00344EC4" w:rsidRDefault="00954120">
      <w:pPr>
        <w:spacing w:line="360" w:lineRule="auto"/>
        <w:jc w:val="both"/>
        <w:rPr>
          <w:rFonts w:ascii="Palatino Linotype" w:eastAsia="Palatino Linotype" w:hAnsi="Palatino Linotype" w:cs="Palatino Linotype"/>
        </w:rPr>
      </w:pPr>
    </w:p>
    <w:p w:rsidR="00954120" w:rsidRPr="00344EC4" w:rsidRDefault="003A2877">
      <w:pPr>
        <w:spacing w:line="360" w:lineRule="auto"/>
        <w:jc w:val="both"/>
        <w:rPr>
          <w:rFonts w:ascii="Palatino Linotype" w:eastAsia="Palatino Linotype" w:hAnsi="Palatino Linotype" w:cs="Palatino Linotype"/>
          <w:b/>
          <w:sz w:val="22"/>
        </w:rPr>
      </w:pPr>
      <w:r w:rsidRPr="00344EC4">
        <w:rPr>
          <w:rFonts w:ascii="Palatino Linotype" w:eastAsia="Palatino Linotype" w:hAnsi="Palatino Linotype" w:cs="Palatino Linotype"/>
          <w:b/>
        </w:rPr>
        <w:t xml:space="preserve">h. </w:t>
      </w:r>
      <w:r w:rsidR="00616EF4" w:rsidRPr="00344EC4">
        <w:rPr>
          <w:rFonts w:ascii="Palatino Linotype" w:eastAsia="Palatino Linotype" w:hAnsi="Palatino Linotype" w:cs="Palatino Linotype"/>
          <w:b/>
        </w:rPr>
        <w:t>Acuerdo de Cumplimiento/Incumplimiento del Recurso de Revisión</w:t>
      </w:r>
      <w:r w:rsidRPr="00344EC4">
        <w:rPr>
          <w:rFonts w:ascii="Palatino Linotype" w:eastAsia="Palatino Linotype" w:hAnsi="Palatino Linotype" w:cs="Palatino Linotype"/>
          <w:b/>
        </w:rPr>
        <w:t xml:space="preserve">. </w:t>
      </w:r>
      <w:r w:rsidRPr="00344EC4">
        <w:rPr>
          <w:rFonts w:ascii="Palatino Linotype" w:eastAsia="Palatino Linotype" w:hAnsi="Palatino Linotype" w:cs="Palatino Linotype"/>
        </w:rPr>
        <w:t xml:space="preserve">El </w:t>
      </w:r>
      <w:r w:rsidR="00616EF4" w:rsidRPr="00344EC4">
        <w:rPr>
          <w:rFonts w:ascii="Palatino Linotype" w:eastAsia="Palatino Linotype" w:hAnsi="Palatino Linotype" w:cs="Palatino Linotype"/>
          <w:b/>
        </w:rPr>
        <w:t>primero de noviembre</w:t>
      </w:r>
      <w:r w:rsidRPr="00344EC4">
        <w:rPr>
          <w:rFonts w:ascii="Palatino Linotype" w:eastAsia="Palatino Linotype" w:hAnsi="Palatino Linotype" w:cs="Palatino Linotype"/>
          <w:b/>
        </w:rPr>
        <w:t xml:space="preserve"> de dos mil veintidós</w:t>
      </w:r>
      <w:r w:rsidRPr="00344EC4">
        <w:rPr>
          <w:rFonts w:ascii="Palatino Linotype" w:eastAsia="Palatino Linotype" w:hAnsi="Palatino Linotype" w:cs="Palatino Linotype"/>
        </w:rPr>
        <w:t xml:space="preserve">, </w:t>
      </w:r>
      <w:r w:rsidR="00616EF4" w:rsidRPr="00344EC4">
        <w:rPr>
          <w:rFonts w:ascii="Palatino Linotype" w:eastAsia="Palatino Linotype" w:hAnsi="Palatino Linotype" w:cs="Palatino Linotype"/>
        </w:rPr>
        <w:t xml:space="preserve">la Dirección de Cumplimientos de este Instituto notificó a las partes, el acuerdo de incumplimiento a la resolución de </w:t>
      </w:r>
      <w:r w:rsidR="00D63A38" w:rsidRPr="00344EC4">
        <w:rPr>
          <w:rFonts w:ascii="Palatino Linotype" w:eastAsia="Palatino Linotype" w:hAnsi="Palatino Linotype" w:cs="Palatino Linotype"/>
        </w:rPr>
        <w:t xml:space="preserve">los recursos de revisión </w:t>
      </w:r>
      <w:r w:rsidR="00D63A38" w:rsidRPr="00344EC4">
        <w:rPr>
          <w:rFonts w:ascii="Palatino Linotype" w:eastAsia="Palatino Linotype" w:hAnsi="Palatino Linotype" w:cs="Palatino Linotype"/>
          <w:b/>
          <w:sz w:val="22"/>
        </w:rPr>
        <w:t xml:space="preserve">14814/INFOEM/IP/RR/2022, 14815/INFOEM/IP/RR/2022, 14816/INFOEM/IP/RR/2022 y 14817/INFOEM/IP/RR/2022 acumulados: </w:t>
      </w:r>
    </w:p>
    <w:p w:rsidR="004E618D" w:rsidRPr="00344EC4" w:rsidRDefault="004E618D">
      <w:pPr>
        <w:spacing w:line="360" w:lineRule="auto"/>
        <w:jc w:val="both"/>
        <w:rPr>
          <w:rFonts w:ascii="Palatino Linotype" w:eastAsia="Palatino Linotype" w:hAnsi="Palatino Linotype" w:cs="Palatino Linotype"/>
        </w:rPr>
      </w:pPr>
    </w:p>
    <w:p w:rsidR="00616EF4" w:rsidRPr="00344EC4" w:rsidRDefault="00D63A38" w:rsidP="00D63A38">
      <w:pPr>
        <w:spacing w:line="276" w:lineRule="auto"/>
        <w:ind w:left="567" w:right="851"/>
        <w:jc w:val="both"/>
        <w:rPr>
          <w:rFonts w:ascii="Palatino Linotype" w:eastAsia="Palatino Linotype" w:hAnsi="Palatino Linotype" w:cs="Palatino Linotype"/>
          <w:i/>
          <w:sz w:val="22"/>
        </w:rPr>
      </w:pPr>
      <w:r w:rsidRPr="00344EC4">
        <w:rPr>
          <w:rFonts w:ascii="Palatino Linotype" w:eastAsia="Palatino Linotype" w:hAnsi="Palatino Linotype" w:cs="Palatino Linotype"/>
          <w:i/>
          <w:sz w:val="22"/>
        </w:rPr>
        <w:t>“</w:t>
      </w:r>
      <w:r w:rsidR="00616EF4" w:rsidRPr="00344EC4">
        <w:rPr>
          <w:rFonts w:ascii="Palatino Linotype" w:eastAsia="Palatino Linotype" w:hAnsi="Palatino Linotype" w:cs="Palatino Linotype"/>
          <w:i/>
          <w:sz w:val="22"/>
        </w:rPr>
        <w:t xml:space="preserve">Con fundamento en el artículo 200, fracción I de la Ley de Transparencia y Acceso a la Información Pública del Estado de México y Municipios, </w:t>
      </w:r>
      <w:r w:rsidR="00616EF4" w:rsidRPr="00344EC4">
        <w:rPr>
          <w:rFonts w:ascii="Palatino Linotype" w:eastAsia="Palatino Linotype" w:hAnsi="Palatino Linotype" w:cs="Palatino Linotype"/>
          <w:b/>
          <w:i/>
          <w:sz w:val="22"/>
        </w:rPr>
        <w:t>se les hace de su conocimiento de las partes, el Acuerdo de Incumplimiento a la Resolución del Recurso de Revisión al rubro indicado, emitido en fecha primero de noviembre de dos mil veintidós</w:t>
      </w:r>
      <w:r w:rsidR="00616EF4" w:rsidRPr="00344EC4">
        <w:rPr>
          <w:rFonts w:ascii="Palatino Linotype" w:eastAsia="Palatino Linotype" w:hAnsi="Palatino Linotype" w:cs="Palatino Linotype"/>
          <w:i/>
          <w:sz w:val="22"/>
        </w:rPr>
        <w:t>, que deriva de la solicitud de información señalada, para su conocimiento y efectos legales procedentes.</w:t>
      </w:r>
      <w:r w:rsidRPr="00344EC4">
        <w:rPr>
          <w:rFonts w:ascii="Palatino Linotype" w:eastAsia="Palatino Linotype" w:hAnsi="Palatino Linotype" w:cs="Palatino Linotype"/>
          <w:i/>
          <w:sz w:val="22"/>
        </w:rPr>
        <w:t xml:space="preserve">” (Sic) </w:t>
      </w:r>
    </w:p>
    <w:p w:rsidR="00200946" w:rsidRPr="00344EC4" w:rsidRDefault="00200946" w:rsidP="00D63A38">
      <w:pPr>
        <w:spacing w:line="276" w:lineRule="auto"/>
        <w:ind w:left="567" w:right="851"/>
        <w:jc w:val="both"/>
        <w:rPr>
          <w:rFonts w:ascii="Palatino Linotype" w:eastAsia="Palatino Linotype" w:hAnsi="Palatino Linotype" w:cs="Palatino Linotype"/>
          <w:i/>
          <w:sz w:val="22"/>
        </w:rPr>
      </w:pPr>
    </w:p>
    <w:p w:rsidR="00200946" w:rsidRPr="00344EC4" w:rsidRDefault="00200946" w:rsidP="00D63A38">
      <w:pPr>
        <w:spacing w:line="276" w:lineRule="auto"/>
        <w:ind w:left="567" w:right="851"/>
        <w:jc w:val="both"/>
        <w:rPr>
          <w:rFonts w:ascii="Palatino Linotype" w:eastAsia="Palatino Linotype" w:hAnsi="Palatino Linotype" w:cs="Palatino Linotype"/>
          <w:i/>
          <w:sz w:val="22"/>
        </w:rPr>
      </w:pPr>
    </w:p>
    <w:p w:rsidR="00D63A38" w:rsidRPr="00344EC4" w:rsidRDefault="00D63A38" w:rsidP="00D63A38">
      <w:pPr>
        <w:spacing w:line="276" w:lineRule="auto"/>
        <w:ind w:left="567" w:right="851"/>
        <w:jc w:val="both"/>
        <w:rPr>
          <w:rFonts w:ascii="Palatino Linotype" w:eastAsia="Palatino Linotype" w:hAnsi="Palatino Linotype" w:cs="Palatino Linotype"/>
          <w:i/>
          <w:sz w:val="22"/>
        </w:rPr>
      </w:pPr>
    </w:p>
    <w:p w:rsidR="00D63A38" w:rsidRPr="00344EC4" w:rsidRDefault="00D63A38" w:rsidP="00D63A38">
      <w:pPr>
        <w:spacing w:line="276" w:lineRule="auto"/>
        <w:ind w:left="567" w:right="851"/>
        <w:jc w:val="both"/>
        <w:rPr>
          <w:rFonts w:ascii="Palatino Linotype" w:eastAsia="Palatino Linotype" w:hAnsi="Palatino Linotype" w:cs="Palatino Linotype"/>
          <w:b/>
          <w:sz w:val="22"/>
        </w:rPr>
      </w:pPr>
      <w:r w:rsidRPr="00344EC4">
        <w:rPr>
          <w:rFonts w:ascii="Palatino Linotype" w:eastAsia="Palatino Linotype" w:hAnsi="Palatino Linotype" w:cs="Palatino Linotype"/>
          <w:b/>
          <w:sz w:val="22"/>
        </w:rPr>
        <w:lastRenderedPageBreak/>
        <w:t>Archivos adjuntos:</w:t>
      </w:r>
    </w:p>
    <w:p w:rsidR="00200946" w:rsidRPr="00344EC4" w:rsidRDefault="00200946" w:rsidP="00D63A38">
      <w:pPr>
        <w:spacing w:line="276" w:lineRule="auto"/>
        <w:ind w:left="567" w:right="851"/>
        <w:jc w:val="both"/>
        <w:rPr>
          <w:rFonts w:ascii="Palatino Linotype" w:eastAsia="Palatino Linotype" w:hAnsi="Palatino Linotype" w:cs="Palatino Linotype"/>
          <w:b/>
          <w:sz w:val="22"/>
        </w:rPr>
      </w:pPr>
    </w:p>
    <w:p w:rsidR="00D63A38" w:rsidRPr="00344EC4" w:rsidRDefault="00D63A38" w:rsidP="002E6057">
      <w:pPr>
        <w:spacing w:line="360" w:lineRule="auto"/>
        <w:ind w:left="567" w:right="851"/>
        <w:jc w:val="both"/>
        <w:rPr>
          <w:rFonts w:ascii="Palatino Linotype" w:eastAsia="Palatino Linotype" w:hAnsi="Palatino Linotype" w:cs="Palatino Linotype"/>
        </w:rPr>
      </w:pPr>
      <w:r w:rsidRPr="00344EC4">
        <w:rPr>
          <w:rFonts w:ascii="Palatino Linotype" w:eastAsia="Palatino Linotype" w:hAnsi="Palatino Linotype" w:cs="Palatino Linotype"/>
          <w:b/>
          <w:i/>
          <w:sz w:val="22"/>
        </w:rPr>
        <w:t xml:space="preserve">“AI-RR-14814-ACUMULADOS-2022- OMISO.pdf”: </w:t>
      </w:r>
      <w:r w:rsidRPr="00344EC4">
        <w:rPr>
          <w:rFonts w:ascii="Palatino Linotype" w:eastAsia="Palatino Linotype" w:hAnsi="Palatino Linotype" w:cs="Palatino Linotype"/>
        </w:rPr>
        <w:t>Acuerdo de Incumplimiento de fecha de noviembre de dos mil veintidós, mediante el cual, el Director de Cumplimientos da cuenta del incumplimiento a la resolución citada al rubro y adicionalmente, solicita se notifique el incumplimiento al Superior Jerárquico del responsable de dar cumplimiento a la Resolución de mérito, así como al Titular del Órgano Interno de Control del INFOEM para efecto de que, en uso de sus atribuciones, se impongan las medidas de apremio procedentes al Sujeto Obligado implicado a fin de garantizar el cumplimiento de la Resolución del Recurso de Revisión de mérito.</w:t>
      </w:r>
    </w:p>
    <w:p w:rsidR="00D63A38" w:rsidRPr="00344EC4" w:rsidRDefault="00D63A38" w:rsidP="00D63A38">
      <w:pPr>
        <w:spacing w:line="276" w:lineRule="auto"/>
        <w:ind w:left="567" w:right="851"/>
        <w:jc w:val="center"/>
        <w:rPr>
          <w:rFonts w:ascii="Palatino Linotype" w:eastAsia="Palatino Linotype" w:hAnsi="Palatino Linotype" w:cs="Palatino Linotype"/>
          <w:b/>
          <w:i/>
          <w:sz w:val="22"/>
        </w:rPr>
      </w:pPr>
      <w:r w:rsidRPr="00344EC4">
        <w:rPr>
          <w:rFonts w:ascii="Palatino Linotype" w:eastAsia="Palatino Linotype" w:hAnsi="Palatino Linotype" w:cs="Palatino Linotype"/>
          <w:b/>
          <w:i/>
          <w:noProof/>
          <w:sz w:val="22"/>
          <w:lang w:eastAsia="es-MX"/>
        </w:rPr>
        <w:lastRenderedPageBreak/>
        <w:drawing>
          <wp:inline distT="0" distB="0" distL="0" distR="0" wp14:anchorId="5A8F6D6C" wp14:editId="5458E81C">
            <wp:extent cx="4133695" cy="4991100"/>
            <wp:effectExtent l="19050" t="19050" r="1968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53718" cy="5015277"/>
                    </a:xfrm>
                    <a:prstGeom prst="rect">
                      <a:avLst/>
                    </a:prstGeom>
                    <a:ln>
                      <a:solidFill>
                        <a:schemeClr val="tx1"/>
                      </a:solidFill>
                    </a:ln>
                  </pic:spPr>
                </pic:pic>
              </a:graphicData>
            </a:graphic>
          </wp:inline>
        </w:drawing>
      </w:r>
    </w:p>
    <w:p w:rsidR="00344EC4" w:rsidRPr="00344EC4" w:rsidRDefault="00344EC4" w:rsidP="00D63A38">
      <w:pPr>
        <w:spacing w:line="276" w:lineRule="auto"/>
        <w:ind w:left="567" w:right="851"/>
        <w:jc w:val="center"/>
        <w:rPr>
          <w:rFonts w:ascii="Palatino Linotype" w:eastAsia="Palatino Linotype" w:hAnsi="Palatino Linotype" w:cs="Palatino Linotype"/>
          <w:b/>
          <w:i/>
          <w:sz w:val="22"/>
        </w:rPr>
      </w:pPr>
    </w:p>
    <w:p w:rsidR="00D63A38" w:rsidRPr="00344EC4" w:rsidRDefault="00D63A38" w:rsidP="002E6057">
      <w:pPr>
        <w:spacing w:line="360" w:lineRule="auto"/>
        <w:ind w:left="567" w:right="851"/>
        <w:jc w:val="both"/>
        <w:rPr>
          <w:rFonts w:ascii="Palatino Linotype" w:eastAsia="Palatino Linotype" w:hAnsi="Palatino Linotype" w:cs="Palatino Linotype"/>
        </w:rPr>
      </w:pPr>
      <w:r w:rsidRPr="00344EC4">
        <w:rPr>
          <w:rFonts w:ascii="Palatino Linotype" w:eastAsia="Palatino Linotype" w:hAnsi="Palatino Linotype" w:cs="Palatino Linotype"/>
          <w:b/>
          <w:i/>
          <w:sz w:val="22"/>
        </w:rPr>
        <w:t xml:space="preserve">“OF-SJ-14814-ACUMULADOS-2022.pdf”: </w:t>
      </w:r>
      <w:r w:rsidRPr="00344EC4">
        <w:rPr>
          <w:rFonts w:ascii="Palatino Linotype" w:eastAsia="Palatino Linotype" w:hAnsi="Palatino Linotype" w:cs="Palatino Linotype"/>
        </w:rPr>
        <w:t xml:space="preserve">Oficio INFOEM/STP/DC/6043/2022, signado por el Director de Cumplimientos, mediante el cual </w:t>
      </w:r>
      <w:r w:rsidR="002E6057" w:rsidRPr="00344EC4">
        <w:rPr>
          <w:rFonts w:ascii="Palatino Linotype" w:eastAsia="Palatino Linotype" w:hAnsi="Palatino Linotype" w:cs="Palatino Linotype"/>
        </w:rPr>
        <w:t>se solicita que se notifique al superior jerárquico del responsable de dar cumplimiento a la resolución de mérito, a efecto de que dé cumplimiento a la misma en un periodo no mayor a cinco días hábiles.</w:t>
      </w:r>
    </w:p>
    <w:p w:rsidR="00D63A38" w:rsidRPr="00344EC4" w:rsidRDefault="00D63A38" w:rsidP="00D63A38">
      <w:pPr>
        <w:spacing w:line="276" w:lineRule="auto"/>
        <w:ind w:left="567" w:right="851"/>
        <w:jc w:val="both"/>
        <w:rPr>
          <w:rFonts w:ascii="Palatino Linotype" w:eastAsia="Palatino Linotype" w:hAnsi="Palatino Linotype" w:cs="Palatino Linotype"/>
          <w:sz w:val="22"/>
        </w:rPr>
      </w:pPr>
      <w:r w:rsidRPr="00344EC4">
        <w:rPr>
          <w:rFonts w:ascii="Palatino Linotype" w:eastAsia="Palatino Linotype" w:hAnsi="Palatino Linotype" w:cs="Palatino Linotype"/>
          <w:noProof/>
          <w:sz w:val="22"/>
          <w:lang w:eastAsia="es-MX"/>
        </w:rPr>
        <w:lastRenderedPageBreak/>
        <w:drawing>
          <wp:inline distT="0" distB="0" distL="0" distR="0" wp14:anchorId="57CE3D39" wp14:editId="7969A91F">
            <wp:extent cx="4859571" cy="5457825"/>
            <wp:effectExtent l="19050" t="19050" r="1778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1240" cy="5459700"/>
                    </a:xfrm>
                    <a:prstGeom prst="rect">
                      <a:avLst/>
                    </a:prstGeom>
                    <a:ln>
                      <a:solidFill>
                        <a:schemeClr val="tx1"/>
                      </a:solidFill>
                    </a:ln>
                  </pic:spPr>
                </pic:pic>
              </a:graphicData>
            </a:graphic>
          </wp:inline>
        </w:drawing>
      </w:r>
    </w:p>
    <w:p w:rsidR="00D63A38" w:rsidRPr="00344EC4" w:rsidRDefault="00D63A38" w:rsidP="00D63A38">
      <w:pPr>
        <w:spacing w:line="276" w:lineRule="auto"/>
        <w:ind w:left="567" w:right="851"/>
        <w:jc w:val="both"/>
        <w:rPr>
          <w:rFonts w:ascii="Palatino Linotype" w:eastAsia="Palatino Linotype" w:hAnsi="Palatino Linotype" w:cs="Palatino Linotype"/>
          <w:b/>
          <w:sz w:val="22"/>
        </w:rPr>
      </w:pPr>
    </w:p>
    <w:p w:rsidR="00616EF4" w:rsidRPr="00344EC4" w:rsidRDefault="00616EF4">
      <w:pPr>
        <w:spacing w:line="360" w:lineRule="auto"/>
        <w:jc w:val="both"/>
        <w:rPr>
          <w:rFonts w:ascii="Palatino Linotype" w:eastAsia="Palatino Linotype" w:hAnsi="Palatino Linotype" w:cs="Palatino Linotype"/>
        </w:rPr>
      </w:pPr>
    </w:p>
    <w:p w:rsidR="002E6057" w:rsidRPr="00344EC4" w:rsidRDefault="003A2877">
      <w:pPr>
        <w:spacing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b/>
        </w:rPr>
        <w:t xml:space="preserve">i. </w:t>
      </w:r>
      <w:r w:rsidR="002E6057" w:rsidRPr="00344EC4">
        <w:rPr>
          <w:rFonts w:ascii="Palatino Linotype" w:eastAsia="Palatino Linotype" w:hAnsi="Palatino Linotype" w:cs="Palatino Linotype"/>
          <w:b/>
        </w:rPr>
        <w:t>Turno a la Contraloría Interna para Imposición de Medida de Apremio</w:t>
      </w:r>
      <w:r w:rsidRPr="00344EC4">
        <w:rPr>
          <w:rFonts w:ascii="Palatino Linotype" w:eastAsia="Palatino Linotype" w:hAnsi="Palatino Linotype" w:cs="Palatino Linotype"/>
          <w:b/>
        </w:rPr>
        <w:t xml:space="preserve">. </w:t>
      </w:r>
      <w:r w:rsidRPr="00344EC4">
        <w:rPr>
          <w:rFonts w:ascii="Palatino Linotype" w:eastAsia="Palatino Linotype" w:hAnsi="Palatino Linotype" w:cs="Palatino Linotype"/>
        </w:rPr>
        <w:t xml:space="preserve">El </w:t>
      </w:r>
      <w:r w:rsidR="002E6057" w:rsidRPr="00344EC4">
        <w:rPr>
          <w:rFonts w:ascii="Palatino Linotype" w:eastAsia="Palatino Linotype" w:hAnsi="Palatino Linotype" w:cs="Palatino Linotype"/>
          <w:b/>
        </w:rPr>
        <w:t>primero de nov</w:t>
      </w:r>
      <w:r w:rsidRPr="00344EC4">
        <w:rPr>
          <w:rFonts w:ascii="Palatino Linotype" w:eastAsia="Palatino Linotype" w:hAnsi="Palatino Linotype" w:cs="Palatino Linotype"/>
          <w:b/>
        </w:rPr>
        <w:t>iembre de dos mil veintidós</w:t>
      </w:r>
      <w:r w:rsidR="002E6057" w:rsidRPr="00344EC4">
        <w:rPr>
          <w:rFonts w:ascii="Palatino Linotype" w:eastAsia="Palatino Linotype" w:hAnsi="Palatino Linotype" w:cs="Palatino Linotype"/>
        </w:rPr>
        <w:t xml:space="preserve">, se notificó al Titular del Órgano de Control Interno, el oficio INFOEM/STP/DC/6042/2022, de fecha primero de noviembre de dos mil veintidós, mediante el cual, el Director de Cumplimientos hace del conocimiento del Contralor que se emitió un incumplimiento al </w:t>
      </w:r>
      <w:r w:rsidR="002E6057" w:rsidRPr="00344EC4">
        <w:rPr>
          <w:rFonts w:ascii="Palatino Linotype" w:eastAsia="Palatino Linotype" w:hAnsi="Palatino Linotype" w:cs="Palatino Linotype"/>
          <w:b/>
        </w:rPr>
        <w:t xml:space="preserve">Sujeto </w:t>
      </w:r>
      <w:r w:rsidR="002E6057" w:rsidRPr="00344EC4">
        <w:rPr>
          <w:rFonts w:ascii="Palatino Linotype" w:eastAsia="Palatino Linotype" w:hAnsi="Palatino Linotype" w:cs="Palatino Linotype"/>
          <w:b/>
        </w:rPr>
        <w:lastRenderedPageBreak/>
        <w:t>Obligado</w:t>
      </w:r>
      <w:r w:rsidR="002E6057" w:rsidRPr="00344EC4">
        <w:rPr>
          <w:rFonts w:ascii="Palatino Linotype" w:eastAsia="Palatino Linotype" w:hAnsi="Palatino Linotype" w:cs="Palatino Linotype"/>
        </w:rPr>
        <w:t xml:space="preserve"> para efecto de que en ejercicio de sus atribuciones, se impongan las medidas de apremio que conforme a derecho procedan.</w:t>
      </w:r>
    </w:p>
    <w:p w:rsidR="002E6057" w:rsidRPr="00344EC4" w:rsidRDefault="002E6057" w:rsidP="002E6057">
      <w:pPr>
        <w:spacing w:line="360" w:lineRule="auto"/>
        <w:jc w:val="center"/>
        <w:rPr>
          <w:rFonts w:ascii="Palatino Linotype" w:eastAsia="Palatino Linotype" w:hAnsi="Palatino Linotype" w:cs="Palatino Linotype"/>
        </w:rPr>
      </w:pPr>
      <w:r w:rsidRPr="00344EC4">
        <w:rPr>
          <w:rFonts w:ascii="Palatino Linotype" w:eastAsia="Palatino Linotype" w:hAnsi="Palatino Linotype" w:cs="Palatino Linotype"/>
          <w:noProof/>
          <w:lang w:eastAsia="es-MX"/>
        </w:rPr>
        <w:drawing>
          <wp:inline distT="0" distB="0" distL="0" distR="0" wp14:anchorId="7821B9B2" wp14:editId="27FD8213">
            <wp:extent cx="4267200" cy="5019750"/>
            <wp:effectExtent l="19050" t="19050" r="19050"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8956" cy="5033579"/>
                    </a:xfrm>
                    <a:prstGeom prst="rect">
                      <a:avLst/>
                    </a:prstGeom>
                    <a:ln>
                      <a:solidFill>
                        <a:schemeClr val="tx1"/>
                      </a:solidFill>
                    </a:ln>
                  </pic:spPr>
                </pic:pic>
              </a:graphicData>
            </a:graphic>
          </wp:inline>
        </w:drawing>
      </w:r>
    </w:p>
    <w:p w:rsidR="002E6057" w:rsidRPr="00344EC4" w:rsidRDefault="00531C83" w:rsidP="00531C83">
      <w:pPr>
        <w:spacing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b/>
          <w:noProof/>
          <w:lang w:eastAsia="es-MX"/>
        </w:rPr>
        <w:lastRenderedPageBreak/>
        <w:drawing>
          <wp:anchor distT="0" distB="0" distL="114300" distR="114300" simplePos="0" relativeHeight="251662336" behindDoc="0" locked="0" layoutInCell="1" allowOverlap="1">
            <wp:simplePos x="0" y="0"/>
            <wp:positionH relativeFrom="column">
              <wp:posOffset>558165</wp:posOffset>
            </wp:positionH>
            <wp:positionV relativeFrom="paragraph">
              <wp:posOffset>1565910</wp:posOffset>
            </wp:positionV>
            <wp:extent cx="4686300" cy="5802630"/>
            <wp:effectExtent l="19050" t="19050" r="19050" b="2667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686300" cy="58026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E6057" w:rsidRPr="00344EC4">
        <w:rPr>
          <w:rFonts w:ascii="Palatino Linotype" w:eastAsia="Palatino Linotype" w:hAnsi="Palatino Linotype" w:cs="Palatino Linotype"/>
          <w:b/>
        </w:rPr>
        <w:t>j</w:t>
      </w:r>
      <w:r w:rsidR="002E6057" w:rsidRPr="00344EC4">
        <w:rPr>
          <w:rFonts w:ascii="Palatino Linotype" w:eastAsia="Palatino Linotype" w:hAnsi="Palatino Linotype" w:cs="Palatino Linotype"/>
        </w:rPr>
        <w:t xml:space="preserve">. </w:t>
      </w:r>
      <w:r w:rsidR="002E6057" w:rsidRPr="00344EC4">
        <w:rPr>
          <w:rFonts w:ascii="Palatino Linotype" w:eastAsia="Palatino Linotype" w:hAnsi="Palatino Linotype" w:cs="Palatino Linotype"/>
          <w:b/>
        </w:rPr>
        <w:t xml:space="preserve">Notificación de Apercibimiento al titular de la unidad de transparencia. </w:t>
      </w:r>
      <w:r w:rsidR="002E6057" w:rsidRPr="00344EC4">
        <w:rPr>
          <w:rFonts w:ascii="Palatino Linotype" w:eastAsia="Palatino Linotype" w:hAnsi="Palatino Linotype" w:cs="Palatino Linotype"/>
        </w:rPr>
        <w:t xml:space="preserve">El </w:t>
      </w:r>
      <w:r w:rsidR="002E6057" w:rsidRPr="00344EC4">
        <w:rPr>
          <w:rFonts w:ascii="Palatino Linotype" w:eastAsia="Palatino Linotype" w:hAnsi="Palatino Linotype" w:cs="Palatino Linotype"/>
          <w:b/>
        </w:rPr>
        <w:t>catorce de noviembre de dos mil veintidós</w:t>
      </w:r>
      <w:r w:rsidR="002E6057" w:rsidRPr="00344EC4">
        <w:rPr>
          <w:rFonts w:ascii="Palatino Linotype" w:eastAsia="Palatino Linotype" w:hAnsi="Palatino Linotype" w:cs="Palatino Linotype"/>
        </w:rPr>
        <w:t xml:space="preserve">, el </w:t>
      </w:r>
      <w:r w:rsidRPr="00344EC4">
        <w:rPr>
          <w:rFonts w:ascii="Palatino Linotype" w:eastAsia="Palatino Linotype" w:hAnsi="Palatino Linotype" w:cs="Palatino Linotype"/>
        </w:rPr>
        <w:t xml:space="preserve">Titular del Órgano Interno de Control del INFOEM, apercibe al titular de la unidad de transparencia del </w:t>
      </w:r>
      <w:r w:rsidRPr="00344EC4">
        <w:rPr>
          <w:rFonts w:ascii="Palatino Linotype" w:eastAsia="Palatino Linotype" w:hAnsi="Palatino Linotype" w:cs="Palatino Linotype"/>
          <w:b/>
        </w:rPr>
        <w:t>Sujeto Obligado</w:t>
      </w:r>
      <w:r w:rsidRPr="00344EC4">
        <w:rPr>
          <w:rFonts w:ascii="Palatino Linotype" w:eastAsia="Palatino Linotype" w:hAnsi="Palatino Linotype" w:cs="Palatino Linotype"/>
        </w:rPr>
        <w:t xml:space="preserve"> para que en un plazo de cinco días hábiles, dé cabal cumplimiento a la resolución de referencia.</w:t>
      </w:r>
    </w:p>
    <w:p w:rsidR="00954120" w:rsidRPr="00344EC4" w:rsidRDefault="00D3011C">
      <w:pPr>
        <w:spacing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b/>
        </w:rPr>
        <w:lastRenderedPageBreak/>
        <w:t>5</w:t>
      </w:r>
      <w:r w:rsidR="003A2877" w:rsidRPr="00344EC4">
        <w:rPr>
          <w:rFonts w:ascii="Palatino Linotype" w:eastAsia="Palatino Linotype" w:hAnsi="Palatino Linotype" w:cs="Palatino Linotype"/>
          <w:b/>
        </w:rPr>
        <w:t xml:space="preserve">. Interposición del Segundo Recurso de Revisión </w:t>
      </w:r>
      <w:r w:rsidR="00FA2E5F" w:rsidRPr="00344EC4">
        <w:rPr>
          <w:rFonts w:ascii="Palatino Linotype" w:eastAsia="Palatino Linotype" w:hAnsi="Palatino Linotype" w:cs="Palatino Linotype"/>
          <w:b/>
          <w:sz w:val="22"/>
          <w:szCs w:val="22"/>
        </w:rPr>
        <w:t>14814/INFOEM/ICR-10/IP/RR/2022</w:t>
      </w:r>
      <w:r w:rsidR="003A2877" w:rsidRPr="00344EC4">
        <w:rPr>
          <w:rFonts w:ascii="Palatino Linotype" w:eastAsia="Palatino Linotype" w:hAnsi="Palatino Linotype" w:cs="Palatino Linotype"/>
          <w:b/>
        </w:rPr>
        <w:t xml:space="preserve">. </w:t>
      </w:r>
      <w:r w:rsidR="003A2877" w:rsidRPr="00344EC4">
        <w:rPr>
          <w:rFonts w:ascii="Palatino Linotype" w:eastAsia="Palatino Linotype" w:hAnsi="Palatino Linotype" w:cs="Palatino Linotype"/>
        </w:rPr>
        <w:t xml:space="preserve">El </w:t>
      </w:r>
      <w:r w:rsidR="00FA2E5F" w:rsidRPr="00344EC4">
        <w:rPr>
          <w:rFonts w:ascii="Palatino Linotype" w:eastAsia="Palatino Linotype" w:hAnsi="Palatino Linotype" w:cs="Palatino Linotype"/>
          <w:b/>
        </w:rPr>
        <w:t>veinte de enero de dos mil veintitré</w:t>
      </w:r>
      <w:r w:rsidR="003A2877" w:rsidRPr="00344EC4">
        <w:rPr>
          <w:rFonts w:ascii="Palatino Linotype" w:eastAsia="Palatino Linotype" w:hAnsi="Palatino Linotype" w:cs="Palatino Linotype"/>
          <w:b/>
        </w:rPr>
        <w:t>s</w:t>
      </w:r>
      <w:r w:rsidR="003A2877" w:rsidRPr="00344EC4">
        <w:rPr>
          <w:rFonts w:ascii="Palatino Linotype" w:eastAsia="Palatino Linotype" w:hAnsi="Palatino Linotype" w:cs="Palatino Linotype"/>
        </w:rPr>
        <w:t xml:space="preserve">, </w:t>
      </w:r>
      <w:r w:rsidR="003A2877" w:rsidRPr="00344EC4">
        <w:rPr>
          <w:rFonts w:ascii="Palatino Linotype" w:eastAsia="Palatino Linotype" w:hAnsi="Palatino Linotype" w:cs="Palatino Linotype"/>
          <w:b/>
        </w:rPr>
        <w:t>la parte</w:t>
      </w:r>
      <w:r w:rsidR="003A2877" w:rsidRPr="00344EC4">
        <w:rPr>
          <w:rFonts w:ascii="Palatino Linotype" w:eastAsia="Palatino Linotype" w:hAnsi="Palatino Linotype" w:cs="Palatino Linotype"/>
        </w:rPr>
        <w:t xml:space="preserve"> </w:t>
      </w:r>
      <w:r w:rsidR="003A2877" w:rsidRPr="00344EC4">
        <w:rPr>
          <w:rFonts w:ascii="Palatino Linotype" w:eastAsia="Palatino Linotype" w:hAnsi="Palatino Linotype" w:cs="Palatino Linotype"/>
          <w:b/>
        </w:rPr>
        <w:t xml:space="preserve">Recurrente </w:t>
      </w:r>
      <w:r w:rsidR="003A2877" w:rsidRPr="00344EC4">
        <w:rPr>
          <w:rFonts w:ascii="Palatino Linotype" w:eastAsia="Palatino Linotype" w:hAnsi="Palatino Linotype" w:cs="Palatino Linotype"/>
        </w:rPr>
        <w:t xml:space="preserve">interpuso Recurso de Revisión en este Instituto, a través del Sistema de Acceso a la Información Mexiquense (SAIMEX), en contra de la falta de respuesta del </w:t>
      </w:r>
      <w:r w:rsidR="003A2877" w:rsidRPr="00344EC4">
        <w:rPr>
          <w:rFonts w:ascii="Palatino Linotype" w:eastAsia="Palatino Linotype" w:hAnsi="Palatino Linotype" w:cs="Palatino Linotype"/>
          <w:b/>
        </w:rPr>
        <w:t>Sujeto Obligado,</w:t>
      </w:r>
      <w:r w:rsidR="003A2877" w:rsidRPr="00344EC4">
        <w:rPr>
          <w:rFonts w:ascii="Palatino Linotype" w:eastAsia="Palatino Linotype" w:hAnsi="Palatino Linotype" w:cs="Palatino Linotype"/>
        </w:rPr>
        <w:t xml:space="preserve"> en donde se agravió de lo siguiente</w:t>
      </w:r>
      <w:r w:rsidR="003A2877" w:rsidRPr="00344EC4">
        <w:rPr>
          <w:rFonts w:ascii="Palatino Linotype" w:eastAsia="Palatino Linotype" w:hAnsi="Palatino Linotype" w:cs="Palatino Linotype"/>
          <w:b/>
        </w:rPr>
        <w:t>:</w:t>
      </w:r>
    </w:p>
    <w:p w:rsidR="00954120" w:rsidRPr="00344EC4" w:rsidRDefault="00954120">
      <w:pPr>
        <w:widowControl w:val="0"/>
        <w:spacing w:line="360" w:lineRule="auto"/>
        <w:jc w:val="both"/>
        <w:rPr>
          <w:rFonts w:ascii="Palatino Linotype" w:eastAsia="Palatino Linotype" w:hAnsi="Palatino Linotype" w:cs="Palatino Linotype"/>
          <w:b/>
        </w:rPr>
      </w:pPr>
    </w:p>
    <w:p w:rsidR="00954120" w:rsidRPr="00344EC4" w:rsidRDefault="003A2877">
      <w:pPr>
        <w:numPr>
          <w:ilvl w:val="0"/>
          <w:numId w:val="3"/>
        </w:numPr>
        <w:pBdr>
          <w:top w:val="nil"/>
          <w:left w:val="nil"/>
          <w:bottom w:val="nil"/>
          <w:right w:val="nil"/>
          <w:between w:val="nil"/>
        </w:pBdr>
        <w:spacing w:line="360" w:lineRule="auto"/>
        <w:ind w:right="567"/>
        <w:jc w:val="both"/>
        <w:rPr>
          <w:rFonts w:ascii="Palatino Linotype" w:eastAsia="Palatino Linotype" w:hAnsi="Palatino Linotype" w:cs="Palatino Linotype"/>
          <w:b/>
        </w:rPr>
      </w:pPr>
      <w:r w:rsidRPr="00344EC4">
        <w:rPr>
          <w:rFonts w:ascii="Palatino Linotype" w:eastAsia="Palatino Linotype" w:hAnsi="Palatino Linotype" w:cs="Palatino Linotype"/>
          <w:b/>
        </w:rPr>
        <w:t>Acto Impugnado</w:t>
      </w:r>
    </w:p>
    <w:p w:rsidR="00954120" w:rsidRPr="00344EC4" w:rsidRDefault="003A2877">
      <w:pPr>
        <w:ind w:left="567" w:right="1013"/>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w:t>
      </w:r>
      <w:r w:rsidR="00FA2E5F" w:rsidRPr="00344EC4">
        <w:rPr>
          <w:rFonts w:ascii="Palatino Linotype" w:eastAsia="Palatino Linotype" w:hAnsi="Palatino Linotype" w:cs="Palatino Linotype"/>
          <w:i/>
          <w:sz w:val="22"/>
          <w:szCs w:val="22"/>
        </w:rPr>
        <w:t>No se me entrega nada de lo solicitado</w:t>
      </w:r>
      <w:r w:rsidRPr="00344EC4">
        <w:rPr>
          <w:rFonts w:ascii="Palatino Linotype" w:eastAsia="Palatino Linotype" w:hAnsi="Palatino Linotype" w:cs="Palatino Linotype"/>
          <w:i/>
          <w:sz w:val="22"/>
          <w:szCs w:val="22"/>
        </w:rPr>
        <w:t>” (Sic.)</w:t>
      </w:r>
    </w:p>
    <w:p w:rsidR="00954120" w:rsidRPr="00344EC4" w:rsidRDefault="00954120">
      <w:pPr>
        <w:spacing w:line="360" w:lineRule="auto"/>
        <w:ind w:left="567" w:right="567"/>
        <w:jc w:val="both"/>
        <w:rPr>
          <w:rFonts w:ascii="Palatino Linotype" w:eastAsia="Palatino Linotype" w:hAnsi="Palatino Linotype" w:cs="Palatino Linotype"/>
          <w:i/>
        </w:rPr>
      </w:pPr>
    </w:p>
    <w:p w:rsidR="00954120" w:rsidRPr="00344EC4" w:rsidRDefault="003A2877">
      <w:pPr>
        <w:numPr>
          <w:ilvl w:val="0"/>
          <w:numId w:val="3"/>
        </w:numPr>
        <w:pBdr>
          <w:top w:val="nil"/>
          <w:left w:val="nil"/>
          <w:bottom w:val="nil"/>
          <w:right w:val="nil"/>
          <w:between w:val="nil"/>
        </w:pBdr>
        <w:spacing w:line="360" w:lineRule="auto"/>
        <w:ind w:right="567"/>
        <w:jc w:val="both"/>
        <w:rPr>
          <w:rFonts w:ascii="Palatino Linotype" w:eastAsia="Palatino Linotype" w:hAnsi="Palatino Linotype" w:cs="Palatino Linotype"/>
          <w:b/>
        </w:rPr>
      </w:pPr>
      <w:r w:rsidRPr="00344EC4">
        <w:rPr>
          <w:rFonts w:ascii="Palatino Linotype" w:eastAsia="Palatino Linotype" w:hAnsi="Palatino Linotype" w:cs="Palatino Linotype"/>
          <w:b/>
        </w:rPr>
        <w:t>Razones o Motivos de la Inconformidad</w:t>
      </w:r>
    </w:p>
    <w:p w:rsidR="00954120" w:rsidRPr="00344EC4" w:rsidRDefault="003A2877">
      <w:pPr>
        <w:spacing w:line="276" w:lineRule="auto"/>
        <w:ind w:left="567" w:right="567"/>
        <w:jc w:val="both"/>
        <w:rPr>
          <w:rFonts w:ascii="Palatino Linotype" w:eastAsia="Palatino Linotype" w:hAnsi="Palatino Linotype" w:cs="Palatino Linotype"/>
          <w:sz w:val="22"/>
          <w:szCs w:val="22"/>
        </w:rPr>
      </w:pPr>
      <w:r w:rsidRPr="00344EC4">
        <w:rPr>
          <w:rFonts w:ascii="Palatino Linotype" w:eastAsia="Palatino Linotype" w:hAnsi="Palatino Linotype" w:cs="Palatino Linotype"/>
          <w:i/>
          <w:sz w:val="22"/>
          <w:szCs w:val="22"/>
        </w:rPr>
        <w:t>“</w:t>
      </w:r>
      <w:r w:rsidR="00FA2E5F" w:rsidRPr="00344EC4">
        <w:rPr>
          <w:rFonts w:ascii="Palatino Linotype" w:eastAsia="Palatino Linotype" w:hAnsi="Palatino Linotype" w:cs="Palatino Linotype"/>
          <w:i/>
          <w:sz w:val="22"/>
          <w:szCs w:val="22"/>
        </w:rPr>
        <w:t>Negativa de la información</w:t>
      </w:r>
      <w:r w:rsidRPr="00344EC4">
        <w:rPr>
          <w:rFonts w:ascii="Palatino Linotype" w:eastAsia="Palatino Linotype" w:hAnsi="Palatino Linotype" w:cs="Palatino Linotype"/>
          <w:i/>
          <w:sz w:val="22"/>
          <w:szCs w:val="22"/>
        </w:rPr>
        <w:t>” (Sic)</w:t>
      </w:r>
    </w:p>
    <w:p w:rsidR="00954120" w:rsidRPr="00344EC4" w:rsidRDefault="00954120">
      <w:pPr>
        <w:widowControl w:val="0"/>
        <w:spacing w:line="360" w:lineRule="auto"/>
        <w:jc w:val="both"/>
        <w:rPr>
          <w:rFonts w:ascii="Palatino Linotype" w:eastAsia="Palatino Linotype" w:hAnsi="Palatino Linotype" w:cs="Palatino Linotype"/>
          <w:b/>
        </w:rPr>
      </w:pPr>
    </w:p>
    <w:p w:rsidR="00954120" w:rsidRPr="00344EC4" w:rsidRDefault="00D3011C">
      <w:pPr>
        <w:spacing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b/>
        </w:rPr>
        <w:t>6</w:t>
      </w:r>
      <w:r w:rsidR="003A2877" w:rsidRPr="00344EC4">
        <w:rPr>
          <w:rFonts w:ascii="Palatino Linotype" w:eastAsia="Palatino Linotype" w:hAnsi="Palatino Linotype" w:cs="Palatino Linotype"/>
          <w:b/>
        </w:rPr>
        <w:t xml:space="preserve">. Trámite del Recurso de Revisión con número </w:t>
      </w:r>
      <w:r w:rsidR="00FA2E5F" w:rsidRPr="00344EC4">
        <w:rPr>
          <w:rFonts w:ascii="Palatino Linotype" w:eastAsia="Palatino Linotype" w:hAnsi="Palatino Linotype" w:cs="Palatino Linotype"/>
          <w:b/>
        </w:rPr>
        <w:t xml:space="preserve">14814/INFOEM/ICR-10/IP/RR/2022 </w:t>
      </w:r>
      <w:r w:rsidR="003A2877" w:rsidRPr="00344EC4">
        <w:rPr>
          <w:rFonts w:ascii="Palatino Linotype" w:eastAsia="Palatino Linotype" w:hAnsi="Palatino Linotype" w:cs="Palatino Linotype"/>
          <w:b/>
        </w:rPr>
        <w:t>ante el Instituto.</w:t>
      </w:r>
    </w:p>
    <w:p w:rsidR="00FA2E5F" w:rsidRPr="00344EC4" w:rsidRDefault="00FA2E5F">
      <w:pPr>
        <w:spacing w:line="360" w:lineRule="auto"/>
        <w:jc w:val="both"/>
        <w:rPr>
          <w:rFonts w:ascii="Palatino Linotype" w:eastAsia="Palatino Linotype" w:hAnsi="Palatino Linotype" w:cs="Palatino Linotype"/>
        </w:rPr>
      </w:pPr>
    </w:p>
    <w:p w:rsidR="00954120" w:rsidRPr="00344EC4" w:rsidRDefault="003A2877">
      <w:pPr>
        <w:spacing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b/>
        </w:rPr>
        <w:t xml:space="preserve">a) Turno del Recurso de Revisión. </w:t>
      </w:r>
      <w:r w:rsidRPr="00344EC4">
        <w:rPr>
          <w:rFonts w:ascii="Palatino Linotype" w:eastAsia="Palatino Linotype" w:hAnsi="Palatino Linotype" w:cs="Palatino Linotype"/>
        </w:rPr>
        <w:t xml:space="preserve">El </w:t>
      </w:r>
      <w:r w:rsidR="00FA2E5F" w:rsidRPr="00344EC4">
        <w:rPr>
          <w:rFonts w:ascii="Palatino Linotype" w:eastAsia="Palatino Linotype" w:hAnsi="Palatino Linotype" w:cs="Palatino Linotype"/>
          <w:b/>
        </w:rPr>
        <w:t>veinte de enero de dos mil veintitrés</w:t>
      </w:r>
      <w:r w:rsidRPr="00344EC4">
        <w:rPr>
          <w:rFonts w:ascii="Palatino Linotype" w:eastAsia="Palatino Linotype" w:hAnsi="Palatino Linotype" w:cs="Palatino Linotype"/>
        </w:rPr>
        <w:t xml:space="preserve">, el Sistema de Acceso a la Información Mexiquense (SAIMEX), asignó el número de expediente </w:t>
      </w:r>
      <w:r w:rsidR="00FA2E5F" w:rsidRPr="00344EC4">
        <w:rPr>
          <w:rFonts w:ascii="Palatino Linotype" w:eastAsia="Palatino Linotype" w:hAnsi="Palatino Linotype" w:cs="Palatino Linotype"/>
          <w:b/>
        </w:rPr>
        <w:t>14814/INFOEM/ICR-10/IP/RR/2022</w:t>
      </w:r>
      <w:r w:rsidRPr="00344EC4">
        <w:rPr>
          <w:rFonts w:ascii="Palatino Linotype" w:eastAsia="Palatino Linotype" w:hAnsi="Palatino Linotype" w:cs="Palatino Linotype"/>
          <w:b/>
        </w:rPr>
        <w:t xml:space="preserve">, </w:t>
      </w:r>
      <w:r w:rsidRPr="00344EC4">
        <w:rPr>
          <w:rFonts w:ascii="Palatino Linotype" w:eastAsia="Palatino Linotype" w:hAnsi="Palatino Linotype" w:cs="Palatino Linotype"/>
        </w:rPr>
        <w:t xml:space="preserve">al Medio de Impugnación que nos ocupa, con base en el sistema aprobado por el Pleno de este Organismo Garante y lo turnó a la </w:t>
      </w:r>
      <w:r w:rsidRPr="00344EC4">
        <w:rPr>
          <w:rFonts w:ascii="Palatino Linotype" w:eastAsia="Palatino Linotype" w:hAnsi="Palatino Linotype" w:cs="Palatino Linotype"/>
          <w:b/>
        </w:rPr>
        <w:t>Comisionada Ponente Guadalupe Ramírez Peña</w:t>
      </w:r>
      <w:r w:rsidRPr="00344EC4">
        <w:rPr>
          <w:rFonts w:ascii="Palatino Linotype" w:eastAsia="Palatino Linotype" w:hAnsi="Palatino Linotype" w:cs="Palatino Linotype"/>
        </w:rPr>
        <w:t>, para los efectos del artículo 185, fracción I de la Ley de Transparencia y Acceso a la Información Pública del Estado de México y Municipios.</w:t>
      </w:r>
    </w:p>
    <w:p w:rsidR="00954120" w:rsidRPr="00344EC4" w:rsidRDefault="00954120">
      <w:pPr>
        <w:spacing w:line="360" w:lineRule="auto"/>
        <w:jc w:val="both"/>
        <w:rPr>
          <w:rFonts w:ascii="Palatino Linotype" w:eastAsia="Palatino Linotype" w:hAnsi="Palatino Linotype" w:cs="Palatino Linotype"/>
        </w:rPr>
      </w:pPr>
    </w:p>
    <w:p w:rsidR="00954120" w:rsidRPr="00344EC4" w:rsidRDefault="003A2877">
      <w:pPr>
        <w:spacing w:line="360" w:lineRule="auto"/>
        <w:jc w:val="both"/>
        <w:rPr>
          <w:rFonts w:ascii="Palatino Linotype" w:eastAsia="Palatino Linotype" w:hAnsi="Palatino Linotype" w:cs="Palatino Linotype"/>
          <w:b/>
        </w:rPr>
      </w:pPr>
      <w:r w:rsidRPr="00344EC4">
        <w:rPr>
          <w:rFonts w:ascii="Palatino Linotype" w:eastAsia="Palatino Linotype" w:hAnsi="Palatino Linotype" w:cs="Palatino Linotype"/>
          <w:b/>
        </w:rPr>
        <w:t xml:space="preserve">b) Admisión del Recurso de Revisión. </w:t>
      </w:r>
      <w:r w:rsidRPr="00344EC4">
        <w:rPr>
          <w:rFonts w:ascii="Palatino Linotype" w:eastAsia="Palatino Linotype" w:hAnsi="Palatino Linotype" w:cs="Palatino Linotype"/>
        </w:rPr>
        <w:t xml:space="preserve">El </w:t>
      </w:r>
      <w:r w:rsidR="00FA2E5F" w:rsidRPr="00344EC4">
        <w:rPr>
          <w:rFonts w:ascii="Palatino Linotype" w:eastAsia="Palatino Linotype" w:hAnsi="Palatino Linotype" w:cs="Palatino Linotype"/>
          <w:b/>
        </w:rPr>
        <w:t>veinticinco de enero de dos mil veintitré</w:t>
      </w:r>
      <w:r w:rsidRPr="00344EC4">
        <w:rPr>
          <w:rFonts w:ascii="Palatino Linotype" w:eastAsia="Palatino Linotype" w:hAnsi="Palatino Linotype" w:cs="Palatino Linotype"/>
          <w:b/>
        </w:rPr>
        <w:t>s</w:t>
      </w:r>
      <w:r w:rsidRPr="00344EC4">
        <w:rPr>
          <w:rFonts w:ascii="Palatino Linotype" w:eastAsia="Palatino Linotype" w:hAnsi="Palatino Linotype" w:cs="Palatino Linotype"/>
        </w:rPr>
        <w:t>, se acordó la admisión del Recurso de Revisión interpuesto por la parte</w:t>
      </w:r>
      <w:r w:rsidRPr="00344EC4">
        <w:rPr>
          <w:rFonts w:ascii="Palatino Linotype" w:eastAsia="Palatino Linotype" w:hAnsi="Palatino Linotype" w:cs="Palatino Linotype"/>
          <w:b/>
        </w:rPr>
        <w:t xml:space="preserve"> </w:t>
      </w:r>
      <w:r w:rsidRPr="00344EC4">
        <w:rPr>
          <w:rFonts w:ascii="Palatino Linotype" w:eastAsia="Palatino Linotype" w:hAnsi="Palatino Linotype" w:cs="Palatino Linotype"/>
          <w:b/>
        </w:rPr>
        <w:lastRenderedPageBreak/>
        <w:t>Recurrente</w:t>
      </w:r>
      <w:r w:rsidRPr="00344EC4">
        <w:rPr>
          <w:rFonts w:ascii="Palatino Linotype" w:eastAsia="Palatino Linotype" w:hAnsi="Palatino Linotype" w:cs="Palatino Linotype"/>
        </w:rPr>
        <w:t xml:space="preserve"> en contra del </w:t>
      </w:r>
      <w:r w:rsidRPr="00344EC4">
        <w:rPr>
          <w:rFonts w:ascii="Palatino Linotype" w:eastAsia="Palatino Linotype" w:hAnsi="Palatino Linotype" w:cs="Palatino Linotype"/>
          <w:b/>
        </w:rPr>
        <w:t>Sujeto Obligado</w:t>
      </w:r>
      <w:r w:rsidRPr="00344EC4">
        <w:rPr>
          <w:rFonts w:ascii="Palatino Linotype" w:eastAsia="Palatino Linotype" w:hAnsi="Palatino Linotype" w:cs="Palatino Linotype"/>
        </w:rPr>
        <w:t>, en términos del artículo 185, fracciones I, II y IV de la Ley de Transparencia y Acceso a la Información Pública del Estado de México y Municipios, el cual fue notificado a las partes a través del Sistema de Acceso a la Información Mexiquense (SAIMEX), en el que se les otorgó un plazo de siete días hábiles posteriores, para que manifestaran lo que a su derecho conviniera y formularan alegatos.</w:t>
      </w:r>
      <w:r w:rsidRPr="00344EC4">
        <w:rPr>
          <w:rFonts w:ascii="Palatino Linotype" w:eastAsia="Palatino Linotype" w:hAnsi="Palatino Linotype" w:cs="Palatino Linotype"/>
          <w:b/>
        </w:rPr>
        <w:t xml:space="preserve"> </w:t>
      </w:r>
    </w:p>
    <w:p w:rsidR="00954120" w:rsidRPr="00344EC4" w:rsidRDefault="00954120">
      <w:pPr>
        <w:spacing w:line="360" w:lineRule="auto"/>
        <w:jc w:val="both"/>
        <w:rPr>
          <w:rFonts w:ascii="Palatino Linotype" w:eastAsia="Palatino Linotype" w:hAnsi="Palatino Linotype" w:cs="Palatino Linotype"/>
          <w:b/>
        </w:rPr>
      </w:pPr>
    </w:p>
    <w:p w:rsidR="00954120" w:rsidRPr="00344EC4" w:rsidRDefault="003A2877">
      <w:pPr>
        <w:spacing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b/>
        </w:rPr>
        <w:t xml:space="preserve">8. Manifestaciones o Informe Justificado. </w:t>
      </w:r>
      <w:r w:rsidRPr="00344EC4">
        <w:rPr>
          <w:rFonts w:ascii="Palatino Linotype" w:eastAsia="Palatino Linotype" w:hAnsi="Palatino Linotype" w:cs="Palatino Linotype"/>
        </w:rPr>
        <w:t>De las constancias del expediente electrónico del SAIMEX, se observa que</w:t>
      </w:r>
      <w:r w:rsidR="00FA2E5F" w:rsidRPr="00344EC4">
        <w:rPr>
          <w:rFonts w:ascii="Palatino Linotype" w:eastAsia="Palatino Linotype" w:hAnsi="Palatino Linotype" w:cs="Palatino Linotype"/>
        </w:rPr>
        <w:t xml:space="preserve"> las partes fueron omisas en emitir su informe justificado o manifestaciones que a su derecho convenga</w:t>
      </w:r>
      <w:r w:rsidRPr="00344EC4">
        <w:rPr>
          <w:rFonts w:ascii="Palatino Linotype" w:eastAsia="Palatino Linotype" w:hAnsi="Palatino Linotype" w:cs="Palatino Linotype"/>
        </w:rPr>
        <w:t>, por lo que se tiene por precluido su derecho para tal efecto.</w:t>
      </w:r>
    </w:p>
    <w:p w:rsidR="00954120" w:rsidRPr="00344EC4" w:rsidRDefault="00FA2E5F">
      <w:pPr>
        <w:spacing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noProof/>
          <w:lang w:eastAsia="es-MX"/>
        </w:rPr>
        <w:drawing>
          <wp:inline distT="0" distB="0" distL="0" distR="0" wp14:anchorId="38659A6A" wp14:editId="017F5633">
            <wp:extent cx="5581015" cy="1459865"/>
            <wp:effectExtent l="19050" t="19050" r="19685" b="260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1015" cy="1459865"/>
                    </a:xfrm>
                    <a:prstGeom prst="rect">
                      <a:avLst/>
                    </a:prstGeom>
                    <a:ln>
                      <a:solidFill>
                        <a:schemeClr val="tx1"/>
                      </a:solidFill>
                    </a:ln>
                  </pic:spPr>
                </pic:pic>
              </a:graphicData>
            </a:graphic>
          </wp:inline>
        </w:drawing>
      </w:r>
    </w:p>
    <w:p w:rsidR="00954120" w:rsidRPr="00344EC4" w:rsidRDefault="003A2877">
      <w:pPr>
        <w:spacing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rPr>
        <w:t xml:space="preserve"> </w:t>
      </w:r>
    </w:p>
    <w:p w:rsidR="00954120" w:rsidRPr="00344EC4" w:rsidRDefault="00D3011C" w:rsidP="008B4B3D">
      <w:pPr>
        <w:widowControl w:val="0"/>
        <w:spacing w:after="240"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b/>
        </w:rPr>
        <w:t>7</w:t>
      </w:r>
      <w:r w:rsidR="003A2877" w:rsidRPr="00344EC4">
        <w:rPr>
          <w:rFonts w:ascii="Palatino Linotype" w:eastAsia="Palatino Linotype" w:hAnsi="Palatino Linotype" w:cs="Palatino Linotype"/>
          <w:b/>
        </w:rPr>
        <w:t>. Cierre de instrucción.</w:t>
      </w:r>
      <w:r w:rsidR="003A2877" w:rsidRPr="00344EC4">
        <w:rPr>
          <w:rFonts w:ascii="Palatino Linotype" w:eastAsia="Palatino Linotype" w:hAnsi="Palatino Linotype" w:cs="Palatino Linotype"/>
        </w:rPr>
        <w:t xml:space="preserve"> El </w:t>
      </w:r>
      <w:r w:rsidR="008B4B3D" w:rsidRPr="00344EC4">
        <w:rPr>
          <w:rFonts w:ascii="Palatino Linotype" w:eastAsia="Palatino Linotype" w:hAnsi="Palatino Linotype" w:cs="Palatino Linotype"/>
          <w:b/>
        </w:rPr>
        <w:t xml:space="preserve">primero de marzo </w:t>
      </w:r>
      <w:r w:rsidR="003A2877" w:rsidRPr="00344EC4">
        <w:rPr>
          <w:rFonts w:ascii="Palatino Linotype" w:eastAsia="Palatino Linotype" w:hAnsi="Palatino Linotype" w:cs="Palatino Linotype"/>
          <w:b/>
        </w:rPr>
        <w:t>de dos mil veintidós</w:t>
      </w:r>
      <w:r w:rsidR="003A2877" w:rsidRPr="00344EC4">
        <w:rPr>
          <w:rFonts w:ascii="Palatino Linotype" w:eastAsia="Palatino Linotype" w:hAnsi="Palatino Linotype" w:cs="Palatino Linotype"/>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(SAIMEX). </w:t>
      </w:r>
    </w:p>
    <w:p w:rsidR="00954120" w:rsidRPr="00344EC4" w:rsidRDefault="003A2877">
      <w:pPr>
        <w:pBdr>
          <w:top w:val="nil"/>
          <w:left w:val="nil"/>
          <w:bottom w:val="nil"/>
          <w:right w:val="nil"/>
          <w:between w:val="nil"/>
        </w:pBdr>
        <w:spacing w:before="240" w:after="240" w:line="360" w:lineRule="auto"/>
        <w:jc w:val="both"/>
      </w:pPr>
      <w:r w:rsidRPr="00344EC4">
        <w:rPr>
          <w:rFonts w:ascii="Palatino Linotype" w:eastAsia="Palatino Linotype" w:hAnsi="Palatino Linotype" w:cs="Palatino Linotype"/>
        </w:rPr>
        <w:lastRenderedPageBreak/>
        <w:t>En razón de que fue debidamente sustanciado el expediente electrónico y no existe diligencia pendiente de desahogo, se emite la Resolución que conforme a Derecho proceda, de acuerdo con los siguientes: </w:t>
      </w:r>
    </w:p>
    <w:p w:rsidR="00954120" w:rsidRPr="00344EC4" w:rsidRDefault="003A287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344EC4">
        <w:rPr>
          <w:rFonts w:ascii="Palatino Linotype" w:eastAsia="Palatino Linotype" w:hAnsi="Palatino Linotype" w:cs="Palatino Linotype"/>
          <w:b/>
        </w:rPr>
        <w:t>II. C O N S I D E R A N D O S</w:t>
      </w:r>
    </w:p>
    <w:p w:rsidR="00954120" w:rsidRPr="00344EC4" w:rsidRDefault="003A2877">
      <w:pPr>
        <w:spacing w:before="240" w:after="240"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b/>
        </w:rPr>
        <w:t>Primero. Competencia.</w:t>
      </w:r>
      <w:r w:rsidRPr="00344EC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344EC4">
        <w:rPr>
          <w:rFonts w:ascii="Palatino Linotype" w:eastAsia="Palatino Linotype" w:hAnsi="Palatino Linotype" w:cs="Palatino Linotype"/>
          <w:b/>
        </w:rPr>
        <w:t>la parte</w:t>
      </w:r>
      <w:r w:rsidRPr="00344EC4">
        <w:rPr>
          <w:rFonts w:ascii="Palatino Linotype" w:eastAsia="Palatino Linotype" w:hAnsi="Palatino Linotype" w:cs="Palatino Linotype"/>
        </w:rPr>
        <w:t xml:space="preserve"> </w:t>
      </w:r>
      <w:r w:rsidRPr="00344EC4">
        <w:rPr>
          <w:rFonts w:ascii="Palatino Linotype" w:eastAsia="Palatino Linotype" w:hAnsi="Palatino Linotype" w:cs="Palatino Linotype"/>
          <w:b/>
        </w:rPr>
        <w:t>Recurrente</w:t>
      </w:r>
      <w:r w:rsidRPr="00344EC4">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954120" w:rsidRPr="00344EC4" w:rsidRDefault="003A2877">
      <w:pPr>
        <w:spacing w:line="360" w:lineRule="auto"/>
        <w:jc w:val="both"/>
        <w:rPr>
          <w:rFonts w:ascii="Palatino Linotype" w:eastAsia="Palatino Linotype" w:hAnsi="Palatino Linotype" w:cs="Palatino Linotype"/>
          <w:b/>
        </w:rPr>
      </w:pPr>
      <w:r w:rsidRPr="00344EC4">
        <w:rPr>
          <w:rFonts w:ascii="Palatino Linotype" w:eastAsia="Palatino Linotype" w:hAnsi="Palatino Linotype" w:cs="Palatino Linotype"/>
          <w:b/>
        </w:rPr>
        <w:t>Segundo</w:t>
      </w:r>
      <w:r w:rsidRPr="00344EC4">
        <w:rPr>
          <w:rFonts w:ascii="Palatino Linotype" w:eastAsia="Palatino Linotype" w:hAnsi="Palatino Linotype" w:cs="Palatino Linotype"/>
          <w:b/>
          <w:sz w:val="28"/>
          <w:szCs w:val="28"/>
        </w:rPr>
        <w:t xml:space="preserve">. </w:t>
      </w:r>
      <w:r w:rsidRPr="00344EC4">
        <w:rPr>
          <w:rFonts w:ascii="Palatino Linotype" w:eastAsia="Palatino Linotype" w:hAnsi="Palatino Linotype" w:cs="Palatino Linotype"/>
          <w:b/>
        </w:rPr>
        <w:t xml:space="preserve"> De los alcances del Recurso de Revisión. </w:t>
      </w:r>
      <w:r w:rsidRPr="00344EC4">
        <w:rPr>
          <w:rFonts w:ascii="Palatino Linotype" w:eastAsia="Palatino Linotype" w:hAnsi="Palatino Linotype" w:cs="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954120" w:rsidRPr="00344EC4" w:rsidRDefault="00954120">
      <w:pPr>
        <w:spacing w:line="360" w:lineRule="auto"/>
        <w:jc w:val="both"/>
        <w:rPr>
          <w:rFonts w:ascii="Palatino Linotype" w:eastAsia="Palatino Linotype" w:hAnsi="Palatino Linotype" w:cs="Palatino Linotype"/>
          <w:b/>
        </w:rPr>
      </w:pPr>
    </w:p>
    <w:p w:rsidR="00954120" w:rsidRPr="00344EC4" w:rsidRDefault="003A2877">
      <w:pPr>
        <w:pBdr>
          <w:top w:val="nil"/>
          <w:left w:val="nil"/>
          <w:bottom w:val="nil"/>
          <w:right w:val="nil"/>
          <w:between w:val="nil"/>
        </w:pBdr>
        <w:spacing w:line="360" w:lineRule="auto"/>
        <w:jc w:val="both"/>
      </w:pPr>
      <w:r w:rsidRPr="00344EC4">
        <w:rPr>
          <w:rFonts w:ascii="Palatino Linotype" w:eastAsia="Palatino Linotype" w:hAnsi="Palatino Linotype" w:cs="Palatino Linotype"/>
          <w:b/>
        </w:rPr>
        <w:lastRenderedPageBreak/>
        <w:t xml:space="preserve">Tercero. Del estudio de las causas de improcedencia. </w:t>
      </w:r>
      <w:r w:rsidRPr="00344EC4">
        <w:rPr>
          <w:rFonts w:ascii="Palatino Linotype" w:eastAsia="Palatino Linotype" w:hAnsi="Palatino Linotype" w:cs="Palatino Linotype"/>
        </w:rPr>
        <w:t>El estudio de las causas de improcedencia que se hagan valer por las partes o que se advierta de oficio por este Instituto deben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954120" w:rsidRPr="00344EC4" w:rsidRDefault="00954120">
      <w:pPr>
        <w:spacing w:line="360" w:lineRule="auto"/>
        <w:jc w:val="both"/>
        <w:rPr>
          <w:rFonts w:ascii="Palatino Linotype" w:eastAsia="Palatino Linotype" w:hAnsi="Palatino Linotype" w:cs="Palatino Linotype"/>
          <w:b/>
        </w:rPr>
      </w:pPr>
    </w:p>
    <w:p w:rsidR="00954120" w:rsidRPr="00344EC4" w:rsidRDefault="003A2877">
      <w:pPr>
        <w:spacing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b/>
        </w:rPr>
        <w:t xml:space="preserve">Cuarto. Estudio del asunto. </w:t>
      </w:r>
      <w:r w:rsidRPr="00344EC4">
        <w:rPr>
          <w:rFonts w:ascii="Palatino Linotype" w:eastAsia="Palatino Linotype" w:hAnsi="Palatino Linotype" w:cs="Palatino Linotype"/>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954120" w:rsidRPr="00344EC4" w:rsidRDefault="00954120">
      <w:pPr>
        <w:spacing w:line="360" w:lineRule="auto"/>
        <w:jc w:val="both"/>
        <w:rPr>
          <w:rFonts w:ascii="Palatino Linotype" w:eastAsia="Palatino Linotype" w:hAnsi="Palatino Linotype" w:cs="Palatino Linotype"/>
        </w:rPr>
      </w:pPr>
    </w:p>
    <w:p w:rsidR="00954120" w:rsidRPr="00344EC4" w:rsidRDefault="003A2877">
      <w:pPr>
        <w:tabs>
          <w:tab w:val="left" w:pos="709"/>
        </w:tabs>
        <w:ind w:left="851" w:right="850"/>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44EC4">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954120" w:rsidRPr="00344EC4" w:rsidRDefault="003A2877">
      <w:pPr>
        <w:tabs>
          <w:tab w:val="left" w:pos="709"/>
        </w:tabs>
        <w:ind w:left="851" w:right="850"/>
        <w:jc w:val="both"/>
        <w:rPr>
          <w:rFonts w:ascii="Palatino Linotype" w:eastAsia="Palatino Linotype" w:hAnsi="Palatino Linotype" w:cs="Palatino Linotype"/>
          <w:b/>
          <w:i/>
          <w:sz w:val="22"/>
          <w:szCs w:val="22"/>
        </w:rPr>
      </w:pPr>
      <w:r w:rsidRPr="00344EC4">
        <w:rPr>
          <w:rFonts w:ascii="Palatino Linotype" w:eastAsia="Palatino Linotype" w:hAnsi="Palatino Linotype" w:cs="Palatino Linotype"/>
          <w:b/>
          <w:i/>
          <w:sz w:val="22"/>
          <w:szCs w:val="22"/>
        </w:rPr>
        <w:t xml:space="preserve">Las normas relativas a los derechos humanos se interpretarán de conformidad con esta Constitución y con los tratados internacionales de </w:t>
      </w:r>
      <w:r w:rsidRPr="00344EC4">
        <w:rPr>
          <w:rFonts w:ascii="Palatino Linotype" w:eastAsia="Palatino Linotype" w:hAnsi="Palatino Linotype" w:cs="Palatino Linotype"/>
          <w:b/>
          <w:i/>
          <w:sz w:val="22"/>
          <w:szCs w:val="22"/>
        </w:rPr>
        <w:lastRenderedPageBreak/>
        <w:t>la materia favoreciendo en todo tiempo a las personas la protección más amplia.</w:t>
      </w:r>
    </w:p>
    <w:p w:rsidR="00954120" w:rsidRPr="00344EC4" w:rsidRDefault="003A2877">
      <w:pPr>
        <w:tabs>
          <w:tab w:val="left" w:pos="709"/>
        </w:tabs>
        <w:ind w:left="851" w:right="850"/>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44EC4">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954120" w:rsidRPr="00344EC4" w:rsidRDefault="003A2877">
      <w:pPr>
        <w:tabs>
          <w:tab w:val="left" w:pos="709"/>
        </w:tabs>
        <w:ind w:left="851" w:right="850"/>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w:t>
      </w:r>
    </w:p>
    <w:p w:rsidR="00954120" w:rsidRPr="00344EC4" w:rsidRDefault="003A2877">
      <w:pPr>
        <w:ind w:left="851" w:right="90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b/>
          <w:i/>
          <w:sz w:val="22"/>
          <w:szCs w:val="22"/>
        </w:rPr>
        <w:t>“Artículo 6o.</w:t>
      </w:r>
    </w:p>
    <w:p w:rsidR="00954120" w:rsidRPr="00344EC4" w:rsidRDefault="003A2877">
      <w:pPr>
        <w:ind w:left="851" w:right="90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w:t>
      </w: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b/>
          <w:i/>
          <w:sz w:val="22"/>
          <w:szCs w:val="22"/>
        </w:rPr>
        <w:t xml:space="preserve">A. Para el ejercicio del derecho de acceso a la información, la Federación y </w:t>
      </w:r>
      <w:r w:rsidRPr="00344EC4">
        <w:rPr>
          <w:rFonts w:ascii="Palatino Linotype" w:eastAsia="Palatino Linotype" w:hAnsi="Palatino Linotype" w:cs="Palatino Linotype"/>
          <w:b/>
          <w:i/>
          <w:sz w:val="22"/>
          <w:szCs w:val="22"/>
          <w:u w:val="single"/>
        </w:rPr>
        <w:t>las entidades federativas</w:t>
      </w:r>
      <w:r w:rsidRPr="00344EC4">
        <w:rPr>
          <w:rFonts w:ascii="Palatino Linotype" w:eastAsia="Palatino Linotype" w:hAnsi="Palatino Linotype" w:cs="Palatino Linotype"/>
          <w:b/>
          <w:i/>
          <w:sz w:val="22"/>
          <w:szCs w:val="22"/>
        </w:rPr>
        <w:t>,</w:t>
      </w:r>
      <w:r w:rsidRPr="00344EC4">
        <w:rPr>
          <w:rFonts w:ascii="Palatino Linotype" w:eastAsia="Palatino Linotype" w:hAnsi="Palatino Linotype" w:cs="Palatino Linotype"/>
          <w:i/>
          <w:sz w:val="22"/>
          <w:szCs w:val="22"/>
        </w:rPr>
        <w:t xml:space="preserve"> en el ámbito de sus respectivas competencias, se regirán por los siguientes principios y bases:</w:t>
      </w: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 </w:t>
      </w: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b/>
          <w:i/>
          <w:sz w:val="22"/>
          <w:szCs w:val="22"/>
        </w:rPr>
        <w:t xml:space="preserve">I. </w:t>
      </w:r>
      <w:r w:rsidRPr="00344EC4">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44EC4">
        <w:rPr>
          <w:rFonts w:ascii="Palatino Linotype" w:eastAsia="Palatino Linotype" w:hAnsi="Palatino Linotype" w:cs="Palatino Linotype"/>
          <w:i/>
          <w:sz w:val="22"/>
          <w:szCs w:val="22"/>
        </w:rPr>
        <w:t xml:space="preserve"> Ejecutivo, Legislativo </w:t>
      </w:r>
      <w:r w:rsidRPr="00344EC4">
        <w:rPr>
          <w:rFonts w:ascii="Palatino Linotype" w:eastAsia="Palatino Linotype" w:hAnsi="Palatino Linotype" w:cs="Palatino Linotype"/>
          <w:b/>
          <w:i/>
          <w:sz w:val="22"/>
          <w:szCs w:val="22"/>
          <w:u w:val="single"/>
        </w:rPr>
        <w:t>y Judicial</w:t>
      </w:r>
      <w:r w:rsidRPr="00344EC4">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44EC4">
        <w:rPr>
          <w:rFonts w:ascii="Palatino Linotype" w:eastAsia="Palatino Linotype" w:hAnsi="Palatino Linotype" w:cs="Palatino Linotype"/>
          <w:b/>
          <w:i/>
          <w:sz w:val="22"/>
          <w:szCs w:val="22"/>
        </w:rPr>
        <w:t>es pública y sólo podrá ser reservada temporalmente por razones de interés público y seguridad nacional,</w:t>
      </w:r>
      <w:r w:rsidRPr="00344EC4">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 </w:t>
      </w:r>
    </w:p>
    <w:p w:rsidR="00954120" w:rsidRPr="00344EC4" w:rsidRDefault="003A2877">
      <w:pPr>
        <w:ind w:left="851" w:right="851"/>
        <w:jc w:val="both"/>
        <w:rPr>
          <w:rFonts w:ascii="Palatino Linotype" w:eastAsia="Palatino Linotype" w:hAnsi="Palatino Linotype" w:cs="Palatino Linotype"/>
          <w:b/>
          <w:i/>
          <w:sz w:val="22"/>
          <w:szCs w:val="22"/>
        </w:rPr>
      </w:pPr>
      <w:r w:rsidRPr="00344EC4">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 </w:t>
      </w: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b/>
          <w:i/>
          <w:sz w:val="22"/>
          <w:szCs w:val="22"/>
        </w:rPr>
        <w:t xml:space="preserve">III. </w:t>
      </w:r>
      <w:r w:rsidRPr="00344EC4">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44EC4">
        <w:rPr>
          <w:rFonts w:ascii="Palatino Linotype" w:eastAsia="Palatino Linotype" w:hAnsi="Palatino Linotype" w:cs="Palatino Linotype"/>
          <w:i/>
          <w:sz w:val="22"/>
          <w:szCs w:val="22"/>
        </w:rPr>
        <w:t xml:space="preserve"> a sus datos personales o a la rectificación de éstos.</w:t>
      </w: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 </w:t>
      </w: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b/>
          <w:i/>
          <w:sz w:val="22"/>
          <w:szCs w:val="22"/>
        </w:rPr>
        <w:t xml:space="preserve">IV. </w:t>
      </w:r>
      <w:r w:rsidRPr="00344EC4">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954120" w:rsidRPr="00344EC4" w:rsidRDefault="00954120">
      <w:pPr>
        <w:ind w:left="851" w:right="851"/>
        <w:jc w:val="both"/>
        <w:rPr>
          <w:rFonts w:ascii="Palatino Linotype" w:eastAsia="Palatino Linotype" w:hAnsi="Palatino Linotype" w:cs="Palatino Linotype"/>
          <w:i/>
          <w:sz w:val="22"/>
          <w:szCs w:val="22"/>
        </w:rPr>
      </w:pP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b/>
          <w:i/>
          <w:sz w:val="22"/>
          <w:szCs w:val="22"/>
        </w:rPr>
        <w:t xml:space="preserve">V. </w:t>
      </w:r>
      <w:r w:rsidRPr="00344EC4">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w:t>
      </w:r>
      <w:r w:rsidRPr="00344EC4">
        <w:rPr>
          <w:rFonts w:ascii="Palatino Linotype" w:eastAsia="Palatino Linotype" w:hAnsi="Palatino Linotype" w:cs="Palatino Linotype"/>
          <w:i/>
          <w:sz w:val="22"/>
          <w:szCs w:val="22"/>
        </w:rPr>
        <w:lastRenderedPageBreak/>
        <w:t>disponibles, la información completa y actualizada sobre el ejercicio de los recursos públicos y los indicadores que permitan rendir cuenta del cumplimiento de sus objetivos y de los resultados obtenidos.</w:t>
      </w: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 </w:t>
      </w: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b/>
          <w:i/>
          <w:sz w:val="22"/>
          <w:szCs w:val="22"/>
        </w:rPr>
        <w:t xml:space="preserve">VI. </w:t>
      </w:r>
      <w:r w:rsidRPr="00344EC4">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 </w:t>
      </w: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b/>
          <w:i/>
          <w:sz w:val="22"/>
          <w:szCs w:val="22"/>
        </w:rPr>
        <w:t xml:space="preserve">VII. </w:t>
      </w:r>
      <w:r w:rsidRPr="00344EC4">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r w:rsidR="0011381B" w:rsidRPr="00344EC4">
        <w:rPr>
          <w:rFonts w:ascii="Palatino Linotype" w:eastAsia="Palatino Linotype" w:hAnsi="Palatino Linotype" w:cs="Palatino Linotype"/>
          <w:i/>
          <w:sz w:val="22"/>
          <w:szCs w:val="22"/>
        </w:rPr>
        <w:t>”</w:t>
      </w:r>
    </w:p>
    <w:p w:rsidR="00954120" w:rsidRPr="00344EC4" w:rsidRDefault="00954120">
      <w:pPr>
        <w:ind w:right="851"/>
        <w:jc w:val="both"/>
        <w:rPr>
          <w:rFonts w:ascii="Palatino Linotype" w:eastAsia="Palatino Linotype" w:hAnsi="Palatino Linotype" w:cs="Palatino Linotype"/>
          <w:i/>
          <w:sz w:val="22"/>
          <w:szCs w:val="22"/>
        </w:rPr>
      </w:pPr>
    </w:p>
    <w:p w:rsidR="00954120" w:rsidRPr="00344EC4" w:rsidRDefault="003A2877">
      <w:pPr>
        <w:tabs>
          <w:tab w:val="left" w:pos="709"/>
        </w:tabs>
        <w:spacing w:before="240" w:after="240"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954120" w:rsidRPr="00344EC4" w:rsidRDefault="003A2877">
      <w:pPr>
        <w:spacing w:before="240" w:after="240"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954120" w:rsidRPr="00344EC4" w:rsidRDefault="003A2877">
      <w:pPr>
        <w:spacing w:before="240"/>
        <w:ind w:left="709" w:right="760"/>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lastRenderedPageBreak/>
        <w:t>“</w:t>
      </w:r>
      <w:r w:rsidRPr="00344EC4">
        <w:rPr>
          <w:rFonts w:ascii="Palatino Linotype" w:eastAsia="Palatino Linotype" w:hAnsi="Palatino Linotype" w:cs="Palatino Linotype"/>
          <w:b/>
          <w:i/>
          <w:sz w:val="22"/>
          <w:szCs w:val="22"/>
        </w:rPr>
        <w:t>Artículo 4</w:t>
      </w:r>
      <w:r w:rsidRPr="00344EC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954120" w:rsidRPr="00344EC4" w:rsidRDefault="003A2877">
      <w:pPr>
        <w:ind w:left="709" w:right="760"/>
        <w:jc w:val="both"/>
        <w:rPr>
          <w:rFonts w:ascii="Palatino Linotype" w:eastAsia="Palatino Linotype" w:hAnsi="Palatino Linotype" w:cs="Palatino Linotype"/>
          <w:b/>
          <w:i/>
          <w:sz w:val="22"/>
          <w:szCs w:val="22"/>
        </w:rPr>
      </w:pPr>
      <w:r w:rsidRPr="00344EC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954120" w:rsidRPr="00344EC4" w:rsidRDefault="003A2877">
      <w:pPr>
        <w:ind w:left="709" w:right="760"/>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954120" w:rsidRPr="00344EC4" w:rsidRDefault="00954120">
      <w:pPr>
        <w:spacing w:line="360" w:lineRule="auto"/>
        <w:jc w:val="both"/>
        <w:rPr>
          <w:rFonts w:ascii="Palatino Linotype" w:eastAsia="Palatino Linotype" w:hAnsi="Palatino Linotype" w:cs="Palatino Linotype"/>
        </w:rPr>
      </w:pPr>
    </w:p>
    <w:p w:rsidR="00954120" w:rsidRPr="00344EC4" w:rsidRDefault="003A2877">
      <w:pPr>
        <w:spacing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344EC4">
        <w:rPr>
          <w:rFonts w:ascii="Palatino Linotype" w:eastAsia="Palatino Linotype" w:hAnsi="Palatino Linotype" w:cs="Palatino Linotype"/>
          <w:b/>
        </w:rPr>
        <w:t>artículo 12</w:t>
      </w:r>
      <w:r w:rsidRPr="00344EC4">
        <w:rPr>
          <w:rFonts w:ascii="Palatino Linotype" w:eastAsia="Palatino Linotype" w:hAnsi="Palatino Linotype" w:cs="Palatino Linotype"/>
        </w:rPr>
        <w:t xml:space="preserve"> de la Ley de Transparencia y Acceso a la Información Pública del Estado de México y Municipios, el cual a la letra dice:</w:t>
      </w:r>
    </w:p>
    <w:p w:rsidR="00954120" w:rsidRPr="00344EC4" w:rsidRDefault="00954120">
      <w:pPr>
        <w:spacing w:line="360" w:lineRule="auto"/>
        <w:jc w:val="both"/>
        <w:rPr>
          <w:rFonts w:ascii="Palatino Linotype" w:eastAsia="Palatino Linotype" w:hAnsi="Palatino Linotype" w:cs="Palatino Linotype"/>
        </w:rPr>
      </w:pP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w:t>
      </w:r>
      <w:r w:rsidRPr="00344EC4">
        <w:rPr>
          <w:rFonts w:ascii="Palatino Linotype" w:eastAsia="Palatino Linotype" w:hAnsi="Palatino Linotype" w:cs="Palatino Linotype"/>
          <w:b/>
          <w:i/>
          <w:sz w:val="22"/>
          <w:szCs w:val="22"/>
        </w:rPr>
        <w:t>Artículo 12</w:t>
      </w:r>
      <w:r w:rsidRPr="00344EC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954120" w:rsidRPr="00344EC4" w:rsidRDefault="00954120">
      <w:pPr>
        <w:ind w:left="851" w:right="851"/>
        <w:jc w:val="both"/>
        <w:rPr>
          <w:rFonts w:ascii="Palatino Linotype" w:eastAsia="Palatino Linotype" w:hAnsi="Palatino Linotype" w:cs="Palatino Linotype"/>
          <w:i/>
          <w:sz w:val="22"/>
          <w:szCs w:val="22"/>
        </w:rPr>
      </w:pP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954120" w:rsidRPr="00344EC4" w:rsidRDefault="00954120">
      <w:pPr>
        <w:spacing w:line="360" w:lineRule="auto"/>
        <w:jc w:val="both"/>
        <w:rPr>
          <w:rFonts w:ascii="Palatino Linotype" w:eastAsia="Palatino Linotype" w:hAnsi="Palatino Linotype" w:cs="Palatino Linotype"/>
        </w:rPr>
      </w:pPr>
    </w:p>
    <w:p w:rsidR="00954120" w:rsidRPr="00344EC4" w:rsidRDefault="003A2877">
      <w:pPr>
        <w:spacing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rPr>
        <w:lastRenderedPageBreak/>
        <w:t>Es decir, que el derecho de acceso a la información pública se satisface en aquellos casos en que se entregue documento en que conste la información requerida, toda vez que, los Sujetos Obligados</w:t>
      </w:r>
      <w:r w:rsidRPr="00344EC4">
        <w:rPr>
          <w:rFonts w:ascii="Palatino Linotype" w:eastAsia="Palatino Linotype" w:hAnsi="Palatino Linotype" w:cs="Palatino Linotype"/>
          <w:b/>
        </w:rPr>
        <w:t xml:space="preserve"> </w:t>
      </w:r>
      <w:r w:rsidRPr="00344EC4">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344EC4">
        <w:rPr>
          <w:rFonts w:ascii="Palatino Linotype" w:eastAsia="Palatino Linotype" w:hAnsi="Palatino Linotype" w:cs="Palatino Linotype"/>
          <w:i/>
        </w:rPr>
        <w:t>ad hoc</w:t>
      </w:r>
      <w:r w:rsidRPr="00344EC4">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rsidR="00954120" w:rsidRPr="00344EC4" w:rsidRDefault="00954120">
      <w:pPr>
        <w:ind w:right="851"/>
        <w:jc w:val="both"/>
        <w:rPr>
          <w:rFonts w:ascii="Palatino Linotype" w:eastAsia="Palatino Linotype" w:hAnsi="Palatino Linotype" w:cs="Palatino Linotype"/>
          <w:b/>
          <w:i/>
          <w:sz w:val="22"/>
          <w:szCs w:val="22"/>
        </w:rPr>
      </w:pPr>
    </w:p>
    <w:p w:rsidR="00954120" w:rsidRPr="00344EC4" w:rsidRDefault="003A2877">
      <w:pPr>
        <w:ind w:left="851" w:right="851"/>
        <w:jc w:val="both"/>
        <w:rPr>
          <w:rFonts w:ascii="Palatino Linotype" w:eastAsia="Palatino Linotype" w:hAnsi="Palatino Linotype" w:cs="Palatino Linotype"/>
          <w:b/>
          <w:i/>
          <w:sz w:val="22"/>
          <w:szCs w:val="22"/>
        </w:rPr>
      </w:pPr>
      <w:r w:rsidRPr="00344EC4">
        <w:rPr>
          <w:rFonts w:ascii="Palatino Linotype" w:eastAsia="Palatino Linotype" w:hAnsi="Palatino Linotype" w:cs="Palatino Linotype"/>
          <w:b/>
          <w:i/>
          <w:sz w:val="22"/>
          <w:szCs w:val="22"/>
        </w:rPr>
        <w:t>03/17</w:t>
      </w:r>
    </w:p>
    <w:p w:rsidR="00954120" w:rsidRPr="00344EC4" w:rsidRDefault="003A2877">
      <w:pPr>
        <w:ind w:left="851" w:right="851"/>
        <w:jc w:val="both"/>
        <w:rPr>
          <w:rFonts w:ascii="Palatino Linotype" w:eastAsia="Palatino Linotype" w:hAnsi="Palatino Linotype" w:cs="Palatino Linotype"/>
          <w:b/>
          <w:i/>
          <w:sz w:val="22"/>
          <w:szCs w:val="22"/>
        </w:rPr>
      </w:pPr>
      <w:r w:rsidRPr="00344EC4">
        <w:rPr>
          <w:rFonts w:ascii="Palatino Linotype" w:eastAsia="Palatino Linotype" w:hAnsi="Palatino Linotype" w:cs="Palatino Linotype"/>
          <w:b/>
          <w:i/>
          <w:sz w:val="22"/>
          <w:szCs w:val="22"/>
        </w:rPr>
        <w:t>“NO EXISTE OBLIGACIÓN DE ELABORAR DOCUMENTOS AD HOC PARA ATENDER LAS SOLICITUDES DE ACCESO A LA INFORM ACIÓN.</w:t>
      </w: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954120" w:rsidRPr="00344EC4" w:rsidRDefault="00954120">
      <w:pPr>
        <w:spacing w:line="360" w:lineRule="auto"/>
        <w:jc w:val="both"/>
        <w:rPr>
          <w:rFonts w:ascii="Palatino Linotype" w:eastAsia="Palatino Linotype" w:hAnsi="Palatino Linotype" w:cs="Palatino Linotype"/>
        </w:rPr>
      </w:pPr>
    </w:p>
    <w:p w:rsidR="00954120" w:rsidRPr="00344EC4" w:rsidRDefault="003A2877">
      <w:pPr>
        <w:spacing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rPr>
        <w:t xml:space="preserve">Por otra parte, conviene mencionar que la Ley de Transparencia vigente en el Estado de México refiere: </w:t>
      </w:r>
    </w:p>
    <w:p w:rsidR="00954120" w:rsidRPr="00344EC4" w:rsidRDefault="00954120">
      <w:pPr>
        <w:spacing w:line="360" w:lineRule="auto"/>
        <w:jc w:val="both"/>
        <w:rPr>
          <w:rFonts w:ascii="Palatino Linotype" w:eastAsia="Palatino Linotype" w:hAnsi="Palatino Linotype" w:cs="Palatino Linotype"/>
        </w:rPr>
      </w:pP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b/>
          <w:i/>
          <w:sz w:val="22"/>
          <w:szCs w:val="22"/>
        </w:rPr>
        <w:t>“Artículo 18.</w:t>
      </w:r>
      <w:r w:rsidRPr="00344EC4">
        <w:rPr>
          <w:rFonts w:ascii="Palatino Linotype" w:eastAsia="Palatino Linotype" w:hAnsi="Palatino Linotype" w:cs="Palatino Linotype"/>
          <w:i/>
          <w:sz w:val="22"/>
          <w:szCs w:val="22"/>
        </w:rPr>
        <w:t xml:space="preserve"> </w:t>
      </w:r>
      <w:r w:rsidRPr="00344EC4">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344EC4">
        <w:rPr>
          <w:rFonts w:ascii="Palatino Linotype" w:eastAsia="Palatino Linotype" w:hAnsi="Palatino Linotype" w:cs="Palatino Linotype"/>
          <w:i/>
          <w:sz w:val="22"/>
          <w:szCs w:val="22"/>
        </w:rPr>
        <w:t xml:space="preserve"> y reutilización de la información que generen.</w:t>
      </w:r>
    </w:p>
    <w:p w:rsidR="00954120" w:rsidRPr="00344EC4" w:rsidRDefault="00954120">
      <w:pPr>
        <w:ind w:left="851" w:right="851"/>
        <w:jc w:val="both"/>
        <w:rPr>
          <w:rFonts w:ascii="Palatino Linotype" w:eastAsia="Palatino Linotype" w:hAnsi="Palatino Linotype" w:cs="Palatino Linotype"/>
          <w:b/>
          <w:i/>
          <w:sz w:val="22"/>
          <w:szCs w:val="22"/>
        </w:rPr>
      </w:pP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b/>
          <w:i/>
          <w:sz w:val="22"/>
          <w:szCs w:val="22"/>
        </w:rPr>
        <w:lastRenderedPageBreak/>
        <w:t xml:space="preserve">Artículo 19. </w:t>
      </w:r>
      <w:r w:rsidRPr="00344EC4">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344EC4">
        <w:rPr>
          <w:rFonts w:ascii="Palatino Linotype" w:eastAsia="Palatino Linotype" w:hAnsi="Palatino Linotype" w:cs="Palatino Linotype"/>
          <w:i/>
          <w:sz w:val="22"/>
          <w:szCs w:val="22"/>
        </w:rPr>
        <w:t>.</w:t>
      </w:r>
    </w:p>
    <w:p w:rsidR="00954120" w:rsidRPr="00344EC4" w:rsidRDefault="00954120">
      <w:pPr>
        <w:ind w:left="851" w:right="851"/>
        <w:jc w:val="both"/>
        <w:rPr>
          <w:rFonts w:ascii="Palatino Linotype" w:eastAsia="Palatino Linotype" w:hAnsi="Palatino Linotype" w:cs="Palatino Linotype"/>
          <w:i/>
          <w:sz w:val="22"/>
          <w:szCs w:val="22"/>
        </w:rPr>
      </w:pP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954120" w:rsidRPr="00344EC4" w:rsidRDefault="00954120">
      <w:pPr>
        <w:ind w:left="851" w:right="851"/>
        <w:jc w:val="both"/>
        <w:rPr>
          <w:rFonts w:ascii="Palatino Linotype" w:eastAsia="Palatino Linotype" w:hAnsi="Palatino Linotype" w:cs="Palatino Linotype"/>
          <w:i/>
          <w:sz w:val="22"/>
          <w:szCs w:val="22"/>
        </w:rPr>
      </w:pPr>
    </w:p>
    <w:p w:rsidR="00954120" w:rsidRPr="00344EC4" w:rsidRDefault="003A2877">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954120" w:rsidRPr="00344EC4" w:rsidRDefault="00954120">
      <w:pPr>
        <w:ind w:left="851" w:right="851"/>
        <w:jc w:val="both"/>
        <w:rPr>
          <w:rFonts w:ascii="Palatino Linotype" w:eastAsia="Palatino Linotype" w:hAnsi="Palatino Linotype" w:cs="Palatino Linotype"/>
          <w:i/>
          <w:sz w:val="22"/>
          <w:szCs w:val="22"/>
        </w:rPr>
      </w:pPr>
    </w:p>
    <w:p w:rsidR="00954120" w:rsidRPr="00344EC4" w:rsidRDefault="0011381B">
      <w:pPr>
        <w:ind w:left="851"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(Énfasis añadido)</w:t>
      </w:r>
    </w:p>
    <w:p w:rsidR="00954120" w:rsidRPr="00344EC4" w:rsidRDefault="003A2877">
      <w:pPr>
        <w:spacing w:before="240" w:after="240"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954120" w:rsidRPr="00344EC4" w:rsidRDefault="003A2877">
      <w:pPr>
        <w:spacing w:before="240" w:after="240"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344EC4">
        <w:rPr>
          <w:rFonts w:ascii="Palatino Linotype" w:eastAsia="Palatino Linotype" w:hAnsi="Palatino Linotype" w:cs="Palatino Linotype"/>
          <w:b/>
        </w:rPr>
        <w:t xml:space="preserve">cualquier otro registro que documente el ejercicio de las facultades, funciones, obligaciones y competencias de los Sujetos </w:t>
      </w:r>
      <w:r w:rsidRPr="00344EC4">
        <w:rPr>
          <w:rFonts w:ascii="Palatino Linotype" w:eastAsia="Palatino Linotype" w:hAnsi="Palatino Linotype" w:cs="Palatino Linotype"/>
          <w:b/>
        </w:rPr>
        <w:lastRenderedPageBreak/>
        <w:t>Obligados</w:t>
      </w:r>
      <w:r w:rsidRPr="00344EC4">
        <w:rPr>
          <w:rFonts w:ascii="Palatino Linotype" w:eastAsia="Palatino Linotype" w:hAnsi="Palatino Linotype" w:cs="Palatino Linotype"/>
        </w:rPr>
        <w:t xml:space="preserve">; </w:t>
      </w:r>
      <w:r w:rsidRPr="00344EC4">
        <w:rPr>
          <w:rFonts w:ascii="Palatino Linotype" w:eastAsia="Palatino Linotype" w:hAnsi="Palatino Linotype" w:cs="Palatino Linotype"/>
          <w:b/>
        </w:rPr>
        <w:t>los que, podrán estar en cualquier medio</w:t>
      </w:r>
      <w:r w:rsidRPr="00344EC4">
        <w:rPr>
          <w:rFonts w:ascii="Palatino Linotype" w:eastAsia="Palatino Linotype" w:hAnsi="Palatino Linotype" w:cs="Palatino Linotype"/>
        </w:rPr>
        <w:t xml:space="preserve">, sea escrito, impreso, sonoro, visual, </w:t>
      </w:r>
      <w:r w:rsidRPr="00344EC4">
        <w:rPr>
          <w:rFonts w:ascii="Palatino Linotype" w:eastAsia="Palatino Linotype" w:hAnsi="Palatino Linotype" w:cs="Palatino Linotype"/>
          <w:b/>
        </w:rPr>
        <w:t>electrónico</w:t>
      </w:r>
      <w:r w:rsidRPr="00344EC4">
        <w:rPr>
          <w:rFonts w:ascii="Palatino Linotype" w:eastAsia="Palatino Linotype" w:hAnsi="Palatino Linotype" w:cs="Palatino Linotype"/>
        </w:rPr>
        <w:t xml:space="preserve">, informático u holográfico, esto es, </w:t>
      </w:r>
      <w:r w:rsidRPr="00344EC4">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54120" w:rsidRPr="00344EC4" w:rsidRDefault="003A2877">
      <w:pPr>
        <w:spacing w:before="280" w:after="280"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rPr>
        <w:t xml:space="preserve">De ahí que el </w:t>
      </w:r>
      <w:r w:rsidRPr="00344EC4">
        <w:rPr>
          <w:rFonts w:ascii="Palatino Linotype" w:eastAsia="Palatino Linotype" w:hAnsi="Palatino Linotype" w:cs="Palatino Linotype"/>
          <w:b/>
        </w:rPr>
        <w:t>Sujeto Obligado</w:t>
      </w:r>
      <w:r w:rsidRPr="00344EC4">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44EC4">
        <w:rPr>
          <w:rFonts w:ascii="Palatino Linotype" w:eastAsia="Palatino Linotype" w:hAnsi="Palatino Linotype" w:cs="Palatino Linotype"/>
          <w:vertAlign w:val="superscript"/>
        </w:rPr>
        <w:footnoteReference w:id="1"/>
      </w:r>
      <w:r w:rsidRPr="00344EC4">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44EC4">
        <w:rPr>
          <w:rFonts w:ascii="Palatino Linotype" w:eastAsia="Palatino Linotype" w:hAnsi="Palatino Linotype" w:cs="Palatino Linotype"/>
          <w:vertAlign w:val="superscript"/>
        </w:rPr>
        <w:footnoteReference w:id="2"/>
      </w:r>
      <w:r w:rsidRPr="00344EC4">
        <w:rPr>
          <w:rFonts w:ascii="Palatino Linotype" w:eastAsia="Palatino Linotype" w:hAnsi="Palatino Linotype" w:cs="Palatino Linotype"/>
        </w:rPr>
        <w:t>, como pudiera tratarse de aquella relacionada con las obligaciones de transparencia señaladas en los artículos 92 y 100 de la Ley de la Materia.</w:t>
      </w:r>
    </w:p>
    <w:p w:rsidR="00954120" w:rsidRPr="00344EC4" w:rsidRDefault="003A2877">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rPr>
        <w:lastRenderedPageBreak/>
        <w:t xml:space="preserve">En este sentido, es conveniente recordar y analizar tanto los planteamientos formulados por </w:t>
      </w:r>
      <w:r w:rsidRPr="00344EC4">
        <w:rPr>
          <w:rFonts w:ascii="Palatino Linotype" w:eastAsia="Palatino Linotype" w:hAnsi="Palatino Linotype" w:cs="Palatino Linotype"/>
          <w:b/>
        </w:rPr>
        <w:t>la parte</w:t>
      </w:r>
      <w:r w:rsidRPr="00344EC4">
        <w:rPr>
          <w:rFonts w:ascii="Palatino Linotype" w:eastAsia="Palatino Linotype" w:hAnsi="Palatino Linotype" w:cs="Palatino Linotype"/>
        </w:rPr>
        <w:t xml:space="preserve"> </w:t>
      </w:r>
      <w:r w:rsidRPr="00344EC4">
        <w:rPr>
          <w:rFonts w:ascii="Palatino Linotype" w:eastAsia="Palatino Linotype" w:hAnsi="Palatino Linotype" w:cs="Palatino Linotype"/>
          <w:b/>
        </w:rPr>
        <w:t xml:space="preserve">Recurrente </w:t>
      </w:r>
      <w:r w:rsidRPr="00344EC4">
        <w:rPr>
          <w:rFonts w:ascii="Palatino Linotype" w:eastAsia="Palatino Linotype" w:hAnsi="Palatino Linotype" w:cs="Palatino Linotype"/>
        </w:rPr>
        <w:t xml:space="preserve">en la solicitud inicial; así como, las manifestaciones y documentales entregadas por el </w:t>
      </w:r>
      <w:r w:rsidRPr="00344EC4">
        <w:rPr>
          <w:rFonts w:ascii="Palatino Linotype" w:eastAsia="Palatino Linotype" w:hAnsi="Palatino Linotype" w:cs="Palatino Linotype"/>
          <w:b/>
        </w:rPr>
        <w:t xml:space="preserve">Sujeto Obligado </w:t>
      </w:r>
      <w:r w:rsidRPr="00344EC4">
        <w:rPr>
          <w:rFonts w:ascii="Palatino Linotype" w:eastAsia="Palatino Linotype" w:hAnsi="Palatino Linotype" w:cs="Palatino Linotype"/>
        </w:rPr>
        <w:t>en cumplimiento a la primera resolución emitida por este Organismo Garante; con el objeto de determinar si se colmó el derecho de acceso a la información del particular.</w:t>
      </w:r>
    </w:p>
    <w:p w:rsidR="00954120" w:rsidRPr="00344EC4" w:rsidRDefault="003A2877">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rPr>
        <w:t xml:space="preserve">Precisado lo anterior, conviene señalar que el particular requirió al </w:t>
      </w:r>
      <w:r w:rsidRPr="00344EC4">
        <w:rPr>
          <w:rFonts w:ascii="Palatino Linotype" w:eastAsia="Palatino Linotype" w:hAnsi="Palatino Linotype" w:cs="Palatino Linotype"/>
          <w:b/>
        </w:rPr>
        <w:t>Sujeto Obligado</w:t>
      </w:r>
      <w:r w:rsidRPr="00344EC4">
        <w:rPr>
          <w:rFonts w:ascii="Palatino Linotype" w:eastAsia="Palatino Linotype" w:hAnsi="Palatino Linotype" w:cs="Palatino Linotype"/>
        </w:rPr>
        <w:t xml:space="preserve">, </w:t>
      </w:r>
      <w:r w:rsidR="00B51003" w:rsidRPr="00344EC4">
        <w:rPr>
          <w:rFonts w:ascii="Palatino Linotype" w:eastAsia="Palatino Linotype" w:hAnsi="Palatino Linotype" w:cs="Palatino Linotype"/>
        </w:rPr>
        <w:t>lo siguiente:</w:t>
      </w:r>
    </w:p>
    <w:p w:rsidR="00B51003" w:rsidRPr="00344EC4" w:rsidRDefault="00B51003" w:rsidP="00B51003">
      <w:pPr>
        <w:pStyle w:val="Prrafodelista"/>
        <w:numPr>
          <w:ilvl w:val="0"/>
          <w:numId w:val="9"/>
        </w:numPr>
        <w:pBdr>
          <w:top w:val="nil"/>
          <w:left w:val="nil"/>
          <w:bottom w:val="nil"/>
          <w:right w:val="nil"/>
          <w:between w:val="nil"/>
        </w:pBdr>
        <w:tabs>
          <w:tab w:val="left" w:pos="426"/>
        </w:tabs>
        <w:spacing w:after="240" w:line="360" w:lineRule="auto"/>
        <w:ind w:right="851"/>
        <w:jc w:val="both"/>
        <w:rPr>
          <w:rFonts w:ascii="Palatino Linotype" w:eastAsia="Palatino Linotype" w:hAnsi="Palatino Linotype" w:cs="Palatino Linotype"/>
        </w:rPr>
      </w:pPr>
      <w:r w:rsidRPr="00344EC4">
        <w:rPr>
          <w:rFonts w:ascii="Palatino Linotype" w:eastAsia="Palatino Linotype" w:hAnsi="Palatino Linotype" w:cs="Palatino Linotype"/>
          <w:b/>
        </w:rPr>
        <w:t>Todas las nóminas de la servidora pública Mayra Esperanza Ortiz Calixto desde su ingreso en el año 2016 cuando se desempeñaba como secretaria, hasta el día de hoy como regidora, incluyendo todo tipo de pagos nóminas, bonos, aguinaldo y cualquier otra prestación que ha tenido en su servicio público</w:t>
      </w:r>
      <w:r w:rsidRPr="00344EC4">
        <w:rPr>
          <w:rFonts w:ascii="Palatino Linotype" w:eastAsia="Palatino Linotype" w:hAnsi="Palatino Linotype" w:cs="Palatino Linotype"/>
        </w:rPr>
        <w:t>.</w:t>
      </w:r>
    </w:p>
    <w:p w:rsidR="00954120" w:rsidRPr="00344EC4" w:rsidRDefault="00E95408" w:rsidP="00E95408">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rPr>
        <w:t xml:space="preserve">Resulta importante señalar que el </w:t>
      </w:r>
      <w:r w:rsidRPr="00344EC4">
        <w:rPr>
          <w:rFonts w:ascii="Palatino Linotype" w:eastAsia="Palatino Linotype" w:hAnsi="Palatino Linotype" w:cs="Palatino Linotype"/>
          <w:b/>
        </w:rPr>
        <w:t xml:space="preserve">Sujeto Obligado </w:t>
      </w:r>
      <w:r w:rsidRPr="00344EC4">
        <w:rPr>
          <w:rFonts w:ascii="Palatino Linotype" w:eastAsia="Palatino Linotype" w:hAnsi="Palatino Linotype" w:cs="Palatino Linotype"/>
        </w:rPr>
        <w:t>fue</w:t>
      </w:r>
      <w:r w:rsidRPr="00344EC4">
        <w:rPr>
          <w:rFonts w:ascii="Palatino Linotype" w:eastAsia="Palatino Linotype" w:hAnsi="Palatino Linotype" w:cs="Palatino Linotype"/>
          <w:b/>
        </w:rPr>
        <w:t xml:space="preserve"> </w:t>
      </w:r>
      <w:r w:rsidRPr="00344EC4">
        <w:rPr>
          <w:rFonts w:ascii="Palatino Linotype" w:eastAsia="Palatino Linotype" w:hAnsi="Palatino Linotype" w:cs="Palatino Linotype"/>
        </w:rPr>
        <w:t xml:space="preserve">omiso en emitir su repuesta a la solicitud de información, por lo cual, </w:t>
      </w:r>
      <w:r w:rsidR="003A2877" w:rsidRPr="00344EC4">
        <w:rPr>
          <w:rFonts w:ascii="Palatino Linotype" w:eastAsia="Palatino Linotype" w:hAnsi="Palatino Linotype" w:cs="Palatino Linotype"/>
          <w:b/>
        </w:rPr>
        <w:t>la parte</w:t>
      </w:r>
      <w:r w:rsidR="003A2877" w:rsidRPr="00344EC4">
        <w:rPr>
          <w:rFonts w:ascii="Palatino Linotype" w:eastAsia="Palatino Linotype" w:hAnsi="Palatino Linotype" w:cs="Palatino Linotype"/>
        </w:rPr>
        <w:t xml:space="preserve"> </w:t>
      </w:r>
      <w:r w:rsidR="003A2877" w:rsidRPr="00344EC4">
        <w:rPr>
          <w:rFonts w:ascii="Palatino Linotype" w:eastAsia="Palatino Linotype" w:hAnsi="Palatino Linotype" w:cs="Palatino Linotype"/>
          <w:b/>
        </w:rPr>
        <w:t>Recurrente</w:t>
      </w:r>
      <w:r w:rsidR="003A2877" w:rsidRPr="00344EC4">
        <w:rPr>
          <w:rFonts w:ascii="Palatino Linotype" w:eastAsia="Palatino Linotype" w:hAnsi="Palatino Linotype" w:cs="Palatino Linotype"/>
        </w:rPr>
        <w:t xml:space="preserve">, se inconformó por la negativa de no entregar la información requerida, lo cual actualiza el supuesto previsto en el artículo 179, fracción VII, de la Ley de Transparencia y Acceso a la Información Pública del Estado de México y Municipios. </w:t>
      </w:r>
    </w:p>
    <w:p w:rsidR="00954120" w:rsidRPr="00344EC4" w:rsidRDefault="003A2877">
      <w:pPr>
        <w:tabs>
          <w:tab w:val="left" w:pos="4962"/>
        </w:tabs>
        <w:spacing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rPr>
        <w:t xml:space="preserve">Así las cosas, una vez admitido y notificado el Recurso de Revisión a las partes, se tiene que </w:t>
      </w:r>
      <w:r w:rsidR="00E95408" w:rsidRPr="00344EC4">
        <w:rPr>
          <w:rFonts w:ascii="Palatino Linotype" w:eastAsia="Palatino Linotype" w:hAnsi="Palatino Linotype" w:cs="Palatino Linotype"/>
        </w:rPr>
        <w:t xml:space="preserve">las partes fueron omisas en pronunciarse, por lo que </w:t>
      </w:r>
      <w:r w:rsidRPr="00344EC4">
        <w:rPr>
          <w:rFonts w:ascii="Palatino Linotype" w:eastAsia="Palatino Linotype" w:hAnsi="Palatino Linotype" w:cs="Palatino Linotype"/>
        </w:rPr>
        <w:t>se tiene por precluido su derecho para tal efecto.</w:t>
      </w:r>
    </w:p>
    <w:p w:rsidR="00E95408" w:rsidRPr="00344EC4" w:rsidRDefault="00E95408">
      <w:pPr>
        <w:tabs>
          <w:tab w:val="left" w:pos="4962"/>
        </w:tabs>
        <w:spacing w:line="360" w:lineRule="auto"/>
        <w:jc w:val="both"/>
        <w:rPr>
          <w:rFonts w:ascii="Palatino Linotype" w:eastAsia="Palatino Linotype" w:hAnsi="Palatino Linotype" w:cs="Palatino Linotype"/>
        </w:rPr>
      </w:pPr>
    </w:p>
    <w:p w:rsidR="00C74C55" w:rsidRPr="00344EC4" w:rsidRDefault="00E95408">
      <w:pPr>
        <w:tabs>
          <w:tab w:val="left" w:pos="4962"/>
        </w:tabs>
        <w:spacing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rPr>
        <w:t xml:space="preserve">Acotado lo anterior, </w:t>
      </w:r>
      <w:r w:rsidR="00C74C55" w:rsidRPr="00344EC4">
        <w:rPr>
          <w:rFonts w:ascii="Palatino Linotype" w:eastAsia="Palatino Linotype" w:hAnsi="Palatino Linotype" w:cs="Palatino Linotype"/>
        </w:rPr>
        <w:t xml:space="preserve">de una consulta realizada por este Instituto al portal de Información Pública de Oficio Mexiquense (IPOMEX), se vislumbra que </w:t>
      </w:r>
      <w:r w:rsidR="00C74C55" w:rsidRPr="00344EC4">
        <w:rPr>
          <w:rFonts w:ascii="Palatino Linotype" w:eastAsia="Palatino Linotype" w:hAnsi="Palatino Linotype" w:cs="Palatino Linotype"/>
        </w:rPr>
        <w:lastRenderedPageBreak/>
        <w:t>efectivamente la servidora pública referida en la solicitud ostenta el cargo de segunda regidora a partir del primero de enero de dos mil veintidós, se inserta la captura de pantalla para mayor referencia:</w:t>
      </w:r>
    </w:p>
    <w:p w:rsidR="00C74C55" w:rsidRPr="00344EC4" w:rsidRDefault="00C74C55">
      <w:pPr>
        <w:tabs>
          <w:tab w:val="left" w:pos="4962"/>
        </w:tabs>
        <w:spacing w:line="360" w:lineRule="auto"/>
        <w:jc w:val="both"/>
        <w:rPr>
          <w:rFonts w:ascii="Palatino Linotype" w:eastAsia="Palatino Linotype" w:hAnsi="Palatino Linotype" w:cs="Palatino Linotype"/>
        </w:rPr>
      </w:pPr>
    </w:p>
    <w:p w:rsidR="00C74C55" w:rsidRPr="00344EC4" w:rsidRDefault="00C74C55">
      <w:pPr>
        <w:tabs>
          <w:tab w:val="left" w:pos="4962"/>
        </w:tabs>
        <w:spacing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noProof/>
          <w:lang w:eastAsia="es-MX"/>
        </w:rPr>
        <mc:AlternateContent>
          <mc:Choice Requires="wps">
            <w:drawing>
              <wp:anchor distT="0" distB="0" distL="114300" distR="114300" simplePos="0" relativeHeight="251664384" behindDoc="0" locked="0" layoutInCell="1" allowOverlap="1">
                <wp:simplePos x="0" y="0"/>
                <wp:positionH relativeFrom="column">
                  <wp:posOffset>243840</wp:posOffset>
                </wp:positionH>
                <wp:positionV relativeFrom="paragraph">
                  <wp:posOffset>918210</wp:posOffset>
                </wp:positionV>
                <wp:extent cx="4171950" cy="933450"/>
                <wp:effectExtent l="19050" t="19050" r="19050" b="19050"/>
                <wp:wrapNone/>
                <wp:docPr id="9" name="Rectángulo 9"/>
                <wp:cNvGraphicFramePr/>
                <a:graphic xmlns:a="http://schemas.openxmlformats.org/drawingml/2006/main">
                  <a:graphicData uri="http://schemas.microsoft.com/office/word/2010/wordprocessingShape">
                    <wps:wsp>
                      <wps:cNvSpPr/>
                      <wps:spPr>
                        <a:xfrm>
                          <a:off x="0" y="0"/>
                          <a:ext cx="4171950" cy="9334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AB00C" id="Rectángulo 9" o:spid="_x0000_s1026" style="position:absolute;margin-left:19.2pt;margin-top:72.3pt;width:328.5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" filled="f" strokecolor="#00b050" strokeweight="2.25pt"/>
            </w:pict>
          </mc:Fallback>
        </mc:AlternateContent>
      </w:r>
      <w:r w:rsidRPr="00344EC4">
        <w:rPr>
          <w:rFonts w:ascii="Palatino Linotype" w:eastAsia="Palatino Linotype" w:hAnsi="Palatino Linotype" w:cs="Palatino Linotype"/>
          <w:noProof/>
          <w:lang w:eastAsia="es-MX"/>
        </w:rPr>
        <w:drawing>
          <wp:anchor distT="0" distB="0" distL="114300" distR="114300" simplePos="0" relativeHeight="251663360" behindDoc="0" locked="0" layoutInCell="1" allowOverlap="1">
            <wp:simplePos x="0" y="0"/>
            <wp:positionH relativeFrom="column">
              <wp:posOffset>243840</wp:posOffset>
            </wp:positionH>
            <wp:positionV relativeFrom="paragraph">
              <wp:posOffset>22860</wp:posOffset>
            </wp:positionV>
            <wp:extent cx="5182323" cy="4334480"/>
            <wp:effectExtent l="19050" t="19050" r="18415" b="2857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82323" cy="43344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213A7" w:rsidRPr="00344EC4">
        <w:rPr>
          <w:rFonts w:ascii="Palatino Linotype" w:eastAsia="Palatino Linotype" w:hAnsi="Palatino Linotype" w:cs="Palatino Linotype"/>
        </w:rPr>
        <w:t xml:space="preserve">Ahora bien, teniendo en cuenta que la temporalidad del requerimiento de información data del año 2016, este Instituto procedió a consultar en el referido portal de IPOMEX, para efecto de obtener la fecha de alta de la servidora pública en mención, sin embargo, la plataforma no cuenta con registros actualizados de los años 2016-2019 pero si se localizó en el apartado de remuneraciones del ejercicio </w:t>
      </w:r>
      <w:r w:rsidR="00E213A7" w:rsidRPr="00344EC4">
        <w:rPr>
          <w:rFonts w:ascii="Palatino Linotype" w:eastAsia="Palatino Linotype" w:hAnsi="Palatino Linotype" w:cs="Palatino Linotype"/>
        </w:rPr>
        <w:lastRenderedPageBreak/>
        <w:t>fiscal 2020, se ubicó a la funcionaria, quien en ese entonces desempeñaba el puesto de Secretaria, tal como se vislumbra en la siguiente impresión de pantalla:</w:t>
      </w:r>
    </w:p>
    <w:p w:rsidR="00E213A7" w:rsidRPr="00344EC4" w:rsidRDefault="00E213A7">
      <w:pPr>
        <w:tabs>
          <w:tab w:val="left" w:pos="4962"/>
        </w:tabs>
        <w:spacing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noProof/>
          <w:lang w:eastAsia="es-MX"/>
        </w:rPr>
        <mc:AlternateContent>
          <mc:Choice Requires="wps">
            <w:drawing>
              <wp:anchor distT="0" distB="0" distL="114300" distR="114300" simplePos="0" relativeHeight="251665408" behindDoc="0" locked="0" layoutInCell="1" allowOverlap="1">
                <wp:simplePos x="0" y="0"/>
                <wp:positionH relativeFrom="column">
                  <wp:posOffset>15240</wp:posOffset>
                </wp:positionH>
                <wp:positionV relativeFrom="paragraph">
                  <wp:posOffset>327660</wp:posOffset>
                </wp:positionV>
                <wp:extent cx="3476625" cy="1638300"/>
                <wp:effectExtent l="19050" t="19050" r="28575" b="19050"/>
                <wp:wrapNone/>
                <wp:docPr id="11" name="Rectángulo 11"/>
                <wp:cNvGraphicFramePr/>
                <a:graphic xmlns:a="http://schemas.openxmlformats.org/drawingml/2006/main">
                  <a:graphicData uri="http://schemas.microsoft.com/office/word/2010/wordprocessingShape">
                    <wps:wsp>
                      <wps:cNvSpPr/>
                      <wps:spPr>
                        <a:xfrm>
                          <a:off x="0" y="0"/>
                          <a:ext cx="3476625" cy="163830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26851E" id="Rectángulo 11" o:spid="_x0000_s1026" style="position:absolute;margin-left:1.2pt;margin-top:25.8pt;width:273.75pt;height:12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" filled="f" strokecolor="#00b0f0" strokeweight="2.25pt"/>
            </w:pict>
          </mc:Fallback>
        </mc:AlternateContent>
      </w:r>
      <w:r w:rsidRPr="00344EC4">
        <w:rPr>
          <w:rFonts w:ascii="Palatino Linotype" w:eastAsia="Palatino Linotype" w:hAnsi="Palatino Linotype" w:cs="Palatino Linotype"/>
          <w:noProof/>
          <w:lang w:eastAsia="es-MX"/>
        </w:rPr>
        <w:drawing>
          <wp:inline distT="0" distB="0" distL="0" distR="0" wp14:anchorId="4B5A2619" wp14:editId="0BD89A76">
            <wp:extent cx="5172797" cy="2934109"/>
            <wp:effectExtent l="19050" t="19050" r="2794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72797" cy="2934109"/>
                    </a:xfrm>
                    <a:prstGeom prst="rect">
                      <a:avLst/>
                    </a:prstGeom>
                    <a:ln>
                      <a:solidFill>
                        <a:schemeClr val="tx1"/>
                      </a:solidFill>
                    </a:ln>
                  </pic:spPr>
                </pic:pic>
              </a:graphicData>
            </a:graphic>
          </wp:inline>
        </w:drawing>
      </w:r>
    </w:p>
    <w:p w:rsidR="00910BF5" w:rsidRPr="00344EC4" w:rsidRDefault="00910BF5" w:rsidP="00910BF5">
      <w:pPr>
        <w:spacing w:line="360" w:lineRule="auto"/>
        <w:ind w:right="49"/>
        <w:jc w:val="both"/>
        <w:rPr>
          <w:rFonts w:ascii="Palatino Linotype" w:hAnsi="Palatino Linotype" w:cs="Arial"/>
          <w:bCs/>
          <w:szCs w:val="22"/>
          <w:lang w:val="es-ES"/>
        </w:rPr>
      </w:pPr>
      <w:r w:rsidRPr="00344EC4">
        <w:rPr>
          <w:rFonts w:ascii="Palatino Linotype" w:hAnsi="Palatino Linotype" w:cs="Arial"/>
          <w:bCs/>
          <w:szCs w:val="22"/>
          <w:lang w:val="es-ES"/>
        </w:rPr>
        <w:t xml:space="preserve">Aunado a lo anterior, se tiene que no hay un pronunciamiento por parte del </w:t>
      </w:r>
      <w:r w:rsidRPr="00344EC4">
        <w:rPr>
          <w:rFonts w:ascii="Palatino Linotype" w:hAnsi="Palatino Linotype" w:cs="Arial"/>
          <w:b/>
          <w:bCs/>
          <w:szCs w:val="22"/>
          <w:lang w:val="es-ES"/>
        </w:rPr>
        <w:t>Sujeto Obligado</w:t>
      </w:r>
      <w:r w:rsidR="00C113BE" w:rsidRPr="00344EC4">
        <w:rPr>
          <w:rFonts w:ascii="Palatino Linotype" w:hAnsi="Palatino Linotype" w:cs="Arial"/>
          <w:bCs/>
          <w:szCs w:val="22"/>
          <w:lang w:val="es-ES"/>
        </w:rPr>
        <w:t>, por lo tanto, no se tiene certeza</w:t>
      </w:r>
      <w:r w:rsidRPr="00344EC4">
        <w:rPr>
          <w:rFonts w:ascii="Palatino Linotype" w:hAnsi="Palatino Linotype" w:cs="Arial"/>
          <w:bCs/>
          <w:szCs w:val="22"/>
          <w:lang w:val="es-ES"/>
        </w:rPr>
        <w:t xml:space="preserve"> de la fecha en la que la servidora pública comenzó a prestar sus servicios ante dicha instancia gubernamental, es por ello que se estima procedente turnar la presente solicitud a la Tesorería Municipal, en virtud de que es el área encargada de realizar las erogaciones y conservación de la documentación comprobatoria de las mismas, además de que cuenta con un área de Contabilidad y Cuenta Pública, así como de Recursos Humanos, sirven de referencia la impresión del organigrama y la cita al Manual de Organización del Ayuntamiento de Texcaltitlán:</w:t>
      </w:r>
    </w:p>
    <w:p w:rsidR="00910BF5" w:rsidRPr="00344EC4" w:rsidRDefault="00910BF5" w:rsidP="00910BF5">
      <w:pPr>
        <w:spacing w:line="360" w:lineRule="auto"/>
        <w:ind w:right="49"/>
        <w:jc w:val="both"/>
        <w:rPr>
          <w:rFonts w:ascii="Palatino Linotype" w:hAnsi="Palatino Linotype" w:cs="Arial"/>
          <w:bCs/>
          <w:szCs w:val="22"/>
          <w:lang w:val="es-ES"/>
        </w:rPr>
      </w:pPr>
      <w:r w:rsidRPr="00344EC4">
        <w:rPr>
          <w:rFonts w:ascii="Palatino Linotype" w:hAnsi="Palatino Linotype" w:cs="Arial"/>
          <w:bCs/>
          <w:noProof/>
          <w:szCs w:val="22"/>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91440</wp:posOffset>
                </wp:positionH>
                <wp:positionV relativeFrom="paragraph">
                  <wp:posOffset>2575560</wp:posOffset>
                </wp:positionV>
                <wp:extent cx="962025" cy="523875"/>
                <wp:effectExtent l="19050" t="19050" r="28575" b="28575"/>
                <wp:wrapNone/>
                <wp:docPr id="13" name="Rectángulo redondeado 13"/>
                <wp:cNvGraphicFramePr/>
                <a:graphic xmlns:a="http://schemas.openxmlformats.org/drawingml/2006/main">
                  <a:graphicData uri="http://schemas.microsoft.com/office/word/2010/wordprocessingShape">
                    <wps:wsp>
                      <wps:cNvSpPr/>
                      <wps:spPr>
                        <a:xfrm>
                          <a:off x="0" y="0"/>
                          <a:ext cx="962025" cy="5238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95466C" id="Rectángulo redondeado 13" o:spid="_x0000_s1026" style="position:absolute;margin-left:7.2pt;margin-top:202.8pt;width:75.75pt;height:41.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" filled="f" strokecolor="red" strokeweight="2.25pt">
                <v:stroke joinstyle="miter"/>
              </v:roundrect>
            </w:pict>
          </mc:Fallback>
        </mc:AlternateContent>
      </w:r>
      <w:r w:rsidRPr="00344EC4">
        <w:rPr>
          <w:rFonts w:ascii="Palatino Linotype" w:hAnsi="Palatino Linotype" w:cs="Arial"/>
          <w:bCs/>
          <w:noProof/>
          <w:szCs w:val="22"/>
          <w:lang w:eastAsia="es-MX"/>
        </w:rPr>
        <w:drawing>
          <wp:inline distT="0" distB="0" distL="0" distR="0" wp14:anchorId="1773114B" wp14:editId="7AA40B53">
            <wp:extent cx="5581015" cy="4367530"/>
            <wp:effectExtent l="19050" t="19050" r="19685" b="139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1015" cy="4367530"/>
                    </a:xfrm>
                    <a:prstGeom prst="rect">
                      <a:avLst/>
                    </a:prstGeom>
                    <a:ln>
                      <a:solidFill>
                        <a:schemeClr val="tx1"/>
                      </a:solidFill>
                    </a:ln>
                  </pic:spPr>
                </pic:pic>
              </a:graphicData>
            </a:graphic>
          </wp:inline>
        </w:drawing>
      </w:r>
    </w:p>
    <w:p w:rsidR="00910BF5" w:rsidRPr="00344EC4" w:rsidRDefault="00910BF5" w:rsidP="00910BF5">
      <w:pPr>
        <w:spacing w:line="360" w:lineRule="auto"/>
        <w:ind w:right="49"/>
        <w:jc w:val="both"/>
        <w:rPr>
          <w:rFonts w:ascii="Palatino Linotype" w:hAnsi="Palatino Linotype" w:cs="Arial"/>
          <w:bCs/>
          <w:szCs w:val="22"/>
          <w:lang w:val="es-ES"/>
        </w:rPr>
      </w:pPr>
    </w:p>
    <w:p w:rsidR="00910BF5" w:rsidRPr="00344EC4" w:rsidRDefault="00910BF5" w:rsidP="00910BF5">
      <w:pPr>
        <w:spacing w:line="276" w:lineRule="auto"/>
        <w:ind w:left="567" w:right="851"/>
        <w:jc w:val="both"/>
        <w:rPr>
          <w:rFonts w:ascii="Palatino Linotype" w:hAnsi="Palatino Linotype" w:cs="Arial"/>
          <w:b/>
          <w:bCs/>
          <w:i/>
          <w:sz w:val="22"/>
          <w:szCs w:val="22"/>
          <w:lang w:val="es-ES"/>
        </w:rPr>
      </w:pPr>
      <w:r w:rsidRPr="00344EC4">
        <w:rPr>
          <w:rFonts w:ascii="Palatino Linotype" w:hAnsi="Palatino Linotype" w:cs="Arial"/>
          <w:bCs/>
          <w:i/>
          <w:sz w:val="22"/>
          <w:szCs w:val="22"/>
          <w:lang w:val="es-ES"/>
        </w:rPr>
        <w:t>“</w:t>
      </w:r>
      <w:r w:rsidRPr="00344EC4">
        <w:rPr>
          <w:rFonts w:ascii="Palatino Linotype" w:hAnsi="Palatino Linotype" w:cs="Arial"/>
          <w:b/>
          <w:bCs/>
          <w:i/>
          <w:sz w:val="22"/>
          <w:szCs w:val="22"/>
          <w:lang w:val="es-ES"/>
        </w:rPr>
        <w:t>CONTABILIDAD Y CUENTA PÚBLICA</w:t>
      </w:r>
    </w:p>
    <w:p w:rsidR="00910BF5" w:rsidRPr="00344EC4" w:rsidRDefault="00910BF5" w:rsidP="00910BF5">
      <w:pPr>
        <w:spacing w:line="276" w:lineRule="auto"/>
        <w:ind w:left="567" w:right="851"/>
        <w:jc w:val="both"/>
        <w:rPr>
          <w:rFonts w:ascii="Palatino Linotype" w:hAnsi="Palatino Linotype" w:cs="Arial"/>
          <w:bCs/>
          <w:i/>
          <w:sz w:val="22"/>
          <w:szCs w:val="22"/>
          <w:lang w:val="es-ES"/>
        </w:rPr>
      </w:pPr>
      <w:r w:rsidRPr="00344EC4">
        <w:rPr>
          <w:rFonts w:ascii="Palatino Linotype" w:hAnsi="Palatino Linotype" w:cs="Arial"/>
          <w:bCs/>
          <w:i/>
          <w:sz w:val="22"/>
          <w:szCs w:val="22"/>
          <w:lang w:val="es-ES"/>
        </w:rPr>
        <w:t>Funciones</w:t>
      </w:r>
    </w:p>
    <w:p w:rsidR="00910BF5" w:rsidRPr="00344EC4" w:rsidRDefault="00910BF5" w:rsidP="00910BF5">
      <w:pPr>
        <w:spacing w:line="276" w:lineRule="auto"/>
        <w:ind w:left="567" w:right="851"/>
        <w:jc w:val="both"/>
        <w:rPr>
          <w:rFonts w:ascii="Palatino Linotype" w:hAnsi="Palatino Linotype" w:cs="Arial"/>
          <w:bCs/>
          <w:i/>
          <w:sz w:val="22"/>
          <w:szCs w:val="22"/>
          <w:lang w:val="es-ES"/>
        </w:rPr>
      </w:pPr>
      <w:r w:rsidRPr="00344EC4">
        <w:rPr>
          <w:rFonts w:ascii="Palatino Linotype" w:hAnsi="Palatino Linotype" w:cs="Arial"/>
          <w:bCs/>
          <w:i/>
          <w:sz w:val="22"/>
          <w:szCs w:val="22"/>
          <w:lang w:val="es-ES"/>
        </w:rPr>
        <w:t>…</w:t>
      </w:r>
    </w:p>
    <w:p w:rsidR="00910BF5" w:rsidRPr="00344EC4" w:rsidRDefault="00910BF5" w:rsidP="00910BF5">
      <w:pPr>
        <w:spacing w:line="276" w:lineRule="auto"/>
        <w:ind w:left="567" w:right="851"/>
        <w:jc w:val="both"/>
        <w:rPr>
          <w:rFonts w:ascii="Palatino Linotype" w:hAnsi="Palatino Linotype" w:cs="Arial"/>
          <w:bCs/>
          <w:i/>
          <w:sz w:val="22"/>
          <w:szCs w:val="22"/>
          <w:lang w:val="es-ES"/>
        </w:rPr>
      </w:pPr>
      <w:r w:rsidRPr="00344EC4">
        <w:rPr>
          <w:rFonts w:ascii="Palatino Linotype" w:hAnsi="Palatino Linotype" w:cs="Arial"/>
          <w:bCs/>
          <w:i/>
          <w:sz w:val="22"/>
          <w:szCs w:val="22"/>
          <w:lang w:val="es-ES"/>
        </w:rPr>
        <w:t xml:space="preserve"> </w:t>
      </w:r>
      <w:r w:rsidRPr="00344EC4">
        <w:rPr>
          <w:rFonts w:ascii="Palatino Linotype" w:hAnsi="Palatino Linotype" w:cs="Arial"/>
          <w:b/>
          <w:bCs/>
          <w:i/>
          <w:sz w:val="22"/>
          <w:szCs w:val="22"/>
          <w:lang w:val="es-ES"/>
        </w:rPr>
        <w:t>Recopilar, integrar y sistematizar la documentación soporte de</w:t>
      </w:r>
      <w:r w:rsidRPr="00344EC4">
        <w:rPr>
          <w:rFonts w:ascii="Palatino Linotype" w:hAnsi="Palatino Linotype" w:cs="Arial"/>
          <w:bCs/>
          <w:i/>
          <w:sz w:val="22"/>
          <w:szCs w:val="22"/>
          <w:lang w:val="es-ES"/>
        </w:rPr>
        <w:t xml:space="preserve"> las pólizas de egresos, ingresos, diario y </w:t>
      </w:r>
      <w:r w:rsidRPr="00344EC4">
        <w:rPr>
          <w:rFonts w:ascii="Palatino Linotype" w:hAnsi="Palatino Linotype" w:cs="Arial"/>
          <w:b/>
          <w:bCs/>
          <w:i/>
          <w:sz w:val="22"/>
          <w:szCs w:val="22"/>
          <w:lang w:val="es-ES"/>
        </w:rPr>
        <w:t>nóminas que haya sido supervisada y validada</w:t>
      </w:r>
      <w:r w:rsidRPr="00344EC4">
        <w:rPr>
          <w:rFonts w:ascii="Palatino Linotype" w:hAnsi="Palatino Linotype" w:cs="Arial"/>
          <w:bCs/>
          <w:i/>
          <w:sz w:val="22"/>
          <w:szCs w:val="22"/>
          <w:lang w:val="es-ES"/>
        </w:rPr>
        <w:t>, así como el informe de obras públicas y los estados financieros del ayuntamiento para su digitalización;</w:t>
      </w:r>
    </w:p>
    <w:p w:rsidR="00910BF5" w:rsidRPr="00344EC4" w:rsidRDefault="00910BF5" w:rsidP="00910BF5">
      <w:pPr>
        <w:spacing w:line="276" w:lineRule="auto"/>
        <w:ind w:left="567" w:right="851"/>
        <w:jc w:val="both"/>
        <w:rPr>
          <w:rFonts w:ascii="Palatino Linotype" w:hAnsi="Palatino Linotype" w:cs="Arial"/>
          <w:bCs/>
          <w:i/>
          <w:sz w:val="22"/>
          <w:szCs w:val="22"/>
          <w:lang w:val="es-ES"/>
        </w:rPr>
      </w:pPr>
      <w:r w:rsidRPr="00344EC4">
        <w:rPr>
          <w:rFonts w:ascii="Palatino Linotype" w:hAnsi="Palatino Linotype" w:cs="Arial"/>
          <w:bCs/>
          <w:i/>
          <w:sz w:val="22"/>
          <w:szCs w:val="22"/>
          <w:lang w:val="es-ES"/>
        </w:rPr>
        <w:t>…</w:t>
      </w:r>
    </w:p>
    <w:p w:rsidR="00910BF5" w:rsidRPr="00344EC4" w:rsidRDefault="00910BF5" w:rsidP="00910BF5">
      <w:pPr>
        <w:spacing w:line="276" w:lineRule="auto"/>
        <w:ind w:left="567" w:right="851"/>
        <w:jc w:val="both"/>
        <w:rPr>
          <w:rFonts w:ascii="Palatino Linotype" w:hAnsi="Palatino Linotype" w:cs="Arial"/>
          <w:bCs/>
          <w:i/>
          <w:sz w:val="22"/>
          <w:szCs w:val="22"/>
          <w:lang w:val="es-ES"/>
        </w:rPr>
      </w:pPr>
      <w:r w:rsidRPr="00344EC4">
        <w:rPr>
          <w:rFonts w:ascii="Palatino Linotype" w:hAnsi="Palatino Linotype" w:cs="Arial"/>
          <w:bCs/>
          <w:i/>
          <w:sz w:val="22"/>
          <w:szCs w:val="22"/>
          <w:lang w:val="es-ES"/>
        </w:rPr>
        <w:t>RECURSOS HUMANOS</w:t>
      </w:r>
    </w:p>
    <w:p w:rsidR="00910BF5" w:rsidRPr="00344EC4" w:rsidRDefault="00910BF5" w:rsidP="00910BF5">
      <w:pPr>
        <w:spacing w:line="276" w:lineRule="auto"/>
        <w:ind w:left="567" w:right="851"/>
        <w:jc w:val="both"/>
        <w:rPr>
          <w:rFonts w:ascii="Palatino Linotype" w:hAnsi="Palatino Linotype" w:cs="Arial"/>
          <w:bCs/>
          <w:i/>
          <w:sz w:val="22"/>
          <w:szCs w:val="22"/>
          <w:lang w:val="es-ES"/>
        </w:rPr>
      </w:pPr>
      <w:r w:rsidRPr="00344EC4">
        <w:rPr>
          <w:rFonts w:ascii="Palatino Linotype" w:hAnsi="Palatino Linotype" w:cs="Arial"/>
          <w:bCs/>
          <w:i/>
          <w:sz w:val="22"/>
          <w:szCs w:val="22"/>
          <w:lang w:val="es-ES"/>
        </w:rPr>
        <w:t>Nombre del cargo</w:t>
      </w:r>
    </w:p>
    <w:p w:rsidR="00910BF5" w:rsidRPr="00344EC4" w:rsidRDefault="00910BF5" w:rsidP="00910BF5">
      <w:pPr>
        <w:spacing w:line="276" w:lineRule="auto"/>
        <w:ind w:left="567" w:right="851"/>
        <w:jc w:val="both"/>
        <w:rPr>
          <w:rFonts w:ascii="Palatino Linotype" w:hAnsi="Palatino Linotype" w:cs="Arial"/>
          <w:bCs/>
          <w:i/>
          <w:sz w:val="22"/>
          <w:szCs w:val="22"/>
          <w:lang w:val="es-ES"/>
        </w:rPr>
      </w:pPr>
      <w:r w:rsidRPr="00344EC4">
        <w:rPr>
          <w:rFonts w:ascii="Palatino Linotype" w:hAnsi="Palatino Linotype" w:cs="Arial"/>
          <w:bCs/>
          <w:i/>
          <w:sz w:val="22"/>
          <w:szCs w:val="22"/>
          <w:lang w:val="es-ES"/>
        </w:rPr>
        <w:t>Responsable De Recursos Humanos</w:t>
      </w:r>
    </w:p>
    <w:p w:rsidR="00910BF5" w:rsidRPr="00344EC4" w:rsidRDefault="00910BF5" w:rsidP="00910BF5">
      <w:pPr>
        <w:spacing w:line="276" w:lineRule="auto"/>
        <w:ind w:left="567" w:right="851"/>
        <w:jc w:val="both"/>
        <w:rPr>
          <w:rFonts w:ascii="Palatino Linotype" w:hAnsi="Palatino Linotype" w:cs="Arial"/>
          <w:bCs/>
          <w:i/>
          <w:sz w:val="22"/>
          <w:szCs w:val="22"/>
          <w:lang w:val="es-ES"/>
        </w:rPr>
      </w:pPr>
      <w:r w:rsidRPr="00344EC4">
        <w:rPr>
          <w:rFonts w:ascii="Palatino Linotype" w:hAnsi="Palatino Linotype" w:cs="Arial"/>
          <w:bCs/>
          <w:i/>
          <w:sz w:val="22"/>
          <w:szCs w:val="22"/>
          <w:lang w:val="es-ES"/>
        </w:rPr>
        <w:t>Objetivo General</w:t>
      </w:r>
    </w:p>
    <w:p w:rsidR="00910BF5" w:rsidRPr="00344EC4" w:rsidRDefault="00910BF5" w:rsidP="00C113BE">
      <w:pPr>
        <w:spacing w:line="276" w:lineRule="auto"/>
        <w:ind w:left="567" w:right="851"/>
        <w:jc w:val="both"/>
        <w:rPr>
          <w:rFonts w:ascii="Palatino Linotype" w:hAnsi="Palatino Linotype" w:cs="Arial"/>
          <w:bCs/>
          <w:i/>
          <w:sz w:val="22"/>
          <w:szCs w:val="22"/>
          <w:lang w:val="es-ES"/>
        </w:rPr>
      </w:pPr>
      <w:r w:rsidRPr="00344EC4">
        <w:rPr>
          <w:rFonts w:ascii="Palatino Linotype" w:hAnsi="Palatino Linotype" w:cs="Arial"/>
          <w:bCs/>
          <w:i/>
          <w:sz w:val="22"/>
          <w:szCs w:val="22"/>
          <w:lang w:val="es-ES"/>
        </w:rPr>
        <w:lastRenderedPageBreak/>
        <w:t>Llevar el control de los archivos y recursos necesarios par</w:t>
      </w:r>
      <w:r w:rsidR="00C113BE" w:rsidRPr="00344EC4">
        <w:rPr>
          <w:rFonts w:ascii="Palatino Linotype" w:hAnsi="Palatino Linotype" w:cs="Arial"/>
          <w:bCs/>
          <w:i/>
          <w:sz w:val="22"/>
          <w:szCs w:val="22"/>
          <w:lang w:val="es-ES"/>
        </w:rPr>
        <w:t xml:space="preserve">a el cumplimento de las labores </w:t>
      </w:r>
      <w:r w:rsidRPr="00344EC4">
        <w:rPr>
          <w:rFonts w:ascii="Palatino Linotype" w:hAnsi="Palatino Linotype" w:cs="Arial"/>
          <w:bCs/>
          <w:i/>
          <w:sz w:val="22"/>
          <w:szCs w:val="22"/>
          <w:lang w:val="es-ES"/>
        </w:rPr>
        <w:t>del ayuntamiento. Monitorear el uso de personal q</w:t>
      </w:r>
      <w:r w:rsidR="00C113BE" w:rsidRPr="00344EC4">
        <w:rPr>
          <w:rFonts w:ascii="Palatino Linotype" w:hAnsi="Palatino Linotype" w:cs="Arial"/>
          <w:bCs/>
          <w:i/>
          <w:sz w:val="22"/>
          <w:szCs w:val="22"/>
          <w:lang w:val="es-ES"/>
        </w:rPr>
        <w:t xml:space="preserve">ue se encuentran adscrito a las </w:t>
      </w:r>
      <w:r w:rsidRPr="00344EC4">
        <w:rPr>
          <w:rFonts w:ascii="Palatino Linotype" w:hAnsi="Palatino Linotype" w:cs="Arial"/>
          <w:bCs/>
          <w:i/>
          <w:sz w:val="22"/>
          <w:szCs w:val="22"/>
          <w:lang w:val="es-ES"/>
        </w:rPr>
        <w:t>diferentes áreas del gobierno municipal, a fin de garantizar su óptimo desempeño.</w:t>
      </w:r>
      <w:r w:rsidR="00C113BE" w:rsidRPr="00344EC4">
        <w:rPr>
          <w:rFonts w:ascii="Palatino Linotype" w:hAnsi="Palatino Linotype" w:cs="Arial"/>
          <w:bCs/>
          <w:i/>
          <w:sz w:val="22"/>
          <w:szCs w:val="22"/>
          <w:lang w:val="es-ES"/>
        </w:rPr>
        <w:t>” (Sic) (Énfasis añadido)</w:t>
      </w:r>
    </w:p>
    <w:p w:rsidR="00C113BE" w:rsidRPr="00344EC4" w:rsidRDefault="00C113BE" w:rsidP="00C113BE">
      <w:pPr>
        <w:spacing w:line="360" w:lineRule="auto"/>
        <w:jc w:val="both"/>
        <w:rPr>
          <w:rFonts w:ascii="Palatino Linotype" w:eastAsia="Palatino Linotype" w:hAnsi="Palatino Linotype" w:cs="Palatino Linotype"/>
          <w:lang w:eastAsia="es-MX"/>
        </w:rPr>
      </w:pPr>
    </w:p>
    <w:p w:rsidR="00C113BE" w:rsidRPr="00344EC4" w:rsidRDefault="00C113BE" w:rsidP="00C113BE">
      <w:pPr>
        <w:spacing w:line="360" w:lineRule="auto"/>
        <w:jc w:val="both"/>
        <w:rPr>
          <w:rFonts w:ascii="Palatino Linotype" w:eastAsia="Palatino Linotype" w:hAnsi="Palatino Linotype" w:cs="Palatino Linotype"/>
          <w:i/>
          <w:lang w:eastAsia="es-MX"/>
        </w:rPr>
      </w:pPr>
      <w:r w:rsidRPr="00344EC4">
        <w:rPr>
          <w:rFonts w:ascii="Palatino Linotype" w:eastAsia="Palatino Linotype" w:hAnsi="Palatino Linotype" w:cs="Palatino Linotype"/>
          <w:lang w:eastAsia="es-MX"/>
        </w:rPr>
        <w:t>Bajo tal tesitura, sobre la naturaleza de la información solicitada, conviene precisar que si bien el término “</w:t>
      </w:r>
      <w:r w:rsidRPr="00344EC4">
        <w:rPr>
          <w:rFonts w:ascii="Palatino Linotype" w:eastAsia="Palatino Linotype" w:hAnsi="Palatino Linotype" w:cs="Palatino Linotype"/>
          <w:i/>
          <w:lang w:eastAsia="es-MX"/>
        </w:rPr>
        <w:t xml:space="preserve">nómina” </w:t>
      </w:r>
      <w:r w:rsidRPr="00344EC4">
        <w:rPr>
          <w:rFonts w:ascii="Palatino Linotype" w:eastAsia="Palatino Linotype" w:hAnsi="Palatino Linotype" w:cs="Palatino Linotype"/>
          <w:lang w:eastAsia="es-MX"/>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344EC4">
        <w:rPr>
          <w:rFonts w:ascii="Palatino Linotype" w:eastAsia="Palatino Linotype" w:hAnsi="Palatino Linotype" w:cs="Palatino Linotype"/>
          <w:i/>
          <w:lang w:eastAsia="es-MX"/>
        </w:rPr>
        <w:t>listado general de los trabajadores de una institución, en</w:t>
      </w:r>
      <w:r w:rsidRPr="00344EC4">
        <w:rPr>
          <w:rFonts w:ascii="Palatino Linotype" w:eastAsia="Palatino Linotype" w:hAnsi="Palatino Linotype" w:cs="Palatino Linotype"/>
          <w:b/>
          <w:i/>
          <w:lang w:eastAsia="es-MX"/>
        </w:rPr>
        <w:t xml:space="preserve"> </w:t>
      </w:r>
      <w:r w:rsidRPr="00344EC4">
        <w:rPr>
          <w:rFonts w:ascii="Palatino Linotype" w:eastAsia="Palatino Linotype" w:hAnsi="Palatino Linotype" w:cs="Palatino Linotype"/>
          <w:i/>
          <w:lang w:eastAsia="es-MX"/>
        </w:rPr>
        <w:t xml:space="preserve">el cual se </w:t>
      </w:r>
      <w:r w:rsidRPr="00344EC4">
        <w:rPr>
          <w:rFonts w:ascii="Palatino Linotype" w:eastAsia="Palatino Linotype" w:hAnsi="Palatino Linotype" w:cs="Palatino Linotype"/>
          <w:b/>
          <w:i/>
          <w:lang w:eastAsia="es-MX"/>
        </w:rPr>
        <w:t xml:space="preserve">asientan las </w:t>
      </w:r>
      <w:r w:rsidRPr="00344EC4">
        <w:rPr>
          <w:rFonts w:ascii="Palatino Linotype" w:eastAsia="Palatino Linotype" w:hAnsi="Palatino Linotype" w:cs="Palatino Linotype"/>
          <w:b/>
          <w:i/>
          <w:u w:val="single"/>
          <w:lang w:eastAsia="es-MX"/>
        </w:rPr>
        <w:t>percepciones brutas, deducciones y alcance neto de las mismas</w:t>
      </w:r>
      <w:r w:rsidRPr="00344EC4">
        <w:rPr>
          <w:rFonts w:ascii="Palatino Linotype" w:eastAsia="Palatino Linotype" w:hAnsi="Palatino Linotype" w:cs="Palatino Linotype"/>
          <w:i/>
          <w:lang w:eastAsia="es-MX"/>
        </w:rPr>
        <w:t>; la nómina es utilizada para</w:t>
      </w:r>
      <w:r w:rsidRPr="00344EC4">
        <w:rPr>
          <w:rFonts w:ascii="Palatino Linotype" w:eastAsia="Palatino Linotype" w:hAnsi="Palatino Linotype" w:cs="Palatino Linotype"/>
          <w:b/>
          <w:i/>
          <w:lang w:eastAsia="es-MX"/>
        </w:rPr>
        <w:t xml:space="preserve"> efectuar los pagos periódicos</w:t>
      </w:r>
      <w:r w:rsidRPr="00344EC4">
        <w:rPr>
          <w:rFonts w:ascii="Palatino Linotype" w:eastAsia="Palatino Linotype" w:hAnsi="Palatino Linotype" w:cs="Palatino Linotype"/>
          <w:i/>
          <w:lang w:eastAsia="es-MX"/>
        </w:rPr>
        <w:t xml:space="preserve"> (semanales, quincenales o</w:t>
      </w:r>
      <w:r w:rsidRPr="00344EC4">
        <w:rPr>
          <w:rFonts w:ascii="Palatino Linotype" w:eastAsia="Palatino Linotype" w:hAnsi="Palatino Linotype" w:cs="Palatino Linotype"/>
          <w:b/>
          <w:i/>
          <w:lang w:eastAsia="es-MX"/>
        </w:rPr>
        <w:t xml:space="preserve"> </w:t>
      </w:r>
      <w:r w:rsidRPr="00344EC4">
        <w:rPr>
          <w:rFonts w:ascii="Palatino Linotype" w:eastAsia="Palatino Linotype" w:hAnsi="Palatino Linotype" w:cs="Palatino Linotype"/>
          <w:i/>
          <w:lang w:eastAsia="es-MX"/>
        </w:rPr>
        <w:t xml:space="preserve">mensuales) a los trabajadores por concepto de </w:t>
      </w:r>
      <w:r w:rsidRPr="00344EC4">
        <w:rPr>
          <w:rFonts w:ascii="Palatino Linotype" w:eastAsia="Palatino Linotype" w:hAnsi="Palatino Linotype" w:cs="Palatino Linotype"/>
          <w:b/>
          <w:i/>
          <w:lang w:eastAsia="es-MX"/>
        </w:rPr>
        <w:t>sueldos y salarios</w:t>
      </w:r>
      <w:r w:rsidRPr="00344EC4">
        <w:rPr>
          <w:rFonts w:ascii="Palatino Linotype" w:eastAsia="Palatino Linotype" w:hAnsi="Palatino Linotype" w:cs="Palatino Linotype"/>
          <w:i/>
          <w:lang w:eastAsia="es-MX"/>
        </w:rPr>
        <w:t>.</w:t>
      </w:r>
    </w:p>
    <w:p w:rsidR="00C113BE" w:rsidRPr="00344EC4" w:rsidRDefault="00C113BE" w:rsidP="00C113BE">
      <w:pPr>
        <w:spacing w:line="360" w:lineRule="auto"/>
        <w:jc w:val="both"/>
        <w:rPr>
          <w:rFonts w:ascii="Palatino Linotype" w:eastAsia="Palatino Linotype" w:hAnsi="Palatino Linotype" w:cs="Palatino Linotype"/>
          <w:i/>
          <w:lang w:eastAsia="es-MX"/>
        </w:rPr>
      </w:pPr>
    </w:p>
    <w:p w:rsidR="00C113BE" w:rsidRPr="00344EC4" w:rsidRDefault="00C113BE" w:rsidP="00C113BE">
      <w:pPr>
        <w:spacing w:line="360" w:lineRule="auto"/>
        <w:jc w:val="both"/>
        <w:rPr>
          <w:rFonts w:ascii="Palatino Linotype" w:eastAsia="Palatino Linotype" w:hAnsi="Palatino Linotype" w:cs="Palatino Linotype"/>
          <w:lang w:eastAsia="es-MX"/>
        </w:rPr>
      </w:pPr>
      <w:r w:rsidRPr="00344EC4">
        <w:rPr>
          <w:rFonts w:ascii="Palatino Linotype" w:eastAsia="Palatino Linotype" w:hAnsi="Palatino Linotype" w:cs="Palatino Linotype"/>
          <w:lang w:eastAsia="es-MX"/>
        </w:rPr>
        <w:t xml:space="preserve">Documento o término que ha sido mencionado en diferentes ordenamientos legales, tal es el caso, de la </w:t>
      </w:r>
      <w:r w:rsidRPr="00344EC4">
        <w:rPr>
          <w:rFonts w:ascii="Palatino Linotype" w:eastAsia="Palatino Linotype" w:hAnsi="Palatino Linotype" w:cs="Palatino Linotype"/>
          <w:i/>
          <w:lang w:eastAsia="es-MX"/>
        </w:rPr>
        <w:t>Ley Federal del Trabajo</w:t>
      </w:r>
      <w:r w:rsidRPr="00344EC4">
        <w:rPr>
          <w:rFonts w:ascii="Palatino Linotype" w:eastAsia="Palatino Linotype" w:hAnsi="Palatino Linotype" w:cs="Palatino Linotype"/>
          <w:lang w:eastAsia="es-MX"/>
        </w:rPr>
        <w:t xml:space="preserve"> en el artículo 804 fracción II, que además reconoce los recibos de pagos de salarios, por lo que resulta indispensable citar el artículo de referencia.</w:t>
      </w:r>
    </w:p>
    <w:p w:rsidR="00C113BE" w:rsidRPr="00344EC4" w:rsidRDefault="00C113BE" w:rsidP="00C113BE">
      <w:pPr>
        <w:spacing w:line="360" w:lineRule="auto"/>
        <w:jc w:val="both"/>
        <w:rPr>
          <w:rFonts w:ascii="Palatino Linotype" w:eastAsia="Palatino Linotype" w:hAnsi="Palatino Linotype" w:cs="Palatino Linotype"/>
          <w:i/>
          <w:sz w:val="22"/>
          <w:szCs w:val="22"/>
          <w:lang w:eastAsia="es-MX"/>
        </w:rPr>
      </w:pPr>
    </w:p>
    <w:p w:rsidR="00C113BE" w:rsidRPr="00344EC4" w:rsidRDefault="00C113BE" w:rsidP="00C113BE">
      <w:pPr>
        <w:pBdr>
          <w:top w:val="nil"/>
          <w:left w:val="nil"/>
          <w:bottom w:val="nil"/>
          <w:right w:val="nil"/>
          <w:between w:val="nil"/>
        </w:pBdr>
        <w:spacing w:after="120" w:line="259" w:lineRule="auto"/>
        <w:ind w:left="851" w:right="902"/>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b/>
          <w:i/>
          <w:sz w:val="22"/>
          <w:szCs w:val="22"/>
          <w:lang w:eastAsia="es-MX"/>
        </w:rPr>
        <w:t>“Artículo 804.-</w:t>
      </w:r>
      <w:r w:rsidRPr="00344EC4">
        <w:rPr>
          <w:rFonts w:ascii="Palatino Linotype" w:eastAsia="Palatino Linotype" w:hAnsi="Palatino Linotype" w:cs="Palatino Linotype"/>
          <w:i/>
          <w:sz w:val="22"/>
          <w:szCs w:val="22"/>
          <w:lang w:eastAsia="es-MX"/>
        </w:rPr>
        <w:t xml:space="preserve"> El patrón tiene obligación de conservar y exhibir en juicio los documentos que a continuación se precisan:</w:t>
      </w:r>
    </w:p>
    <w:p w:rsidR="00C113BE" w:rsidRPr="00344EC4" w:rsidRDefault="00C113BE" w:rsidP="00C113BE">
      <w:pPr>
        <w:pBdr>
          <w:top w:val="nil"/>
          <w:left w:val="nil"/>
          <w:bottom w:val="nil"/>
          <w:right w:val="nil"/>
          <w:between w:val="nil"/>
        </w:pBdr>
        <w:spacing w:after="120" w:line="259" w:lineRule="auto"/>
        <w:ind w:left="993" w:right="902"/>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b/>
          <w:i/>
          <w:sz w:val="22"/>
          <w:szCs w:val="22"/>
          <w:lang w:eastAsia="es-MX"/>
        </w:rPr>
        <w:t>…</w:t>
      </w:r>
    </w:p>
    <w:p w:rsidR="00C113BE" w:rsidRPr="00344EC4" w:rsidRDefault="00C113BE" w:rsidP="00C113BE">
      <w:pPr>
        <w:pBdr>
          <w:top w:val="nil"/>
          <w:left w:val="nil"/>
          <w:bottom w:val="nil"/>
          <w:right w:val="nil"/>
          <w:between w:val="nil"/>
        </w:pBdr>
        <w:spacing w:after="120" w:line="259" w:lineRule="auto"/>
        <w:ind w:left="993" w:right="902"/>
        <w:jc w:val="both"/>
        <w:rPr>
          <w:rFonts w:ascii="Palatino Linotype" w:eastAsia="Palatino Linotype" w:hAnsi="Palatino Linotype" w:cs="Palatino Linotype"/>
          <w:b/>
          <w:i/>
          <w:sz w:val="22"/>
          <w:szCs w:val="22"/>
          <w:lang w:eastAsia="es-MX"/>
        </w:rPr>
      </w:pPr>
      <w:r w:rsidRPr="00344EC4">
        <w:rPr>
          <w:rFonts w:ascii="Palatino Linotype" w:eastAsia="Palatino Linotype" w:hAnsi="Palatino Linotype" w:cs="Palatino Linotype"/>
          <w:b/>
          <w:i/>
          <w:sz w:val="22"/>
          <w:szCs w:val="22"/>
          <w:lang w:eastAsia="es-MX"/>
        </w:rPr>
        <w:t>II.</w:t>
      </w:r>
      <w:r w:rsidRPr="00344EC4">
        <w:rPr>
          <w:rFonts w:ascii="Palatino Linotype" w:eastAsia="Palatino Linotype" w:hAnsi="Palatino Linotype" w:cs="Palatino Linotype"/>
          <w:i/>
          <w:sz w:val="22"/>
          <w:szCs w:val="22"/>
          <w:lang w:eastAsia="es-MX"/>
        </w:rPr>
        <w:t xml:space="preserve"> </w:t>
      </w:r>
      <w:r w:rsidRPr="00344EC4">
        <w:rPr>
          <w:rFonts w:ascii="Palatino Linotype" w:eastAsia="Palatino Linotype" w:hAnsi="Palatino Linotype" w:cs="Palatino Linotype"/>
          <w:b/>
          <w:i/>
          <w:sz w:val="22"/>
          <w:szCs w:val="22"/>
          <w:lang w:eastAsia="es-MX"/>
        </w:rPr>
        <w:t>Listas de raya o nómina de personal</w:t>
      </w:r>
      <w:r w:rsidRPr="00344EC4">
        <w:rPr>
          <w:rFonts w:ascii="Palatino Linotype" w:eastAsia="Palatino Linotype" w:hAnsi="Palatino Linotype" w:cs="Palatino Linotype"/>
          <w:i/>
          <w:sz w:val="22"/>
          <w:szCs w:val="22"/>
          <w:lang w:eastAsia="es-MX"/>
        </w:rPr>
        <w:t xml:space="preserve">, cuando se lleven en el centro de trabajo; </w:t>
      </w:r>
      <w:r w:rsidRPr="00344EC4">
        <w:rPr>
          <w:rFonts w:ascii="Palatino Linotype" w:eastAsia="Palatino Linotype" w:hAnsi="Palatino Linotype" w:cs="Palatino Linotype"/>
          <w:b/>
          <w:i/>
          <w:sz w:val="22"/>
          <w:szCs w:val="22"/>
          <w:lang w:eastAsia="es-MX"/>
        </w:rPr>
        <w:t>o recibos de pagos de salarios;</w:t>
      </w:r>
    </w:p>
    <w:p w:rsidR="00C113BE" w:rsidRPr="00344EC4" w:rsidRDefault="00C113BE" w:rsidP="00C113BE">
      <w:pPr>
        <w:pBdr>
          <w:top w:val="nil"/>
          <w:left w:val="nil"/>
          <w:bottom w:val="nil"/>
          <w:right w:val="nil"/>
          <w:between w:val="nil"/>
        </w:pBdr>
        <w:spacing w:after="120" w:line="259" w:lineRule="auto"/>
        <w:ind w:left="993" w:right="902"/>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lastRenderedPageBreak/>
        <w:t>…</w:t>
      </w:r>
    </w:p>
    <w:p w:rsidR="00C113BE" w:rsidRPr="00344EC4" w:rsidRDefault="00C113BE" w:rsidP="00C113BE">
      <w:pPr>
        <w:pBdr>
          <w:top w:val="nil"/>
          <w:left w:val="nil"/>
          <w:bottom w:val="nil"/>
          <w:right w:val="nil"/>
          <w:between w:val="nil"/>
        </w:pBdr>
        <w:spacing w:after="120" w:line="259" w:lineRule="auto"/>
        <w:ind w:left="855" w:right="902"/>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 xml:space="preserve">Los documentos señalados en la fracción I deberán conservarse mientras dure la relación laboral y hasta un año después; los señalados en las fracciones </w:t>
      </w:r>
      <w:r w:rsidRPr="00344EC4">
        <w:rPr>
          <w:rFonts w:ascii="Palatino Linotype" w:eastAsia="Palatino Linotype" w:hAnsi="Palatino Linotype" w:cs="Palatino Linotype"/>
          <w:b/>
          <w:i/>
          <w:sz w:val="22"/>
          <w:szCs w:val="22"/>
          <w:lang w:eastAsia="es-MX"/>
        </w:rPr>
        <w:t>II</w:t>
      </w:r>
      <w:r w:rsidRPr="00344EC4">
        <w:rPr>
          <w:rFonts w:ascii="Palatino Linotype" w:eastAsia="Palatino Linotype" w:hAnsi="Palatino Linotype" w:cs="Palatino Linotype"/>
          <w:i/>
          <w:sz w:val="22"/>
          <w:szCs w:val="22"/>
          <w:lang w:eastAsia="es-MX"/>
        </w:rPr>
        <w:t>, III y IV, durante el último año y un año después de que se extinga la relación laboral; y los mencionados en la fracción V, conforme lo señalen las Leyes que los rijan.”</w:t>
      </w:r>
    </w:p>
    <w:p w:rsidR="00C113BE" w:rsidRPr="00344EC4" w:rsidRDefault="00C113BE" w:rsidP="00C113BE">
      <w:pPr>
        <w:spacing w:before="240" w:after="360" w:line="360" w:lineRule="auto"/>
        <w:jc w:val="both"/>
        <w:rPr>
          <w:rFonts w:ascii="Palatino Linotype" w:eastAsia="Palatino Linotype" w:hAnsi="Palatino Linotype" w:cs="Palatino Linotype"/>
          <w:lang w:eastAsia="es-MX"/>
        </w:rPr>
      </w:pPr>
      <w:r w:rsidRPr="00344EC4">
        <w:rPr>
          <w:rFonts w:ascii="Palatino Linotype" w:eastAsia="Palatino Linotype" w:hAnsi="Palatino Linotype" w:cs="Palatino Linotype"/>
          <w:lang w:eastAsia="es-MX"/>
        </w:rPr>
        <w:t xml:space="preserve">De lo anteriormente citado, se puede llegar a la conclusión de que la nómina, es el documento que contiene el registro de los trabajadores a los cuales se va a remunerar por los </w:t>
      </w:r>
      <w:hyperlink r:id="rId17">
        <w:r w:rsidRPr="00344EC4">
          <w:rPr>
            <w:rFonts w:ascii="Palatino Linotype" w:eastAsia="Palatino Linotype" w:hAnsi="Palatino Linotype" w:cs="Palatino Linotype"/>
            <w:lang w:eastAsia="es-MX"/>
          </w:rPr>
          <w:t>servicios</w:t>
        </w:r>
      </w:hyperlink>
      <w:r w:rsidRPr="00344EC4">
        <w:rPr>
          <w:rFonts w:ascii="Palatino Linotype" w:eastAsia="Palatino Linotype" w:hAnsi="Palatino Linotype" w:cs="Palatino Linotype"/>
          <w:lang w:eastAsia="es-MX"/>
        </w:rPr>
        <w:t xml:space="preserve"> que éstos le prestan al patrón, en el cual </w:t>
      </w:r>
      <w:r w:rsidRPr="00344EC4">
        <w:rPr>
          <w:rFonts w:ascii="Palatino Linotype" w:eastAsia="Palatino Linotype" w:hAnsi="Palatino Linotype" w:cs="Palatino Linotype"/>
          <w:b/>
          <w:lang w:eastAsia="es-MX"/>
        </w:rPr>
        <w:t>se asientan las percepciones brutas, deducciones y el neto</w:t>
      </w:r>
      <w:r w:rsidRPr="00344EC4">
        <w:rPr>
          <w:rFonts w:ascii="Palatino Linotype" w:eastAsia="Palatino Linotype" w:hAnsi="Palatino Linotype" w:cs="Palatino Linotype"/>
          <w:lang w:eastAsia="es-MX"/>
        </w:rPr>
        <w:t xml:space="preserve"> a recibir de dichos trabajadores.</w:t>
      </w:r>
    </w:p>
    <w:p w:rsidR="00C113BE" w:rsidRPr="00344EC4" w:rsidRDefault="00C113BE" w:rsidP="00C113BE">
      <w:pPr>
        <w:spacing w:before="240" w:after="360" w:line="360" w:lineRule="auto"/>
        <w:jc w:val="both"/>
        <w:rPr>
          <w:rFonts w:ascii="Palatino Linotype" w:eastAsia="Palatino Linotype" w:hAnsi="Palatino Linotype" w:cs="Palatino Linotype"/>
          <w:lang w:eastAsia="es-MX"/>
        </w:rPr>
      </w:pPr>
      <w:r w:rsidRPr="00344EC4">
        <w:rPr>
          <w:rFonts w:ascii="Palatino Linotype" w:eastAsia="Palatino Linotype" w:hAnsi="Palatino Linotype" w:cs="Palatino Linotype"/>
          <w:lang w:eastAsia="es-MX"/>
        </w:rPr>
        <w:t>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rsidR="00C113BE" w:rsidRPr="00344EC4" w:rsidRDefault="00C113BE" w:rsidP="00C113BE">
      <w:pPr>
        <w:spacing w:after="160" w:line="259" w:lineRule="auto"/>
        <w:ind w:left="567" w:right="849"/>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 xml:space="preserve"> “</w:t>
      </w:r>
      <w:r w:rsidRPr="00344EC4">
        <w:rPr>
          <w:rFonts w:ascii="Palatino Linotype" w:eastAsia="Palatino Linotype" w:hAnsi="Palatino Linotype" w:cs="Palatino Linotype"/>
          <w:b/>
          <w:i/>
          <w:sz w:val="22"/>
          <w:szCs w:val="22"/>
          <w:lang w:eastAsia="es-MX"/>
        </w:rPr>
        <w:t>Artículo 350.-</w:t>
      </w:r>
      <w:r w:rsidRPr="00344EC4">
        <w:rPr>
          <w:rFonts w:ascii="Palatino Linotype" w:eastAsia="Palatino Linotype" w:hAnsi="Palatino Linotype" w:cs="Palatino Linotype"/>
          <w:i/>
          <w:sz w:val="22"/>
          <w:szCs w:val="22"/>
          <w:lang w:eastAsia="es-MX"/>
        </w:rPr>
        <w:t xml:space="preserve"> La Secretaría y </w:t>
      </w:r>
      <w:r w:rsidRPr="00344EC4">
        <w:rPr>
          <w:rFonts w:ascii="Palatino Linotype" w:eastAsia="Palatino Linotype" w:hAnsi="Palatino Linotype" w:cs="Palatino Linotype"/>
          <w:b/>
          <w:i/>
          <w:sz w:val="22"/>
          <w:szCs w:val="22"/>
          <w:lang w:eastAsia="es-MX"/>
        </w:rPr>
        <w:t>las tesorerías</w:t>
      </w:r>
      <w:r w:rsidRPr="00344EC4">
        <w:rPr>
          <w:rFonts w:ascii="Palatino Linotype" w:eastAsia="Palatino Linotype" w:hAnsi="Palatino Linotype" w:cs="Palatino Linotype"/>
          <w:i/>
          <w:sz w:val="22"/>
          <w:szCs w:val="22"/>
          <w:lang w:eastAsia="es-MX"/>
        </w:rPr>
        <w:t xml:space="preserve"> enviarán al Órgano Superior, de manera trimestral, dentro de los primeros veinte días hábiles posteriores al término del trimestre que se informa, para su análisis, la siguiente información:</w:t>
      </w:r>
    </w:p>
    <w:p w:rsidR="00C113BE" w:rsidRPr="00344EC4" w:rsidRDefault="00C113BE" w:rsidP="00C113BE">
      <w:pPr>
        <w:spacing w:after="160" w:line="259" w:lineRule="auto"/>
        <w:ind w:left="567" w:right="849"/>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b/>
          <w:i/>
          <w:sz w:val="22"/>
          <w:szCs w:val="22"/>
          <w:lang w:eastAsia="es-MX"/>
        </w:rPr>
        <w:t>I.</w:t>
      </w:r>
      <w:r w:rsidRPr="00344EC4">
        <w:rPr>
          <w:rFonts w:ascii="Palatino Linotype" w:eastAsia="Palatino Linotype" w:hAnsi="Palatino Linotype" w:cs="Palatino Linotype"/>
          <w:i/>
          <w:sz w:val="22"/>
          <w:szCs w:val="22"/>
          <w:lang w:eastAsia="es-MX"/>
        </w:rPr>
        <w:t xml:space="preserve"> Patrimonial. </w:t>
      </w:r>
    </w:p>
    <w:p w:rsidR="00C113BE" w:rsidRPr="00344EC4" w:rsidRDefault="00C113BE" w:rsidP="00C113BE">
      <w:pPr>
        <w:spacing w:after="160" w:line="259" w:lineRule="auto"/>
        <w:ind w:left="567" w:right="849"/>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b/>
          <w:i/>
          <w:sz w:val="22"/>
          <w:szCs w:val="22"/>
          <w:lang w:eastAsia="es-MX"/>
        </w:rPr>
        <w:t>II</w:t>
      </w:r>
      <w:r w:rsidRPr="00344EC4">
        <w:rPr>
          <w:rFonts w:ascii="Palatino Linotype" w:eastAsia="Palatino Linotype" w:hAnsi="Palatino Linotype" w:cs="Palatino Linotype"/>
          <w:i/>
          <w:sz w:val="22"/>
          <w:szCs w:val="22"/>
          <w:lang w:eastAsia="es-MX"/>
        </w:rPr>
        <w:t xml:space="preserve">. Presupuestal. </w:t>
      </w:r>
    </w:p>
    <w:p w:rsidR="00C113BE" w:rsidRPr="00344EC4" w:rsidRDefault="00C113BE" w:rsidP="00C113BE">
      <w:pPr>
        <w:spacing w:after="160" w:line="259" w:lineRule="auto"/>
        <w:ind w:left="567" w:right="849"/>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b/>
          <w:i/>
          <w:sz w:val="22"/>
          <w:szCs w:val="22"/>
          <w:lang w:eastAsia="es-MX"/>
        </w:rPr>
        <w:t>III</w:t>
      </w:r>
      <w:r w:rsidRPr="00344EC4">
        <w:rPr>
          <w:rFonts w:ascii="Palatino Linotype" w:eastAsia="Palatino Linotype" w:hAnsi="Palatino Linotype" w:cs="Palatino Linotype"/>
          <w:i/>
          <w:sz w:val="22"/>
          <w:szCs w:val="22"/>
          <w:lang w:eastAsia="es-MX"/>
        </w:rPr>
        <w:t>. De la obra pública.</w:t>
      </w:r>
    </w:p>
    <w:p w:rsidR="00C113BE" w:rsidRPr="00344EC4" w:rsidRDefault="00C113BE" w:rsidP="00C113BE">
      <w:pPr>
        <w:spacing w:after="160" w:line="259" w:lineRule="auto"/>
        <w:ind w:left="567" w:right="849"/>
        <w:jc w:val="both"/>
        <w:rPr>
          <w:rFonts w:ascii="Palatino Linotype" w:eastAsia="Palatino Linotype" w:hAnsi="Palatino Linotype" w:cs="Palatino Linotype"/>
          <w:b/>
          <w:i/>
          <w:sz w:val="22"/>
          <w:szCs w:val="22"/>
          <w:lang w:eastAsia="es-MX"/>
        </w:rPr>
      </w:pPr>
      <w:r w:rsidRPr="00344EC4">
        <w:rPr>
          <w:rFonts w:ascii="Palatino Linotype" w:eastAsia="Palatino Linotype" w:hAnsi="Palatino Linotype" w:cs="Palatino Linotype"/>
          <w:b/>
          <w:i/>
          <w:sz w:val="22"/>
          <w:szCs w:val="22"/>
          <w:lang w:eastAsia="es-MX"/>
        </w:rPr>
        <w:t>IV. De nómina.</w:t>
      </w:r>
    </w:p>
    <w:p w:rsidR="00C113BE" w:rsidRPr="00344EC4" w:rsidRDefault="00C113BE" w:rsidP="00C113BE">
      <w:pPr>
        <w:spacing w:after="160" w:line="259" w:lineRule="auto"/>
        <w:ind w:left="567" w:right="849"/>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b/>
          <w:i/>
          <w:sz w:val="22"/>
          <w:szCs w:val="22"/>
          <w:lang w:eastAsia="es-MX"/>
        </w:rPr>
        <w:t>V</w:t>
      </w:r>
      <w:r w:rsidRPr="00344EC4">
        <w:rPr>
          <w:rFonts w:ascii="Palatino Linotype" w:eastAsia="Palatino Linotype" w:hAnsi="Palatino Linotype" w:cs="Palatino Linotype"/>
          <w:i/>
          <w:sz w:val="22"/>
          <w:szCs w:val="22"/>
          <w:lang w:eastAsia="es-MX"/>
        </w:rPr>
        <w:t xml:space="preserve">. Avance del cumplimiento del Plan de Desarrollo del Estado de México. </w:t>
      </w:r>
    </w:p>
    <w:p w:rsidR="00C113BE" w:rsidRPr="00344EC4" w:rsidRDefault="00C113BE" w:rsidP="00C113BE">
      <w:pPr>
        <w:spacing w:after="160" w:line="259" w:lineRule="auto"/>
        <w:ind w:left="851" w:right="849"/>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Los informes trimestrales deberán contener la evolución de las finanzas públicas integradas con los comentarios correspondientes y los estados financieros consolidados, así como un reporte de los ingresos y egresos de los organismos auxiliares.</w:t>
      </w:r>
    </w:p>
    <w:p w:rsidR="00C113BE" w:rsidRPr="00344EC4" w:rsidRDefault="00C113BE" w:rsidP="00C113BE">
      <w:pPr>
        <w:spacing w:after="160" w:line="259" w:lineRule="auto"/>
        <w:ind w:left="851" w:right="849"/>
        <w:jc w:val="both"/>
        <w:rPr>
          <w:rFonts w:ascii="Palatino Linotype" w:eastAsia="Palatino Linotype" w:hAnsi="Palatino Linotype" w:cs="Palatino Linotype"/>
          <w:b/>
          <w:i/>
          <w:sz w:val="22"/>
          <w:szCs w:val="22"/>
          <w:lang w:eastAsia="es-MX"/>
        </w:rPr>
      </w:pPr>
      <w:r w:rsidRPr="00344EC4">
        <w:rPr>
          <w:rFonts w:ascii="Palatino Linotype" w:eastAsia="Palatino Linotype" w:hAnsi="Palatino Linotype" w:cs="Palatino Linotype"/>
          <w:i/>
          <w:sz w:val="22"/>
          <w:szCs w:val="22"/>
          <w:lang w:eastAsia="es-MX"/>
        </w:rPr>
        <w:lastRenderedPageBreak/>
        <w:t>El informe trimestral correspondiente al cuarto trimestre se entregará junto con las Cuentas Públicas del ejercicio fiscal de que se trate</w:t>
      </w:r>
      <w:r w:rsidRPr="00344EC4">
        <w:rPr>
          <w:rFonts w:ascii="Palatino Linotype" w:eastAsia="Palatino Linotype" w:hAnsi="Palatino Linotype" w:cs="Palatino Linotype"/>
          <w:b/>
          <w:i/>
          <w:sz w:val="22"/>
          <w:szCs w:val="22"/>
          <w:lang w:eastAsia="es-MX"/>
        </w:rPr>
        <w:t>.”</w:t>
      </w:r>
    </w:p>
    <w:p w:rsidR="00C113BE" w:rsidRPr="00344EC4" w:rsidRDefault="00C113BE" w:rsidP="00C113BE">
      <w:pPr>
        <w:spacing w:before="240" w:after="360" w:line="360" w:lineRule="auto"/>
        <w:jc w:val="both"/>
        <w:rPr>
          <w:rFonts w:ascii="Palatino Linotype" w:eastAsia="Palatino Linotype" w:hAnsi="Palatino Linotype" w:cs="Palatino Linotype"/>
          <w:lang w:eastAsia="es-MX"/>
        </w:rPr>
      </w:pPr>
      <w:r w:rsidRPr="00344EC4">
        <w:rPr>
          <w:rFonts w:ascii="Palatino Linotype" w:eastAsia="Palatino Linotype" w:hAnsi="Palatino Linotype" w:cs="Palatino Linotype"/>
          <w:lang w:eastAsia="es-MX"/>
        </w:rPr>
        <w:t>Por su parte la Ley del Trabajo de los Servidores Públicos del Estado y Municipios, en su artículo 220-K fracciones II y IV y último párrafo, establecen lo siguiente:</w:t>
      </w:r>
    </w:p>
    <w:p w:rsidR="00C113BE" w:rsidRPr="00344EC4" w:rsidRDefault="00C113BE" w:rsidP="00C113BE">
      <w:pPr>
        <w:tabs>
          <w:tab w:val="left" w:pos="9072"/>
        </w:tabs>
        <w:spacing w:after="160" w:line="259" w:lineRule="auto"/>
        <w:ind w:left="567" w:right="902"/>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b/>
          <w:i/>
          <w:sz w:val="22"/>
          <w:szCs w:val="22"/>
          <w:lang w:eastAsia="es-MX"/>
        </w:rPr>
        <w:t>“ARTÍCULO 220 K.-</w:t>
      </w:r>
      <w:r w:rsidRPr="00344EC4">
        <w:rPr>
          <w:rFonts w:ascii="Palatino Linotype" w:eastAsia="Palatino Linotype" w:hAnsi="Palatino Linotype" w:cs="Palatino Linotype"/>
          <w:i/>
          <w:sz w:val="22"/>
          <w:szCs w:val="22"/>
          <w:lang w:eastAsia="es-MX"/>
        </w:rPr>
        <w:t xml:space="preserve"> La institución o dependencia pública tiene la obligación de conservar y exhibir en el proceso los documentos que a continuación se precisan:</w:t>
      </w:r>
    </w:p>
    <w:p w:rsidR="00C113BE" w:rsidRPr="00344EC4" w:rsidRDefault="00C113BE" w:rsidP="00C113BE">
      <w:pPr>
        <w:tabs>
          <w:tab w:val="left" w:pos="9072"/>
        </w:tabs>
        <w:spacing w:after="160" w:line="259" w:lineRule="auto"/>
        <w:ind w:left="567" w:right="902"/>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w:t>
      </w:r>
    </w:p>
    <w:p w:rsidR="00C113BE" w:rsidRPr="00344EC4" w:rsidRDefault="00C113BE" w:rsidP="00C113BE">
      <w:pPr>
        <w:tabs>
          <w:tab w:val="left" w:pos="9072"/>
        </w:tabs>
        <w:spacing w:after="160" w:line="259" w:lineRule="auto"/>
        <w:ind w:left="567" w:right="902"/>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 xml:space="preserve">II. </w:t>
      </w:r>
      <w:r w:rsidRPr="00344EC4">
        <w:rPr>
          <w:rFonts w:ascii="Palatino Linotype" w:eastAsia="Palatino Linotype" w:hAnsi="Palatino Linotype" w:cs="Palatino Linotype"/>
          <w:b/>
          <w:i/>
          <w:sz w:val="22"/>
          <w:szCs w:val="22"/>
          <w:lang w:eastAsia="es-MX"/>
        </w:rPr>
        <w:t>Recibos de pagos de salarios</w:t>
      </w:r>
      <w:r w:rsidRPr="00344EC4">
        <w:rPr>
          <w:rFonts w:ascii="Palatino Linotype" w:eastAsia="Palatino Linotype" w:hAnsi="Palatino Linotype" w:cs="Palatino Linotype"/>
          <w:i/>
          <w:sz w:val="22"/>
          <w:szCs w:val="22"/>
          <w:lang w:eastAsia="es-MX"/>
        </w:rPr>
        <w:t xml:space="preserve"> o las constancias documentales del pago de salario cuando sea por depósito o mediante información electrónica;</w:t>
      </w:r>
    </w:p>
    <w:p w:rsidR="00C113BE" w:rsidRPr="00344EC4" w:rsidRDefault="00C113BE" w:rsidP="00C113BE">
      <w:pPr>
        <w:tabs>
          <w:tab w:val="left" w:pos="9072"/>
        </w:tabs>
        <w:spacing w:after="160" w:line="259" w:lineRule="auto"/>
        <w:ind w:left="567" w:right="902"/>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w:t>
      </w:r>
    </w:p>
    <w:p w:rsidR="00C113BE" w:rsidRPr="00344EC4" w:rsidRDefault="00C113BE" w:rsidP="00C113BE">
      <w:pPr>
        <w:tabs>
          <w:tab w:val="left" w:pos="9072"/>
        </w:tabs>
        <w:spacing w:after="160" w:line="259" w:lineRule="auto"/>
        <w:ind w:left="567" w:right="902"/>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IV. Recibos o las constancias de depósito o del medio de información magnética o electrónica que sean utilizadas para el pago de salarios, prima vacacional, aguinaldo y demás prestaciones establecidas en la presente ley; y…</w:t>
      </w:r>
    </w:p>
    <w:p w:rsidR="00C113BE" w:rsidRPr="00344EC4" w:rsidRDefault="00C113BE" w:rsidP="00C113BE">
      <w:pPr>
        <w:tabs>
          <w:tab w:val="left" w:pos="9072"/>
        </w:tabs>
        <w:spacing w:after="160" w:line="259" w:lineRule="auto"/>
        <w:ind w:left="567" w:right="902"/>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C113BE" w:rsidRPr="00344EC4" w:rsidRDefault="00C113BE" w:rsidP="00C113BE">
      <w:pPr>
        <w:tabs>
          <w:tab w:val="left" w:pos="9072"/>
        </w:tabs>
        <w:spacing w:after="160" w:line="259" w:lineRule="auto"/>
        <w:ind w:left="567" w:right="902"/>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C113BE" w:rsidRPr="00344EC4" w:rsidRDefault="00C113BE" w:rsidP="00C113BE">
      <w:pPr>
        <w:spacing w:after="120" w:line="259" w:lineRule="auto"/>
        <w:ind w:left="567" w:right="902"/>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El incumplimiento por lo dispuesto por este artículo, establecerá la presunción de ser ciertos los hechos que el actor exprese en su demanda, en relación con tales documentos, salvo prueba en contrario.”</w:t>
      </w:r>
    </w:p>
    <w:p w:rsidR="00C113BE" w:rsidRPr="00344EC4" w:rsidRDefault="00C113BE" w:rsidP="00C113BE">
      <w:pPr>
        <w:spacing w:before="120" w:line="360" w:lineRule="auto"/>
        <w:jc w:val="both"/>
        <w:rPr>
          <w:rFonts w:ascii="Palatino Linotype" w:eastAsia="Palatino Linotype" w:hAnsi="Palatino Linotype" w:cs="Palatino Linotype"/>
          <w:lang w:eastAsia="es-MX"/>
        </w:rPr>
      </w:pPr>
      <w:r w:rsidRPr="00344EC4">
        <w:rPr>
          <w:rFonts w:ascii="Palatino Linotype" w:eastAsia="Palatino Linotype" w:hAnsi="Palatino Linotype" w:cs="Palatino Linotype"/>
          <w:lang w:eastAsia="es-MX"/>
        </w:rPr>
        <w:t xml:space="preserve">Sobre la base del precepto legal citado, se advierte que </w:t>
      </w:r>
      <w:r w:rsidRPr="00344EC4">
        <w:rPr>
          <w:rFonts w:ascii="Palatino Linotype" w:eastAsia="Palatino Linotype" w:hAnsi="Palatino Linotype" w:cs="Palatino Linotype"/>
          <w:i/>
          <w:lang w:eastAsia="es-MX"/>
        </w:rPr>
        <w:t xml:space="preserve">toda institución pública o dependencia pública del Estado de México debe conservar las constancias de pago de salarios, prima vacacional, aguinaldo y demás prestaciones legales de acuerdo con la forma en que se </w:t>
      </w:r>
      <w:r w:rsidRPr="00344EC4">
        <w:rPr>
          <w:rFonts w:ascii="Palatino Linotype" w:eastAsia="Palatino Linotype" w:hAnsi="Palatino Linotype" w:cs="Palatino Linotype"/>
          <w:i/>
          <w:lang w:eastAsia="es-MX"/>
        </w:rPr>
        <w:lastRenderedPageBreak/>
        <w:t>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344EC4">
        <w:rPr>
          <w:rFonts w:ascii="Palatino Linotype" w:eastAsia="Palatino Linotype" w:hAnsi="Palatino Linotype" w:cs="Palatino Linotype"/>
          <w:lang w:eastAsia="es-MX"/>
        </w:rPr>
        <w:t>.</w:t>
      </w:r>
    </w:p>
    <w:p w:rsidR="00C113BE" w:rsidRPr="00344EC4" w:rsidRDefault="00C113BE" w:rsidP="00C113BE">
      <w:pPr>
        <w:spacing w:line="360" w:lineRule="auto"/>
        <w:jc w:val="both"/>
        <w:rPr>
          <w:rFonts w:ascii="Palatino Linotype" w:eastAsia="Palatino Linotype" w:hAnsi="Palatino Linotype" w:cs="Palatino Linotype"/>
          <w:lang w:eastAsia="es-MX"/>
        </w:rPr>
      </w:pPr>
    </w:p>
    <w:p w:rsidR="00C113BE" w:rsidRPr="00344EC4" w:rsidRDefault="00C113BE" w:rsidP="00C113BE">
      <w:pPr>
        <w:spacing w:line="360" w:lineRule="auto"/>
        <w:jc w:val="both"/>
        <w:rPr>
          <w:rFonts w:ascii="Palatino Linotype" w:eastAsia="Palatino Linotype" w:hAnsi="Palatino Linotype" w:cs="Palatino Linotype"/>
          <w:lang w:eastAsia="es-MX"/>
        </w:rPr>
      </w:pPr>
      <w:r w:rsidRPr="00344EC4">
        <w:rPr>
          <w:rFonts w:ascii="Palatino Linotype" w:eastAsia="Palatino Linotype" w:hAnsi="Palatino Linotype" w:cs="Palatino Linotype"/>
          <w:lang w:eastAsia="es-MX"/>
        </w:rPr>
        <w:t xml:space="preserve">Por tanto, los </w:t>
      </w:r>
      <w:r w:rsidRPr="00344EC4">
        <w:rPr>
          <w:rFonts w:ascii="Palatino Linotype" w:eastAsia="Palatino Linotype" w:hAnsi="Palatino Linotype" w:cs="Palatino Linotype"/>
          <w:i/>
          <w:lang w:eastAsia="es-MX"/>
        </w:rPr>
        <w:t xml:space="preserve">recibos de nómina o comprobantes digitales por concepto de nómina </w:t>
      </w:r>
      <w:r w:rsidRPr="00344EC4">
        <w:rPr>
          <w:rFonts w:ascii="Palatino Linotype" w:eastAsia="Palatino Linotype" w:hAnsi="Palatino Linotype" w:cs="Palatino Linotype"/>
          <w:lang w:eastAsia="es-MX"/>
        </w:rPr>
        <w:t>tienen como objetivo presentar la información del pago de las remuneraciones de cada uno de los servidores públicos de la entidad fiscalizable de que se trate correspondiente a un periodo determinado.</w:t>
      </w:r>
    </w:p>
    <w:p w:rsidR="00C113BE" w:rsidRPr="00344EC4" w:rsidRDefault="00C113BE" w:rsidP="00C113BE">
      <w:pPr>
        <w:spacing w:line="360" w:lineRule="auto"/>
        <w:jc w:val="both"/>
        <w:rPr>
          <w:rFonts w:ascii="Palatino Linotype" w:eastAsia="Palatino Linotype" w:hAnsi="Palatino Linotype" w:cs="Palatino Linotype"/>
          <w:lang w:eastAsia="es-MX"/>
        </w:rPr>
      </w:pPr>
    </w:p>
    <w:p w:rsidR="00C113BE" w:rsidRPr="00344EC4" w:rsidRDefault="00C113BE" w:rsidP="00C113BE">
      <w:pPr>
        <w:spacing w:line="360" w:lineRule="auto"/>
        <w:jc w:val="both"/>
        <w:rPr>
          <w:rFonts w:ascii="Palatino Linotype" w:eastAsia="Palatino Linotype" w:hAnsi="Palatino Linotype" w:cs="Palatino Linotype"/>
          <w:lang w:eastAsia="es-MX"/>
        </w:rPr>
      </w:pPr>
      <w:r w:rsidRPr="00344EC4">
        <w:rPr>
          <w:rFonts w:ascii="Palatino Linotype" w:eastAsia="Palatino Linotype" w:hAnsi="Palatino Linotype" w:cs="Palatino Linotype"/>
          <w:lang w:eastAsia="es-MX"/>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rsidR="00C113BE" w:rsidRPr="00344EC4" w:rsidRDefault="00C113BE" w:rsidP="00C113BE">
      <w:pPr>
        <w:spacing w:line="360" w:lineRule="auto"/>
        <w:jc w:val="both"/>
        <w:rPr>
          <w:rFonts w:ascii="Palatino Linotype" w:eastAsia="Palatino Linotype" w:hAnsi="Palatino Linotype" w:cs="Palatino Linotype"/>
          <w:lang w:eastAsia="es-MX"/>
        </w:rPr>
      </w:pPr>
    </w:p>
    <w:p w:rsidR="00C113BE" w:rsidRPr="00344EC4" w:rsidRDefault="00C113BE" w:rsidP="00C113BE">
      <w:pPr>
        <w:spacing w:line="276" w:lineRule="auto"/>
        <w:ind w:left="567" w:right="902"/>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b/>
          <w:i/>
          <w:sz w:val="22"/>
          <w:szCs w:val="22"/>
          <w:lang w:eastAsia="es-MX"/>
        </w:rPr>
        <w:t>“Artículo 8.-</w:t>
      </w:r>
      <w:r w:rsidRPr="00344EC4">
        <w:rPr>
          <w:rFonts w:ascii="Palatino Linotype" w:eastAsia="Palatino Linotype" w:hAnsi="Palatino Linotype" w:cs="Palatino Linotype"/>
          <w:i/>
          <w:sz w:val="22"/>
          <w:szCs w:val="22"/>
          <w:lang w:eastAsia="es-MX"/>
        </w:rPr>
        <w:t xml:space="preserve"> El </w:t>
      </w:r>
      <w:r w:rsidRPr="00344EC4">
        <w:rPr>
          <w:rFonts w:ascii="Palatino Linotype" w:eastAsia="Palatino Linotype" w:hAnsi="Palatino Linotype" w:cs="Palatino Linotype"/>
          <w:b/>
          <w:i/>
          <w:sz w:val="22"/>
          <w:szCs w:val="22"/>
          <w:lang w:eastAsia="es-MX"/>
        </w:rPr>
        <w:t>Órgano Superior</w:t>
      </w:r>
      <w:r w:rsidRPr="00344EC4">
        <w:rPr>
          <w:rFonts w:ascii="Palatino Linotype" w:eastAsia="Palatino Linotype" w:hAnsi="Palatino Linotype" w:cs="Palatino Linotype"/>
          <w:i/>
          <w:sz w:val="22"/>
          <w:szCs w:val="22"/>
          <w:lang w:eastAsia="es-MX"/>
        </w:rPr>
        <w:t xml:space="preserve"> tendrá las siguientes atribuciones:</w:t>
      </w:r>
    </w:p>
    <w:p w:rsidR="00C113BE" w:rsidRPr="00344EC4" w:rsidRDefault="00C113BE" w:rsidP="00C113BE">
      <w:pPr>
        <w:spacing w:line="276" w:lineRule="auto"/>
        <w:ind w:left="567" w:right="902"/>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w:t>
      </w:r>
    </w:p>
    <w:p w:rsidR="00C113BE" w:rsidRPr="00344EC4" w:rsidRDefault="00C113BE" w:rsidP="00C113BE">
      <w:pPr>
        <w:spacing w:line="276" w:lineRule="auto"/>
        <w:ind w:left="567" w:right="902"/>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b/>
          <w:i/>
          <w:sz w:val="22"/>
          <w:szCs w:val="22"/>
          <w:lang w:eastAsia="es-MX"/>
        </w:rPr>
        <w:t>XI</w:t>
      </w:r>
      <w:r w:rsidRPr="00344EC4">
        <w:rPr>
          <w:rFonts w:ascii="Palatino Linotype" w:eastAsia="Palatino Linotype" w:hAnsi="Palatino Linotype" w:cs="Palatino Linotype"/>
          <w:i/>
          <w:sz w:val="22"/>
          <w:szCs w:val="22"/>
          <w:lang w:eastAsia="es-MX"/>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rsidR="00C113BE" w:rsidRPr="00344EC4" w:rsidRDefault="00C113BE" w:rsidP="00C113BE">
      <w:pPr>
        <w:spacing w:line="276" w:lineRule="auto"/>
        <w:ind w:left="1134" w:right="902"/>
        <w:jc w:val="both"/>
        <w:rPr>
          <w:rFonts w:ascii="Palatino Linotype" w:eastAsia="Palatino Linotype" w:hAnsi="Palatino Linotype" w:cs="Palatino Linotype"/>
          <w:i/>
          <w:sz w:val="22"/>
          <w:szCs w:val="22"/>
          <w:lang w:eastAsia="es-MX"/>
        </w:rPr>
      </w:pPr>
    </w:p>
    <w:p w:rsidR="00C113BE" w:rsidRPr="00344EC4" w:rsidRDefault="00C113BE" w:rsidP="00C113BE">
      <w:pPr>
        <w:spacing w:line="360" w:lineRule="auto"/>
        <w:jc w:val="both"/>
        <w:rPr>
          <w:rFonts w:ascii="Palatino Linotype" w:eastAsia="Palatino Linotype" w:hAnsi="Palatino Linotype" w:cs="Palatino Linotype"/>
          <w:lang w:eastAsia="es-MX"/>
        </w:rPr>
      </w:pPr>
      <w:r w:rsidRPr="00344EC4">
        <w:rPr>
          <w:rFonts w:ascii="Palatino Linotype" w:eastAsia="Palatino Linotype" w:hAnsi="Palatino Linotype" w:cs="Palatino Linotype"/>
          <w:lang w:eastAsia="es-MX"/>
        </w:rPr>
        <w:t xml:space="preserve">Estos lineamientos son de observancia general para todos los servidores públicos de las entidades fiscalizables que desempeñen un empleo, cargo o comisión, de cualquier naturaleza en alguno de los poderes del Estado, en los ayuntamientos de </w:t>
      </w:r>
      <w:r w:rsidRPr="00344EC4">
        <w:rPr>
          <w:rFonts w:ascii="Palatino Linotype" w:eastAsia="Palatino Linotype" w:hAnsi="Palatino Linotype" w:cs="Palatino Linotype"/>
          <w:lang w:eastAsia="es-MX"/>
        </w:rPr>
        <w:lastRenderedPageBreak/>
        <w:t>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rsidR="00C113BE" w:rsidRPr="00344EC4" w:rsidRDefault="00C113BE" w:rsidP="00C113BE">
      <w:pPr>
        <w:spacing w:line="360" w:lineRule="auto"/>
        <w:jc w:val="both"/>
        <w:rPr>
          <w:rFonts w:ascii="Palatino Linotype" w:eastAsia="Palatino Linotype" w:hAnsi="Palatino Linotype" w:cs="Palatino Linotype"/>
          <w:i/>
          <w:lang w:eastAsia="es-MX"/>
        </w:rPr>
      </w:pPr>
    </w:p>
    <w:p w:rsidR="00C113BE" w:rsidRPr="00344EC4" w:rsidRDefault="00C113BE" w:rsidP="00C113BE">
      <w:pPr>
        <w:spacing w:line="360" w:lineRule="auto"/>
        <w:jc w:val="both"/>
        <w:rPr>
          <w:rFonts w:ascii="Palatino Linotype" w:eastAsia="Palatino Linotype" w:hAnsi="Palatino Linotype" w:cs="Palatino Linotype"/>
          <w:lang w:eastAsia="es-MX"/>
        </w:rPr>
      </w:pPr>
      <w:r w:rsidRPr="00344EC4">
        <w:rPr>
          <w:rFonts w:ascii="Palatino Linotype" w:eastAsia="Palatino Linotype" w:hAnsi="Palatino Linotype" w:cs="Palatino Linotype"/>
          <w:lang w:eastAsia="es-MX"/>
        </w:rPr>
        <w:t>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rsidR="00C113BE" w:rsidRPr="00344EC4" w:rsidRDefault="00C113BE" w:rsidP="00C113BE">
      <w:pPr>
        <w:spacing w:line="360" w:lineRule="auto"/>
        <w:jc w:val="both"/>
        <w:rPr>
          <w:rFonts w:ascii="Palatino Linotype" w:eastAsia="Palatino Linotype" w:hAnsi="Palatino Linotype" w:cs="Palatino Linotype"/>
          <w:lang w:eastAsia="es-MX"/>
        </w:rPr>
      </w:pPr>
    </w:p>
    <w:p w:rsidR="00C113BE" w:rsidRPr="00344EC4" w:rsidRDefault="00C113BE" w:rsidP="00C113BE">
      <w:pPr>
        <w:spacing w:after="80" w:line="360" w:lineRule="auto"/>
        <w:ind w:right="49"/>
        <w:jc w:val="both"/>
        <w:rPr>
          <w:rFonts w:ascii="Palatino Linotype" w:eastAsia="Palatino Linotype" w:hAnsi="Palatino Linotype" w:cs="Palatino Linotype"/>
          <w:lang w:eastAsia="es-MX"/>
        </w:rPr>
      </w:pPr>
      <w:r w:rsidRPr="00344EC4">
        <w:rPr>
          <w:rFonts w:ascii="Palatino Linotype" w:eastAsia="Palatino Linotype" w:hAnsi="Palatino Linotype" w:cs="Palatino Linotype"/>
          <w:lang w:eastAsia="es-MX"/>
        </w:rPr>
        <w:t>En este contexto, el Órgano Superior de Fiscalización del Estado de México, emite en cada ejercicio fiscal los Lineamientos para la integración y entrega del Informe Trimestral Municipal, para el ejercicio 2022 y los Instructivos de llenado correspondientes, mismos que se encuentran disponibles en su sitio de internet</w:t>
      </w:r>
      <w:r w:rsidRPr="00344EC4">
        <w:rPr>
          <w:rFonts w:ascii="Palatino Linotype" w:eastAsia="Palatino Linotype" w:hAnsi="Palatino Linotype" w:cs="Palatino Linotype"/>
          <w:vertAlign w:val="superscript"/>
          <w:lang w:eastAsia="es-MX"/>
        </w:rPr>
        <w:footnoteReference w:id="3"/>
      </w:r>
      <w:r w:rsidRPr="00344EC4">
        <w:rPr>
          <w:rFonts w:ascii="Palatino Linotype" w:eastAsia="Palatino Linotype" w:hAnsi="Palatino Linotype" w:cs="Palatino Linotype"/>
          <w:lang w:eastAsia="es-MX"/>
        </w:rPr>
        <w:t>, con la finalidad de definir los criterios, los formatos y la documentación necesaria para presentar los informes trimestrales, que deben ser entregados a través de cuatro módulos, que contienen la siguiente información:</w:t>
      </w:r>
    </w:p>
    <w:p w:rsidR="00C113BE" w:rsidRPr="00344EC4" w:rsidRDefault="00C113BE" w:rsidP="00C113BE">
      <w:pPr>
        <w:spacing w:before="80" w:after="160" w:line="360" w:lineRule="auto"/>
        <w:ind w:right="49"/>
        <w:jc w:val="center"/>
        <w:rPr>
          <w:rFonts w:ascii="Palatino Linotype" w:eastAsia="Palatino Linotype" w:hAnsi="Palatino Linotype" w:cs="Palatino Linotype"/>
          <w:sz w:val="22"/>
          <w:szCs w:val="22"/>
          <w:lang w:eastAsia="es-MX"/>
        </w:rPr>
      </w:pPr>
      <w:r w:rsidRPr="00344EC4">
        <w:rPr>
          <w:rFonts w:ascii="Palatino Linotype" w:eastAsia="Palatino Linotype" w:hAnsi="Palatino Linotype" w:cs="Palatino Linotype"/>
          <w:noProof/>
          <w:sz w:val="22"/>
          <w:szCs w:val="22"/>
          <w:lang w:eastAsia="es-MX"/>
        </w:rPr>
        <w:lastRenderedPageBreak/>
        <w:drawing>
          <wp:inline distT="0" distB="0" distL="0" distR="0" wp14:anchorId="2E949449" wp14:editId="15098E10">
            <wp:extent cx="5610225" cy="2324100"/>
            <wp:effectExtent l="0" t="0" r="0" b="0"/>
            <wp:docPr id="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610225" cy="2324100"/>
                    </a:xfrm>
                    <a:prstGeom prst="rect">
                      <a:avLst/>
                    </a:prstGeom>
                    <a:ln/>
                  </pic:spPr>
                </pic:pic>
              </a:graphicData>
            </a:graphic>
          </wp:inline>
        </w:drawing>
      </w:r>
    </w:p>
    <w:p w:rsidR="00C113BE" w:rsidRPr="00344EC4" w:rsidRDefault="00C113BE" w:rsidP="00C113BE">
      <w:pPr>
        <w:spacing w:before="240" w:after="160" w:line="360" w:lineRule="auto"/>
        <w:ind w:right="49"/>
        <w:jc w:val="both"/>
        <w:rPr>
          <w:rFonts w:ascii="Palatino Linotype" w:eastAsia="Palatino Linotype" w:hAnsi="Palatino Linotype" w:cs="Palatino Linotype"/>
          <w:sz w:val="22"/>
          <w:szCs w:val="22"/>
          <w:lang w:eastAsia="es-MX"/>
        </w:rPr>
      </w:pPr>
      <w:r w:rsidRPr="00344EC4">
        <w:rPr>
          <w:rFonts w:ascii="Palatino Linotype" w:eastAsia="Palatino Linotype" w:hAnsi="Palatino Linotype" w:cs="Palatino Linotype"/>
          <w:sz w:val="22"/>
          <w:szCs w:val="22"/>
          <w:lang w:eastAsia="es-MX"/>
        </w:rPr>
        <w:t xml:space="preserve">La información que con motivo de la nómina genera el </w:t>
      </w:r>
      <w:r w:rsidRPr="00344EC4">
        <w:rPr>
          <w:rFonts w:ascii="Palatino Linotype" w:eastAsia="Palatino Linotype" w:hAnsi="Palatino Linotype" w:cs="Palatino Linotype"/>
          <w:b/>
          <w:sz w:val="22"/>
          <w:szCs w:val="22"/>
          <w:lang w:eastAsia="es-MX"/>
        </w:rPr>
        <w:t>Sujeto Obligado</w:t>
      </w:r>
      <w:r w:rsidRPr="00344EC4">
        <w:rPr>
          <w:rFonts w:ascii="Palatino Linotype" w:eastAsia="Palatino Linotype" w:hAnsi="Palatino Linotype" w:cs="Palatino Linotype"/>
          <w:sz w:val="22"/>
          <w:szCs w:val="22"/>
          <w:lang w:eastAsia="es-MX"/>
        </w:rPr>
        <w:t>, se encuentra contenida en el Módulo 4 Información administrativa, Submódulo Nómina y Comprobantes Fiscales, como se muestra a continuación:</w:t>
      </w:r>
    </w:p>
    <w:p w:rsidR="00C113BE" w:rsidRPr="00344EC4" w:rsidRDefault="00C113BE" w:rsidP="00C113BE">
      <w:pPr>
        <w:spacing w:before="240" w:after="160" w:line="360" w:lineRule="auto"/>
        <w:ind w:right="49"/>
        <w:jc w:val="both"/>
        <w:rPr>
          <w:rFonts w:ascii="Palatino Linotype" w:eastAsia="Palatino Linotype" w:hAnsi="Palatino Linotype" w:cs="Palatino Linotype"/>
          <w:sz w:val="22"/>
          <w:szCs w:val="22"/>
          <w:lang w:eastAsia="es-MX"/>
        </w:rPr>
      </w:pPr>
      <w:r w:rsidRPr="00344EC4">
        <w:rPr>
          <w:rFonts w:ascii="Palatino Linotype" w:eastAsia="Palatino Linotype" w:hAnsi="Palatino Linotype" w:cs="Palatino Linotype"/>
          <w:noProof/>
          <w:sz w:val="22"/>
          <w:szCs w:val="22"/>
          <w:lang w:eastAsia="es-MX"/>
        </w:rPr>
        <w:drawing>
          <wp:inline distT="0" distB="0" distL="0" distR="0" wp14:anchorId="2A9BB19D" wp14:editId="31F9978C">
            <wp:extent cx="5610225" cy="2495550"/>
            <wp:effectExtent l="0" t="0" r="0" b="0"/>
            <wp:docPr id="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610225" cy="2495550"/>
                    </a:xfrm>
                    <a:prstGeom prst="rect">
                      <a:avLst/>
                    </a:prstGeom>
                    <a:ln/>
                  </pic:spPr>
                </pic:pic>
              </a:graphicData>
            </a:graphic>
          </wp:inline>
        </w:drawing>
      </w:r>
      <w:r w:rsidRPr="00344EC4">
        <w:rPr>
          <w:rFonts w:ascii="Palatino Linotype" w:eastAsia="Palatino Linotype" w:hAnsi="Palatino Linotype" w:cs="Palatino Linotype"/>
          <w:sz w:val="22"/>
          <w:szCs w:val="22"/>
          <w:lang w:eastAsia="es-MX"/>
        </w:rPr>
        <w:t xml:space="preserve"> </w:t>
      </w:r>
      <w:r w:rsidRPr="00344EC4">
        <w:rPr>
          <w:rFonts w:ascii="Calibri" w:eastAsia="Calibri" w:hAnsi="Calibri" w:cs="Calibri"/>
          <w:noProof/>
          <w:sz w:val="22"/>
          <w:szCs w:val="22"/>
          <w:lang w:eastAsia="es-MX"/>
        </w:rPr>
        <mc:AlternateContent>
          <mc:Choice Requires="wps">
            <w:drawing>
              <wp:anchor distT="0" distB="0" distL="114300" distR="114300" simplePos="0" relativeHeight="251668480" behindDoc="0" locked="0" layoutInCell="1" hidden="0" allowOverlap="1" wp14:anchorId="4F37A296" wp14:editId="24652E55">
                <wp:simplePos x="0" y="0"/>
                <wp:positionH relativeFrom="column">
                  <wp:posOffset>279400</wp:posOffset>
                </wp:positionH>
                <wp:positionV relativeFrom="paragraph">
                  <wp:posOffset>1892300</wp:posOffset>
                </wp:positionV>
                <wp:extent cx="2686050" cy="695325"/>
                <wp:effectExtent l="0" t="0" r="0" b="0"/>
                <wp:wrapNone/>
                <wp:docPr id="92" name="Rectángulo 92"/>
                <wp:cNvGraphicFramePr/>
                <a:graphic xmlns:a="http://schemas.openxmlformats.org/drawingml/2006/main">
                  <a:graphicData uri="http://schemas.microsoft.com/office/word/2010/wordprocessingShape">
                    <wps:wsp>
                      <wps:cNvSpPr/>
                      <wps:spPr>
                        <a:xfrm>
                          <a:off x="4022025" y="3451388"/>
                          <a:ext cx="2647950" cy="657225"/>
                        </a:xfrm>
                        <a:prstGeom prst="rect">
                          <a:avLst/>
                        </a:prstGeom>
                        <a:noFill/>
                        <a:ln w="38100" cap="flat" cmpd="sng">
                          <a:solidFill>
                            <a:srgbClr val="C00000"/>
                          </a:solidFill>
                          <a:prstDash val="solid"/>
                          <a:round/>
                          <a:headEnd type="none" w="sm" len="sm"/>
                          <a:tailEnd type="none" w="sm" len="sm"/>
                        </a:ln>
                      </wps:spPr>
                      <wps:txbx>
                        <w:txbxContent>
                          <w:p w:rsidR="004E618D" w:rsidRDefault="004E618D" w:rsidP="00C113BE">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F37A296" id="Rectángulo 92" o:spid="_x0000_s1026" style="position:absolute;left:0;text-align:left;margin-left:22pt;margin-top:149pt;width:211.5pt;height:5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" filled="f" strokecolor="#c00000" strokeweight="3pt">
                <v:stroke startarrowwidth="narrow" startarrowlength="short" endarrowwidth="narrow" endarrowlength="short" joinstyle="round"/>
                <v:textbox inset="2.53958mm,2.53958mm,2.53958mm,2.53958mm">
                  <w:txbxContent>
                    <w:p w:rsidR="004E618D" w:rsidRDefault="004E618D" w:rsidP="00C113BE">
                      <w:pPr>
                        <w:spacing w:line="258" w:lineRule="auto"/>
                        <w:textDirection w:val="btLr"/>
                      </w:pPr>
                    </w:p>
                  </w:txbxContent>
                </v:textbox>
              </v:rect>
            </w:pict>
          </mc:Fallback>
        </mc:AlternateContent>
      </w:r>
    </w:p>
    <w:p w:rsidR="00C113BE" w:rsidRPr="00344EC4" w:rsidRDefault="00C113BE" w:rsidP="00C113BE">
      <w:pPr>
        <w:spacing w:before="240" w:after="360" w:line="360" w:lineRule="auto"/>
        <w:rPr>
          <w:rFonts w:ascii="Palatino Linotype" w:eastAsia="Palatino Linotype" w:hAnsi="Palatino Linotype" w:cs="Palatino Linotype"/>
          <w:lang w:eastAsia="es-MX"/>
        </w:rPr>
      </w:pPr>
    </w:p>
    <w:p w:rsidR="00C113BE" w:rsidRPr="00344EC4" w:rsidRDefault="00C113BE" w:rsidP="00C113BE">
      <w:pPr>
        <w:spacing w:line="360" w:lineRule="auto"/>
        <w:jc w:val="both"/>
        <w:rPr>
          <w:rFonts w:ascii="Palatino Linotype" w:eastAsia="Palatino Linotype" w:hAnsi="Palatino Linotype" w:cs="Palatino Linotype"/>
          <w:lang w:eastAsia="es-MX"/>
        </w:rPr>
      </w:pPr>
      <w:r w:rsidRPr="00344EC4">
        <w:rPr>
          <w:rFonts w:ascii="Calibri" w:eastAsia="Calibri" w:hAnsi="Calibri" w:cs="Calibri"/>
          <w:noProof/>
          <w:sz w:val="22"/>
          <w:szCs w:val="22"/>
          <w:lang w:eastAsia="es-MX"/>
        </w:rPr>
        <w:lastRenderedPageBreak/>
        <w:drawing>
          <wp:inline distT="0" distB="0" distL="0" distR="0" wp14:anchorId="58AF448D" wp14:editId="56E5AE9C">
            <wp:extent cx="5609305" cy="7380664"/>
            <wp:effectExtent l="0" t="0" r="0" b="0"/>
            <wp:docPr id="96" name="image5.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10;&#10;Descripción generada automáticamente"/>
                    <pic:cNvPicPr preferRelativeResize="0"/>
                  </pic:nvPicPr>
                  <pic:blipFill>
                    <a:blip r:embed="rId20"/>
                    <a:srcRect l="34623" t="19010" r="36354" b="13095"/>
                    <a:stretch>
                      <a:fillRect/>
                    </a:stretch>
                  </pic:blipFill>
                  <pic:spPr>
                    <a:xfrm>
                      <a:off x="0" y="0"/>
                      <a:ext cx="5609305" cy="7380664"/>
                    </a:xfrm>
                    <a:prstGeom prst="rect">
                      <a:avLst/>
                    </a:prstGeom>
                    <a:ln/>
                  </pic:spPr>
                </pic:pic>
              </a:graphicData>
            </a:graphic>
          </wp:inline>
        </w:drawing>
      </w:r>
    </w:p>
    <w:p w:rsidR="00C113BE" w:rsidRPr="00344EC4" w:rsidRDefault="00C113BE" w:rsidP="00C113BE">
      <w:pPr>
        <w:spacing w:line="360" w:lineRule="auto"/>
        <w:jc w:val="both"/>
        <w:rPr>
          <w:rFonts w:ascii="Palatino Linotype" w:eastAsia="Palatino Linotype" w:hAnsi="Palatino Linotype" w:cs="Palatino Linotype"/>
          <w:lang w:eastAsia="es-MX"/>
        </w:rPr>
      </w:pPr>
      <w:r w:rsidRPr="00344EC4">
        <w:rPr>
          <w:rFonts w:ascii="Palatino Linotype" w:eastAsia="Palatino Linotype" w:hAnsi="Palatino Linotype" w:cs="Palatino Linotype"/>
          <w:lang w:eastAsia="es-MX"/>
        </w:rPr>
        <w:lastRenderedPageBreak/>
        <w:t xml:space="preserve">En estas condiciones, resulta claro que la información de mérito fue generada en ejercicio de las atribuciones del </w:t>
      </w:r>
      <w:r w:rsidRPr="00344EC4">
        <w:rPr>
          <w:rFonts w:ascii="Palatino Linotype" w:eastAsia="Palatino Linotype" w:hAnsi="Palatino Linotype" w:cs="Palatino Linotype"/>
          <w:b/>
          <w:lang w:eastAsia="es-MX"/>
        </w:rPr>
        <w:t>Sujeto Obligado</w:t>
      </w:r>
      <w:r w:rsidRPr="00344EC4">
        <w:rPr>
          <w:rFonts w:ascii="Palatino Linotype" w:eastAsia="Palatino Linotype" w:hAnsi="Palatino Linotype" w:cs="Palatino Linotype"/>
          <w:lang w:eastAsia="es-MX"/>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rsidR="00C113BE" w:rsidRPr="00344EC4" w:rsidRDefault="00C113BE" w:rsidP="00C113BE">
      <w:pPr>
        <w:spacing w:line="360" w:lineRule="auto"/>
        <w:jc w:val="both"/>
        <w:rPr>
          <w:rFonts w:ascii="Palatino Linotype" w:eastAsia="Palatino Linotype" w:hAnsi="Palatino Linotype" w:cs="Palatino Linotype"/>
          <w:lang w:eastAsia="es-MX"/>
        </w:rPr>
      </w:pPr>
    </w:p>
    <w:p w:rsidR="00C113BE" w:rsidRPr="00344EC4" w:rsidRDefault="00C113BE" w:rsidP="00C113BE">
      <w:pPr>
        <w:spacing w:line="360" w:lineRule="auto"/>
        <w:jc w:val="both"/>
        <w:rPr>
          <w:rFonts w:ascii="Palatino Linotype" w:eastAsia="Palatino Linotype" w:hAnsi="Palatino Linotype" w:cs="Palatino Linotype"/>
          <w:lang w:eastAsia="es-MX"/>
        </w:rPr>
      </w:pPr>
      <w:r w:rsidRPr="00344EC4">
        <w:rPr>
          <w:rFonts w:ascii="Palatino Linotype" w:eastAsia="Palatino Linotype" w:hAnsi="Palatino Linotype" w:cs="Palatino Linotype"/>
          <w:lang w:eastAsia="es-MX"/>
        </w:rPr>
        <w:t xml:space="preserve">En tal contexto, se estima procedente ordenar la entrega del soporte documental del que se desprenda la información solicitada, </w:t>
      </w:r>
      <w:r w:rsidR="00F76EE2" w:rsidRPr="00344EC4">
        <w:rPr>
          <w:rFonts w:ascii="Palatino Linotype" w:eastAsia="Palatino Linotype" w:hAnsi="Palatino Linotype" w:cs="Palatino Linotype"/>
          <w:lang w:eastAsia="es-MX"/>
        </w:rPr>
        <w:t xml:space="preserve">generada del 1 de enero del 2016 al 15 de agosto de 2022, esto en virtud de que como ya se señaló en líneas anteriores, la información se genera de manera quincenal, esto </w:t>
      </w:r>
      <w:r w:rsidRPr="00344EC4">
        <w:rPr>
          <w:rFonts w:ascii="Palatino Linotype" w:eastAsia="Palatino Linotype" w:hAnsi="Palatino Linotype" w:cs="Palatino Linotype"/>
          <w:lang w:eastAsia="es-MX"/>
        </w:rPr>
        <w:t>en versión pública conforme al considerando quinto.</w:t>
      </w:r>
    </w:p>
    <w:p w:rsidR="00C113BE" w:rsidRPr="00344EC4" w:rsidRDefault="00C113BE" w:rsidP="00C113BE">
      <w:pPr>
        <w:spacing w:line="360" w:lineRule="auto"/>
        <w:jc w:val="both"/>
        <w:rPr>
          <w:rFonts w:ascii="Palatino Linotype" w:eastAsia="Palatino Linotype" w:hAnsi="Palatino Linotype" w:cs="Palatino Linotype"/>
          <w:lang w:eastAsia="es-MX"/>
        </w:rPr>
      </w:pPr>
    </w:p>
    <w:p w:rsidR="00C113BE" w:rsidRPr="00344EC4" w:rsidRDefault="00C113BE" w:rsidP="00C113BE">
      <w:pPr>
        <w:spacing w:line="360" w:lineRule="auto"/>
        <w:jc w:val="both"/>
        <w:rPr>
          <w:rFonts w:ascii="Palatino Linotype" w:eastAsia="Palatino Linotype" w:hAnsi="Palatino Linotype" w:cs="Palatino Linotype"/>
          <w:lang w:eastAsia="es-MX"/>
        </w:rPr>
      </w:pPr>
      <w:r w:rsidRPr="00344EC4">
        <w:rPr>
          <w:rFonts w:ascii="Palatino Linotype" w:eastAsia="Palatino Linotype" w:hAnsi="Palatino Linotype" w:cs="Palatino Linotype"/>
          <w:lang w:eastAsia="es-MX"/>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w:t>
      </w:r>
      <w:r w:rsidRPr="00344EC4">
        <w:rPr>
          <w:rFonts w:ascii="Palatino Linotype" w:eastAsia="Palatino Linotype" w:hAnsi="Palatino Linotype" w:cs="Palatino Linotype"/>
          <w:lang w:eastAsia="es-MX"/>
        </w:rPr>
        <w:lastRenderedPageBreak/>
        <w:t>transparentar la forma, términos, causas y finalidad en la disposición de esos recursos; precepto legal que es del tenor siguiente:</w:t>
      </w:r>
    </w:p>
    <w:p w:rsidR="00C113BE" w:rsidRPr="00344EC4" w:rsidRDefault="00C113BE" w:rsidP="00C113BE">
      <w:pPr>
        <w:spacing w:after="160" w:line="259" w:lineRule="auto"/>
        <w:ind w:left="851" w:right="851"/>
        <w:jc w:val="both"/>
        <w:rPr>
          <w:rFonts w:ascii="Palatino Linotype" w:eastAsia="Palatino Linotype" w:hAnsi="Palatino Linotype" w:cs="Palatino Linotype"/>
          <w:i/>
          <w:sz w:val="22"/>
          <w:szCs w:val="22"/>
          <w:u w:val="single"/>
          <w:lang w:eastAsia="es-MX"/>
        </w:rPr>
      </w:pPr>
      <w:r w:rsidRPr="00344EC4">
        <w:rPr>
          <w:rFonts w:ascii="Palatino Linotype" w:eastAsia="Palatino Linotype" w:hAnsi="Palatino Linotype" w:cs="Palatino Linotype"/>
          <w:b/>
          <w:i/>
          <w:sz w:val="22"/>
          <w:szCs w:val="22"/>
          <w:u w:val="single"/>
          <w:lang w:eastAsia="es-MX"/>
        </w:rPr>
        <w:t>“Artículo 7. El Estado de México garantizará el efectivo acceso de toda persona a la información en posesión de cualquier entidad,</w:t>
      </w:r>
      <w:r w:rsidRPr="00344EC4">
        <w:rPr>
          <w:rFonts w:ascii="Palatino Linotype" w:eastAsia="Palatino Linotype" w:hAnsi="Palatino Linotype" w:cs="Palatino Linotype"/>
          <w:i/>
          <w:sz w:val="22"/>
          <w:szCs w:val="22"/>
          <w:lang w:eastAsia="es-MX"/>
        </w:rPr>
        <w:t xml:space="preserve"> autoridad, órgano y organismo de los poderes Ejecutivo, Legislativo y Judicial, órganos autónomos, partidos políticos, fideicomisos y fondos públicos, así como de cualquier persona física, jurídico colectiva o sindicato </w:t>
      </w:r>
      <w:r w:rsidRPr="00344EC4">
        <w:rPr>
          <w:rFonts w:ascii="Palatino Linotype" w:eastAsia="Palatino Linotype" w:hAnsi="Palatino Linotype" w:cs="Palatino Linotype"/>
          <w:b/>
          <w:i/>
          <w:sz w:val="22"/>
          <w:szCs w:val="22"/>
          <w:u w:val="single"/>
          <w:lang w:eastAsia="es-MX"/>
        </w:rPr>
        <w:t>que reciba y ejerza recursos públicos</w:t>
      </w:r>
      <w:r w:rsidRPr="00344EC4">
        <w:rPr>
          <w:rFonts w:ascii="Palatino Linotype" w:eastAsia="Palatino Linotype" w:hAnsi="Palatino Linotype" w:cs="Palatino Linotype"/>
          <w:i/>
          <w:sz w:val="22"/>
          <w:szCs w:val="22"/>
          <w:lang w:eastAsia="es-MX"/>
        </w:rPr>
        <w:t xml:space="preserve"> o realice actos de autoridad </w:t>
      </w:r>
      <w:r w:rsidRPr="00344EC4">
        <w:rPr>
          <w:rFonts w:ascii="Palatino Linotype" w:eastAsia="Palatino Linotype" w:hAnsi="Palatino Linotype" w:cs="Palatino Linotype"/>
          <w:b/>
          <w:i/>
          <w:sz w:val="22"/>
          <w:szCs w:val="22"/>
          <w:u w:val="single"/>
          <w:lang w:eastAsia="es-MX"/>
        </w:rPr>
        <w:t>en el ámbito de competencia del Estado de México y sus municipios</w:t>
      </w:r>
      <w:r w:rsidRPr="00344EC4">
        <w:rPr>
          <w:rFonts w:ascii="Palatino Linotype" w:eastAsia="Palatino Linotype" w:hAnsi="Palatino Linotype" w:cs="Palatino Linotype"/>
          <w:i/>
          <w:sz w:val="22"/>
          <w:szCs w:val="22"/>
          <w:u w:val="single"/>
          <w:lang w:eastAsia="es-MX"/>
        </w:rPr>
        <w:t>.</w:t>
      </w:r>
    </w:p>
    <w:p w:rsidR="00C113BE" w:rsidRPr="00344EC4" w:rsidRDefault="00C113BE" w:rsidP="00C113BE">
      <w:pPr>
        <w:spacing w:after="160" w:line="259" w:lineRule="auto"/>
        <w:ind w:left="851" w:right="851"/>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Artículo 23. Son sujetos obligados a transparentar y permitir el acceso a su información y proteger los datos personales que obren en su poder:</w:t>
      </w:r>
    </w:p>
    <w:p w:rsidR="00C113BE" w:rsidRPr="00344EC4" w:rsidRDefault="00C113BE" w:rsidP="00C113BE">
      <w:pPr>
        <w:spacing w:after="160" w:line="259" w:lineRule="auto"/>
        <w:ind w:left="851" w:right="851"/>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w:t>
      </w:r>
    </w:p>
    <w:p w:rsidR="00C113BE" w:rsidRPr="00344EC4" w:rsidRDefault="00C113BE" w:rsidP="00C113BE">
      <w:pPr>
        <w:spacing w:after="160" w:line="259" w:lineRule="auto"/>
        <w:ind w:left="851" w:right="851"/>
        <w:jc w:val="both"/>
        <w:rPr>
          <w:rFonts w:ascii="Palatino Linotype" w:eastAsia="Palatino Linotype" w:hAnsi="Palatino Linotype" w:cs="Palatino Linotype"/>
          <w:b/>
          <w:i/>
          <w:sz w:val="22"/>
          <w:szCs w:val="22"/>
          <w:u w:val="single"/>
          <w:lang w:eastAsia="es-MX"/>
        </w:rPr>
      </w:pPr>
      <w:r w:rsidRPr="00344EC4">
        <w:rPr>
          <w:rFonts w:ascii="Palatino Linotype" w:eastAsia="Palatino Linotype" w:hAnsi="Palatino Linotype" w:cs="Palatino Linotype"/>
          <w:b/>
          <w:i/>
          <w:sz w:val="22"/>
          <w:szCs w:val="22"/>
          <w:u w:val="single"/>
          <w:lang w:eastAsia="es-MX"/>
        </w:rPr>
        <w:t>IV. Los ayuntamientos y las dependencias, organismos, órganos y entidades de la administración municipal;</w:t>
      </w:r>
    </w:p>
    <w:p w:rsidR="00C113BE" w:rsidRPr="00344EC4" w:rsidRDefault="00C113BE" w:rsidP="00C113BE">
      <w:pPr>
        <w:spacing w:after="160" w:line="259" w:lineRule="auto"/>
        <w:ind w:left="851" w:right="851"/>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w:t>
      </w:r>
    </w:p>
    <w:p w:rsidR="00C113BE" w:rsidRPr="00344EC4" w:rsidRDefault="00C113BE" w:rsidP="00C113BE">
      <w:pPr>
        <w:spacing w:after="160" w:line="259" w:lineRule="auto"/>
        <w:ind w:left="851" w:right="851"/>
        <w:jc w:val="both"/>
        <w:rPr>
          <w:rFonts w:ascii="Palatino Linotype" w:eastAsia="Palatino Linotype" w:hAnsi="Palatino Linotype" w:cs="Palatino Linotype"/>
          <w:b/>
          <w:i/>
          <w:sz w:val="22"/>
          <w:szCs w:val="22"/>
          <w:u w:val="single"/>
          <w:lang w:eastAsia="es-MX"/>
        </w:rPr>
      </w:pPr>
      <w:r w:rsidRPr="00344EC4">
        <w:rPr>
          <w:rFonts w:ascii="Palatino Linotype" w:eastAsia="Palatino Linotype" w:hAnsi="Palatino Linotype" w:cs="Palatino Linotype"/>
          <w:b/>
          <w:i/>
          <w:sz w:val="22"/>
          <w:szCs w:val="22"/>
          <w:u w:val="single"/>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C113BE" w:rsidRPr="00344EC4" w:rsidRDefault="00C113BE" w:rsidP="00C113BE">
      <w:pPr>
        <w:spacing w:after="160" w:line="259" w:lineRule="auto"/>
        <w:ind w:left="851" w:right="851"/>
        <w:jc w:val="both"/>
        <w:rPr>
          <w:rFonts w:ascii="Palatino Linotype" w:eastAsia="Palatino Linotype" w:hAnsi="Palatino Linotype" w:cs="Palatino Linotype"/>
          <w:b/>
          <w:i/>
          <w:sz w:val="22"/>
          <w:szCs w:val="22"/>
          <w:lang w:eastAsia="es-MX"/>
        </w:rPr>
      </w:pPr>
      <w:r w:rsidRPr="00344EC4">
        <w:rPr>
          <w:rFonts w:ascii="Palatino Linotype" w:eastAsia="Palatino Linotype" w:hAnsi="Palatino Linotype" w:cs="Palatino Linotype"/>
          <w:i/>
          <w:sz w:val="22"/>
          <w:szCs w:val="22"/>
          <w:lang w:eastAsia="es-MX"/>
        </w:rPr>
        <w:t>Los servidores públicos deberán transparentar sus acciones así como garantizar y respetar el derecho de acceso a la información pública.”</w:t>
      </w:r>
      <w:r w:rsidRPr="00344EC4">
        <w:rPr>
          <w:rFonts w:ascii="Palatino Linotype" w:eastAsia="Palatino Linotype" w:hAnsi="Palatino Linotype" w:cs="Palatino Linotype"/>
          <w:b/>
          <w:i/>
          <w:sz w:val="22"/>
          <w:szCs w:val="22"/>
          <w:lang w:eastAsia="es-MX"/>
        </w:rPr>
        <w:t xml:space="preserve"> [Sic]</w:t>
      </w:r>
    </w:p>
    <w:p w:rsidR="00C113BE" w:rsidRPr="00344EC4" w:rsidRDefault="00C113BE" w:rsidP="00C113BE">
      <w:pPr>
        <w:spacing w:after="160" w:line="360" w:lineRule="auto"/>
        <w:jc w:val="both"/>
        <w:rPr>
          <w:rFonts w:ascii="Palatino Linotype" w:eastAsia="Palatino Linotype" w:hAnsi="Palatino Linotype" w:cs="Palatino Linotype"/>
          <w:sz w:val="22"/>
          <w:szCs w:val="22"/>
          <w:lang w:eastAsia="es-MX"/>
        </w:rPr>
      </w:pPr>
    </w:p>
    <w:p w:rsidR="00C113BE" w:rsidRPr="00344EC4" w:rsidRDefault="00C113BE" w:rsidP="00C113BE">
      <w:pPr>
        <w:spacing w:after="160" w:line="360" w:lineRule="auto"/>
        <w:jc w:val="both"/>
        <w:rPr>
          <w:rFonts w:ascii="Palatino Linotype" w:eastAsia="Palatino Linotype" w:hAnsi="Palatino Linotype" w:cs="Palatino Linotype"/>
          <w:lang w:eastAsia="es-MX"/>
        </w:rPr>
      </w:pPr>
      <w:r w:rsidRPr="00344EC4">
        <w:rPr>
          <w:rFonts w:ascii="Palatino Linotype" w:eastAsia="Palatino Linotype" w:hAnsi="Palatino Linotype" w:cs="Palatino Linotype"/>
          <w:lang w:eastAsia="es-MX"/>
        </w:rPr>
        <w:t xml:space="preserve">Sirve de sustento por analogía, para justificar la publicidad sobre los datos relativos a los montos por concepto de pago de las remuneraciones, los criterios </w:t>
      </w:r>
      <w:r w:rsidRPr="00344EC4">
        <w:rPr>
          <w:rFonts w:ascii="Palatino Linotype" w:eastAsia="Palatino Linotype" w:hAnsi="Palatino Linotype" w:cs="Palatino Linotype"/>
          <w:b/>
          <w:lang w:eastAsia="es-MX"/>
        </w:rPr>
        <w:t>01/2003</w:t>
      </w:r>
      <w:r w:rsidRPr="00344EC4">
        <w:rPr>
          <w:rFonts w:ascii="Palatino Linotype" w:eastAsia="Palatino Linotype" w:hAnsi="Palatino Linotype" w:cs="Palatino Linotype"/>
          <w:lang w:eastAsia="es-MX"/>
        </w:rPr>
        <w:t xml:space="preserve"> y </w:t>
      </w:r>
      <w:r w:rsidRPr="00344EC4">
        <w:rPr>
          <w:rFonts w:ascii="Palatino Linotype" w:eastAsia="Palatino Linotype" w:hAnsi="Palatino Linotype" w:cs="Palatino Linotype"/>
          <w:b/>
          <w:lang w:eastAsia="es-MX"/>
        </w:rPr>
        <w:t>02/2003</w:t>
      </w:r>
      <w:r w:rsidRPr="00344EC4">
        <w:rPr>
          <w:rFonts w:ascii="Palatino Linotype" w:eastAsia="Palatino Linotype" w:hAnsi="Palatino Linotype" w:cs="Palatino Linotype"/>
          <w:lang w:eastAsia="es-MX"/>
        </w:rPr>
        <w:t xml:space="preserve"> emitidos por el Comité de Acceso a la Información Pública y Protección de Datos Personales de la Suprema Corte de Justicia de la Nación que a continuación se citan: </w:t>
      </w:r>
    </w:p>
    <w:p w:rsidR="00C113BE" w:rsidRPr="00344EC4" w:rsidRDefault="00C113BE" w:rsidP="00C113BE">
      <w:pPr>
        <w:spacing w:after="160" w:line="259" w:lineRule="auto"/>
        <w:ind w:left="851" w:right="851"/>
        <w:rPr>
          <w:rFonts w:ascii="Palatino Linotype" w:eastAsia="Palatino Linotype" w:hAnsi="Palatino Linotype" w:cs="Palatino Linotype"/>
          <w:b/>
          <w:i/>
          <w:sz w:val="22"/>
          <w:szCs w:val="22"/>
          <w:lang w:eastAsia="es-MX"/>
        </w:rPr>
      </w:pPr>
      <w:r w:rsidRPr="00344EC4">
        <w:rPr>
          <w:rFonts w:ascii="Palatino Linotype" w:eastAsia="Palatino Linotype" w:hAnsi="Palatino Linotype" w:cs="Palatino Linotype"/>
          <w:b/>
          <w:i/>
          <w:sz w:val="22"/>
          <w:szCs w:val="22"/>
          <w:lang w:eastAsia="es-MX"/>
        </w:rPr>
        <w:t>“Criterio 01/2003.</w:t>
      </w:r>
    </w:p>
    <w:p w:rsidR="00C113BE" w:rsidRPr="00344EC4" w:rsidRDefault="00C113BE" w:rsidP="00C113BE">
      <w:pPr>
        <w:spacing w:after="160" w:line="259" w:lineRule="auto"/>
        <w:ind w:left="851" w:right="851"/>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b/>
          <w:i/>
          <w:sz w:val="22"/>
          <w:szCs w:val="22"/>
          <w:lang w:eastAsia="es-MX"/>
        </w:rPr>
        <w:lastRenderedPageBreak/>
        <w:t>INGRESOS DE LOS SERVIDORES PÚBLICOS. CONSTITUYEN INFORMACIÓN PÚBLICA AÚN Y CUANDO SU DIFUSIÓN PUEDE AFECTAR LA VIDA O LA SEGURIDAD DE AQUELLOS.</w:t>
      </w:r>
      <w:r w:rsidRPr="00344EC4">
        <w:rPr>
          <w:rFonts w:ascii="Palatino Linotype" w:eastAsia="Palatino Linotype" w:hAnsi="Palatino Linotype" w:cs="Palatino Linotype"/>
          <w:i/>
          <w:sz w:val="22"/>
          <w:szCs w:val="22"/>
          <w:lang w:eastAsia="es-MX"/>
        </w:rPr>
        <w:t xml:space="preserve"> </w:t>
      </w:r>
    </w:p>
    <w:p w:rsidR="00C113BE" w:rsidRPr="00344EC4" w:rsidRDefault="00C113BE" w:rsidP="00C113BE">
      <w:pPr>
        <w:spacing w:after="160" w:line="259" w:lineRule="auto"/>
        <w:ind w:left="851" w:right="851"/>
        <w:jc w:val="both"/>
        <w:rPr>
          <w:rFonts w:ascii="Palatino Linotype" w:eastAsia="Palatino Linotype" w:hAnsi="Palatino Linotype" w:cs="Palatino Linotype"/>
          <w:i/>
          <w:sz w:val="22"/>
          <w:szCs w:val="22"/>
          <w:u w:val="single"/>
          <w:lang w:eastAsia="es-MX"/>
        </w:rPr>
      </w:pPr>
      <w:r w:rsidRPr="00344EC4">
        <w:rPr>
          <w:rFonts w:ascii="Palatino Linotype" w:eastAsia="Palatino Linotype" w:hAnsi="Palatino Linotype" w:cs="Palatino Linotype"/>
          <w:i/>
          <w:sz w:val="22"/>
          <w:szCs w:val="22"/>
          <w:lang w:eastAsia="es-MX"/>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44EC4">
        <w:rPr>
          <w:rFonts w:ascii="Palatino Linotype" w:eastAsia="Palatino Linotype" w:hAnsi="Palatino Linotype" w:cs="Palatino Linotype"/>
          <w:b/>
          <w:i/>
          <w:sz w:val="22"/>
          <w:szCs w:val="22"/>
          <w:u w:val="single"/>
          <w:lang w:eastAsia="es-MX"/>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44EC4">
        <w:rPr>
          <w:rFonts w:ascii="Palatino Linotype" w:eastAsia="Palatino Linotype" w:hAnsi="Palatino Linotype" w:cs="Palatino Linotype"/>
          <w:i/>
          <w:sz w:val="22"/>
          <w:szCs w:val="22"/>
          <w:u w:val="single"/>
          <w:lang w:eastAsia="es-MX"/>
        </w:rPr>
        <w:t>…”</w:t>
      </w:r>
    </w:p>
    <w:p w:rsidR="00C113BE" w:rsidRPr="00344EC4" w:rsidRDefault="00C113BE" w:rsidP="00C113BE">
      <w:pPr>
        <w:spacing w:after="160" w:line="259" w:lineRule="auto"/>
        <w:ind w:left="851" w:right="851"/>
        <w:jc w:val="both"/>
        <w:rPr>
          <w:rFonts w:ascii="Palatino Linotype" w:eastAsia="Palatino Linotype" w:hAnsi="Palatino Linotype" w:cs="Palatino Linotype"/>
          <w:i/>
          <w:sz w:val="22"/>
          <w:szCs w:val="22"/>
          <w:lang w:eastAsia="es-MX"/>
        </w:rPr>
      </w:pPr>
    </w:p>
    <w:p w:rsidR="00C113BE" w:rsidRPr="00344EC4" w:rsidRDefault="00C113BE" w:rsidP="00C113BE">
      <w:pPr>
        <w:spacing w:after="160" w:line="259" w:lineRule="auto"/>
        <w:ind w:left="851" w:right="851"/>
        <w:rPr>
          <w:rFonts w:ascii="Palatino Linotype" w:eastAsia="Palatino Linotype" w:hAnsi="Palatino Linotype" w:cs="Palatino Linotype"/>
          <w:b/>
          <w:i/>
          <w:sz w:val="22"/>
          <w:szCs w:val="22"/>
          <w:lang w:eastAsia="es-MX"/>
        </w:rPr>
      </w:pPr>
      <w:r w:rsidRPr="00344EC4">
        <w:rPr>
          <w:rFonts w:ascii="Palatino Linotype" w:eastAsia="Palatino Linotype" w:hAnsi="Palatino Linotype" w:cs="Palatino Linotype"/>
          <w:b/>
          <w:i/>
          <w:sz w:val="22"/>
          <w:szCs w:val="22"/>
          <w:lang w:eastAsia="es-MX"/>
        </w:rPr>
        <w:t>“Criterio 02/2003.</w:t>
      </w:r>
    </w:p>
    <w:p w:rsidR="00C113BE" w:rsidRPr="00344EC4" w:rsidRDefault="00C113BE" w:rsidP="00C113BE">
      <w:pPr>
        <w:spacing w:after="160" w:line="259" w:lineRule="auto"/>
        <w:ind w:left="851" w:right="851"/>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b/>
          <w:i/>
          <w:sz w:val="22"/>
          <w:szCs w:val="22"/>
          <w:lang w:eastAsia="es-MX"/>
        </w:rPr>
        <w:t>INGRESOS DE LOS SERVIDORES PÚBLICOS, SON INFORMACIÓN PÚBLICA AÚN Y CUANDO CONSTITUYEN DATOS PERSONALES QUE SE REFIEREN AL PATRIMONIO DE AQUÉLLOS.</w:t>
      </w:r>
      <w:r w:rsidRPr="00344EC4">
        <w:rPr>
          <w:rFonts w:ascii="Palatino Linotype" w:eastAsia="Palatino Linotype" w:hAnsi="Palatino Linotype" w:cs="Palatino Linotype"/>
          <w:i/>
          <w:sz w:val="22"/>
          <w:szCs w:val="22"/>
          <w:lang w:eastAsia="es-MX"/>
        </w:rPr>
        <w:t xml:space="preserve"> </w:t>
      </w:r>
    </w:p>
    <w:p w:rsidR="00C113BE" w:rsidRPr="00344EC4" w:rsidRDefault="00C113BE" w:rsidP="00C113BE">
      <w:pPr>
        <w:spacing w:line="276" w:lineRule="auto"/>
        <w:ind w:left="851" w:right="851"/>
        <w:jc w:val="both"/>
        <w:rPr>
          <w:rFonts w:ascii="Palatino Linotype" w:eastAsia="Palatino Linotype" w:hAnsi="Palatino Linotype" w:cs="Palatino Linotype"/>
          <w:b/>
          <w:i/>
          <w:sz w:val="22"/>
          <w:szCs w:val="22"/>
          <w:lang w:eastAsia="es-MX"/>
        </w:rPr>
      </w:pPr>
      <w:r w:rsidRPr="00344EC4">
        <w:rPr>
          <w:rFonts w:ascii="Palatino Linotype" w:eastAsia="Palatino Linotype" w:hAnsi="Palatino Linotype" w:cs="Palatino Linotype"/>
          <w:i/>
          <w:sz w:val="22"/>
          <w:szCs w:val="22"/>
          <w:lang w:eastAsia="es-MX"/>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44EC4">
        <w:rPr>
          <w:rFonts w:ascii="Palatino Linotype" w:eastAsia="Palatino Linotype" w:hAnsi="Palatino Linotype" w:cs="Palatino Linotype"/>
          <w:b/>
          <w:i/>
          <w:sz w:val="22"/>
          <w:szCs w:val="22"/>
          <w:u w:val="single"/>
          <w:lang w:eastAsia="es-MX"/>
        </w:rPr>
        <w:t xml:space="preserve">lo que deriva del hecho de que en términos de los previsto en el citado ordenamiento deben ponerse a disposición del público a través de medios remotos o locales de comunicación electrónica, tanto el directorio de servidores públicos como </w:t>
      </w:r>
      <w:r w:rsidRPr="00344EC4">
        <w:rPr>
          <w:rFonts w:ascii="Palatino Linotype" w:eastAsia="Palatino Linotype" w:hAnsi="Palatino Linotype" w:cs="Palatino Linotype"/>
          <w:b/>
          <w:i/>
          <w:sz w:val="22"/>
          <w:szCs w:val="22"/>
          <w:u w:val="single"/>
          <w:lang w:eastAsia="es-MX"/>
        </w:rPr>
        <w:lastRenderedPageBreak/>
        <w:t>las remuneraciones mensuales por puesto incluso</w:t>
      </w:r>
      <w:r w:rsidRPr="00344EC4">
        <w:rPr>
          <w:rFonts w:ascii="Palatino Linotype" w:eastAsia="Palatino Linotype" w:hAnsi="Palatino Linotype" w:cs="Palatino Linotype"/>
          <w:i/>
          <w:sz w:val="22"/>
          <w:szCs w:val="22"/>
          <w:lang w:eastAsia="es-MX"/>
        </w:rPr>
        <w:t xml:space="preserve"> el sistema de compensación…” </w:t>
      </w:r>
      <w:r w:rsidRPr="00344EC4">
        <w:rPr>
          <w:rFonts w:ascii="Palatino Linotype" w:eastAsia="Palatino Linotype" w:hAnsi="Palatino Linotype" w:cs="Palatino Linotype"/>
          <w:b/>
          <w:i/>
          <w:sz w:val="22"/>
          <w:szCs w:val="22"/>
          <w:lang w:eastAsia="es-MX"/>
        </w:rPr>
        <w:t>[Sic]</w:t>
      </w:r>
    </w:p>
    <w:p w:rsidR="00C113BE" w:rsidRPr="00344EC4" w:rsidRDefault="00C113BE" w:rsidP="00C113BE">
      <w:pPr>
        <w:spacing w:line="360" w:lineRule="auto"/>
        <w:jc w:val="both"/>
        <w:rPr>
          <w:rFonts w:ascii="Palatino Linotype" w:eastAsia="Palatino Linotype" w:hAnsi="Palatino Linotype" w:cs="Palatino Linotype"/>
          <w:lang w:eastAsia="es-MX"/>
        </w:rPr>
      </w:pPr>
    </w:p>
    <w:p w:rsidR="00C113BE" w:rsidRPr="00344EC4" w:rsidRDefault="00C113BE" w:rsidP="00C113BE">
      <w:pPr>
        <w:spacing w:line="360" w:lineRule="auto"/>
        <w:jc w:val="both"/>
        <w:rPr>
          <w:rFonts w:ascii="Palatino Linotype" w:eastAsia="Palatino Linotype" w:hAnsi="Palatino Linotype" w:cs="Palatino Linotype"/>
          <w:lang w:eastAsia="es-MX"/>
        </w:rPr>
      </w:pPr>
      <w:r w:rsidRPr="00344EC4">
        <w:rPr>
          <w:rFonts w:ascii="Palatino Linotype" w:eastAsia="Palatino Linotype" w:hAnsi="Palatino Linotype" w:cs="Palatino Linotype"/>
          <w:lang w:eastAsia="es-MX"/>
        </w:rPr>
        <w:t xml:space="preserve">Ahora bien, el artículo 70 de la Ley General de Transparencia y Acceso a la Información Pública dispone lo siguiente: </w:t>
      </w:r>
    </w:p>
    <w:p w:rsidR="00C113BE" w:rsidRPr="00344EC4" w:rsidRDefault="00C113BE" w:rsidP="00C113BE">
      <w:pPr>
        <w:spacing w:line="360" w:lineRule="auto"/>
        <w:jc w:val="both"/>
        <w:rPr>
          <w:rFonts w:ascii="Palatino Linotype" w:eastAsia="Palatino Linotype" w:hAnsi="Palatino Linotype" w:cs="Palatino Linotype"/>
          <w:sz w:val="22"/>
          <w:szCs w:val="22"/>
          <w:lang w:eastAsia="es-MX"/>
        </w:rPr>
      </w:pPr>
    </w:p>
    <w:p w:rsidR="00C113BE" w:rsidRPr="00344EC4" w:rsidRDefault="00AB17F3" w:rsidP="00C113BE">
      <w:pPr>
        <w:spacing w:line="276" w:lineRule="auto"/>
        <w:ind w:left="851" w:right="900"/>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w:t>
      </w:r>
      <w:r w:rsidR="00C113BE" w:rsidRPr="00344EC4">
        <w:rPr>
          <w:rFonts w:ascii="Palatino Linotype" w:eastAsia="Palatino Linotype" w:hAnsi="Palatino Linotype" w:cs="Palatino Linotype"/>
          <w:i/>
          <w:sz w:val="22"/>
          <w:szCs w:val="22"/>
          <w:lang w:eastAsia="es-MX"/>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C113BE" w:rsidRPr="00344EC4" w:rsidRDefault="00C113BE" w:rsidP="00C113BE">
      <w:pPr>
        <w:spacing w:line="276" w:lineRule="auto"/>
        <w:ind w:left="851" w:right="900"/>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 xml:space="preserve">… </w:t>
      </w:r>
    </w:p>
    <w:p w:rsidR="00C113BE" w:rsidRPr="00344EC4" w:rsidRDefault="00C113BE" w:rsidP="00C113BE">
      <w:pPr>
        <w:spacing w:line="276" w:lineRule="auto"/>
        <w:ind w:left="851" w:right="900"/>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00AB17F3" w:rsidRPr="00344EC4">
        <w:rPr>
          <w:rFonts w:ascii="Palatino Linotype" w:eastAsia="Palatino Linotype" w:hAnsi="Palatino Linotype" w:cs="Palatino Linotype"/>
          <w:i/>
          <w:sz w:val="22"/>
          <w:szCs w:val="22"/>
          <w:lang w:eastAsia="es-MX"/>
        </w:rPr>
        <w:t>”</w:t>
      </w:r>
      <w:r w:rsidRPr="00344EC4">
        <w:rPr>
          <w:rFonts w:ascii="Palatino Linotype" w:eastAsia="Palatino Linotype" w:hAnsi="Palatino Linotype" w:cs="Palatino Linotype"/>
          <w:i/>
          <w:sz w:val="22"/>
          <w:szCs w:val="22"/>
          <w:lang w:eastAsia="es-MX"/>
        </w:rPr>
        <w:t xml:space="preserve"> </w:t>
      </w:r>
    </w:p>
    <w:p w:rsidR="00C113BE" w:rsidRPr="00344EC4" w:rsidRDefault="00C113BE" w:rsidP="00C113BE">
      <w:pPr>
        <w:spacing w:line="360" w:lineRule="auto"/>
        <w:ind w:right="49"/>
        <w:jc w:val="both"/>
        <w:rPr>
          <w:rFonts w:ascii="Palatino Linotype" w:eastAsia="Palatino Linotype" w:hAnsi="Palatino Linotype" w:cs="Palatino Linotype"/>
          <w:lang w:eastAsia="es-MX"/>
        </w:rPr>
      </w:pPr>
    </w:p>
    <w:p w:rsidR="00C113BE" w:rsidRPr="00344EC4" w:rsidRDefault="00C113BE" w:rsidP="00C113BE">
      <w:pPr>
        <w:spacing w:line="360" w:lineRule="auto"/>
        <w:ind w:right="49"/>
        <w:jc w:val="both"/>
        <w:rPr>
          <w:rFonts w:ascii="Palatino Linotype" w:eastAsia="Palatino Linotype" w:hAnsi="Palatino Linotype" w:cs="Palatino Linotype"/>
          <w:lang w:eastAsia="es-MX"/>
        </w:rPr>
      </w:pPr>
      <w:r w:rsidRPr="00344EC4">
        <w:rPr>
          <w:rFonts w:ascii="Palatino Linotype" w:eastAsia="Palatino Linotype" w:hAnsi="Palatino Linotype" w:cs="Palatino Linotype"/>
          <w:lang w:eastAsia="es-MX"/>
        </w:rPr>
        <w:t xml:space="preserve">Robustece lo anterior, el artículo 92, fracción VIII de la Ley de Transparencia y Acceso a la Información Pública del Estado de México y Municipios, señala: </w:t>
      </w:r>
    </w:p>
    <w:p w:rsidR="00C113BE" w:rsidRPr="00344EC4" w:rsidRDefault="00C113BE" w:rsidP="00C113BE">
      <w:pPr>
        <w:spacing w:line="360" w:lineRule="auto"/>
        <w:ind w:right="49"/>
        <w:jc w:val="both"/>
        <w:rPr>
          <w:rFonts w:ascii="Palatino Linotype" w:eastAsia="Palatino Linotype" w:hAnsi="Palatino Linotype" w:cs="Palatino Linotype"/>
          <w:sz w:val="22"/>
          <w:szCs w:val="22"/>
          <w:lang w:eastAsia="es-MX"/>
        </w:rPr>
      </w:pPr>
    </w:p>
    <w:p w:rsidR="00C113BE" w:rsidRPr="00344EC4" w:rsidRDefault="00C113BE" w:rsidP="00C113BE">
      <w:pPr>
        <w:spacing w:line="276" w:lineRule="auto"/>
        <w:ind w:left="851" w:right="900"/>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C113BE" w:rsidRPr="00344EC4" w:rsidRDefault="00C113BE" w:rsidP="00C113BE">
      <w:pPr>
        <w:spacing w:line="276" w:lineRule="auto"/>
        <w:ind w:left="851" w:right="900"/>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w:t>
      </w:r>
    </w:p>
    <w:p w:rsidR="00C113BE" w:rsidRPr="00344EC4" w:rsidRDefault="00C113BE" w:rsidP="00C113BE">
      <w:pPr>
        <w:spacing w:line="276" w:lineRule="auto"/>
        <w:ind w:left="851" w:right="900"/>
        <w:jc w:val="both"/>
        <w:rPr>
          <w:rFonts w:ascii="Palatino Linotype" w:eastAsia="Palatino Linotype" w:hAnsi="Palatino Linotype" w:cs="Palatino Linotype"/>
          <w:i/>
          <w:sz w:val="22"/>
          <w:szCs w:val="22"/>
          <w:lang w:eastAsia="es-MX"/>
        </w:rPr>
      </w:pPr>
      <w:r w:rsidRPr="00344EC4">
        <w:rPr>
          <w:rFonts w:ascii="Palatino Linotype" w:eastAsia="Palatino Linotype" w:hAnsi="Palatino Linotype" w:cs="Palatino Linotype"/>
          <w:i/>
          <w:sz w:val="22"/>
          <w:szCs w:val="22"/>
          <w:lang w:eastAsia="es-MX"/>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C113BE" w:rsidRPr="00344EC4" w:rsidRDefault="00C113BE" w:rsidP="00C113BE">
      <w:pPr>
        <w:spacing w:line="360" w:lineRule="auto"/>
        <w:jc w:val="both"/>
        <w:rPr>
          <w:rFonts w:ascii="Calibri" w:eastAsia="Calibri" w:hAnsi="Calibri" w:cs="Calibri"/>
          <w:sz w:val="22"/>
          <w:szCs w:val="22"/>
          <w:lang w:eastAsia="es-MX"/>
        </w:rPr>
      </w:pPr>
    </w:p>
    <w:p w:rsidR="00C113BE" w:rsidRPr="00344EC4" w:rsidRDefault="00C113BE" w:rsidP="00C113BE">
      <w:pPr>
        <w:spacing w:line="360" w:lineRule="auto"/>
        <w:jc w:val="both"/>
        <w:rPr>
          <w:rFonts w:ascii="Palatino Linotype" w:eastAsia="Palatino Linotype" w:hAnsi="Palatino Linotype" w:cs="Palatino Linotype"/>
          <w:lang w:eastAsia="es-MX"/>
        </w:rPr>
      </w:pPr>
      <w:r w:rsidRPr="00344EC4">
        <w:rPr>
          <w:rFonts w:ascii="Palatino Linotype" w:eastAsia="Palatino Linotype" w:hAnsi="Palatino Linotype" w:cs="Palatino Linotype"/>
          <w:lang w:eastAsia="es-MX"/>
        </w:rPr>
        <w:lastRenderedPageBreak/>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rsidR="00C113BE" w:rsidRPr="00344EC4" w:rsidRDefault="00C113BE" w:rsidP="00910BF5">
      <w:pPr>
        <w:spacing w:line="360" w:lineRule="auto"/>
        <w:ind w:right="49"/>
        <w:jc w:val="both"/>
        <w:rPr>
          <w:rFonts w:ascii="Palatino Linotype" w:hAnsi="Palatino Linotype" w:cs="Arial"/>
          <w:bCs/>
          <w:szCs w:val="22"/>
          <w:lang w:val="es-ES"/>
        </w:rPr>
      </w:pPr>
    </w:p>
    <w:p w:rsidR="00910BF5" w:rsidRPr="00344EC4" w:rsidRDefault="00C113BE" w:rsidP="00910BF5">
      <w:pPr>
        <w:spacing w:line="360" w:lineRule="auto"/>
        <w:ind w:right="49"/>
        <w:jc w:val="both"/>
        <w:rPr>
          <w:rFonts w:ascii="Palatino Linotype" w:hAnsi="Palatino Linotype" w:cs="Arial"/>
          <w:bCs/>
          <w:szCs w:val="22"/>
          <w:lang w:val="es-ES"/>
        </w:rPr>
      </w:pPr>
      <w:r w:rsidRPr="00344EC4">
        <w:rPr>
          <w:rFonts w:ascii="Palatino Linotype" w:hAnsi="Palatino Linotype" w:cs="Arial"/>
          <w:bCs/>
          <w:szCs w:val="22"/>
          <w:lang w:val="es-ES"/>
        </w:rPr>
        <w:t xml:space="preserve">Bajo otro orden de ideas, por cuanto hace al </w:t>
      </w:r>
      <w:r w:rsidRPr="00344EC4">
        <w:rPr>
          <w:rFonts w:ascii="Palatino Linotype" w:hAnsi="Palatino Linotype" w:cs="Arial"/>
          <w:b/>
          <w:bCs/>
          <w:szCs w:val="22"/>
          <w:lang w:val="es-ES"/>
        </w:rPr>
        <w:t>pago de bonos, aguinaldo y cualquier otra prestación</w:t>
      </w:r>
      <w:r w:rsidRPr="00344EC4">
        <w:rPr>
          <w:rFonts w:ascii="Palatino Linotype" w:hAnsi="Palatino Linotype" w:cs="Arial"/>
          <w:bCs/>
          <w:szCs w:val="22"/>
          <w:lang w:val="es-ES"/>
        </w:rPr>
        <w:t xml:space="preserve">, </w:t>
      </w:r>
      <w:r w:rsidR="00910BF5" w:rsidRPr="00344EC4">
        <w:rPr>
          <w:rFonts w:ascii="Palatino Linotype" w:hAnsi="Palatino Linotype" w:cs="Arial"/>
          <w:bCs/>
          <w:szCs w:val="22"/>
          <w:lang w:val="es-ES"/>
        </w:rPr>
        <w:t xml:space="preserve">la Ley Federal del Trabajo que en su artículo 84 establece lo siguiente: </w:t>
      </w:r>
    </w:p>
    <w:p w:rsidR="00910BF5" w:rsidRPr="00344EC4" w:rsidRDefault="00910BF5" w:rsidP="00910BF5">
      <w:pPr>
        <w:ind w:left="567" w:right="900"/>
        <w:jc w:val="both"/>
        <w:rPr>
          <w:rFonts w:ascii="Palatino Linotype" w:hAnsi="Palatino Linotype" w:cs="Arial"/>
          <w:bCs/>
          <w:i/>
          <w:sz w:val="22"/>
          <w:szCs w:val="22"/>
          <w:lang w:val="x-none"/>
        </w:rPr>
      </w:pPr>
      <w:bookmarkStart w:id="3" w:name="Artículo_84"/>
      <w:r w:rsidRPr="00344EC4">
        <w:rPr>
          <w:rFonts w:ascii="Palatino Linotype" w:hAnsi="Palatino Linotype" w:cs="Arial"/>
          <w:bCs/>
          <w:i/>
          <w:sz w:val="22"/>
          <w:szCs w:val="22"/>
        </w:rPr>
        <w:t>“</w:t>
      </w:r>
      <w:r w:rsidRPr="00344EC4">
        <w:rPr>
          <w:rFonts w:ascii="Palatino Linotype" w:hAnsi="Palatino Linotype" w:cs="Arial"/>
          <w:b/>
          <w:bCs/>
          <w:i/>
          <w:sz w:val="22"/>
          <w:szCs w:val="22"/>
          <w:u w:val="single"/>
        </w:rPr>
        <w:t>Artículo 84</w:t>
      </w:r>
      <w:bookmarkEnd w:id="3"/>
      <w:r w:rsidRPr="00344EC4">
        <w:rPr>
          <w:rFonts w:ascii="Palatino Linotype" w:hAnsi="Palatino Linotype" w:cs="Arial"/>
          <w:b/>
          <w:bCs/>
          <w:i/>
          <w:sz w:val="22"/>
          <w:szCs w:val="22"/>
          <w:u w:val="single"/>
        </w:rPr>
        <w:t>.- El salario se integra con</w:t>
      </w:r>
      <w:r w:rsidRPr="00344EC4">
        <w:rPr>
          <w:rFonts w:ascii="Palatino Linotype" w:hAnsi="Palatino Linotype" w:cs="Arial"/>
          <w:bCs/>
          <w:i/>
          <w:sz w:val="22"/>
          <w:szCs w:val="22"/>
        </w:rPr>
        <w:t xml:space="preserve"> los pagos hechos en efectivo por cuota diaria, gratificaciones, percepciones, habitación, primas, comisiones, </w:t>
      </w:r>
      <w:r w:rsidRPr="00344EC4">
        <w:rPr>
          <w:rFonts w:ascii="Palatino Linotype" w:hAnsi="Palatino Linotype" w:cs="Arial"/>
          <w:b/>
          <w:bCs/>
          <w:i/>
          <w:sz w:val="22"/>
          <w:szCs w:val="22"/>
          <w:u w:val="single"/>
        </w:rPr>
        <w:t>prestaciones en especie y cualquiera otra cantidad o prestación que se entregue al trabajador por su trabajo.</w:t>
      </w:r>
      <w:r w:rsidRPr="00344EC4">
        <w:rPr>
          <w:rFonts w:ascii="Palatino Linotype" w:hAnsi="Palatino Linotype" w:cs="Arial"/>
          <w:bCs/>
          <w:i/>
          <w:sz w:val="22"/>
          <w:szCs w:val="22"/>
        </w:rPr>
        <w:t>”</w:t>
      </w:r>
    </w:p>
    <w:p w:rsidR="00910BF5" w:rsidRPr="00344EC4" w:rsidRDefault="00910BF5" w:rsidP="00910BF5">
      <w:pPr>
        <w:tabs>
          <w:tab w:val="left" w:pos="6435"/>
        </w:tabs>
        <w:ind w:left="567" w:right="900"/>
        <w:jc w:val="both"/>
        <w:rPr>
          <w:rFonts w:ascii="Palatino Linotype" w:hAnsi="Palatino Linotype" w:cs="Arial"/>
          <w:bCs/>
          <w:i/>
          <w:sz w:val="22"/>
          <w:szCs w:val="22"/>
          <w:lang w:val="es-ES"/>
        </w:rPr>
      </w:pPr>
      <w:r w:rsidRPr="00344EC4">
        <w:rPr>
          <w:rFonts w:ascii="Palatino Linotype" w:hAnsi="Palatino Linotype" w:cs="Arial"/>
          <w:bCs/>
          <w:i/>
          <w:sz w:val="22"/>
          <w:szCs w:val="22"/>
          <w:lang w:val="es-ES"/>
        </w:rPr>
        <w:tab/>
      </w:r>
    </w:p>
    <w:p w:rsidR="00910BF5" w:rsidRPr="00344EC4" w:rsidRDefault="00910BF5" w:rsidP="00910BF5">
      <w:pPr>
        <w:spacing w:line="360" w:lineRule="auto"/>
        <w:ind w:right="49"/>
        <w:jc w:val="both"/>
        <w:rPr>
          <w:rFonts w:ascii="Palatino Linotype" w:hAnsi="Palatino Linotype" w:cs="Arial"/>
          <w:bCs/>
          <w:szCs w:val="22"/>
          <w:lang w:val="es-ES"/>
        </w:rPr>
      </w:pPr>
      <w:r w:rsidRPr="00344EC4">
        <w:rPr>
          <w:rFonts w:ascii="Palatino Linotype" w:hAnsi="Palatino Linotype" w:cs="Arial"/>
          <w:bCs/>
          <w:szCs w:val="22"/>
          <w:lang w:val="es-ES"/>
        </w:rPr>
        <w:t xml:space="preserve">En armonía con esta disposición, la Ley del Trabajo de los Servidores Públicos del Estado de México y Municipios prevé lo siguiente referente a las prestaciones de los servidores públicos: </w:t>
      </w:r>
    </w:p>
    <w:p w:rsidR="00910BF5" w:rsidRPr="00344EC4" w:rsidRDefault="00910BF5" w:rsidP="00910BF5">
      <w:pPr>
        <w:ind w:left="851" w:right="900"/>
        <w:jc w:val="both"/>
        <w:rPr>
          <w:rFonts w:ascii="Palatino Linotype" w:hAnsi="Palatino Linotype"/>
          <w:i/>
          <w:sz w:val="22"/>
          <w:szCs w:val="20"/>
        </w:rPr>
      </w:pPr>
      <w:r w:rsidRPr="00344EC4">
        <w:rPr>
          <w:rFonts w:ascii="Palatino Linotype" w:hAnsi="Palatino Linotype"/>
          <w:b/>
          <w:i/>
          <w:sz w:val="22"/>
          <w:szCs w:val="20"/>
        </w:rPr>
        <w:t>…</w:t>
      </w:r>
    </w:p>
    <w:p w:rsidR="00910BF5" w:rsidRPr="00344EC4" w:rsidRDefault="00910BF5" w:rsidP="00910BF5">
      <w:pPr>
        <w:ind w:left="851" w:right="900"/>
        <w:jc w:val="both"/>
        <w:rPr>
          <w:rFonts w:ascii="Palatino Linotype" w:hAnsi="Palatino Linotype"/>
          <w:i/>
          <w:sz w:val="22"/>
          <w:szCs w:val="20"/>
          <w:lang w:val="es-ES"/>
        </w:rPr>
      </w:pPr>
      <w:r w:rsidRPr="00344EC4">
        <w:rPr>
          <w:rFonts w:ascii="Palatino Linotype" w:hAnsi="Palatino Linotype"/>
          <w:b/>
          <w:i/>
          <w:sz w:val="22"/>
          <w:szCs w:val="20"/>
          <w:lang w:val="es-ES"/>
        </w:rPr>
        <w:t>ARTÍCULO 220 K.-</w:t>
      </w:r>
      <w:r w:rsidRPr="00344EC4">
        <w:rPr>
          <w:rFonts w:ascii="Palatino Linotype" w:hAnsi="Palatino Linotype"/>
          <w:i/>
          <w:sz w:val="22"/>
          <w:szCs w:val="20"/>
          <w:lang w:val="es-ES"/>
        </w:rPr>
        <w:t xml:space="preserve"> La institución o dependencia pública tiene la obligación de conservar y exhibir en el proceso los documentos que a continuación se precisan:</w:t>
      </w:r>
    </w:p>
    <w:p w:rsidR="00910BF5" w:rsidRPr="00344EC4" w:rsidRDefault="00910BF5" w:rsidP="00910BF5">
      <w:pPr>
        <w:ind w:left="851" w:right="900"/>
        <w:jc w:val="both"/>
        <w:rPr>
          <w:rFonts w:ascii="Palatino Linotype" w:hAnsi="Palatino Linotype"/>
          <w:i/>
          <w:sz w:val="22"/>
          <w:szCs w:val="20"/>
          <w:lang w:val="es-ES"/>
        </w:rPr>
      </w:pPr>
    </w:p>
    <w:p w:rsidR="00910BF5" w:rsidRPr="00344EC4" w:rsidRDefault="00910BF5" w:rsidP="00910BF5">
      <w:pPr>
        <w:ind w:left="851" w:right="900"/>
        <w:jc w:val="both"/>
        <w:rPr>
          <w:rFonts w:ascii="Palatino Linotype" w:hAnsi="Palatino Linotype"/>
          <w:i/>
          <w:sz w:val="22"/>
          <w:szCs w:val="20"/>
        </w:rPr>
      </w:pPr>
      <w:r w:rsidRPr="00344EC4">
        <w:rPr>
          <w:rFonts w:ascii="Palatino Linotype" w:hAnsi="Palatino Linotype"/>
          <w:i/>
          <w:sz w:val="22"/>
          <w:szCs w:val="20"/>
        </w:rPr>
        <w:t>[…]</w:t>
      </w:r>
    </w:p>
    <w:p w:rsidR="00910BF5" w:rsidRPr="00344EC4" w:rsidRDefault="00910BF5" w:rsidP="00910BF5">
      <w:pPr>
        <w:ind w:left="851" w:right="900"/>
        <w:jc w:val="both"/>
        <w:rPr>
          <w:rFonts w:ascii="Palatino Linotype" w:hAnsi="Palatino Linotype"/>
          <w:i/>
          <w:sz w:val="22"/>
          <w:szCs w:val="20"/>
        </w:rPr>
      </w:pPr>
      <w:r w:rsidRPr="00344EC4">
        <w:rPr>
          <w:rFonts w:ascii="Palatino Linotype" w:hAnsi="Palatino Linotype"/>
          <w:b/>
          <w:i/>
          <w:sz w:val="22"/>
          <w:szCs w:val="20"/>
          <w:u w:val="single"/>
          <w:lang w:val="es-ES"/>
        </w:rPr>
        <w:t>IV. Recibos o las constancias de depósito o del medio de información magnética o electrónica que sean utilizadas para el pago de salarios, prima vacacional, aguinaldo y demás prestaciones establecidas en la presente ley</w:t>
      </w:r>
      <w:r w:rsidRPr="00344EC4">
        <w:rPr>
          <w:rFonts w:ascii="Palatino Linotype" w:hAnsi="Palatino Linotype"/>
          <w:i/>
          <w:sz w:val="22"/>
          <w:szCs w:val="20"/>
          <w:lang w:val="es-ES"/>
        </w:rPr>
        <w:t>;</w:t>
      </w:r>
      <w:r w:rsidRPr="00344EC4">
        <w:rPr>
          <w:rFonts w:ascii="Palatino Linotype" w:hAnsi="Palatino Linotype"/>
          <w:i/>
          <w:sz w:val="22"/>
          <w:szCs w:val="20"/>
        </w:rPr>
        <w:t>”</w:t>
      </w:r>
    </w:p>
    <w:p w:rsidR="00910BF5" w:rsidRPr="00344EC4" w:rsidRDefault="00910BF5" w:rsidP="00910BF5">
      <w:pPr>
        <w:ind w:left="851" w:right="900"/>
        <w:jc w:val="both"/>
        <w:rPr>
          <w:rFonts w:ascii="Palatino Linotype" w:hAnsi="Palatino Linotype"/>
          <w:i/>
          <w:sz w:val="22"/>
          <w:szCs w:val="20"/>
        </w:rPr>
      </w:pPr>
      <w:r w:rsidRPr="00344EC4">
        <w:rPr>
          <w:rFonts w:ascii="Palatino Linotype" w:hAnsi="Palatino Linotype"/>
          <w:i/>
          <w:sz w:val="22"/>
          <w:szCs w:val="20"/>
          <w:lang w:val="es-ES"/>
        </w:rPr>
        <w:t>(Sic) (Énfasis añadido)</w:t>
      </w:r>
    </w:p>
    <w:p w:rsidR="00910BF5" w:rsidRPr="00344EC4" w:rsidRDefault="00910BF5" w:rsidP="00910BF5">
      <w:pPr>
        <w:spacing w:line="360" w:lineRule="auto"/>
        <w:ind w:right="49"/>
        <w:jc w:val="both"/>
        <w:rPr>
          <w:rFonts w:ascii="Palatino Linotype" w:hAnsi="Palatino Linotype" w:cs="Arial"/>
          <w:bCs/>
          <w:szCs w:val="22"/>
          <w:lang w:val="es-ES"/>
        </w:rPr>
      </w:pPr>
    </w:p>
    <w:p w:rsidR="00D3011C" w:rsidRPr="00344EC4" w:rsidRDefault="00910BF5" w:rsidP="00910BF5">
      <w:pPr>
        <w:spacing w:line="360" w:lineRule="auto"/>
        <w:ind w:right="49"/>
        <w:jc w:val="both"/>
        <w:rPr>
          <w:rFonts w:ascii="Palatino Linotype" w:hAnsi="Palatino Linotype" w:cs="Arial"/>
          <w:bCs/>
          <w:szCs w:val="22"/>
          <w:lang w:val="es-ES"/>
        </w:rPr>
      </w:pPr>
      <w:r w:rsidRPr="00344EC4">
        <w:rPr>
          <w:rFonts w:ascii="Palatino Linotype" w:hAnsi="Palatino Linotype" w:cs="Arial"/>
          <w:bCs/>
          <w:szCs w:val="22"/>
          <w:lang w:val="es-ES"/>
        </w:rPr>
        <w:lastRenderedPageBreak/>
        <w:t>De tal su</w:t>
      </w:r>
      <w:r w:rsidR="00710CF3" w:rsidRPr="00344EC4">
        <w:rPr>
          <w:rFonts w:ascii="Palatino Linotype" w:hAnsi="Palatino Linotype" w:cs="Arial"/>
          <w:bCs/>
          <w:szCs w:val="22"/>
          <w:lang w:val="es-ES"/>
        </w:rPr>
        <w:t xml:space="preserve">erte que la normatividad </w:t>
      </w:r>
      <w:r w:rsidRPr="00344EC4">
        <w:rPr>
          <w:rFonts w:ascii="Palatino Linotype" w:hAnsi="Palatino Linotype" w:cs="Arial"/>
          <w:bCs/>
          <w:szCs w:val="22"/>
          <w:lang w:val="es-ES"/>
        </w:rPr>
        <w:t xml:space="preserve">mandata a las instituciones públicas el resguardo de diversos soportes documentales, entre los que destacan las constancias de depósito o cualquier medio de información magnético empleado para el pago de salarios, prima vacacional, </w:t>
      </w:r>
      <w:r w:rsidR="00103ABE" w:rsidRPr="00344EC4">
        <w:rPr>
          <w:rFonts w:ascii="Palatino Linotype" w:hAnsi="Palatino Linotype" w:cs="Arial"/>
          <w:bCs/>
          <w:szCs w:val="22"/>
          <w:lang w:val="es-ES"/>
        </w:rPr>
        <w:t xml:space="preserve">aguinaldo y demás prestaciones. </w:t>
      </w:r>
    </w:p>
    <w:p w:rsidR="00C74C55" w:rsidRPr="00344EC4" w:rsidRDefault="00C051D2" w:rsidP="00C051D2">
      <w:pPr>
        <w:pBdr>
          <w:top w:val="nil"/>
          <w:left w:val="nil"/>
          <w:bottom w:val="nil"/>
          <w:right w:val="nil"/>
          <w:between w:val="nil"/>
        </w:pBdr>
        <w:spacing w:before="240" w:after="240" w:line="360" w:lineRule="auto"/>
        <w:jc w:val="both"/>
        <w:rPr>
          <w:rFonts w:ascii="Palatino Linotype" w:hAnsi="Palatino Linotype" w:cs="Arial"/>
          <w:bCs/>
          <w:szCs w:val="22"/>
          <w:lang w:val="es-ES"/>
        </w:rPr>
      </w:pPr>
      <w:r w:rsidRPr="00344EC4">
        <w:rPr>
          <w:rFonts w:ascii="Palatino Linotype" w:hAnsi="Palatino Linotype" w:cs="Arial"/>
          <w:bCs/>
          <w:szCs w:val="22"/>
          <w:lang w:val="es-ES"/>
        </w:rPr>
        <w:t>Es por todo lo anteriormente expuesto que se estima procedente la entrega de los documentos donde conste el pago de la nómina, bonos, aguinaldo y cualquier otra prestación que haya tenido la servidora pública referida en la solicitud de información, durante el periodo del 1 de enero del 2016 al 15 de agosto de 2022, ello conforme a las disposiciones del siguiente considerando.</w:t>
      </w:r>
    </w:p>
    <w:p w:rsidR="00C051D2" w:rsidRPr="00344EC4" w:rsidRDefault="00C051D2" w:rsidP="00C051D2">
      <w:pPr>
        <w:spacing w:before="240" w:after="240" w:line="360" w:lineRule="auto"/>
        <w:ind w:right="51"/>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b/>
          <w:sz w:val="22"/>
          <w:szCs w:val="22"/>
          <w:lang w:eastAsia="en-US"/>
        </w:rPr>
        <w:t xml:space="preserve">Quinto. Versión Pública. </w:t>
      </w:r>
      <w:r w:rsidRPr="00344EC4">
        <w:rPr>
          <w:rFonts w:ascii="Palatino Linotype" w:eastAsia="Palatino Linotype" w:hAnsi="Palatino Linotype" w:cs="Palatino Linotype"/>
          <w:sz w:val="22"/>
          <w:szCs w:val="22"/>
          <w:lang w:eastAsia="en-US"/>
        </w:rPr>
        <w:t>Como fue debidamente apuntado, el </w:t>
      </w:r>
      <w:r w:rsidRPr="00344EC4">
        <w:rPr>
          <w:rFonts w:ascii="Palatino Linotype" w:eastAsia="Palatino Linotype" w:hAnsi="Palatino Linotype" w:cs="Palatino Linotype"/>
          <w:b/>
          <w:sz w:val="22"/>
          <w:szCs w:val="22"/>
          <w:lang w:eastAsia="en-US"/>
        </w:rPr>
        <w:t>Sujeto Obligado</w:t>
      </w:r>
      <w:r w:rsidRPr="00344EC4">
        <w:rPr>
          <w:rFonts w:ascii="Palatino Linotype" w:eastAsia="Palatino Linotype" w:hAnsi="Palatino Linotype" w:cs="Palatino Linotype"/>
          <w:sz w:val="22"/>
          <w:szCs w:val="22"/>
          <w:lang w:eastAsia="en-US"/>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C051D2" w:rsidRPr="00344EC4" w:rsidRDefault="00C051D2" w:rsidP="00C051D2">
      <w:pPr>
        <w:spacing w:before="240" w:after="240" w:line="360" w:lineRule="auto"/>
        <w:ind w:right="49"/>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C051D2" w:rsidRPr="00344EC4" w:rsidRDefault="00C051D2" w:rsidP="00C051D2">
      <w:pPr>
        <w:spacing w:before="240" w:after="240" w:line="360" w:lineRule="auto"/>
        <w:ind w:right="49"/>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C051D2" w:rsidRPr="00344EC4" w:rsidRDefault="00C051D2" w:rsidP="00C051D2">
      <w:pPr>
        <w:spacing w:before="240" w:after="240" w:line="360" w:lineRule="auto"/>
        <w:ind w:right="49"/>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lastRenderedPageBreak/>
        <w:t>Al respecto, los artículos 3, fracciones IX, XX, XXI, XXXII, XLV; 6, 91, 137, 143 fracción I, de la Ley de Transparencia y Acceso a la Información Pública del Estado de México y Municipios vigente establecen:</w:t>
      </w:r>
    </w:p>
    <w:p w:rsidR="00C051D2" w:rsidRPr="00344EC4" w:rsidRDefault="00C051D2" w:rsidP="00F76EE2">
      <w:pPr>
        <w:spacing w:before="120" w:after="120" w:line="259" w:lineRule="auto"/>
        <w:ind w:left="567"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sz w:val="22"/>
          <w:szCs w:val="22"/>
          <w:lang w:eastAsia="en-US"/>
        </w:rPr>
        <w:t> </w:t>
      </w:r>
      <w:r w:rsidRPr="00344EC4">
        <w:rPr>
          <w:rFonts w:ascii="Palatino Linotype" w:eastAsia="Palatino Linotype" w:hAnsi="Palatino Linotype" w:cs="Palatino Linotype"/>
          <w:i/>
          <w:sz w:val="22"/>
          <w:szCs w:val="22"/>
          <w:lang w:eastAsia="en-US"/>
        </w:rPr>
        <w:t>“</w:t>
      </w:r>
      <w:r w:rsidRPr="00344EC4">
        <w:rPr>
          <w:rFonts w:ascii="Palatino Linotype" w:eastAsia="Palatino Linotype" w:hAnsi="Palatino Linotype" w:cs="Palatino Linotype"/>
          <w:b/>
          <w:i/>
          <w:sz w:val="22"/>
          <w:szCs w:val="22"/>
          <w:lang w:eastAsia="en-US"/>
        </w:rPr>
        <w:t>Artículo 3.</w:t>
      </w:r>
      <w:r w:rsidRPr="00344EC4">
        <w:rPr>
          <w:rFonts w:ascii="Palatino Linotype" w:eastAsia="Palatino Linotype" w:hAnsi="Palatino Linotype" w:cs="Palatino Linotype"/>
          <w:i/>
          <w:sz w:val="22"/>
          <w:szCs w:val="22"/>
          <w:lang w:eastAsia="en-US"/>
        </w:rPr>
        <w:t xml:space="preserve"> Para los efectos de la presente Ley se entenderá por:</w:t>
      </w:r>
    </w:p>
    <w:p w:rsidR="00C051D2" w:rsidRPr="00344EC4" w:rsidRDefault="00C051D2" w:rsidP="00F76EE2">
      <w:pPr>
        <w:tabs>
          <w:tab w:val="left" w:pos="1276"/>
        </w:tabs>
        <w:spacing w:before="120" w:after="120" w:line="259" w:lineRule="auto"/>
        <w:ind w:left="567"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w:t>
      </w:r>
    </w:p>
    <w:p w:rsidR="00C051D2" w:rsidRPr="00344EC4" w:rsidRDefault="00C051D2" w:rsidP="00F76EE2">
      <w:pPr>
        <w:tabs>
          <w:tab w:val="left" w:pos="1276"/>
        </w:tabs>
        <w:spacing w:before="120" w:after="120" w:line="259" w:lineRule="auto"/>
        <w:ind w:left="567"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IX. Datos personales</w:t>
      </w:r>
      <w:r w:rsidRPr="00344EC4">
        <w:rPr>
          <w:rFonts w:ascii="Palatino Linotype" w:eastAsia="Palatino Linotype" w:hAnsi="Palatino Linotype" w:cs="Palatino Linotype"/>
          <w:i/>
          <w:sz w:val="22"/>
          <w:szCs w:val="22"/>
          <w:lang w:eastAsia="en-US"/>
        </w:rPr>
        <w:t>: La información concerniente a una persona, identificada o identificable según lo dispuesto por la Ley de Protección de Datos Personales del Estado de México;</w:t>
      </w:r>
    </w:p>
    <w:p w:rsidR="00C051D2" w:rsidRPr="00344EC4" w:rsidRDefault="00C051D2" w:rsidP="00F76EE2">
      <w:pPr>
        <w:tabs>
          <w:tab w:val="left" w:pos="1276"/>
        </w:tabs>
        <w:spacing w:before="120" w:after="120" w:line="259" w:lineRule="auto"/>
        <w:ind w:left="567"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w:t>
      </w:r>
    </w:p>
    <w:p w:rsidR="00C051D2" w:rsidRPr="00344EC4" w:rsidRDefault="00C051D2" w:rsidP="00F76EE2">
      <w:pPr>
        <w:tabs>
          <w:tab w:val="left" w:pos="1276"/>
        </w:tabs>
        <w:spacing w:before="120" w:after="120" w:line="259" w:lineRule="auto"/>
        <w:ind w:left="567"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XX. Información clasificada</w:t>
      </w:r>
      <w:r w:rsidRPr="00344EC4">
        <w:rPr>
          <w:rFonts w:ascii="Palatino Linotype" w:eastAsia="Palatino Linotype" w:hAnsi="Palatino Linotype" w:cs="Palatino Linotype"/>
          <w:i/>
          <w:sz w:val="22"/>
          <w:szCs w:val="22"/>
          <w:lang w:eastAsia="en-US"/>
        </w:rPr>
        <w:t>: Aquella considerada por la presente Ley como reservada o confidencial;</w:t>
      </w:r>
    </w:p>
    <w:p w:rsidR="00C051D2" w:rsidRPr="00344EC4" w:rsidRDefault="00C051D2" w:rsidP="00F76EE2">
      <w:pPr>
        <w:tabs>
          <w:tab w:val="left" w:pos="1276"/>
        </w:tabs>
        <w:spacing w:before="120" w:after="120" w:line="259" w:lineRule="auto"/>
        <w:ind w:left="567"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XXI. Información confidencial</w:t>
      </w:r>
      <w:r w:rsidRPr="00344EC4">
        <w:rPr>
          <w:rFonts w:ascii="Palatino Linotype" w:eastAsia="Palatino Linotype" w:hAnsi="Palatino Linotype" w:cs="Palatino Linotype"/>
          <w:i/>
          <w:sz w:val="22"/>
          <w:szCs w:val="22"/>
          <w:lang w:eastAsia="en-US"/>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051D2" w:rsidRPr="00344EC4" w:rsidRDefault="00C051D2" w:rsidP="00F76EE2">
      <w:pPr>
        <w:tabs>
          <w:tab w:val="left" w:pos="1276"/>
        </w:tabs>
        <w:spacing w:before="120" w:after="120" w:line="259" w:lineRule="auto"/>
        <w:ind w:left="567"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w:t>
      </w:r>
    </w:p>
    <w:p w:rsidR="00C051D2" w:rsidRPr="00344EC4" w:rsidRDefault="00C051D2" w:rsidP="00F76EE2">
      <w:pPr>
        <w:tabs>
          <w:tab w:val="left" w:pos="1276"/>
        </w:tabs>
        <w:spacing w:before="120" w:after="120" w:line="259" w:lineRule="auto"/>
        <w:ind w:left="567"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XXXII. Protección de Datos Personales</w:t>
      </w:r>
      <w:r w:rsidRPr="00344EC4">
        <w:rPr>
          <w:rFonts w:ascii="Palatino Linotype" w:eastAsia="Palatino Linotype" w:hAnsi="Palatino Linotype" w:cs="Palatino Linotype"/>
          <w:i/>
          <w:sz w:val="22"/>
          <w:szCs w:val="22"/>
          <w:lang w:eastAsia="en-US"/>
        </w:rPr>
        <w:t>: Derecho humano que tutela la privacidad de datos personales en poder de los sujetos obligados y sujetos particulares;</w:t>
      </w:r>
    </w:p>
    <w:p w:rsidR="00C051D2" w:rsidRPr="00344EC4" w:rsidRDefault="00C051D2" w:rsidP="00F76EE2">
      <w:pPr>
        <w:tabs>
          <w:tab w:val="left" w:pos="1276"/>
        </w:tabs>
        <w:spacing w:before="120" w:after="120" w:line="259" w:lineRule="auto"/>
        <w:ind w:left="567"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w:t>
      </w:r>
    </w:p>
    <w:p w:rsidR="00C051D2" w:rsidRPr="00344EC4" w:rsidRDefault="00C051D2" w:rsidP="00C051D2">
      <w:pPr>
        <w:tabs>
          <w:tab w:val="left" w:pos="1276"/>
        </w:tabs>
        <w:spacing w:before="120" w:after="120" w:line="259" w:lineRule="auto"/>
        <w:ind w:left="567"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XLV. Versión pública</w:t>
      </w:r>
      <w:r w:rsidRPr="00344EC4">
        <w:rPr>
          <w:rFonts w:ascii="Palatino Linotype" w:eastAsia="Palatino Linotype" w:hAnsi="Palatino Linotype" w:cs="Palatino Linotype"/>
          <w:i/>
          <w:sz w:val="22"/>
          <w:szCs w:val="22"/>
          <w:lang w:eastAsia="en-US"/>
        </w:rPr>
        <w:t>: Documento en el que se elimine, suprime o borra la información clasificada como reservada o confidencial para permitir su acceso.</w:t>
      </w:r>
    </w:p>
    <w:p w:rsidR="00C051D2" w:rsidRPr="00344EC4" w:rsidRDefault="00C051D2" w:rsidP="00C051D2">
      <w:pPr>
        <w:spacing w:before="120" w:after="120" w:line="259" w:lineRule="auto"/>
        <w:ind w:left="567"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 Artículo 6</w:t>
      </w:r>
      <w:r w:rsidRPr="00344EC4">
        <w:rPr>
          <w:rFonts w:ascii="Palatino Linotype" w:eastAsia="Palatino Linotype" w:hAnsi="Palatino Linotype" w:cs="Palatino Linotype"/>
          <w:i/>
          <w:sz w:val="22"/>
          <w:szCs w:val="22"/>
          <w:lang w:eastAsia="en-US"/>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C051D2" w:rsidRPr="00344EC4" w:rsidRDefault="00C051D2" w:rsidP="00C051D2">
      <w:pPr>
        <w:spacing w:before="120" w:after="120" w:line="259" w:lineRule="auto"/>
        <w:ind w:left="567"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 (…)</w:t>
      </w:r>
    </w:p>
    <w:p w:rsidR="00C051D2" w:rsidRPr="00344EC4" w:rsidRDefault="00C051D2" w:rsidP="00C051D2">
      <w:pPr>
        <w:spacing w:before="120" w:after="120" w:line="259" w:lineRule="auto"/>
        <w:ind w:left="567"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lastRenderedPageBreak/>
        <w:t>Artículo 91.</w:t>
      </w:r>
      <w:r w:rsidRPr="00344EC4">
        <w:rPr>
          <w:rFonts w:ascii="Palatino Linotype" w:eastAsia="Palatino Linotype" w:hAnsi="Palatino Linotype" w:cs="Palatino Linotype"/>
          <w:i/>
          <w:sz w:val="22"/>
          <w:szCs w:val="22"/>
          <w:lang w:eastAsia="en-US"/>
        </w:rPr>
        <w:t xml:space="preserve"> El acceso a la información pública será restringido excepcionalmente, cuando ésta sea clasificada como reservada o confidencial.</w:t>
      </w:r>
    </w:p>
    <w:p w:rsidR="00C051D2" w:rsidRPr="00344EC4" w:rsidRDefault="00C051D2" w:rsidP="00C051D2">
      <w:pPr>
        <w:spacing w:before="120" w:after="120" w:line="259" w:lineRule="auto"/>
        <w:ind w:left="567"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w:t>
      </w:r>
    </w:p>
    <w:p w:rsidR="00C051D2" w:rsidRPr="00344EC4" w:rsidRDefault="00C051D2" w:rsidP="00C051D2">
      <w:pPr>
        <w:spacing w:before="120" w:after="120" w:line="259" w:lineRule="auto"/>
        <w:ind w:left="567"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Artículo 137.</w:t>
      </w:r>
      <w:r w:rsidRPr="00344EC4">
        <w:rPr>
          <w:rFonts w:ascii="Palatino Linotype" w:eastAsia="Palatino Linotype" w:hAnsi="Palatino Linotype" w:cs="Palatino Linotype"/>
          <w:i/>
          <w:sz w:val="22"/>
          <w:szCs w:val="22"/>
          <w:lang w:eastAsia="en-U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051D2" w:rsidRPr="00344EC4" w:rsidRDefault="00C051D2" w:rsidP="00C051D2">
      <w:pPr>
        <w:spacing w:before="120" w:after="120" w:line="259" w:lineRule="auto"/>
        <w:ind w:left="567"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 Artículo 143.</w:t>
      </w:r>
      <w:r w:rsidRPr="00344EC4">
        <w:rPr>
          <w:rFonts w:ascii="Palatino Linotype" w:eastAsia="Palatino Linotype" w:hAnsi="Palatino Linotype" w:cs="Palatino Linotype"/>
          <w:i/>
          <w:sz w:val="22"/>
          <w:szCs w:val="22"/>
          <w:lang w:eastAsia="en-US"/>
        </w:rPr>
        <w:t xml:space="preserve"> Para los efectos de esta Ley se considera información confidencial, la clasificada como tal, de manera permanente, por su naturaleza, cuando:</w:t>
      </w:r>
    </w:p>
    <w:p w:rsidR="00C051D2" w:rsidRPr="00344EC4" w:rsidRDefault="00C051D2" w:rsidP="00C051D2">
      <w:pPr>
        <w:spacing w:before="120" w:after="120" w:line="259" w:lineRule="auto"/>
        <w:ind w:left="567"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I.</w:t>
      </w:r>
      <w:r w:rsidRPr="00344EC4">
        <w:rPr>
          <w:rFonts w:ascii="Palatino Linotype" w:eastAsia="Palatino Linotype" w:hAnsi="Palatino Linotype" w:cs="Palatino Linotype"/>
          <w:i/>
          <w:sz w:val="22"/>
          <w:szCs w:val="22"/>
          <w:lang w:eastAsia="en-US"/>
        </w:rPr>
        <w:t xml:space="preserve"> Se refiera a la información privada y los datos personales concernientes a una persona física o jurídico colectiva identificada o identificable...”</w:t>
      </w:r>
    </w:p>
    <w:p w:rsidR="00C051D2" w:rsidRPr="00344EC4" w:rsidRDefault="00C051D2" w:rsidP="00C051D2">
      <w:pPr>
        <w:spacing w:before="240" w:after="240" w:line="360" w:lineRule="auto"/>
        <w:ind w:right="50"/>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44EC4">
        <w:rPr>
          <w:rFonts w:ascii="Palatino Linotype" w:eastAsia="Palatino Linotype" w:hAnsi="Palatino Linotype" w:cs="Palatino Linotype"/>
          <w:b/>
          <w:sz w:val="22"/>
          <w:szCs w:val="22"/>
          <w:lang w:eastAsia="en-US"/>
        </w:rPr>
        <w:t>Sujeto Obligado</w:t>
      </w:r>
      <w:r w:rsidRPr="00344EC4">
        <w:rPr>
          <w:rFonts w:ascii="Palatino Linotype" w:eastAsia="Palatino Linotype" w:hAnsi="Palatino Linotype" w:cs="Palatino Linotype"/>
          <w:sz w:val="22"/>
          <w:szCs w:val="22"/>
          <w:lang w:eastAsia="en-US"/>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C051D2" w:rsidRPr="00344EC4" w:rsidRDefault="00C051D2" w:rsidP="00C051D2">
      <w:pPr>
        <w:spacing w:before="240" w:after="240" w:line="360" w:lineRule="auto"/>
        <w:ind w:right="50"/>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C051D2" w:rsidRPr="00344EC4" w:rsidRDefault="00C051D2" w:rsidP="00C051D2">
      <w:pPr>
        <w:spacing w:before="240" w:after="240" w:line="360" w:lineRule="auto"/>
        <w:jc w:val="both"/>
        <w:rPr>
          <w:rFonts w:ascii="Palatino Linotype" w:eastAsia="Calibri" w:hAnsi="Palatino Linotype" w:cs="Arial"/>
          <w:sz w:val="22"/>
          <w:szCs w:val="22"/>
          <w:lang w:eastAsia="en-US"/>
        </w:rPr>
      </w:pPr>
      <w:r w:rsidRPr="00344EC4">
        <w:rPr>
          <w:rFonts w:ascii="Palatino Linotype" w:eastAsia="Palatino Linotype" w:hAnsi="Palatino Linotype" w:cs="Palatino Linotype"/>
          <w:sz w:val="22"/>
          <w:szCs w:val="22"/>
          <w:lang w:eastAsia="en-US"/>
        </w:rPr>
        <w:lastRenderedPageBreak/>
        <w:t xml:space="preserve">En el caso específico, dada la naturaleza de la información que se ordena, si bien tiene el carácter información pública en razón de que se trata de documentos que se encuentran en posesión del </w:t>
      </w:r>
      <w:r w:rsidRPr="00344EC4">
        <w:rPr>
          <w:rFonts w:ascii="Palatino Linotype" w:eastAsia="Palatino Linotype" w:hAnsi="Palatino Linotype" w:cs="Palatino Linotype"/>
          <w:b/>
          <w:sz w:val="22"/>
          <w:szCs w:val="22"/>
          <w:lang w:eastAsia="en-US"/>
        </w:rPr>
        <w:t>Sujeto Obligado</w:t>
      </w:r>
      <w:r w:rsidRPr="00344EC4">
        <w:rPr>
          <w:rFonts w:ascii="Palatino Linotype" w:eastAsia="Palatino Linotype" w:hAnsi="Palatino Linotype" w:cs="Palatino Linotype"/>
          <w:sz w:val="22"/>
          <w:szCs w:val="22"/>
          <w:lang w:eastAsia="en-US"/>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344EC4">
        <w:rPr>
          <w:rFonts w:ascii="Palatino Linotype" w:eastAsia="Palatino Linotype" w:hAnsi="Palatino Linotype" w:cs="Palatino Linotype"/>
          <w:b/>
          <w:sz w:val="22"/>
          <w:szCs w:val="22"/>
          <w:lang w:eastAsia="en-US"/>
        </w:rPr>
        <w:t>Registro Federal de Contribuyentes</w:t>
      </w:r>
      <w:r w:rsidRPr="00344EC4">
        <w:rPr>
          <w:rFonts w:ascii="Palatino Linotype" w:eastAsia="Palatino Linotype" w:hAnsi="Palatino Linotype" w:cs="Palatino Linotype"/>
          <w:sz w:val="22"/>
          <w:szCs w:val="22"/>
          <w:lang w:eastAsia="en-US"/>
        </w:rPr>
        <w:t xml:space="preserve"> (RFC), la </w:t>
      </w:r>
      <w:r w:rsidRPr="00344EC4">
        <w:rPr>
          <w:rFonts w:ascii="Palatino Linotype" w:eastAsia="Palatino Linotype" w:hAnsi="Palatino Linotype" w:cs="Palatino Linotype"/>
          <w:b/>
          <w:sz w:val="22"/>
          <w:szCs w:val="22"/>
          <w:lang w:eastAsia="en-US"/>
        </w:rPr>
        <w:t>Clave Única de Registro de Población</w:t>
      </w:r>
      <w:r w:rsidRPr="00344EC4">
        <w:rPr>
          <w:rFonts w:ascii="Palatino Linotype" w:eastAsia="Palatino Linotype" w:hAnsi="Palatino Linotype" w:cs="Palatino Linotype"/>
          <w:sz w:val="22"/>
          <w:szCs w:val="22"/>
          <w:lang w:eastAsia="en-US"/>
        </w:rPr>
        <w:t xml:space="preserve"> (CURP), la </w:t>
      </w:r>
      <w:r w:rsidRPr="00344EC4">
        <w:rPr>
          <w:rFonts w:ascii="Palatino Linotype" w:eastAsia="Palatino Linotype" w:hAnsi="Palatino Linotype" w:cs="Palatino Linotype"/>
          <w:b/>
          <w:sz w:val="22"/>
          <w:szCs w:val="22"/>
          <w:lang w:eastAsia="en-US"/>
        </w:rPr>
        <w:t>Clave de cualquier tipo de seguridad social</w:t>
      </w:r>
      <w:r w:rsidRPr="00344EC4">
        <w:rPr>
          <w:rFonts w:ascii="Palatino Linotype" w:eastAsia="Palatino Linotype" w:hAnsi="Palatino Linotype" w:cs="Palatino Linotype"/>
          <w:sz w:val="22"/>
          <w:szCs w:val="22"/>
          <w:lang w:eastAsia="en-US"/>
        </w:rPr>
        <w:t xml:space="preserve"> (ISSEMYM, u otros), los </w:t>
      </w:r>
      <w:r w:rsidRPr="00344EC4">
        <w:rPr>
          <w:rFonts w:ascii="Palatino Linotype" w:eastAsia="Palatino Linotype" w:hAnsi="Palatino Linotype" w:cs="Palatino Linotype"/>
          <w:b/>
          <w:sz w:val="22"/>
          <w:szCs w:val="22"/>
          <w:lang w:eastAsia="en-US"/>
        </w:rPr>
        <w:t>números de cuentas bancarias</w:t>
      </w:r>
      <w:r w:rsidRPr="00344EC4">
        <w:rPr>
          <w:rFonts w:ascii="Palatino Linotype" w:eastAsia="Palatino Linotype" w:hAnsi="Palatino Linotype" w:cs="Palatino Linotype"/>
          <w:sz w:val="22"/>
          <w:szCs w:val="22"/>
          <w:lang w:eastAsia="en-US"/>
        </w:rPr>
        <w:t xml:space="preserve">, claves estandarizadas – interbancarias - (CLABES) y de tarjetas, los </w:t>
      </w:r>
      <w:r w:rsidRPr="00344EC4">
        <w:rPr>
          <w:rFonts w:ascii="Palatino Linotype" w:eastAsia="Palatino Linotype" w:hAnsi="Palatino Linotype" w:cs="Palatino Linotype"/>
          <w:b/>
          <w:sz w:val="22"/>
          <w:szCs w:val="22"/>
          <w:lang w:eastAsia="en-US"/>
        </w:rPr>
        <w:t>préstamos o descuentos</w:t>
      </w:r>
      <w:r w:rsidRPr="00344EC4">
        <w:rPr>
          <w:rFonts w:ascii="Palatino Linotype" w:eastAsia="Palatino Linotype" w:hAnsi="Palatino Linotype" w:cs="Palatino Linotype"/>
          <w:sz w:val="22"/>
          <w:szCs w:val="22"/>
          <w:lang w:eastAsia="en-US"/>
        </w:rPr>
        <w:t xml:space="preserve"> que se le hagan a la persona y que no tengan relación con los impuestos o la cuota por seguridad social, el</w:t>
      </w:r>
      <w:r w:rsidRPr="00344EC4">
        <w:rPr>
          <w:rFonts w:ascii="Palatino Linotype" w:eastAsia="Palatino Linotype" w:hAnsi="Palatino Linotype" w:cs="Palatino Linotype"/>
          <w:b/>
          <w:sz w:val="22"/>
          <w:szCs w:val="22"/>
          <w:lang w:eastAsia="en-US"/>
        </w:rPr>
        <w:t xml:space="preserve"> número de empleado, </w:t>
      </w:r>
      <w:r w:rsidRPr="00344EC4">
        <w:rPr>
          <w:rFonts w:ascii="Palatino Linotype" w:eastAsia="Calibri" w:hAnsi="Palatino Linotype" w:cs="Arial"/>
          <w:sz w:val="22"/>
          <w:szCs w:val="22"/>
          <w:lang w:eastAsia="en-US"/>
        </w:rPr>
        <w:t xml:space="preserve">así como de ser el caso, el </w:t>
      </w:r>
      <w:r w:rsidRPr="00344EC4">
        <w:rPr>
          <w:rFonts w:ascii="Palatino Linotype" w:eastAsia="Calibri" w:hAnsi="Palatino Linotype" w:cs="Arial"/>
          <w:b/>
          <w:sz w:val="22"/>
          <w:szCs w:val="22"/>
          <w:lang w:eastAsia="en-US"/>
        </w:rPr>
        <w:t>folio fiscal</w:t>
      </w:r>
      <w:r w:rsidRPr="00344EC4">
        <w:rPr>
          <w:rFonts w:ascii="Palatino Linotype" w:eastAsia="Calibri" w:hAnsi="Palatino Linotype" w:cs="Arial"/>
          <w:sz w:val="22"/>
          <w:szCs w:val="22"/>
          <w:lang w:eastAsia="en-US"/>
        </w:rPr>
        <w:t xml:space="preserve">, la  </w:t>
      </w:r>
      <w:r w:rsidRPr="00344EC4">
        <w:rPr>
          <w:rFonts w:ascii="Palatino Linotype" w:eastAsia="Calibri" w:hAnsi="Palatino Linotype" w:cs="Arial"/>
          <w:b/>
          <w:sz w:val="22"/>
          <w:szCs w:val="22"/>
          <w:lang w:eastAsia="en-US"/>
        </w:rPr>
        <w:t xml:space="preserve">cadena original, </w:t>
      </w:r>
      <w:r w:rsidRPr="00344EC4">
        <w:rPr>
          <w:rFonts w:ascii="Palatino Linotype" w:eastAsia="Calibri" w:hAnsi="Palatino Linotype" w:cs="Arial"/>
          <w:sz w:val="22"/>
          <w:szCs w:val="22"/>
          <w:lang w:eastAsia="en-US"/>
        </w:rPr>
        <w:t>los</w:t>
      </w:r>
      <w:r w:rsidRPr="00344EC4">
        <w:rPr>
          <w:rFonts w:ascii="Palatino Linotype" w:eastAsia="Calibri" w:hAnsi="Palatino Linotype" w:cs="Arial"/>
          <w:b/>
          <w:sz w:val="22"/>
          <w:szCs w:val="22"/>
          <w:lang w:eastAsia="en-US"/>
        </w:rPr>
        <w:t xml:space="preserve"> códigos bidimensionales o códigos QR,</w:t>
      </w:r>
      <w:r w:rsidRPr="00344EC4">
        <w:rPr>
          <w:rFonts w:ascii="Palatino Linotype" w:eastAsia="Calibri" w:hAnsi="Palatino Linotype" w:cs="Arial"/>
          <w:sz w:val="22"/>
          <w:szCs w:val="22"/>
          <w:lang w:eastAsia="en-US"/>
        </w:rPr>
        <w:t xml:space="preserve"> y cualquier información de carácter fiscal, bajo las siguientes consideraciones. </w:t>
      </w:r>
    </w:p>
    <w:p w:rsidR="00C051D2" w:rsidRPr="00344EC4" w:rsidRDefault="00C051D2" w:rsidP="00C051D2">
      <w:pPr>
        <w:spacing w:before="240" w:after="240" w:line="360" w:lineRule="auto"/>
        <w:ind w:right="50"/>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C051D2" w:rsidRPr="00344EC4" w:rsidRDefault="00C051D2" w:rsidP="00C051D2">
      <w:pP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C051D2" w:rsidRPr="00344EC4" w:rsidRDefault="00C051D2" w:rsidP="00C051D2">
      <w:pP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C051D2" w:rsidRPr="00344EC4" w:rsidRDefault="00C051D2" w:rsidP="00C051D2">
      <w:pP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Lo anterior es compartido por el Instituto Nacional de Transparencia, Acceso a la Información y Protección de Datos Personales, INAI, a través del Criterio 19/17, el cual es del tenor literal siguiente:</w:t>
      </w:r>
    </w:p>
    <w:p w:rsidR="00C051D2" w:rsidRPr="00344EC4" w:rsidRDefault="00C051D2" w:rsidP="00C051D2">
      <w:pPr>
        <w:spacing w:after="160" w:line="259" w:lineRule="auto"/>
        <w:ind w:left="851" w:right="900"/>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 xml:space="preserve"> “Registro Federal de Contribuyentes (RFC) de personas físicas</w:t>
      </w:r>
      <w:r w:rsidRPr="00344EC4">
        <w:rPr>
          <w:rFonts w:ascii="Palatino Linotype" w:eastAsia="Palatino Linotype" w:hAnsi="Palatino Linotype" w:cs="Palatino Linotype"/>
          <w:i/>
          <w:sz w:val="22"/>
          <w:szCs w:val="22"/>
          <w:lang w:eastAsia="en-US"/>
        </w:rPr>
        <w:t>. El RFC es una clave de carácter fiscal, única e irrepetible, que permite identificar al titular, su edad y fecha de nacimiento, por lo que es un dato personal de carácter confidencial.”</w:t>
      </w:r>
    </w:p>
    <w:p w:rsidR="00C051D2" w:rsidRPr="00344EC4" w:rsidRDefault="00C051D2" w:rsidP="00C051D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C051D2" w:rsidRPr="00344EC4" w:rsidRDefault="00C051D2" w:rsidP="00C051D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C051D2" w:rsidRPr="00344EC4" w:rsidRDefault="00C051D2" w:rsidP="00C051D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lastRenderedPageBreak/>
        <w:t>Argumento que es compartido por el Instituto Nacional de Transparencia, Acceso a la Información y Protección de Datos Personales, INAI, conforme al criterio 18/17, el cual refiere:</w:t>
      </w:r>
    </w:p>
    <w:p w:rsidR="00C051D2" w:rsidRPr="00344EC4" w:rsidRDefault="00C051D2" w:rsidP="00C051D2">
      <w:pPr>
        <w:spacing w:after="160" w:line="259" w:lineRule="auto"/>
        <w:ind w:left="851" w:right="851"/>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 xml:space="preserve"> “Clave Única de Registro de Población (CURP). </w:t>
      </w:r>
      <w:r w:rsidRPr="00344EC4">
        <w:rPr>
          <w:rFonts w:ascii="Palatino Linotype" w:eastAsia="Palatino Linotype" w:hAnsi="Palatino Linotype" w:cs="Palatino Linotype"/>
          <w:i/>
          <w:sz w:val="22"/>
          <w:szCs w:val="22"/>
          <w:lang w:eastAsia="en-U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051D2" w:rsidRPr="00344EC4" w:rsidRDefault="00C051D2" w:rsidP="00C051D2">
      <w:pP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C051D2" w:rsidRPr="00344EC4" w:rsidRDefault="00C051D2" w:rsidP="00C051D2">
      <w:pP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C051D2" w:rsidRPr="00344EC4" w:rsidRDefault="00C051D2" w:rsidP="00C051D2">
      <w:pP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C051D2" w:rsidRPr="00344EC4" w:rsidRDefault="00C051D2" w:rsidP="00C051D2">
      <w:pP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C051D2" w:rsidRPr="00344EC4" w:rsidRDefault="00C051D2" w:rsidP="00C051D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lastRenderedPageBreak/>
        <w:t xml:space="preserve">En esa virtud, este Pleno determina que dicha información no puede ser del dominio público, toda vez que se podría dar un uso inadecuado a la misma o cometer algún ilícito o fraude como ya ha sido expuesto. </w:t>
      </w:r>
    </w:p>
    <w:p w:rsidR="00C051D2" w:rsidRPr="00344EC4" w:rsidRDefault="00C051D2" w:rsidP="00C051D2">
      <w:pP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Lo anterior no es así tratándose de las cuentas bancarias o claves interbancarias de los Sujetos Obligados ya que su publicidad cede a la rendición de cuentas al transparentar la forma en que son administrados los recursos públicos.</w:t>
      </w:r>
    </w:p>
    <w:p w:rsidR="00C051D2" w:rsidRPr="00344EC4" w:rsidRDefault="00C051D2" w:rsidP="00C051D2">
      <w:pP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Lo argumentado encuentra sustento en los criterios 10/17 y 11/17 emitidos por el Instituto Nacional de Transparencia, Acceso a la Información y Protección de Datos Personales, INAI, que llevan por rubro y texto los siguientes:</w:t>
      </w:r>
    </w:p>
    <w:p w:rsidR="00C051D2" w:rsidRPr="00344EC4" w:rsidRDefault="00C051D2" w:rsidP="00C051D2">
      <w:pPr>
        <w:spacing w:before="240" w:after="240" w:line="259" w:lineRule="auto"/>
        <w:ind w:left="851" w:right="900"/>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w:t>
      </w:r>
      <w:r w:rsidRPr="00344EC4">
        <w:rPr>
          <w:rFonts w:ascii="Palatino Linotype" w:eastAsia="Palatino Linotype" w:hAnsi="Palatino Linotype" w:cs="Palatino Linotype"/>
          <w:b/>
          <w:i/>
          <w:sz w:val="22"/>
          <w:szCs w:val="22"/>
          <w:lang w:eastAsia="en-US"/>
        </w:rPr>
        <w:t>Cuentas bancarias y/o CLABE interbancaria de personas físicas y morales privadas.</w:t>
      </w:r>
      <w:r w:rsidRPr="00344EC4">
        <w:rPr>
          <w:rFonts w:ascii="Palatino Linotype" w:eastAsia="Palatino Linotype" w:hAnsi="Palatino Linotype" w:cs="Palatino Linotype"/>
          <w:i/>
          <w:sz w:val="22"/>
          <w:szCs w:val="22"/>
          <w:lang w:eastAsia="en-US"/>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C051D2" w:rsidRPr="00344EC4" w:rsidRDefault="00C051D2" w:rsidP="00C051D2">
      <w:pPr>
        <w:spacing w:before="240" w:after="240" w:line="259" w:lineRule="auto"/>
        <w:ind w:left="851" w:right="900"/>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Cuentas bancarias y/o CLABE interbancaria de sujetos obligados que reciben y/o transfieren recursos públicos, son información pública.</w:t>
      </w:r>
      <w:r w:rsidRPr="00344EC4">
        <w:rPr>
          <w:rFonts w:ascii="Palatino Linotype" w:eastAsia="Palatino Linotype" w:hAnsi="Palatino Linotype" w:cs="Palatino Linotype"/>
          <w:i/>
          <w:sz w:val="22"/>
          <w:szCs w:val="22"/>
          <w:lang w:eastAsia="en-U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C051D2" w:rsidRPr="00344EC4" w:rsidRDefault="00C051D2" w:rsidP="00C051D2">
      <w:pP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 xml:space="preserve">Por cuanto hace a los </w:t>
      </w:r>
      <w:r w:rsidRPr="00344EC4">
        <w:rPr>
          <w:rFonts w:ascii="Palatino Linotype" w:eastAsia="Palatino Linotype" w:hAnsi="Palatino Linotype" w:cs="Palatino Linotype"/>
          <w:b/>
          <w:sz w:val="22"/>
          <w:szCs w:val="22"/>
          <w:lang w:eastAsia="en-US"/>
        </w:rPr>
        <w:t>préstamos o descuentos de carácter personal</w:t>
      </w:r>
      <w:r w:rsidRPr="00344EC4">
        <w:rPr>
          <w:rFonts w:ascii="Palatino Linotype" w:eastAsia="Palatino Linotype" w:hAnsi="Palatino Linotype" w:cs="Palatino Linotype"/>
          <w:sz w:val="22"/>
          <w:szCs w:val="22"/>
          <w:lang w:eastAsia="en-US"/>
        </w:rPr>
        <w:t>, en virtud de no tener relación con la prestación del servicio y al no involucrar instituciones públicas, se consideran datos confidenciales.</w:t>
      </w:r>
    </w:p>
    <w:p w:rsidR="00C051D2" w:rsidRPr="00344EC4" w:rsidRDefault="00C051D2" w:rsidP="00C051D2">
      <w:pP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lastRenderedPageBreak/>
        <w:t>Para entender los límites y alcances de esta restricción, es oportuno recurrir al artículo 84 de la Ley del Trabajo de los Servidores Públicos del Estado y Municipios:</w:t>
      </w:r>
    </w:p>
    <w:p w:rsidR="00C051D2" w:rsidRPr="00344EC4" w:rsidRDefault="00C051D2" w:rsidP="00C051D2">
      <w:pPr>
        <w:spacing w:before="240" w:after="240" w:line="259" w:lineRule="auto"/>
        <w:ind w:left="851" w:right="900"/>
        <w:jc w:val="both"/>
        <w:rPr>
          <w:rFonts w:ascii="Palatino Linotype" w:eastAsia="Palatino Linotype" w:hAnsi="Palatino Linotype" w:cs="Palatino Linotype"/>
          <w:b/>
          <w:i/>
          <w:sz w:val="22"/>
          <w:szCs w:val="22"/>
          <w:lang w:eastAsia="en-US"/>
        </w:rPr>
      </w:pPr>
      <w:r w:rsidRPr="00344EC4">
        <w:rPr>
          <w:rFonts w:ascii="Palatino Linotype" w:eastAsia="Palatino Linotype" w:hAnsi="Palatino Linotype" w:cs="Palatino Linotype"/>
          <w:b/>
          <w:i/>
          <w:sz w:val="22"/>
          <w:szCs w:val="22"/>
          <w:lang w:eastAsia="en-US"/>
        </w:rPr>
        <w:t xml:space="preserve">“ARTÍCULO 84. </w:t>
      </w:r>
      <w:r w:rsidRPr="00344EC4">
        <w:rPr>
          <w:rFonts w:ascii="Palatino Linotype" w:eastAsia="Palatino Linotype" w:hAnsi="Palatino Linotype" w:cs="Palatino Linotype"/>
          <w:i/>
          <w:sz w:val="22"/>
          <w:szCs w:val="22"/>
          <w:lang w:eastAsia="en-US"/>
        </w:rPr>
        <w:t>Sólo podrán hacerse retenciones, descuentos o deducciones al sueldo de los servidores públicos por concepto de:</w:t>
      </w:r>
    </w:p>
    <w:p w:rsidR="00C051D2" w:rsidRPr="00344EC4" w:rsidRDefault="00C051D2" w:rsidP="00C051D2">
      <w:pPr>
        <w:spacing w:after="160" w:line="259" w:lineRule="auto"/>
        <w:ind w:left="993"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I. Gravámenes fiscales relacionados con el sueldo;</w:t>
      </w:r>
    </w:p>
    <w:p w:rsidR="00C051D2" w:rsidRPr="00344EC4" w:rsidRDefault="00C051D2" w:rsidP="00C051D2">
      <w:pPr>
        <w:spacing w:after="160" w:line="259" w:lineRule="auto"/>
        <w:ind w:left="993"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II. Deudas contraídas con las instituciones públicas o dependencias por concepto de anticipos de sueldo, pagos hechos con exceso, errores o pérdidas debidamente comprobados;</w:t>
      </w:r>
    </w:p>
    <w:p w:rsidR="00C051D2" w:rsidRPr="00344EC4" w:rsidRDefault="00C051D2" w:rsidP="00C051D2">
      <w:pPr>
        <w:spacing w:after="160" w:line="259" w:lineRule="auto"/>
        <w:ind w:left="993"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III. Cuotas sindicales;</w:t>
      </w:r>
    </w:p>
    <w:p w:rsidR="00C051D2" w:rsidRPr="00344EC4" w:rsidRDefault="00C051D2" w:rsidP="00C051D2">
      <w:pPr>
        <w:spacing w:after="160" w:line="259" w:lineRule="auto"/>
        <w:ind w:left="993"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IV. Cuotas de aportación a fondos para la constitución de cooperativas y de cajas de ahorro, siempre que el servidor público hubiese manifestado previamente, de manera expresa, su conformidad;</w:t>
      </w:r>
    </w:p>
    <w:p w:rsidR="00C051D2" w:rsidRPr="00344EC4" w:rsidRDefault="00C051D2" w:rsidP="00C051D2">
      <w:pPr>
        <w:spacing w:after="160" w:line="259" w:lineRule="auto"/>
        <w:ind w:left="993"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V. Descuentos ordenados por el Instituto de Seguridad Social del Estado de México y Municipios, con motivo de cuotas y obligaciones contraídas con éste por los servidores públicos;</w:t>
      </w:r>
    </w:p>
    <w:p w:rsidR="00C051D2" w:rsidRPr="00344EC4" w:rsidRDefault="00C051D2" w:rsidP="00C051D2">
      <w:pPr>
        <w:spacing w:after="160" w:line="259" w:lineRule="auto"/>
        <w:ind w:left="993"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VI. Obligaciones a cargo del servidor público con las que haya consentido, derivadas de la adquisición o del uso de habitaciones consideradas como de interés social;</w:t>
      </w:r>
    </w:p>
    <w:p w:rsidR="00C051D2" w:rsidRPr="00344EC4" w:rsidRDefault="00C051D2" w:rsidP="00C051D2">
      <w:pPr>
        <w:spacing w:after="160" w:line="259" w:lineRule="auto"/>
        <w:ind w:left="993"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VII. Faltas de puntualidad o de asistencia injustificadas;</w:t>
      </w:r>
    </w:p>
    <w:p w:rsidR="00C051D2" w:rsidRPr="00344EC4" w:rsidRDefault="00C051D2" w:rsidP="00C051D2">
      <w:pPr>
        <w:spacing w:after="160" w:line="259" w:lineRule="auto"/>
        <w:ind w:left="993" w:right="90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VIII. Pensiones alimenticias ordenadas por la autoridad judicial;</w:t>
      </w:r>
      <w:r w:rsidRPr="00344EC4">
        <w:rPr>
          <w:rFonts w:ascii="Palatino Linotype" w:eastAsia="Palatino Linotype" w:hAnsi="Palatino Linotype" w:cs="Palatino Linotype"/>
          <w:i/>
          <w:sz w:val="22"/>
          <w:szCs w:val="22"/>
          <w:lang w:eastAsia="en-US"/>
        </w:rPr>
        <w:t xml:space="preserve"> o</w:t>
      </w:r>
    </w:p>
    <w:p w:rsidR="00C051D2" w:rsidRPr="00344EC4" w:rsidRDefault="00C051D2" w:rsidP="00C051D2">
      <w:pPr>
        <w:spacing w:after="160" w:line="259" w:lineRule="auto"/>
        <w:ind w:left="993" w:right="902"/>
        <w:jc w:val="both"/>
        <w:rPr>
          <w:rFonts w:ascii="Palatino Linotype" w:eastAsia="Palatino Linotype" w:hAnsi="Palatino Linotype" w:cs="Palatino Linotype"/>
          <w:b/>
          <w:i/>
          <w:sz w:val="22"/>
          <w:szCs w:val="22"/>
          <w:lang w:eastAsia="en-US"/>
        </w:rPr>
      </w:pPr>
      <w:r w:rsidRPr="00344EC4">
        <w:rPr>
          <w:rFonts w:ascii="Palatino Linotype" w:eastAsia="Palatino Linotype" w:hAnsi="Palatino Linotype" w:cs="Palatino Linotype"/>
          <w:b/>
          <w:i/>
          <w:sz w:val="22"/>
          <w:szCs w:val="22"/>
          <w:lang w:eastAsia="en-US"/>
        </w:rPr>
        <w:t>IX. Cualquier otro convenido con instituciones de servicios y aceptado por el servidor público.</w:t>
      </w:r>
    </w:p>
    <w:p w:rsidR="00C051D2" w:rsidRPr="00344EC4" w:rsidRDefault="00C051D2" w:rsidP="00C051D2">
      <w:pPr>
        <w:spacing w:before="240" w:after="240" w:line="259" w:lineRule="auto"/>
        <w:ind w:left="851" w:right="900"/>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C051D2" w:rsidRPr="00344EC4" w:rsidRDefault="00C051D2" w:rsidP="00C051D2">
      <w:pP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lastRenderedPageBreak/>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C051D2" w:rsidRPr="00344EC4" w:rsidRDefault="00C051D2" w:rsidP="00C051D2">
      <w:pP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 xml:space="preserve">Con relación al </w:t>
      </w:r>
      <w:r w:rsidRPr="00344EC4">
        <w:rPr>
          <w:rFonts w:ascii="Palatino Linotype" w:eastAsia="Palatino Linotype" w:hAnsi="Palatino Linotype" w:cs="Palatino Linotype"/>
          <w:b/>
          <w:sz w:val="22"/>
          <w:szCs w:val="22"/>
          <w:lang w:eastAsia="en-US"/>
        </w:rPr>
        <w:t>número de empleado</w:t>
      </w:r>
      <w:r w:rsidRPr="00344EC4">
        <w:rPr>
          <w:rFonts w:ascii="Palatino Linotype" w:eastAsia="Palatino Linotype" w:hAnsi="Palatino Linotype" w:cs="Palatino Linotype"/>
          <w:sz w:val="22"/>
          <w:szCs w:val="22"/>
          <w:lang w:eastAsia="en-US"/>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344EC4">
        <w:rPr>
          <w:rFonts w:ascii="Palatino Linotype" w:eastAsia="Palatino Linotype" w:hAnsi="Palatino Linotype" w:cs="Palatino Linotype"/>
          <w:sz w:val="22"/>
          <w:szCs w:val="22"/>
          <w:vertAlign w:val="superscript"/>
          <w:lang w:eastAsia="en-US"/>
        </w:rPr>
        <w:footnoteReference w:id="4"/>
      </w:r>
      <w:r w:rsidRPr="00344EC4">
        <w:rPr>
          <w:rFonts w:ascii="Palatino Linotype" w:eastAsia="Palatino Linotype" w:hAnsi="Palatino Linotype" w:cs="Palatino Linotype"/>
          <w:sz w:val="22"/>
          <w:szCs w:val="22"/>
          <w:lang w:eastAsia="en-US"/>
        </w:rPr>
        <w:t>.</w:t>
      </w:r>
    </w:p>
    <w:p w:rsidR="00C051D2" w:rsidRPr="00344EC4" w:rsidRDefault="00C051D2" w:rsidP="00C051D2">
      <w:pP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rsidR="00C051D2" w:rsidRPr="00344EC4" w:rsidRDefault="00C051D2" w:rsidP="00C051D2">
      <w:pPr>
        <w:tabs>
          <w:tab w:val="left" w:pos="7655"/>
        </w:tabs>
        <w:spacing w:before="240" w:after="240" w:line="259" w:lineRule="auto"/>
        <w:ind w:left="993" w:right="992"/>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 xml:space="preserve">“Número de empleado. </w:t>
      </w:r>
      <w:r w:rsidRPr="00344EC4">
        <w:rPr>
          <w:rFonts w:ascii="Palatino Linotype" w:eastAsia="Palatino Linotype" w:hAnsi="Palatino Linotype" w:cs="Palatino Linotype"/>
          <w:i/>
          <w:sz w:val="22"/>
          <w:szCs w:val="22"/>
          <w:lang w:eastAsia="en-US"/>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C051D2" w:rsidRPr="00344EC4" w:rsidRDefault="00C051D2" w:rsidP="00C051D2">
      <w:pP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 xml:space="preserve">En atención al criterio de interpretación, se advierten dos supuestos para catalogar la información concerniente al número de empleado o equivalente, el primero es considerar </w:t>
      </w:r>
      <w:r w:rsidRPr="00344EC4">
        <w:rPr>
          <w:rFonts w:ascii="Palatino Linotype" w:eastAsia="Palatino Linotype" w:hAnsi="Palatino Linotype" w:cs="Palatino Linotype"/>
          <w:sz w:val="22"/>
          <w:szCs w:val="22"/>
          <w:lang w:eastAsia="en-US"/>
        </w:rPr>
        <w:lastRenderedPageBreak/>
        <w:t xml:space="preserve">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344EC4">
        <w:rPr>
          <w:rFonts w:ascii="Palatino Linotype" w:eastAsia="Palatino Linotype" w:hAnsi="Palatino Linotype" w:cs="Palatino Linotype"/>
          <w:b/>
          <w:sz w:val="22"/>
          <w:szCs w:val="22"/>
          <w:lang w:eastAsia="en-US"/>
        </w:rPr>
        <w:t>Sujeto Obligado</w:t>
      </w:r>
      <w:r w:rsidRPr="00344EC4">
        <w:rPr>
          <w:rFonts w:ascii="Palatino Linotype" w:eastAsia="Palatino Linotype" w:hAnsi="Palatino Linotype" w:cs="Palatino Linotype"/>
          <w:sz w:val="22"/>
          <w:szCs w:val="22"/>
          <w:lang w:eastAsia="en-US"/>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C051D2" w:rsidRPr="00344EC4" w:rsidRDefault="00C051D2" w:rsidP="00C051D2">
      <w:pPr>
        <w:spacing w:before="240" w:after="240" w:line="360" w:lineRule="auto"/>
        <w:jc w:val="both"/>
        <w:rPr>
          <w:rFonts w:ascii="Palatino Linotype" w:eastAsia="Calibri" w:hAnsi="Palatino Linotype"/>
          <w:sz w:val="22"/>
          <w:szCs w:val="22"/>
          <w:lang w:eastAsia="en-US"/>
        </w:rPr>
      </w:pPr>
      <w:r w:rsidRPr="00344EC4">
        <w:rPr>
          <w:rFonts w:ascii="Palatino Linotype" w:eastAsia="Calibri" w:hAnsi="Palatino Linotype"/>
          <w:b/>
          <w:bCs/>
          <w:sz w:val="22"/>
          <w:szCs w:val="22"/>
          <w:lang w:eastAsia="en-US"/>
        </w:rPr>
        <w:t>De la información fiscal</w:t>
      </w:r>
      <w:r w:rsidRPr="00344EC4">
        <w:rPr>
          <w:rFonts w:ascii="Palatino Linotype" w:eastAsia="Calibri" w:hAnsi="Palatino Linotype"/>
          <w:sz w:val="22"/>
          <w:szCs w:val="22"/>
          <w:lang w:eastAsia="en-US"/>
        </w:rPr>
        <w:t xml:space="preserve">: </w:t>
      </w:r>
    </w:p>
    <w:p w:rsidR="00C051D2" w:rsidRPr="00344EC4" w:rsidRDefault="00C051D2" w:rsidP="00C051D2">
      <w:pPr>
        <w:spacing w:before="240" w:after="240" w:line="360" w:lineRule="auto"/>
        <w:jc w:val="both"/>
        <w:rPr>
          <w:rFonts w:ascii="Palatino Linotype" w:eastAsia="Calibri" w:hAnsi="Palatino Linotype"/>
          <w:sz w:val="22"/>
          <w:szCs w:val="22"/>
          <w:lang w:eastAsia="en-US"/>
        </w:rPr>
      </w:pPr>
      <w:r w:rsidRPr="00344EC4">
        <w:rPr>
          <w:rFonts w:ascii="Palatino Linotype" w:eastAsia="Calibri" w:hAnsi="Palatino Linotype"/>
          <w:sz w:val="22"/>
          <w:szCs w:val="22"/>
          <w:lang w:eastAsia="en-US"/>
        </w:rPr>
        <w:t xml:space="preserve">La </w:t>
      </w:r>
      <w:r w:rsidRPr="00344EC4">
        <w:rPr>
          <w:rFonts w:ascii="Palatino Linotype" w:eastAsia="Calibri" w:hAnsi="Palatino Linotype"/>
          <w:b/>
          <w:sz w:val="22"/>
          <w:szCs w:val="22"/>
          <w:lang w:eastAsia="en-US"/>
        </w:rPr>
        <w:t>Cadena Original</w:t>
      </w:r>
      <w:r w:rsidRPr="00344EC4">
        <w:rPr>
          <w:rFonts w:ascii="Palatino Linotype" w:eastAsia="Calibri" w:hAnsi="Palatino Linotype"/>
          <w:sz w:val="22"/>
          <w:szCs w:val="22"/>
          <w:lang w:eastAsia="en-US"/>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344EC4">
        <w:rPr>
          <w:rFonts w:ascii="Palatino Linotype" w:eastAsia="Calibri" w:hAnsi="Palatino Linotype"/>
          <w:b/>
          <w:bCs/>
          <w:sz w:val="22"/>
          <w:szCs w:val="22"/>
          <w:lang w:eastAsia="en-US"/>
        </w:rPr>
        <w:t>Sujeto Obligado</w:t>
      </w:r>
      <w:r w:rsidRPr="00344EC4">
        <w:rPr>
          <w:rFonts w:ascii="Palatino Linotype" w:eastAsia="Calibri" w:hAnsi="Palatino Linotype"/>
          <w:sz w:val="22"/>
          <w:szCs w:val="22"/>
          <w:lang w:eastAsia="en-US"/>
        </w:rPr>
        <w:t xml:space="preserve"> analizar dicha circunstancia con la finalidad de proteger, de ser el caso, la información a través de su clasificación por actualizarse el supuesto de confidencialidad.</w:t>
      </w:r>
    </w:p>
    <w:p w:rsidR="00C051D2" w:rsidRPr="00344EC4" w:rsidRDefault="00C051D2" w:rsidP="00C051D2">
      <w:pPr>
        <w:spacing w:before="240" w:after="240" w:line="360" w:lineRule="auto"/>
        <w:jc w:val="both"/>
        <w:rPr>
          <w:rFonts w:ascii="Palatino Linotype" w:eastAsia="Calibri" w:hAnsi="Palatino Linotype"/>
          <w:sz w:val="22"/>
          <w:szCs w:val="22"/>
          <w:lang w:eastAsia="en-US"/>
        </w:rPr>
      </w:pPr>
      <w:r w:rsidRPr="00344EC4">
        <w:rPr>
          <w:rFonts w:ascii="Palatino Linotype" w:eastAsia="Calibri" w:hAnsi="Palatino Linotype" w:cs="Arial"/>
          <w:sz w:val="22"/>
          <w:szCs w:val="22"/>
          <w:lang w:eastAsia="en-US"/>
        </w:rPr>
        <w:t xml:space="preserve">Los </w:t>
      </w:r>
      <w:r w:rsidRPr="00344EC4">
        <w:rPr>
          <w:rFonts w:ascii="Palatino Linotype" w:eastAsia="Calibri" w:hAnsi="Palatino Linotype" w:cs="Arial"/>
          <w:b/>
          <w:sz w:val="22"/>
          <w:szCs w:val="22"/>
          <w:lang w:eastAsia="en-US"/>
        </w:rPr>
        <w:t>códigos bidimensionales</w:t>
      </w:r>
      <w:r w:rsidRPr="00344EC4">
        <w:rPr>
          <w:rFonts w:ascii="Palatino Linotype" w:eastAsia="Calibri" w:hAnsi="Palatino Linotype" w:cs="Arial"/>
          <w:sz w:val="22"/>
          <w:szCs w:val="22"/>
          <w:lang w:eastAsia="en-US"/>
        </w:rPr>
        <w:t xml:space="preserve"> o </w:t>
      </w:r>
      <w:r w:rsidRPr="00344EC4">
        <w:rPr>
          <w:rFonts w:ascii="Palatino Linotype" w:eastAsia="Calibri" w:hAnsi="Palatino Linotype" w:cs="Arial"/>
          <w:b/>
          <w:sz w:val="22"/>
          <w:szCs w:val="22"/>
          <w:lang w:eastAsia="en-US"/>
        </w:rPr>
        <w:t xml:space="preserve">códigos QR, </w:t>
      </w:r>
      <w:r w:rsidRPr="00344EC4">
        <w:rPr>
          <w:rFonts w:ascii="Palatino Linotype" w:eastAsia="Calibri" w:hAnsi="Palatino Linotype" w:cs="Arial"/>
          <w:sz w:val="22"/>
          <w:szCs w:val="22"/>
          <w:lang w:eastAsia="en-US"/>
        </w:rPr>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r w:rsidRPr="00344EC4">
        <w:rPr>
          <w:rFonts w:ascii="Palatino Linotype" w:eastAsia="Calibri" w:hAnsi="Palatino Linotype"/>
          <w:sz w:val="22"/>
          <w:szCs w:val="22"/>
          <w:lang w:eastAsia="en-US"/>
        </w:rPr>
        <w:t xml:space="preserve">, debiendo el </w:t>
      </w:r>
      <w:r w:rsidRPr="00344EC4">
        <w:rPr>
          <w:rFonts w:ascii="Palatino Linotype" w:eastAsia="Calibri" w:hAnsi="Palatino Linotype"/>
          <w:b/>
          <w:bCs/>
          <w:sz w:val="22"/>
          <w:szCs w:val="22"/>
          <w:lang w:eastAsia="en-US"/>
        </w:rPr>
        <w:t xml:space="preserve">Sujeto Obligado </w:t>
      </w:r>
      <w:r w:rsidRPr="00344EC4">
        <w:rPr>
          <w:rFonts w:ascii="Palatino Linotype" w:eastAsia="Calibri" w:hAnsi="Palatino Linotype"/>
          <w:sz w:val="22"/>
          <w:szCs w:val="22"/>
          <w:lang w:eastAsia="en-US"/>
        </w:rPr>
        <w:t>analizar dicha circunstancia con la finalidad de determinar si se actualiza algún supuesto de confidencialidad.</w:t>
      </w:r>
    </w:p>
    <w:p w:rsidR="00C051D2" w:rsidRPr="00344EC4" w:rsidRDefault="00C051D2" w:rsidP="00C051D2">
      <w:pPr>
        <w:spacing w:before="240" w:after="240" w:line="360" w:lineRule="auto"/>
        <w:jc w:val="both"/>
        <w:rPr>
          <w:rFonts w:ascii="Palatino Linotype" w:eastAsia="Calibri" w:hAnsi="Palatino Linotype" w:cs="Arial"/>
          <w:sz w:val="22"/>
          <w:szCs w:val="22"/>
          <w:lang w:eastAsia="en-US"/>
        </w:rPr>
      </w:pPr>
      <w:r w:rsidRPr="00344EC4">
        <w:rPr>
          <w:rFonts w:ascii="Palatino Linotype" w:eastAsia="Calibri" w:hAnsi="Palatino Linotype" w:cs="Arial"/>
          <w:sz w:val="22"/>
          <w:szCs w:val="22"/>
          <w:lang w:eastAsia="en-US"/>
        </w:rPr>
        <w:lastRenderedPageBreak/>
        <w:t xml:space="preserve">En tal sentido, si derivado del análisis efectuado por </w:t>
      </w:r>
      <w:r w:rsidRPr="00344EC4">
        <w:rPr>
          <w:rFonts w:ascii="Palatino Linotype" w:eastAsia="Calibri" w:hAnsi="Palatino Linotype" w:cs="Arial"/>
          <w:b/>
          <w:sz w:val="22"/>
          <w:szCs w:val="22"/>
          <w:lang w:eastAsia="en-US"/>
        </w:rPr>
        <w:t xml:space="preserve">Sujeto Obligado </w:t>
      </w:r>
      <w:r w:rsidRPr="00344EC4">
        <w:rPr>
          <w:rFonts w:ascii="Palatino Linotype" w:eastAsia="Calibri" w:hAnsi="Palatino Linotype" w:cs="Arial"/>
          <w:bCs/>
          <w:sz w:val="22"/>
          <w:szCs w:val="22"/>
          <w:lang w:eastAsia="en-US"/>
        </w:rPr>
        <w:t>en el presente caso,</w:t>
      </w:r>
      <w:r w:rsidRPr="00344EC4">
        <w:rPr>
          <w:rFonts w:ascii="Palatino Linotype" w:eastAsia="Calibri" w:hAnsi="Palatino Linotype" w:cs="Arial"/>
          <w:sz w:val="22"/>
          <w:szCs w:val="22"/>
          <w:lang w:eastAsia="en-US"/>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en este sentido, en su caso, deberá clasificarla como confidencial, de manera fundada y motivada en términos del artículo 143, fracción I de la Ley de Transparencia y Acceso a la Información Pública del Estado de México y Municipios.</w:t>
      </w:r>
    </w:p>
    <w:p w:rsidR="00C051D2" w:rsidRPr="00344EC4" w:rsidRDefault="00C051D2" w:rsidP="00C051D2">
      <w:pPr>
        <w:widowControl w:val="0"/>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344EC4">
        <w:rPr>
          <w:rFonts w:ascii="Palatino Linotype" w:eastAsia="Palatino Linotype" w:hAnsi="Palatino Linotype" w:cs="Palatino Linotype"/>
          <w:b/>
          <w:sz w:val="22"/>
          <w:szCs w:val="22"/>
          <w:u w:val="single"/>
          <w:lang w:eastAsia="en-US"/>
        </w:rPr>
        <w:t>razones, motivos o circunstancias especiales</w:t>
      </w:r>
      <w:r w:rsidRPr="00344EC4">
        <w:rPr>
          <w:rFonts w:ascii="Palatino Linotype" w:eastAsia="Palatino Linotype" w:hAnsi="Palatino Linotype" w:cs="Palatino Linotype"/>
          <w:sz w:val="22"/>
          <w:szCs w:val="22"/>
          <w:lang w:eastAsia="en-US"/>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C051D2" w:rsidRPr="00344EC4" w:rsidRDefault="00C051D2" w:rsidP="00C051D2">
      <w:pPr>
        <w:spacing w:before="240" w:after="240" w:line="360" w:lineRule="auto"/>
        <w:ind w:right="50"/>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lastRenderedPageBreak/>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C051D2" w:rsidRPr="00344EC4" w:rsidRDefault="00C051D2" w:rsidP="00C051D2">
      <w:pPr>
        <w:spacing w:before="120" w:after="120" w:line="259" w:lineRule="auto"/>
        <w:ind w:left="851" w:right="900"/>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“Artículo 49.</w:t>
      </w:r>
      <w:r w:rsidRPr="00344EC4">
        <w:rPr>
          <w:rFonts w:ascii="Palatino Linotype" w:eastAsia="Palatino Linotype" w:hAnsi="Palatino Linotype" w:cs="Palatino Linotype"/>
          <w:i/>
          <w:sz w:val="22"/>
          <w:szCs w:val="22"/>
          <w:lang w:eastAsia="en-US"/>
        </w:rPr>
        <w:t xml:space="preserve"> </w:t>
      </w:r>
      <w:r w:rsidRPr="00344EC4">
        <w:rPr>
          <w:rFonts w:ascii="Palatino Linotype" w:eastAsia="Palatino Linotype" w:hAnsi="Palatino Linotype" w:cs="Palatino Linotype"/>
          <w:b/>
          <w:i/>
          <w:sz w:val="22"/>
          <w:szCs w:val="22"/>
          <w:lang w:eastAsia="en-US"/>
        </w:rPr>
        <w:t>Los Comités de Transparencia</w:t>
      </w:r>
      <w:r w:rsidRPr="00344EC4">
        <w:rPr>
          <w:rFonts w:ascii="Palatino Linotype" w:eastAsia="Palatino Linotype" w:hAnsi="Palatino Linotype" w:cs="Palatino Linotype"/>
          <w:i/>
          <w:sz w:val="22"/>
          <w:szCs w:val="22"/>
          <w:lang w:eastAsia="en-US"/>
        </w:rPr>
        <w:t xml:space="preserve"> tendrán las siguientes atribuciones:</w:t>
      </w:r>
    </w:p>
    <w:p w:rsidR="00C051D2" w:rsidRPr="00344EC4" w:rsidRDefault="00C051D2" w:rsidP="00C051D2">
      <w:pPr>
        <w:spacing w:before="120" w:after="120" w:line="259" w:lineRule="auto"/>
        <w:ind w:left="993" w:right="900"/>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VIII. Aprobar, modificar o revocar la clasificación de la información</w:t>
      </w:r>
      <w:r w:rsidRPr="00344EC4">
        <w:rPr>
          <w:rFonts w:ascii="Palatino Linotype" w:eastAsia="Palatino Linotype" w:hAnsi="Palatino Linotype" w:cs="Palatino Linotype"/>
          <w:i/>
          <w:sz w:val="22"/>
          <w:szCs w:val="22"/>
          <w:lang w:eastAsia="en-US"/>
        </w:rPr>
        <w:t>…”</w:t>
      </w:r>
    </w:p>
    <w:p w:rsidR="00C051D2" w:rsidRPr="00344EC4" w:rsidRDefault="00C051D2" w:rsidP="00C051D2">
      <w:pPr>
        <w:spacing w:before="120" w:after="120" w:line="259" w:lineRule="auto"/>
        <w:ind w:left="851" w:right="900"/>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w:t>
      </w:r>
      <w:r w:rsidRPr="00344EC4">
        <w:rPr>
          <w:rFonts w:ascii="Palatino Linotype" w:eastAsia="Palatino Linotype" w:hAnsi="Palatino Linotype" w:cs="Palatino Linotype"/>
          <w:b/>
          <w:i/>
          <w:sz w:val="22"/>
          <w:szCs w:val="22"/>
          <w:lang w:eastAsia="en-US"/>
        </w:rPr>
        <w:t>Artículo 53.</w:t>
      </w:r>
      <w:r w:rsidRPr="00344EC4">
        <w:rPr>
          <w:rFonts w:ascii="Palatino Linotype" w:eastAsia="Palatino Linotype" w:hAnsi="Palatino Linotype" w:cs="Palatino Linotype"/>
          <w:i/>
          <w:sz w:val="22"/>
          <w:szCs w:val="22"/>
          <w:lang w:eastAsia="en-US"/>
        </w:rPr>
        <w:t xml:space="preserve"> Las </w:t>
      </w:r>
      <w:r w:rsidRPr="00344EC4">
        <w:rPr>
          <w:rFonts w:ascii="Palatino Linotype" w:eastAsia="Palatino Linotype" w:hAnsi="Palatino Linotype" w:cs="Palatino Linotype"/>
          <w:b/>
          <w:i/>
          <w:sz w:val="22"/>
          <w:szCs w:val="22"/>
          <w:lang w:eastAsia="en-US"/>
        </w:rPr>
        <w:t>Unidades de Transparencia</w:t>
      </w:r>
      <w:r w:rsidRPr="00344EC4">
        <w:rPr>
          <w:rFonts w:ascii="Palatino Linotype" w:eastAsia="Palatino Linotype" w:hAnsi="Palatino Linotype" w:cs="Palatino Linotype"/>
          <w:i/>
          <w:sz w:val="22"/>
          <w:szCs w:val="22"/>
          <w:lang w:eastAsia="en-US"/>
        </w:rPr>
        <w:t xml:space="preserve"> tendrán las siguientes </w:t>
      </w:r>
      <w:r w:rsidRPr="00344EC4">
        <w:rPr>
          <w:rFonts w:ascii="Palatino Linotype" w:eastAsia="Palatino Linotype" w:hAnsi="Palatino Linotype" w:cs="Palatino Linotype"/>
          <w:b/>
          <w:i/>
          <w:sz w:val="22"/>
          <w:szCs w:val="22"/>
          <w:lang w:eastAsia="en-US"/>
        </w:rPr>
        <w:t>funciones</w:t>
      </w:r>
      <w:r w:rsidRPr="00344EC4">
        <w:rPr>
          <w:rFonts w:ascii="Palatino Linotype" w:eastAsia="Palatino Linotype" w:hAnsi="Palatino Linotype" w:cs="Palatino Linotype"/>
          <w:i/>
          <w:sz w:val="22"/>
          <w:szCs w:val="22"/>
          <w:lang w:eastAsia="en-US"/>
        </w:rPr>
        <w:t>:</w:t>
      </w:r>
    </w:p>
    <w:p w:rsidR="00C051D2" w:rsidRPr="00344EC4" w:rsidRDefault="00C051D2" w:rsidP="00C051D2">
      <w:pPr>
        <w:spacing w:before="120" w:after="120" w:line="259" w:lineRule="auto"/>
        <w:ind w:left="993" w:right="900"/>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X. Presentar ante el Comité, el proyecto de clasificación de información</w:t>
      </w:r>
      <w:r w:rsidRPr="00344EC4">
        <w:rPr>
          <w:rFonts w:ascii="Palatino Linotype" w:eastAsia="Palatino Linotype" w:hAnsi="Palatino Linotype" w:cs="Palatino Linotype"/>
          <w:i/>
          <w:sz w:val="22"/>
          <w:szCs w:val="22"/>
          <w:lang w:eastAsia="en-US"/>
        </w:rPr>
        <w:t xml:space="preserve">…” </w:t>
      </w:r>
    </w:p>
    <w:p w:rsidR="00C051D2" w:rsidRPr="00344EC4" w:rsidRDefault="00C051D2" w:rsidP="00C051D2">
      <w:pPr>
        <w:spacing w:before="120" w:after="120" w:line="259" w:lineRule="auto"/>
        <w:ind w:left="851" w:right="900"/>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“Artículo 59.</w:t>
      </w:r>
      <w:r w:rsidRPr="00344EC4">
        <w:rPr>
          <w:rFonts w:ascii="Palatino Linotype" w:eastAsia="Palatino Linotype" w:hAnsi="Palatino Linotype" w:cs="Palatino Linotype"/>
          <w:i/>
          <w:sz w:val="22"/>
          <w:szCs w:val="22"/>
          <w:lang w:eastAsia="en-US"/>
        </w:rPr>
        <w:t xml:space="preserve"> Los </w:t>
      </w:r>
      <w:r w:rsidRPr="00344EC4">
        <w:rPr>
          <w:rFonts w:ascii="Palatino Linotype" w:eastAsia="Palatino Linotype" w:hAnsi="Palatino Linotype" w:cs="Palatino Linotype"/>
          <w:b/>
          <w:i/>
          <w:sz w:val="22"/>
          <w:szCs w:val="22"/>
          <w:lang w:eastAsia="en-US"/>
        </w:rPr>
        <w:t>servidores públicos habilitados</w:t>
      </w:r>
      <w:r w:rsidRPr="00344EC4">
        <w:rPr>
          <w:rFonts w:ascii="Palatino Linotype" w:eastAsia="Palatino Linotype" w:hAnsi="Palatino Linotype" w:cs="Palatino Linotype"/>
          <w:i/>
          <w:sz w:val="22"/>
          <w:szCs w:val="22"/>
          <w:lang w:eastAsia="en-US"/>
        </w:rPr>
        <w:t xml:space="preserve"> tendrán las </w:t>
      </w:r>
      <w:r w:rsidRPr="00344EC4">
        <w:rPr>
          <w:rFonts w:ascii="Palatino Linotype" w:eastAsia="Palatino Linotype" w:hAnsi="Palatino Linotype" w:cs="Palatino Linotype"/>
          <w:b/>
          <w:i/>
          <w:sz w:val="22"/>
          <w:szCs w:val="22"/>
          <w:lang w:eastAsia="en-US"/>
        </w:rPr>
        <w:t>funciones</w:t>
      </w:r>
      <w:r w:rsidRPr="00344EC4">
        <w:rPr>
          <w:rFonts w:ascii="Palatino Linotype" w:eastAsia="Palatino Linotype" w:hAnsi="Palatino Linotype" w:cs="Palatino Linotype"/>
          <w:i/>
          <w:sz w:val="22"/>
          <w:szCs w:val="22"/>
          <w:lang w:eastAsia="en-US"/>
        </w:rPr>
        <w:t xml:space="preserve"> siguientes:</w:t>
      </w:r>
    </w:p>
    <w:p w:rsidR="00C051D2" w:rsidRPr="00344EC4" w:rsidRDefault="00C051D2" w:rsidP="00C051D2">
      <w:pPr>
        <w:spacing w:before="120" w:after="120" w:line="259" w:lineRule="auto"/>
        <w:ind w:left="851" w:right="900"/>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V. Integrar y presentar al responsable de la Unidad de Transparencia la propuesta de clasificación de información</w:t>
      </w:r>
      <w:r w:rsidRPr="00344EC4">
        <w:rPr>
          <w:rFonts w:ascii="Palatino Linotype" w:eastAsia="Palatino Linotype" w:hAnsi="Palatino Linotype" w:cs="Palatino Linotype"/>
          <w:i/>
          <w:sz w:val="22"/>
          <w:szCs w:val="22"/>
          <w:lang w:eastAsia="en-US"/>
        </w:rPr>
        <w:t>, la cual tendrá los fundamentos y argumentos en que se basa dicha propuesta…”</w:t>
      </w:r>
    </w:p>
    <w:p w:rsidR="00C051D2" w:rsidRPr="00344EC4" w:rsidRDefault="00C051D2" w:rsidP="00C051D2">
      <w:pP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C051D2" w:rsidRPr="00344EC4" w:rsidRDefault="00C051D2" w:rsidP="00C051D2">
      <w:pPr>
        <w:spacing w:before="240" w:after="240" w:line="360" w:lineRule="auto"/>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lastRenderedPageBreak/>
        <w:t>Para lo cual, a su vez en el caso de información de carácter confidencial, se debe atender a lo que señala el artículo 149 de la Ley de Transparencia Local vigente, que se lee como sigue:</w:t>
      </w:r>
    </w:p>
    <w:p w:rsidR="00C051D2" w:rsidRPr="00344EC4" w:rsidRDefault="00C051D2" w:rsidP="00C051D2">
      <w:pPr>
        <w:spacing w:after="240" w:line="259" w:lineRule="auto"/>
        <w:ind w:left="851" w:right="900"/>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w:t>
      </w:r>
      <w:r w:rsidRPr="00344EC4">
        <w:rPr>
          <w:rFonts w:ascii="Palatino Linotype" w:eastAsia="Palatino Linotype" w:hAnsi="Palatino Linotype" w:cs="Palatino Linotype"/>
          <w:b/>
          <w:i/>
          <w:sz w:val="22"/>
          <w:szCs w:val="22"/>
          <w:lang w:eastAsia="en-US"/>
        </w:rPr>
        <w:t>Artículo 149.</w:t>
      </w:r>
      <w:r w:rsidRPr="00344EC4">
        <w:rPr>
          <w:rFonts w:ascii="Palatino Linotype" w:eastAsia="Palatino Linotype" w:hAnsi="Palatino Linotype" w:cs="Palatino Linotype"/>
          <w:i/>
          <w:sz w:val="22"/>
          <w:szCs w:val="22"/>
          <w:lang w:eastAsia="en-US"/>
        </w:rPr>
        <w:t xml:space="preserve"> El </w:t>
      </w:r>
      <w:r w:rsidRPr="00344EC4">
        <w:rPr>
          <w:rFonts w:ascii="Palatino Linotype" w:eastAsia="Palatino Linotype" w:hAnsi="Palatino Linotype" w:cs="Palatino Linotype"/>
          <w:b/>
          <w:i/>
          <w:sz w:val="22"/>
          <w:szCs w:val="22"/>
          <w:lang w:eastAsia="en-US"/>
        </w:rPr>
        <w:t>acuerdo que clasifique la información como confidencial</w:t>
      </w:r>
      <w:r w:rsidRPr="00344EC4">
        <w:rPr>
          <w:rFonts w:ascii="Palatino Linotype" w:eastAsia="Palatino Linotype" w:hAnsi="Palatino Linotype" w:cs="Palatino Linotype"/>
          <w:i/>
          <w:sz w:val="22"/>
          <w:szCs w:val="22"/>
          <w:lang w:eastAsia="en-US"/>
        </w:rPr>
        <w:t xml:space="preserve"> deberá contener un razonamiento lógico en el que demuestre que la información se encuentra en alguna o algunas de las hipótesis previstas en la presente Ley.” (Sic)</w:t>
      </w:r>
    </w:p>
    <w:p w:rsidR="00C051D2" w:rsidRPr="00344EC4" w:rsidRDefault="00C051D2" w:rsidP="00C051D2">
      <w:pPr>
        <w:spacing w:before="240" w:after="240" w:line="360" w:lineRule="auto"/>
        <w:ind w:right="51"/>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 xml:space="preserve">Es decir, el </w:t>
      </w:r>
      <w:r w:rsidRPr="00344EC4">
        <w:rPr>
          <w:rFonts w:ascii="Palatino Linotype" w:eastAsia="Palatino Linotype" w:hAnsi="Palatino Linotype" w:cs="Palatino Linotype"/>
          <w:b/>
          <w:sz w:val="22"/>
          <w:szCs w:val="22"/>
          <w:lang w:eastAsia="en-US"/>
        </w:rPr>
        <w:t>Sujeto Obligado</w:t>
      </w:r>
      <w:r w:rsidRPr="00344EC4">
        <w:rPr>
          <w:rFonts w:ascii="Palatino Linotype" w:eastAsia="Palatino Linotype" w:hAnsi="Palatino Linotype" w:cs="Palatino Linotype"/>
          <w:sz w:val="22"/>
          <w:szCs w:val="22"/>
          <w:lang w:eastAsia="en-US"/>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C051D2" w:rsidRPr="00344EC4" w:rsidRDefault="00C051D2" w:rsidP="00C051D2">
      <w:pPr>
        <w:spacing w:before="240" w:after="240" w:line="360" w:lineRule="auto"/>
        <w:ind w:right="49"/>
        <w:jc w:val="both"/>
        <w:rPr>
          <w:rFonts w:ascii="Palatino Linotype" w:eastAsia="Palatino Linotype" w:hAnsi="Palatino Linotype" w:cs="Palatino Linotype"/>
          <w:sz w:val="22"/>
          <w:szCs w:val="22"/>
          <w:lang w:eastAsia="en-US"/>
        </w:rPr>
      </w:pPr>
      <w:r w:rsidRPr="00344EC4">
        <w:rPr>
          <w:rFonts w:ascii="Palatino Linotype" w:eastAsia="Palatino Linotype" w:hAnsi="Palatino Linotype" w:cs="Palatino Linotype"/>
          <w:sz w:val="22"/>
          <w:szCs w:val="22"/>
          <w:lang w:eastAsia="en-US"/>
        </w:rPr>
        <w:t xml:space="preserve">Por último, respecto a la versión pública de los documentos que contenga la información solicitada, cabe señalar que el Comité de Transparencia del </w:t>
      </w:r>
      <w:r w:rsidRPr="00344EC4">
        <w:rPr>
          <w:rFonts w:ascii="Palatino Linotype" w:eastAsia="Palatino Linotype" w:hAnsi="Palatino Linotype" w:cs="Palatino Linotype"/>
          <w:b/>
          <w:sz w:val="22"/>
          <w:szCs w:val="22"/>
          <w:lang w:eastAsia="en-US"/>
        </w:rPr>
        <w:t>Sujeto Obligado</w:t>
      </w:r>
      <w:r w:rsidRPr="00344EC4">
        <w:rPr>
          <w:rFonts w:ascii="Palatino Linotype" w:eastAsia="Palatino Linotype" w:hAnsi="Palatino Linotype" w:cs="Palatino Linotype"/>
          <w:sz w:val="22"/>
          <w:szCs w:val="22"/>
          <w:lang w:eastAsia="en-US"/>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rsidR="00C051D2" w:rsidRPr="00344EC4" w:rsidRDefault="00C051D2" w:rsidP="00C051D2">
      <w:pPr>
        <w:tabs>
          <w:tab w:val="left" w:pos="8222"/>
        </w:tabs>
        <w:spacing w:before="120" w:after="120" w:line="259" w:lineRule="auto"/>
        <w:ind w:left="567" w:right="1134"/>
        <w:jc w:val="both"/>
        <w:rPr>
          <w:rFonts w:ascii="Palatino Linotype" w:eastAsia="Palatino Linotype" w:hAnsi="Palatino Linotype" w:cs="Palatino Linotype"/>
          <w:b/>
          <w:i/>
          <w:sz w:val="21"/>
          <w:szCs w:val="21"/>
          <w:lang w:eastAsia="en-US"/>
        </w:rPr>
      </w:pPr>
      <w:bookmarkStart w:id="4" w:name="_heading=h.1t3h5sf" w:colFirst="0" w:colLast="0"/>
      <w:bookmarkEnd w:id="4"/>
      <w:r w:rsidRPr="00344EC4">
        <w:rPr>
          <w:rFonts w:ascii="Palatino Linotype" w:eastAsia="Palatino Linotype" w:hAnsi="Palatino Linotype" w:cs="Palatino Linotype"/>
          <w:i/>
          <w:sz w:val="21"/>
          <w:szCs w:val="21"/>
          <w:lang w:eastAsia="en-US"/>
        </w:rPr>
        <w:t>“</w:t>
      </w:r>
      <w:r w:rsidRPr="00344EC4">
        <w:rPr>
          <w:rFonts w:ascii="Palatino Linotype" w:eastAsia="Palatino Linotype" w:hAnsi="Palatino Linotype" w:cs="Palatino Linotype"/>
          <w:b/>
          <w:i/>
          <w:sz w:val="21"/>
          <w:szCs w:val="21"/>
          <w:lang w:eastAsia="en-US"/>
        </w:rPr>
        <w:t>Artículo 132.</w:t>
      </w:r>
      <w:r w:rsidRPr="00344EC4">
        <w:rPr>
          <w:rFonts w:ascii="Palatino Linotype" w:eastAsia="Palatino Linotype" w:hAnsi="Palatino Linotype" w:cs="Palatino Linotype"/>
          <w:i/>
          <w:sz w:val="21"/>
          <w:szCs w:val="21"/>
          <w:lang w:eastAsia="en-US"/>
        </w:rPr>
        <w:t xml:space="preserve"> </w:t>
      </w:r>
      <w:r w:rsidRPr="00344EC4">
        <w:rPr>
          <w:rFonts w:ascii="Palatino Linotype" w:eastAsia="Palatino Linotype" w:hAnsi="Palatino Linotype" w:cs="Palatino Linotype"/>
          <w:b/>
          <w:i/>
          <w:sz w:val="21"/>
          <w:szCs w:val="21"/>
          <w:lang w:eastAsia="en-US"/>
        </w:rPr>
        <w:t>La clasificación de la información se llevará a cabo en el momento en que:</w:t>
      </w:r>
    </w:p>
    <w:p w:rsidR="00C051D2" w:rsidRPr="00344EC4" w:rsidRDefault="00C051D2" w:rsidP="00C051D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i/>
          <w:sz w:val="21"/>
          <w:szCs w:val="21"/>
          <w:lang w:eastAsia="en-US"/>
        </w:rPr>
        <w:t>…</w:t>
      </w:r>
    </w:p>
    <w:p w:rsidR="00C051D2" w:rsidRPr="00344EC4" w:rsidRDefault="00C051D2" w:rsidP="00C051D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b/>
          <w:i/>
          <w:sz w:val="21"/>
          <w:szCs w:val="21"/>
          <w:lang w:eastAsia="en-US"/>
        </w:rPr>
        <w:t>II.</w:t>
      </w:r>
      <w:r w:rsidRPr="00344EC4">
        <w:rPr>
          <w:rFonts w:ascii="Palatino Linotype" w:eastAsia="Palatino Linotype" w:hAnsi="Palatino Linotype" w:cs="Palatino Linotype"/>
          <w:i/>
          <w:sz w:val="21"/>
          <w:szCs w:val="21"/>
          <w:lang w:eastAsia="en-US"/>
        </w:rPr>
        <w:t xml:space="preserve"> Se determine mediante resolución de autoridad competente; o</w:t>
      </w:r>
    </w:p>
    <w:p w:rsidR="00C051D2" w:rsidRPr="00344EC4" w:rsidRDefault="00C051D2" w:rsidP="00C051D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b/>
          <w:i/>
          <w:sz w:val="21"/>
          <w:szCs w:val="21"/>
          <w:lang w:eastAsia="en-US"/>
        </w:rPr>
        <w:lastRenderedPageBreak/>
        <w:t>III</w:t>
      </w:r>
      <w:r w:rsidRPr="00344EC4">
        <w:rPr>
          <w:rFonts w:ascii="Palatino Linotype" w:eastAsia="Palatino Linotype" w:hAnsi="Palatino Linotype" w:cs="Palatino Linotype"/>
          <w:i/>
          <w:sz w:val="21"/>
          <w:szCs w:val="21"/>
          <w:lang w:eastAsia="en-US"/>
        </w:rPr>
        <w:t xml:space="preserve">. </w:t>
      </w:r>
      <w:r w:rsidRPr="00344EC4">
        <w:rPr>
          <w:rFonts w:ascii="Palatino Linotype" w:eastAsia="Palatino Linotype" w:hAnsi="Palatino Linotype" w:cs="Palatino Linotype"/>
          <w:b/>
          <w:i/>
          <w:sz w:val="21"/>
          <w:szCs w:val="21"/>
          <w:lang w:eastAsia="en-US"/>
        </w:rPr>
        <w:t>Se generen versiones públicas para dar cumplimiento a las obligaciones de transparencia previstas en esta Ley</w:t>
      </w:r>
      <w:r w:rsidRPr="00344EC4">
        <w:rPr>
          <w:rFonts w:ascii="Palatino Linotype" w:eastAsia="Palatino Linotype" w:hAnsi="Palatino Linotype" w:cs="Palatino Linotype"/>
          <w:i/>
          <w:sz w:val="21"/>
          <w:szCs w:val="21"/>
          <w:lang w:eastAsia="en-US"/>
        </w:rPr>
        <w:t>.”</w:t>
      </w:r>
    </w:p>
    <w:p w:rsidR="00C051D2" w:rsidRPr="00344EC4" w:rsidRDefault="00C051D2" w:rsidP="00C051D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i/>
          <w:sz w:val="21"/>
          <w:szCs w:val="21"/>
          <w:lang w:eastAsia="en-US"/>
        </w:rPr>
        <w:t>“</w:t>
      </w:r>
      <w:r w:rsidRPr="00344EC4">
        <w:rPr>
          <w:rFonts w:ascii="Palatino Linotype" w:eastAsia="Palatino Linotype" w:hAnsi="Palatino Linotype" w:cs="Palatino Linotype"/>
          <w:b/>
          <w:i/>
          <w:sz w:val="21"/>
          <w:szCs w:val="21"/>
          <w:lang w:eastAsia="en-US"/>
        </w:rPr>
        <w:t>Segundo.-</w:t>
      </w:r>
      <w:r w:rsidRPr="00344EC4">
        <w:rPr>
          <w:rFonts w:ascii="Palatino Linotype" w:eastAsia="Palatino Linotype" w:hAnsi="Palatino Linotype" w:cs="Palatino Linotype"/>
          <w:i/>
          <w:sz w:val="21"/>
          <w:szCs w:val="21"/>
          <w:lang w:eastAsia="en-US"/>
        </w:rPr>
        <w:t xml:space="preserve"> Para efectos de los presentes Lineamientos Generales, se entenderá por:</w:t>
      </w:r>
    </w:p>
    <w:p w:rsidR="00C051D2" w:rsidRPr="00344EC4" w:rsidRDefault="00C051D2" w:rsidP="00C051D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b/>
          <w:i/>
          <w:sz w:val="21"/>
          <w:szCs w:val="21"/>
          <w:lang w:eastAsia="en-US"/>
        </w:rPr>
        <w:t>XVIII.</w:t>
      </w:r>
      <w:r w:rsidRPr="00344EC4">
        <w:rPr>
          <w:rFonts w:ascii="Palatino Linotype" w:eastAsia="Palatino Linotype" w:hAnsi="Palatino Linotype" w:cs="Palatino Linotype"/>
          <w:i/>
          <w:sz w:val="21"/>
          <w:szCs w:val="21"/>
          <w:lang w:eastAsia="en-US"/>
        </w:rPr>
        <w:t xml:space="preserve"> </w:t>
      </w:r>
      <w:r w:rsidRPr="00344EC4">
        <w:rPr>
          <w:rFonts w:ascii="Palatino Linotype" w:eastAsia="Palatino Linotype" w:hAnsi="Palatino Linotype" w:cs="Palatino Linotype"/>
          <w:b/>
          <w:i/>
          <w:sz w:val="21"/>
          <w:szCs w:val="21"/>
          <w:lang w:eastAsia="en-US"/>
        </w:rPr>
        <w:t>Versión pública:</w:t>
      </w:r>
      <w:r w:rsidRPr="00344EC4">
        <w:rPr>
          <w:rFonts w:ascii="Palatino Linotype" w:eastAsia="Palatino Linotype" w:hAnsi="Palatino Linotype" w:cs="Palatino Linotype"/>
          <w:i/>
          <w:sz w:val="21"/>
          <w:szCs w:val="21"/>
          <w:lang w:eastAsia="en-US"/>
        </w:rPr>
        <w:t xml:space="preserve"> El documento a partir del que se otorga acceso a la información, en el que se testan partes o secciones clasificadas, indicando el contenido de éstas de manera genérica, </w:t>
      </w:r>
      <w:r w:rsidRPr="00344EC4">
        <w:rPr>
          <w:rFonts w:ascii="Palatino Linotype" w:eastAsia="Palatino Linotype" w:hAnsi="Palatino Linotype" w:cs="Palatino Linotype"/>
          <w:b/>
          <w:i/>
          <w:sz w:val="21"/>
          <w:szCs w:val="21"/>
          <w:lang w:eastAsia="en-US"/>
        </w:rPr>
        <w:t>fundando y motivando la</w:t>
      </w:r>
      <w:r w:rsidRPr="00344EC4">
        <w:rPr>
          <w:rFonts w:ascii="Palatino Linotype" w:eastAsia="Palatino Linotype" w:hAnsi="Palatino Linotype" w:cs="Palatino Linotype"/>
          <w:i/>
          <w:sz w:val="21"/>
          <w:szCs w:val="21"/>
          <w:lang w:eastAsia="en-US"/>
        </w:rPr>
        <w:t xml:space="preserve"> reserva o </w:t>
      </w:r>
      <w:r w:rsidRPr="00344EC4">
        <w:rPr>
          <w:rFonts w:ascii="Palatino Linotype" w:eastAsia="Palatino Linotype" w:hAnsi="Palatino Linotype" w:cs="Palatino Linotype"/>
          <w:b/>
          <w:i/>
          <w:sz w:val="21"/>
          <w:szCs w:val="21"/>
          <w:lang w:eastAsia="en-US"/>
        </w:rPr>
        <w:t>confidencialidad</w:t>
      </w:r>
      <w:r w:rsidRPr="00344EC4">
        <w:rPr>
          <w:rFonts w:ascii="Palatino Linotype" w:eastAsia="Palatino Linotype" w:hAnsi="Palatino Linotype" w:cs="Palatino Linotype"/>
          <w:i/>
          <w:sz w:val="21"/>
          <w:szCs w:val="21"/>
          <w:lang w:eastAsia="en-US"/>
        </w:rPr>
        <w:t>, a través de la resolución que para tal efecto emita el Comité de Transparencia.</w:t>
      </w:r>
    </w:p>
    <w:p w:rsidR="00C051D2" w:rsidRPr="00344EC4" w:rsidRDefault="00C051D2" w:rsidP="00C051D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b/>
          <w:i/>
          <w:sz w:val="21"/>
          <w:szCs w:val="21"/>
          <w:lang w:eastAsia="en-US"/>
        </w:rPr>
        <w:t>Cuarto.</w:t>
      </w:r>
      <w:r w:rsidRPr="00344EC4">
        <w:rPr>
          <w:rFonts w:ascii="Palatino Linotype" w:eastAsia="Palatino Linotype" w:hAnsi="Palatino Linotype" w:cs="Palatino Linotype"/>
          <w:i/>
          <w:sz w:val="21"/>
          <w:szCs w:val="21"/>
          <w:lang w:eastAsia="en-US"/>
        </w:rPr>
        <w:t xml:space="preserve"> </w:t>
      </w:r>
      <w:r w:rsidRPr="00344EC4">
        <w:rPr>
          <w:rFonts w:ascii="Palatino Linotype" w:eastAsia="Palatino Linotype" w:hAnsi="Palatino Linotype" w:cs="Palatino Linotype"/>
          <w:b/>
          <w:i/>
          <w:sz w:val="21"/>
          <w:szCs w:val="21"/>
          <w:lang w:eastAsia="en-US"/>
        </w:rPr>
        <w:t>Para clasificar la información como</w:t>
      </w:r>
      <w:r w:rsidRPr="00344EC4">
        <w:rPr>
          <w:rFonts w:ascii="Palatino Linotype" w:eastAsia="Palatino Linotype" w:hAnsi="Palatino Linotype" w:cs="Palatino Linotype"/>
          <w:i/>
          <w:sz w:val="21"/>
          <w:szCs w:val="21"/>
          <w:lang w:eastAsia="en-US"/>
        </w:rPr>
        <w:t xml:space="preserve"> reservada o </w:t>
      </w:r>
      <w:r w:rsidRPr="00344EC4">
        <w:rPr>
          <w:rFonts w:ascii="Palatino Linotype" w:eastAsia="Palatino Linotype" w:hAnsi="Palatino Linotype" w:cs="Palatino Linotype"/>
          <w:b/>
          <w:i/>
          <w:sz w:val="21"/>
          <w:szCs w:val="21"/>
          <w:lang w:eastAsia="en-US"/>
        </w:rPr>
        <w:t>confidencial, de manera total o parcial, el titular del área del sujeto obligado deberá atender lo dispuesto por el Título Sexto de la Ley General</w:t>
      </w:r>
      <w:r w:rsidRPr="00344EC4">
        <w:rPr>
          <w:rFonts w:ascii="Palatino Linotype" w:eastAsia="Palatino Linotype" w:hAnsi="Palatino Linotype" w:cs="Palatino Linotype"/>
          <w:i/>
          <w:sz w:val="21"/>
          <w:szCs w:val="21"/>
          <w:lang w:eastAsia="en-US"/>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051D2" w:rsidRPr="00344EC4" w:rsidRDefault="00C051D2" w:rsidP="00C051D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i/>
          <w:sz w:val="21"/>
          <w:szCs w:val="21"/>
          <w:lang w:eastAsia="en-US"/>
        </w:rPr>
        <w:t>Los sujetos obligados deberán aplicar, de manera estricta, las excepciones al derecho de acceso a la información y sólo podrán invocarlas cuando acrediten su procedencia.</w:t>
      </w:r>
    </w:p>
    <w:p w:rsidR="00C051D2" w:rsidRPr="00344EC4" w:rsidRDefault="00C051D2" w:rsidP="00C051D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b/>
          <w:i/>
          <w:sz w:val="21"/>
          <w:szCs w:val="21"/>
          <w:lang w:eastAsia="en-US"/>
        </w:rPr>
        <w:t>Quinto.</w:t>
      </w:r>
      <w:r w:rsidRPr="00344EC4">
        <w:rPr>
          <w:rFonts w:ascii="Palatino Linotype" w:eastAsia="Palatino Linotype" w:hAnsi="Palatino Linotype" w:cs="Palatino Linotype"/>
          <w:i/>
          <w:sz w:val="21"/>
          <w:szCs w:val="21"/>
          <w:lang w:eastAsia="en-U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051D2" w:rsidRPr="00344EC4" w:rsidRDefault="00C051D2" w:rsidP="00C051D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b/>
          <w:i/>
          <w:sz w:val="21"/>
          <w:szCs w:val="21"/>
          <w:lang w:eastAsia="en-US"/>
        </w:rPr>
        <w:t>Sexto.</w:t>
      </w:r>
      <w:r w:rsidRPr="00344EC4">
        <w:rPr>
          <w:rFonts w:ascii="Palatino Linotype" w:eastAsia="Palatino Linotype" w:hAnsi="Palatino Linotype" w:cs="Palatino Linotype"/>
          <w:i/>
          <w:sz w:val="21"/>
          <w:szCs w:val="21"/>
          <w:lang w:eastAsia="en-U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051D2" w:rsidRPr="00344EC4" w:rsidRDefault="00C051D2" w:rsidP="00C051D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i/>
          <w:sz w:val="21"/>
          <w:szCs w:val="21"/>
          <w:lang w:eastAsia="en-US"/>
        </w:rPr>
        <w:t>La clasificación de información se realizará conforme a un análisis caso por caso, mediante la aplicación de la prueba de daño y de interés público.</w:t>
      </w:r>
    </w:p>
    <w:p w:rsidR="00C051D2" w:rsidRPr="00344EC4" w:rsidRDefault="00C051D2" w:rsidP="00C051D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b/>
          <w:i/>
          <w:sz w:val="21"/>
          <w:szCs w:val="21"/>
          <w:lang w:eastAsia="en-US"/>
        </w:rPr>
        <w:t>Séptimo.</w:t>
      </w:r>
      <w:r w:rsidRPr="00344EC4">
        <w:rPr>
          <w:rFonts w:ascii="Palatino Linotype" w:eastAsia="Palatino Linotype" w:hAnsi="Palatino Linotype" w:cs="Palatino Linotype"/>
          <w:i/>
          <w:sz w:val="21"/>
          <w:szCs w:val="21"/>
          <w:lang w:eastAsia="en-US"/>
        </w:rPr>
        <w:t xml:space="preserve"> La clasificación de la información se llevará a cabo en el momento en que:</w:t>
      </w:r>
    </w:p>
    <w:p w:rsidR="00C051D2" w:rsidRPr="00344EC4" w:rsidRDefault="00C051D2" w:rsidP="00C051D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b/>
          <w:i/>
          <w:sz w:val="21"/>
          <w:szCs w:val="21"/>
          <w:lang w:eastAsia="en-US"/>
        </w:rPr>
        <w:t>I.</w:t>
      </w:r>
      <w:r w:rsidRPr="00344EC4">
        <w:rPr>
          <w:rFonts w:ascii="Palatino Linotype" w:eastAsia="Palatino Linotype" w:hAnsi="Palatino Linotype" w:cs="Palatino Linotype"/>
          <w:i/>
          <w:sz w:val="21"/>
          <w:szCs w:val="21"/>
          <w:lang w:eastAsia="en-US"/>
        </w:rPr>
        <w:t xml:space="preserve"> Se reciba una solicitud de acceso a la información;</w:t>
      </w:r>
    </w:p>
    <w:p w:rsidR="00C051D2" w:rsidRPr="00344EC4" w:rsidRDefault="00C051D2" w:rsidP="00C051D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b/>
          <w:i/>
          <w:sz w:val="21"/>
          <w:szCs w:val="21"/>
          <w:lang w:eastAsia="en-US"/>
        </w:rPr>
        <w:t>II.</w:t>
      </w:r>
      <w:r w:rsidRPr="00344EC4">
        <w:rPr>
          <w:rFonts w:ascii="Palatino Linotype" w:eastAsia="Palatino Linotype" w:hAnsi="Palatino Linotype" w:cs="Palatino Linotype"/>
          <w:i/>
          <w:sz w:val="21"/>
          <w:szCs w:val="21"/>
          <w:lang w:eastAsia="en-US"/>
        </w:rPr>
        <w:t xml:space="preserve"> Se determine mediante resolución de autoridad competente, o</w:t>
      </w:r>
    </w:p>
    <w:p w:rsidR="00C051D2" w:rsidRPr="00344EC4" w:rsidRDefault="00C051D2" w:rsidP="00C051D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b/>
          <w:i/>
          <w:sz w:val="21"/>
          <w:szCs w:val="21"/>
          <w:lang w:eastAsia="en-US"/>
        </w:rPr>
        <w:lastRenderedPageBreak/>
        <w:t>III.</w:t>
      </w:r>
      <w:r w:rsidRPr="00344EC4">
        <w:rPr>
          <w:rFonts w:ascii="Palatino Linotype" w:eastAsia="Palatino Linotype" w:hAnsi="Palatino Linotype" w:cs="Palatino Linotype"/>
          <w:i/>
          <w:sz w:val="21"/>
          <w:szCs w:val="21"/>
          <w:lang w:eastAsia="en-US"/>
        </w:rPr>
        <w:t xml:space="preserve"> Se generen versiones públicas para dar cumplimiento a las obligaciones de transparencia previstas en la Ley General, la Ley Federal y las correspondientes de las entidades federativas.</w:t>
      </w:r>
    </w:p>
    <w:p w:rsidR="00C051D2" w:rsidRPr="00344EC4" w:rsidRDefault="00C051D2" w:rsidP="00C051D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i/>
          <w:sz w:val="21"/>
          <w:szCs w:val="21"/>
          <w:lang w:eastAsia="en-US"/>
        </w:rPr>
        <w:t>Los titulares de las áreas deberán revisar la clasificación al momento de la recepción de una solicitud de acceso a la información, para verificar si encuadra en una causal de reserva o de confidencialidad.</w:t>
      </w:r>
    </w:p>
    <w:p w:rsidR="00C051D2" w:rsidRPr="00344EC4" w:rsidRDefault="00C051D2" w:rsidP="00C051D2">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b/>
          <w:i/>
          <w:sz w:val="21"/>
          <w:szCs w:val="21"/>
          <w:lang w:eastAsia="en-US"/>
        </w:rPr>
        <w:t>Octavo.</w:t>
      </w:r>
      <w:r w:rsidRPr="00344EC4">
        <w:rPr>
          <w:rFonts w:ascii="Palatino Linotype" w:eastAsia="Palatino Linotype" w:hAnsi="Palatino Linotype" w:cs="Palatino Linotype"/>
          <w:i/>
          <w:sz w:val="21"/>
          <w:szCs w:val="21"/>
          <w:lang w:eastAsia="en-U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051D2" w:rsidRPr="00344EC4" w:rsidRDefault="00C051D2" w:rsidP="00C051D2">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i/>
          <w:sz w:val="21"/>
          <w:szCs w:val="21"/>
          <w:lang w:eastAsia="en-US"/>
        </w:rPr>
        <w:t>Para motivar la clasificación se deberán señalar las razones o circunstancias especiales que lo llevaron a concluir que el caso particular se ajusta al supuesto previsto por la norma legal invocada como fundamento.</w:t>
      </w:r>
    </w:p>
    <w:p w:rsidR="00C051D2" w:rsidRPr="00344EC4" w:rsidRDefault="00C051D2" w:rsidP="00C051D2">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i/>
          <w:sz w:val="21"/>
          <w:szCs w:val="21"/>
          <w:lang w:eastAsia="en-US"/>
        </w:rPr>
        <w:t>En caso de referirse a información reservada, la motivación de la clasificación también deberá comprender las circunstancias que justifican el establecimiento de determinado plazo de reserva.</w:t>
      </w:r>
    </w:p>
    <w:p w:rsidR="00C051D2" w:rsidRPr="00344EC4" w:rsidRDefault="00C051D2" w:rsidP="00C051D2">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i/>
          <w:sz w:val="21"/>
          <w:szCs w:val="21"/>
          <w:lang w:eastAsia="en-US"/>
        </w:rPr>
        <w:t>Tratándose de información clasificada como confidencial respecto de la cual se haya determinado su conservación permanente por tener valor histórico, ésta conservará tal carácter de conformidad con la normativa aplicable en materia de archivos.</w:t>
      </w:r>
    </w:p>
    <w:p w:rsidR="00C051D2" w:rsidRPr="00344EC4" w:rsidRDefault="00C051D2" w:rsidP="00C051D2">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i/>
          <w:sz w:val="21"/>
          <w:szCs w:val="21"/>
          <w:lang w:eastAsia="en-US"/>
        </w:rPr>
        <w:t>Los documentos contenidos en los archivos históricos y los identificados como históricos confidenciales no serán susceptibles de clasificación como reservados.</w:t>
      </w:r>
    </w:p>
    <w:p w:rsidR="00C051D2" w:rsidRPr="00344EC4" w:rsidRDefault="00C051D2" w:rsidP="00C051D2">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b/>
          <w:i/>
          <w:sz w:val="21"/>
          <w:szCs w:val="21"/>
          <w:lang w:eastAsia="en-US"/>
        </w:rPr>
        <w:t>Noveno.</w:t>
      </w:r>
      <w:r w:rsidRPr="00344EC4">
        <w:rPr>
          <w:rFonts w:ascii="Palatino Linotype" w:eastAsia="Palatino Linotype" w:hAnsi="Palatino Linotype" w:cs="Palatino Linotype"/>
          <w:i/>
          <w:sz w:val="21"/>
          <w:szCs w:val="21"/>
          <w:lang w:eastAsia="en-U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051D2" w:rsidRPr="00344EC4" w:rsidRDefault="00C051D2" w:rsidP="00C051D2">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b/>
          <w:i/>
          <w:sz w:val="21"/>
          <w:szCs w:val="21"/>
          <w:lang w:eastAsia="en-US"/>
        </w:rPr>
        <w:t>Décimo.</w:t>
      </w:r>
      <w:r w:rsidRPr="00344EC4">
        <w:rPr>
          <w:rFonts w:ascii="Palatino Linotype" w:eastAsia="Palatino Linotype" w:hAnsi="Palatino Linotype" w:cs="Palatino Linotype"/>
          <w:i/>
          <w:sz w:val="21"/>
          <w:szCs w:val="21"/>
          <w:lang w:eastAsia="en-U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051D2" w:rsidRPr="00344EC4" w:rsidRDefault="00C051D2" w:rsidP="00C051D2">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i/>
          <w:sz w:val="21"/>
          <w:szCs w:val="21"/>
          <w:lang w:eastAsia="en-US"/>
        </w:rPr>
        <w:lastRenderedPageBreak/>
        <w:t>En ausencia de los titulares de las áreas, la información será clasificada o desclasificada por la persona que lo supla, en términos de la normativa que rija la actuación del sujeto obligado.</w:t>
      </w:r>
    </w:p>
    <w:p w:rsidR="00C051D2" w:rsidRPr="00344EC4" w:rsidRDefault="00C051D2" w:rsidP="00C051D2">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344EC4">
        <w:rPr>
          <w:rFonts w:ascii="Palatino Linotype" w:eastAsia="Palatino Linotype" w:hAnsi="Palatino Linotype" w:cs="Palatino Linotype"/>
          <w:b/>
          <w:i/>
          <w:sz w:val="21"/>
          <w:szCs w:val="21"/>
          <w:lang w:eastAsia="en-US"/>
        </w:rPr>
        <w:t>Décimo primero.</w:t>
      </w:r>
      <w:r w:rsidRPr="00344EC4">
        <w:rPr>
          <w:rFonts w:ascii="Palatino Linotype" w:eastAsia="Palatino Linotype" w:hAnsi="Palatino Linotype" w:cs="Palatino Linotype"/>
          <w:i/>
          <w:sz w:val="21"/>
          <w:szCs w:val="21"/>
          <w:lang w:eastAsia="en-U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C051D2" w:rsidRPr="00344EC4" w:rsidRDefault="00C051D2" w:rsidP="00C051D2">
      <w:pPr>
        <w:spacing w:before="240" w:after="240" w:line="360" w:lineRule="auto"/>
        <w:jc w:val="both"/>
        <w:rPr>
          <w:rFonts w:ascii="Palatino Linotype" w:eastAsia="Palatino Linotype" w:hAnsi="Palatino Linotype" w:cs="Palatino Linotype"/>
          <w:sz w:val="22"/>
          <w:szCs w:val="22"/>
          <w:lang w:eastAsia="en-US"/>
        </w:rPr>
      </w:pPr>
      <w:bookmarkStart w:id="5" w:name="_heading=h.4d34og8" w:colFirst="0" w:colLast="0"/>
      <w:bookmarkEnd w:id="5"/>
      <w:r w:rsidRPr="00344EC4">
        <w:rPr>
          <w:rFonts w:ascii="Palatino Linotype" w:eastAsia="Palatino Linotype" w:hAnsi="Palatino Linotype" w:cs="Palatino Linotype"/>
          <w:sz w:val="22"/>
          <w:szCs w:val="22"/>
          <w:lang w:eastAsia="en-US"/>
        </w:rPr>
        <w:t xml:space="preserve">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p w:rsidR="00C051D2" w:rsidRPr="00344EC4" w:rsidRDefault="00C051D2" w:rsidP="00C051D2">
      <w:pPr>
        <w:spacing w:after="160" w:line="259" w:lineRule="auto"/>
        <w:ind w:left="851" w:right="900"/>
        <w:jc w:val="center"/>
        <w:rPr>
          <w:rFonts w:ascii="Palatino Linotype" w:eastAsia="Palatino Linotype" w:hAnsi="Palatino Linotype" w:cs="Palatino Linotype"/>
          <w:b/>
          <w:i/>
          <w:sz w:val="22"/>
          <w:szCs w:val="22"/>
          <w:lang w:eastAsia="en-US"/>
        </w:rPr>
      </w:pPr>
      <w:r w:rsidRPr="00344EC4">
        <w:rPr>
          <w:rFonts w:ascii="Palatino Linotype" w:eastAsia="Palatino Linotype" w:hAnsi="Palatino Linotype" w:cs="Palatino Linotype"/>
          <w:b/>
          <w:i/>
          <w:sz w:val="22"/>
          <w:szCs w:val="22"/>
          <w:lang w:eastAsia="en-US"/>
        </w:rPr>
        <w:t>CAPÍTULO VIII</w:t>
      </w:r>
    </w:p>
    <w:p w:rsidR="00C051D2" w:rsidRPr="00344EC4" w:rsidRDefault="00C051D2" w:rsidP="00C051D2">
      <w:pPr>
        <w:spacing w:after="160" w:line="259" w:lineRule="auto"/>
        <w:ind w:left="851" w:right="900"/>
        <w:jc w:val="center"/>
        <w:rPr>
          <w:rFonts w:ascii="Palatino Linotype" w:eastAsia="Palatino Linotype" w:hAnsi="Palatino Linotype" w:cs="Palatino Linotype"/>
          <w:b/>
          <w:i/>
          <w:sz w:val="22"/>
          <w:szCs w:val="22"/>
          <w:lang w:eastAsia="en-US"/>
        </w:rPr>
      </w:pPr>
      <w:r w:rsidRPr="00344EC4">
        <w:rPr>
          <w:rFonts w:ascii="Palatino Linotype" w:eastAsia="Palatino Linotype" w:hAnsi="Palatino Linotype" w:cs="Palatino Linotype"/>
          <w:b/>
          <w:i/>
          <w:sz w:val="22"/>
          <w:szCs w:val="22"/>
          <w:lang w:eastAsia="en-US"/>
        </w:rPr>
        <w:t>DE LA LEYENDA DE CLASIFICACIÓN</w:t>
      </w:r>
    </w:p>
    <w:p w:rsidR="00C051D2" w:rsidRPr="00344EC4" w:rsidRDefault="00C051D2" w:rsidP="00C051D2">
      <w:pPr>
        <w:spacing w:after="160" w:line="259" w:lineRule="auto"/>
        <w:ind w:left="851" w:right="900"/>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w:t>
      </w:r>
    </w:p>
    <w:p w:rsidR="00C051D2" w:rsidRPr="00344EC4" w:rsidRDefault="00C051D2" w:rsidP="00C051D2">
      <w:pPr>
        <w:spacing w:after="160" w:line="259" w:lineRule="auto"/>
        <w:ind w:left="851" w:right="900"/>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 xml:space="preserve">Quincuagésimo tercero. </w:t>
      </w:r>
      <w:r w:rsidRPr="00344EC4">
        <w:rPr>
          <w:rFonts w:ascii="Palatino Linotype" w:eastAsia="Palatino Linotype" w:hAnsi="Palatino Linotype" w:cs="Palatino Linotype"/>
          <w:b/>
          <w:i/>
          <w:sz w:val="22"/>
          <w:szCs w:val="22"/>
          <w:u w:val="single"/>
          <w:lang w:eastAsia="en-US"/>
        </w:rPr>
        <w:t>El formato para señalar la clasificación parcial de un documento</w:t>
      </w:r>
      <w:r w:rsidRPr="00344EC4">
        <w:rPr>
          <w:rFonts w:ascii="Palatino Linotype" w:eastAsia="Palatino Linotype" w:hAnsi="Palatino Linotype" w:cs="Palatino Linotype"/>
          <w:i/>
          <w:sz w:val="22"/>
          <w:szCs w:val="22"/>
          <w:lang w:eastAsia="en-US"/>
        </w:rPr>
        <w:t>, es el siguiente:</w:t>
      </w:r>
    </w:p>
    <w:p w:rsidR="00C051D2" w:rsidRPr="00344EC4" w:rsidRDefault="00C051D2" w:rsidP="00C051D2">
      <w:pPr>
        <w:spacing w:after="160" w:line="259" w:lineRule="auto"/>
        <w:ind w:left="851" w:right="900"/>
        <w:jc w:val="both"/>
        <w:rPr>
          <w:rFonts w:ascii="Palatino Linotype" w:eastAsia="Palatino Linotype" w:hAnsi="Palatino Linotype" w:cs="Palatino Linotype"/>
          <w:b/>
          <w:i/>
          <w:sz w:val="22"/>
          <w:szCs w:val="22"/>
          <w:lang w:eastAsia="en-US"/>
        </w:rPr>
      </w:pPr>
      <w:r w:rsidRPr="00344EC4">
        <w:rPr>
          <w:rFonts w:ascii="Palatino Linotype" w:eastAsia="Palatino Linotype" w:hAnsi="Palatino Linotype" w:cs="Palatino Linotype"/>
          <w:b/>
          <w:i/>
          <w:sz w:val="22"/>
          <w:szCs w:val="22"/>
          <w:lang w:eastAsia="en-US"/>
        </w:rPr>
        <w:t>...</w:t>
      </w:r>
    </w:p>
    <w:p w:rsidR="00C051D2" w:rsidRPr="00344EC4" w:rsidRDefault="00C051D2" w:rsidP="00C051D2">
      <w:pPr>
        <w:spacing w:after="160" w:line="259" w:lineRule="auto"/>
        <w:ind w:left="851" w:right="900"/>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b/>
          <w:i/>
          <w:sz w:val="22"/>
          <w:szCs w:val="22"/>
          <w:lang w:eastAsia="en-US"/>
        </w:rPr>
        <w:t>Quincuagésimo quinto</w:t>
      </w:r>
      <w:r w:rsidRPr="00344EC4">
        <w:rPr>
          <w:rFonts w:ascii="Palatino Linotype" w:eastAsia="Palatino Linotype" w:hAnsi="Palatino Linotype" w:cs="Palatino Linotype"/>
          <w:i/>
          <w:sz w:val="22"/>
          <w:szCs w:val="22"/>
          <w:lang w:eastAsia="en-US"/>
        </w:rPr>
        <w:t>. Los documentos que integren un expediente reservado o confidencial en su totalidad no deberán marcarse en lo individual.</w:t>
      </w:r>
    </w:p>
    <w:p w:rsidR="00C051D2" w:rsidRPr="00344EC4" w:rsidRDefault="00C051D2" w:rsidP="00C051D2">
      <w:pPr>
        <w:spacing w:after="160" w:line="259" w:lineRule="auto"/>
        <w:ind w:left="851" w:right="900"/>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Una vez desclasificados los expedientes, si existieren documentos que tuvieran el carácter de reservados o confidenciales, deberán ser marcados.</w:t>
      </w:r>
    </w:p>
    <w:p w:rsidR="00C051D2" w:rsidRPr="00344EC4" w:rsidRDefault="00C051D2" w:rsidP="00C051D2">
      <w:pPr>
        <w:spacing w:after="160" w:line="259" w:lineRule="auto"/>
        <w:ind w:left="851" w:right="900"/>
        <w:jc w:val="both"/>
        <w:rPr>
          <w:rFonts w:ascii="Palatino Linotype" w:eastAsia="Palatino Linotype" w:hAnsi="Palatino Linotype" w:cs="Palatino Linotype"/>
          <w:i/>
          <w:sz w:val="22"/>
          <w:szCs w:val="22"/>
          <w:lang w:eastAsia="en-US"/>
        </w:rPr>
      </w:pPr>
      <w:r w:rsidRPr="00344EC4">
        <w:rPr>
          <w:rFonts w:ascii="Palatino Linotype" w:eastAsia="Palatino Linotype" w:hAnsi="Palatino Linotype" w:cs="Palatino Linotype"/>
          <w:i/>
          <w:sz w:val="22"/>
          <w:szCs w:val="22"/>
          <w:lang w:eastAsia="en-US"/>
        </w:rPr>
        <w:t>El formato para señalar la clasificación de expedientes que por su naturaleza sean en su totalidad reservados o confidenciales, es el siguiente:”</w:t>
      </w:r>
    </w:p>
    <w:tbl>
      <w:tblPr>
        <w:tblStyle w:val="Tabladelista1clara-nfasis111"/>
        <w:tblW w:w="0" w:type="auto"/>
        <w:tblLayout w:type="fixed"/>
        <w:tblLook w:val="04A0" w:firstRow="1" w:lastRow="0" w:firstColumn="1" w:lastColumn="0" w:noHBand="0" w:noVBand="1"/>
      </w:tblPr>
      <w:tblGrid>
        <w:gridCol w:w="993"/>
        <w:gridCol w:w="3421"/>
        <w:gridCol w:w="968"/>
        <w:gridCol w:w="3446"/>
      </w:tblGrid>
      <w:tr w:rsidR="00344EC4" w:rsidRPr="00344EC4" w:rsidTr="004E61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C051D2" w:rsidRPr="00344EC4" w:rsidRDefault="00C051D2" w:rsidP="00C051D2">
            <w:pPr>
              <w:jc w:val="center"/>
              <w:rPr>
                <w:rFonts w:ascii="Palatino Linotype" w:hAnsi="Palatino Linotype"/>
                <w:sz w:val="12"/>
                <w:szCs w:val="12"/>
                <w:lang w:eastAsia="es-MX"/>
              </w:rPr>
            </w:pPr>
            <w:r w:rsidRPr="00344EC4">
              <w:rPr>
                <w:rFonts w:ascii="Palatino Linotype" w:hAnsi="Palatino Linotype"/>
                <w:sz w:val="12"/>
                <w:szCs w:val="12"/>
                <w:lang w:eastAsia="es-MX"/>
              </w:rPr>
              <w:t>Parcial</w:t>
            </w:r>
          </w:p>
        </w:tc>
        <w:tc>
          <w:tcPr>
            <w:tcW w:w="4414" w:type="dxa"/>
            <w:gridSpan w:val="2"/>
          </w:tcPr>
          <w:p w:rsidR="00C051D2" w:rsidRPr="00344EC4" w:rsidRDefault="00C051D2" w:rsidP="00C051D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Total</w:t>
            </w:r>
          </w:p>
        </w:tc>
      </w:tr>
      <w:tr w:rsidR="00344EC4" w:rsidRPr="00344EC4" w:rsidTr="004E6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C051D2" w:rsidRPr="00344EC4" w:rsidRDefault="00C051D2" w:rsidP="00C051D2">
            <w:pPr>
              <w:jc w:val="center"/>
              <w:rPr>
                <w:rFonts w:ascii="Palatino Linotype" w:hAnsi="Palatino Linotype"/>
                <w:sz w:val="12"/>
                <w:szCs w:val="12"/>
                <w:lang w:eastAsia="es-MX"/>
              </w:rPr>
            </w:pPr>
            <w:r w:rsidRPr="00344EC4">
              <w:rPr>
                <w:rFonts w:ascii="Palatino Linotype" w:hAnsi="Palatino Linotype"/>
                <w:sz w:val="12"/>
                <w:szCs w:val="12"/>
                <w:lang w:eastAsia="es-MX"/>
              </w:rPr>
              <w:t>Concepto</w:t>
            </w:r>
          </w:p>
        </w:tc>
        <w:tc>
          <w:tcPr>
            <w:tcW w:w="3421" w:type="dxa"/>
          </w:tcPr>
          <w:p w:rsidR="00C051D2" w:rsidRPr="00344EC4" w:rsidRDefault="00C051D2" w:rsidP="00C051D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eastAsia="es-MX"/>
              </w:rPr>
            </w:pPr>
            <w:r w:rsidRPr="00344EC4">
              <w:rPr>
                <w:rFonts w:ascii="Palatino Linotype" w:hAnsi="Palatino Linotype"/>
                <w:b/>
                <w:sz w:val="12"/>
                <w:szCs w:val="12"/>
                <w:lang w:eastAsia="es-MX"/>
              </w:rPr>
              <w:t>Dónde</w:t>
            </w:r>
          </w:p>
        </w:tc>
        <w:tc>
          <w:tcPr>
            <w:tcW w:w="968" w:type="dxa"/>
          </w:tcPr>
          <w:p w:rsidR="00C051D2" w:rsidRPr="00344EC4" w:rsidRDefault="00C051D2" w:rsidP="00C051D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eastAsia="es-MX"/>
              </w:rPr>
            </w:pPr>
            <w:r w:rsidRPr="00344EC4">
              <w:rPr>
                <w:rFonts w:ascii="Palatino Linotype" w:hAnsi="Palatino Linotype"/>
                <w:b/>
                <w:sz w:val="12"/>
                <w:szCs w:val="12"/>
                <w:lang w:eastAsia="es-MX"/>
              </w:rPr>
              <w:t>Concepto</w:t>
            </w:r>
          </w:p>
        </w:tc>
        <w:tc>
          <w:tcPr>
            <w:tcW w:w="3446" w:type="dxa"/>
          </w:tcPr>
          <w:p w:rsidR="00C051D2" w:rsidRPr="00344EC4" w:rsidRDefault="00C051D2" w:rsidP="00C051D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eastAsia="es-MX"/>
              </w:rPr>
            </w:pPr>
            <w:r w:rsidRPr="00344EC4">
              <w:rPr>
                <w:rFonts w:ascii="Palatino Linotype" w:hAnsi="Palatino Linotype"/>
                <w:b/>
                <w:sz w:val="12"/>
                <w:szCs w:val="12"/>
                <w:lang w:eastAsia="es-MX"/>
              </w:rPr>
              <w:t>Dónde</w:t>
            </w:r>
          </w:p>
        </w:tc>
      </w:tr>
      <w:tr w:rsidR="00344EC4" w:rsidRPr="00344EC4" w:rsidTr="004E618D">
        <w:tc>
          <w:tcPr>
            <w:cnfStyle w:val="001000000000" w:firstRow="0" w:lastRow="0" w:firstColumn="1" w:lastColumn="0" w:oddVBand="0" w:evenVBand="0" w:oddHBand="0" w:evenHBand="0" w:firstRowFirstColumn="0" w:firstRowLastColumn="0" w:lastRowFirstColumn="0" w:lastRowLastColumn="0"/>
            <w:tcW w:w="8828" w:type="dxa"/>
            <w:gridSpan w:val="4"/>
          </w:tcPr>
          <w:p w:rsidR="00C051D2" w:rsidRPr="00344EC4" w:rsidRDefault="00C051D2" w:rsidP="00C051D2">
            <w:pPr>
              <w:jc w:val="center"/>
              <w:rPr>
                <w:rFonts w:ascii="Palatino Linotype" w:hAnsi="Palatino Linotype"/>
                <w:sz w:val="12"/>
                <w:szCs w:val="12"/>
                <w:lang w:eastAsia="es-MX"/>
              </w:rPr>
            </w:pPr>
            <w:r w:rsidRPr="00344EC4">
              <w:rPr>
                <w:rFonts w:ascii="Palatino Linotype" w:hAnsi="Palatino Linotype"/>
                <w:sz w:val="12"/>
                <w:szCs w:val="12"/>
                <w:lang w:eastAsia="es-MX"/>
              </w:rPr>
              <w:t>Sello oficial o logotipo del sujeto obligado</w:t>
            </w:r>
          </w:p>
        </w:tc>
      </w:tr>
      <w:tr w:rsidR="00344EC4" w:rsidRPr="00344EC4" w:rsidTr="004E6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C051D2" w:rsidRPr="00344EC4" w:rsidRDefault="00C051D2" w:rsidP="00C051D2">
            <w:pPr>
              <w:jc w:val="both"/>
              <w:rPr>
                <w:rFonts w:ascii="Palatino Linotype" w:hAnsi="Palatino Linotype"/>
                <w:sz w:val="12"/>
                <w:szCs w:val="12"/>
                <w:lang w:eastAsia="es-MX"/>
              </w:rPr>
            </w:pPr>
            <w:r w:rsidRPr="00344EC4">
              <w:rPr>
                <w:rFonts w:ascii="Palatino Linotype" w:hAnsi="Palatino Linotype"/>
                <w:sz w:val="12"/>
                <w:szCs w:val="12"/>
                <w:lang w:eastAsia="es-MX"/>
              </w:rPr>
              <w:t>Fecha de clasificación</w:t>
            </w:r>
          </w:p>
        </w:tc>
        <w:tc>
          <w:tcPr>
            <w:tcW w:w="3421" w:type="dxa"/>
          </w:tcPr>
          <w:p w:rsidR="00C051D2" w:rsidRPr="00344EC4" w:rsidRDefault="00C051D2" w:rsidP="00C0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Se anotará la fecha en la que el Comité de Transparencia confirmó la clasificación del documento, en su caso.</w:t>
            </w:r>
          </w:p>
        </w:tc>
        <w:tc>
          <w:tcPr>
            <w:tcW w:w="968" w:type="dxa"/>
          </w:tcPr>
          <w:p w:rsidR="00C051D2" w:rsidRPr="00344EC4" w:rsidRDefault="00C051D2" w:rsidP="00C0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eastAsia="es-MX"/>
              </w:rPr>
            </w:pPr>
            <w:r w:rsidRPr="00344EC4">
              <w:rPr>
                <w:rFonts w:ascii="Palatino Linotype" w:hAnsi="Palatino Linotype"/>
                <w:b/>
                <w:sz w:val="12"/>
                <w:szCs w:val="12"/>
                <w:lang w:eastAsia="es-MX"/>
              </w:rPr>
              <w:t>Fecha de clasificación</w:t>
            </w:r>
          </w:p>
        </w:tc>
        <w:tc>
          <w:tcPr>
            <w:tcW w:w="3446" w:type="dxa"/>
          </w:tcPr>
          <w:p w:rsidR="00C051D2" w:rsidRPr="00344EC4" w:rsidRDefault="00C051D2" w:rsidP="00C0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Se anotará la fecha en la que el Comité de Transparencia confirmó la clasificación del documento, en su caso.</w:t>
            </w:r>
          </w:p>
        </w:tc>
      </w:tr>
      <w:tr w:rsidR="00344EC4" w:rsidRPr="00344EC4" w:rsidTr="004E618D">
        <w:tc>
          <w:tcPr>
            <w:cnfStyle w:val="001000000000" w:firstRow="0" w:lastRow="0" w:firstColumn="1" w:lastColumn="0" w:oddVBand="0" w:evenVBand="0" w:oddHBand="0" w:evenHBand="0" w:firstRowFirstColumn="0" w:firstRowLastColumn="0" w:lastRowFirstColumn="0" w:lastRowLastColumn="0"/>
            <w:tcW w:w="993" w:type="dxa"/>
          </w:tcPr>
          <w:p w:rsidR="00C051D2" w:rsidRPr="00344EC4" w:rsidRDefault="00C051D2" w:rsidP="00C051D2">
            <w:pPr>
              <w:jc w:val="both"/>
              <w:rPr>
                <w:rFonts w:ascii="Palatino Linotype" w:hAnsi="Palatino Linotype"/>
                <w:sz w:val="12"/>
                <w:szCs w:val="12"/>
                <w:lang w:eastAsia="es-MX"/>
              </w:rPr>
            </w:pPr>
            <w:r w:rsidRPr="00344EC4">
              <w:rPr>
                <w:rFonts w:ascii="Palatino Linotype" w:hAnsi="Palatino Linotype"/>
                <w:sz w:val="12"/>
                <w:szCs w:val="12"/>
                <w:lang w:eastAsia="es-MX"/>
              </w:rPr>
              <w:t>Área</w:t>
            </w:r>
          </w:p>
        </w:tc>
        <w:tc>
          <w:tcPr>
            <w:tcW w:w="3421" w:type="dxa"/>
          </w:tcPr>
          <w:p w:rsidR="00C051D2" w:rsidRPr="00344EC4" w:rsidRDefault="00C051D2" w:rsidP="00C0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Se señalará el nombre del área del cual es titular quien clasifica.</w:t>
            </w:r>
          </w:p>
        </w:tc>
        <w:tc>
          <w:tcPr>
            <w:tcW w:w="968" w:type="dxa"/>
          </w:tcPr>
          <w:p w:rsidR="00C051D2" w:rsidRPr="00344EC4" w:rsidRDefault="00C051D2" w:rsidP="00C0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eastAsia="es-MX"/>
              </w:rPr>
            </w:pPr>
            <w:r w:rsidRPr="00344EC4">
              <w:rPr>
                <w:rFonts w:ascii="Palatino Linotype" w:hAnsi="Palatino Linotype"/>
                <w:b/>
                <w:sz w:val="12"/>
                <w:szCs w:val="12"/>
                <w:lang w:eastAsia="es-MX"/>
              </w:rPr>
              <w:t>Área</w:t>
            </w:r>
          </w:p>
        </w:tc>
        <w:tc>
          <w:tcPr>
            <w:tcW w:w="3446" w:type="dxa"/>
          </w:tcPr>
          <w:p w:rsidR="00C051D2" w:rsidRPr="00344EC4" w:rsidRDefault="00C051D2" w:rsidP="00C0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Se señalará el nombre del área de la cual es el titular quien clasifica.</w:t>
            </w:r>
          </w:p>
        </w:tc>
      </w:tr>
      <w:tr w:rsidR="00344EC4" w:rsidRPr="00344EC4" w:rsidTr="004E6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C051D2" w:rsidRPr="00344EC4" w:rsidRDefault="00C051D2" w:rsidP="00C051D2">
            <w:pPr>
              <w:jc w:val="both"/>
              <w:rPr>
                <w:rFonts w:ascii="Palatino Linotype" w:hAnsi="Palatino Linotype"/>
                <w:sz w:val="12"/>
                <w:szCs w:val="12"/>
                <w:lang w:eastAsia="es-MX"/>
              </w:rPr>
            </w:pPr>
            <w:r w:rsidRPr="00344EC4">
              <w:rPr>
                <w:rFonts w:ascii="Palatino Linotype" w:hAnsi="Palatino Linotype"/>
                <w:sz w:val="12"/>
                <w:szCs w:val="12"/>
                <w:lang w:eastAsia="es-MX"/>
              </w:rPr>
              <w:t>Información reservada</w:t>
            </w:r>
          </w:p>
        </w:tc>
        <w:tc>
          <w:tcPr>
            <w:tcW w:w="3421" w:type="dxa"/>
          </w:tcPr>
          <w:p w:rsidR="00C051D2" w:rsidRPr="00344EC4" w:rsidRDefault="00C051D2" w:rsidP="00C0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rsidR="00C051D2" w:rsidRPr="00344EC4" w:rsidRDefault="00C051D2" w:rsidP="00C0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eastAsia="es-MX"/>
              </w:rPr>
            </w:pPr>
            <w:r w:rsidRPr="00344EC4">
              <w:rPr>
                <w:rFonts w:ascii="Palatino Linotype" w:hAnsi="Palatino Linotype"/>
                <w:b/>
                <w:sz w:val="12"/>
                <w:szCs w:val="12"/>
                <w:lang w:eastAsia="es-MX"/>
              </w:rPr>
              <w:t>Reservado</w:t>
            </w:r>
          </w:p>
        </w:tc>
        <w:tc>
          <w:tcPr>
            <w:tcW w:w="3446" w:type="dxa"/>
          </w:tcPr>
          <w:p w:rsidR="00C051D2" w:rsidRPr="00344EC4" w:rsidRDefault="00C051D2" w:rsidP="00C0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Leyenda de información RESERVADA.</w:t>
            </w:r>
          </w:p>
        </w:tc>
      </w:tr>
      <w:tr w:rsidR="00344EC4" w:rsidRPr="00344EC4" w:rsidTr="004E618D">
        <w:tc>
          <w:tcPr>
            <w:cnfStyle w:val="001000000000" w:firstRow="0" w:lastRow="0" w:firstColumn="1" w:lastColumn="0" w:oddVBand="0" w:evenVBand="0" w:oddHBand="0" w:evenHBand="0" w:firstRowFirstColumn="0" w:firstRowLastColumn="0" w:lastRowFirstColumn="0" w:lastRowLastColumn="0"/>
            <w:tcW w:w="993" w:type="dxa"/>
          </w:tcPr>
          <w:p w:rsidR="00C051D2" w:rsidRPr="00344EC4" w:rsidRDefault="00C051D2" w:rsidP="00C051D2">
            <w:pPr>
              <w:jc w:val="both"/>
              <w:rPr>
                <w:rFonts w:ascii="Palatino Linotype" w:hAnsi="Palatino Linotype"/>
                <w:sz w:val="12"/>
                <w:szCs w:val="12"/>
                <w:lang w:eastAsia="es-MX"/>
              </w:rPr>
            </w:pPr>
            <w:r w:rsidRPr="00344EC4">
              <w:rPr>
                <w:rFonts w:ascii="Palatino Linotype" w:hAnsi="Palatino Linotype"/>
                <w:sz w:val="12"/>
                <w:szCs w:val="12"/>
                <w:lang w:eastAsia="es-MX"/>
              </w:rPr>
              <w:lastRenderedPageBreak/>
              <w:t>Fundamento legal</w:t>
            </w:r>
          </w:p>
        </w:tc>
        <w:tc>
          <w:tcPr>
            <w:tcW w:w="3421" w:type="dxa"/>
          </w:tcPr>
          <w:p w:rsidR="00C051D2" w:rsidRPr="00344EC4" w:rsidRDefault="00C051D2" w:rsidP="00C0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Se señalará el nombre del ordenamiento, el o los artículos, fracción(es), párrafo(s) con base en los cuales se sustente la reserva.</w:t>
            </w:r>
          </w:p>
        </w:tc>
        <w:tc>
          <w:tcPr>
            <w:tcW w:w="968" w:type="dxa"/>
          </w:tcPr>
          <w:p w:rsidR="00C051D2" w:rsidRPr="00344EC4" w:rsidRDefault="00C051D2" w:rsidP="00C0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eastAsia="es-MX"/>
              </w:rPr>
            </w:pPr>
            <w:r w:rsidRPr="00344EC4">
              <w:rPr>
                <w:rFonts w:ascii="Palatino Linotype" w:hAnsi="Palatino Linotype"/>
                <w:b/>
                <w:sz w:val="12"/>
                <w:szCs w:val="12"/>
                <w:lang w:eastAsia="es-MX"/>
              </w:rPr>
              <w:t>Periodo de reserva</w:t>
            </w:r>
          </w:p>
        </w:tc>
        <w:tc>
          <w:tcPr>
            <w:tcW w:w="3446" w:type="dxa"/>
          </w:tcPr>
          <w:p w:rsidR="00C051D2" w:rsidRPr="00344EC4" w:rsidRDefault="00C051D2" w:rsidP="00C0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Se anotará el número de años o meses por los que se mantendrá el documento o las partes del mismo como reservado. Si el expediente no es reservado, sino confidencial, deberá tacharse este apartado.</w:t>
            </w:r>
          </w:p>
        </w:tc>
      </w:tr>
      <w:tr w:rsidR="00344EC4" w:rsidRPr="00344EC4" w:rsidTr="004E6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C051D2" w:rsidRPr="00344EC4" w:rsidRDefault="00C051D2" w:rsidP="00C051D2">
            <w:pPr>
              <w:jc w:val="both"/>
              <w:rPr>
                <w:rFonts w:ascii="Palatino Linotype" w:hAnsi="Palatino Linotype"/>
                <w:sz w:val="12"/>
                <w:szCs w:val="12"/>
                <w:lang w:eastAsia="es-MX"/>
              </w:rPr>
            </w:pPr>
            <w:r w:rsidRPr="00344EC4">
              <w:rPr>
                <w:rFonts w:ascii="Palatino Linotype" w:hAnsi="Palatino Linotype"/>
                <w:sz w:val="12"/>
                <w:szCs w:val="12"/>
                <w:lang w:eastAsia="es-MX"/>
              </w:rPr>
              <w:t>Ampliación del periodo de reserva</w:t>
            </w:r>
          </w:p>
        </w:tc>
        <w:tc>
          <w:tcPr>
            <w:tcW w:w="3421" w:type="dxa"/>
          </w:tcPr>
          <w:p w:rsidR="00C051D2" w:rsidRPr="00344EC4" w:rsidRDefault="00C051D2" w:rsidP="00C0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En caso de haber solicitado la ampliación del periodo de reserva originalmente establecido, se deberá anotar el número de años o meses por los que se amplía la reserva.</w:t>
            </w:r>
          </w:p>
        </w:tc>
        <w:tc>
          <w:tcPr>
            <w:tcW w:w="968" w:type="dxa"/>
          </w:tcPr>
          <w:p w:rsidR="00C051D2" w:rsidRPr="00344EC4" w:rsidRDefault="00C051D2" w:rsidP="00C0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eastAsia="es-MX"/>
              </w:rPr>
            </w:pPr>
            <w:r w:rsidRPr="00344EC4">
              <w:rPr>
                <w:rFonts w:ascii="Palatino Linotype" w:hAnsi="Palatino Linotype"/>
                <w:b/>
                <w:sz w:val="12"/>
                <w:szCs w:val="12"/>
                <w:lang w:eastAsia="es-MX"/>
              </w:rPr>
              <w:t>Fundamento legal</w:t>
            </w:r>
          </w:p>
        </w:tc>
        <w:tc>
          <w:tcPr>
            <w:tcW w:w="3446" w:type="dxa"/>
          </w:tcPr>
          <w:p w:rsidR="00C051D2" w:rsidRPr="00344EC4" w:rsidRDefault="00C051D2" w:rsidP="00C0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Se señalará el nombre del o de los ordenamientos jurídicos, el o los artículos, fracción(es), párrafo(s) con base en los cuales se sustenta la reserva.</w:t>
            </w:r>
          </w:p>
        </w:tc>
      </w:tr>
      <w:tr w:rsidR="00344EC4" w:rsidRPr="00344EC4" w:rsidTr="004E618D">
        <w:tc>
          <w:tcPr>
            <w:cnfStyle w:val="001000000000" w:firstRow="0" w:lastRow="0" w:firstColumn="1" w:lastColumn="0" w:oddVBand="0" w:evenVBand="0" w:oddHBand="0" w:evenHBand="0" w:firstRowFirstColumn="0" w:firstRowLastColumn="0" w:lastRowFirstColumn="0" w:lastRowLastColumn="0"/>
            <w:tcW w:w="993" w:type="dxa"/>
          </w:tcPr>
          <w:p w:rsidR="00C051D2" w:rsidRPr="00344EC4" w:rsidRDefault="00C051D2" w:rsidP="00C051D2">
            <w:pPr>
              <w:jc w:val="both"/>
              <w:rPr>
                <w:rFonts w:ascii="Palatino Linotype" w:hAnsi="Palatino Linotype"/>
                <w:sz w:val="12"/>
                <w:szCs w:val="12"/>
                <w:lang w:eastAsia="es-MX"/>
              </w:rPr>
            </w:pPr>
            <w:r w:rsidRPr="00344EC4">
              <w:rPr>
                <w:rFonts w:ascii="Palatino Linotype" w:hAnsi="Palatino Linotype"/>
                <w:sz w:val="12"/>
                <w:szCs w:val="12"/>
                <w:lang w:eastAsia="es-MX"/>
              </w:rPr>
              <w:t>Confidencial</w:t>
            </w:r>
          </w:p>
        </w:tc>
        <w:tc>
          <w:tcPr>
            <w:tcW w:w="3421" w:type="dxa"/>
          </w:tcPr>
          <w:p w:rsidR="00C051D2" w:rsidRPr="00344EC4" w:rsidRDefault="00C051D2" w:rsidP="00C0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C051D2" w:rsidRPr="00344EC4" w:rsidRDefault="00C051D2" w:rsidP="00C0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eastAsia="es-MX"/>
              </w:rPr>
            </w:pPr>
            <w:r w:rsidRPr="00344EC4">
              <w:rPr>
                <w:rFonts w:ascii="Palatino Linotype" w:hAnsi="Palatino Linotype"/>
                <w:b/>
                <w:sz w:val="12"/>
                <w:szCs w:val="12"/>
                <w:lang w:eastAsia="es-MX"/>
              </w:rPr>
              <w:t>Ampliación del periodo de reserva</w:t>
            </w:r>
          </w:p>
        </w:tc>
        <w:tc>
          <w:tcPr>
            <w:tcW w:w="3446" w:type="dxa"/>
          </w:tcPr>
          <w:p w:rsidR="00C051D2" w:rsidRPr="00344EC4" w:rsidRDefault="00C051D2" w:rsidP="00C0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En caso de haber solicitado la ampliación del periodo de reserva originalmente establecido, se deberá anotar el número de años o meses por los que se amplía la reserva.</w:t>
            </w:r>
          </w:p>
        </w:tc>
      </w:tr>
      <w:tr w:rsidR="00344EC4" w:rsidRPr="00344EC4" w:rsidTr="004E6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C051D2" w:rsidRPr="00344EC4" w:rsidRDefault="00C051D2" w:rsidP="00C051D2">
            <w:pPr>
              <w:jc w:val="both"/>
              <w:rPr>
                <w:rFonts w:ascii="Palatino Linotype" w:hAnsi="Palatino Linotype"/>
                <w:sz w:val="12"/>
                <w:szCs w:val="12"/>
                <w:lang w:eastAsia="es-MX"/>
              </w:rPr>
            </w:pPr>
            <w:r w:rsidRPr="00344EC4">
              <w:rPr>
                <w:rFonts w:ascii="Palatino Linotype" w:hAnsi="Palatino Linotype"/>
                <w:sz w:val="12"/>
                <w:szCs w:val="12"/>
                <w:lang w:eastAsia="es-MX"/>
              </w:rPr>
              <w:t>Fundamento legal</w:t>
            </w:r>
          </w:p>
        </w:tc>
        <w:tc>
          <w:tcPr>
            <w:tcW w:w="3421" w:type="dxa"/>
          </w:tcPr>
          <w:p w:rsidR="00C051D2" w:rsidRPr="00344EC4" w:rsidRDefault="00C051D2" w:rsidP="00C0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Se señalará el nombre del ordenamiento, el o los artículos, fracción(es), párrafo(s) con base en los cuales se sustente la confidencialidad.</w:t>
            </w:r>
          </w:p>
        </w:tc>
        <w:tc>
          <w:tcPr>
            <w:tcW w:w="968" w:type="dxa"/>
          </w:tcPr>
          <w:p w:rsidR="00C051D2" w:rsidRPr="00344EC4" w:rsidRDefault="00C051D2" w:rsidP="00C0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eastAsia="es-MX"/>
              </w:rPr>
            </w:pPr>
            <w:r w:rsidRPr="00344EC4">
              <w:rPr>
                <w:rFonts w:ascii="Palatino Linotype" w:hAnsi="Palatino Linotype"/>
                <w:b/>
                <w:sz w:val="12"/>
                <w:szCs w:val="12"/>
                <w:lang w:eastAsia="es-MX"/>
              </w:rPr>
              <w:t>Confidencial</w:t>
            </w:r>
          </w:p>
        </w:tc>
        <w:tc>
          <w:tcPr>
            <w:tcW w:w="3446" w:type="dxa"/>
          </w:tcPr>
          <w:p w:rsidR="00C051D2" w:rsidRPr="00344EC4" w:rsidRDefault="00C051D2" w:rsidP="00C0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Leyenda de información CONFIDENCIAL.</w:t>
            </w:r>
          </w:p>
        </w:tc>
      </w:tr>
      <w:tr w:rsidR="00344EC4" w:rsidRPr="00344EC4" w:rsidTr="004E618D">
        <w:tc>
          <w:tcPr>
            <w:cnfStyle w:val="001000000000" w:firstRow="0" w:lastRow="0" w:firstColumn="1" w:lastColumn="0" w:oddVBand="0" w:evenVBand="0" w:oddHBand="0" w:evenHBand="0" w:firstRowFirstColumn="0" w:firstRowLastColumn="0" w:lastRowFirstColumn="0" w:lastRowLastColumn="0"/>
            <w:tcW w:w="993" w:type="dxa"/>
          </w:tcPr>
          <w:p w:rsidR="00C051D2" w:rsidRPr="00344EC4" w:rsidRDefault="00C051D2" w:rsidP="00C051D2">
            <w:pPr>
              <w:jc w:val="both"/>
              <w:rPr>
                <w:rFonts w:ascii="Palatino Linotype" w:hAnsi="Palatino Linotype"/>
                <w:sz w:val="12"/>
                <w:szCs w:val="12"/>
                <w:lang w:eastAsia="es-MX"/>
              </w:rPr>
            </w:pPr>
            <w:r w:rsidRPr="00344EC4">
              <w:rPr>
                <w:rFonts w:ascii="Palatino Linotype" w:hAnsi="Palatino Linotype"/>
                <w:sz w:val="12"/>
                <w:szCs w:val="12"/>
                <w:lang w:eastAsia="es-MX"/>
              </w:rPr>
              <w:t>Rúbrica del titular del área</w:t>
            </w:r>
          </w:p>
        </w:tc>
        <w:tc>
          <w:tcPr>
            <w:tcW w:w="3421" w:type="dxa"/>
          </w:tcPr>
          <w:p w:rsidR="00C051D2" w:rsidRPr="00344EC4" w:rsidRDefault="00C051D2" w:rsidP="00C0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Rúbrica autógrafa de quien clasifica.</w:t>
            </w:r>
          </w:p>
        </w:tc>
        <w:tc>
          <w:tcPr>
            <w:tcW w:w="968" w:type="dxa"/>
          </w:tcPr>
          <w:p w:rsidR="00C051D2" w:rsidRPr="00344EC4" w:rsidRDefault="00C051D2" w:rsidP="00C0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eastAsia="es-MX"/>
              </w:rPr>
            </w:pPr>
            <w:r w:rsidRPr="00344EC4">
              <w:rPr>
                <w:rFonts w:ascii="Palatino Linotype" w:hAnsi="Palatino Linotype"/>
                <w:b/>
                <w:sz w:val="12"/>
                <w:szCs w:val="12"/>
                <w:lang w:eastAsia="es-MX"/>
              </w:rPr>
              <w:t>Fundamento legal</w:t>
            </w:r>
          </w:p>
        </w:tc>
        <w:tc>
          <w:tcPr>
            <w:tcW w:w="3446" w:type="dxa"/>
          </w:tcPr>
          <w:p w:rsidR="00C051D2" w:rsidRPr="00344EC4" w:rsidRDefault="00C051D2" w:rsidP="00C0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Se señalará el nombre del o de los ordenamientos jurídicos, el o los artículos, fracción(es), párrafo(s) con base en los cuales se sustente la confidencialidad.</w:t>
            </w:r>
          </w:p>
        </w:tc>
      </w:tr>
      <w:tr w:rsidR="00344EC4" w:rsidRPr="00344EC4" w:rsidTr="004E6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C051D2" w:rsidRPr="00344EC4" w:rsidRDefault="00C051D2" w:rsidP="00C051D2">
            <w:pPr>
              <w:jc w:val="both"/>
              <w:rPr>
                <w:rFonts w:ascii="Palatino Linotype" w:hAnsi="Palatino Linotype"/>
                <w:sz w:val="12"/>
                <w:szCs w:val="12"/>
                <w:lang w:eastAsia="es-MX"/>
              </w:rPr>
            </w:pPr>
            <w:r w:rsidRPr="00344EC4">
              <w:rPr>
                <w:rFonts w:ascii="Palatino Linotype" w:hAnsi="Palatino Linotype"/>
                <w:sz w:val="12"/>
                <w:szCs w:val="12"/>
                <w:lang w:eastAsia="es-MX"/>
              </w:rPr>
              <w:t>Fecha de desclasificación</w:t>
            </w:r>
          </w:p>
        </w:tc>
        <w:tc>
          <w:tcPr>
            <w:tcW w:w="3421" w:type="dxa"/>
          </w:tcPr>
          <w:p w:rsidR="00C051D2" w:rsidRPr="00344EC4" w:rsidRDefault="00C051D2" w:rsidP="00C0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Se anotará la fecha en que se desclasifica el documento.</w:t>
            </w:r>
          </w:p>
        </w:tc>
        <w:tc>
          <w:tcPr>
            <w:tcW w:w="968" w:type="dxa"/>
          </w:tcPr>
          <w:p w:rsidR="00C051D2" w:rsidRPr="00344EC4" w:rsidRDefault="00C051D2" w:rsidP="00C0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eastAsia="es-MX"/>
              </w:rPr>
            </w:pPr>
            <w:r w:rsidRPr="00344EC4">
              <w:rPr>
                <w:rFonts w:ascii="Palatino Linotype" w:hAnsi="Palatino Linotype"/>
                <w:b/>
                <w:sz w:val="12"/>
                <w:szCs w:val="12"/>
                <w:lang w:eastAsia="es-MX"/>
              </w:rPr>
              <w:t>Rúbrica del titular del área</w:t>
            </w:r>
          </w:p>
        </w:tc>
        <w:tc>
          <w:tcPr>
            <w:tcW w:w="3446" w:type="dxa"/>
          </w:tcPr>
          <w:p w:rsidR="00C051D2" w:rsidRPr="00344EC4" w:rsidRDefault="00C051D2" w:rsidP="00C0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Rúbrica autógrafa de quien clasifica.</w:t>
            </w:r>
          </w:p>
        </w:tc>
      </w:tr>
      <w:tr w:rsidR="00344EC4" w:rsidRPr="00344EC4" w:rsidTr="004E618D">
        <w:tc>
          <w:tcPr>
            <w:cnfStyle w:val="001000000000" w:firstRow="0" w:lastRow="0" w:firstColumn="1" w:lastColumn="0" w:oddVBand="0" w:evenVBand="0" w:oddHBand="0" w:evenHBand="0" w:firstRowFirstColumn="0" w:firstRowLastColumn="0" w:lastRowFirstColumn="0" w:lastRowLastColumn="0"/>
            <w:tcW w:w="993" w:type="dxa"/>
          </w:tcPr>
          <w:p w:rsidR="00C051D2" w:rsidRPr="00344EC4" w:rsidRDefault="00C051D2" w:rsidP="00C051D2">
            <w:pPr>
              <w:jc w:val="both"/>
              <w:rPr>
                <w:rFonts w:ascii="Palatino Linotype" w:hAnsi="Palatino Linotype"/>
                <w:sz w:val="12"/>
                <w:szCs w:val="12"/>
                <w:lang w:eastAsia="es-MX"/>
              </w:rPr>
            </w:pPr>
            <w:r w:rsidRPr="00344EC4">
              <w:rPr>
                <w:rFonts w:ascii="Palatino Linotype" w:hAnsi="Palatino Linotype"/>
                <w:sz w:val="12"/>
                <w:szCs w:val="12"/>
                <w:lang w:eastAsia="es-MX"/>
              </w:rPr>
              <w:t>Rúbrica y cargo del servidor público</w:t>
            </w:r>
          </w:p>
        </w:tc>
        <w:tc>
          <w:tcPr>
            <w:tcW w:w="3421" w:type="dxa"/>
          </w:tcPr>
          <w:p w:rsidR="00C051D2" w:rsidRPr="00344EC4" w:rsidRDefault="00C051D2" w:rsidP="00C0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Rúbrica autógrafa de quien desclasifica.</w:t>
            </w:r>
          </w:p>
        </w:tc>
        <w:tc>
          <w:tcPr>
            <w:tcW w:w="968" w:type="dxa"/>
          </w:tcPr>
          <w:p w:rsidR="00C051D2" w:rsidRPr="00344EC4" w:rsidRDefault="00C051D2" w:rsidP="00C0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eastAsia="es-MX"/>
              </w:rPr>
            </w:pPr>
            <w:r w:rsidRPr="00344EC4">
              <w:rPr>
                <w:rFonts w:ascii="Palatino Linotype" w:hAnsi="Palatino Linotype"/>
                <w:b/>
                <w:sz w:val="12"/>
                <w:szCs w:val="12"/>
                <w:lang w:eastAsia="es-MX"/>
              </w:rPr>
              <w:t>Fecha de desclasificación</w:t>
            </w:r>
          </w:p>
        </w:tc>
        <w:tc>
          <w:tcPr>
            <w:tcW w:w="3446" w:type="dxa"/>
          </w:tcPr>
          <w:p w:rsidR="00C051D2" w:rsidRPr="00344EC4" w:rsidRDefault="00C051D2" w:rsidP="00C0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Se anotará la fecha en que se desclasifica.</w:t>
            </w:r>
          </w:p>
        </w:tc>
      </w:tr>
      <w:tr w:rsidR="00344EC4" w:rsidRPr="00344EC4" w:rsidTr="004E6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C051D2" w:rsidRPr="00344EC4" w:rsidRDefault="00C051D2" w:rsidP="00C051D2">
            <w:pPr>
              <w:jc w:val="both"/>
              <w:rPr>
                <w:rFonts w:ascii="Palatino Linotype" w:hAnsi="Palatino Linotype"/>
                <w:sz w:val="12"/>
                <w:szCs w:val="12"/>
                <w:lang w:eastAsia="es-MX"/>
              </w:rPr>
            </w:pPr>
          </w:p>
        </w:tc>
        <w:tc>
          <w:tcPr>
            <w:tcW w:w="3421" w:type="dxa"/>
          </w:tcPr>
          <w:p w:rsidR="00C051D2" w:rsidRPr="00344EC4" w:rsidRDefault="00C051D2" w:rsidP="00C0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p>
        </w:tc>
        <w:tc>
          <w:tcPr>
            <w:tcW w:w="968" w:type="dxa"/>
          </w:tcPr>
          <w:p w:rsidR="00C051D2" w:rsidRPr="00344EC4" w:rsidRDefault="00C051D2" w:rsidP="00C0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eastAsia="es-MX"/>
              </w:rPr>
            </w:pPr>
            <w:r w:rsidRPr="00344EC4">
              <w:rPr>
                <w:rFonts w:ascii="Palatino Linotype" w:hAnsi="Palatino Linotype"/>
                <w:b/>
                <w:sz w:val="12"/>
                <w:szCs w:val="12"/>
                <w:lang w:eastAsia="es-MX"/>
              </w:rPr>
              <w:t>Partes o secciones reservadas o confidenciales</w:t>
            </w:r>
          </w:p>
        </w:tc>
        <w:tc>
          <w:tcPr>
            <w:tcW w:w="3446" w:type="dxa"/>
          </w:tcPr>
          <w:p w:rsidR="00C051D2" w:rsidRPr="00344EC4" w:rsidRDefault="00C051D2" w:rsidP="00C0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En caso que una vez desclasificado el expediente, subsistanpartes o secciones del mismo reservadas o confidenciales, se señalará este hecho.</w:t>
            </w:r>
          </w:p>
        </w:tc>
      </w:tr>
      <w:tr w:rsidR="00344EC4" w:rsidRPr="00344EC4" w:rsidTr="004E618D">
        <w:tc>
          <w:tcPr>
            <w:cnfStyle w:val="001000000000" w:firstRow="0" w:lastRow="0" w:firstColumn="1" w:lastColumn="0" w:oddVBand="0" w:evenVBand="0" w:oddHBand="0" w:evenHBand="0" w:firstRowFirstColumn="0" w:firstRowLastColumn="0" w:lastRowFirstColumn="0" w:lastRowLastColumn="0"/>
            <w:tcW w:w="993" w:type="dxa"/>
          </w:tcPr>
          <w:p w:rsidR="00C051D2" w:rsidRPr="00344EC4" w:rsidRDefault="00C051D2" w:rsidP="00C051D2">
            <w:pPr>
              <w:jc w:val="both"/>
              <w:rPr>
                <w:rFonts w:ascii="Palatino Linotype" w:hAnsi="Palatino Linotype"/>
                <w:sz w:val="12"/>
                <w:szCs w:val="12"/>
                <w:lang w:eastAsia="es-MX"/>
              </w:rPr>
            </w:pPr>
          </w:p>
        </w:tc>
        <w:tc>
          <w:tcPr>
            <w:tcW w:w="3421" w:type="dxa"/>
          </w:tcPr>
          <w:p w:rsidR="00C051D2" w:rsidRPr="00344EC4" w:rsidRDefault="00C051D2" w:rsidP="00C0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p>
        </w:tc>
        <w:tc>
          <w:tcPr>
            <w:tcW w:w="968" w:type="dxa"/>
          </w:tcPr>
          <w:p w:rsidR="00C051D2" w:rsidRPr="00344EC4" w:rsidRDefault="00C051D2" w:rsidP="00C0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eastAsia="es-MX"/>
              </w:rPr>
            </w:pPr>
            <w:r w:rsidRPr="00344EC4">
              <w:rPr>
                <w:rFonts w:ascii="Palatino Linotype" w:hAnsi="Palatino Linotype"/>
                <w:b/>
                <w:sz w:val="12"/>
                <w:szCs w:val="12"/>
                <w:lang w:eastAsia="es-MX"/>
              </w:rPr>
              <w:t>Rúbrica y cargo del servidor público</w:t>
            </w:r>
          </w:p>
        </w:tc>
        <w:tc>
          <w:tcPr>
            <w:tcW w:w="3446" w:type="dxa"/>
          </w:tcPr>
          <w:p w:rsidR="00C051D2" w:rsidRPr="00344EC4" w:rsidRDefault="00C051D2" w:rsidP="00C0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344EC4">
              <w:rPr>
                <w:rFonts w:ascii="Palatino Linotype" w:hAnsi="Palatino Linotype"/>
                <w:sz w:val="12"/>
                <w:szCs w:val="12"/>
                <w:lang w:eastAsia="es-MX"/>
              </w:rPr>
              <w:t>Rúbrica autógrafa de quien desclasifica.</w:t>
            </w:r>
          </w:p>
        </w:tc>
      </w:tr>
    </w:tbl>
    <w:p w:rsidR="00954120" w:rsidRPr="00344EC4" w:rsidRDefault="003A2877">
      <w:pPr>
        <w:spacing w:before="240" w:after="240"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rPr>
        <w:t>Así, con fundamento en lo prescrito en los</w:t>
      </w:r>
      <w:r w:rsidRPr="00344EC4">
        <w:t xml:space="preserve"> </w:t>
      </w:r>
      <w:r w:rsidRPr="00344EC4">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954120" w:rsidRPr="00344EC4" w:rsidRDefault="003A2877">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sidRPr="00344EC4">
        <w:rPr>
          <w:rFonts w:ascii="Palatino Linotype" w:eastAsia="Palatino Linotype" w:hAnsi="Palatino Linotype" w:cs="Palatino Linotype"/>
          <w:b/>
        </w:rPr>
        <w:t>III. R E S U E L V E</w:t>
      </w:r>
    </w:p>
    <w:p w:rsidR="00954120" w:rsidRPr="00344EC4" w:rsidRDefault="003A2877">
      <w:pPr>
        <w:spacing w:line="360" w:lineRule="auto"/>
        <w:ind w:right="49"/>
        <w:jc w:val="both"/>
        <w:rPr>
          <w:rFonts w:ascii="Palatino Linotype" w:eastAsia="Palatino Linotype" w:hAnsi="Palatino Linotype" w:cs="Palatino Linotype"/>
        </w:rPr>
      </w:pPr>
      <w:bookmarkStart w:id="6" w:name="_heading=h.3znysh7" w:colFirst="0" w:colLast="0"/>
      <w:bookmarkEnd w:id="6"/>
      <w:r w:rsidRPr="00344EC4">
        <w:rPr>
          <w:rFonts w:ascii="Palatino Linotype" w:eastAsia="Palatino Linotype" w:hAnsi="Palatino Linotype" w:cs="Palatino Linotype"/>
          <w:b/>
        </w:rPr>
        <w:t>Primero.</w:t>
      </w:r>
      <w:r w:rsidRPr="00344EC4">
        <w:rPr>
          <w:rFonts w:ascii="Palatino Linotype" w:eastAsia="Palatino Linotype" w:hAnsi="Palatino Linotype" w:cs="Palatino Linotype"/>
          <w:sz w:val="22"/>
          <w:szCs w:val="22"/>
        </w:rPr>
        <w:t xml:space="preserve"> </w:t>
      </w:r>
      <w:r w:rsidRPr="00344EC4">
        <w:rPr>
          <w:rFonts w:ascii="Palatino Linotype" w:eastAsia="Palatino Linotype" w:hAnsi="Palatino Linotype" w:cs="Palatino Linotype"/>
        </w:rPr>
        <w:t xml:space="preserve">Resultan </w:t>
      </w:r>
      <w:r w:rsidRPr="00344EC4">
        <w:rPr>
          <w:rFonts w:ascii="Palatino Linotype" w:eastAsia="Palatino Linotype" w:hAnsi="Palatino Linotype" w:cs="Palatino Linotype"/>
          <w:b/>
        </w:rPr>
        <w:t>fundadas</w:t>
      </w:r>
      <w:r w:rsidRPr="00344EC4">
        <w:rPr>
          <w:rFonts w:ascii="Palatino Linotype" w:eastAsia="Palatino Linotype" w:hAnsi="Palatino Linotype" w:cs="Palatino Linotype"/>
        </w:rPr>
        <w:t xml:space="preserve"> las razones o motivos de inconformidad hechos valer por </w:t>
      </w:r>
      <w:r w:rsidRPr="00344EC4">
        <w:rPr>
          <w:rFonts w:ascii="Palatino Linotype" w:eastAsia="Palatino Linotype" w:hAnsi="Palatino Linotype" w:cs="Palatino Linotype"/>
          <w:b/>
        </w:rPr>
        <w:t xml:space="preserve">la parte Recurrente, </w:t>
      </w:r>
      <w:r w:rsidRPr="00344EC4">
        <w:rPr>
          <w:rFonts w:ascii="Palatino Linotype" w:eastAsia="Palatino Linotype" w:hAnsi="Palatino Linotype" w:cs="Palatino Linotype"/>
        </w:rPr>
        <w:t>en el recurso de revisión</w:t>
      </w:r>
      <w:r w:rsidRPr="00344EC4">
        <w:rPr>
          <w:rFonts w:ascii="Palatino Linotype" w:eastAsia="Palatino Linotype" w:hAnsi="Palatino Linotype" w:cs="Palatino Linotype"/>
          <w:b/>
        </w:rPr>
        <w:t xml:space="preserve"> </w:t>
      </w:r>
      <w:r w:rsidR="00C051D2" w:rsidRPr="00344EC4">
        <w:rPr>
          <w:rFonts w:ascii="Palatino Linotype" w:eastAsia="Palatino Linotype" w:hAnsi="Palatino Linotype" w:cs="Palatino Linotype"/>
          <w:b/>
        </w:rPr>
        <w:t>14814/INFOEM/ICR-10/IP/RR/2022</w:t>
      </w:r>
      <w:r w:rsidRPr="00344EC4">
        <w:rPr>
          <w:rFonts w:ascii="Palatino Linotype" w:eastAsia="Palatino Linotype" w:hAnsi="Palatino Linotype" w:cs="Palatino Linotype"/>
          <w:b/>
        </w:rPr>
        <w:t xml:space="preserve">, </w:t>
      </w:r>
      <w:r w:rsidRPr="00344EC4">
        <w:rPr>
          <w:rFonts w:ascii="Palatino Linotype" w:eastAsia="Palatino Linotype" w:hAnsi="Palatino Linotype" w:cs="Palatino Linotype"/>
        </w:rPr>
        <w:t xml:space="preserve">en términos del </w:t>
      </w:r>
      <w:r w:rsidRPr="00344EC4">
        <w:rPr>
          <w:rFonts w:ascii="Palatino Linotype" w:eastAsia="Palatino Linotype" w:hAnsi="Palatino Linotype" w:cs="Palatino Linotype"/>
          <w:b/>
        </w:rPr>
        <w:t>Considerando</w:t>
      </w:r>
      <w:r w:rsidRPr="00344EC4">
        <w:rPr>
          <w:rFonts w:ascii="Palatino Linotype" w:eastAsia="Palatino Linotype" w:hAnsi="Palatino Linotype" w:cs="Palatino Linotype"/>
        </w:rPr>
        <w:t xml:space="preserve"> </w:t>
      </w:r>
      <w:r w:rsidRPr="00344EC4">
        <w:rPr>
          <w:rFonts w:ascii="Palatino Linotype" w:eastAsia="Palatino Linotype" w:hAnsi="Palatino Linotype" w:cs="Palatino Linotype"/>
          <w:b/>
        </w:rPr>
        <w:t xml:space="preserve">Cuarto </w:t>
      </w:r>
      <w:r w:rsidRPr="00344EC4">
        <w:rPr>
          <w:rFonts w:ascii="Palatino Linotype" w:eastAsia="Palatino Linotype" w:hAnsi="Palatino Linotype" w:cs="Palatino Linotype"/>
        </w:rPr>
        <w:t>de la presente resolución.</w:t>
      </w:r>
    </w:p>
    <w:p w:rsidR="00954120" w:rsidRPr="00344EC4" w:rsidRDefault="00954120">
      <w:pPr>
        <w:spacing w:line="360" w:lineRule="auto"/>
        <w:jc w:val="both"/>
        <w:rPr>
          <w:rFonts w:ascii="Palatino Linotype" w:eastAsia="Palatino Linotype" w:hAnsi="Palatino Linotype" w:cs="Palatino Linotype"/>
        </w:rPr>
      </w:pPr>
    </w:p>
    <w:p w:rsidR="00954120" w:rsidRPr="00344EC4" w:rsidRDefault="00C051D2" w:rsidP="00AB17F3">
      <w:pPr>
        <w:spacing w:line="360" w:lineRule="auto"/>
        <w:jc w:val="both"/>
        <w:rPr>
          <w:rFonts w:ascii="Palatino Linotype" w:eastAsia="Palatino Linotype" w:hAnsi="Palatino Linotype" w:cs="Palatino Linotype"/>
          <w:lang w:eastAsia="es-MX"/>
        </w:rPr>
      </w:pPr>
      <w:bookmarkStart w:id="7" w:name="_heading=h.3dy6vkm" w:colFirst="0" w:colLast="0"/>
      <w:bookmarkEnd w:id="7"/>
      <w:r w:rsidRPr="00344EC4">
        <w:rPr>
          <w:rFonts w:ascii="Palatino Linotype" w:eastAsia="Palatino Linotype" w:hAnsi="Palatino Linotype" w:cs="Palatino Linotype"/>
          <w:b/>
          <w:lang w:eastAsia="es-MX"/>
        </w:rPr>
        <w:lastRenderedPageBreak/>
        <w:t>Segundo</w:t>
      </w:r>
      <w:r w:rsidRPr="00344EC4">
        <w:rPr>
          <w:rFonts w:ascii="Palatino Linotype" w:eastAsia="Palatino Linotype" w:hAnsi="Palatino Linotype" w:cs="Palatino Linotype"/>
          <w:lang w:eastAsia="es-MX"/>
        </w:rPr>
        <w:t>. Se</w:t>
      </w:r>
      <w:r w:rsidRPr="00344EC4">
        <w:rPr>
          <w:rFonts w:ascii="Palatino Linotype" w:eastAsia="Palatino Linotype" w:hAnsi="Palatino Linotype" w:cs="Palatino Linotype"/>
          <w:b/>
          <w:lang w:eastAsia="es-MX"/>
        </w:rPr>
        <w:t> ORDENA </w:t>
      </w:r>
      <w:r w:rsidRPr="00344EC4">
        <w:rPr>
          <w:rFonts w:ascii="Palatino Linotype" w:eastAsia="Palatino Linotype" w:hAnsi="Palatino Linotype" w:cs="Palatino Linotype"/>
          <w:lang w:eastAsia="es-MX"/>
        </w:rPr>
        <w:t xml:space="preserve">al </w:t>
      </w:r>
      <w:r w:rsidRPr="00344EC4">
        <w:rPr>
          <w:rFonts w:ascii="Palatino Linotype" w:eastAsia="Palatino Linotype" w:hAnsi="Palatino Linotype" w:cs="Palatino Linotype"/>
          <w:b/>
          <w:lang w:eastAsia="es-MX"/>
        </w:rPr>
        <w:t>Sujeto Obligado</w:t>
      </w:r>
      <w:r w:rsidRPr="00344EC4">
        <w:rPr>
          <w:rFonts w:ascii="Palatino Linotype" w:eastAsia="Palatino Linotype" w:hAnsi="Palatino Linotype" w:cs="Palatino Linotype"/>
          <w:lang w:eastAsia="es-MX"/>
        </w:rPr>
        <w:t>, atienda la solicitud de información número</w:t>
      </w:r>
      <w:r w:rsidRPr="00344EC4">
        <w:rPr>
          <w:rFonts w:ascii="Palatino Linotype" w:eastAsia="Palatino Linotype" w:hAnsi="Palatino Linotype" w:cs="Palatino Linotype"/>
          <w:b/>
          <w:lang w:eastAsia="es-MX"/>
        </w:rPr>
        <w:t> 00063/TEXCALTI/IP/2022</w:t>
      </w:r>
      <w:r w:rsidRPr="00344EC4">
        <w:rPr>
          <w:rFonts w:ascii="Palatino Linotype" w:eastAsia="Palatino Linotype" w:hAnsi="Palatino Linotype" w:cs="Palatino Linotype"/>
          <w:lang w:eastAsia="es-MX"/>
        </w:rPr>
        <w:t xml:space="preserve">, en términos de los </w:t>
      </w:r>
      <w:r w:rsidRPr="00344EC4">
        <w:rPr>
          <w:rFonts w:ascii="Palatino Linotype" w:eastAsia="Palatino Linotype" w:hAnsi="Palatino Linotype" w:cs="Palatino Linotype"/>
          <w:b/>
          <w:lang w:eastAsia="es-MX"/>
        </w:rPr>
        <w:t>Considerandos</w:t>
      </w:r>
      <w:r w:rsidRPr="00344EC4">
        <w:rPr>
          <w:rFonts w:ascii="Palatino Linotype" w:eastAsia="Palatino Linotype" w:hAnsi="Palatino Linotype" w:cs="Palatino Linotype"/>
          <w:lang w:eastAsia="es-MX"/>
        </w:rPr>
        <w:t xml:space="preserve"> </w:t>
      </w:r>
      <w:r w:rsidRPr="00344EC4">
        <w:rPr>
          <w:rFonts w:ascii="Palatino Linotype" w:eastAsia="Palatino Linotype" w:hAnsi="Palatino Linotype" w:cs="Palatino Linotype"/>
          <w:b/>
          <w:lang w:eastAsia="es-MX"/>
        </w:rPr>
        <w:t xml:space="preserve">Cuarto y Quinto </w:t>
      </w:r>
      <w:r w:rsidRPr="00344EC4">
        <w:rPr>
          <w:rFonts w:ascii="Palatino Linotype" w:eastAsia="Palatino Linotype" w:hAnsi="Palatino Linotype" w:cs="Palatino Linotype"/>
          <w:lang w:eastAsia="es-MX"/>
        </w:rPr>
        <w:t xml:space="preserve">de esta resolución, vía Sistema de Acceso a la Información Mexiquense (SAIMEX), </w:t>
      </w:r>
      <w:r w:rsidRPr="00344EC4">
        <w:rPr>
          <w:rFonts w:ascii="Palatino Linotype" w:eastAsia="Palatino Linotype" w:hAnsi="Palatino Linotype" w:cs="Palatino Linotype"/>
          <w:b/>
          <w:lang w:eastAsia="es-MX"/>
        </w:rPr>
        <w:t xml:space="preserve"> y haga entrega al Recurrente, en su caso </w:t>
      </w:r>
      <w:r w:rsidRPr="00344EC4">
        <w:rPr>
          <w:rFonts w:ascii="Palatino Linotype" w:eastAsia="Palatino Linotype" w:hAnsi="Palatino Linotype" w:cs="Palatino Linotype"/>
          <w:lang w:eastAsia="es-MX"/>
        </w:rPr>
        <w:t xml:space="preserve">en </w:t>
      </w:r>
      <w:r w:rsidRPr="00344EC4">
        <w:rPr>
          <w:rFonts w:ascii="Palatino Linotype" w:eastAsia="Palatino Linotype" w:hAnsi="Palatino Linotype" w:cs="Palatino Linotype"/>
          <w:b/>
          <w:lang w:eastAsia="es-MX"/>
        </w:rPr>
        <w:t>versión pública</w:t>
      </w:r>
      <w:r w:rsidRPr="00344EC4">
        <w:rPr>
          <w:rFonts w:ascii="Palatino Linotype" w:eastAsia="Palatino Linotype" w:hAnsi="Palatino Linotype" w:cs="Palatino Linotype"/>
          <w:lang w:eastAsia="es-MX"/>
        </w:rPr>
        <w:t>, de</w:t>
      </w:r>
      <w:r w:rsidRPr="00344EC4">
        <w:rPr>
          <w:rFonts w:ascii="Palatino Linotype" w:eastAsia="Palatino Linotype" w:hAnsi="Palatino Linotype" w:cs="Palatino Linotype"/>
          <w:b/>
          <w:lang w:eastAsia="es-MX"/>
        </w:rPr>
        <w:t xml:space="preserve"> </w:t>
      </w:r>
      <w:r w:rsidRPr="00344EC4">
        <w:rPr>
          <w:rFonts w:ascii="Palatino Linotype" w:eastAsia="Palatino Linotype" w:hAnsi="Palatino Linotype" w:cs="Palatino Linotype"/>
          <w:lang w:eastAsia="es-MX"/>
        </w:rPr>
        <w:t>lo siguiente:</w:t>
      </w:r>
    </w:p>
    <w:p w:rsidR="00C051D2" w:rsidRPr="00344EC4" w:rsidRDefault="00C051D2" w:rsidP="00C051D2">
      <w:pPr>
        <w:pStyle w:val="Prrafodelista"/>
        <w:widowControl w:val="0"/>
        <w:numPr>
          <w:ilvl w:val="0"/>
          <w:numId w:val="9"/>
        </w:numPr>
        <w:pBdr>
          <w:top w:val="nil"/>
          <w:left w:val="nil"/>
          <w:bottom w:val="nil"/>
          <w:right w:val="nil"/>
          <w:between w:val="nil"/>
        </w:pBdr>
        <w:spacing w:line="276" w:lineRule="auto"/>
        <w:ind w:left="567" w:right="851" w:hanging="141"/>
        <w:jc w:val="both"/>
        <w:rPr>
          <w:rFonts w:ascii="Palatino Linotype" w:eastAsia="Palatino Linotype" w:hAnsi="Palatino Linotype" w:cs="Palatino Linotype"/>
          <w:b/>
          <w:i/>
        </w:rPr>
      </w:pPr>
      <w:r w:rsidRPr="00344EC4">
        <w:rPr>
          <w:rFonts w:ascii="Palatino Linotype" w:eastAsia="Palatino Linotype" w:hAnsi="Palatino Linotype" w:cs="Palatino Linotype"/>
          <w:b/>
          <w:i/>
        </w:rPr>
        <w:t>Documentos donde conste el pago de la nómina, bonos, aguinaldo y cualquier otra prestación que haya tenido la servidora pública referida en la solicitud de información, durante el periodo del 1 de enero del 2016 al 15 de agosto de 2022.</w:t>
      </w:r>
    </w:p>
    <w:p w:rsidR="00954120" w:rsidRPr="00344EC4" w:rsidRDefault="00954120">
      <w:pPr>
        <w:widowControl w:val="0"/>
        <w:pBdr>
          <w:top w:val="nil"/>
          <w:left w:val="nil"/>
          <w:bottom w:val="nil"/>
          <w:right w:val="nil"/>
          <w:between w:val="nil"/>
        </w:pBdr>
        <w:spacing w:line="276" w:lineRule="auto"/>
        <w:ind w:left="567" w:right="851"/>
        <w:jc w:val="both"/>
        <w:rPr>
          <w:rFonts w:ascii="Palatino Linotype" w:eastAsia="Palatino Linotype" w:hAnsi="Palatino Linotype" w:cs="Palatino Linotype"/>
          <w:i/>
          <w:sz w:val="22"/>
          <w:szCs w:val="22"/>
        </w:rPr>
      </w:pPr>
    </w:p>
    <w:p w:rsidR="00954120" w:rsidRPr="00344EC4" w:rsidRDefault="003A2877">
      <w:pPr>
        <w:widowControl w:val="0"/>
        <w:pBdr>
          <w:top w:val="nil"/>
          <w:left w:val="nil"/>
          <w:bottom w:val="nil"/>
          <w:right w:val="nil"/>
          <w:between w:val="nil"/>
        </w:pBdr>
        <w:spacing w:after="160" w:line="276" w:lineRule="auto"/>
        <w:ind w:left="567" w:right="851"/>
        <w:jc w:val="both"/>
        <w:rPr>
          <w:rFonts w:ascii="Palatino Linotype" w:eastAsia="Palatino Linotype" w:hAnsi="Palatino Linotype" w:cs="Palatino Linotype"/>
          <w:i/>
          <w:sz w:val="22"/>
          <w:szCs w:val="22"/>
        </w:rPr>
      </w:pPr>
      <w:r w:rsidRPr="00344EC4">
        <w:rPr>
          <w:rFonts w:ascii="Palatino Linotype" w:eastAsia="Palatino Linotype" w:hAnsi="Palatino Linotype" w:cs="Palatino Linotype"/>
          <w:i/>
          <w:sz w:val="22"/>
          <w:szCs w:val="22"/>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mismo que también hará de conocimiento del particular.</w:t>
      </w:r>
    </w:p>
    <w:p w:rsidR="00954120" w:rsidRPr="00344EC4" w:rsidRDefault="00954120">
      <w:pPr>
        <w:spacing w:line="276" w:lineRule="auto"/>
        <w:ind w:left="567" w:right="851"/>
        <w:jc w:val="both"/>
        <w:rPr>
          <w:rFonts w:ascii="Palatino Linotype" w:eastAsia="Palatino Linotype" w:hAnsi="Palatino Linotype" w:cs="Palatino Linotype"/>
          <w:i/>
          <w:sz w:val="22"/>
          <w:szCs w:val="22"/>
        </w:rPr>
      </w:pPr>
    </w:p>
    <w:p w:rsidR="00954120" w:rsidRPr="00344EC4" w:rsidRDefault="003A2877">
      <w:pPr>
        <w:spacing w:line="360" w:lineRule="auto"/>
        <w:jc w:val="both"/>
        <w:rPr>
          <w:rFonts w:ascii="Palatino Linotype" w:eastAsia="Palatino Linotype" w:hAnsi="Palatino Linotype" w:cs="Palatino Linotype"/>
        </w:rPr>
      </w:pPr>
      <w:bookmarkStart w:id="8" w:name="_heading=h.1fob9te" w:colFirst="0" w:colLast="0"/>
      <w:bookmarkEnd w:id="8"/>
      <w:r w:rsidRPr="00344EC4">
        <w:rPr>
          <w:rFonts w:ascii="Palatino Linotype" w:eastAsia="Palatino Linotype" w:hAnsi="Palatino Linotype" w:cs="Palatino Linotype"/>
          <w:b/>
        </w:rPr>
        <w:t>Tercero</w:t>
      </w:r>
      <w:r w:rsidRPr="00344EC4">
        <w:rPr>
          <w:rFonts w:ascii="Palatino Linotype" w:eastAsia="Palatino Linotype" w:hAnsi="Palatino Linotype" w:cs="Palatino Linotype"/>
          <w:b/>
          <w:sz w:val="28"/>
          <w:szCs w:val="28"/>
        </w:rPr>
        <w:t xml:space="preserve">. </w:t>
      </w:r>
      <w:r w:rsidRPr="00344EC4">
        <w:rPr>
          <w:rFonts w:ascii="Palatino Linotype" w:eastAsia="Palatino Linotype" w:hAnsi="Palatino Linotype" w:cs="Palatino Linotype"/>
          <w:b/>
        </w:rPr>
        <w:t>Notifíquese</w:t>
      </w:r>
      <w:r w:rsidRPr="00344EC4">
        <w:rPr>
          <w:rFonts w:ascii="Palatino Linotype" w:eastAsia="Palatino Linotype" w:hAnsi="Palatino Linotype" w:cs="Palatino Linotype"/>
          <w:i/>
        </w:rPr>
        <w:t xml:space="preserve"> </w:t>
      </w:r>
      <w:r w:rsidRPr="00344EC4">
        <w:rPr>
          <w:rFonts w:ascii="Palatino Linotype" w:eastAsia="Palatino Linotype" w:hAnsi="Palatino Linotype" w:cs="Palatino Linotype"/>
        </w:rPr>
        <w:t>la presente resolución vía Sistema de Acceso a la Información Mexiquense (SAIMEX), al Titular de la Unidad de Transparencia del</w:t>
      </w:r>
      <w:r w:rsidRPr="00344EC4">
        <w:rPr>
          <w:rFonts w:ascii="Palatino Linotype" w:eastAsia="Palatino Linotype" w:hAnsi="Palatino Linotype" w:cs="Palatino Linotype"/>
          <w:b/>
        </w:rPr>
        <w:t xml:space="preserve"> Sujeto Obligado</w:t>
      </w:r>
      <w:r w:rsidRPr="00344EC4">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954120" w:rsidRPr="00344EC4" w:rsidRDefault="003A2877">
      <w:pPr>
        <w:spacing w:before="240" w:after="240" w:line="360" w:lineRule="auto"/>
        <w:jc w:val="both"/>
        <w:rPr>
          <w:rFonts w:ascii="Palatino Linotype" w:eastAsia="Palatino Linotype" w:hAnsi="Palatino Linotype" w:cs="Palatino Linotype"/>
        </w:rPr>
      </w:pPr>
      <w:r w:rsidRPr="00344EC4">
        <w:rPr>
          <w:rFonts w:ascii="Palatino Linotype" w:eastAsia="Palatino Linotype" w:hAnsi="Palatino Linotype" w:cs="Palatino Linotype"/>
          <w:b/>
        </w:rPr>
        <w:t xml:space="preserve">Cuarto. Notifíquese la presente resolución al Recurrente mediante el Sistema de Acceso a la Información Mexiquense (SAIMEX) </w:t>
      </w:r>
      <w:r w:rsidRPr="00344EC4">
        <w:rPr>
          <w:rFonts w:ascii="Palatino Linotype" w:eastAsia="Palatino Linotype" w:hAnsi="Palatino Linotype" w:cs="Palatino Linotype"/>
        </w:rPr>
        <w:t xml:space="preserve">y hágase de su conocimiento que, de conformidad con lo establecido en el artículo 196 de la Ley de Transparencia y Acceso a la Información Pública del Estado de México y Municipios, podrá </w:t>
      </w:r>
      <w:r w:rsidRPr="00344EC4">
        <w:rPr>
          <w:rFonts w:ascii="Palatino Linotype" w:eastAsia="Palatino Linotype" w:hAnsi="Palatino Linotype" w:cs="Palatino Linotype"/>
        </w:rPr>
        <w:lastRenderedPageBreak/>
        <w:t xml:space="preserve">impugnarla vía juicio de amparo en los términos de las leyes aplicables podrá promover el Juicio de Amparo en los términos de las leyes aplicables. </w:t>
      </w:r>
    </w:p>
    <w:p w:rsidR="00954120" w:rsidRPr="00344EC4" w:rsidRDefault="0044056C">
      <w:pPr>
        <w:spacing w:line="360" w:lineRule="auto"/>
        <w:ind w:right="49"/>
        <w:jc w:val="both"/>
        <w:rPr>
          <w:rFonts w:ascii="Palatino Linotype" w:eastAsia="Palatino Linotype" w:hAnsi="Palatino Linotype" w:cs="Palatino Linotype"/>
        </w:rPr>
        <w:sectPr w:rsidR="00954120" w:rsidRPr="00344EC4">
          <w:headerReference w:type="default" r:id="rId21"/>
          <w:footerReference w:type="default" r:id="rId22"/>
          <w:headerReference w:type="first" r:id="rId23"/>
          <w:footerReference w:type="first" r:id="rId24"/>
          <w:pgSz w:w="12240" w:h="15840"/>
          <w:pgMar w:top="1985" w:right="1750" w:bottom="1701" w:left="1701" w:header="709" w:footer="709" w:gutter="0"/>
          <w:pgNumType w:start="1"/>
          <w:cols w:space="720"/>
          <w:titlePg/>
        </w:sectPr>
      </w:pPr>
      <w:r w:rsidRPr="00344EC4">
        <w:rPr>
          <w:rFonts w:ascii="Palatino Linotype" w:eastAsia="Palatino Linotype" w:hAnsi="Palatino Linotype" w:cs="Palatino Linotype"/>
          <w:noProof/>
          <w:lang w:eastAsia="es-MX"/>
        </w:rPr>
        <mc:AlternateContent>
          <mc:Choice Requires="wps">
            <w:drawing>
              <wp:anchor distT="0" distB="0" distL="114300" distR="114300" simplePos="0" relativeHeight="251669504" behindDoc="0" locked="0" layoutInCell="1" allowOverlap="1">
                <wp:simplePos x="0" y="0"/>
                <wp:positionH relativeFrom="column">
                  <wp:posOffset>43815</wp:posOffset>
                </wp:positionH>
                <wp:positionV relativeFrom="paragraph">
                  <wp:posOffset>2672714</wp:posOffset>
                </wp:positionV>
                <wp:extent cx="5238750" cy="41814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238750" cy="418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D1FC9B5" id="Conector recto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45pt,210.45pt" to="415.95pt,5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" strokecolor="black [3200]" strokeweight="1.5pt">
                <v:stroke joinstyle="miter"/>
              </v:line>
            </w:pict>
          </mc:Fallback>
        </mc:AlternateContent>
      </w:r>
      <w:r w:rsidR="003A2877" w:rsidRPr="00344EC4">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051D2" w:rsidRPr="00344EC4">
        <w:rPr>
          <w:rFonts w:ascii="Palatino Linotype" w:eastAsia="Palatino Linotype" w:hAnsi="Palatino Linotype" w:cs="Palatino Linotype"/>
        </w:rPr>
        <w:t xml:space="preserve">NOVENA </w:t>
      </w:r>
      <w:r w:rsidR="003A2877" w:rsidRPr="00344EC4">
        <w:rPr>
          <w:rFonts w:ascii="Palatino Linotype" w:eastAsia="Palatino Linotype" w:hAnsi="Palatino Linotype" w:cs="Palatino Linotype"/>
        </w:rPr>
        <w:t>SESIÓ</w:t>
      </w:r>
      <w:r w:rsidR="00C051D2" w:rsidRPr="00344EC4">
        <w:rPr>
          <w:rFonts w:ascii="Palatino Linotype" w:eastAsia="Palatino Linotype" w:hAnsi="Palatino Linotype" w:cs="Palatino Linotype"/>
        </w:rPr>
        <w:t>N ORDINARIA CELEBRADA EL OCHO DE MARZ</w:t>
      </w:r>
      <w:r w:rsidR="003A2877" w:rsidRPr="00344EC4">
        <w:rPr>
          <w:rFonts w:ascii="Palatino Linotype" w:eastAsia="Palatino Linotype" w:hAnsi="Palatino Linotype" w:cs="Palatino Linotype"/>
        </w:rPr>
        <w:t>O DE DOS MIL VEINTITRÉS, ANTE EL SECRETARIO TÉCNICO DEL PLENO ALEXIS TAPIA RAMÍREZ.</w:t>
      </w:r>
    </w:p>
    <w:p w:rsidR="00954120" w:rsidRPr="00344EC4" w:rsidRDefault="00954120">
      <w:pPr>
        <w:tabs>
          <w:tab w:val="left" w:pos="709"/>
        </w:tabs>
        <w:spacing w:before="240" w:after="240" w:line="360" w:lineRule="auto"/>
        <w:jc w:val="both"/>
        <w:rPr>
          <w:rFonts w:ascii="Palatino Linotype" w:eastAsia="Palatino Linotype" w:hAnsi="Palatino Linotype" w:cs="Palatino Linotype"/>
        </w:rPr>
      </w:pPr>
    </w:p>
    <w:p w:rsidR="00954120" w:rsidRPr="00344EC4" w:rsidRDefault="00954120"/>
    <w:p w:rsidR="00954120" w:rsidRPr="00344EC4" w:rsidRDefault="00954120"/>
    <w:sectPr w:rsidR="00954120" w:rsidRPr="00344EC4">
      <w:headerReference w:type="first" r:id="rId25"/>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629" w:rsidRDefault="00FA5629">
      <w:r>
        <w:separator/>
      </w:r>
    </w:p>
  </w:endnote>
  <w:endnote w:type="continuationSeparator" w:id="0">
    <w:p w:rsidR="00FA5629" w:rsidRDefault="00FA5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18D" w:rsidRDefault="004E618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46147">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46147">
      <w:rPr>
        <w:rFonts w:ascii="Arial" w:eastAsia="Arial" w:hAnsi="Arial" w:cs="Arial"/>
        <w:b/>
        <w:noProof/>
        <w:color w:val="000000"/>
        <w:sz w:val="20"/>
        <w:szCs w:val="20"/>
      </w:rPr>
      <w:t>56</w:t>
    </w:r>
    <w:r>
      <w:rPr>
        <w:rFonts w:ascii="Arial" w:eastAsia="Arial" w:hAnsi="Arial" w:cs="Arial"/>
        <w:b/>
        <w:color w:val="000000"/>
        <w:sz w:val="20"/>
        <w:szCs w:val="20"/>
      </w:rPr>
      <w:fldChar w:fldCharType="end"/>
    </w:r>
  </w:p>
  <w:p w:rsidR="004E618D" w:rsidRDefault="004E618D">
    <w:pPr>
      <w:pBdr>
        <w:top w:val="nil"/>
        <w:left w:val="nil"/>
        <w:bottom w:val="nil"/>
        <w:right w:val="nil"/>
        <w:between w:val="nil"/>
      </w:pBdr>
      <w:tabs>
        <w:tab w:val="center" w:pos="4252"/>
        <w:tab w:val="right" w:pos="8504"/>
      </w:tabs>
      <w:rPr>
        <w:color w:val="000000"/>
      </w:rPr>
    </w:pPr>
  </w:p>
  <w:p w:rsidR="004E618D" w:rsidRDefault="004E618D">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18D" w:rsidRDefault="004E618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46147">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46147">
      <w:rPr>
        <w:rFonts w:ascii="Arial" w:eastAsia="Arial" w:hAnsi="Arial" w:cs="Arial"/>
        <w:b/>
        <w:noProof/>
        <w:color w:val="000000"/>
        <w:sz w:val="20"/>
        <w:szCs w:val="20"/>
      </w:rPr>
      <w:t>56</w:t>
    </w:r>
    <w:r>
      <w:rPr>
        <w:rFonts w:ascii="Arial" w:eastAsia="Arial" w:hAnsi="Arial" w:cs="Arial"/>
        <w:b/>
        <w:color w:val="000000"/>
        <w:sz w:val="20"/>
        <w:szCs w:val="20"/>
      </w:rPr>
      <w:fldChar w:fldCharType="end"/>
    </w:r>
  </w:p>
  <w:p w:rsidR="004E618D" w:rsidRDefault="004E618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629" w:rsidRDefault="00FA5629">
      <w:r>
        <w:separator/>
      </w:r>
    </w:p>
  </w:footnote>
  <w:footnote w:type="continuationSeparator" w:id="0">
    <w:p w:rsidR="00FA5629" w:rsidRDefault="00FA5629">
      <w:r>
        <w:continuationSeparator/>
      </w:r>
    </w:p>
  </w:footnote>
  <w:footnote w:id="1">
    <w:p w:rsidR="004E618D" w:rsidRDefault="004E618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4E618D" w:rsidRDefault="004E618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4E618D" w:rsidRDefault="004E618D" w:rsidP="00C113B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 w:id="4">
    <w:p w:rsidR="004E618D" w:rsidRDefault="004E618D" w:rsidP="00C051D2">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18D" w:rsidRDefault="004E618D">
    <w:pPr>
      <w:widowControl w:val="0"/>
      <w:pBdr>
        <w:top w:val="nil"/>
        <w:left w:val="nil"/>
        <w:bottom w:val="nil"/>
        <w:right w:val="nil"/>
        <w:between w:val="nil"/>
      </w:pBdr>
      <w:spacing w:line="276" w:lineRule="auto"/>
      <w:rPr>
        <w:rFonts w:ascii="Calibri" w:eastAsia="Calibri" w:hAnsi="Calibri" w:cs="Calibri"/>
      </w:rPr>
    </w:pPr>
    <w:r>
      <w:rPr>
        <w:noProof/>
        <w:lang w:eastAsia="es-MX"/>
      </w:rPr>
      <w:drawing>
        <wp:anchor distT="0" distB="0" distL="0" distR="0" simplePos="0" relativeHeight="251658240" behindDoc="1" locked="0" layoutInCell="1" hidden="0" allowOverlap="1">
          <wp:simplePos x="0" y="0"/>
          <wp:positionH relativeFrom="column">
            <wp:posOffset>-1017904</wp:posOffset>
          </wp:positionH>
          <wp:positionV relativeFrom="paragraph">
            <wp:posOffset>-325027</wp:posOffset>
          </wp:positionV>
          <wp:extent cx="7635163" cy="9944100"/>
          <wp:effectExtent l="0" t="0" r="0" b="0"/>
          <wp:wrapNone/>
          <wp:docPr id="6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7"/>
      <w:tblW w:w="6237" w:type="dxa"/>
      <w:tblInd w:w="3261" w:type="dxa"/>
      <w:tblLayout w:type="fixed"/>
      <w:tblLook w:val="0400" w:firstRow="0" w:lastRow="0" w:firstColumn="0" w:lastColumn="0" w:noHBand="0" w:noVBand="1"/>
    </w:tblPr>
    <w:tblGrid>
      <w:gridCol w:w="2552"/>
      <w:gridCol w:w="3685"/>
    </w:tblGrid>
    <w:tr w:rsidR="004E618D" w:rsidTr="00417E52">
      <w:tc>
        <w:tcPr>
          <w:tcW w:w="2552" w:type="dxa"/>
          <w:vAlign w:val="center"/>
        </w:tcPr>
        <w:p w:rsidR="004E618D" w:rsidRDefault="004E618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vAlign w:val="center"/>
        </w:tcPr>
        <w:p w:rsidR="004E618D" w:rsidRDefault="004E618D" w:rsidP="00417E52">
          <w:pPr>
            <w:ind w:right="-256"/>
            <w:jc w:val="both"/>
            <w:rPr>
              <w:rFonts w:ascii="Palatino Linotype" w:eastAsia="Palatino Linotype" w:hAnsi="Palatino Linotype" w:cs="Palatino Linotype"/>
              <w:b/>
              <w:sz w:val="22"/>
              <w:szCs w:val="22"/>
            </w:rPr>
          </w:pPr>
          <w:r w:rsidRPr="00417E52">
            <w:rPr>
              <w:rFonts w:ascii="Palatino Linotype" w:eastAsia="Palatino Linotype" w:hAnsi="Palatino Linotype" w:cs="Palatino Linotype"/>
              <w:b/>
              <w:sz w:val="22"/>
              <w:szCs w:val="22"/>
            </w:rPr>
            <w:t>14814/INFOEM/ICR-10/IP/RR/2022</w:t>
          </w:r>
        </w:p>
      </w:tc>
    </w:tr>
    <w:tr w:rsidR="004E618D" w:rsidTr="00417E52">
      <w:trPr>
        <w:trHeight w:val="228"/>
      </w:trPr>
      <w:tc>
        <w:tcPr>
          <w:tcW w:w="2552" w:type="dxa"/>
          <w:vAlign w:val="center"/>
        </w:tcPr>
        <w:p w:rsidR="004E618D" w:rsidRDefault="004E618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vAlign w:val="center"/>
        </w:tcPr>
        <w:p w:rsidR="004E618D" w:rsidRDefault="004E618D">
          <w:pPr>
            <w:jc w:val="both"/>
            <w:rPr>
              <w:rFonts w:ascii="Palatino Linotype" w:eastAsia="Palatino Linotype" w:hAnsi="Palatino Linotype" w:cs="Palatino Linotype"/>
              <w:b/>
              <w:sz w:val="22"/>
              <w:szCs w:val="22"/>
            </w:rPr>
          </w:pPr>
          <w:r w:rsidRPr="00417E52">
            <w:rPr>
              <w:rFonts w:ascii="Palatino Linotype" w:eastAsia="Palatino Linotype" w:hAnsi="Palatino Linotype" w:cs="Palatino Linotype"/>
              <w:b/>
              <w:sz w:val="22"/>
              <w:szCs w:val="22"/>
            </w:rPr>
            <w:t>Ayuntamiento de Texcaltitlán</w:t>
          </w:r>
        </w:p>
      </w:tc>
    </w:tr>
    <w:tr w:rsidR="004E618D" w:rsidTr="00417E52">
      <w:tc>
        <w:tcPr>
          <w:tcW w:w="2552" w:type="dxa"/>
          <w:vAlign w:val="center"/>
        </w:tcPr>
        <w:p w:rsidR="004E618D" w:rsidRDefault="004E618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vAlign w:val="center"/>
        </w:tcPr>
        <w:p w:rsidR="004E618D" w:rsidRDefault="004E618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E618D" w:rsidRDefault="004E618D">
    <w:pPr>
      <w:rPr>
        <w:rFonts w:ascii="Calibri" w:eastAsia="Calibri" w:hAnsi="Calibri" w:cs="Calibri"/>
      </w:rPr>
    </w:pPr>
    <w:r>
      <w:rPr>
        <w:rFonts w:ascii="Calibri" w:eastAsia="Calibri" w:hAnsi="Calibri" w:cs="Calibr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18D" w:rsidRDefault="004E618D">
    <w:pPr>
      <w:pBdr>
        <w:top w:val="nil"/>
        <w:left w:val="nil"/>
        <w:bottom w:val="nil"/>
        <w:right w:val="nil"/>
        <w:between w:val="nil"/>
      </w:pBdr>
      <w:tabs>
        <w:tab w:val="center" w:pos="4252"/>
        <w:tab w:val="right" w:pos="8504"/>
      </w:tabs>
      <w:jc w:val="both"/>
      <w:rPr>
        <w:rFonts w:ascii="Calibri" w:eastAsia="Calibri" w:hAnsi="Calibri" w:cs="Calibri"/>
      </w:rPr>
    </w:pPr>
    <w:r>
      <w:rPr>
        <w:rFonts w:ascii="Calibri" w:eastAsia="Calibri" w:hAnsi="Calibri" w:cs="Calibri"/>
      </w:rPr>
      <w:t xml:space="preserve">                                  </w:t>
    </w:r>
    <w:r>
      <w:rPr>
        <w:noProof/>
        <w:lang w:eastAsia="es-MX"/>
      </w:rPr>
      <w:drawing>
        <wp:anchor distT="0" distB="0" distL="0" distR="0" simplePos="0" relativeHeight="251659264" behindDoc="1" locked="0" layoutInCell="1" hidden="0" allowOverlap="1">
          <wp:simplePos x="0" y="0"/>
          <wp:positionH relativeFrom="column">
            <wp:posOffset>-1010917</wp:posOffset>
          </wp:positionH>
          <wp:positionV relativeFrom="paragraph">
            <wp:posOffset>-276222</wp:posOffset>
          </wp:positionV>
          <wp:extent cx="7635240" cy="9942830"/>
          <wp:effectExtent l="0" t="0" r="0" b="0"/>
          <wp:wrapNone/>
          <wp:docPr id="6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6"/>
      <w:tblW w:w="6460" w:type="dxa"/>
      <w:tblInd w:w="2612" w:type="dxa"/>
      <w:tblLayout w:type="fixed"/>
      <w:tblLook w:val="0400" w:firstRow="0" w:lastRow="0" w:firstColumn="0" w:lastColumn="0" w:noHBand="0" w:noVBand="1"/>
    </w:tblPr>
    <w:tblGrid>
      <w:gridCol w:w="2551"/>
      <w:gridCol w:w="3909"/>
    </w:tblGrid>
    <w:tr w:rsidR="004E618D">
      <w:tc>
        <w:tcPr>
          <w:tcW w:w="2551" w:type="dxa"/>
          <w:vAlign w:val="center"/>
        </w:tcPr>
        <w:p w:rsidR="004E618D" w:rsidRDefault="004E618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09" w:type="dxa"/>
          <w:vAlign w:val="center"/>
        </w:tcPr>
        <w:p w:rsidR="004E618D" w:rsidRDefault="004E618D">
          <w:pPr>
            <w:jc w:val="both"/>
            <w:rPr>
              <w:rFonts w:ascii="Palatino Linotype" w:eastAsia="Palatino Linotype" w:hAnsi="Palatino Linotype" w:cs="Palatino Linotype"/>
              <w:b/>
              <w:sz w:val="22"/>
              <w:szCs w:val="22"/>
            </w:rPr>
          </w:pPr>
          <w:r w:rsidRPr="00417E52">
            <w:rPr>
              <w:rFonts w:ascii="Palatino Linotype" w:eastAsia="Palatino Linotype" w:hAnsi="Palatino Linotype" w:cs="Palatino Linotype"/>
              <w:b/>
              <w:sz w:val="22"/>
              <w:szCs w:val="22"/>
            </w:rPr>
            <w:t>14814/INFOEM/ICR-10/IP/RR/2022</w:t>
          </w:r>
        </w:p>
      </w:tc>
    </w:tr>
    <w:tr w:rsidR="004E618D">
      <w:tc>
        <w:tcPr>
          <w:tcW w:w="2551" w:type="dxa"/>
          <w:vAlign w:val="center"/>
        </w:tcPr>
        <w:p w:rsidR="004E618D" w:rsidRDefault="004E618D">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09" w:type="dxa"/>
          <w:vAlign w:val="center"/>
        </w:tcPr>
        <w:p w:rsidR="004E618D" w:rsidRDefault="004E618D">
          <w:pPr>
            <w:ind w:left="-45"/>
            <w:jc w:val="both"/>
            <w:rPr>
              <w:rFonts w:ascii="Palatino Linotype" w:eastAsia="Palatino Linotype" w:hAnsi="Palatino Linotype" w:cs="Palatino Linotype"/>
              <w:b/>
              <w:sz w:val="22"/>
              <w:szCs w:val="22"/>
            </w:rPr>
          </w:pPr>
        </w:p>
      </w:tc>
    </w:tr>
    <w:tr w:rsidR="004E618D">
      <w:trPr>
        <w:trHeight w:val="228"/>
      </w:trPr>
      <w:tc>
        <w:tcPr>
          <w:tcW w:w="2551" w:type="dxa"/>
          <w:vAlign w:val="center"/>
        </w:tcPr>
        <w:p w:rsidR="004E618D" w:rsidRDefault="004E618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09" w:type="dxa"/>
          <w:vAlign w:val="center"/>
        </w:tcPr>
        <w:p w:rsidR="004E618D" w:rsidRDefault="004E618D">
          <w:pPr>
            <w:ind w:right="458"/>
            <w:jc w:val="both"/>
            <w:rPr>
              <w:rFonts w:ascii="Palatino Linotype" w:eastAsia="Palatino Linotype" w:hAnsi="Palatino Linotype" w:cs="Palatino Linotype"/>
              <w:b/>
              <w:sz w:val="22"/>
              <w:szCs w:val="22"/>
            </w:rPr>
          </w:pPr>
          <w:r w:rsidRPr="00417E52">
            <w:rPr>
              <w:rFonts w:ascii="Palatino Linotype" w:eastAsia="Palatino Linotype" w:hAnsi="Palatino Linotype" w:cs="Palatino Linotype"/>
              <w:b/>
              <w:color w:val="000000"/>
              <w:sz w:val="22"/>
              <w:szCs w:val="22"/>
            </w:rPr>
            <w:t>Ayuntamiento de Texcaltitlán</w:t>
          </w:r>
        </w:p>
      </w:tc>
    </w:tr>
    <w:tr w:rsidR="004E618D">
      <w:tc>
        <w:tcPr>
          <w:tcW w:w="2551" w:type="dxa"/>
          <w:vAlign w:val="center"/>
        </w:tcPr>
        <w:p w:rsidR="004E618D" w:rsidRDefault="004E618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09" w:type="dxa"/>
          <w:vAlign w:val="center"/>
        </w:tcPr>
        <w:p w:rsidR="004E618D" w:rsidRDefault="004E618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E618D" w:rsidRDefault="004E618D">
    <w:pPr>
      <w:pBdr>
        <w:top w:val="nil"/>
        <w:left w:val="nil"/>
        <w:bottom w:val="nil"/>
        <w:right w:val="nil"/>
        <w:between w:val="nil"/>
      </w:pBdr>
      <w:tabs>
        <w:tab w:val="center" w:pos="4252"/>
        <w:tab w:val="right" w:pos="8504"/>
      </w:tabs>
      <w:rPr>
        <w:rFonts w:ascii="Calibri" w:eastAsia="Calibri" w:hAnsi="Calibri" w:cs="Calibr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18D" w:rsidRDefault="004E618D">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rsidR="004E618D" w:rsidRDefault="004E618D">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91133"/>
    <w:multiLevelType w:val="multilevel"/>
    <w:tmpl w:val="15221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54549F8"/>
    <w:multiLevelType w:val="multilevel"/>
    <w:tmpl w:val="CE5E84DE"/>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DE7A7A"/>
    <w:multiLevelType w:val="multilevel"/>
    <w:tmpl w:val="FDEA7D5C"/>
    <w:lvl w:ilvl="0">
      <w:numFmt w:val="decimal"/>
      <w:pStyle w:val="Listaconvietas"/>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AC67074"/>
    <w:multiLevelType w:val="multilevel"/>
    <w:tmpl w:val="A7DA028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126E2F8F"/>
    <w:multiLevelType w:val="multilevel"/>
    <w:tmpl w:val="8710F1EA"/>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192965C3"/>
    <w:multiLevelType w:val="multilevel"/>
    <w:tmpl w:val="662AE5A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nsid w:val="1CC7305A"/>
    <w:multiLevelType w:val="hybridMultilevel"/>
    <w:tmpl w:val="E3B2A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32015FA"/>
    <w:multiLevelType w:val="multilevel"/>
    <w:tmpl w:val="AE3E2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1C864A9"/>
    <w:multiLevelType w:val="multilevel"/>
    <w:tmpl w:val="DF4600B6"/>
    <w:lvl w:ilvl="0">
      <w:numFmt w:val="lowerLetter"/>
      <w:pStyle w:val="Listaconvietas2"/>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44077DF6"/>
    <w:multiLevelType w:val="multilevel"/>
    <w:tmpl w:val="1DA49B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5D959FD"/>
    <w:multiLevelType w:val="multilevel"/>
    <w:tmpl w:val="135E41F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nsid w:val="56B35264"/>
    <w:multiLevelType w:val="multilevel"/>
    <w:tmpl w:val="129AD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2523482"/>
    <w:multiLevelType w:val="multilevel"/>
    <w:tmpl w:val="404E799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63306280"/>
    <w:multiLevelType w:val="multilevel"/>
    <w:tmpl w:val="10D05A2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nsid w:val="64CF2999"/>
    <w:multiLevelType w:val="multilevel"/>
    <w:tmpl w:val="F4C8458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abstractNumId w:val="10"/>
  </w:num>
  <w:num w:numId="2">
    <w:abstractNumId w:val="11"/>
  </w:num>
  <w:num w:numId="3">
    <w:abstractNumId w:val="13"/>
  </w:num>
  <w:num w:numId="4">
    <w:abstractNumId w:val="4"/>
  </w:num>
  <w:num w:numId="5">
    <w:abstractNumId w:val="5"/>
  </w:num>
  <w:num w:numId="6">
    <w:abstractNumId w:val="7"/>
  </w:num>
  <w:num w:numId="7">
    <w:abstractNumId w:val="0"/>
  </w:num>
  <w:num w:numId="8">
    <w:abstractNumId w:val="3"/>
  </w:num>
  <w:num w:numId="9">
    <w:abstractNumId w:val="6"/>
  </w:num>
  <w:num w:numId="10">
    <w:abstractNumId w:val="8"/>
  </w:num>
  <w:num w:numId="11">
    <w:abstractNumId w:val="9"/>
  </w:num>
  <w:num w:numId="12">
    <w:abstractNumId w:val="2"/>
  </w:num>
  <w:num w:numId="13">
    <w:abstractNumId w:val="1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120"/>
    <w:rsid w:val="00066EAA"/>
    <w:rsid w:val="00103ABE"/>
    <w:rsid w:val="0011381B"/>
    <w:rsid w:val="001624AE"/>
    <w:rsid w:val="00200946"/>
    <w:rsid w:val="00213B9C"/>
    <w:rsid w:val="0026648D"/>
    <w:rsid w:val="002E6057"/>
    <w:rsid w:val="00344EC4"/>
    <w:rsid w:val="003A2877"/>
    <w:rsid w:val="00417E52"/>
    <w:rsid w:val="0044056C"/>
    <w:rsid w:val="004D14B7"/>
    <w:rsid w:val="004E618D"/>
    <w:rsid w:val="00531C83"/>
    <w:rsid w:val="005A0CA2"/>
    <w:rsid w:val="00616EF4"/>
    <w:rsid w:val="00640942"/>
    <w:rsid w:val="00710CF3"/>
    <w:rsid w:val="008A0627"/>
    <w:rsid w:val="008B4B3D"/>
    <w:rsid w:val="008E391D"/>
    <w:rsid w:val="00910BF5"/>
    <w:rsid w:val="00954120"/>
    <w:rsid w:val="009B35CE"/>
    <w:rsid w:val="00AB17F3"/>
    <w:rsid w:val="00AE1307"/>
    <w:rsid w:val="00B15F8D"/>
    <w:rsid w:val="00B42D85"/>
    <w:rsid w:val="00B46147"/>
    <w:rsid w:val="00B51003"/>
    <w:rsid w:val="00B559C8"/>
    <w:rsid w:val="00B61EC6"/>
    <w:rsid w:val="00B903CA"/>
    <w:rsid w:val="00BD22DD"/>
    <w:rsid w:val="00C051D2"/>
    <w:rsid w:val="00C113BE"/>
    <w:rsid w:val="00C74C55"/>
    <w:rsid w:val="00D3011C"/>
    <w:rsid w:val="00D340C7"/>
    <w:rsid w:val="00D63A38"/>
    <w:rsid w:val="00E213A7"/>
    <w:rsid w:val="00E95408"/>
    <w:rsid w:val="00F76EE2"/>
    <w:rsid w:val="00FA2E5F"/>
    <w:rsid w:val="00FA5629"/>
    <w:rsid w:val="00FA6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7DE3D3-5A81-45B8-BAE3-59EB39C27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table" w:customStyle="1" w:styleId="8">
    <w:name w:val="8"/>
    <w:basedOn w:val="TableNormal10"/>
    <w:tblPr>
      <w:tblStyleRowBandSize w:val="1"/>
      <w:tblStyleColBandSize w:val="1"/>
      <w:tblCellMar>
        <w:top w:w="0" w:type="dxa"/>
        <w:left w:w="115" w:type="dxa"/>
        <w:bottom w:w="0" w:type="dxa"/>
        <w:right w:w="115" w:type="dxa"/>
      </w:tblCellMar>
    </w:tbl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
    <w:tblPr>
      <w:tblStyleRowBandSize w:val="1"/>
      <w:tblStyleColBandSize w:val="1"/>
      <w:tblCellMar>
        <w:top w:w="0" w:type="dxa"/>
        <w:left w:w="115" w:type="dxa"/>
        <w:bottom w:w="0" w:type="dxa"/>
        <w:right w:w="115" w:type="dxa"/>
      </w:tblCellMar>
    </w:tblPr>
  </w:style>
  <w:style w:type="table" w:customStyle="1" w:styleId="3">
    <w:name w:val="3"/>
    <w:basedOn w:val="TableNormal3"/>
    <w:tblPr>
      <w:tblStyleRowBandSize w:val="1"/>
      <w:tblStyleColBandSize w:val="1"/>
      <w:tblCellMar>
        <w:top w:w="0" w:type="dxa"/>
        <w:left w:w="115" w:type="dxa"/>
        <w:bottom w:w="0" w:type="dxa"/>
        <w:right w:w="115" w:type="dxa"/>
      </w:tblCellMar>
    </w:tblPr>
  </w:style>
  <w:style w:type="table" w:customStyle="1" w:styleId="2">
    <w:name w:val="2"/>
    <w:basedOn w:val="TableNormal4"/>
    <w:tblPr>
      <w:tblStyleRowBandSize w:val="1"/>
      <w:tblStyleColBandSize w:val="1"/>
      <w:tblCellMar>
        <w:top w:w="0" w:type="dxa"/>
        <w:left w:w="115" w:type="dxa"/>
        <w:bottom w:w="0" w:type="dxa"/>
        <w:right w:w="115" w:type="dxa"/>
      </w:tblCellMar>
    </w:tblPr>
  </w:style>
  <w:style w:type="table" w:customStyle="1" w:styleId="1">
    <w:name w:val="1"/>
    <w:basedOn w:val="TableNormal4"/>
    <w:tblPr>
      <w:tblStyleRowBandSize w:val="1"/>
      <w:tblStyleColBandSize w:val="1"/>
      <w:tblCellMar>
        <w:top w:w="0" w:type="dxa"/>
        <w:left w:w="115" w:type="dxa"/>
        <w:bottom w:w="0" w:type="dxa"/>
        <w:right w:w="115" w:type="dxa"/>
      </w:tblCellMar>
    </w:tblPr>
  </w:style>
  <w:style w:type="paragraph" w:customStyle="1" w:styleId="Default">
    <w:name w:val="Default"/>
    <w:rsid w:val="00913B61"/>
    <w:pPr>
      <w:autoSpaceDE w:val="0"/>
      <w:autoSpaceDN w:val="0"/>
      <w:adjustRightInd w:val="0"/>
    </w:pPr>
    <w:rPr>
      <w:rFonts w:ascii="Palatino Linotype" w:eastAsiaTheme="minorHAnsi" w:hAnsi="Palatino Linotype" w:cs="Palatino Linotype"/>
      <w:color w:val="000000"/>
      <w:lang w:eastAsia="en-US"/>
    </w:r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paragraph" w:styleId="Listaconvietas2">
    <w:name w:val="List Bullet 2"/>
    <w:basedOn w:val="Normal"/>
    <w:uiPriority w:val="99"/>
    <w:unhideWhenUsed/>
    <w:rsid w:val="00D3011C"/>
    <w:pPr>
      <w:numPr>
        <w:numId w:val="10"/>
      </w:numPr>
      <w:contextualSpacing/>
    </w:pPr>
    <w:rPr>
      <w:lang w:eastAsia="es-MX"/>
    </w:rPr>
  </w:style>
  <w:style w:type="paragraph" w:styleId="Listaconvietas">
    <w:name w:val="List Bullet"/>
    <w:basedOn w:val="Normal"/>
    <w:uiPriority w:val="99"/>
    <w:unhideWhenUsed/>
    <w:rsid w:val="00D3011C"/>
    <w:pPr>
      <w:numPr>
        <w:numId w:val="12"/>
      </w:numPr>
      <w:contextualSpacing/>
    </w:pPr>
    <w:rPr>
      <w:lang w:eastAsia="es-MX"/>
    </w:rPr>
  </w:style>
  <w:style w:type="paragraph" w:styleId="Listaconvietas3">
    <w:name w:val="List Bullet 3"/>
    <w:basedOn w:val="Normal"/>
    <w:uiPriority w:val="99"/>
    <w:unhideWhenUsed/>
    <w:rsid w:val="00D3011C"/>
    <w:pPr>
      <w:numPr>
        <w:numId w:val="14"/>
      </w:numPr>
      <w:contextualSpacing/>
    </w:pPr>
    <w:rPr>
      <w:lang w:val="es-ES" w:eastAsia="es-MX"/>
    </w:rPr>
  </w:style>
  <w:style w:type="table" w:customStyle="1" w:styleId="Tabladelista1clara-nfasis111">
    <w:name w:val="Tabla de lista 1 clara - Énfasis 111"/>
    <w:basedOn w:val="Tablanormal"/>
    <w:uiPriority w:val="46"/>
    <w:rsid w:val="00C051D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onografias.com/trabajos14/verific-servicios/verific-servicios.shtml"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L1yqN8uJPvcBJQmC9LlDKQuJw6w==">AMUW2mUNKbBiDIU1AmmmRYXjUm99sa6KSj6avm2QwK/xpFuLTJHOp1/jpm69+X9ua5qNPPesAXUwwtou0Cqj4Gpbz+lxEkf2W2eFHus3WgTKlfapSnCZQWxDA9jmTi9siE9wR7GhhF7udHg0DNeo3Nkx0sHDRdKIaw0HJMHSiy7PwBaD2jwtov2yEI3AT8QGtzOrhH2RCClo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12926</Words>
  <Characters>71093</Characters>
  <Application>Microsoft Office Word</Application>
  <DocSecurity>0</DocSecurity>
  <Lines>592</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2</cp:revision>
  <cp:lastPrinted>2023-03-10T16:02:00Z</cp:lastPrinted>
  <dcterms:created xsi:type="dcterms:W3CDTF">2023-03-14T18:37:00Z</dcterms:created>
  <dcterms:modified xsi:type="dcterms:W3CDTF">2023-03-14T18:37:00Z</dcterms:modified>
</cp:coreProperties>
</file>