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doce de abril de dos mil veintitrés.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VISTO</w:t>
      </w:r>
      <w:r w:rsidRPr="0025285B">
        <w:rPr>
          <w:rFonts w:ascii="Palatino Linotype" w:eastAsia="Palatino Linotype" w:hAnsi="Palatino Linotype" w:cs="Palatino Linotype"/>
        </w:rPr>
        <w:t xml:space="preserve"> el expediente formado con motivo del recurso de revisión </w:t>
      </w:r>
      <w:r w:rsidRPr="0025285B">
        <w:rPr>
          <w:rFonts w:ascii="Palatino Linotype" w:eastAsia="Palatino Linotype" w:hAnsi="Palatino Linotype" w:cs="Palatino Linotype"/>
          <w:b/>
        </w:rPr>
        <w:t>17009/INFOEM/IP/RR/2022</w:t>
      </w:r>
      <w:r w:rsidRPr="0025285B">
        <w:rPr>
          <w:rFonts w:ascii="Palatino Linotype" w:eastAsia="Palatino Linotype" w:hAnsi="Palatino Linotype" w:cs="Palatino Linotype"/>
        </w:rPr>
        <w:t xml:space="preserve">, interpuesto por quien dijo ser </w:t>
      </w:r>
      <w:r w:rsidR="004E0840">
        <w:rPr>
          <w:rFonts w:ascii="Palatino Linotype" w:eastAsia="Palatino Linotype" w:hAnsi="Palatino Linotype" w:cs="Palatino Linotype"/>
          <w:b/>
        </w:rPr>
        <w:t>XXXXXX XXXXX XXXXXX</w:t>
      </w:r>
      <w:bookmarkStart w:id="0" w:name="_GoBack"/>
      <w:bookmarkEnd w:id="0"/>
      <w:r w:rsidRPr="0025285B">
        <w:rPr>
          <w:rFonts w:ascii="Palatino Linotype" w:eastAsia="Palatino Linotype" w:hAnsi="Palatino Linotype" w:cs="Palatino Linotype"/>
          <w:b/>
        </w:rPr>
        <w:t xml:space="preserve">, </w:t>
      </w:r>
      <w:r w:rsidRPr="0025285B">
        <w:rPr>
          <w:rFonts w:ascii="Palatino Linotype" w:eastAsia="Palatino Linotype" w:hAnsi="Palatino Linotype" w:cs="Palatino Linotype"/>
        </w:rPr>
        <w:t>a quien en lo sucesivo se le referirá como</w:t>
      </w:r>
      <w:r w:rsidRPr="0025285B">
        <w:rPr>
          <w:rFonts w:ascii="Palatino Linotype" w:eastAsia="Palatino Linotype" w:hAnsi="Palatino Linotype" w:cs="Palatino Linotype"/>
          <w:b/>
        </w:rPr>
        <w:t xml:space="preserve"> LA PARTE RECURRENTE,</w:t>
      </w:r>
      <w:r w:rsidRPr="0025285B">
        <w:rPr>
          <w:rFonts w:ascii="Palatino Linotype" w:eastAsia="Palatino Linotype" w:hAnsi="Palatino Linotype" w:cs="Palatino Linotype"/>
        </w:rPr>
        <w:t xml:space="preserve"> en contra de la respuesta a su solicitud de folio </w:t>
      </w:r>
      <w:r w:rsidRPr="0025285B">
        <w:rPr>
          <w:rFonts w:ascii="Palatino Linotype" w:eastAsia="Palatino Linotype" w:hAnsi="Palatino Linotype" w:cs="Palatino Linotype"/>
          <w:b/>
        </w:rPr>
        <w:t>02531/TOLUCA/IP/2022,</w:t>
      </w:r>
      <w:r w:rsidRPr="0025285B">
        <w:rPr>
          <w:rFonts w:ascii="Palatino Linotype" w:eastAsia="Palatino Linotype" w:hAnsi="Palatino Linotype" w:cs="Palatino Linotype"/>
        </w:rPr>
        <w:t xml:space="preserve"> por parte del </w:t>
      </w:r>
      <w:r w:rsidRPr="0025285B">
        <w:rPr>
          <w:rFonts w:ascii="Palatino Linotype" w:eastAsia="Palatino Linotype" w:hAnsi="Palatino Linotype" w:cs="Palatino Linotype"/>
          <w:b/>
        </w:rPr>
        <w:t xml:space="preserve">Ayuntamiento de Toluca, </w:t>
      </w:r>
      <w:r w:rsidRPr="0025285B">
        <w:rPr>
          <w:rFonts w:ascii="Palatino Linotype" w:eastAsia="Palatino Linotype" w:hAnsi="Palatino Linotype" w:cs="Palatino Linotype"/>
        </w:rPr>
        <w:t xml:space="preserve">que en lo subsecuente se le denominará como </w:t>
      </w:r>
      <w:r w:rsidRPr="0025285B">
        <w:rPr>
          <w:rFonts w:ascii="Palatino Linotype" w:eastAsia="Palatino Linotype" w:hAnsi="Palatino Linotype" w:cs="Palatino Linotype"/>
          <w:b/>
        </w:rPr>
        <w:t xml:space="preserve">EL SUJETO OBLIGADO, </w:t>
      </w:r>
      <w:r w:rsidRPr="0025285B">
        <w:rPr>
          <w:rFonts w:ascii="Palatino Linotype" w:eastAsia="Palatino Linotype" w:hAnsi="Palatino Linotype" w:cs="Palatino Linotype"/>
        </w:rPr>
        <w:t xml:space="preserve">es que se procede a dictar la presente resolución con base en los siguientes: </w:t>
      </w:r>
    </w:p>
    <w:p w:rsidR="005B28B6" w:rsidRPr="0025285B" w:rsidRDefault="00840D98">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25285B">
        <w:rPr>
          <w:rFonts w:ascii="Palatino Linotype" w:eastAsia="Palatino Linotype" w:hAnsi="Palatino Linotype" w:cs="Palatino Linotype"/>
          <w:b/>
          <w:color w:val="000000"/>
        </w:rPr>
        <w:t>A N T E C E D E N T E S</w:t>
      </w:r>
    </w:p>
    <w:p w:rsidR="005B28B6" w:rsidRPr="0025285B" w:rsidRDefault="005B28B6">
      <w:pPr>
        <w:spacing w:line="360" w:lineRule="auto"/>
        <w:ind w:left="360"/>
        <w:rPr>
          <w:rFonts w:ascii="Palatino Linotype" w:eastAsia="Palatino Linotype" w:hAnsi="Palatino Linotype" w:cs="Palatino Linotype"/>
          <w:b/>
        </w:rPr>
      </w:pPr>
    </w:p>
    <w:p w:rsidR="005B28B6" w:rsidRPr="0025285B" w:rsidRDefault="00840D98">
      <w:pPr>
        <w:spacing w:line="360" w:lineRule="auto"/>
        <w:jc w:val="both"/>
        <w:rPr>
          <w:rFonts w:ascii="Palatino Linotype" w:eastAsia="Palatino Linotype" w:hAnsi="Palatino Linotype" w:cs="Palatino Linotype"/>
        </w:rPr>
      </w:pPr>
      <w:bookmarkStart w:id="1" w:name="_heading=h.gjdgxs" w:colFirst="0" w:colLast="0"/>
      <w:bookmarkEnd w:id="1"/>
      <w:r w:rsidRPr="0025285B">
        <w:rPr>
          <w:rFonts w:ascii="Palatino Linotype" w:eastAsia="Palatino Linotype" w:hAnsi="Palatino Linotype" w:cs="Palatino Linotype"/>
          <w:b/>
        </w:rPr>
        <w:t>1. Solicitud de acceso a la información.</w:t>
      </w:r>
      <w:r w:rsidRPr="0025285B">
        <w:rPr>
          <w:rFonts w:ascii="Palatino Linotype" w:eastAsia="Palatino Linotype" w:hAnsi="Palatino Linotype" w:cs="Palatino Linotype"/>
        </w:rPr>
        <w:t xml:space="preserve"> Con fecha </w:t>
      </w:r>
      <w:r w:rsidRPr="0025285B">
        <w:rPr>
          <w:rFonts w:ascii="Palatino Linotype" w:eastAsia="Palatino Linotype" w:hAnsi="Palatino Linotype" w:cs="Palatino Linotype"/>
          <w:b/>
        </w:rPr>
        <w:t>veintidós de noviembre de dos mil veintidós,</w:t>
      </w:r>
      <w:r w:rsidRPr="0025285B">
        <w:rPr>
          <w:rFonts w:ascii="Palatino Linotype" w:eastAsia="Palatino Linotype" w:hAnsi="Palatino Linotype" w:cs="Palatino Linotype"/>
        </w:rPr>
        <w:t xml:space="preserve"> </w:t>
      </w:r>
      <w:r w:rsidRPr="0025285B">
        <w:rPr>
          <w:rFonts w:ascii="Palatino Linotype" w:eastAsia="Palatino Linotype" w:hAnsi="Palatino Linotype" w:cs="Palatino Linotype"/>
          <w:b/>
        </w:rPr>
        <w:t xml:space="preserve">LA PARTE RECURRENTE </w:t>
      </w:r>
      <w:r w:rsidRPr="0025285B">
        <w:rPr>
          <w:rFonts w:ascii="Palatino Linotype" w:eastAsia="Palatino Linotype" w:hAnsi="Palatino Linotype" w:cs="Palatino Linotype"/>
        </w:rPr>
        <w:t>presentó, través del Sistema de Acceso a la Información Mexiquense</w:t>
      </w:r>
      <w:r w:rsidRPr="0025285B">
        <w:rPr>
          <w:rFonts w:ascii="Palatino Linotype" w:eastAsia="Palatino Linotype" w:hAnsi="Palatino Linotype" w:cs="Palatino Linotype"/>
          <w:vertAlign w:val="superscript"/>
        </w:rPr>
        <w:t xml:space="preserve"> </w:t>
      </w:r>
      <w:r w:rsidRPr="0025285B">
        <w:rPr>
          <w:rFonts w:ascii="Palatino Linotype" w:eastAsia="Palatino Linotype" w:hAnsi="Palatino Linotype" w:cs="Palatino Linotype"/>
        </w:rPr>
        <w:t>(SAIMEX</w:t>
      </w:r>
      <w:r w:rsidRPr="0025285B">
        <w:rPr>
          <w:rFonts w:ascii="Palatino Linotype" w:eastAsia="Palatino Linotype" w:hAnsi="Palatino Linotype" w:cs="Palatino Linotype"/>
          <w:b/>
        </w:rPr>
        <w:t>),</w:t>
      </w:r>
      <w:r w:rsidRPr="0025285B">
        <w:rPr>
          <w:rFonts w:ascii="Palatino Linotype" w:eastAsia="Palatino Linotype" w:hAnsi="Palatino Linotype" w:cs="Palatino Linotype"/>
        </w:rPr>
        <w:t xml:space="preserve"> ante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la solicitud de acceso a la información pública </w:t>
      </w:r>
      <w:r w:rsidRPr="0025285B">
        <w:rPr>
          <w:rFonts w:ascii="Palatino Linotype" w:eastAsia="Palatino Linotype" w:hAnsi="Palatino Linotype" w:cs="Palatino Linotype"/>
          <w:b/>
        </w:rPr>
        <w:t xml:space="preserve">02531/TOLUCA/IP/2022, </w:t>
      </w:r>
      <w:r w:rsidRPr="0025285B">
        <w:rPr>
          <w:rFonts w:ascii="Palatino Linotype" w:eastAsia="Palatino Linotype" w:hAnsi="Palatino Linotype" w:cs="Palatino Linotype"/>
        </w:rPr>
        <w:t xml:space="preserve">mediante la cual requirió la información siguiente: </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w:t>
      </w:r>
      <w:r w:rsidRPr="0025285B">
        <w:rPr>
          <w:rFonts w:ascii="Palatino Linotype" w:eastAsia="Palatino Linotype" w:hAnsi="Palatino Linotype" w:cs="Palatino Linotype"/>
          <w:i/>
          <w:color w:val="000000"/>
          <w:sz w:val="20"/>
          <w:szCs w:val="20"/>
        </w:rPr>
        <w:t>Solicito el costo y el contrato con la empresa adjudicada, de los uniformes de los elementos que integran Seguridad y Protección de Toluca</w:t>
      </w:r>
      <w:r w:rsidRPr="0025285B">
        <w:rPr>
          <w:rFonts w:ascii="Palatino Linotype" w:eastAsia="Palatino Linotype" w:hAnsi="Palatino Linotype" w:cs="Palatino Linotype"/>
          <w:i/>
          <w:color w:val="404040"/>
          <w:sz w:val="20"/>
          <w:szCs w:val="20"/>
        </w:rPr>
        <w:t>” (sic)</w:t>
      </w:r>
    </w:p>
    <w:p w:rsidR="005B28B6" w:rsidRPr="0025285B" w:rsidRDefault="005B28B6">
      <w:pPr>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Modalidad de Entrega:</w:t>
      </w:r>
      <w:r w:rsidRPr="0025285B">
        <w:rPr>
          <w:rFonts w:ascii="Palatino Linotype" w:eastAsia="Palatino Linotype" w:hAnsi="Palatino Linotype" w:cs="Palatino Linotype"/>
        </w:rPr>
        <w:t xml:space="preserve"> A través de SAIMEX.</w:t>
      </w:r>
    </w:p>
    <w:p w:rsidR="005B28B6" w:rsidRPr="0025285B" w:rsidRDefault="005B28B6">
      <w:pPr>
        <w:spacing w:line="360" w:lineRule="auto"/>
        <w:jc w:val="both"/>
        <w:rPr>
          <w:rFonts w:ascii="Palatino Linotype" w:eastAsia="Palatino Linotype" w:hAnsi="Palatino Linotype" w:cs="Palatino Linotype"/>
          <w:b/>
        </w:rPr>
      </w:pPr>
    </w:p>
    <w:p w:rsidR="005B28B6" w:rsidRPr="0025285B" w:rsidRDefault="00840D98">
      <w:pPr>
        <w:spacing w:line="360" w:lineRule="auto"/>
        <w:jc w:val="both"/>
        <w:rPr>
          <w:rFonts w:ascii="Palatino Linotype" w:eastAsia="Palatino Linotype" w:hAnsi="Palatino Linotype" w:cs="Palatino Linotype"/>
          <w:b/>
        </w:rPr>
      </w:pPr>
      <w:r w:rsidRPr="0025285B">
        <w:rPr>
          <w:rFonts w:ascii="Palatino Linotype" w:eastAsia="Palatino Linotype" w:hAnsi="Palatino Linotype" w:cs="Palatino Linotype"/>
          <w:b/>
        </w:rPr>
        <w:lastRenderedPageBreak/>
        <w:t xml:space="preserve">2. Respuesta. </w:t>
      </w:r>
      <w:r w:rsidRPr="0025285B">
        <w:rPr>
          <w:rFonts w:ascii="Palatino Linotype" w:eastAsia="Palatino Linotype" w:hAnsi="Palatino Linotype" w:cs="Palatino Linotype"/>
        </w:rPr>
        <w:t>Con fecha</w:t>
      </w:r>
      <w:r w:rsidRPr="0025285B">
        <w:rPr>
          <w:rFonts w:ascii="Palatino Linotype" w:eastAsia="Palatino Linotype" w:hAnsi="Palatino Linotype" w:cs="Palatino Linotype"/>
          <w:b/>
        </w:rPr>
        <w:t xml:space="preserve"> veintiocho de noviembre de dos mil veintidós</w:t>
      </w:r>
      <w:r w:rsidRPr="0025285B">
        <w:rPr>
          <w:rFonts w:ascii="Palatino Linotype" w:eastAsia="Palatino Linotype" w:hAnsi="Palatino Linotype" w:cs="Palatino Linotype"/>
        </w:rPr>
        <w:t xml:space="preserve">, </w:t>
      </w:r>
      <w:r w:rsidRPr="0025285B">
        <w:rPr>
          <w:rFonts w:ascii="Palatino Linotype" w:eastAsia="Palatino Linotype" w:hAnsi="Palatino Linotype" w:cs="Palatino Linotype"/>
          <w:b/>
        </w:rPr>
        <w:t xml:space="preserve">EL SUJETO OBLIGADO </w:t>
      </w:r>
      <w:r w:rsidRPr="0025285B">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center"/>
        <w:rPr>
          <w:rFonts w:ascii="Palatino Linotype" w:eastAsia="Palatino Linotype" w:hAnsi="Palatino Linotype" w:cs="Palatino Linotype"/>
        </w:rPr>
      </w:pPr>
      <w:r w:rsidRPr="0025285B">
        <w:rPr>
          <w:rFonts w:ascii="Palatino Linotype" w:eastAsia="Palatino Linotype" w:hAnsi="Palatino Linotype" w:cs="Palatino Linotype"/>
          <w:noProof/>
        </w:rPr>
        <w:drawing>
          <wp:inline distT="0" distB="0" distL="0" distR="0">
            <wp:extent cx="5621794" cy="3078601"/>
            <wp:effectExtent l="0" t="0" r="0" b="0"/>
            <wp:docPr id="1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1711" t="9355" r="2749" b="7362"/>
                    <a:stretch>
                      <a:fillRect/>
                    </a:stretch>
                  </pic:blipFill>
                  <pic:spPr>
                    <a:xfrm>
                      <a:off x="0" y="0"/>
                      <a:ext cx="5621794" cy="3078601"/>
                    </a:xfrm>
                    <a:prstGeom prst="rect">
                      <a:avLst/>
                    </a:prstGeom>
                    <a:ln/>
                  </pic:spPr>
                </pic:pic>
              </a:graphicData>
            </a:graphic>
          </wp:inline>
        </w:drawing>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adjuntó a su respuesta los siguientes archivos electrónicos </w:t>
      </w:r>
      <w:r w:rsidRPr="0025285B">
        <w:rPr>
          <w:rFonts w:ascii="Palatino Linotype" w:eastAsia="Palatino Linotype" w:hAnsi="Palatino Linotype" w:cs="Palatino Linotype"/>
          <w:i/>
        </w:rPr>
        <w:t xml:space="preserve">evidencia </w:t>
      </w:r>
      <w:proofErr w:type="spellStart"/>
      <w:r w:rsidRPr="0025285B">
        <w:rPr>
          <w:rFonts w:ascii="Palatino Linotype" w:eastAsia="Palatino Linotype" w:hAnsi="Palatino Linotype" w:cs="Palatino Linotype"/>
          <w:i/>
        </w:rPr>
        <w:t>ipomex</w:t>
      </w:r>
      <w:proofErr w:type="spellEnd"/>
      <w:r w:rsidRPr="0025285B">
        <w:rPr>
          <w:rFonts w:ascii="Palatino Linotype" w:eastAsia="Palatino Linotype" w:hAnsi="Palatino Linotype" w:cs="Palatino Linotype"/>
          <w:i/>
        </w:rPr>
        <w:t xml:space="preserve"> para </w:t>
      </w:r>
      <w:proofErr w:type="spellStart"/>
      <w:r w:rsidRPr="0025285B">
        <w:rPr>
          <w:rFonts w:ascii="Palatino Linotype" w:eastAsia="Palatino Linotype" w:hAnsi="Palatino Linotype" w:cs="Palatino Linotype"/>
          <w:i/>
        </w:rPr>
        <w:t>saimex</w:t>
      </w:r>
      <w:proofErr w:type="spellEnd"/>
      <w:r w:rsidRPr="0025285B">
        <w:rPr>
          <w:rFonts w:ascii="Palatino Linotype" w:eastAsia="Palatino Linotype" w:hAnsi="Palatino Linotype" w:cs="Palatino Linotype"/>
          <w:i/>
        </w:rPr>
        <w:t xml:space="preserve"> 2531.pdf </w:t>
      </w:r>
      <w:r w:rsidRPr="0025285B">
        <w:rPr>
          <w:rFonts w:ascii="Palatino Linotype" w:eastAsia="Palatino Linotype" w:hAnsi="Palatino Linotype" w:cs="Palatino Linotype"/>
        </w:rPr>
        <w:t>y</w:t>
      </w:r>
      <w:r w:rsidRPr="0025285B">
        <w:rPr>
          <w:rFonts w:ascii="Palatino Linotype" w:eastAsia="Palatino Linotype" w:hAnsi="Palatino Linotype" w:cs="Palatino Linotype"/>
          <w:i/>
        </w:rPr>
        <w:t xml:space="preserve"> Respuesta 2531.pdf, </w:t>
      </w:r>
      <w:r w:rsidRPr="0025285B">
        <w:rPr>
          <w:rFonts w:ascii="Palatino Linotype" w:eastAsia="Palatino Linotype" w:hAnsi="Palatino Linotype" w:cs="Palatino Linotype"/>
        </w:rPr>
        <w:t xml:space="preserve">que en su interior contiene: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25285B">
        <w:rPr>
          <w:rFonts w:ascii="Palatino Linotype" w:eastAsia="Palatino Linotype" w:hAnsi="Palatino Linotype" w:cs="Palatino Linotype"/>
          <w:b/>
          <w:i/>
          <w:color w:val="000000"/>
        </w:rPr>
        <w:t xml:space="preserve">evidencia </w:t>
      </w:r>
      <w:proofErr w:type="spellStart"/>
      <w:r w:rsidRPr="0025285B">
        <w:rPr>
          <w:rFonts w:ascii="Palatino Linotype" w:eastAsia="Palatino Linotype" w:hAnsi="Palatino Linotype" w:cs="Palatino Linotype"/>
          <w:b/>
          <w:i/>
          <w:color w:val="000000"/>
        </w:rPr>
        <w:t>ipomex</w:t>
      </w:r>
      <w:proofErr w:type="spellEnd"/>
      <w:r w:rsidRPr="0025285B">
        <w:rPr>
          <w:rFonts w:ascii="Palatino Linotype" w:eastAsia="Palatino Linotype" w:hAnsi="Palatino Linotype" w:cs="Palatino Linotype"/>
          <w:b/>
          <w:i/>
          <w:color w:val="000000"/>
        </w:rPr>
        <w:t xml:space="preserve"> para </w:t>
      </w:r>
      <w:proofErr w:type="spellStart"/>
      <w:r w:rsidRPr="0025285B">
        <w:rPr>
          <w:rFonts w:ascii="Palatino Linotype" w:eastAsia="Palatino Linotype" w:hAnsi="Palatino Linotype" w:cs="Palatino Linotype"/>
          <w:b/>
          <w:i/>
          <w:color w:val="000000"/>
        </w:rPr>
        <w:t>saimex</w:t>
      </w:r>
      <w:proofErr w:type="spellEnd"/>
      <w:r w:rsidRPr="0025285B">
        <w:rPr>
          <w:rFonts w:ascii="Palatino Linotype" w:eastAsia="Palatino Linotype" w:hAnsi="Palatino Linotype" w:cs="Palatino Linotype"/>
          <w:b/>
          <w:i/>
          <w:color w:val="000000"/>
        </w:rPr>
        <w:t xml:space="preserve"> </w:t>
      </w:r>
      <w:proofErr w:type="gramStart"/>
      <w:r w:rsidRPr="0025285B">
        <w:rPr>
          <w:rFonts w:ascii="Palatino Linotype" w:eastAsia="Palatino Linotype" w:hAnsi="Palatino Linotype" w:cs="Palatino Linotype"/>
          <w:b/>
          <w:i/>
          <w:color w:val="000000"/>
        </w:rPr>
        <w:t>2531.pdf .</w:t>
      </w:r>
      <w:proofErr w:type="gramEnd"/>
      <w:r w:rsidRPr="0025285B">
        <w:rPr>
          <w:rFonts w:ascii="Palatino Linotype" w:eastAsia="Palatino Linotype" w:hAnsi="Palatino Linotype" w:cs="Palatino Linotype"/>
          <w:b/>
          <w:i/>
          <w:color w:val="000000"/>
        </w:rPr>
        <w:t xml:space="preserve"> </w:t>
      </w:r>
      <w:r w:rsidRPr="0025285B">
        <w:rPr>
          <w:rFonts w:ascii="Palatino Linotype" w:eastAsia="Palatino Linotype" w:hAnsi="Palatino Linotype" w:cs="Palatino Linotype"/>
          <w:color w:val="000000"/>
        </w:rPr>
        <w:t xml:space="preserve">Mismo que contiene capturas de pantalla donde se muestra la información requerida por </w:t>
      </w:r>
      <w:r w:rsidRPr="0025285B">
        <w:rPr>
          <w:rFonts w:ascii="Palatino Linotype" w:eastAsia="Palatino Linotype" w:hAnsi="Palatino Linotype" w:cs="Palatino Linotype"/>
          <w:b/>
          <w:color w:val="000000"/>
        </w:rPr>
        <w:t xml:space="preserve">LA PARTE RECURRENTE </w:t>
      </w:r>
      <w:r w:rsidRPr="0025285B">
        <w:rPr>
          <w:rFonts w:ascii="Palatino Linotype" w:eastAsia="Palatino Linotype" w:hAnsi="Palatino Linotype" w:cs="Palatino Linotype"/>
          <w:color w:val="000000"/>
        </w:rPr>
        <w:t>contenida en el registro número doce de la fracción XXIX A del artículo 92 del perfil del Sistema de Información Pública de Oficio Mexiquens</w:t>
      </w:r>
      <w:r w:rsidRPr="0025285B">
        <w:rPr>
          <w:rFonts w:ascii="Palatino Linotype" w:eastAsia="Palatino Linotype" w:hAnsi="Palatino Linotype" w:cs="Palatino Linotype"/>
        </w:rPr>
        <w:t>e (IPOMEX)</w:t>
      </w:r>
      <w:r w:rsidRPr="0025285B">
        <w:rPr>
          <w:rFonts w:ascii="Palatino Linotype" w:eastAsia="Palatino Linotype" w:hAnsi="Palatino Linotype" w:cs="Palatino Linotype"/>
          <w:color w:val="000000"/>
        </w:rPr>
        <w:t xml:space="preserve"> del </w:t>
      </w:r>
      <w:r w:rsidRPr="0025285B">
        <w:rPr>
          <w:rFonts w:ascii="Palatino Linotype" w:eastAsia="Palatino Linotype" w:hAnsi="Palatino Linotype" w:cs="Palatino Linotype"/>
          <w:b/>
          <w:color w:val="000000"/>
        </w:rPr>
        <w:t>SUJETO OBLIGADO.</w:t>
      </w:r>
      <w:r w:rsidRPr="0025285B">
        <w:rPr>
          <w:rFonts w:ascii="Palatino Linotype" w:eastAsia="Palatino Linotype" w:hAnsi="Palatino Linotype" w:cs="Palatino Linotype"/>
          <w:color w:val="000000"/>
        </w:rPr>
        <w:t xml:space="preserve"> </w:t>
      </w:r>
    </w:p>
    <w:p w:rsidR="005B28B6" w:rsidRPr="0025285B" w:rsidRDefault="005B28B6">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rsidR="005B28B6" w:rsidRPr="0025285B" w:rsidRDefault="00840D9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25285B">
        <w:rPr>
          <w:rFonts w:ascii="Palatino Linotype" w:eastAsia="Palatino Linotype" w:hAnsi="Palatino Linotype" w:cs="Palatino Linotype"/>
          <w:b/>
          <w:i/>
          <w:color w:val="000000"/>
        </w:rPr>
        <w:lastRenderedPageBreak/>
        <w:t>Respuesta 2531.pdf</w:t>
      </w: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Que contiene el escrito de fecha veintiocho de noviembre de dos mil veintidós signado por la Persona Titular de la Unidad de Transparencia del Ayuntamiento de Toluca, en el que hace sabedora a la ahora parte Recurrente que la Dirección General de Administración le informó que en lo relativo a la adquisición de uniformes para la Dirección de Seguridad y Protección, Coordinación de Protección Civil y Bomberos del Ayuntamiento de Toluca, se encontraba disponible para su consulta en el IPOMEX, en términos precisos en el registro número doce de la siguiente liga electrónica: </w:t>
      </w:r>
      <w:hyperlink r:id="rId9">
        <w:r w:rsidRPr="0025285B">
          <w:rPr>
            <w:rFonts w:ascii="Palatino Linotype" w:eastAsia="Palatino Linotype" w:hAnsi="Palatino Linotype" w:cs="Palatino Linotype"/>
            <w:color w:val="0000FF"/>
            <w:u w:val="single"/>
          </w:rPr>
          <w:t>https://www.ipomex.org.mx/ipo3/lgt/indice/TOLUCA/art_92_xxix_a/4.web</w:t>
        </w:r>
      </w:hyperlink>
      <w:r w:rsidRPr="0025285B">
        <w:rPr>
          <w:rFonts w:ascii="Palatino Linotype" w:eastAsia="Palatino Linotype" w:hAnsi="Palatino Linotype" w:cs="Palatino Linotype"/>
        </w:rPr>
        <w:t xml:space="preserve">. </w:t>
      </w:r>
    </w:p>
    <w:p w:rsidR="005B28B6" w:rsidRPr="0025285B" w:rsidRDefault="005B28B6">
      <w:pPr>
        <w:spacing w:line="360" w:lineRule="auto"/>
        <w:ind w:right="49"/>
        <w:jc w:val="both"/>
        <w:rPr>
          <w:rFonts w:ascii="Palatino Linotype" w:eastAsia="Palatino Linotype" w:hAnsi="Palatino Linotype" w:cs="Palatino Linotype"/>
        </w:rPr>
      </w:pPr>
    </w:p>
    <w:p w:rsidR="005B28B6" w:rsidRPr="0025285B" w:rsidRDefault="00840D98">
      <w:pPr>
        <w:spacing w:line="360" w:lineRule="auto"/>
        <w:ind w:right="49"/>
        <w:jc w:val="both"/>
        <w:rPr>
          <w:rFonts w:ascii="Palatino Linotype" w:eastAsia="Palatino Linotype" w:hAnsi="Palatino Linotype" w:cs="Palatino Linotype"/>
          <w:b/>
        </w:rPr>
      </w:pPr>
      <w:r w:rsidRPr="0025285B">
        <w:rPr>
          <w:rFonts w:ascii="Palatino Linotype" w:eastAsia="Palatino Linotype" w:hAnsi="Palatino Linotype" w:cs="Palatino Linotype"/>
          <w:b/>
        </w:rPr>
        <w:t xml:space="preserve">3. Interposición del recurso de revisión. </w:t>
      </w:r>
      <w:r w:rsidRPr="0025285B">
        <w:rPr>
          <w:rFonts w:ascii="Palatino Linotype" w:eastAsia="Palatino Linotype" w:hAnsi="Palatino Linotype" w:cs="Palatino Linotype"/>
        </w:rPr>
        <w:t xml:space="preserve">Inconforme con los términos de la respuesta emitida por parte del </w:t>
      </w:r>
      <w:r w:rsidRPr="0025285B">
        <w:rPr>
          <w:rFonts w:ascii="Palatino Linotype" w:eastAsia="Palatino Linotype" w:hAnsi="Palatino Linotype" w:cs="Palatino Linotype"/>
          <w:b/>
        </w:rPr>
        <w:t>SUJETO OBLIGADO</w:t>
      </w:r>
      <w:r w:rsidRPr="0025285B">
        <w:rPr>
          <w:rFonts w:ascii="Palatino Linotype" w:eastAsia="Palatino Linotype" w:hAnsi="Palatino Linotype" w:cs="Palatino Linotype"/>
        </w:rPr>
        <w:t xml:space="preserve">, el </w:t>
      </w:r>
      <w:r w:rsidRPr="0025285B">
        <w:rPr>
          <w:rFonts w:ascii="Palatino Linotype" w:eastAsia="Palatino Linotype" w:hAnsi="Palatino Linotype" w:cs="Palatino Linotype"/>
          <w:b/>
        </w:rPr>
        <w:t>veintinueve noviembre de dos mil veintidós,</w:t>
      </w:r>
      <w:r w:rsidRPr="0025285B">
        <w:rPr>
          <w:rFonts w:ascii="Palatino Linotype" w:eastAsia="Palatino Linotype" w:hAnsi="Palatino Linotype" w:cs="Palatino Linotype"/>
        </w:rPr>
        <w:t xml:space="preserve">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interpuso el recurso de revisión a través de SAIMEX</w:t>
      </w:r>
      <w:r w:rsidRPr="0025285B">
        <w:rPr>
          <w:rFonts w:ascii="Palatino Linotype" w:eastAsia="Palatino Linotype" w:hAnsi="Palatino Linotype" w:cs="Palatino Linotype"/>
          <w:b/>
        </w:rPr>
        <w:t xml:space="preserve">, </w:t>
      </w:r>
      <w:r w:rsidRPr="0025285B">
        <w:rPr>
          <w:rFonts w:ascii="Palatino Linotype" w:eastAsia="Palatino Linotype" w:hAnsi="Palatino Linotype" w:cs="Palatino Linotype"/>
        </w:rPr>
        <w:t>en donde se manifestó de la siguiente manera:</w:t>
      </w:r>
    </w:p>
    <w:p w:rsidR="005B28B6" w:rsidRPr="0025285B" w:rsidRDefault="005B28B6">
      <w:pPr>
        <w:tabs>
          <w:tab w:val="left" w:pos="2745"/>
        </w:tabs>
        <w:spacing w:line="360" w:lineRule="auto"/>
        <w:jc w:val="both"/>
        <w:rPr>
          <w:rFonts w:ascii="Palatino Linotype" w:eastAsia="Palatino Linotype" w:hAnsi="Palatino Linotype" w:cs="Palatino Linotype"/>
          <w:b/>
        </w:rPr>
      </w:pPr>
    </w:p>
    <w:p w:rsidR="005B28B6" w:rsidRPr="0025285B" w:rsidRDefault="00840D98">
      <w:pPr>
        <w:tabs>
          <w:tab w:val="left" w:pos="2745"/>
        </w:tabs>
        <w:spacing w:line="360" w:lineRule="auto"/>
        <w:jc w:val="both"/>
        <w:rPr>
          <w:rFonts w:ascii="Palatino Linotype" w:eastAsia="Palatino Linotype" w:hAnsi="Palatino Linotype" w:cs="Palatino Linotype"/>
          <w:b/>
        </w:rPr>
      </w:pPr>
      <w:r w:rsidRPr="0025285B">
        <w:rPr>
          <w:rFonts w:ascii="Palatino Linotype" w:eastAsia="Palatino Linotype" w:hAnsi="Palatino Linotype" w:cs="Palatino Linotype"/>
          <w:b/>
        </w:rPr>
        <w:t xml:space="preserve">Acto impugnado: </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w:t>
      </w:r>
      <w:r w:rsidRPr="0025285B">
        <w:rPr>
          <w:rFonts w:ascii="Palatino Linotype" w:eastAsia="Palatino Linotype" w:hAnsi="Palatino Linotype" w:cs="Palatino Linotype"/>
          <w:i/>
          <w:color w:val="000000"/>
          <w:sz w:val="22"/>
          <w:szCs w:val="22"/>
        </w:rPr>
        <w:t>LA RESPUESTA ENTREGADA, NO CORRESPONDE A LO SOLICTADO</w:t>
      </w:r>
      <w:r w:rsidRPr="0025285B">
        <w:rPr>
          <w:rFonts w:ascii="Palatino Linotype" w:eastAsia="Palatino Linotype" w:hAnsi="Palatino Linotype" w:cs="Palatino Linotype"/>
          <w:i/>
          <w:color w:val="404040"/>
          <w:sz w:val="22"/>
          <w:szCs w:val="22"/>
        </w:rPr>
        <w:t>” (sic)</w:t>
      </w:r>
    </w:p>
    <w:p w:rsidR="005B28B6" w:rsidRPr="0025285B" w:rsidRDefault="005B28B6">
      <w:pPr>
        <w:spacing w:line="360" w:lineRule="auto"/>
        <w:jc w:val="both"/>
        <w:rPr>
          <w:rFonts w:ascii="Palatino Linotype" w:eastAsia="Palatino Linotype" w:hAnsi="Palatino Linotype" w:cs="Palatino Linotype"/>
          <w:b/>
        </w:rPr>
      </w:pPr>
    </w:p>
    <w:p w:rsidR="005B28B6" w:rsidRPr="0025285B" w:rsidRDefault="00840D98">
      <w:pPr>
        <w:spacing w:line="360" w:lineRule="auto"/>
        <w:jc w:val="both"/>
        <w:rPr>
          <w:rFonts w:ascii="Palatino Linotype" w:eastAsia="Palatino Linotype" w:hAnsi="Palatino Linotype" w:cs="Palatino Linotype"/>
        </w:rPr>
      </w:pPr>
      <w:bookmarkStart w:id="2" w:name="_heading=h.30j0zll" w:colFirst="0" w:colLast="0"/>
      <w:bookmarkEnd w:id="2"/>
      <w:r w:rsidRPr="0025285B">
        <w:rPr>
          <w:rFonts w:ascii="Palatino Linotype" w:eastAsia="Palatino Linotype" w:hAnsi="Palatino Linotype" w:cs="Palatino Linotype"/>
          <w:b/>
        </w:rPr>
        <w:t>Y razones o motivos de inconformidad</w:t>
      </w:r>
      <w:r w:rsidRPr="0025285B">
        <w:rPr>
          <w:rFonts w:ascii="Palatino Linotype" w:eastAsia="Palatino Linotype" w:hAnsi="Palatino Linotype" w:cs="Palatino Linotype"/>
        </w:rPr>
        <w:t>:</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“LA RESPUESTA QUE DA LA UNIDAD DE TRANSPARENCIA NO CORRESPONDE A LO SOLICITADO, SON OTROS CONTRATOS LOS QUE SE VISUALIZAN.” (</w:t>
      </w:r>
      <w:proofErr w:type="gramStart"/>
      <w:r w:rsidRPr="0025285B">
        <w:rPr>
          <w:rFonts w:ascii="Palatino Linotype" w:eastAsia="Palatino Linotype" w:hAnsi="Palatino Linotype" w:cs="Palatino Linotype"/>
          <w:i/>
          <w:color w:val="404040"/>
          <w:sz w:val="22"/>
          <w:szCs w:val="22"/>
        </w:rPr>
        <w:t>sic</w:t>
      </w:r>
      <w:proofErr w:type="gramEnd"/>
      <w:r w:rsidRPr="0025285B">
        <w:rPr>
          <w:rFonts w:ascii="Palatino Linotype" w:eastAsia="Palatino Linotype" w:hAnsi="Palatino Linotype" w:cs="Palatino Linotype"/>
          <w:i/>
          <w:color w:val="404040"/>
          <w:sz w:val="22"/>
          <w:szCs w:val="22"/>
        </w:rPr>
        <w:t>)</w:t>
      </w:r>
    </w:p>
    <w:p w:rsidR="005B28B6" w:rsidRPr="0025285B" w:rsidRDefault="005B28B6">
      <w:pPr>
        <w:spacing w:line="360" w:lineRule="auto"/>
        <w:ind w:right="51"/>
        <w:jc w:val="both"/>
        <w:rPr>
          <w:rFonts w:ascii="Palatino Linotype" w:eastAsia="Palatino Linotype" w:hAnsi="Palatino Linotype" w:cs="Palatino Linotype"/>
          <w:b/>
        </w:rPr>
      </w:pPr>
    </w:p>
    <w:p w:rsidR="005B28B6" w:rsidRPr="0025285B" w:rsidRDefault="00840D98">
      <w:pPr>
        <w:spacing w:line="360" w:lineRule="auto"/>
        <w:ind w:right="51"/>
        <w:jc w:val="both"/>
        <w:rPr>
          <w:rFonts w:ascii="Palatino Linotype" w:eastAsia="Palatino Linotype" w:hAnsi="Palatino Linotype" w:cs="Palatino Linotype"/>
          <w:b/>
        </w:rPr>
      </w:pPr>
      <w:r w:rsidRPr="0025285B">
        <w:rPr>
          <w:rFonts w:ascii="Palatino Linotype" w:eastAsia="Palatino Linotype" w:hAnsi="Palatino Linotype" w:cs="Palatino Linotype"/>
          <w:b/>
        </w:rPr>
        <w:lastRenderedPageBreak/>
        <w:t xml:space="preserve">4. Turno. </w:t>
      </w:r>
      <w:r w:rsidRPr="0025285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presente recurso de revisión se turnó por el sistema electrónico del </w:t>
      </w:r>
      <w:proofErr w:type="spellStart"/>
      <w:r w:rsidRPr="0025285B">
        <w:rPr>
          <w:rFonts w:ascii="Palatino Linotype" w:eastAsia="Palatino Linotype" w:hAnsi="Palatino Linotype" w:cs="Palatino Linotype"/>
        </w:rPr>
        <w:t>Infoem</w:t>
      </w:r>
      <w:proofErr w:type="spellEnd"/>
      <w:r w:rsidRPr="0025285B">
        <w:rPr>
          <w:rFonts w:ascii="Palatino Linotype" w:eastAsia="Palatino Linotype" w:hAnsi="Palatino Linotype" w:cs="Palatino Linotype"/>
        </w:rPr>
        <w:t xml:space="preserve">, a la </w:t>
      </w:r>
      <w:r w:rsidRPr="0025285B">
        <w:rPr>
          <w:rFonts w:ascii="Palatino Linotype" w:eastAsia="Palatino Linotype" w:hAnsi="Palatino Linotype" w:cs="Palatino Linotype"/>
          <w:b/>
        </w:rPr>
        <w:t xml:space="preserve">Comisionada Guadalupe Ramírez Peña, </w:t>
      </w:r>
      <w:r w:rsidRPr="0025285B">
        <w:rPr>
          <w:rFonts w:ascii="Palatino Linotype" w:eastAsia="Palatino Linotype" w:hAnsi="Palatino Linotype" w:cs="Palatino Linotype"/>
        </w:rPr>
        <w:t xml:space="preserve">a efecto de que analizara sobre su admisión o su </w:t>
      </w:r>
      <w:proofErr w:type="spellStart"/>
      <w:r w:rsidRPr="0025285B">
        <w:rPr>
          <w:rFonts w:ascii="Palatino Linotype" w:eastAsia="Palatino Linotype" w:hAnsi="Palatino Linotype" w:cs="Palatino Linotype"/>
        </w:rPr>
        <w:t>desechamiento</w:t>
      </w:r>
      <w:proofErr w:type="spellEnd"/>
      <w:r w:rsidRPr="0025285B">
        <w:rPr>
          <w:rFonts w:ascii="Palatino Linotype" w:eastAsia="Palatino Linotype" w:hAnsi="Palatino Linotype" w:cs="Palatino Linotype"/>
        </w:rPr>
        <w:t>.</w:t>
      </w:r>
    </w:p>
    <w:p w:rsidR="005B28B6" w:rsidRPr="0025285B" w:rsidRDefault="005B28B6">
      <w:pPr>
        <w:spacing w:line="360" w:lineRule="auto"/>
        <w:jc w:val="both"/>
        <w:rPr>
          <w:rFonts w:ascii="Palatino Linotype" w:eastAsia="Palatino Linotype" w:hAnsi="Palatino Linotype" w:cs="Palatino Linotype"/>
          <w:b/>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5. Admisión del Recurso de revisión.</w:t>
      </w:r>
      <w:r w:rsidRPr="0025285B">
        <w:rPr>
          <w:rFonts w:ascii="Palatino Linotype" w:eastAsia="Palatino Linotype" w:hAnsi="Palatino Linotype" w:cs="Palatino Linotype"/>
        </w:rPr>
        <w:t xml:space="preserve"> Con fecha</w:t>
      </w:r>
      <w:r w:rsidRPr="0025285B">
        <w:rPr>
          <w:rFonts w:ascii="Palatino Linotype" w:eastAsia="Palatino Linotype" w:hAnsi="Palatino Linotype" w:cs="Palatino Linotype"/>
          <w:b/>
        </w:rPr>
        <w:t xml:space="preserve"> dos de diciembre de dos mil veintidós, </w:t>
      </w:r>
      <w:r w:rsidRPr="0025285B">
        <w:rPr>
          <w:rFonts w:ascii="Palatino Linotype" w:eastAsia="Palatino Linotype" w:hAnsi="Palatino Linotype" w:cs="Palatino Linotype"/>
        </w:rPr>
        <w:t xml:space="preserve">este Instituto de Transparencia, admitió a trámite el recurso de revisión, dando un plazo máximo de siete días hábiles para que las partes manifestaran lo que a su derecho resultara conveniente, ofrecieran pruebas, formularan alegatos y </w:t>
      </w:r>
      <w:r w:rsidRPr="0025285B">
        <w:rPr>
          <w:rFonts w:ascii="Palatino Linotype" w:eastAsia="Palatino Linotype" w:hAnsi="Palatino Linotype" w:cs="Palatino Linotype"/>
          <w:b/>
        </w:rPr>
        <w:t xml:space="preserve">EL SUJETO OBLIGADO </w:t>
      </w:r>
      <w:r w:rsidRPr="0025285B">
        <w:rPr>
          <w:rFonts w:ascii="Palatino Linotype" w:eastAsia="Palatino Linotype" w:hAnsi="Palatino Linotype" w:cs="Palatino Linotype"/>
        </w:rPr>
        <w:t>presentara su Informe Justificado.</w:t>
      </w:r>
    </w:p>
    <w:p w:rsidR="005B28B6" w:rsidRPr="0025285B" w:rsidRDefault="005B28B6">
      <w:pPr>
        <w:spacing w:line="360" w:lineRule="auto"/>
        <w:jc w:val="both"/>
        <w:rPr>
          <w:rFonts w:ascii="Palatino Linotype" w:eastAsia="Palatino Linotype" w:hAnsi="Palatino Linotype" w:cs="Palatino Linotype"/>
          <w:b/>
        </w:rPr>
      </w:pPr>
      <w:bookmarkStart w:id="3" w:name="_heading=h.2s8eyo1" w:colFirst="0" w:colLast="0"/>
      <w:bookmarkEnd w:id="3"/>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6. Manifestaciones</w:t>
      </w:r>
      <w:r w:rsidRPr="0025285B">
        <w:rPr>
          <w:rFonts w:ascii="Palatino Linotype" w:eastAsia="Palatino Linotype" w:hAnsi="Palatino Linotype" w:cs="Palatino Linotype"/>
        </w:rPr>
        <w:t xml:space="preserve">. De las constancias que obran en el expediente electrónico del SAIMEX, se desprende que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rindió el Informe Justificado el </w:t>
      </w:r>
      <w:r w:rsidRPr="0025285B">
        <w:rPr>
          <w:rFonts w:ascii="Palatino Linotype" w:eastAsia="Palatino Linotype" w:hAnsi="Palatino Linotype" w:cs="Palatino Linotype"/>
          <w:b/>
        </w:rPr>
        <w:t>trece de diciembre de dos mil veintidós</w:t>
      </w:r>
      <w:r w:rsidRPr="0025285B">
        <w:rPr>
          <w:rFonts w:ascii="Palatino Linotype" w:eastAsia="Palatino Linotype" w:hAnsi="Palatino Linotype" w:cs="Palatino Linotype"/>
        </w:rPr>
        <w:t xml:space="preserve">, mismo que fue hecho de conocimiento de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para que en un plazo de tres días hábiles manifestara lo que considerara pertinente.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en este acto procesal, haciendo uso de su derecho remitió su Informe Justificado, a través del archivo </w:t>
      </w:r>
      <w:hyperlink r:id="rId10">
        <w:r w:rsidRPr="0025285B">
          <w:rPr>
            <w:rFonts w:ascii="Palatino Linotype" w:eastAsia="Palatino Linotype" w:hAnsi="Palatino Linotype" w:cs="Palatino Linotype"/>
            <w:i/>
            <w:color w:val="000000"/>
          </w:rPr>
          <w:t>RR 17009.pdf</w:t>
        </w:r>
      </w:hyperlink>
      <w:r w:rsidRPr="0025285B">
        <w:rPr>
          <w:rFonts w:ascii="Palatino Linotype" w:eastAsia="Palatino Linotype" w:hAnsi="Palatino Linotype" w:cs="Palatino Linotype"/>
          <w:i/>
        </w:rPr>
        <w:t xml:space="preserve">, </w:t>
      </w:r>
      <w:r w:rsidRPr="0025285B">
        <w:rPr>
          <w:rFonts w:ascii="Palatino Linotype" w:eastAsia="Palatino Linotype" w:hAnsi="Palatino Linotype" w:cs="Palatino Linotype"/>
        </w:rPr>
        <w:t xml:space="preserve">que contiene el oficio </w:t>
      </w:r>
      <w:r w:rsidRPr="0025285B">
        <w:rPr>
          <w:rFonts w:ascii="Palatino Linotype" w:eastAsia="Palatino Linotype" w:hAnsi="Palatino Linotype" w:cs="Palatino Linotype"/>
          <w:i/>
        </w:rPr>
        <w:t>2010A4000/UT/RR/0800/2022,</w:t>
      </w:r>
      <w:r w:rsidRPr="0025285B">
        <w:rPr>
          <w:rFonts w:ascii="Palatino Linotype" w:eastAsia="Palatino Linotype" w:hAnsi="Palatino Linotype" w:cs="Palatino Linotype"/>
        </w:rPr>
        <w:t xml:space="preserve"> emitido por la Unidad de Transparencia del Ayuntamiento de Toluca,</w:t>
      </w:r>
      <w:r w:rsidRPr="0025285B">
        <w:rPr>
          <w:rFonts w:ascii="Palatino Linotype" w:eastAsia="Palatino Linotype" w:hAnsi="Palatino Linotype" w:cs="Palatino Linotype"/>
          <w:color w:val="FF0000"/>
        </w:rPr>
        <w:t xml:space="preserve"> </w:t>
      </w:r>
      <w:r w:rsidRPr="0025285B">
        <w:rPr>
          <w:rFonts w:ascii="Palatino Linotype" w:eastAsia="Palatino Linotype" w:hAnsi="Palatino Linotype" w:cs="Palatino Linotype"/>
        </w:rPr>
        <w:t xml:space="preserve">a través del cual </w:t>
      </w:r>
      <w:r w:rsidRPr="0025285B">
        <w:rPr>
          <w:rFonts w:ascii="Palatino Linotype" w:eastAsia="Palatino Linotype" w:hAnsi="Palatino Linotype" w:cs="Palatino Linotype"/>
          <w:b/>
        </w:rPr>
        <w:t xml:space="preserve">EL SUJETO OBLIGADO </w:t>
      </w:r>
      <w:r w:rsidRPr="0025285B">
        <w:rPr>
          <w:rFonts w:ascii="Palatino Linotype" w:eastAsia="Palatino Linotype" w:hAnsi="Palatino Linotype" w:cs="Palatino Linotype"/>
        </w:rPr>
        <w:t xml:space="preserve">ratifica en cada uno de sus puntos la respuesta brindada a la solicitud </w:t>
      </w:r>
      <w:r w:rsidRPr="0025285B">
        <w:rPr>
          <w:rFonts w:ascii="Palatino Linotype" w:eastAsia="Palatino Linotype" w:hAnsi="Palatino Linotype" w:cs="Palatino Linotype"/>
          <w:b/>
        </w:rPr>
        <w:t>02531/TOLUCA/IP/2022.</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lastRenderedPageBreak/>
        <w:t xml:space="preserve">Por su cuenta,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omitió realizar manifestaciones, como se observa a continuación:</w:t>
      </w:r>
    </w:p>
    <w:p w:rsidR="005B28B6" w:rsidRPr="0025285B" w:rsidRDefault="00840D98">
      <w:pPr>
        <w:spacing w:line="360" w:lineRule="auto"/>
        <w:jc w:val="center"/>
        <w:rPr>
          <w:rFonts w:ascii="Palatino Linotype" w:eastAsia="Palatino Linotype" w:hAnsi="Palatino Linotype" w:cs="Palatino Linotype"/>
        </w:rPr>
      </w:pPr>
      <w:r w:rsidRPr="0025285B">
        <w:rPr>
          <w:noProof/>
        </w:rPr>
        <w:drawing>
          <wp:inline distT="0" distB="0" distL="0" distR="0">
            <wp:extent cx="5454902" cy="2144942"/>
            <wp:effectExtent l="0" t="0" r="0" b="0"/>
            <wp:docPr id="1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1371" t="20217" r="3597" b="20338"/>
                    <a:stretch>
                      <a:fillRect/>
                    </a:stretch>
                  </pic:blipFill>
                  <pic:spPr>
                    <a:xfrm>
                      <a:off x="0" y="0"/>
                      <a:ext cx="5454902" cy="2144942"/>
                    </a:xfrm>
                    <a:prstGeom prst="rect">
                      <a:avLst/>
                    </a:prstGeom>
                    <a:ln/>
                  </pic:spPr>
                </pic:pic>
              </a:graphicData>
            </a:graphic>
          </wp:inline>
        </w:drawing>
      </w:r>
    </w:p>
    <w:p w:rsidR="005B28B6" w:rsidRPr="0025285B" w:rsidRDefault="00840D98">
      <w:pPr>
        <w:widowControl w:val="0"/>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 xml:space="preserve">7. Ampliación del plazo para emitir resolución. </w:t>
      </w:r>
      <w:r w:rsidRPr="0025285B">
        <w:rPr>
          <w:rFonts w:ascii="Palatino Linotype" w:eastAsia="Palatino Linotype" w:hAnsi="Palatino Linotype" w:cs="Palatino Linotype"/>
        </w:rPr>
        <w:t xml:space="preserve">Es el </w:t>
      </w:r>
      <w:r w:rsidRPr="0025285B">
        <w:rPr>
          <w:rFonts w:ascii="Palatino Linotype" w:eastAsia="Palatino Linotype" w:hAnsi="Palatino Linotype" w:cs="Palatino Linotype"/>
          <w:b/>
        </w:rPr>
        <w:t>veintiocho de marzo de dos mil veintitrés</w:t>
      </w:r>
      <w:r w:rsidRPr="0025285B">
        <w:rPr>
          <w:rFonts w:ascii="Palatino Linotype" w:eastAsia="Palatino Linotype" w:hAnsi="Palatino Linotype" w:cs="Palatino Linotype"/>
        </w:rPr>
        <w:t xml:space="preserve">, que este Instituto con fundamento en el artículo 181, párrafo tercero, de la Ley de Transparencia y Acceso a la Información Pública del Estado de México y Municipios, determinó ampliar el plazo para emitir la presente resolución. </w:t>
      </w:r>
    </w:p>
    <w:p w:rsidR="005B28B6" w:rsidRPr="0025285B" w:rsidRDefault="005B28B6">
      <w:pPr>
        <w:widowControl w:val="0"/>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25285B">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strike/>
          <w:color w:val="FF0000"/>
        </w:rPr>
      </w:pPr>
      <w:r w:rsidRPr="0025285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5B28B6" w:rsidRPr="0025285B" w:rsidRDefault="00840D98">
      <w:pPr>
        <w:numPr>
          <w:ilvl w:val="0"/>
          <w:numId w:val="6"/>
        </w:num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 xml:space="preserve">Complejidad del Asunto: </w:t>
      </w:r>
      <w:r w:rsidRPr="0025285B">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5B28B6" w:rsidRPr="0025285B" w:rsidRDefault="00840D98">
      <w:pPr>
        <w:numPr>
          <w:ilvl w:val="0"/>
          <w:numId w:val="6"/>
        </w:num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Actividad Procesal del interesado:</w:t>
      </w:r>
      <w:r w:rsidRPr="0025285B">
        <w:rPr>
          <w:rFonts w:ascii="Palatino Linotype" w:eastAsia="Palatino Linotype" w:hAnsi="Palatino Linotype" w:cs="Palatino Linotype"/>
        </w:rPr>
        <w:t xml:space="preserve"> Acciones u omisiones del interesado.</w:t>
      </w:r>
    </w:p>
    <w:p w:rsidR="005B28B6" w:rsidRPr="0025285B" w:rsidRDefault="00840D98">
      <w:pPr>
        <w:numPr>
          <w:ilvl w:val="0"/>
          <w:numId w:val="6"/>
        </w:num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Conducta de la Autoridad:</w:t>
      </w:r>
      <w:r w:rsidRPr="0025285B">
        <w:rPr>
          <w:rFonts w:ascii="Palatino Linotype" w:eastAsia="Palatino Linotype" w:hAnsi="Palatino Linotype" w:cs="Palatino Linotype"/>
        </w:rPr>
        <w:t xml:space="preserve"> Las Acciones u omisiones realizadas en el procedimiento. Así como si la autoridad actuó con la debida diligencia.</w:t>
      </w:r>
    </w:p>
    <w:p w:rsidR="005B28B6" w:rsidRPr="0025285B" w:rsidRDefault="00840D98">
      <w:pPr>
        <w:spacing w:line="360" w:lineRule="auto"/>
        <w:ind w:left="567"/>
        <w:jc w:val="both"/>
        <w:rPr>
          <w:rFonts w:ascii="Palatino Linotype" w:eastAsia="Palatino Linotype" w:hAnsi="Palatino Linotype" w:cs="Palatino Linotype"/>
        </w:rPr>
      </w:pPr>
      <w:r w:rsidRPr="0025285B">
        <w:rPr>
          <w:rFonts w:ascii="Palatino Linotype" w:eastAsia="Palatino Linotype" w:hAnsi="Palatino Linotype" w:cs="Palatino Linotype"/>
          <w:b/>
        </w:rPr>
        <w:lastRenderedPageBreak/>
        <w:t>d) La afectación generada en la situación jurídica de la persona involucrada en el proceso:</w:t>
      </w:r>
      <w:r w:rsidRPr="0025285B">
        <w:rPr>
          <w:rFonts w:ascii="Palatino Linotype" w:eastAsia="Palatino Linotype" w:hAnsi="Palatino Linotype" w:cs="Palatino Linotype"/>
        </w:rPr>
        <w:t xml:space="preserve"> Violación a sus derechos humanos.</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b/>
        </w:rPr>
      </w:pPr>
      <w:r w:rsidRPr="0025285B">
        <w:rPr>
          <w:rFonts w:ascii="Palatino Linotype" w:eastAsia="Palatino Linotype" w:hAnsi="Palatino Linotype" w:cs="Palatino Linotype"/>
        </w:rPr>
        <w:t>Argumento que encuentra sustento en la Jurisprudencia P</w:t>
      </w:r>
      <w:proofErr w:type="gramStart"/>
      <w:r w:rsidRPr="0025285B">
        <w:rPr>
          <w:rFonts w:ascii="Palatino Linotype" w:eastAsia="Palatino Linotype" w:hAnsi="Palatino Linotype" w:cs="Palatino Linotype"/>
        </w:rPr>
        <w:t>./</w:t>
      </w:r>
      <w:proofErr w:type="gramEnd"/>
      <w:r w:rsidRPr="0025285B">
        <w:rPr>
          <w:rFonts w:ascii="Palatino Linotype" w:eastAsia="Palatino Linotype" w:hAnsi="Palatino Linotype" w:cs="Palatino Linotype"/>
        </w:rPr>
        <w:t xml:space="preserve">J. 32/92 emitida por el Pleno de la Suprema Corte de Justicia de la Nación de rubro </w:t>
      </w:r>
      <w:r w:rsidRPr="0025285B">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25285B">
        <w:rPr>
          <w:rFonts w:ascii="Palatino Linotype" w:eastAsia="Palatino Linotype" w:hAnsi="Palatino Linotype" w:cs="Palatino Linotype"/>
          <w:b/>
        </w:rPr>
        <w:t>,</w:t>
      </w:r>
      <w:r w:rsidRPr="0025285B">
        <w:rPr>
          <w:rFonts w:ascii="Palatino Linotype" w:eastAsia="Palatino Linotype" w:hAnsi="Palatino Linotype" w:cs="Palatino Linotype"/>
        </w:rPr>
        <w:t xml:space="preserve"> visible en la Gaceta del Seminario Judicial de la Federación con el registro digital 205635.</w:t>
      </w: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25285B">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 xml:space="preserve"> </w:t>
      </w:r>
      <w:r w:rsidRPr="0025285B">
        <w:rPr>
          <w:rFonts w:ascii="Palatino Linotype" w:eastAsia="Palatino Linotype" w:hAnsi="Palatino Linotype" w:cs="Palatino Linotype"/>
          <w:b/>
          <w:i/>
        </w:rPr>
        <w:t>“PLAZO RAZONABLE PARA RESOLVER. DIMENSIÓN Y EFECTOS DE ESTE CONCEPTO CUANDO SE ADUCE EXCESIVA CARGA DE TRABAJO.”</w:t>
      </w:r>
      <w:r w:rsidRPr="0025285B">
        <w:rPr>
          <w:rFonts w:ascii="Palatino Linotype" w:eastAsia="Palatino Linotype" w:hAnsi="Palatino Linotype" w:cs="Palatino Linotype"/>
        </w:rPr>
        <w:t xml:space="preserve"> consultable en el Seminario Judicial de la Federación y su gaceta, con el registro digital 2002351.</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i/>
        </w:rPr>
        <w:t>“PLAZO RAZONABLE PARA RESOLVER. CONCEPTO Y ELEMENTOS QUE LO INTEGRAN A LA LUZ DEL DERECHO INTERNACIONAL DE LOS DERECHOS HUMANOS.”</w:t>
      </w:r>
      <w:r w:rsidRPr="0025285B">
        <w:rPr>
          <w:rFonts w:ascii="Palatino Linotype" w:eastAsia="Palatino Linotype" w:hAnsi="Palatino Linotype" w:cs="Palatino Linotype"/>
          <w:b/>
        </w:rPr>
        <w:t>,</w:t>
      </w:r>
      <w:r w:rsidRPr="0025285B">
        <w:rPr>
          <w:rFonts w:ascii="Palatino Linotype" w:eastAsia="Palatino Linotype" w:hAnsi="Palatino Linotype" w:cs="Palatino Linotype"/>
        </w:rPr>
        <w:t xml:space="preserve"> visible en el Seminario Judicial de la Federación y su gaceta, con el registro digital 2002350.</w:t>
      </w: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B28B6" w:rsidRPr="0025285B" w:rsidRDefault="005B28B6">
      <w:pPr>
        <w:spacing w:line="360" w:lineRule="auto"/>
        <w:jc w:val="both"/>
        <w:rPr>
          <w:rFonts w:ascii="Palatino Linotype" w:eastAsia="Palatino Linotype" w:hAnsi="Palatino Linotype" w:cs="Palatino Linotype"/>
          <w:color w:val="FF0000"/>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 xml:space="preserve">8. Cierre de instrucción. </w:t>
      </w:r>
      <w:r w:rsidRPr="0025285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25285B">
        <w:rPr>
          <w:rFonts w:ascii="Palatino Linotype" w:eastAsia="Palatino Linotype" w:hAnsi="Palatino Linotype" w:cs="Palatino Linotype"/>
          <w:b/>
        </w:rPr>
        <w:t>diez de abril de dos mil veintitrés</w:t>
      </w:r>
      <w:r w:rsidRPr="0025285B">
        <w:rPr>
          <w:rFonts w:ascii="Palatino Linotype" w:eastAsia="Palatino Linotype" w:hAnsi="Palatino Linotype" w:cs="Palatino Linotype"/>
        </w:rPr>
        <w:t xml:space="preserve">, la </w:t>
      </w:r>
      <w:r w:rsidRPr="0025285B">
        <w:rPr>
          <w:rFonts w:ascii="Palatino Linotype" w:eastAsia="Palatino Linotype" w:hAnsi="Palatino Linotype" w:cs="Palatino Linotype"/>
          <w:b/>
        </w:rPr>
        <w:t>Comisionada Ponente</w:t>
      </w:r>
      <w:r w:rsidRPr="0025285B">
        <w:rPr>
          <w:rFonts w:ascii="Palatino Linotype" w:eastAsia="Palatino Linotype" w:hAnsi="Palatino Linotype" w:cs="Palatino Linotype"/>
        </w:rPr>
        <w:t xml:space="preserve"> determinó el </w:t>
      </w:r>
      <w:r w:rsidRPr="0025285B">
        <w:rPr>
          <w:rFonts w:ascii="Palatino Linotype" w:eastAsia="Palatino Linotype" w:hAnsi="Palatino Linotype" w:cs="Palatino Linotype"/>
        </w:rPr>
        <w:lastRenderedPageBreak/>
        <w:t>cierre de instrucción en términos de la fracción VI del artículo 185 de la Ley de Transparencia y Acceso a la Información Pública del Estado de México y Municipios.</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y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widowControl w:val="0"/>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25285B">
        <w:rPr>
          <w:rFonts w:ascii="Palatino Linotype" w:eastAsia="Palatino Linotype" w:hAnsi="Palatino Linotype" w:cs="Palatino Linotype"/>
          <w:b/>
          <w:color w:val="000000"/>
        </w:rPr>
        <w:t xml:space="preserve">C O N S I D E R A N D O </w:t>
      </w:r>
    </w:p>
    <w:p w:rsidR="005B28B6" w:rsidRPr="0025285B" w:rsidRDefault="005B28B6">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5B28B6" w:rsidRPr="0025285B" w:rsidRDefault="00840D98">
      <w:pPr>
        <w:spacing w:line="360" w:lineRule="auto"/>
        <w:jc w:val="both"/>
        <w:rPr>
          <w:rFonts w:ascii="Palatino Linotype" w:eastAsia="Palatino Linotype" w:hAnsi="Palatino Linotype" w:cs="Palatino Linotype"/>
          <w:b/>
        </w:rPr>
      </w:pPr>
      <w:r w:rsidRPr="0025285B">
        <w:rPr>
          <w:rFonts w:ascii="Palatino Linotype" w:eastAsia="Palatino Linotype" w:hAnsi="Palatino Linotype" w:cs="Palatino Linotype"/>
          <w:b/>
        </w:rPr>
        <w:t>PRIMERO. Competencia.</w:t>
      </w:r>
      <w:r w:rsidRPr="0025285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 xml:space="preserve">SEGUNDO. Oportunidad y </w:t>
      </w:r>
      <w:proofErr w:type="spellStart"/>
      <w:r w:rsidRPr="0025285B">
        <w:rPr>
          <w:rFonts w:ascii="Palatino Linotype" w:eastAsia="Palatino Linotype" w:hAnsi="Palatino Linotype" w:cs="Palatino Linotype"/>
          <w:b/>
        </w:rPr>
        <w:t>Procedibilidad</w:t>
      </w:r>
      <w:proofErr w:type="spellEnd"/>
      <w:r w:rsidRPr="0025285B">
        <w:rPr>
          <w:rFonts w:ascii="Palatino Linotype" w:eastAsia="Palatino Linotype" w:hAnsi="Palatino Linotype" w:cs="Palatino Linotype"/>
          <w:b/>
        </w:rPr>
        <w:t xml:space="preserve"> del Recurso de Revisión</w:t>
      </w:r>
      <w:r w:rsidRPr="0025285B">
        <w:rPr>
          <w:rFonts w:ascii="Palatino Linotype" w:eastAsia="Palatino Linotype" w:hAnsi="Palatino Linotype" w:cs="Palatino Linotype"/>
        </w:rPr>
        <w:t xml:space="preserve">. Previo al estudio del fondo del asunto, se procede a analizar los requisitos de oportunidad y </w:t>
      </w:r>
      <w:proofErr w:type="spellStart"/>
      <w:r w:rsidRPr="0025285B">
        <w:rPr>
          <w:rFonts w:ascii="Palatino Linotype" w:eastAsia="Palatino Linotype" w:hAnsi="Palatino Linotype" w:cs="Palatino Linotype"/>
        </w:rPr>
        <w:t>procedibilidad</w:t>
      </w:r>
      <w:proofErr w:type="spellEnd"/>
      <w:r w:rsidRPr="0025285B">
        <w:rPr>
          <w:rFonts w:ascii="Palatino Linotype" w:eastAsia="Palatino Linotype" w:hAnsi="Palatino Linotype" w:cs="Palatino Linotype"/>
        </w:rPr>
        <w:t xml:space="preserve"> que debe reunir el recurso de revisión interpuesto, previstos en los </w:t>
      </w:r>
      <w:r w:rsidRPr="0025285B">
        <w:rPr>
          <w:rFonts w:ascii="Palatino Linotype" w:eastAsia="Palatino Linotype" w:hAnsi="Palatino Linotype" w:cs="Palatino Linotype"/>
        </w:rPr>
        <w:lastRenderedPageBreak/>
        <w:t>artículos 178 y 180 de la Ley de Transparencia y Acceso a la Información Pública del Estado de México y Municipios.</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bookmarkStart w:id="4" w:name="_heading=h.3znysh7" w:colFirst="0" w:colLast="0"/>
      <w:bookmarkEnd w:id="4"/>
      <w:r w:rsidRPr="0025285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25285B">
        <w:rPr>
          <w:rFonts w:ascii="Palatino Linotype" w:eastAsia="Palatino Linotype" w:hAnsi="Palatino Linotype" w:cs="Palatino Linotype"/>
          <w:b/>
        </w:rPr>
        <w:t xml:space="preserve">EL SUJETO OBLIGADO </w:t>
      </w:r>
      <w:r w:rsidRPr="0025285B">
        <w:rPr>
          <w:rFonts w:ascii="Palatino Linotype" w:eastAsia="Palatino Linotype" w:hAnsi="Palatino Linotype" w:cs="Palatino Linotype"/>
        </w:rPr>
        <w:t xml:space="preserve">remitió la respuesta a la solicitud de información el día </w:t>
      </w:r>
      <w:r w:rsidRPr="0025285B">
        <w:rPr>
          <w:rFonts w:ascii="Palatino Linotype" w:eastAsia="Palatino Linotype" w:hAnsi="Palatino Linotype" w:cs="Palatino Linotype"/>
          <w:b/>
        </w:rPr>
        <w:t xml:space="preserve">veintiocho de noviembre de dos mil veintidós, </w:t>
      </w:r>
      <w:r w:rsidRPr="0025285B">
        <w:rPr>
          <w:rFonts w:ascii="Palatino Linotype" w:eastAsia="Palatino Linotype" w:hAnsi="Palatino Linotype" w:cs="Palatino Linotype"/>
        </w:rPr>
        <w:t xml:space="preserve">mientras que el recurso de revisión interpuesto por </w:t>
      </w:r>
      <w:r w:rsidRPr="0025285B">
        <w:rPr>
          <w:rFonts w:ascii="Palatino Linotype" w:eastAsia="Palatino Linotype" w:hAnsi="Palatino Linotype" w:cs="Palatino Linotype"/>
          <w:b/>
        </w:rPr>
        <w:t xml:space="preserve">LA PARTE RECURRENTE </w:t>
      </w:r>
      <w:r w:rsidRPr="0025285B">
        <w:rPr>
          <w:rFonts w:ascii="Palatino Linotype" w:eastAsia="Palatino Linotype" w:hAnsi="Palatino Linotype" w:cs="Palatino Linotype"/>
        </w:rPr>
        <w:t xml:space="preserve">se tuvo por presentado el </w:t>
      </w:r>
      <w:r w:rsidRPr="0025285B">
        <w:rPr>
          <w:rFonts w:ascii="Palatino Linotype" w:eastAsia="Palatino Linotype" w:hAnsi="Palatino Linotype" w:cs="Palatino Linotype"/>
          <w:b/>
        </w:rPr>
        <w:t>veintinueve de noviembre de dos mil veintidós,</w:t>
      </w:r>
      <w:r w:rsidRPr="0025285B">
        <w:rPr>
          <w:rFonts w:ascii="Palatino Linotype" w:eastAsia="Palatino Linotype" w:hAnsi="Palatino Linotype" w:cs="Palatino Linotype"/>
        </w:rPr>
        <w:t xml:space="preserve"> esto es al primer día hábil siguiente de haber recibido la respuesta, por lo que se concluye que el presente recurso de revisión se encuentra dentro de los márgenes temporales previstos las disposiciones legales referidas.</w:t>
      </w:r>
    </w:p>
    <w:p w:rsidR="005B28B6" w:rsidRPr="0025285B" w:rsidRDefault="005B28B6">
      <w:pPr>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Al mismo tiempo, por cuanto hace a la </w:t>
      </w:r>
      <w:proofErr w:type="spellStart"/>
      <w:r w:rsidRPr="0025285B">
        <w:rPr>
          <w:rFonts w:ascii="Palatino Linotype" w:eastAsia="Palatino Linotype" w:hAnsi="Palatino Linotype" w:cs="Palatino Linotype"/>
        </w:rPr>
        <w:t>procedibilidad</w:t>
      </w:r>
      <w:proofErr w:type="spellEnd"/>
      <w:r w:rsidRPr="0025285B">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Finalmente, se advierte que resulta procedente la interposición del recurso, según lo manifestado por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en sus motivos de inconformidad, de acuerdo al artículo 179, fracción VI del ordenamiento legal citado, que a la letra dice: </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lastRenderedPageBreak/>
        <w:t>Artículo 179. El recurso de revisión es un medio de protección que la Ley otorga a los particulares, para hacer valer su derecho de acceso a la información pública, y procederá en contra de las siguientes causas:</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VI. La entrega de información que no corresponda con lo solicitado;</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spacing w:line="360" w:lineRule="auto"/>
        <w:jc w:val="both"/>
        <w:rPr>
          <w:rFonts w:ascii="Palatino Linotype" w:eastAsia="Palatino Linotype" w:hAnsi="Palatino Linotype" w:cs="Palatino Linotype"/>
        </w:rPr>
      </w:pPr>
      <w:bookmarkStart w:id="5" w:name="_heading=h.2et92p0" w:colFirst="0" w:colLast="0"/>
      <w:bookmarkEnd w:id="5"/>
      <w:r w:rsidRPr="0025285B">
        <w:rPr>
          <w:rFonts w:ascii="Palatino Linotype" w:eastAsia="Palatino Linotype" w:hAnsi="Palatino Linotype" w:cs="Palatino Linotype"/>
          <w:b/>
        </w:rPr>
        <w:t xml:space="preserve">TERCERO. Materia de la revisión. </w:t>
      </w:r>
      <w:r w:rsidRPr="0025285B">
        <w:rPr>
          <w:rFonts w:ascii="Palatino Linotype" w:eastAsia="Palatino Linotype" w:hAnsi="Palatino Linotype" w:cs="Palatino Linotype"/>
        </w:rPr>
        <w:t>De la revisión a las constancias y documentos que obran en el expediente electrónico se advierte, que el tema sobre el que este Organismo Garante de Transparencia y Acceso a la Información se pronunciará será: verificar si la respuesta otorgada por el Sujeto Obligado es adecuada y suficiente para satisfacer el derecho de acceso a la información pública</w:t>
      </w:r>
      <w:r w:rsidRPr="0025285B">
        <w:rPr>
          <w:rFonts w:ascii="Palatino Linotype" w:eastAsia="Palatino Linotype" w:hAnsi="Palatino Linotype" w:cs="Palatino Linotype"/>
          <w:b/>
        </w:rPr>
        <w:t xml:space="preserve"> </w:t>
      </w:r>
      <w:r w:rsidRPr="0025285B">
        <w:rPr>
          <w:rFonts w:ascii="Palatino Linotype" w:eastAsia="Palatino Linotype" w:hAnsi="Palatino Linotype" w:cs="Palatino Linotype"/>
        </w:rPr>
        <w:t xml:space="preserve">de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o en su defecto, en caso de ser procedente, ordenar la entrega de información oportuna.</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ind w:right="51"/>
        <w:jc w:val="both"/>
        <w:rPr>
          <w:rFonts w:ascii="Palatino Linotype" w:eastAsia="Palatino Linotype" w:hAnsi="Palatino Linotype" w:cs="Palatino Linotype"/>
          <w:b/>
        </w:rPr>
      </w:pPr>
      <w:r w:rsidRPr="0025285B">
        <w:rPr>
          <w:rFonts w:ascii="Palatino Linotype" w:eastAsia="Palatino Linotype" w:hAnsi="Palatino Linotype" w:cs="Palatino Linotype"/>
          <w:b/>
        </w:rPr>
        <w:t xml:space="preserve">CUARTO. Estudio del asunto. </w:t>
      </w:r>
      <w:r w:rsidRPr="0025285B">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5B28B6" w:rsidRPr="0025285B" w:rsidRDefault="005B28B6">
      <w:pPr>
        <w:tabs>
          <w:tab w:val="left" w:pos="709"/>
        </w:tabs>
        <w:ind w:left="851" w:right="616"/>
        <w:jc w:val="both"/>
        <w:rPr>
          <w:rFonts w:ascii="Palatino Linotype" w:eastAsia="Palatino Linotype" w:hAnsi="Palatino Linotype" w:cs="Palatino Linotype"/>
          <w:b/>
          <w:i/>
          <w:sz w:val="22"/>
          <w:szCs w:val="22"/>
          <w:u w:val="single"/>
        </w:rPr>
      </w:pPr>
    </w:p>
    <w:p w:rsidR="005B28B6" w:rsidRPr="0025285B" w:rsidRDefault="00840D98">
      <w:pPr>
        <w:tabs>
          <w:tab w:val="left" w:pos="709"/>
        </w:tabs>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5285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5B28B6" w:rsidRPr="0025285B" w:rsidRDefault="00840D98">
      <w:pPr>
        <w:tabs>
          <w:tab w:val="left" w:pos="709"/>
        </w:tabs>
        <w:ind w:left="851" w:right="616"/>
        <w:jc w:val="both"/>
        <w:rPr>
          <w:rFonts w:ascii="Palatino Linotype" w:eastAsia="Palatino Linotype" w:hAnsi="Palatino Linotype" w:cs="Palatino Linotype"/>
          <w:b/>
          <w:i/>
          <w:sz w:val="22"/>
          <w:szCs w:val="22"/>
        </w:rPr>
      </w:pPr>
      <w:r w:rsidRPr="0025285B">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la </w:t>
      </w:r>
      <w:r w:rsidRPr="0025285B">
        <w:rPr>
          <w:rFonts w:ascii="Palatino Linotype" w:eastAsia="Palatino Linotype" w:hAnsi="Palatino Linotype" w:cs="Palatino Linotype"/>
          <w:b/>
          <w:i/>
          <w:sz w:val="22"/>
          <w:szCs w:val="22"/>
        </w:rPr>
        <w:lastRenderedPageBreak/>
        <w:t>materia favoreciendo en todo tiempo a las personas la protección más amplia.</w:t>
      </w:r>
    </w:p>
    <w:p w:rsidR="005B28B6" w:rsidRPr="0025285B" w:rsidRDefault="00840D98">
      <w:pPr>
        <w:tabs>
          <w:tab w:val="left" w:pos="709"/>
        </w:tabs>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5285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5B28B6" w:rsidRPr="0025285B" w:rsidRDefault="00840D98">
      <w:pPr>
        <w:tabs>
          <w:tab w:val="left" w:pos="709"/>
        </w:tabs>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w:t>
      </w:r>
    </w:p>
    <w:p w:rsidR="005B28B6" w:rsidRPr="0025285B" w:rsidRDefault="005B28B6">
      <w:pPr>
        <w:ind w:left="851" w:right="616"/>
        <w:jc w:val="both"/>
        <w:rPr>
          <w:rFonts w:ascii="Palatino Linotype" w:eastAsia="Palatino Linotype" w:hAnsi="Palatino Linotype" w:cs="Palatino Linotype"/>
          <w:b/>
          <w:i/>
          <w:sz w:val="22"/>
          <w:szCs w:val="22"/>
        </w:rPr>
      </w:pP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Artículo 6o.</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 xml:space="preserve">A. Para el ejercicio del derecho de acceso a la información, la Federación y </w:t>
      </w:r>
      <w:r w:rsidRPr="0025285B">
        <w:rPr>
          <w:rFonts w:ascii="Palatino Linotype" w:eastAsia="Palatino Linotype" w:hAnsi="Palatino Linotype" w:cs="Palatino Linotype"/>
          <w:b/>
          <w:i/>
          <w:sz w:val="22"/>
          <w:szCs w:val="22"/>
          <w:u w:val="single"/>
        </w:rPr>
        <w:t>las entidades federativas</w:t>
      </w:r>
      <w:r w:rsidRPr="0025285B">
        <w:rPr>
          <w:rFonts w:ascii="Palatino Linotype" w:eastAsia="Palatino Linotype" w:hAnsi="Palatino Linotype" w:cs="Palatino Linotype"/>
          <w:b/>
          <w:i/>
          <w:sz w:val="22"/>
          <w:szCs w:val="22"/>
        </w:rPr>
        <w:t>,</w:t>
      </w:r>
      <w:r w:rsidRPr="0025285B">
        <w:rPr>
          <w:rFonts w:ascii="Palatino Linotype" w:eastAsia="Palatino Linotype" w:hAnsi="Palatino Linotype" w:cs="Palatino Linotype"/>
          <w:i/>
          <w:sz w:val="22"/>
          <w:szCs w:val="22"/>
        </w:rPr>
        <w:t xml:space="preserve"> en el ámbito de sus respectivas competencias, se regirán por los siguientes principios y bases:</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 xml:space="preserve">I. </w:t>
      </w:r>
      <w:r w:rsidRPr="0025285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5285B">
        <w:rPr>
          <w:rFonts w:ascii="Palatino Linotype" w:eastAsia="Palatino Linotype" w:hAnsi="Palatino Linotype" w:cs="Palatino Linotype"/>
          <w:i/>
          <w:sz w:val="22"/>
          <w:szCs w:val="22"/>
        </w:rPr>
        <w:t xml:space="preserve"> Ejecutivo, Legislativo </w:t>
      </w:r>
      <w:r w:rsidRPr="0025285B">
        <w:rPr>
          <w:rFonts w:ascii="Palatino Linotype" w:eastAsia="Palatino Linotype" w:hAnsi="Palatino Linotype" w:cs="Palatino Linotype"/>
          <w:b/>
          <w:i/>
          <w:sz w:val="22"/>
          <w:szCs w:val="22"/>
          <w:u w:val="single"/>
        </w:rPr>
        <w:t>y Judicial</w:t>
      </w:r>
      <w:r w:rsidRPr="0025285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5285B">
        <w:rPr>
          <w:rFonts w:ascii="Palatino Linotype" w:eastAsia="Palatino Linotype" w:hAnsi="Palatino Linotype" w:cs="Palatino Linotype"/>
          <w:b/>
          <w:i/>
          <w:sz w:val="22"/>
          <w:szCs w:val="22"/>
        </w:rPr>
        <w:t>es pública y sólo podrá ser reservada temporalmente por razones de interés público y seguridad nacional,</w:t>
      </w:r>
      <w:r w:rsidRPr="0025285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 </w:t>
      </w:r>
    </w:p>
    <w:p w:rsidR="005B28B6" w:rsidRPr="0025285B" w:rsidRDefault="00840D98">
      <w:pPr>
        <w:ind w:left="851" w:right="616"/>
        <w:jc w:val="both"/>
        <w:rPr>
          <w:rFonts w:ascii="Palatino Linotype" w:eastAsia="Palatino Linotype" w:hAnsi="Palatino Linotype" w:cs="Palatino Linotype"/>
          <w:b/>
          <w:i/>
          <w:sz w:val="22"/>
          <w:szCs w:val="22"/>
        </w:rPr>
      </w:pPr>
      <w:r w:rsidRPr="0025285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 </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 xml:space="preserve">III. </w:t>
      </w:r>
      <w:r w:rsidRPr="0025285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5285B">
        <w:rPr>
          <w:rFonts w:ascii="Palatino Linotype" w:eastAsia="Palatino Linotype" w:hAnsi="Palatino Linotype" w:cs="Palatino Linotype"/>
          <w:i/>
          <w:sz w:val="22"/>
          <w:szCs w:val="22"/>
        </w:rPr>
        <w:t xml:space="preserve"> a sus datos personales o a la rectificación de éstos.</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 </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 xml:space="preserve">IV. </w:t>
      </w:r>
      <w:r w:rsidRPr="0025285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5B28B6" w:rsidRPr="0025285B" w:rsidRDefault="005B28B6">
      <w:pPr>
        <w:ind w:left="851" w:right="616"/>
        <w:jc w:val="both"/>
        <w:rPr>
          <w:rFonts w:ascii="Palatino Linotype" w:eastAsia="Palatino Linotype" w:hAnsi="Palatino Linotype" w:cs="Palatino Linotype"/>
          <w:i/>
          <w:sz w:val="22"/>
          <w:szCs w:val="22"/>
        </w:rPr>
      </w:pP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 xml:space="preserve">V. </w:t>
      </w:r>
      <w:r w:rsidRPr="0025285B">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25285B">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 </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 xml:space="preserve">VI. </w:t>
      </w:r>
      <w:r w:rsidRPr="0025285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 </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 xml:space="preserve">VII. </w:t>
      </w:r>
      <w:r w:rsidRPr="0025285B">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 xml:space="preserve">[...] </w:t>
      </w:r>
    </w:p>
    <w:p w:rsidR="005B28B6" w:rsidRPr="0025285B" w:rsidRDefault="00840D98">
      <w:pPr>
        <w:ind w:left="851" w:right="616"/>
        <w:jc w:val="both"/>
        <w:rPr>
          <w:rFonts w:ascii="Palatino Linotype" w:eastAsia="Palatino Linotype" w:hAnsi="Palatino Linotype" w:cs="Palatino Linotype"/>
          <w:b/>
          <w:i/>
          <w:sz w:val="22"/>
          <w:szCs w:val="22"/>
        </w:rPr>
      </w:pPr>
      <w:r w:rsidRPr="0025285B">
        <w:rPr>
          <w:rFonts w:ascii="Palatino Linotype" w:eastAsia="Palatino Linotype" w:hAnsi="Palatino Linotype" w:cs="Palatino Linotype"/>
          <w:b/>
          <w:i/>
          <w:sz w:val="22"/>
          <w:szCs w:val="22"/>
        </w:rPr>
        <w:t xml:space="preserve">Énfasis añadido </w:t>
      </w:r>
    </w:p>
    <w:p w:rsidR="005B28B6" w:rsidRPr="0025285B" w:rsidRDefault="005B28B6">
      <w:pPr>
        <w:ind w:left="851" w:right="616"/>
        <w:jc w:val="both"/>
        <w:rPr>
          <w:rFonts w:ascii="Palatino Linotype" w:eastAsia="Palatino Linotype" w:hAnsi="Palatino Linotype" w:cs="Palatino Linotype"/>
          <w:i/>
          <w:sz w:val="22"/>
          <w:szCs w:val="22"/>
        </w:rPr>
      </w:pPr>
    </w:p>
    <w:p w:rsidR="005B28B6" w:rsidRPr="0025285B" w:rsidRDefault="00840D98">
      <w:pPr>
        <w:tabs>
          <w:tab w:val="left" w:pos="709"/>
        </w:tabs>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5B28B6" w:rsidRPr="0025285B" w:rsidRDefault="005B28B6">
      <w:pPr>
        <w:tabs>
          <w:tab w:val="left" w:pos="709"/>
        </w:tabs>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color w:val="000000"/>
        </w:rPr>
      </w:pPr>
      <w:r w:rsidRPr="0025285B">
        <w:rPr>
          <w:rFonts w:ascii="Palatino Linotype" w:eastAsia="Palatino Linotype" w:hAnsi="Palatino Linotype" w:cs="Palatino Linotype"/>
          <w:color w:val="000000"/>
        </w:rPr>
        <w:t>En primer lugar</w:t>
      </w:r>
      <w:r w:rsidRPr="0025285B">
        <w:rPr>
          <w:rFonts w:ascii="Palatino Linotype" w:eastAsia="Palatino Linotype" w:hAnsi="Palatino Linotype" w:cs="Palatino Linotype"/>
        </w:rPr>
        <w:t xml:space="preserve">, es conveniente analizar si la respuesta del </w:t>
      </w:r>
      <w:r w:rsidRPr="0025285B">
        <w:rPr>
          <w:rFonts w:ascii="Palatino Linotype" w:eastAsia="Palatino Linotype" w:hAnsi="Palatino Linotype" w:cs="Palatino Linotype"/>
          <w:b/>
        </w:rPr>
        <w:t>SUJETO OBLIGADO</w:t>
      </w:r>
      <w:r w:rsidRPr="0025285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25285B">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25285B">
        <w:rPr>
          <w:rFonts w:ascii="Palatino Linotype" w:eastAsia="Palatino Linotype" w:hAnsi="Palatino Linotype" w:cs="Palatino Linotype"/>
        </w:rPr>
        <w:t>transcribe</w:t>
      </w:r>
      <w:r w:rsidRPr="0025285B">
        <w:rPr>
          <w:rFonts w:ascii="Palatino Linotype" w:eastAsia="Palatino Linotype" w:hAnsi="Palatino Linotype" w:cs="Palatino Linotype"/>
          <w:color w:val="000000"/>
        </w:rPr>
        <w:t xml:space="preserve"> para un mejor entendimiento:</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Artículo 4.</w:t>
      </w:r>
      <w:r w:rsidRPr="0025285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5285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5285B">
        <w:rPr>
          <w:rFonts w:ascii="Palatino Linotype" w:eastAsia="Palatino Linotype" w:hAnsi="Palatino Linotype" w:cs="Palatino Linotype"/>
          <w:i/>
          <w:sz w:val="22"/>
          <w:szCs w:val="22"/>
        </w:rPr>
        <w:t>.</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 xml:space="preserve">Énfasis añadido </w:t>
      </w:r>
    </w:p>
    <w:p w:rsidR="005B28B6" w:rsidRPr="0025285B" w:rsidRDefault="005B28B6">
      <w:pPr>
        <w:ind w:left="851" w:right="760"/>
        <w:jc w:val="both"/>
        <w:rPr>
          <w:rFonts w:ascii="Palatino Linotype" w:eastAsia="Palatino Linotype" w:hAnsi="Palatino Linotype" w:cs="Palatino Linotype"/>
          <w:i/>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5B28B6" w:rsidRPr="0025285B" w:rsidRDefault="005B28B6">
      <w:pPr>
        <w:ind w:left="851" w:right="616"/>
        <w:jc w:val="both"/>
        <w:rPr>
          <w:rFonts w:ascii="Palatino Linotype" w:eastAsia="Palatino Linotype" w:hAnsi="Palatino Linotype" w:cs="Palatino Linotype"/>
          <w:b/>
          <w:i/>
          <w:sz w:val="22"/>
          <w:szCs w:val="22"/>
        </w:rPr>
      </w:pP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Artículo 12.-</w:t>
      </w:r>
      <w:r w:rsidRPr="0025285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5285B">
        <w:rPr>
          <w:rFonts w:ascii="Palatino Linotype" w:eastAsia="Palatino Linotype" w:hAnsi="Palatino Linotype" w:cs="Palatino Linotype"/>
          <w:i/>
          <w:sz w:val="22"/>
          <w:szCs w:val="22"/>
        </w:rPr>
        <w:t xml:space="preserve">. </w:t>
      </w:r>
      <w:r w:rsidRPr="0025285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25285B">
        <w:rPr>
          <w:rFonts w:ascii="Palatino Linotype" w:eastAsia="Palatino Linotype" w:hAnsi="Palatino Linotype" w:cs="Palatino Linotype"/>
          <w:b/>
          <w:i/>
          <w:sz w:val="22"/>
          <w:szCs w:val="22"/>
        </w:rPr>
        <w:lastRenderedPageBreak/>
        <w:t>obligados a generarla, resumirla, efectuar cálculos o practicar investigaciones.</w:t>
      </w:r>
    </w:p>
    <w:p w:rsidR="005B28B6" w:rsidRPr="0025285B" w:rsidRDefault="00840D98">
      <w:pPr>
        <w:ind w:left="851" w:right="616"/>
        <w:jc w:val="both"/>
        <w:rPr>
          <w:rFonts w:ascii="Palatino Linotype" w:eastAsia="Palatino Linotype" w:hAnsi="Palatino Linotype" w:cs="Palatino Linotype"/>
          <w:b/>
          <w:i/>
          <w:sz w:val="22"/>
          <w:szCs w:val="22"/>
        </w:rPr>
      </w:pPr>
      <w:r w:rsidRPr="0025285B">
        <w:rPr>
          <w:rFonts w:ascii="Palatino Linotype" w:eastAsia="Palatino Linotype" w:hAnsi="Palatino Linotype" w:cs="Palatino Linotype"/>
          <w:b/>
          <w:i/>
          <w:sz w:val="22"/>
          <w:szCs w:val="22"/>
        </w:rPr>
        <w:t xml:space="preserve">Énfasis añadido </w:t>
      </w:r>
    </w:p>
    <w:p w:rsidR="005B28B6" w:rsidRPr="0025285B" w:rsidRDefault="005B28B6">
      <w:pPr>
        <w:spacing w:line="360" w:lineRule="auto"/>
        <w:ind w:right="-93"/>
        <w:jc w:val="both"/>
        <w:rPr>
          <w:rFonts w:ascii="Palatino Linotype" w:eastAsia="Palatino Linotype" w:hAnsi="Palatino Linotype" w:cs="Palatino Linotype"/>
          <w:color w:val="000000"/>
        </w:rPr>
      </w:pPr>
    </w:p>
    <w:p w:rsidR="005B28B6" w:rsidRPr="0025285B" w:rsidRDefault="00840D98">
      <w:pPr>
        <w:spacing w:line="360" w:lineRule="auto"/>
        <w:jc w:val="both"/>
        <w:rPr>
          <w:rFonts w:ascii="Palatino Linotype" w:eastAsia="Palatino Linotype" w:hAnsi="Palatino Linotype" w:cs="Palatino Linotype"/>
          <w:color w:val="000000"/>
        </w:rPr>
      </w:pPr>
      <w:r w:rsidRPr="0025285B">
        <w:rPr>
          <w:rFonts w:ascii="Palatino Linotype" w:eastAsia="Palatino Linotype" w:hAnsi="Palatino Linotype" w:cs="Palatino Linotype"/>
        </w:rPr>
        <w:t xml:space="preserve">En esa tesitura, el artículo 24 en su último párrafo de la ley de la materia, dispone que los Sujetos Obligados </w:t>
      </w:r>
      <w:r w:rsidRPr="0025285B">
        <w:rPr>
          <w:rFonts w:ascii="Palatino Linotype" w:eastAsia="Palatino Linotype" w:hAnsi="Palatino Linotype" w:cs="Palatino Linotype"/>
          <w:color w:val="000000"/>
        </w:rPr>
        <w:t xml:space="preserve">sólo proporcionarán la información pública que </w:t>
      </w:r>
      <w:r w:rsidRPr="0025285B">
        <w:rPr>
          <w:rFonts w:ascii="Palatino Linotype" w:eastAsia="Palatino Linotype" w:hAnsi="Palatino Linotype" w:cs="Palatino Linotype"/>
        </w:rPr>
        <w:t>generen</w:t>
      </w:r>
      <w:r w:rsidRPr="0025285B">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5B28B6" w:rsidRPr="0025285B" w:rsidRDefault="005B28B6">
      <w:pPr>
        <w:spacing w:line="360" w:lineRule="auto"/>
        <w:jc w:val="both"/>
        <w:rPr>
          <w:rFonts w:ascii="Palatino Linotype" w:eastAsia="Palatino Linotype" w:hAnsi="Palatino Linotype" w:cs="Palatino Linotype"/>
          <w:color w:val="000000"/>
        </w:rPr>
      </w:pPr>
    </w:p>
    <w:p w:rsidR="005B28B6" w:rsidRPr="0025285B" w:rsidRDefault="00840D98">
      <w:pPr>
        <w:spacing w:line="360" w:lineRule="auto"/>
        <w:ind w:right="49"/>
        <w:jc w:val="both"/>
        <w:rPr>
          <w:rFonts w:ascii="Palatino Linotype" w:eastAsia="Palatino Linotype" w:hAnsi="Palatino Linotype" w:cs="Palatino Linotype"/>
        </w:rPr>
      </w:pPr>
      <w:r w:rsidRPr="0025285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p>
    <w:p w:rsidR="005B28B6" w:rsidRPr="0025285B" w:rsidRDefault="005B28B6">
      <w:pPr>
        <w:spacing w:line="360" w:lineRule="auto"/>
        <w:ind w:right="49"/>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Por otra parte, conviene mencionar que la Ley de Transparencia vigente en el Estado de México refiere: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Artículo 18.</w:t>
      </w:r>
      <w:r w:rsidRPr="0025285B">
        <w:rPr>
          <w:rFonts w:ascii="Palatino Linotype" w:eastAsia="Palatino Linotype" w:hAnsi="Palatino Linotype" w:cs="Palatino Linotype"/>
          <w:i/>
          <w:sz w:val="22"/>
          <w:szCs w:val="22"/>
        </w:rPr>
        <w:t xml:space="preserve"> </w:t>
      </w:r>
      <w:r w:rsidRPr="0025285B">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25285B">
        <w:rPr>
          <w:rFonts w:ascii="Palatino Linotype" w:eastAsia="Palatino Linotype" w:hAnsi="Palatino Linotype" w:cs="Palatino Linotype"/>
          <w:i/>
          <w:sz w:val="22"/>
          <w:szCs w:val="22"/>
        </w:rPr>
        <w:t xml:space="preserve"> y reutilización de la información que generen.</w:t>
      </w:r>
    </w:p>
    <w:p w:rsidR="005B28B6" w:rsidRPr="0025285B" w:rsidRDefault="005B28B6">
      <w:pPr>
        <w:ind w:left="851" w:right="616"/>
        <w:jc w:val="both"/>
        <w:rPr>
          <w:rFonts w:ascii="Palatino Linotype" w:eastAsia="Palatino Linotype" w:hAnsi="Palatino Linotype" w:cs="Palatino Linotype"/>
          <w:b/>
          <w:i/>
          <w:sz w:val="22"/>
          <w:szCs w:val="22"/>
        </w:rPr>
      </w:pP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lastRenderedPageBreak/>
        <w:t xml:space="preserve">Artículo 19. </w:t>
      </w:r>
      <w:r w:rsidRPr="0025285B">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5285B">
        <w:rPr>
          <w:rFonts w:ascii="Palatino Linotype" w:eastAsia="Palatino Linotype" w:hAnsi="Palatino Linotype" w:cs="Palatino Linotype"/>
          <w:i/>
          <w:sz w:val="22"/>
          <w:szCs w:val="22"/>
        </w:rPr>
        <w:t>.</w:t>
      </w:r>
    </w:p>
    <w:p w:rsidR="005B28B6" w:rsidRPr="0025285B" w:rsidRDefault="005B28B6">
      <w:pPr>
        <w:ind w:left="851" w:right="616"/>
        <w:jc w:val="both"/>
        <w:rPr>
          <w:rFonts w:ascii="Palatino Linotype" w:eastAsia="Palatino Linotype" w:hAnsi="Palatino Linotype" w:cs="Palatino Linotype"/>
          <w:i/>
          <w:sz w:val="22"/>
          <w:szCs w:val="22"/>
        </w:rPr>
      </w:pP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5B28B6" w:rsidRPr="0025285B" w:rsidRDefault="005B28B6">
      <w:pPr>
        <w:ind w:left="851" w:right="616"/>
        <w:jc w:val="both"/>
        <w:rPr>
          <w:rFonts w:ascii="Palatino Linotype" w:eastAsia="Palatino Linotype" w:hAnsi="Palatino Linotype" w:cs="Palatino Linotype"/>
          <w:i/>
          <w:sz w:val="22"/>
          <w:szCs w:val="22"/>
        </w:rPr>
      </w:pP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B28B6" w:rsidRPr="0025285B" w:rsidRDefault="00840D98">
      <w:pPr>
        <w:ind w:left="851" w:right="616"/>
        <w:jc w:val="both"/>
        <w:rPr>
          <w:rFonts w:ascii="Palatino Linotype" w:eastAsia="Palatino Linotype" w:hAnsi="Palatino Linotype" w:cs="Palatino Linotype"/>
          <w:b/>
          <w:i/>
          <w:sz w:val="22"/>
          <w:szCs w:val="22"/>
        </w:rPr>
      </w:pPr>
      <w:r w:rsidRPr="0025285B">
        <w:rPr>
          <w:rFonts w:ascii="Palatino Linotype" w:eastAsia="Palatino Linotype" w:hAnsi="Palatino Linotype" w:cs="Palatino Linotype"/>
          <w:b/>
          <w:i/>
          <w:sz w:val="22"/>
          <w:szCs w:val="22"/>
        </w:rPr>
        <w:t xml:space="preserve">Énfasis añadido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25285B">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5B28B6" w:rsidRPr="0025285B" w:rsidRDefault="005B28B6">
      <w:pPr>
        <w:ind w:left="851" w:right="899"/>
        <w:jc w:val="both"/>
        <w:rPr>
          <w:rFonts w:ascii="Palatino Linotype" w:eastAsia="Palatino Linotype" w:hAnsi="Palatino Linotype" w:cs="Palatino Linotype"/>
          <w:i/>
          <w:sz w:val="22"/>
          <w:szCs w:val="22"/>
        </w:rPr>
      </w:pPr>
    </w:p>
    <w:p w:rsidR="005B28B6" w:rsidRPr="0025285B" w:rsidRDefault="00840D98">
      <w:pPr>
        <w:ind w:left="851" w:right="899"/>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 xml:space="preserve">Artículo 3. </w:t>
      </w:r>
      <w:r w:rsidRPr="0025285B">
        <w:rPr>
          <w:rFonts w:ascii="Palatino Linotype" w:eastAsia="Palatino Linotype" w:hAnsi="Palatino Linotype" w:cs="Palatino Linotype"/>
          <w:i/>
          <w:sz w:val="22"/>
          <w:szCs w:val="22"/>
        </w:rPr>
        <w:t>Para los efectos de la presente Ley se entenderá por:</w:t>
      </w:r>
    </w:p>
    <w:p w:rsidR="005B28B6" w:rsidRPr="0025285B" w:rsidRDefault="00840D98">
      <w:pPr>
        <w:ind w:left="851" w:right="899"/>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w:t>
      </w:r>
    </w:p>
    <w:p w:rsidR="005B28B6" w:rsidRPr="0025285B" w:rsidRDefault="00840D98">
      <w:pPr>
        <w:ind w:left="851" w:right="616"/>
        <w:jc w:val="both"/>
        <w:rPr>
          <w:rFonts w:ascii="Palatino Linotype" w:eastAsia="Palatino Linotype" w:hAnsi="Palatino Linotype" w:cs="Palatino Linotype"/>
          <w:i/>
          <w:color w:val="000000"/>
          <w:sz w:val="22"/>
          <w:szCs w:val="22"/>
        </w:rPr>
      </w:pPr>
      <w:r w:rsidRPr="0025285B">
        <w:rPr>
          <w:rFonts w:ascii="Palatino Linotype" w:eastAsia="Palatino Linotype" w:hAnsi="Palatino Linotype" w:cs="Palatino Linotype"/>
          <w:b/>
          <w:i/>
          <w:color w:val="000000"/>
          <w:sz w:val="22"/>
          <w:szCs w:val="22"/>
        </w:rPr>
        <w:t>XI. Documento:</w:t>
      </w:r>
      <w:r w:rsidRPr="0025285B">
        <w:rPr>
          <w:rFonts w:ascii="Palatino Linotype" w:eastAsia="Palatino Linotype" w:hAnsi="Palatino Linotype" w:cs="Palatino Linotype"/>
          <w:i/>
          <w:color w:val="000000"/>
          <w:sz w:val="22"/>
          <w:szCs w:val="22"/>
        </w:rPr>
        <w:t xml:space="preserve"> Los expedientes, reportes, estudios, actas</w:t>
      </w:r>
      <w:r w:rsidRPr="0025285B">
        <w:rPr>
          <w:rFonts w:ascii="Palatino Linotype" w:eastAsia="Palatino Linotype" w:hAnsi="Palatino Linotype" w:cs="Palatino Linotype"/>
          <w:b/>
          <w:i/>
          <w:color w:val="000000"/>
          <w:sz w:val="22"/>
          <w:szCs w:val="22"/>
        </w:rPr>
        <w:t>,</w:t>
      </w:r>
      <w:r w:rsidRPr="0025285B">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sidRPr="0025285B">
        <w:rPr>
          <w:rFonts w:ascii="Palatino Linotype" w:eastAsia="Palatino Linotype" w:hAnsi="Palatino Linotype" w:cs="Palatino Linotype"/>
          <w:b/>
          <w:i/>
          <w:color w:val="000000"/>
          <w:sz w:val="22"/>
          <w:szCs w:val="22"/>
          <w:u w:val="single"/>
        </w:rPr>
        <w:t>registro que documente el ejercicio de las facultades, funciones y competencias de los sujetos obligados</w:t>
      </w:r>
      <w:r w:rsidRPr="0025285B">
        <w:rPr>
          <w:rFonts w:ascii="Palatino Linotype" w:eastAsia="Palatino Linotype" w:hAnsi="Palatino Linotype" w:cs="Palatino Linotype"/>
          <w:i/>
          <w:color w:val="000000"/>
          <w:sz w:val="22"/>
          <w:szCs w:val="22"/>
        </w:rPr>
        <w:t xml:space="preserve">, sus servidores públicos e integrantes, sin importar su fuente o fecha de elaboración. Los documentos podrán estar en cualquier medio, sea escrito, impreso, sonoro, visual, </w:t>
      </w:r>
      <w:r w:rsidRPr="0025285B">
        <w:rPr>
          <w:rFonts w:ascii="Palatino Linotype" w:eastAsia="Palatino Linotype" w:hAnsi="Palatino Linotype" w:cs="Palatino Linotype"/>
          <w:b/>
          <w:i/>
          <w:color w:val="000000"/>
          <w:sz w:val="22"/>
          <w:szCs w:val="22"/>
          <w:u w:val="single"/>
        </w:rPr>
        <w:t>electrónico, informático</w:t>
      </w:r>
      <w:r w:rsidRPr="0025285B">
        <w:rPr>
          <w:rFonts w:ascii="Palatino Linotype" w:eastAsia="Palatino Linotype" w:hAnsi="Palatino Linotype" w:cs="Palatino Linotype"/>
          <w:i/>
          <w:color w:val="000000"/>
          <w:sz w:val="22"/>
          <w:szCs w:val="22"/>
        </w:rPr>
        <w:t xml:space="preserve"> u holográfico</w:t>
      </w:r>
    </w:p>
    <w:p w:rsidR="005B28B6" w:rsidRPr="0025285B" w:rsidRDefault="00840D98">
      <w:pPr>
        <w:ind w:left="851" w:right="616"/>
        <w:jc w:val="both"/>
        <w:rPr>
          <w:rFonts w:ascii="Palatino Linotype" w:eastAsia="Palatino Linotype" w:hAnsi="Palatino Linotype" w:cs="Palatino Linotype"/>
          <w:i/>
          <w:color w:val="000000"/>
          <w:sz w:val="22"/>
          <w:szCs w:val="22"/>
        </w:rPr>
      </w:pPr>
      <w:r w:rsidRPr="0025285B">
        <w:rPr>
          <w:rFonts w:ascii="Palatino Linotype" w:eastAsia="Palatino Linotype" w:hAnsi="Palatino Linotype" w:cs="Palatino Linotype"/>
          <w:b/>
          <w:i/>
          <w:color w:val="000000"/>
          <w:sz w:val="22"/>
          <w:szCs w:val="22"/>
        </w:rPr>
        <w:t>(…</w:t>
      </w:r>
      <w:r w:rsidRPr="0025285B">
        <w:rPr>
          <w:rFonts w:ascii="Palatino Linotype" w:eastAsia="Palatino Linotype" w:hAnsi="Palatino Linotype" w:cs="Palatino Linotype"/>
          <w:i/>
          <w:color w:val="000000"/>
          <w:sz w:val="22"/>
          <w:szCs w:val="22"/>
        </w:rPr>
        <w:t>)</w:t>
      </w:r>
    </w:p>
    <w:p w:rsidR="005B28B6" w:rsidRPr="0025285B" w:rsidRDefault="00840D98">
      <w:pPr>
        <w:ind w:left="851" w:right="616"/>
        <w:jc w:val="both"/>
        <w:rPr>
          <w:rFonts w:ascii="Palatino Linotype" w:eastAsia="Palatino Linotype" w:hAnsi="Palatino Linotype" w:cs="Palatino Linotype"/>
          <w:i/>
          <w:color w:val="000000"/>
          <w:sz w:val="22"/>
          <w:szCs w:val="22"/>
        </w:rPr>
      </w:pPr>
      <w:r w:rsidRPr="0025285B">
        <w:rPr>
          <w:rFonts w:ascii="Palatino Linotype" w:eastAsia="Palatino Linotype" w:hAnsi="Palatino Linotype" w:cs="Palatino Linotype"/>
          <w:b/>
          <w:i/>
          <w:color w:val="000000"/>
          <w:sz w:val="22"/>
          <w:szCs w:val="22"/>
        </w:rPr>
        <w:t>Énfasis añadido</w:t>
      </w:r>
    </w:p>
    <w:p w:rsidR="005B28B6" w:rsidRPr="0025285B" w:rsidRDefault="005B28B6">
      <w:pPr>
        <w:ind w:left="851" w:right="899"/>
        <w:jc w:val="both"/>
        <w:rPr>
          <w:rFonts w:ascii="Palatino Linotype" w:eastAsia="Palatino Linotype" w:hAnsi="Palatino Linotype" w:cs="Palatino Linotype"/>
          <w:sz w:val="22"/>
          <w:szCs w:val="22"/>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B28B6" w:rsidRPr="0025285B" w:rsidRDefault="005B28B6">
      <w:pPr>
        <w:ind w:left="851" w:right="899"/>
        <w:jc w:val="both"/>
        <w:rPr>
          <w:rFonts w:ascii="Palatino Linotype" w:eastAsia="Palatino Linotype" w:hAnsi="Palatino Linotype" w:cs="Palatino Linotype"/>
        </w:rPr>
      </w:pPr>
    </w:p>
    <w:p w:rsidR="005B28B6" w:rsidRPr="0025285B" w:rsidRDefault="00840D98">
      <w:pPr>
        <w:ind w:left="851" w:right="616"/>
        <w:jc w:val="both"/>
        <w:rPr>
          <w:rFonts w:ascii="Palatino Linotype" w:eastAsia="Palatino Linotype" w:hAnsi="Palatino Linotype" w:cs="Palatino Linotype"/>
          <w:b/>
          <w:i/>
          <w:sz w:val="22"/>
          <w:szCs w:val="22"/>
        </w:rPr>
      </w:pPr>
      <w:r w:rsidRPr="0025285B">
        <w:rPr>
          <w:rFonts w:ascii="Palatino Linotype" w:eastAsia="Palatino Linotype" w:hAnsi="Palatino Linotype" w:cs="Palatino Linotype"/>
          <w:b/>
          <w:i/>
          <w:sz w:val="22"/>
          <w:szCs w:val="22"/>
        </w:rPr>
        <w:t>CRITERIO 0002-11</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5285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En consecuencia el acceso a la información se refiere a que se cumplan cualquiera de los siguientes tres supuestos:</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rsidR="005B28B6" w:rsidRPr="0025285B" w:rsidRDefault="00840D98">
      <w:pPr>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De ahí que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aquella relacionada con las obligaciones de transparencia señaladas en los artículos 92 y 100 de la Ley de la Materia.</w:t>
      </w:r>
    </w:p>
    <w:p w:rsidR="005B28B6" w:rsidRPr="0025285B" w:rsidRDefault="005B28B6">
      <w:pPr>
        <w:spacing w:line="360" w:lineRule="auto"/>
        <w:ind w:right="51"/>
        <w:jc w:val="both"/>
        <w:rPr>
          <w:rFonts w:ascii="Palatino Linotype" w:eastAsia="Palatino Linotype" w:hAnsi="Palatino Linotype" w:cs="Palatino Linotype"/>
          <w:b/>
        </w:rPr>
      </w:pPr>
    </w:p>
    <w:p w:rsidR="005B28B6" w:rsidRPr="0025285B" w:rsidRDefault="00840D98">
      <w:pPr>
        <w:spacing w:line="360" w:lineRule="auto"/>
        <w:ind w:right="51"/>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Ahora bien, este Pleno centrará su atención en el análisis de la solicitud de información </w:t>
      </w:r>
      <w:r w:rsidRPr="0025285B">
        <w:rPr>
          <w:rFonts w:ascii="Palatino Linotype" w:eastAsia="Palatino Linotype" w:hAnsi="Palatino Linotype" w:cs="Palatino Linotype"/>
          <w:b/>
          <w:color w:val="333333"/>
        </w:rPr>
        <w:t> </w:t>
      </w:r>
      <w:r w:rsidRPr="0025285B">
        <w:rPr>
          <w:rFonts w:ascii="Palatino Linotype" w:eastAsia="Palatino Linotype" w:hAnsi="Palatino Linotype" w:cs="Palatino Linotype"/>
          <w:b/>
        </w:rPr>
        <w:t>02531/TOLUCA/IP/2022</w:t>
      </w:r>
      <w:r w:rsidRPr="0025285B">
        <w:rPr>
          <w:rFonts w:ascii="Palatino Linotype" w:eastAsia="Palatino Linotype" w:hAnsi="Palatino Linotype" w:cs="Palatino Linotype"/>
        </w:rPr>
        <w:t xml:space="preserve">, tenemos que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requirió al </w:t>
      </w:r>
      <w:r w:rsidRPr="0025285B">
        <w:rPr>
          <w:rFonts w:ascii="Palatino Linotype" w:eastAsia="Palatino Linotype" w:hAnsi="Palatino Linotype" w:cs="Palatino Linotype"/>
          <w:b/>
        </w:rPr>
        <w:t xml:space="preserve">SUJETO OBLIGADO </w:t>
      </w:r>
      <w:r w:rsidRPr="0025285B">
        <w:rPr>
          <w:rFonts w:ascii="Palatino Linotype" w:eastAsia="Palatino Linotype" w:hAnsi="Palatino Linotype" w:cs="Palatino Linotype"/>
        </w:rPr>
        <w:t xml:space="preserve">le proporcione en cuanto a </w:t>
      </w:r>
      <w:r w:rsidRPr="0025285B">
        <w:rPr>
          <w:rFonts w:ascii="Palatino Linotype" w:eastAsia="Palatino Linotype" w:hAnsi="Palatino Linotype" w:cs="Palatino Linotype"/>
          <w:i/>
        </w:rPr>
        <w:t>“…  los uniformes de los elementos que integran Seguridad y Protección de Toluca.” (Sic),</w:t>
      </w:r>
      <w:r w:rsidRPr="0025285B">
        <w:rPr>
          <w:rFonts w:ascii="Palatino Linotype" w:eastAsia="Palatino Linotype" w:hAnsi="Palatino Linotype" w:cs="Palatino Linotype"/>
        </w:rPr>
        <w:t xml:space="preserve"> lo siguiente:</w:t>
      </w:r>
    </w:p>
    <w:p w:rsidR="005B28B6" w:rsidRPr="0025285B" w:rsidRDefault="005B28B6">
      <w:pPr>
        <w:spacing w:line="360" w:lineRule="auto"/>
        <w:ind w:right="51"/>
        <w:jc w:val="both"/>
        <w:rPr>
          <w:rFonts w:ascii="Palatino Linotype" w:eastAsia="Palatino Linotype" w:hAnsi="Palatino Linotype" w:cs="Palatino Linotype"/>
        </w:rPr>
      </w:pPr>
    </w:p>
    <w:p w:rsidR="005B28B6" w:rsidRPr="0025285B" w:rsidRDefault="00840D98">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5285B">
        <w:rPr>
          <w:rFonts w:ascii="Palatino Linotype" w:eastAsia="Palatino Linotype" w:hAnsi="Palatino Linotype" w:cs="Palatino Linotype"/>
          <w:color w:val="000000"/>
        </w:rPr>
        <w:t xml:space="preserve">Costo </w:t>
      </w:r>
    </w:p>
    <w:p w:rsidR="005B28B6" w:rsidRPr="0025285B" w:rsidRDefault="00840D98">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rPr>
      </w:pPr>
      <w:r w:rsidRPr="0025285B">
        <w:rPr>
          <w:rFonts w:ascii="Palatino Linotype" w:eastAsia="Palatino Linotype" w:hAnsi="Palatino Linotype" w:cs="Palatino Linotype"/>
          <w:color w:val="000000"/>
        </w:rPr>
        <w:t>Contrato con la empresa adjudicada</w:t>
      </w:r>
    </w:p>
    <w:p w:rsidR="005B28B6" w:rsidRPr="0025285B" w:rsidRDefault="005B28B6">
      <w:pPr>
        <w:pBdr>
          <w:top w:val="nil"/>
          <w:left w:val="nil"/>
          <w:bottom w:val="nil"/>
          <w:right w:val="nil"/>
          <w:between w:val="nil"/>
        </w:pBdr>
        <w:spacing w:line="360" w:lineRule="auto"/>
        <w:ind w:left="720" w:right="51"/>
        <w:jc w:val="both"/>
        <w:rPr>
          <w:rFonts w:ascii="Palatino Linotype" w:eastAsia="Palatino Linotype" w:hAnsi="Palatino Linotype" w:cs="Palatino Linotype"/>
          <w:color w:val="000000"/>
        </w:rPr>
      </w:pPr>
    </w:p>
    <w:p w:rsidR="005B28B6" w:rsidRPr="0025285B" w:rsidRDefault="00840D98">
      <w:pPr>
        <w:spacing w:line="360" w:lineRule="auto"/>
        <w:jc w:val="both"/>
        <w:rPr>
          <w:rFonts w:ascii="Palatino Linotype" w:eastAsia="Palatino Linotype" w:hAnsi="Palatino Linotype" w:cs="Palatino Linotype"/>
          <w:i/>
        </w:rPr>
      </w:pPr>
      <w:r w:rsidRPr="0025285B">
        <w:rPr>
          <w:rFonts w:ascii="Palatino Linotype" w:eastAsia="Palatino Linotype" w:hAnsi="Palatino Linotype" w:cs="Palatino Linotype"/>
          <w:b/>
        </w:rPr>
        <w:lastRenderedPageBreak/>
        <w:t xml:space="preserve">EL SUJETO OBLIGADO </w:t>
      </w:r>
      <w:r w:rsidRPr="0025285B">
        <w:rPr>
          <w:rFonts w:ascii="Palatino Linotype" w:eastAsia="Palatino Linotype" w:hAnsi="Palatino Linotype" w:cs="Palatino Linotype"/>
        </w:rPr>
        <w:t xml:space="preserve">contestó a esta petición ciudadana, a través de la Unidad de Transparencia, quien señaló que </w:t>
      </w:r>
      <w:r w:rsidRPr="0025285B">
        <w:rPr>
          <w:rFonts w:ascii="Palatino Linotype" w:eastAsia="Palatino Linotype" w:hAnsi="Palatino Linotype" w:cs="Palatino Linotype"/>
          <w:i/>
        </w:rPr>
        <w:t>“… la Dirección General de Administración y Servidora Pública Habilitada, informó a la que suscribe…” (Sic)</w:t>
      </w:r>
      <w:r w:rsidRPr="0025285B">
        <w:rPr>
          <w:rFonts w:ascii="Palatino Linotype" w:eastAsia="Palatino Linotype" w:hAnsi="Palatino Linotype" w:cs="Palatino Linotype"/>
        </w:rPr>
        <w:t xml:space="preserve"> que la información solicitada se encontraba disponible para la consulta de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en el portal de IPOMEX del Ayuntamiento de Toluca, y de manera específica le conduce a la liga electrónica: </w:t>
      </w:r>
      <w:hyperlink r:id="rId12">
        <w:r w:rsidRPr="0025285B">
          <w:rPr>
            <w:rFonts w:ascii="Palatino Linotype" w:eastAsia="Palatino Linotype" w:hAnsi="Palatino Linotype" w:cs="Palatino Linotype"/>
            <w:color w:val="0000FF"/>
            <w:u w:val="single"/>
          </w:rPr>
          <w:t>https://www.ipomex.org.mx/ipo3/lgt/indice/TOLUCA/art_92_xxix_a/4.web</w:t>
        </w:r>
      </w:hyperlink>
      <w:r w:rsidRPr="0025285B">
        <w:rPr>
          <w:rFonts w:ascii="Palatino Linotype" w:eastAsia="Palatino Linotype" w:hAnsi="Palatino Linotype" w:cs="Palatino Linotype"/>
        </w:rPr>
        <w:t xml:space="preserve">, para que en el apartado número doce, conociera la documentación relativa a la </w:t>
      </w:r>
      <w:r w:rsidRPr="0025285B">
        <w:rPr>
          <w:rFonts w:ascii="Palatino Linotype" w:eastAsia="Palatino Linotype" w:hAnsi="Palatino Linotype" w:cs="Palatino Linotype"/>
          <w:i/>
        </w:rPr>
        <w:t xml:space="preserve">“Adquisición de uniformes para la Dirección General de Seguridad y Protección, Coordinación de Protección Civil y Bomberos del Ayuntamiento de Toluca.” (Sic) </w:t>
      </w:r>
    </w:p>
    <w:p w:rsidR="005B28B6" w:rsidRPr="0025285B" w:rsidRDefault="005B28B6">
      <w:pPr>
        <w:spacing w:line="360" w:lineRule="auto"/>
        <w:jc w:val="both"/>
        <w:rPr>
          <w:rFonts w:ascii="Palatino Linotype" w:eastAsia="Palatino Linotype" w:hAnsi="Palatino Linotype" w:cs="Palatino Linotype"/>
          <w:i/>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No conforme con la respuesta,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se manifestó a través del recurso de revisión que ahora se resuelve, señalando que la información entregada no correspondía con lo que había solicitado.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Como se señaló en los Antecedentes de esta Resolución, el Sujeto Obligado a través de informe justificado ratifica en todos sus términos respuesta inicial brindada a la solicitud </w:t>
      </w:r>
      <w:r w:rsidRPr="0025285B">
        <w:rPr>
          <w:rFonts w:ascii="Arial" w:eastAsia="Arial" w:hAnsi="Arial" w:cs="Arial"/>
          <w:b/>
          <w:color w:val="333333"/>
          <w:sz w:val="15"/>
          <w:szCs w:val="15"/>
        </w:rPr>
        <w:t> </w:t>
      </w:r>
      <w:r w:rsidRPr="0025285B">
        <w:rPr>
          <w:rFonts w:ascii="Palatino Linotype" w:eastAsia="Palatino Linotype" w:hAnsi="Palatino Linotype" w:cs="Palatino Linotype"/>
          <w:b/>
        </w:rPr>
        <w:t>02531/TOLUCA/IP/2022.</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Así pues, este Organismo Garante considera que la respuesta emitida por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cumple con lo establecido en el artículo 161 de la Ley de Transparencia, mismo que dispone: </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b/>
          <w:i/>
          <w:color w:val="404040"/>
          <w:sz w:val="22"/>
          <w:szCs w:val="22"/>
        </w:rPr>
        <w:t>Artículo 161.</w:t>
      </w:r>
      <w:r w:rsidRPr="0025285B">
        <w:rPr>
          <w:rFonts w:ascii="Palatino Linotype" w:eastAsia="Palatino Linotype" w:hAnsi="Palatino Linotype" w:cs="Palatino Linotype"/>
          <w:i/>
          <w:color w:val="404040"/>
          <w:sz w:val="22"/>
          <w:szCs w:val="22"/>
        </w:rPr>
        <w:t xml:space="preserve"> Cuando la información requerida por el solicitante ya esté disponible al público en medios impresos, tales como libros, compendios, trípticos, registros públicos, en formatos electrónicos disponibles en Internet o en cualquier </w:t>
      </w:r>
      <w:r w:rsidRPr="0025285B">
        <w:rPr>
          <w:rFonts w:ascii="Palatino Linotype" w:eastAsia="Palatino Linotype" w:hAnsi="Palatino Linotype" w:cs="Palatino Linotype"/>
          <w:i/>
          <w:color w:val="404040"/>
          <w:sz w:val="22"/>
          <w:szCs w:val="22"/>
        </w:rPr>
        <w:lastRenderedPageBreak/>
        <w:t>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Lo anterior, por las siguientes consideraciones, primeramente por que la respuesta fue proporcionada dentro del plazo de cinco días hábiles posteriores a la presentación de la solicitud de información, es decir, la solicitud ingresó al </w:t>
      </w:r>
      <w:r w:rsidRPr="0025285B">
        <w:rPr>
          <w:rFonts w:ascii="Palatino Linotype" w:eastAsia="Palatino Linotype" w:hAnsi="Palatino Linotype" w:cs="Palatino Linotype"/>
          <w:b/>
        </w:rPr>
        <w:t xml:space="preserve">SUJETO OBLIGADO </w:t>
      </w:r>
      <w:r w:rsidRPr="0025285B">
        <w:rPr>
          <w:rFonts w:ascii="Palatino Linotype" w:eastAsia="Palatino Linotype" w:hAnsi="Palatino Linotype" w:cs="Palatino Linotype"/>
        </w:rPr>
        <w:t xml:space="preserve">el </w:t>
      </w:r>
      <w:r w:rsidRPr="0025285B">
        <w:rPr>
          <w:rFonts w:ascii="Palatino Linotype" w:eastAsia="Palatino Linotype" w:hAnsi="Palatino Linotype" w:cs="Palatino Linotype"/>
          <w:b/>
        </w:rPr>
        <w:t>veintidós de noviembre de dos mil veintidós</w:t>
      </w:r>
      <w:r w:rsidRPr="0025285B">
        <w:rPr>
          <w:rFonts w:ascii="Palatino Linotype" w:eastAsia="Palatino Linotype" w:hAnsi="Palatino Linotype" w:cs="Palatino Linotype"/>
        </w:rPr>
        <w:t xml:space="preserve">, y este respondió el </w:t>
      </w:r>
      <w:r w:rsidRPr="0025285B">
        <w:rPr>
          <w:rFonts w:ascii="Palatino Linotype" w:eastAsia="Palatino Linotype" w:hAnsi="Palatino Linotype" w:cs="Palatino Linotype"/>
          <w:b/>
        </w:rPr>
        <w:t>veintiocho de noviembre de dos mil veintidós,</w:t>
      </w:r>
      <w:r w:rsidRPr="0025285B">
        <w:rPr>
          <w:rFonts w:ascii="Palatino Linotype" w:eastAsia="Palatino Linotype" w:hAnsi="Palatino Linotype" w:cs="Palatino Linotype"/>
        </w:rPr>
        <w:t xml:space="preserve"> entonces entre las dos sólo existió la diferencia de cuatro días hábiles, tal y como consta en los Antecedentes con los números uno y dos de esta Resolución.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Aunado a lo anterior,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precisó a la entonces parte requirente el lugar donde se encontraba la información de su interés, como consta en la respuesta emitida y en el documento adjunto denominado </w:t>
      </w:r>
      <w:hyperlink r:id="rId13">
        <w:r w:rsidRPr="0025285B">
          <w:rPr>
            <w:rFonts w:ascii="Palatino Linotype" w:eastAsia="Palatino Linotype" w:hAnsi="Palatino Linotype" w:cs="Palatino Linotype"/>
            <w:i/>
            <w:color w:val="000000"/>
          </w:rPr>
          <w:t xml:space="preserve">evidencia </w:t>
        </w:r>
        <w:proofErr w:type="spellStart"/>
        <w:r w:rsidRPr="0025285B">
          <w:rPr>
            <w:rFonts w:ascii="Palatino Linotype" w:eastAsia="Palatino Linotype" w:hAnsi="Palatino Linotype" w:cs="Palatino Linotype"/>
            <w:i/>
            <w:color w:val="000000"/>
          </w:rPr>
          <w:t>ipomex</w:t>
        </w:r>
        <w:proofErr w:type="spellEnd"/>
        <w:r w:rsidRPr="0025285B">
          <w:rPr>
            <w:rFonts w:ascii="Palatino Linotype" w:eastAsia="Palatino Linotype" w:hAnsi="Palatino Linotype" w:cs="Palatino Linotype"/>
            <w:i/>
            <w:color w:val="000000"/>
          </w:rPr>
          <w:t xml:space="preserve"> para </w:t>
        </w:r>
        <w:proofErr w:type="spellStart"/>
        <w:r w:rsidRPr="0025285B">
          <w:rPr>
            <w:rFonts w:ascii="Palatino Linotype" w:eastAsia="Palatino Linotype" w:hAnsi="Palatino Linotype" w:cs="Palatino Linotype"/>
            <w:i/>
            <w:color w:val="000000"/>
          </w:rPr>
          <w:t>saimex</w:t>
        </w:r>
        <w:proofErr w:type="spellEnd"/>
        <w:r w:rsidRPr="0025285B">
          <w:rPr>
            <w:rFonts w:ascii="Palatino Linotype" w:eastAsia="Palatino Linotype" w:hAnsi="Palatino Linotype" w:cs="Palatino Linotype"/>
            <w:i/>
            <w:color w:val="000000"/>
          </w:rPr>
          <w:t xml:space="preserve"> 2531.pdf</w:t>
        </w:r>
      </w:hyperlink>
      <w:r w:rsidRPr="0025285B">
        <w:rPr>
          <w:rFonts w:ascii="Palatino Linotype" w:eastAsia="Palatino Linotype" w:hAnsi="Palatino Linotype" w:cs="Palatino Linotype"/>
          <w:i/>
        </w:rPr>
        <w:t xml:space="preserve">, </w:t>
      </w:r>
      <w:r w:rsidRPr="0025285B">
        <w:rPr>
          <w:rFonts w:ascii="Palatino Linotype" w:eastAsia="Palatino Linotype" w:hAnsi="Palatino Linotype" w:cs="Palatino Linotype"/>
        </w:rPr>
        <w:t xml:space="preserve">pues indicó mediante capturas de pantalla, paso a paso, la forma en que habría de ingresar al portal de IPOMEX para localizar la información, que de manera ilustrativa se documenta: </w:t>
      </w:r>
    </w:p>
    <w:p w:rsidR="005B28B6" w:rsidRPr="0025285B" w:rsidRDefault="00840D98">
      <w:pPr>
        <w:spacing w:line="360" w:lineRule="auto"/>
        <w:jc w:val="center"/>
        <w:rPr>
          <w:rFonts w:ascii="Palatino Linotype" w:eastAsia="Palatino Linotype" w:hAnsi="Palatino Linotype" w:cs="Palatino Linotype"/>
        </w:rPr>
      </w:pPr>
      <w:r w:rsidRPr="0025285B">
        <w:rPr>
          <w:noProof/>
        </w:rPr>
        <w:lastRenderedPageBreak/>
        <w:drawing>
          <wp:inline distT="0" distB="0" distL="0" distR="0">
            <wp:extent cx="2489909" cy="2285381"/>
            <wp:effectExtent l="0" t="0" r="0" b="0"/>
            <wp:docPr id="1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25289" t="16897" r="27188" b="5552"/>
                    <a:stretch>
                      <a:fillRect/>
                    </a:stretch>
                  </pic:blipFill>
                  <pic:spPr>
                    <a:xfrm>
                      <a:off x="0" y="0"/>
                      <a:ext cx="2489909" cy="2285381"/>
                    </a:xfrm>
                    <a:prstGeom prst="rect">
                      <a:avLst/>
                    </a:prstGeom>
                    <a:ln/>
                  </pic:spPr>
                </pic:pic>
              </a:graphicData>
            </a:graphic>
          </wp:inline>
        </w:drawing>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Precisado lo anterior, este Organismo Garante procedió a la revisión de la respuesta emitida, advirtiendo que al ingresar al link remitido por el sujeto obligado, efectivamente se accede directamente a  la fracción XXIX A invocada por la Dirección General de Administración, según la Unidad de Transparencia, como consta en la imagen subsecuente:</w:t>
      </w:r>
    </w:p>
    <w:p w:rsidR="005B28B6" w:rsidRPr="0025285B" w:rsidRDefault="00840D98">
      <w:pPr>
        <w:spacing w:line="360" w:lineRule="auto"/>
        <w:jc w:val="center"/>
        <w:rPr>
          <w:rFonts w:ascii="Palatino Linotype" w:eastAsia="Palatino Linotype" w:hAnsi="Palatino Linotype" w:cs="Palatino Linotype"/>
        </w:rPr>
      </w:pPr>
      <w:r w:rsidRPr="0025285B">
        <w:rPr>
          <w:noProof/>
        </w:rPr>
        <w:drawing>
          <wp:inline distT="0" distB="0" distL="0" distR="0">
            <wp:extent cx="3303715" cy="2888898"/>
            <wp:effectExtent l="0" t="0" r="0" b="0"/>
            <wp:docPr id="1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2250" t="10377" r="23515" b="5308"/>
                    <a:stretch>
                      <a:fillRect/>
                    </a:stretch>
                  </pic:blipFill>
                  <pic:spPr>
                    <a:xfrm>
                      <a:off x="0" y="0"/>
                      <a:ext cx="3303715" cy="2888898"/>
                    </a:xfrm>
                    <a:prstGeom prst="rect">
                      <a:avLst/>
                    </a:prstGeom>
                    <a:ln/>
                  </pic:spPr>
                </pic:pic>
              </a:graphicData>
            </a:graphic>
          </wp:inline>
        </w:drawing>
      </w:r>
    </w:p>
    <w:p w:rsidR="005B28B6" w:rsidRPr="0025285B" w:rsidRDefault="005B28B6">
      <w:pPr>
        <w:spacing w:line="360" w:lineRule="auto"/>
        <w:jc w:val="center"/>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lastRenderedPageBreak/>
        <w:t xml:space="preserve">Entonces, el registro número doce donde el </w:t>
      </w:r>
      <w:r w:rsidRPr="0025285B">
        <w:rPr>
          <w:rFonts w:ascii="Palatino Linotype" w:eastAsia="Palatino Linotype" w:hAnsi="Palatino Linotype" w:cs="Palatino Linotype"/>
          <w:b/>
        </w:rPr>
        <w:t>SUJETO OBLIGADO</w:t>
      </w:r>
      <w:r w:rsidRPr="0025285B">
        <w:rPr>
          <w:rFonts w:ascii="Palatino Linotype" w:eastAsia="Palatino Linotype" w:hAnsi="Palatino Linotype" w:cs="Palatino Linotype"/>
        </w:rPr>
        <w:t xml:space="preserve"> informó que se encontraba la información respecto del contrato y la empresa adjudicada, denota lo siguiente: </w:t>
      </w:r>
    </w:p>
    <w:p w:rsidR="005B28B6" w:rsidRPr="0025285B" w:rsidRDefault="00840D98">
      <w:pPr>
        <w:spacing w:line="360" w:lineRule="auto"/>
        <w:jc w:val="center"/>
        <w:rPr>
          <w:rFonts w:ascii="Palatino Linotype" w:eastAsia="Palatino Linotype" w:hAnsi="Palatino Linotype" w:cs="Palatino Linotype"/>
        </w:rPr>
      </w:pPr>
      <w:r w:rsidRPr="0025285B">
        <w:rPr>
          <w:noProof/>
        </w:rPr>
        <w:drawing>
          <wp:inline distT="0" distB="0" distL="0" distR="0">
            <wp:extent cx="4506964" cy="2921948"/>
            <wp:effectExtent l="0" t="0" r="0" b="0"/>
            <wp:docPr id="1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22373" t="11241" r="37861" b="42924"/>
                    <a:stretch>
                      <a:fillRect/>
                    </a:stretch>
                  </pic:blipFill>
                  <pic:spPr>
                    <a:xfrm>
                      <a:off x="0" y="0"/>
                      <a:ext cx="4506964" cy="2921948"/>
                    </a:xfrm>
                    <a:prstGeom prst="rect">
                      <a:avLst/>
                    </a:prstGeom>
                    <a:ln/>
                  </pic:spPr>
                </pic:pic>
              </a:graphicData>
            </a:graphic>
          </wp:inline>
        </w:drawing>
      </w:r>
    </w:p>
    <w:p w:rsidR="005B28B6" w:rsidRPr="0025285B" w:rsidRDefault="00840D98">
      <w:pPr>
        <w:spacing w:line="360" w:lineRule="auto"/>
        <w:jc w:val="both"/>
        <w:rPr>
          <w:rFonts w:ascii="Palatino Linotype" w:eastAsia="Palatino Linotype" w:hAnsi="Palatino Linotype" w:cs="Palatino Linotype"/>
          <w:i/>
          <w:color w:val="333333"/>
        </w:rPr>
      </w:pPr>
      <w:r w:rsidRPr="0025285B">
        <w:rPr>
          <w:rFonts w:ascii="Palatino Linotype" w:eastAsia="Palatino Linotype" w:hAnsi="Palatino Linotype" w:cs="Palatino Linotype"/>
        </w:rPr>
        <w:br/>
        <w:t xml:space="preserve">En este punto de la Resolución, los motivos de inconformidad que manifiesta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cobrarían sentido porque resultaría cierto que la información no tiene relación con lo solicitado, pues como es evidente, el registro número doce da cuenta de la </w:t>
      </w:r>
      <w:r w:rsidRPr="0025285B">
        <w:rPr>
          <w:rFonts w:ascii="Palatino Linotype" w:eastAsia="Palatino Linotype" w:hAnsi="Palatino Linotype" w:cs="Palatino Linotype"/>
          <w:i/>
        </w:rPr>
        <w:t>“</w:t>
      </w:r>
      <w:r w:rsidRPr="0025285B">
        <w:rPr>
          <w:rFonts w:ascii="Palatino Linotype" w:eastAsia="Palatino Linotype" w:hAnsi="Palatino Linotype" w:cs="Palatino Linotype"/>
          <w:i/>
          <w:color w:val="333333"/>
        </w:rPr>
        <w:t xml:space="preserve">Contratación del servicio de telefonía celular del programa pie a tierra solicitado por la Dirección de Tecnologías de la Información y Gobierno” (Sic). </w:t>
      </w:r>
    </w:p>
    <w:p w:rsidR="005B28B6" w:rsidRPr="0025285B" w:rsidRDefault="005B28B6">
      <w:pPr>
        <w:spacing w:line="360" w:lineRule="auto"/>
        <w:jc w:val="both"/>
        <w:rPr>
          <w:rFonts w:ascii="Palatino Linotype" w:eastAsia="Palatino Linotype" w:hAnsi="Palatino Linotype" w:cs="Palatino Linotype"/>
          <w:i/>
          <w:color w:val="333333"/>
        </w:rPr>
      </w:pPr>
    </w:p>
    <w:p w:rsidR="005B28B6" w:rsidRPr="0025285B" w:rsidRDefault="00840D98">
      <w:pPr>
        <w:spacing w:line="360" w:lineRule="auto"/>
        <w:jc w:val="both"/>
        <w:rPr>
          <w:rFonts w:ascii="Palatino Linotype" w:eastAsia="Palatino Linotype" w:hAnsi="Palatino Linotype" w:cs="Palatino Linotype"/>
          <w:color w:val="333333"/>
        </w:rPr>
      </w:pPr>
      <w:r w:rsidRPr="0025285B">
        <w:rPr>
          <w:rFonts w:ascii="Palatino Linotype" w:eastAsia="Palatino Linotype" w:hAnsi="Palatino Linotype" w:cs="Palatino Linotype"/>
          <w:color w:val="333333"/>
        </w:rPr>
        <w:t xml:space="preserve">No obstante, sobre ello cabe hacer énfasis a lo prescrito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w:t>
      </w:r>
      <w:r w:rsidRPr="0025285B">
        <w:rPr>
          <w:rFonts w:ascii="Palatino Linotype" w:eastAsia="Palatino Linotype" w:hAnsi="Palatino Linotype" w:cs="Palatino Linotype"/>
          <w:color w:val="333333"/>
        </w:rPr>
        <w:lastRenderedPageBreak/>
        <w:t>de Transparencia, pues de acuerdo a éstos lineamientos, la</w:t>
      </w:r>
      <w:r w:rsidRPr="0025285B">
        <w:rPr>
          <w:rFonts w:ascii="Palatino Linotype" w:eastAsia="Palatino Linotype" w:hAnsi="Palatino Linotype" w:cs="Palatino Linotype"/>
        </w:rPr>
        <w:t xml:space="preserve">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r w:rsidRPr="0025285B">
        <w:rPr>
          <w:rFonts w:ascii="Palatino Linotype" w:eastAsia="Palatino Linotype" w:hAnsi="Palatino Linotype" w:cs="Palatino Linotype"/>
          <w:color w:val="333333"/>
        </w:rPr>
        <w:t xml:space="preserve"> se actualiza de manera trimestral, tal como se advierte a continuación: </w:t>
      </w:r>
    </w:p>
    <w:p w:rsidR="005B28B6" w:rsidRPr="0025285B" w:rsidRDefault="005B28B6">
      <w:pPr>
        <w:spacing w:line="360" w:lineRule="auto"/>
        <w:jc w:val="both"/>
        <w:rPr>
          <w:rFonts w:ascii="Palatino Linotype" w:eastAsia="Palatino Linotype" w:hAnsi="Palatino Linotype" w:cs="Palatino Linotype"/>
          <w:color w:val="333333"/>
        </w:rPr>
      </w:pPr>
    </w:p>
    <w:p w:rsidR="005B28B6" w:rsidRPr="0025285B" w:rsidRDefault="00840D98">
      <w:pPr>
        <w:spacing w:line="360" w:lineRule="auto"/>
        <w:jc w:val="both"/>
        <w:rPr>
          <w:rFonts w:ascii="Palatino Linotype" w:eastAsia="Palatino Linotype" w:hAnsi="Palatino Linotype" w:cs="Palatino Linotype"/>
          <w:color w:val="333333"/>
        </w:rPr>
      </w:pPr>
      <w:r w:rsidRPr="0025285B">
        <w:rPr>
          <w:noProof/>
        </w:rPr>
        <w:drawing>
          <wp:inline distT="0" distB="0" distL="0" distR="0">
            <wp:extent cx="5612130" cy="1851481"/>
            <wp:effectExtent l="0" t="0" r="0" b="0"/>
            <wp:docPr id="1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7106" t="18182" r="6737" b="31271"/>
                    <a:stretch>
                      <a:fillRect/>
                    </a:stretch>
                  </pic:blipFill>
                  <pic:spPr>
                    <a:xfrm>
                      <a:off x="0" y="0"/>
                      <a:ext cx="5612130" cy="1851481"/>
                    </a:xfrm>
                    <a:prstGeom prst="rect">
                      <a:avLst/>
                    </a:prstGeom>
                    <a:ln/>
                  </pic:spPr>
                </pic:pic>
              </a:graphicData>
            </a:graphic>
          </wp:inline>
        </w:drawing>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De tal manera que, lo antes expuesto es con la finalidad de advertir que, si bien es cierto que en la respuesta proporcionada por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de fecha </w:t>
      </w:r>
      <w:r w:rsidRPr="0025285B">
        <w:rPr>
          <w:rFonts w:ascii="Palatino Linotype" w:eastAsia="Palatino Linotype" w:hAnsi="Palatino Linotype" w:cs="Palatino Linotype"/>
          <w:b/>
        </w:rPr>
        <w:t>veintiocho de noviembre de dos mil veintidós</w:t>
      </w:r>
      <w:r w:rsidRPr="0025285B">
        <w:rPr>
          <w:rFonts w:ascii="Palatino Linotype" w:eastAsia="Palatino Linotype" w:hAnsi="Palatino Linotype" w:cs="Palatino Linotype"/>
        </w:rPr>
        <w:t xml:space="preserve">, se advierte que indicó que el “registro” donde se encontraba publicada la información correspondía al número doce lo cierto también es, que de conformidad con lo expuesto, existen actualizaciones, de tal manera que los números de registros sufren cambios, sin embargo, la información peticionada sí obra dentro de la fracción referida por </w:t>
      </w:r>
      <w:r w:rsidRPr="0025285B">
        <w:rPr>
          <w:rFonts w:ascii="Palatino Linotype" w:eastAsia="Palatino Linotype" w:hAnsi="Palatino Linotype" w:cs="Palatino Linotype"/>
          <w:b/>
        </w:rPr>
        <w:t xml:space="preserve">EL SUJETO OBLIGADO, </w:t>
      </w:r>
      <w:r w:rsidRPr="0025285B">
        <w:rPr>
          <w:rFonts w:ascii="Palatino Linotype" w:eastAsia="Palatino Linotype" w:hAnsi="Palatino Linotype" w:cs="Palatino Linotype"/>
        </w:rPr>
        <w:t>sin embargo se localizó en el registro número veinticinco tal y como se advierte a continuación:</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center"/>
        <w:rPr>
          <w:rFonts w:ascii="Palatino Linotype" w:eastAsia="Palatino Linotype" w:hAnsi="Palatino Linotype" w:cs="Palatino Linotype"/>
        </w:rPr>
      </w:pPr>
      <w:r w:rsidRPr="0025285B">
        <w:rPr>
          <w:noProof/>
        </w:rPr>
        <w:lastRenderedPageBreak/>
        <w:drawing>
          <wp:inline distT="0" distB="0" distL="0" distR="0">
            <wp:extent cx="4620780" cy="2211469"/>
            <wp:effectExtent l="0" t="0" r="0" b="0"/>
            <wp:docPr id="1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20184" t="8854" r="27201" b="46376"/>
                    <a:stretch>
                      <a:fillRect/>
                    </a:stretch>
                  </pic:blipFill>
                  <pic:spPr>
                    <a:xfrm>
                      <a:off x="0" y="0"/>
                      <a:ext cx="4620780" cy="2211469"/>
                    </a:xfrm>
                    <a:prstGeom prst="rect">
                      <a:avLst/>
                    </a:prstGeom>
                    <a:ln/>
                  </pic:spPr>
                </pic:pic>
              </a:graphicData>
            </a:graphic>
          </wp:inline>
        </w:drawing>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Situación que no es atribuible al </w:t>
      </w:r>
      <w:r w:rsidRPr="0025285B">
        <w:rPr>
          <w:rFonts w:ascii="Palatino Linotype" w:eastAsia="Palatino Linotype" w:hAnsi="Palatino Linotype" w:cs="Palatino Linotype"/>
          <w:b/>
        </w:rPr>
        <w:t xml:space="preserve">SUJETO OBLIGADO, </w:t>
      </w:r>
      <w:r w:rsidRPr="0025285B">
        <w:rPr>
          <w:rFonts w:ascii="Palatino Linotype" w:eastAsia="Palatino Linotype" w:hAnsi="Palatino Linotype" w:cs="Palatino Linotype"/>
        </w:rPr>
        <w:t xml:space="preserve">sino al propio funcionamiento del Sistema IPOMEX, toda vez que se insiste,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proporcionó de manera oportuna y bajo el principio de congruencia y exhaustividad la respuesta a la solicitud de información, capturando paso a paso las indicaciones para acceder a la misma.</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Así pues,  este Organismo Garante advierte que la información contenida en el registro número veinticinco </w:t>
      </w:r>
      <w:r w:rsidRPr="0025285B">
        <w:rPr>
          <w:rFonts w:ascii="Palatino Linotype" w:eastAsia="Palatino Linotype" w:hAnsi="Palatino Linotype" w:cs="Palatino Linotype"/>
          <w:i/>
        </w:rPr>
        <w:t>– al momento de emitir este fallo –</w:t>
      </w:r>
      <w:r w:rsidRPr="0025285B">
        <w:rPr>
          <w:rFonts w:ascii="Palatino Linotype" w:eastAsia="Palatino Linotype" w:hAnsi="Palatino Linotype" w:cs="Palatino Linotype"/>
        </w:rPr>
        <w:t xml:space="preserve"> satisface el Derecho de Acceso a la Información Pública, sin embargo, es importante señalar que la información no goza de todos los requisitos exigidos por la Ley de Transparencia y Acceso a la Información Pública del Estado de México y Municipios, pues si bien es cierto que ya aparece el costo requerido por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relativo a los uniformes del personal de la Dirección General de Seguridad y Protección, pero también lo es que el contrato solicitado por la misma aparece en un formato en el que existen partes testadas, como consta a continuación: </w:t>
      </w:r>
    </w:p>
    <w:p w:rsidR="005B28B6" w:rsidRPr="0025285B" w:rsidRDefault="00840D98">
      <w:pPr>
        <w:spacing w:line="360" w:lineRule="auto"/>
        <w:jc w:val="center"/>
        <w:rPr>
          <w:rFonts w:ascii="Palatino Linotype" w:eastAsia="Palatino Linotype" w:hAnsi="Palatino Linotype" w:cs="Palatino Linotype"/>
        </w:rPr>
      </w:pPr>
      <w:r w:rsidRPr="0025285B">
        <w:rPr>
          <w:noProof/>
        </w:rPr>
        <w:lastRenderedPageBreak/>
        <w:drawing>
          <wp:inline distT="0" distB="0" distL="0" distR="0">
            <wp:extent cx="3684132" cy="3460467"/>
            <wp:effectExtent l="0" t="0" r="0" b="0"/>
            <wp:docPr id="1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27258" t="20986" r="28865" b="5738"/>
                    <a:stretch>
                      <a:fillRect/>
                    </a:stretch>
                  </pic:blipFill>
                  <pic:spPr>
                    <a:xfrm>
                      <a:off x="0" y="0"/>
                      <a:ext cx="3684132" cy="3460467"/>
                    </a:xfrm>
                    <a:prstGeom prst="rect">
                      <a:avLst/>
                    </a:prstGeom>
                    <a:ln/>
                  </pic:spPr>
                </pic:pic>
              </a:graphicData>
            </a:graphic>
          </wp:inline>
        </w:drawing>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En este sentido, para la respuesta esté apegada a Derecho, es importante invocar lo establecido en el marco normativo del Acceso a la Información Pública vigente: </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LEY DE TRANSPARENCIA Y ACCESO A LA INFORMACIÓN DEL ESTADO DE MÉXICO Y MUNICIPIOS</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 xml:space="preserve">Artículo 49. Los Comités de Transparencia tendrán las siguientes atribuciones: </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II. Confirmar, modificar o revocar las determinaciones que en materia de ampliación del plazo de respuesta, clasificación de la información y declaración de inexistencia o de incompetencia realicen los titulares de las áreas de los sujetos obligados;</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VIII. Aprobar, modificar o revocar la clasificación de la información;</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w:t>
      </w:r>
    </w:p>
    <w:p w:rsidR="005B28B6" w:rsidRPr="0025285B" w:rsidRDefault="005B28B6">
      <w:pPr>
        <w:pBdr>
          <w:top w:val="nil"/>
          <w:left w:val="nil"/>
          <w:bottom w:val="nil"/>
          <w:right w:val="nil"/>
          <w:between w:val="nil"/>
        </w:pBdr>
        <w:ind w:right="864"/>
        <w:jc w:val="both"/>
        <w:rPr>
          <w:rFonts w:ascii="Palatino Linotype" w:eastAsia="Palatino Linotype" w:hAnsi="Palatino Linotype" w:cs="Palatino Linotype"/>
          <w:i/>
          <w:color w:val="404040"/>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 xml:space="preserve">Artículo 132. La clasificación de la información se llevará a cabo en el momento en que: </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lastRenderedPageBreak/>
        <w:t>III. Se generen versiones públicas para dar cumplimiento a las obligaciones de transparencia previstas en esta Ley</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B28B6" w:rsidRPr="0025285B" w:rsidRDefault="005B28B6"/>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LINEAMIENTOS GENERALES EN MATERIA DE CLASIFICACIÓN Y DESCLASIFICACIÓN DE LA INFORMACIÓN, ASÍ COMO PARA LA ELABORACIÓN DE VERSIONES PÚBLICAS</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 xml:space="preserve">Segundo.- Para efectos de los presentes Lineamientos Generales, se entenderá por: </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 xml:space="preserve">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 </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p>
    <w:p w:rsidR="005B28B6" w:rsidRPr="0025285B" w:rsidRDefault="00840D98">
      <w:pPr>
        <w:pBdr>
          <w:top w:val="nil"/>
          <w:left w:val="nil"/>
          <w:bottom w:val="nil"/>
          <w:right w:val="nil"/>
          <w:between w:val="nil"/>
        </w:pBdr>
        <w:ind w:left="864" w:right="864"/>
        <w:jc w:val="both"/>
        <w:rPr>
          <w:i/>
          <w:color w:val="404040"/>
          <w:sz w:val="20"/>
          <w:szCs w:val="20"/>
        </w:rPr>
      </w:pPr>
      <w:r w:rsidRPr="0025285B">
        <w:rPr>
          <w:rFonts w:ascii="Palatino Linotype" w:eastAsia="Palatino Linotype" w:hAnsi="Palatino Linotype" w:cs="Palatino Linotype"/>
          <w:i/>
          <w:color w:val="404040"/>
          <w:sz w:val="20"/>
          <w:szCs w:val="20"/>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w:t>
      </w:r>
      <w:r w:rsidRPr="0025285B">
        <w:rPr>
          <w:i/>
          <w:color w:val="404040"/>
        </w:rPr>
        <w:t xml:space="preserve"> de la información ante una solicitud de acceso o al momento en que generen versiones públicas para dar cumplimiento a las obligaciones de transparencia, </w:t>
      </w:r>
      <w:r w:rsidRPr="0025285B">
        <w:rPr>
          <w:i/>
          <w:color w:val="404040"/>
          <w:sz w:val="20"/>
          <w:szCs w:val="20"/>
        </w:rPr>
        <w:t>observando lo dispuesto en la Ley General y las demás disposiciones aplicables en la materia.</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 xml:space="preserve">Sexto. Los sujetos obligados no podrán emitir acuerdos de carácter general ni particular que clasifiquen documentos o expedientes como reservados, ni clasificar documentos antes de que se genere la información o cuando éstos no obren en sus archivos. </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0"/>
          <w:szCs w:val="20"/>
        </w:rPr>
      </w:pPr>
      <w:r w:rsidRPr="0025285B">
        <w:rPr>
          <w:rFonts w:ascii="Palatino Linotype" w:eastAsia="Palatino Linotype" w:hAnsi="Palatino Linotype" w:cs="Palatino Linotype"/>
          <w:i/>
          <w:color w:val="404040"/>
          <w:sz w:val="20"/>
          <w:szCs w:val="20"/>
        </w:rPr>
        <w:t>La clasificación de información se realizará conforme a un análisis caso por caso, mediante la aplicación de la prueba de daño y de interés público.</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Séptimo. La clasificación de la información se llevará a cabo en el momento en que:</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w:t>
      </w: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lastRenderedPageBreak/>
        <w:t>III. Se generen versiones públicas para dar cumplimiento a las obligaciones de transparencia previstas en la Ley General, la Ley Federal y las correspondientes de las entidades federativas. Los titulares de las áreas deberán revisar la clasificación al momento de la recepción de una solicitud de acceso a la información, para verificar si encuadra en una causal de reserva o de confidencialidad.</w:t>
      </w:r>
    </w:p>
    <w:p w:rsidR="005B28B6" w:rsidRPr="0025285B" w:rsidRDefault="005B28B6">
      <w:pPr>
        <w:rPr>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5B28B6" w:rsidRPr="0025285B" w:rsidRDefault="005B28B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5B28B6" w:rsidRPr="0025285B" w:rsidRDefault="00840D98">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25285B">
        <w:rPr>
          <w:rFonts w:ascii="Palatino Linotype" w:eastAsia="Palatino Linotype" w:hAnsi="Palatino Linotype" w:cs="Palatino Linotype"/>
          <w:i/>
          <w:color w:val="404040"/>
          <w:sz w:val="22"/>
          <w:szCs w:val="22"/>
        </w:rPr>
        <w:t>Sexagésimo tercero. Para la elaboración de todo tipo de versión pública, ya sea para el cumplimiento a obligaciones de transparencia o bien, derivadas de la atención a una solicitud de información o del mandatado de autoridad competente, los Sujetos Obligados elaborarán una leyenda ya sea en carátula o en colofón que rija a todo documento sometido a versión pública.</w:t>
      </w:r>
    </w:p>
    <w:p w:rsidR="005B28B6" w:rsidRPr="0025285B" w:rsidRDefault="005B28B6">
      <w:pPr>
        <w:spacing w:line="360" w:lineRule="auto"/>
        <w:jc w:val="both"/>
        <w:rPr>
          <w:rFonts w:ascii="Palatino Linotype" w:eastAsia="Palatino Linotype" w:hAnsi="Palatino Linotype" w:cs="Palatino Linotype"/>
          <w:i/>
          <w:color w:val="404040"/>
          <w:sz w:val="22"/>
          <w:szCs w:val="22"/>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Por lo tanto, es importante referir que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deberá seguir el procedimiento legal establecido para la emisión de versiones públicas, esto es, que su remite el Acuerdo a través del cual su  Comité de Transparencia aprobó la clasificación de la información contenida en el contrato </w:t>
      </w:r>
      <w:r w:rsidRPr="0025285B">
        <w:rPr>
          <w:rFonts w:ascii="Palatino Linotype" w:eastAsia="Palatino Linotype" w:hAnsi="Palatino Linotype" w:cs="Palatino Linotype"/>
          <w:i/>
        </w:rPr>
        <w:t>HAT-LPN-004-2022</w:t>
      </w:r>
      <w:r w:rsidRPr="0025285B">
        <w:rPr>
          <w:rFonts w:ascii="Palatino Linotype" w:eastAsia="Palatino Linotype" w:hAnsi="Palatino Linotype" w:cs="Palatino Linotype"/>
        </w:rPr>
        <w:t xml:space="preserve">, para que cumpla con las formalidades previstas, antes citadas que la sustente, en el que deben de constar los fundamentos y razones que llevaron al </w:t>
      </w:r>
      <w:r w:rsidRPr="0025285B">
        <w:rPr>
          <w:rFonts w:ascii="Palatino Linotype" w:eastAsia="Palatino Linotype" w:hAnsi="Palatino Linotype" w:cs="Palatino Linotype"/>
          <w:b/>
        </w:rPr>
        <w:t>SUJETO OBLIGADO</w:t>
      </w:r>
      <w:r w:rsidRPr="0025285B">
        <w:rPr>
          <w:rFonts w:ascii="Palatino Linotype" w:eastAsia="Palatino Linotype" w:hAnsi="Palatino Linotype" w:cs="Palatino Linotype"/>
        </w:rPr>
        <w:t xml:space="preserve"> a testar, suprimir o eliminar datos de dicho soporte documental, ya que el no hacerlo, implicó que lo entregado no es legal ni formalmente una versión pública, sino más bien una documentación ilegible, incompleta y tachada; pues no señalar las razones por las que no se aprecian determinados datos, ya sea porque se testan </w:t>
      </w:r>
      <w:r w:rsidRPr="0025285B">
        <w:rPr>
          <w:rFonts w:ascii="Palatino Linotype" w:eastAsia="Palatino Linotype" w:hAnsi="Palatino Linotype" w:cs="Palatino Linotype"/>
        </w:rPr>
        <w:lastRenderedPageBreak/>
        <w:t xml:space="preserve">o suprimen, deja a la parte recurrente en estado de incertidumbre, al no conocer o comprender porque no aparecen en la documentación respectiva, es decir, sí no se exponen de manera puntual las razones de ello se estaría violentando desde un inicio el Derecho de Acceso a la Información de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w:t>
      </w:r>
    </w:p>
    <w:p w:rsidR="005B28B6" w:rsidRPr="0025285B" w:rsidRDefault="005B28B6">
      <w:pPr>
        <w:spacing w:line="360" w:lineRule="auto"/>
        <w:jc w:val="both"/>
        <w:rPr>
          <w:rFonts w:ascii="Palatino Linotype" w:eastAsia="Palatino Linotype" w:hAnsi="Palatino Linotype" w:cs="Palatino Linotype"/>
        </w:rPr>
      </w:pPr>
    </w:p>
    <w:p w:rsidR="006F5105" w:rsidRPr="0025285B" w:rsidRDefault="00840D98" w:rsidP="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No escapa de la óptica de este organismo garante </w:t>
      </w:r>
      <w:r w:rsidR="00326271" w:rsidRPr="0025285B">
        <w:rPr>
          <w:rFonts w:ascii="Palatino Linotype" w:eastAsia="Palatino Linotype" w:hAnsi="Palatino Linotype" w:cs="Palatino Linotype"/>
        </w:rPr>
        <w:t xml:space="preserve">las </w:t>
      </w:r>
      <w:r w:rsidRPr="0025285B">
        <w:rPr>
          <w:rFonts w:ascii="Palatino Linotype" w:eastAsia="Palatino Linotype" w:hAnsi="Palatino Linotype" w:cs="Palatino Linotype"/>
        </w:rPr>
        <w:t>especificaci</w:t>
      </w:r>
      <w:r w:rsidR="00326271" w:rsidRPr="0025285B">
        <w:rPr>
          <w:rFonts w:ascii="Palatino Linotype" w:eastAsia="Palatino Linotype" w:hAnsi="Palatino Linotype" w:cs="Palatino Linotype"/>
        </w:rPr>
        <w:t>ones técnicas de los uniformes, la información que encuadra dentro la clasificación de información reservada</w:t>
      </w:r>
      <w:r w:rsidRPr="0025285B">
        <w:rPr>
          <w:rFonts w:ascii="Palatino Linotype" w:eastAsia="Palatino Linotype" w:hAnsi="Palatino Linotype" w:cs="Palatino Linotype"/>
        </w:rPr>
        <w:t xml:space="preserve">, lo anterior encuentra sustento en lo previsto </w:t>
      </w:r>
      <w:r w:rsidR="006F5105" w:rsidRPr="0025285B">
        <w:rPr>
          <w:rFonts w:ascii="Palatino Linotype" w:eastAsia="Palatino Linotype" w:hAnsi="Palatino Linotype" w:cs="Palatino Linotype"/>
        </w:rPr>
        <w:t xml:space="preserve">en la fracción I del artículo 140 de la Ley de Transparencia y Acceso a la Información Pública del Estado de México y Municipios, que es de la literalidad siguiente: </w:t>
      </w:r>
    </w:p>
    <w:p w:rsidR="006F5105" w:rsidRPr="0025285B" w:rsidRDefault="006F5105" w:rsidP="00840D98">
      <w:pPr>
        <w:spacing w:line="360" w:lineRule="auto"/>
        <w:jc w:val="both"/>
        <w:rPr>
          <w:rFonts w:ascii="Palatino Linotype" w:eastAsia="Palatino Linotype" w:hAnsi="Palatino Linotype" w:cs="Palatino Linotype"/>
        </w:rPr>
      </w:pPr>
    </w:p>
    <w:p w:rsidR="006F5105" w:rsidRPr="0025285B" w:rsidRDefault="006F5105" w:rsidP="006F5105">
      <w:pPr>
        <w:spacing w:line="276" w:lineRule="auto"/>
        <w:ind w:left="851" w:right="616"/>
        <w:jc w:val="both"/>
        <w:rPr>
          <w:rFonts w:ascii="Palatino Linotype" w:hAnsi="Palatino Linotype"/>
          <w:i/>
          <w:sz w:val="22"/>
          <w:szCs w:val="22"/>
        </w:rPr>
      </w:pPr>
      <w:r w:rsidRPr="0025285B">
        <w:rPr>
          <w:rFonts w:ascii="Palatino Linotype" w:hAnsi="Palatino Linotype"/>
          <w:b/>
          <w:i/>
          <w:sz w:val="22"/>
          <w:szCs w:val="22"/>
        </w:rPr>
        <w:t>“Artículo 140</w:t>
      </w:r>
      <w:r w:rsidRPr="0025285B">
        <w:rPr>
          <w:rFonts w:ascii="Palatino Linotype" w:hAnsi="Palatino Linotype"/>
          <w:i/>
          <w:sz w:val="22"/>
          <w:szCs w:val="22"/>
        </w:rPr>
        <w:t xml:space="preserve">. El acceso a la información pública será restringido excepcionalmente, cuando por razones de interés público, ésta sea </w:t>
      </w:r>
      <w:r w:rsidRPr="0025285B">
        <w:rPr>
          <w:rFonts w:ascii="Palatino Linotype" w:hAnsi="Palatino Linotype"/>
          <w:b/>
          <w:i/>
          <w:sz w:val="22"/>
          <w:szCs w:val="22"/>
          <w:u w:val="single"/>
        </w:rPr>
        <w:t>clasificada como reservada</w:t>
      </w:r>
      <w:r w:rsidRPr="0025285B">
        <w:rPr>
          <w:rFonts w:ascii="Palatino Linotype" w:hAnsi="Palatino Linotype"/>
          <w:i/>
          <w:sz w:val="22"/>
          <w:szCs w:val="22"/>
        </w:rPr>
        <w:t>, conforme a los criterios siguientes:</w:t>
      </w:r>
    </w:p>
    <w:p w:rsidR="006F5105" w:rsidRPr="0025285B" w:rsidRDefault="006F5105" w:rsidP="006F5105">
      <w:pPr>
        <w:spacing w:line="276" w:lineRule="auto"/>
        <w:ind w:left="851" w:right="616"/>
        <w:jc w:val="both"/>
        <w:rPr>
          <w:rFonts w:ascii="Palatino Linotype" w:eastAsia="Palatino Linotype" w:hAnsi="Palatino Linotype" w:cs="Palatino Linotype"/>
          <w:i/>
          <w:sz w:val="22"/>
          <w:szCs w:val="22"/>
        </w:rPr>
      </w:pPr>
      <w:r w:rsidRPr="0025285B">
        <w:rPr>
          <w:rFonts w:ascii="Palatino Linotype" w:hAnsi="Palatino Linotype"/>
          <w:i/>
          <w:sz w:val="22"/>
          <w:szCs w:val="22"/>
        </w:rPr>
        <w:t xml:space="preserve">I. </w:t>
      </w:r>
      <w:r w:rsidRPr="0025285B">
        <w:rPr>
          <w:rFonts w:ascii="Palatino Linotype" w:hAnsi="Palatino Linotype"/>
          <w:b/>
          <w:i/>
          <w:sz w:val="22"/>
          <w:szCs w:val="22"/>
          <w:u w:val="single"/>
        </w:rPr>
        <w:t>Comprometa la seguridad pública</w:t>
      </w:r>
      <w:r w:rsidRPr="0025285B">
        <w:rPr>
          <w:rFonts w:ascii="Palatino Linotype" w:hAnsi="Palatino Linotype"/>
          <w:i/>
          <w:sz w:val="22"/>
          <w:szCs w:val="22"/>
        </w:rPr>
        <w:t xml:space="preserve"> y cuente con un propósito genuino y un efecto demostrable;</w:t>
      </w:r>
    </w:p>
    <w:p w:rsidR="006F5105" w:rsidRPr="0025285B" w:rsidRDefault="006F5105" w:rsidP="006F5105">
      <w:pPr>
        <w:spacing w:line="276" w:lineRule="auto"/>
        <w:ind w:left="851" w:right="616"/>
        <w:jc w:val="both"/>
        <w:rPr>
          <w:rFonts w:ascii="Palatino Linotype" w:eastAsia="Palatino Linotype" w:hAnsi="Palatino Linotype" w:cs="Palatino Linotype"/>
          <w:i/>
          <w:sz w:val="22"/>
          <w:szCs w:val="22"/>
        </w:rPr>
      </w:pPr>
      <w:r w:rsidRPr="0025285B">
        <w:rPr>
          <w:rFonts w:ascii="Palatino Linotype" w:eastAsia="Palatino Linotype" w:hAnsi="Palatino Linotype" w:cs="Palatino Linotype"/>
          <w:i/>
          <w:sz w:val="22"/>
          <w:szCs w:val="22"/>
        </w:rPr>
        <w:t>…</w:t>
      </w:r>
    </w:p>
    <w:p w:rsidR="006F5105" w:rsidRPr="0025285B" w:rsidRDefault="006F5105" w:rsidP="00840D98">
      <w:pPr>
        <w:spacing w:line="360" w:lineRule="auto"/>
        <w:jc w:val="both"/>
        <w:rPr>
          <w:rFonts w:ascii="Palatino Linotype" w:eastAsia="Palatino Linotype" w:hAnsi="Palatino Linotype" w:cs="Palatino Linotype"/>
        </w:rPr>
      </w:pPr>
    </w:p>
    <w:p w:rsidR="00840D98" w:rsidRPr="0025285B" w:rsidRDefault="006F5105" w:rsidP="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Correlativo a lo </w:t>
      </w:r>
      <w:r w:rsidR="000043E3" w:rsidRPr="0025285B">
        <w:rPr>
          <w:rFonts w:ascii="Palatino Linotype" w:eastAsia="Palatino Linotype" w:hAnsi="Palatino Linotype" w:cs="Palatino Linotype"/>
        </w:rPr>
        <w:t>anterior, los</w:t>
      </w:r>
      <w:r w:rsidR="00840D98" w:rsidRPr="0025285B">
        <w:rPr>
          <w:rFonts w:ascii="Palatino Linotype" w:eastAsia="Palatino Linotype" w:hAnsi="Palatino Linotype" w:cs="Palatino Linotype"/>
        </w:rPr>
        <w:t xml:space="preserve"> Lineamientos Generales en Materia de Clasificación y Desclasificación de la Información, así como para la Elaboración de Versiones Públicas -Lin</w:t>
      </w:r>
      <w:r w:rsidRPr="0025285B">
        <w:rPr>
          <w:rFonts w:ascii="Palatino Linotype" w:eastAsia="Palatino Linotype" w:hAnsi="Palatino Linotype" w:cs="Palatino Linotype"/>
        </w:rPr>
        <w:t xml:space="preserve">eamientos Generales-, </w:t>
      </w:r>
      <w:r w:rsidR="00840D98" w:rsidRPr="0025285B">
        <w:rPr>
          <w:rFonts w:ascii="Palatino Linotype" w:eastAsia="Palatino Linotype" w:hAnsi="Palatino Linotype" w:cs="Palatino Linotype"/>
        </w:rPr>
        <w:t>establecen lo siguiente:</w:t>
      </w:r>
    </w:p>
    <w:p w:rsidR="00840D98" w:rsidRPr="0025285B" w:rsidRDefault="00840D98" w:rsidP="00840D98">
      <w:pPr>
        <w:spacing w:line="360" w:lineRule="auto"/>
        <w:jc w:val="both"/>
        <w:rPr>
          <w:rFonts w:ascii="Palatino Linotype" w:eastAsia="Palatino Linotype" w:hAnsi="Palatino Linotype" w:cs="Palatino Linotype"/>
        </w:rPr>
      </w:pPr>
    </w:p>
    <w:p w:rsidR="00840D98" w:rsidRPr="0025285B" w:rsidRDefault="00840D98" w:rsidP="006F5105">
      <w:pPr>
        <w:spacing w:line="276" w:lineRule="auto"/>
        <w:ind w:left="851" w:right="616"/>
        <w:jc w:val="both"/>
        <w:rPr>
          <w:rFonts w:ascii="Palatino Linotype" w:eastAsia="Palatino Linotype" w:hAnsi="Palatino Linotype" w:cs="Palatino Linotype"/>
          <w:i/>
        </w:rPr>
      </w:pPr>
      <w:r w:rsidRPr="0025285B">
        <w:rPr>
          <w:rFonts w:ascii="Palatino Linotype" w:eastAsia="Palatino Linotype" w:hAnsi="Palatino Linotype" w:cs="Palatino Linotype"/>
          <w:i/>
        </w:rPr>
        <w:t xml:space="preserve">“Décimo séptimo. De conformidad con el artículo 113, fracción I de la Ley General, podrá considerarse como información reservada, aquella que de difundirse actualice o potencialice un riesgo o amenaza a la seguridad nacional cuando: </w:t>
      </w:r>
    </w:p>
    <w:p w:rsidR="00840D98" w:rsidRPr="0025285B" w:rsidRDefault="00840D98" w:rsidP="006F5105">
      <w:pPr>
        <w:spacing w:line="276" w:lineRule="auto"/>
        <w:ind w:left="851" w:right="616"/>
        <w:jc w:val="both"/>
        <w:rPr>
          <w:rFonts w:ascii="Palatino Linotype" w:eastAsia="Palatino Linotype" w:hAnsi="Palatino Linotype" w:cs="Palatino Linotype"/>
          <w:i/>
        </w:rPr>
      </w:pPr>
      <w:r w:rsidRPr="0025285B">
        <w:rPr>
          <w:rFonts w:ascii="Palatino Linotype" w:eastAsia="Palatino Linotype" w:hAnsi="Palatino Linotype" w:cs="Palatino Linotype"/>
          <w:i/>
        </w:rPr>
        <w:t>…</w:t>
      </w:r>
    </w:p>
    <w:p w:rsidR="00840D98" w:rsidRPr="0025285B" w:rsidRDefault="00840D98" w:rsidP="006F5105">
      <w:pPr>
        <w:spacing w:line="276" w:lineRule="auto"/>
        <w:ind w:left="851" w:right="616"/>
        <w:jc w:val="both"/>
        <w:rPr>
          <w:rFonts w:ascii="Palatino Linotype" w:eastAsia="Palatino Linotype" w:hAnsi="Palatino Linotype" w:cs="Palatino Linotype"/>
          <w:i/>
        </w:rPr>
      </w:pPr>
      <w:r w:rsidRPr="0025285B">
        <w:rPr>
          <w:rFonts w:ascii="Palatino Linotype" w:eastAsia="Palatino Linotype" w:hAnsi="Palatino Linotype" w:cs="Palatino Linotype"/>
          <w:i/>
        </w:rPr>
        <w:lastRenderedPageBreak/>
        <w:t>VII. Se puedan menoscabar, obstaculizar o dificultar las estrategias o acciones para combatir la delincuencia organizada, la comisión de los delitos contra la seguridad de la nación, entendiéndose estos últimos como traición a la patria, espionaje, sedición, motín, rebelión, terrorismo, sabotaje, conspiración, el tráfico ilegal de materiales nucleares, de armas químicas, biológicas y convencionales de destrucción masiva;</w:t>
      </w:r>
    </w:p>
    <w:p w:rsidR="00840D98" w:rsidRPr="0025285B" w:rsidRDefault="00840D98" w:rsidP="006F5105">
      <w:pPr>
        <w:spacing w:line="276" w:lineRule="auto"/>
        <w:ind w:left="851" w:right="616"/>
        <w:jc w:val="both"/>
        <w:rPr>
          <w:rFonts w:ascii="Palatino Linotype" w:eastAsia="Palatino Linotype" w:hAnsi="Palatino Linotype" w:cs="Palatino Linotype"/>
          <w:i/>
        </w:rPr>
      </w:pPr>
      <w:r w:rsidRPr="0025285B">
        <w:rPr>
          <w:rFonts w:ascii="Palatino Linotype" w:eastAsia="Palatino Linotype" w:hAnsi="Palatino Linotype" w:cs="Palatino Linotype"/>
          <w:i/>
        </w:rPr>
        <w:t>…</w:t>
      </w:r>
    </w:p>
    <w:p w:rsidR="00326271" w:rsidRPr="0025285B" w:rsidRDefault="00326271" w:rsidP="00840D98">
      <w:pPr>
        <w:spacing w:line="360" w:lineRule="auto"/>
        <w:jc w:val="both"/>
        <w:rPr>
          <w:rFonts w:ascii="Palatino Linotype" w:eastAsia="Palatino Linotype" w:hAnsi="Palatino Linotype" w:cs="Palatino Linotype"/>
        </w:rPr>
      </w:pPr>
    </w:p>
    <w:p w:rsidR="00840D98" w:rsidRPr="0025285B" w:rsidRDefault="00840D98" w:rsidP="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Asimismo, podrá considerarse como reservada aquella que revele datos que pudieran ser aprovechados para conocer la capacidad de reacción de las instituciones encargadas de la seguridad nacional; sus normas, procedimientos, métodos, fuentes, </w:t>
      </w:r>
      <w:r w:rsidRPr="0025285B">
        <w:rPr>
          <w:rFonts w:ascii="Palatino Linotype" w:eastAsia="Palatino Linotype" w:hAnsi="Palatino Linotype" w:cs="Palatino Linotype"/>
          <w:b/>
          <w:u w:val="single"/>
        </w:rPr>
        <w:t>especificaciones técnicas</w:t>
      </w:r>
      <w:r w:rsidRPr="0025285B">
        <w:rPr>
          <w:rFonts w:ascii="Palatino Linotype" w:eastAsia="Palatino Linotype" w:hAnsi="Palatino Linotype" w:cs="Palatino Linotype"/>
        </w:rPr>
        <w:t xml:space="preserve">, tecnología o equipo útiles a la generación de inteligencia para la Seguridad Nacional, sin importar la naturaleza o el origen de los documentos que la consignen. </w:t>
      </w:r>
    </w:p>
    <w:p w:rsidR="00840D98" w:rsidRPr="0025285B" w:rsidRDefault="00840D98" w:rsidP="00840D98">
      <w:pPr>
        <w:spacing w:line="360" w:lineRule="auto"/>
        <w:jc w:val="both"/>
        <w:rPr>
          <w:rFonts w:ascii="Palatino Linotype" w:eastAsia="Palatino Linotype" w:hAnsi="Palatino Linotype" w:cs="Palatino Linotype"/>
        </w:rPr>
      </w:pPr>
    </w:p>
    <w:p w:rsidR="00840D98" w:rsidRPr="0025285B" w:rsidRDefault="006F5105" w:rsidP="006F5105">
      <w:pPr>
        <w:spacing w:line="276" w:lineRule="auto"/>
        <w:ind w:left="851" w:right="616"/>
        <w:jc w:val="both"/>
        <w:rPr>
          <w:rFonts w:ascii="Palatino Linotype" w:eastAsia="Palatino Linotype" w:hAnsi="Palatino Linotype" w:cs="Palatino Linotype"/>
          <w:i/>
        </w:rPr>
      </w:pPr>
      <w:r w:rsidRPr="0025285B">
        <w:rPr>
          <w:rFonts w:ascii="Palatino Linotype" w:eastAsia="Palatino Linotype" w:hAnsi="Palatino Linotype" w:cs="Palatino Linotype"/>
          <w:i/>
        </w:rPr>
        <w:t>“</w:t>
      </w:r>
      <w:r w:rsidR="00840D98" w:rsidRPr="0025285B">
        <w:rPr>
          <w:rFonts w:ascii="Palatino Linotype" w:eastAsia="Palatino Linotype" w:hAnsi="Palatino Linotype" w:cs="Palatino Linotype"/>
          <w:i/>
        </w:rPr>
        <w:t xml:space="preserve">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00840D98" w:rsidRPr="0025285B" w:rsidRDefault="00840D98" w:rsidP="00840D98">
      <w:pPr>
        <w:spacing w:line="360" w:lineRule="auto"/>
        <w:jc w:val="both"/>
        <w:rPr>
          <w:rFonts w:ascii="Palatino Linotype" w:eastAsia="Palatino Linotype" w:hAnsi="Palatino Linotype" w:cs="Palatino Linotype"/>
        </w:rPr>
      </w:pPr>
    </w:p>
    <w:p w:rsidR="00840D98" w:rsidRPr="0025285B" w:rsidRDefault="00840D98" w:rsidP="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Asimismo, podrá considerarse como reservada aquella que revele datos que pudieran ser aprovechados para conocer la capacidad de reacción de las </w:t>
      </w:r>
      <w:r w:rsidRPr="0025285B">
        <w:rPr>
          <w:rFonts w:ascii="Palatino Linotype" w:eastAsia="Palatino Linotype" w:hAnsi="Palatino Linotype" w:cs="Palatino Linotype"/>
        </w:rPr>
        <w:lastRenderedPageBreak/>
        <w:t xml:space="preserve">instituciones encargadas de la seguridad pública, sus planes, estrategias, tecnología, información, sistemas de comunicaciones. </w:t>
      </w:r>
    </w:p>
    <w:p w:rsidR="00840D98" w:rsidRPr="0025285B" w:rsidRDefault="00840D98" w:rsidP="00840D98">
      <w:pPr>
        <w:spacing w:line="360" w:lineRule="auto"/>
        <w:jc w:val="both"/>
        <w:rPr>
          <w:rFonts w:ascii="Palatino Linotype" w:eastAsia="Palatino Linotype" w:hAnsi="Palatino Linotype" w:cs="Palatino Linotype"/>
        </w:rPr>
      </w:pPr>
    </w:p>
    <w:p w:rsidR="00840D98" w:rsidRPr="0025285B" w:rsidRDefault="000043E3" w:rsidP="000043E3">
      <w:pPr>
        <w:spacing w:line="360" w:lineRule="auto"/>
        <w:ind w:left="851" w:right="616"/>
        <w:jc w:val="both"/>
        <w:rPr>
          <w:rFonts w:ascii="Palatino Linotype" w:eastAsia="Palatino Linotype" w:hAnsi="Palatino Linotype" w:cs="Palatino Linotype"/>
          <w:i/>
          <w:sz w:val="20"/>
          <w:szCs w:val="20"/>
        </w:rPr>
      </w:pPr>
      <w:r w:rsidRPr="0025285B">
        <w:rPr>
          <w:rFonts w:ascii="Palatino Linotype" w:eastAsia="Palatino Linotype" w:hAnsi="Palatino Linotype" w:cs="Palatino Linotype"/>
          <w:i/>
          <w:sz w:val="20"/>
          <w:szCs w:val="20"/>
        </w:rPr>
        <w:t>“</w:t>
      </w:r>
      <w:r w:rsidR="00840D98" w:rsidRPr="0025285B">
        <w:rPr>
          <w:rFonts w:ascii="Palatino Linotype" w:eastAsia="Palatino Linotype" w:hAnsi="Palatino Linotype" w:cs="Palatino Linotype"/>
          <w:i/>
          <w:sz w:val="20"/>
          <w:szCs w:val="20"/>
        </w:rPr>
        <w:t>Décimo noveno. De conformidad con el artículo 113, fracción I de la Ley General, podrá considerarse como información reservada que compromete la defensa nacional, aquella que difunda, actualice o potencialice un riesgo o amenaza que ponga en peligro las misiones generales del Ejército, Fuerza Aérea Mexicana o Armada de México, relacionadas con la defensa del Estado mexicano, para salvaguardar la soberanía y defender la integridad, y permanencia del territorio nacional. 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rsidR="00840D98" w:rsidRPr="0025285B" w:rsidRDefault="00840D98" w:rsidP="00840D98">
      <w:pPr>
        <w:spacing w:line="360" w:lineRule="auto"/>
        <w:jc w:val="both"/>
        <w:rPr>
          <w:rFonts w:ascii="Palatino Linotype" w:eastAsia="Palatino Linotype" w:hAnsi="Palatino Linotype" w:cs="Palatino Linotype"/>
        </w:rPr>
      </w:pPr>
    </w:p>
    <w:p w:rsidR="00840D98" w:rsidRPr="0025285B" w:rsidRDefault="00840D98" w:rsidP="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Del Lineamiento referido, se desprende que para clasificar la información como reservada, será aquella que revele datos que pudieran ser aprovechados para conocer la capacidad de reacción de las instituciones encargadas de la seguridad pública y que pongan en peligro la seguridad pública y funciones de los Municipios, tendientes a preservar y resguardar la vida e integridad física de los gobernados.</w:t>
      </w:r>
    </w:p>
    <w:p w:rsidR="00840D98" w:rsidRPr="0025285B" w:rsidRDefault="00840D98">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Así las cosas, este Pleno considera oportuna la entrega del Acuerdo del Comité de Transparencia donde se aprobó la clasificación de la información y la elaboración de la versión pública del contrato solicitado por </w:t>
      </w:r>
      <w:r w:rsidRPr="0025285B">
        <w:rPr>
          <w:rFonts w:ascii="Palatino Linotype" w:eastAsia="Palatino Linotype" w:hAnsi="Palatino Linotype" w:cs="Palatino Linotype"/>
          <w:b/>
        </w:rPr>
        <w:t>LA PARTE RECURRENTE</w:t>
      </w:r>
      <w:r w:rsidRPr="0025285B">
        <w:rPr>
          <w:rFonts w:ascii="Palatino Linotype" w:eastAsia="Palatino Linotype" w:hAnsi="Palatino Linotype" w:cs="Palatino Linotype"/>
        </w:rPr>
        <w:t xml:space="preserve"> contenido en el registro número veinticinco de la fracción XXIX A del portal de IPOMEX del </w:t>
      </w:r>
      <w:r w:rsidRPr="0025285B">
        <w:rPr>
          <w:rFonts w:ascii="Palatino Linotype" w:eastAsia="Palatino Linotype" w:hAnsi="Palatino Linotype" w:cs="Palatino Linotype"/>
          <w:b/>
        </w:rPr>
        <w:t xml:space="preserve">SUJETO OBLIGADO. </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pBdr>
          <w:top w:val="nil"/>
          <w:left w:val="nil"/>
          <w:bottom w:val="nil"/>
          <w:right w:val="nil"/>
          <w:between w:val="nil"/>
        </w:pBd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lastRenderedPageBreak/>
        <w:t xml:space="preserve">De lo hasta aquí expuesto, se concluye que los motivos de inconformidad de </w:t>
      </w:r>
      <w:r w:rsidRPr="0025285B">
        <w:rPr>
          <w:rFonts w:ascii="Palatino Linotype" w:eastAsia="Palatino Linotype" w:hAnsi="Palatino Linotype" w:cs="Palatino Linotype"/>
          <w:b/>
        </w:rPr>
        <w:t xml:space="preserve">LA PARTE RECURRENTE </w:t>
      </w:r>
      <w:r w:rsidRPr="0025285B">
        <w:rPr>
          <w:rFonts w:ascii="Palatino Linotype" w:eastAsia="Palatino Linotype" w:hAnsi="Palatino Linotype" w:cs="Palatino Linotype"/>
        </w:rPr>
        <w:t xml:space="preserve">devienen </w:t>
      </w:r>
      <w:r w:rsidRPr="0025285B">
        <w:rPr>
          <w:rFonts w:ascii="Palatino Linotype" w:eastAsia="Palatino Linotype" w:hAnsi="Palatino Linotype" w:cs="Palatino Linotype"/>
          <w:b/>
        </w:rPr>
        <w:t>PARCIALMENTE FUNDADOS,</w:t>
      </w:r>
      <w:r w:rsidRPr="0025285B">
        <w:rPr>
          <w:rFonts w:ascii="Palatino Linotype" w:eastAsia="Palatino Linotype" w:hAnsi="Palatino Linotype" w:cs="Palatino Linotype"/>
        </w:rPr>
        <w:t xml:space="preserve"> siendo procedente </w:t>
      </w:r>
      <w:r w:rsidRPr="0025285B">
        <w:rPr>
          <w:rFonts w:ascii="Palatino Linotype" w:eastAsia="Palatino Linotype" w:hAnsi="Palatino Linotype" w:cs="Palatino Linotype"/>
          <w:b/>
        </w:rPr>
        <w:t>MODIFICAR</w:t>
      </w:r>
      <w:r w:rsidRPr="0025285B">
        <w:rPr>
          <w:rFonts w:ascii="Palatino Linotype" w:eastAsia="Palatino Linotype" w:hAnsi="Palatino Linotype" w:cs="Palatino Linotype"/>
          <w:i/>
        </w:rPr>
        <w:t xml:space="preserve"> </w:t>
      </w:r>
      <w:r w:rsidRPr="0025285B">
        <w:rPr>
          <w:rFonts w:ascii="Palatino Linotype" w:eastAsia="Palatino Linotype" w:hAnsi="Palatino Linotype" w:cs="Palatino Linotype"/>
        </w:rPr>
        <w:t xml:space="preserve">la respuesta proporcionada por </w:t>
      </w:r>
      <w:r w:rsidRPr="0025285B">
        <w:rPr>
          <w:rFonts w:ascii="Palatino Linotype" w:eastAsia="Palatino Linotype" w:hAnsi="Palatino Linotype" w:cs="Palatino Linotype"/>
          <w:b/>
        </w:rPr>
        <w:t xml:space="preserve">EL SUJETO OBLIGADO </w:t>
      </w:r>
      <w:r w:rsidRPr="0025285B">
        <w:rPr>
          <w:rFonts w:ascii="Palatino Linotype" w:eastAsia="Palatino Linotype" w:hAnsi="Palatino Linotype" w:cs="Palatino Linotype"/>
        </w:rPr>
        <w:t>en términos del artículo 186 fracción III de la Ley de Transparencia y Acceso a la Información Pública del Estado de México y Municipios.</w:t>
      </w:r>
    </w:p>
    <w:p w:rsidR="005B28B6" w:rsidRPr="0025285B" w:rsidRDefault="005B28B6">
      <w:pPr>
        <w:pBdr>
          <w:top w:val="nil"/>
          <w:left w:val="nil"/>
          <w:bottom w:val="nil"/>
          <w:right w:val="nil"/>
          <w:between w:val="nil"/>
        </w:pBdr>
        <w:spacing w:line="360" w:lineRule="auto"/>
        <w:jc w:val="both"/>
        <w:rPr>
          <w:rFonts w:ascii="Palatino Linotype" w:eastAsia="Palatino Linotype" w:hAnsi="Palatino Linotype" w:cs="Palatino Linotype"/>
        </w:rPr>
      </w:pPr>
    </w:p>
    <w:p w:rsidR="005B28B6" w:rsidRPr="0025285B" w:rsidRDefault="00840D98">
      <w:pPr>
        <w:pBdr>
          <w:top w:val="nil"/>
          <w:left w:val="nil"/>
          <w:bottom w:val="nil"/>
          <w:right w:val="nil"/>
          <w:between w:val="nil"/>
        </w:pBd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5B28B6" w:rsidRPr="0025285B" w:rsidRDefault="005B28B6">
      <w:pPr>
        <w:pBdr>
          <w:top w:val="nil"/>
          <w:left w:val="nil"/>
          <w:bottom w:val="nil"/>
          <w:right w:val="nil"/>
          <w:between w:val="nil"/>
        </w:pBdr>
        <w:spacing w:line="360" w:lineRule="auto"/>
        <w:jc w:val="both"/>
        <w:rPr>
          <w:rFonts w:ascii="Palatino Linotype" w:eastAsia="Palatino Linotype" w:hAnsi="Palatino Linotype" w:cs="Palatino Linotype"/>
        </w:rPr>
      </w:pPr>
      <w:bookmarkStart w:id="6" w:name="_heading=h.1fob9te" w:colFirst="0" w:colLast="0"/>
      <w:bookmarkEnd w:id="6"/>
    </w:p>
    <w:p w:rsidR="005B28B6" w:rsidRPr="0025285B" w:rsidRDefault="00840D98">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25285B">
        <w:rPr>
          <w:rFonts w:ascii="Palatino Linotype" w:eastAsia="Palatino Linotype" w:hAnsi="Palatino Linotype" w:cs="Palatino Linotype"/>
          <w:b/>
          <w:color w:val="000000"/>
        </w:rPr>
        <w:t>R E S U E L V E</w:t>
      </w:r>
    </w:p>
    <w:p w:rsidR="005B28B6" w:rsidRPr="0025285B" w:rsidRDefault="005B28B6">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5B28B6" w:rsidRPr="0025285B" w:rsidRDefault="00840D98">
      <w:pPr>
        <w:spacing w:line="360" w:lineRule="auto"/>
        <w:jc w:val="both"/>
        <w:rPr>
          <w:rFonts w:ascii="Palatino Linotype" w:eastAsia="Palatino Linotype" w:hAnsi="Palatino Linotype" w:cs="Palatino Linotype"/>
          <w:b/>
        </w:rPr>
      </w:pPr>
      <w:bookmarkStart w:id="7" w:name="_heading=h.4d34og8" w:colFirst="0" w:colLast="0"/>
      <w:bookmarkEnd w:id="7"/>
      <w:r w:rsidRPr="0025285B">
        <w:rPr>
          <w:rFonts w:ascii="Palatino Linotype" w:eastAsia="Palatino Linotype" w:hAnsi="Palatino Linotype" w:cs="Palatino Linotype"/>
          <w:b/>
        </w:rPr>
        <w:t xml:space="preserve">PRIMERO. </w:t>
      </w:r>
      <w:r w:rsidRPr="0025285B">
        <w:rPr>
          <w:rFonts w:ascii="Palatino Linotype" w:eastAsia="Palatino Linotype" w:hAnsi="Palatino Linotype" w:cs="Palatino Linotype"/>
        </w:rPr>
        <w:t xml:space="preserve">Resultan </w:t>
      </w:r>
      <w:r w:rsidRPr="0025285B">
        <w:rPr>
          <w:rFonts w:ascii="Palatino Linotype" w:eastAsia="Palatino Linotype" w:hAnsi="Palatino Linotype" w:cs="Palatino Linotype"/>
          <w:b/>
        </w:rPr>
        <w:t>PARCIALMENTE FUNDADOS</w:t>
      </w:r>
      <w:r w:rsidRPr="0025285B">
        <w:rPr>
          <w:rFonts w:ascii="Palatino Linotype" w:eastAsia="Palatino Linotype" w:hAnsi="Palatino Linotype" w:cs="Palatino Linotype"/>
        </w:rPr>
        <w:t xml:space="preserve"> los motivos de inconformidad hechos valer por </w:t>
      </w:r>
      <w:r w:rsidRPr="0025285B">
        <w:rPr>
          <w:rFonts w:ascii="Palatino Linotype" w:eastAsia="Palatino Linotype" w:hAnsi="Palatino Linotype" w:cs="Palatino Linotype"/>
          <w:b/>
        </w:rPr>
        <w:t xml:space="preserve">LA PARTE RECURRENTE </w:t>
      </w:r>
      <w:r w:rsidRPr="0025285B">
        <w:rPr>
          <w:rFonts w:ascii="Palatino Linotype" w:eastAsia="Palatino Linotype" w:hAnsi="Palatino Linotype" w:cs="Palatino Linotype"/>
        </w:rPr>
        <w:t xml:space="preserve">en el recurso de revisión </w:t>
      </w:r>
      <w:r w:rsidRPr="0025285B">
        <w:rPr>
          <w:rFonts w:ascii="Palatino Linotype" w:eastAsia="Palatino Linotype" w:hAnsi="Palatino Linotype" w:cs="Palatino Linotype"/>
          <w:b/>
        </w:rPr>
        <w:t xml:space="preserve">17009/INFOEM/IP/RR/2022, </w:t>
      </w:r>
      <w:r w:rsidRPr="0025285B">
        <w:rPr>
          <w:rFonts w:ascii="Palatino Linotype" w:eastAsia="Palatino Linotype" w:hAnsi="Palatino Linotype" w:cs="Palatino Linotype"/>
        </w:rPr>
        <w:t xml:space="preserve">por lo que, en términos del </w:t>
      </w:r>
      <w:r w:rsidRPr="0025285B">
        <w:rPr>
          <w:rFonts w:ascii="Palatino Linotype" w:eastAsia="Palatino Linotype" w:hAnsi="Palatino Linotype" w:cs="Palatino Linotype"/>
          <w:b/>
        </w:rPr>
        <w:t>CONSIDERANDO CUARTO</w:t>
      </w:r>
      <w:r w:rsidRPr="0025285B">
        <w:rPr>
          <w:rFonts w:ascii="Palatino Linotype" w:eastAsia="Palatino Linotype" w:hAnsi="Palatino Linotype" w:cs="Palatino Linotype"/>
        </w:rPr>
        <w:t xml:space="preserve"> de la presente resolución, se</w:t>
      </w:r>
      <w:r w:rsidRPr="0025285B">
        <w:rPr>
          <w:rFonts w:ascii="Palatino Linotype" w:eastAsia="Palatino Linotype" w:hAnsi="Palatino Linotype" w:cs="Palatino Linotype"/>
          <w:b/>
        </w:rPr>
        <w:t xml:space="preserve"> MODIFICA </w:t>
      </w:r>
      <w:r w:rsidRPr="0025285B">
        <w:rPr>
          <w:rFonts w:ascii="Palatino Linotype" w:eastAsia="Palatino Linotype" w:hAnsi="Palatino Linotype" w:cs="Palatino Linotype"/>
        </w:rPr>
        <w:t>la respuesta</w:t>
      </w:r>
      <w:r w:rsidRPr="0025285B">
        <w:rPr>
          <w:rFonts w:ascii="Palatino Linotype" w:eastAsia="Palatino Linotype" w:hAnsi="Palatino Linotype" w:cs="Palatino Linotype"/>
          <w:b/>
        </w:rPr>
        <w:t xml:space="preserve"> </w:t>
      </w:r>
      <w:r w:rsidRPr="0025285B">
        <w:rPr>
          <w:rFonts w:ascii="Palatino Linotype" w:eastAsia="Palatino Linotype" w:hAnsi="Palatino Linotype" w:cs="Palatino Linotype"/>
        </w:rPr>
        <w:t xml:space="preserve">del </w:t>
      </w:r>
      <w:r w:rsidRPr="0025285B">
        <w:rPr>
          <w:rFonts w:ascii="Palatino Linotype" w:eastAsia="Palatino Linotype" w:hAnsi="Palatino Linotype" w:cs="Palatino Linotype"/>
          <w:b/>
        </w:rPr>
        <w:t>SUJETO OBLIGADO.</w:t>
      </w:r>
    </w:p>
    <w:p w:rsidR="005B28B6" w:rsidRPr="0025285B" w:rsidRDefault="005B28B6">
      <w:pPr>
        <w:spacing w:line="360" w:lineRule="auto"/>
        <w:jc w:val="both"/>
        <w:rPr>
          <w:rFonts w:ascii="Palatino Linotype" w:eastAsia="Palatino Linotype" w:hAnsi="Palatino Linotype" w:cs="Palatino Linotype"/>
          <w:b/>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 xml:space="preserve">SEGUNDO. </w:t>
      </w:r>
      <w:r w:rsidRPr="0025285B">
        <w:rPr>
          <w:rFonts w:ascii="Palatino Linotype" w:eastAsia="Palatino Linotype" w:hAnsi="Palatino Linotype" w:cs="Palatino Linotype"/>
        </w:rPr>
        <w:t xml:space="preserve">Se </w:t>
      </w:r>
      <w:r w:rsidRPr="0025285B">
        <w:rPr>
          <w:rFonts w:ascii="Palatino Linotype" w:eastAsia="Palatino Linotype" w:hAnsi="Palatino Linotype" w:cs="Palatino Linotype"/>
          <w:b/>
        </w:rPr>
        <w:t>ORDENA</w:t>
      </w:r>
      <w:r w:rsidRPr="0025285B">
        <w:rPr>
          <w:rFonts w:ascii="Palatino Linotype" w:eastAsia="Palatino Linotype" w:hAnsi="Palatino Linotype" w:cs="Palatino Linotype"/>
        </w:rPr>
        <w:t xml:space="preserve"> al </w:t>
      </w:r>
      <w:r w:rsidRPr="0025285B">
        <w:rPr>
          <w:rFonts w:ascii="Palatino Linotype" w:eastAsia="Palatino Linotype" w:hAnsi="Palatino Linotype" w:cs="Palatino Linotype"/>
          <w:b/>
        </w:rPr>
        <w:t>SUJETO OBLIGADO</w:t>
      </w:r>
      <w:r w:rsidRPr="0025285B">
        <w:rPr>
          <w:rFonts w:ascii="Palatino Linotype" w:eastAsia="Palatino Linotype" w:hAnsi="Palatino Linotype" w:cs="Palatino Linotype"/>
        </w:rPr>
        <w:t xml:space="preserve">, en términos del </w:t>
      </w:r>
      <w:r w:rsidRPr="0025285B">
        <w:rPr>
          <w:rFonts w:ascii="Palatino Linotype" w:eastAsia="Palatino Linotype" w:hAnsi="Palatino Linotype" w:cs="Palatino Linotype"/>
          <w:b/>
        </w:rPr>
        <w:t xml:space="preserve">CONSIDERANDO CUARTO </w:t>
      </w:r>
      <w:r w:rsidRPr="0025285B">
        <w:rPr>
          <w:rFonts w:ascii="Palatino Linotype" w:eastAsia="Palatino Linotype" w:hAnsi="Palatino Linotype" w:cs="Palatino Linotype"/>
        </w:rPr>
        <w:t>de esta resolución, haga entrega, vía SAIMEX de lo siguiente:</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5285B">
        <w:rPr>
          <w:rFonts w:ascii="Palatino Linotype" w:eastAsia="Palatino Linotype" w:hAnsi="Palatino Linotype" w:cs="Palatino Linotype"/>
          <w:color w:val="000000"/>
        </w:rPr>
        <w:lastRenderedPageBreak/>
        <w:t>Acuerdo de Clasificación del Comité de Transparencia, con motivo de la elaboración de la versión pública respecto de los documentos que fueron referidos en respuesta y que se encuentran publicados en IPOMEX.</w:t>
      </w:r>
    </w:p>
    <w:p w:rsidR="005B28B6" w:rsidRPr="0025285B" w:rsidRDefault="005B28B6">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5B28B6" w:rsidRPr="0025285B" w:rsidRDefault="00840D98">
      <w:pPr>
        <w:spacing w:line="360" w:lineRule="auto"/>
        <w:jc w:val="both"/>
        <w:rPr>
          <w:rFonts w:ascii="Palatino Linotype" w:eastAsia="Palatino Linotype" w:hAnsi="Palatino Linotype" w:cs="Palatino Linotype"/>
          <w:b/>
        </w:rPr>
      </w:pPr>
      <w:r w:rsidRPr="0025285B">
        <w:rPr>
          <w:rFonts w:ascii="Palatino Linotype" w:eastAsia="Palatino Linotype" w:hAnsi="Palatino Linotype" w:cs="Palatino Linotype"/>
          <w:b/>
        </w:rPr>
        <w:t xml:space="preserve">TERCERO. Notifíquese, </w:t>
      </w:r>
      <w:r w:rsidRPr="0025285B">
        <w:rPr>
          <w:rFonts w:ascii="Palatino Linotype" w:eastAsia="Palatino Linotype" w:hAnsi="Palatino Linotype" w:cs="Palatino Linotype"/>
        </w:rPr>
        <w:t>vía</w:t>
      </w:r>
      <w:r w:rsidRPr="0025285B">
        <w:rPr>
          <w:rFonts w:ascii="Palatino Linotype" w:eastAsia="Palatino Linotype" w:hAnsi="Palatino Linotype" w:cs="Palatino Linotype"/>
          <w:b/>
        </w:rPr>
        <w:t xml:space="preserve"> </w:t>
      </w:r>
      <w:r w:rsidRPr="0025285B">
        <w:rPr>
          <w:rFonts w:ascii="Palatino Linotype" w:eastAsia="Palatino Linotype" w:hAnsi="Palatino Linotype" w:cs="Palatino Linotype"/>
        </w:rPr>
        <w:t>SAIMEX</w:t>
      </w:r>
      <w:r w:rsidRPr="0025285B">
        <w:rPr>
          <w:rFonts w:ascii="Palatino Linotype" w:eastAsia="Palatino Linotype" w:hAnsi="Palatino Linotype" w:cs="Palatino Linotype"/>
          <w:b/>
        </w:rPr>
        <w:t xml:space="preserve">, </w:t>
      </w:r>
      <w:r w:rsidRPr="0025285B">
        <w:rPr>
          <w:rFonts w:ascii="Palatino Linotype" w:eastAsia="Palatino Linotype" w:hAnsi="Palatino Linotype" w:cs="Palatino Linotype"/>
        </w:rPr>
        <w:t xml:space="preserve">a la persona Titular de la Unidad de Transparencia del </w:t>
      </w:r>
      <w:r w:rsidRPr="0025285B">
        <w:rPr>
          <w:rFonts w:ascii="Palatino Linotype" w:eastAsia="Palatino Linotype" w:hAnsi="Palatino Linotype" w:cs="Palatino Linotype"/>
          <w:b/>
        </w:rPr>
        <w:t>SUJETO OBLIGADO</w:t>
      </w:r>
      <w:r w:rsidRPr="0025285B">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25285B">
        <w:rPr>
          <w:rFonts w:ascii="Palatino Linotype" w:eastAsia="Palatino Linotype" w:hAnsi="Palatino Linotype" w:cs="Palatino Linotype"/>
          <w:b/>
        </w:rPr>
        <w:t>.</w:t>
      </w:r>
    </w:p>
    <w:p w:rsidR="005B28B6" w:rsidRPr="0025285B" w:rsidRDefault="005B28B6">
      <w:pPr>
        <w:spacing w:line="360" w:lineRule="auto"/>
        <w:jc w:val="both"/>
        <w:rPr>
          <w:rFonts w:ascii="Palatino Linotype" w:eastAsia="Palatino Linotype" w:hAnsi="Palatino Linotype" w:cs="Palatino Linotype"/>
          <w:b/>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25285B">
        <w:rPr>
          <w:rFonts w:ascii="Palatino Linotype" w:eastAsia="Palatino Linotype" w:hAnsi="Palatino Linotype" w:cs="Palatino Linotype"/>
          <w:b/>
        </w:rPr>
        <w:t>EL SUJETO OBLIGADO</w:t>
      </w:r>
      <w:r w:rsidRPr="0025285B">
        <w:rPr>
          <w:rFonts w:ascii="Palatino Linotype" w:eastAsia="Palatino Linotype" w:hAnsi="Palatino Linotype" w:cs="Palatino Linotype"/>
        </w:rPr>
        <w:t xml:space="preserve"> de manera fundada y motivada, podrá solicitar una ampliación de plazo para el cumplimiento de la presente resolución.</w:t>
      </w:r>
    </w:p>
    <w:p w:rsidR="005B28B6" w:rsidRPr="0025285B" w:rsidRDefault="005B28B6">
      <w:pPr>
        <w:spacing w:line="360" w:lineRule="auto"/>
        <w:jc w:val="both"/>
        <w:rPr>
          <w:rFonts w:ascii="Palatino Linotype" w:eastAsia="Palatino Linotype" w:hAnsi="Palatino Linotype" w:cs="Palatino Linotype"/>
        </w:rPr>
      </w:pPr>
    </w:p>
    <w:p w:rsidR="005B28B6" w:rsidRPr="0025285B"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b/>
        </w:rPr>
        <w:t xml:space="preserve">CUARTO.  Notifíquese, </w:t>
      </w:r>
      <w:r w:rsidRPr="0025285B">
        <w:rPr>
          <w:rFonts w:ascii="Palatino Linotype" w:eastAsia="Palatino Linotype" w:hAnsi="Palatino Linotype" w:cs="Palatino Linotype"/>
        </w:rPr>
        <w:t>vía SAIMEX,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5B28B6" w:rsidRPr="0025285B" w:rsidRDefault="005B28B6">
      <w:pPr>
        <w:spacing w:line="360" w:lineRule="auto"/>
        <w:jc w:val="both"/>
        <w:rPr>
          <w:rFonts w:ascii="Palatino Linotype" w:eastAsia="Palatino Linotype" w:hAnsi="Palatino Linotype" w:cs="Palatino Linotype"/>
        </w:rPr>
      </w:pPr>
    </w:p>
    <w:p w:rsidR="005B28B6" w:rsidRDefault="00840D98">
      <w:pPr>
        <w:spacing w:line="360" w:lineRule="auto"/>
        <w:jc w:val="both"/>
        <w:rPr>
          <w:rFonts w:ascii="Palatino Linotype" w:eastAsia="Palatino Linotype" w:hAnsi="Palatino Linotype" w:cs="Palatino Linotype"/>
        </w:rPr>
      </w:pPr>
      <w:r w:rsidRPr="0025285B">
        <w:rPr>
          <w:rFonts w:ascii="Palatino Linotype" w:eastAsia="Palatino Linotype" w:hAnsi="Palatino Linotype" w:cs="Palatino Linotype"/>
        </w:rPr>
        <w:lastRenderedPageBreak/>
        <w:t>ASÍ LO RESUELVE</w:t>
      </w:r>
      <w:r w:rsidR="00804E80" w:rsidRPr="0025285B">
        <w:rPr>
          <w:rFonts w:ascii="Palatino Linotype" w:eastAsia="Palatino Linotype" w:hAnsi="Palatino Linotype" w:cs="Palatino Linotype"/>
        </w:rPr>
        <w:t>, POR UNANIMIDAD</w:t>
      </w:r>
      <w:r w:rsidRPr="0025285B">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2A3646" w:rsidRPr="0025285B">
        <w:rPr>
          <w:rFonts w:ascii="Palatino Linotype" w:eastAsia="Palatino Linotype" w:hAnsi="Palatino Linotype" w:cs="Palatino Linotype"/>
        </w:rPr>
        <w:t xml:space="preserve"> EMITIENDO VOTO PARTICULAR,</w:t>
      </w:r>
      <w:r w:rsidRPr="0025285B">
        <w:rPr>
          <w:rFonts w:ascii="Palatino Linotype" w:eastAsia="Palatino Linotype" w:hAnsi="Palatino Linotype" w:cs="Palatino Linotype"/>
        </w:rPr>
        <w:t xml:space="preserve"> Y GUADALUPE RAMÍREZ PEÑA, EN LA DÉCIMA TERCERA SESIÓN ORDINARIA CELEBRADA EL DOCE DE ABRIL DE DOS MIL VEINTITRÉS, ANTE EL SECRETARIO TÉCNICO DEL PLENO ALEXIS TAPIA RAMÍREZ.</w:t>
      </w:r>
    </w:p>
    <w:p w:rsidR="005B28B6" w:rsidRDefault="005B28B6">
      <w:pPr>
        <w:spacing w:line="360" w:lineRule="auto"/>
        <w:jc w:val="both"/>
        <w:rPr>
          <w:rFonts w:ascii="Palatino Linotype" w:eastAsia="Palatino Linotype" w:hAnsi="Palatino Linotype" w:cs="Palatino Linotype"/>
        </w:rPr>
      </w:pPr>
    </w:p>
    <w:p w:rsidR="005B28B6" w:rsidRDefault="005B28B6">
      <w:pPr>
        <w:spacing w:line="360" w:lineRule="auto"/>
        <w:jc w:val="both"/>
        <w:rPr>
          <w:rFonts w:ascii="Palatino Linotype" w:eastAsia="Palatino Linotype" w:hAnsi="Palatino Linotype" w:cs="Palatino Linotype"/>
        </w:rPr>
      </w:pPr>
    </w:p>
    <w:p w:rsidR="005B28B6" w:rsidRDefault="005B28B6">
      <w:pPr>
        <w:spacing w:line="360" w:lineRule="auto"/>
        <w:jc w:val="both"/>
        <w:rPr>
          <w:rFonts w:ascii="Palatino Linotype" w:eastAsia="Palatino Linotype" w:hAnsi="Palatino Linotype" w:cs="Palatino Linotype"/>
        </w:rPr>
      </w:pPr>
    </w:p>
    <w:p w:rsidR="005B28B6" w:rsidRDefault="005B28B6">
      <w:pPr>
        <w:spacing w:line="360" w:lineRule="auto"/>
        <w:jc w:val="both"/>
        <w:rPr>
          <w:rFonts w:ascii="Palatino Linotype" w:eastAsia="Palatino Linotype" w:hAnsi="Palatino Linotype" w:cs="Palatino Linotype"/>
        </w:rPr>
      </w:pPr>
    </w:p>
    <w:p w:rsidR="005B28B6" w:rsidRDefault="005B28B6">
      <w:pPr>
        <w:spacing w:line="360" w:lineRule="auto"/>
        <w:jc w:val="both"/>
        <w:rPr>
          <w:rFonts w:ascii="Palatino Linotype" w:eastAsia="Palatino Linotype" w:hAnsi="Palatino Linotype" w:cs="Palatino Linotype"/>
        </w:rPr>
      </w:pPr>
    </w:p>
    <w:p w:rsidR="005B28B6" w:rsidRDefault="005B28B6">
      <w:pPr>
        <w:spacing w:line="360" w:lineRule="auto"/>
        <w:jc w:val="both"/>
        <w:rPr>
          <w:rFonts w:ascii="Palatino Linotype" w:eastAsia="Palatino Linotype" w:hAnsi="Palatino Linotype" w:cs="Palatino Linotype"/>
        </w:rPr>
      </w:pPr>
    </w:p>
    <w:p w:rsidR="005B28B6" w:rsidRDefault="005B28B6">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4317FC" w:rsidRDefault="004317FC">
      <w:pPr>
        <w:spacing w:line="360" w:lineRule="auto"/>
        <w:jc w:val="both"/>
        <w:rPr>
          <w:rFonts w:ascii="Palatino Linotype" w:eastAsia="Palatino Linotype" w:hAnsi="Palatino Linotype" w:cs="Palatino Linotype"/>
        </w:rPr>
      </w:pPr>
    </w:p>
    <w:p w:rsidR="005B28B6" w:rsidRDefault="005B28B6">
      <w:pPr>
        <w:spacing w:line="360" w:lineRule="auto"/>
        <w:jc w:val="both"/>
        <w:rPr>
          <w:rFonts w:ascii="Palatino Linotype" w:eastAsia="Palatino Linotype" w:hAnsi="Palatino Linotype" w:cs="Palatino Linotype"/>
        </w:rPr>
      </w:pPr>
    </w:p>
    <w:sectPr w:rsidR="005B28B6">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A5A" w:rsidRDefault="00A56A5A">
      <w:r>
        <w:separator/>
      </w:r>
    </w:p>
  </w:endnote>
  <w:endnote w:type="continuationSeparator" w:id="0">
    <w:p w:rsidR="00A56A5A" w:rsidRDefault="00A5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8B6" w:rsidRDefault="00840D9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51F91">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51F91">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rsidR="005B28B6" w:rsidRDefault="005B28B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8B6" w:rsidRDefault="00840D9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E084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E0840">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rsidR="005B28B6" w:rsidRDefault="005B28B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A5A" w:rsidRDefault="00A56A5A">
      <w:r>
        <w:separator/>
      </w:r>
    </w:p>
  </w:footnote>
  <w:footnote w:type="continuationSeparator" w:id="0">
    <w:p w:rsidR="00A56A5A" w:rsidRDefault="00A56A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8B6" w:rsidRDefault="00840D98">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-1080122</wp:posOffset>
          </wp:positionH>
          <wp:positionV relativeFrom="paragraph">
            <wp:posOffset>-488300</wp:posOffset>
          </wp:positionV>
          <wp:extent cx="7809865" cy="10165715"/>
          <wp:effectExtent l="0" t="0" r="0" b="0"/>
          <wp:wrapNone/>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953" w:type="dxa"/>
      <w:tblInd w:w="3261" w:type="dxa"/>
      <w:tblLayout w:type="fixed"/>
      <w:tblLook w:val="0400" w:firstRow="0" w:lastRow="0" w:firstColumn="0" w:lastColumn="0" w:noHBand="0" w:noVBand="1"/>
    </w:tblPr>
    <w:tblGrid>
      <w:gridCol w:w="2489"/>
      <w:gridCol w:w="3464"/>
    </w:tblGrid>
    <w:tr w:rsidR="005B28B6">
      <w:tc>
        <w:tcPr>
          <w:tcW w:w="2489" w:type="dxa"/>
          <w:shd w:val="clear" w:color="auto" w:fill="auto"/>
        </w:tcPr>
        <w:p w:rsidR="005B28B6" w:rsidRDefault="00840D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5B28B6" w:rsidRDefault="00840D9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17009/INFOEM/IP/RR/2022</w:t>
          </w:r>
        </w:p>
      </w:tc>
    </w:tr>
    <w:tr w:rsidR="005B28B6">
      <w:trPr>
        <w:trHeight w:val="228"/>
      </w:trPr>
      <w:tc>
        <w:tcPr>
          <w:tcW w:w="2489" w:type="dxa"/>
          <w:shd w:val="clear" w:color="auto" w:fill="auto"/>
          <w:vAlign w:val="center"/>
        </w:tcPr>
        <w:p w:rsidR="005B28B6" w:rsidRDefault="00840D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5B28B6" w:rsidRDefault="00840D9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5B28B6">
      <w:tc>
        <w:tcPr>
          <w:tcW w:w="2489" w:type="dxa"/>
          <w:shd w:val="clear" w:color="auto" w:fill="auto"/>
          <w:vAlign w:val="center"/>
        </w:tcPr>
        <w:p w:rsidR="005B28B6" w:rsidRDefault="00840D9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5B28B6" w:rsidRDefault="00840D9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B28B6" w:rsidRDefault="00840D9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8B6" w:rsidRDefault="005B28B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2"/>
      <w:tblW w:w="5670" w:type="dxa"/>
      <w:tblInd w:w="3261" w:type="dxa"/>
      <w:tblLayout w:type="fixed"/>
      <w:tblLook w:val="0400" w:firstRow="0" w:lastRow="0" w:firstColumn="0" w:lastColumn="0" w:noHBand="0" w:noVBand="1"/>
    </w:tblPr>
    <w:tblGrid>
      <w:gridCol w:w="2551"/>
      <w:gridCol w:w="3119"/>
    </w:tblGrid>
    <w:tr w:rsidR="005B28B6">
      <w:tc>
        <w:tcPr>
          <w:tcW w:w="2551" w:type="dxa"/>
          <w:shd w:val="clear" w:color="auto" w:fill="auto"/>
          <w:vAlign w:val="center"/>
        </w:tcPr>
        <w:p w:rsidR="005B28B6" w:rsidRDefault="00840D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5B28B6" w:rsidRDefault="00840D9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17009/INFOEM/IP/RR/2022</w:t>
          </w:r>
        </w:p>
      </w:tc>
    </w:tr>
    <w:tr w:rsidR="005B28B6">
      <w:trPr>
        <w:trHeight w:val="130"/>
      </w:trPr>
      <w:tc>
        <w:tcPr>
          <w:tcW w:w="2551" w:type="dxa"/>
          <w:shd w:val="clear" w:color="auto" w:fill="auto"/>
          <w:vAlign w:val="center"/>
        </w:tcPr>
        <w:p w:rsidR="005B28B6" w:rsidRDefault="00840D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5B28B6" w:rsidRDefault="004E0840" w:rsidP="004E084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w:t>
          </w:r>
          <w:r w:rsidR="00840D98">
            <w:rPr>
              <w:rFonts w:ascii="Palatino Linotype" w:eastAsia="Palatino Linotype" w:hAnsi="Palatino Linotype" w:cs="Palatino Linotype"/>
              <w:b/>
              <w:sz w:val="22"/>
              <w:szCs w:val="22"/>
            </w:rPr>
            <w:t xml:space="preserve"> </w:t>
          </w:r>
        </w:p>
      </w:tc>
    </w:tr>
    <w:tr w:rsidR="005B28B6">
      <w:trPr>
        <w:trHeight w:val="228"/>
      </w:trPr>
      <w:tc>
        <w:tcPr>
          <w:tcW w:w="2551" w:type="dxa"/>
          <w:shd w:val="clear" w:color="auto" w:fill="auto"/>
          <w:vAlign w:val="center"/>
        </w:tcPr>
        <w:p w:rsidR="005B28B6" w:rsidRDefault="00840D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5B28B6" w:rsidRDefault="00840D9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5B28B6">
      <w:tc>
        <w:tcPr>
          <w:tcW w:w="2551" w:type="dxa"/>
          <w:shd w:val="clear" w:color="auto" w:fill="auto"/>
          <w:vAlign w:val="center"/>
        </w:tcPr>
        <w:p w:rsidR="005B28B6" w:rsidRDefault="00840D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5B28B6" w:rsidRDefault="00840D9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B28B6" w:rsidRDefault="00840D98">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simplePos x="0" y="0"/>
          <wp:positionH relativeFrom="column">
            <wp:posOffset>-1089647</wp:posOffset>
          </wp:positionH>
          <wp:positionV relativeFrom="paragraph">
            <wp:posOffset>-1169657</wp:posOffset>
          </wp:positionV>
          <wp:extent cx="7809865" cy="10165715"/>
          <wp:effectExtent l="0" t="0" r="0" b="0"/>
          <wp:wrapNone/>
          <wp:docPr id="1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D3042"/>
    <w:multiLevelType w:val="multilevel"/>
    <w:tmpl w:val="17B6F41C"/>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42F734F"/>
    <w:multiLevelType w:val="multilevel"/>
    <w:tmpl w:val="EF1EF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8F92B7C"/>
    <w:multiLevelType w:val="multilevel"/>
    <w:tmpl w:val="F4D29F7A"/>
    <w:lvl w:ilvl="0">
      <w:start w:val="3"/>
      <w:numFmt w:val="upperRoman"/>
      <w:pStyle w:val="Listaconvietas2"/>
      <w:lvlText w:val="%1."/>
      <w:lvlJc w:val="right"/>
      <w:pPr>
        <w:ind w:left="158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B9604B6"/>
    <w:multiLevelType w:val="multilevel"/>
    <w:tmpl w:val="C0CC0D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D7F53E5"/>
    <w:multiLevelType w:val="multilevel"/>
    <w:tmpl w:val="8BC22A9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83D1F2D"/>
    <w:multiLevelType w:val="multilevel"/>
    <w:tmpl w:val="9536B38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8B6"/>
    <w:rsid w:val="000043E3"/>
    <w:rsid w:val="00170627"/>
    <w:rsid w:val="0025285B"/>
    <w:rsid w:val="002A3646"/>
    <w:rsid w:val="00326271"/>
    <w:rsid w:val="0034290B"/>
    <w:rsid w:val="004317FC"/>
    <w:rsid w:val="004E0840"/>
    <w:rsid w:val="005369CA"/>
    <w:rsid w:val="00597470"/>
    <w:rsid w:val="005B28B6"/>
    <w:rsid w:val="00635FEC"/>
    <w:rsid w:val="006F5105"/>
    <w:rsid w:val="0072741A"/>
    <w:rsid w:val="00804E80"/>
    <w:rsid w:val="00840D98"/>
    <w:rsid w:val="00A117F8"/>
    <w:rsid w:val="00A56A5A"/>
    <w:rsid w:val="00A914B1"/>
    <w:rsid w:val="00D51F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52C0CB-217B-4D82-84DA-FBC4C83A9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a">
    <w:basedOn w:val="TableNormal7"/>
    <w:tblPr>
      <w:tblStyleRowBandSize w:val="1"/>
      <w:tblStyleColBandSize w:val="1"/>
      <w:tblCellMar>
        <w:top w:w="0" w:type="dxa"/>
        <w:left w:w="115" w:type="dxa"/>
        <w:bottom w:w="0" w:type="dxa"/>
        <w:right w:w="115" w:type="dxa"/>
      </w:tblCellMar>
    </w:tblPr>
  </w:style>
  <w:style w:type="table" w:customStyle="1" w:styleId="a0">
    <w:basedOn w:val="TableNormal7"/>
    <w:tblPr>
      <w:tblStyleRowBandSize w:val="1"/>
      <w:tblStyleColBandSize w:val="1"/>
      <w:tblCellMar>
        <w:top w:w="0" w:type="dxa"/>
        <w:left w:w="115" w:type="dxa"/>
        <w:bottom w:w="0" w:type="dxa"/>
        <w:right w:w="115" w:type="dxa"/>
      </w:tblCellMar>
    </w:tblPr>
  </w:style>
  <w:style w:type="table" w:customStyle="1" w:styleId="a2">
    <w:basedOn w:val="TableNormal6"/>
    <w:tblPr>
      <w:tblStyleRowBandSize w:val="1"/>
      <w:tblStyleColBandSize w:val="1"/>
      <w:tblCellMar>
        <w:top w:w="0" w:type="dxa"/>
        <w:left w:w="115" w:type="dxa"/>
        <w:bottom w:w="0" w:type="dxa"/>
        <w:right w:w="115" w:type="dxa"/>
      </w:tblCellMar>
    </w:tblPr>
  </w:style>
  <w:style w:type="table" w:customStyle="1" w:styleId="a3">
    <w:basedOn w:val="TableNormal6"/>
    <w:tblPr>
      <w:tblStyleRowBandSize w:val="1"/>
      <w:tblStyleColBandSize w:val="1"/>
      <w:tblCellMar>
        <w:top w:w="0" w:type="dxa"/>
        <w:left w:w="115" w:type="dxa"/>
        <w:bottom w:w="0" w:type="dxa"/>
        <w:right w:w="115" w:type="dxa"/>
      </w:tblCellMar>
    </w:tblPr>
  </w:style>
  <w:style w:type="table" w:customStyle="1" w:styleId="a4">
    <w:basedOn w:val="TableNormal5"/>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5"/>
    <w:tblPr>
      <w:tblStyleRowBandSize w:val="1"/>
      <w:tblStyleColBandSize w:val="1"/>
      <w:tblCellMar>
        <w:top w:w="0" w:type="dxa"/>
        <w:left w:w="115" w:type="dxa"/>
        <w:bottom w:w="0" w:type="dxa"/>
        <w:right w:w="115" w:type="dxa"/>
      </w:tblCellMar>
    </w:tblPr>
  </w:style>
  <w:style w:type="table" w:customStyle="1" w:styleId="a6">
    <w:basedOn w:val="TableNormal5"/>
    <w:tblPr>
      <w:tblStyleRowBandSize w:val="1"/>
      <w:tblStyleColBandSize w:val="1"/>
      <w:tblCellMar>
        <w:top w:w="0" w:type="dxa"/>
        <w:left w:w="115" w:type="dxa"/>
        <w:bottom w:w="0" w:type="dxa"/>
        <w:right w:w="115" w:type="dxa"/>
      </w:tblCellMar>
    </w:tblPr>
  </w:style>
  <w:style w:type="table" w:customStyle="1" w:styleId="a7">
    <w:basedOn w:val="TableNormal4"/>
    <w:tblPr>
      <w:tblStyleRowBandSize w:val="1"/>
      <w:tblStyleColBandSize w:val="1"/>
      <w:tblCellMar>
        <w:top w:w="0" w:type="dxa"/>
        <w:left w:w="115" w:type="dxa"/>
        <w:bottom w:w="0" w:type="dxa"/>
        <w:right w:w="115" w:type="dxa"/>
      </w:tblCellMar>
    </w:tblPr>
  </w:style>
  <w:style w:type="table" w:customStyle="1" w:styleId="a8">
    <w:basedOn w:val="TableNormal4"/>
    <w:tblPr>
      <w:tblStyleRowBandSize w:val="1"/>
      <w:tblStyleColBandSize w:val="1"/>
      <w:tblCellMar>
        <w:top w:w="0" w:type="dxa"/>
        <w:left w:w="115" w:type="dxa"/>
        <w:bottom w:w="0" w:type="dxa"/>
        <w:right w:w="115" w:type="dxa"/>
      </w:tblCellMar>
    </w:tblPr>
  </w:style>
  <w:style w:type="table" w:customStyle="1" w:styleId="a9">
    <w:basedOn w:val="TableNormal4"/>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4"/>
    <w:tblPr>
      <w:tblStyleRowBandSize w:val="1"/>
      <w:tblStyleColBandSize w:val="1"/>
      <w:tblCellMar>
        <w:top w:w="0" w:type="dxa"/>
        <w:left w:w="115" w:type="dxa"/>
        <w:bottom w:w="0" w:type="dxa"/>
        <w:right w:w="115" w:type="dxa"/>
      </w:tblCellMar>
    </w:tblPr>
  </w:style>
  <w:style w:type="table" w:customStyle="1" w:styleId="ab">
    <w:basedOn w:val="TableNormal4"/>
    <w:tblPr>
      <w:tblStyleRowBandSize w:val="1"/>
      <w:tblStyleColBandSize w:val="1"/>
      <w:tblCellMar>
        <w:top w:w="0" w:type="dxa"/>
        <w:left w:w="115" w:type="dxa"/>
        <w:bottom w:w="0" w:type="dxa"/>
        <w:right w:w="115" w:type="dxa"/>
      </w:tblCellMar>
    </w:tblPr>
  </w:style>
  <w:style w:type="table" w:customStyle="1" w:styleId="ac">
    <w:basedOn w:val="TableNormal3"/>
    <w:tblPr>
      <w:tblStyleRowBandSize w:val="1"/>
      <w:tblStyleColBandSize w:val="1"/>
      <w:tblCellMar>
        <w:top w:w="0" w:type="dxa"/>
        <w:left w:w="115" w:type="dxa"/>
        <w:bottom w:w="0" w:type="dxa"/>
        <w:right w:w="115" w:type="dxa"/>
      </w:tblCellMar>
    </w:tblPr>
  </w:style>
  <w:style w:type="table" w:customStyle="1" w:styleId="ad">
    <w:basedOn w:val="TableNormal3"/>
    <w:tblPr>
      <w:tblStyleRowBandSize w:val="1"/>
      <w:tblStyleColBandSize w:val="1"/>
      <w:tblCellMar>
        <w:top w:w="0" w:type="dxa"/>
        <w:left w:w="115" w:type="dxa"/>
        <w:bottom w:w="0"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644688.page"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pomex.org.mx/ipo3/lgt/indice/TOLUCA/art_92_xxix_a/4.web"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saimex.org.mx/saimex/solicitud/downloadAttach/1665537.pag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ipomex.org.mx/ipo3/lgt/indice/TOLUCA/art_92_xxix_a/4.web" TargetMode="Externa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9s3r60p9mvgHhL96ci1R0jy6qlQ==">AMUW2mWFeMQhSIujyy12Ph3L3+/WD+T9P+ZZpYUwkgFsYzjH/PjdnDR2GaL2XHI+mgK/b9vV8LpDSfOkfsuYynSENYGKcJurO+8m4pbGuMt+wNdSsRLWoI0PbI7tvbYnq4eYLllzA3JhjwgyCJYVE1INsDPPNHvuk8bWTrug0dxFpO0bmUNaTKsJR2lfoMvsel5MNkDZt5mbJGw5zyVJaGnk4YyJRQVD/g==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7400</Words>
  <Characters>40700</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2023-04-14T18:31:00Z</cp:lastPrinted>
  <dcterms:created xsi:type="dcterms:W3CDTF">2023-04-25T19:06:00Z</dcterms:created>
  <dcterms:modified xsi:type="dcterms:W3CDTF">2023-04-25T19:06:00Z</dcterms:modified>
</cp:coreProperties>
</file>