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D3D" w:rsidRPr="00E554E1" w:rsidRDefault="00886556">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E554E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A67FEE" w:rsidRPr="00E554E1">
        <w:rPr>
          <w:rFonts w:ascii="Palatino Linotype" w:eastAsia="Palatino Linotype" w:hAnsi="Palatino Linotype" w:cs="Palatino Linotype"/>
        </w:rPr>
        <w:t xml:space="preserve">pec, Estado de México, de fecha </w:t>
      </w:r>
      <w:r w:rsidR="00A67FEE" w:rsidRPr="00E554E1">
        <w:rPr>
          <w:rFonts w:ascii="Palatino Linotype" w:eastAsia="Palatino Linotype" w:hAnsi="Palatino Linotype" w:cs="Palatino Linotype"/>
          <w:b/>
        </w:rPr>
        <w:t>diez d</w:t>
      </w:r>
      <w:r w:rsidRPr="00E554E1">
        <w:rPr>
          <w:rFonts w:ascii="Palatino Linotype" w:eastAsia="Palatino Linotype" w:hAnsi="Palatino Linotype" w:cs="Palatino Linotype"/>
          <w:b/>
        </w:rPr>
        <w:t>e mayo del dos mil veintitrés</w:t>
      </w:r>
      <w:r w:rsidRPr="00E554E1">
        <w:rPr>
          <w:rFonts w:ascii="Palatino Linotype" w:eastAsia="Palatino Linotype" w:hAnsi="Palatino Linotype" w:cs="Palatino Linotype"/>
        </w:rPr>
        <w:t>.</w:t>
      </w:r>
    </w:p>
    <w:p w:rsidR="006E7D3D" w:rsidRPr="00E554E1" w:rsidRDefault="00886556">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E554E1">
        <w:rPr>
          <w:rFonts w:ascii="Palatino Linotype" w:eastAsia="Palatino Linotype" w:hAnsi="Palatino Linotype" w:cs="Palatino Linotype"/>
          <w:b/>
        </w:rPr>
        <w:t xml:space="preserve">Visto </w:t>
      </w:r>
      <w:r w:rsidRPr="00E554E1">
        <w:rPr>
          <w:rFonts w:ascii="Palatino Linotype" w:eastAsia="Palatino Linotype" w:hAnsi="Palatino Linotype" w:cs="Palatino Linotype"/>
        </w:rPr>
        <w:t xml:space="preserve">el expediente relativo al recurso de revisión </w:t>
      </w:r>
      <w:r w:rsidRPr="00E554E1">
        <w:rPr>
          <w:rFonts w:ascii="Palatino Linotype" w:eastAsia="Palatino Linotype" w:hAnsi="Palatino Linotype" w:cs="Palatino Linotype"/>
          <w:b/>
        </w:rPr>
        <w:t>13774/INFOEM/IP/ICR-02/RR/2022</w:t>
      </w:r>
      <w:r w:rsidRPr="00E554E1">
        <w:rPr>
          <w:rFonts w:ascii="Palatino Linotype" w:eastAsia="Palatino Linotype" w:hAnsi="Palatino Linotype" w:cs="Palatino Linotype"/>
        </w:rPr>
        <w:t xml:space="preserve">, interpuesto por </w:t>
      </w:r>
      <w:r w:rsidR="00B22DD6">
        <w:rPr>
          <w:rFonts w:ascii="Palatino Linotype" w:eastAsia="Palatino Linotype" w:hAnsi="Palatino Linotype" w:cs="Palatino Linotype"/>
          <w:b/>
        </w:rPr>
        <w:t>XXXX XXXXXX XXXXX</w:t>
      </w:r>
      <w:bookmarkStart w:id="2" w:name="_GoBack"/>
      <w:bookmarkEnd w:id="2"/>
      <w:r w:rsidRPr="00E554E1">
        <w:rPr>
          <w:rFonts w:ascii="Palatino Linotype" w:eastAsia="Palatino Linotype" w:hAnsi="Palatino Linotype" w:cs="Palatino Linotype"/>
          <w:b/>
        </w:rPr>
        <w:t>,</w:t>
      </w:r>
      <w:r w:rsidRPr="00E554E1">
        <w:rPr>
          <w:rFonts w:ascii="Palatino Linotype" w:eastAsia="Palatino Linotype" w:hAnsi="Palatino Linotype" w:cs="Palatino Linotype"/>
        </w:rPr>
        <w:t xml:space="preserve"> en lo sucesivo </w:t>
      </w:r>
      <w:r w:rsidRPr="00E554E1">
        <w:rPr>
          <w:rFonts w:ascii="Palatino Linotype" w:eastAsia="Palatino Linotype" w:hAnsi="Palatino Linotype" w:cs="Palatino Linotype"/>
          <w:b/>
        </w:rPr>
        <w:t>el</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xml:space="preserve">, en contra de la falta de respuesta a la solicitud de información con número de folio </w:t>
      </w:r>
      <w:r w:rsidRPr="00E554E1">
        <w:rPr>
          <w:rFonts w:ascii="Palatino Linotype" w:eastAsia="Palatino Linotype" w:hAnsi="Palatino Linotype" w:cs="Palatino Linotype"/>
          <w:b/>
        </w:rPr>
        <w:t>  00162/TULTEPEC/IP/2022,</w:t>
      </w:r>
      <w:r w:rsidRPr="00E554E1">
        <w:rPr>
          <w:rFonts w:ascii="Palatino Linotype" w:eastAsia="Palatino Linotype" w:hAnsi="Palatino Linotype" w:cs="Palatino Linotype"/>
        </w:rPr>
        <w:t xml:space="preserve"> por parte del </w:t>
      </w:r>
      <w:r w:rsidRPr="00E554E1">
        <w:rPr>
          <w:rFonts w:ascii="Palatino Linotype" w:eastAsia="Palatino Linotype" w:hAnsi="Palatino Linotype" w:cs="Palatino Linotype"/>
          <w:b/>
        </w:rPr>
        <w:t>Ayuntamiento de Tultepec</w:t>
      </w:r>
      <w:r w:rsidRPr="00E554E1">
        <w:rPr>
          <w:rFonts w:ascii="Palatino Linotype" w:eastAsia="Palatino Linotype" w:hAnsi="Palatino Linotype" w:cs="Palatino Linotype"/>
        </w:rPr>
        <w:t xml:space="preserve">, en lo sucesivo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en cumplimiento a la determinación del diverso con número </w:t>
      </w:r>
      <w:r w:rsidRPr="00E554E1">
        <w:rPr>
          <w:rFonts w:ascii="Palatino Linotype" w:eastAsia="Palatino Linotype" w:hAnsi="Palatino Linotype" w:cs="Palatino Linotype"/>
          <w:b/>
          <w:sz w:val="22"/>
          <w:szCs w:val="22"/>
        </w:rPr>
        <w:t xml:space="preserve">13774/INFOEM//IP/RR/2022 </w:t>
      </w:r>
      <w:r w:rsidRPr="00E554E1">
        <w:rPr>
          <w:rFonts w:ascii="Palatino Linotype" w:eastAsia="Palatino Linotype" w:hAnsi="Palatino Linotype" w:cs="Palatino Linotype"/>
          <w:b/>
        </w:rPr>
        <w:t xml:space="preserve"> </w:t>
      </w:r>
      <w:r w:rsidRPr="00E554E1">
        <w:rPr>
          <w:rFonts w:ascii="Palatino Linotype" w:eastAsia="Palatino Linotype" w:hAnsi="Palatino Linotype" w:cs="Palatino Linotype"/>
        </w:rPr>
        <w:t xml:space="preserve">se procede a dictar la presente resolución con base en los siguientes: </w:t>
      </w:r>
    </w:p>
    <w:p w:rsidR="006E7D3D" w:rsidRPr="00E554E1" w:rsidRDefault="00886556">
      <w:pPr>
        <w:spacing w:before="240" w:after="240" w:line="360" w:lineRule="auto"/>
        <w:jc w:val="center"/>
        <w:rPr>
          <w:rFonts w:ascii="Palatino Linotype" w:eastAsia="Palatino Linotype" w:hAnsi="Palatino Linotype" w:cs="Palatino Linotype"/>
          <w:b/>
        </w:rPr>
      </w:pPr>
      <w:r w:rsidRPr="00E554E1">
        <w:rPr>
          <w:rFonts w:ascii="Palatino Linotype" w:eastAsia="Palatino Linotype" w:hAnsi="Palatino Linotype" w:cs="Palatino Linotype"/>
          <w:b/>
        </w:rPr>
        <w:t>A N T E C E D E N T E S:</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1. Solicitud de acceso a la información. </w:t>
      </w:r>
      <w:r w:rsidRPr="00E554E1">
        <w:rPr>
          <w:rFonts w:ascii="Palatino Linotype" w:eastAsia="Palatino Linotype" w:hAnsi="Palatino Linotype" w:cs="Palatino Linotype"/>
        </w:rPr>
        <w:t xml:space="preserve">Con fecha </w:t>
      </w:r>
      <w:r w:rsidRPr="00E554E1">
        <w:rPr>
          <w:rFonts w:ascii="Palatino Linotype" w:eastAsia="Palatino Linotype" w:hAnsi="Palatino Linotype" w:cs="Palatino Linotype"/>
          <w:b/>
        </w:rPr>
        <w:t>once de julio de dos mil veintidós</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el Recurrente</w:t>
      </w:r>
      <w:r w:rsidRPr="00E554E1">
        <w:rPr>
          <w:rFonts w:ascii="Palatino Linotype" w:eastAsia="Palatino Linotype" w:hAnsi="Palatino Linotype" w:cs="Palatino Linotype"/>
        </w:rPr>
        <w:t xml:space="preserve"> formuló solicitud de acceso a información pública al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a través del Sistema de Acceso a la Información Mexiquense, en adelante </w:t>
      </w:r>
      <w:r w:rsidRPr="00E554E1">
        <w:rPr>
          <w:rFonts w:ascii="Palatino Linotype" w:eastAsia="Palatino Linotype" w:hAnsi="Palatino Linotype" w:cs="Palatino Linotype"/>
          <w:b/>
        </w:rPr>
        <w:t>SAIMEX,</w:t>
      </w:r>
      <w:r w:rsidRPr="00E554E1">
        <w:rPr>
          <w:rFonts w:ascii="Palatino Linotype" w:eastAsia="Palatino Linotype" w:hAnsi="Palatino Linotype" w:cs="Palatino Linotype"/>
        </w:rPr>
        <w:t xml:space="preserve"> requiriéndole lo siguiente:</w:t>
      </w:r>
    </w:p>
    <w:p w:rsidR="006E7D3D" w:rsidRPr="00E554E1" w:rsidRDefault="00886556">
      <w:pPr>
        <w:ind w:left="567" w:right="900"/>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“Con fundamento en la Ley de Transparencia solicito que la actual quinta regidora Fernanda López Sánchez, nos informe porqué contrató como su asesor a su hermano aspirante a gobernador del Estado de México: Juan Manuel López Sánchez. Favor de contestar bajo el principio de no mentir, no robar y no traicionar al pueblo.” (Sic)</w:t>
      </w:r>
    </w:p>
    <w:p w:rsidR="006E7D3D" w:rsidRPr="00E554E1" w:rsidRDefault="006E7D3D">
      <w:pPr>
        <w:ind w:left="567" w:right="900"/>
        <w:jc w:val="both"/>
        <w:rPr>
          <w:rFonts w:ascii="Palatino Linotype" w:eastAsia="Palatino Linotype" w:hAnsi="Palatino Linotype" w:cs="Palatino Linotype"/>
          <w:i/>
          <w:sz w:val="22"/>
          <w:szCs w:val="22"/>
        </w:rPr>
      </w:pPr>
    </w:p>
    <w:p w:rsidR="006E7D3D" w:rsidRPr="00E554E1" w:rsidRDefault="00886556">
      <w:pPr>
        <w:ind w:left="567" w:right="900"/>
        <w:jc w:val="both"/>
        <w:rPr>
          <w:rFonts w:ascii="Palatino Linotype" w:eastAsia="Palatino Linotype" w:hAnsi="Palatino Linotype" w:cs="Palatino Linotype"/>
          <w:b/>
          <w:i/>
        </w:rPr>
      </w:pPr>
      <w:r w:rsidRPr="00E554E1">
        <w:rPr>
          <w:rFonts w:ascii="Palatino Linotype" w:eastAsia="Palatino Linotype" w:hAnsi="Palatino Linotype" w:cs="Palatino Linotype"/>
          <w:b/>
        </w:rPr>
        <w:t xml:space="preserve">Archivo adjunto: </w:t>
      </w:r>
      <w:r w:rsidRPr="00E554E1">
        <w:rPr>
          <w:rFonts w:ascii="Palatino Linotype" w:eastAsia="Palatino Linotype" w:hAnsi="Palatino Linotype" w:cs="Palatino Linotype"/>
        </w:rPr>
        <w:t>Ninguno</w:t>
      </w:r>
    </w:p>
    <w:p w:rsidR="006E7D3D" w:rsidRPr="00E554E1" w:rsidRDefault="006E7D3D">
      <w:pPr>
        <w:ind w:left="567" w:right="900"/>
        <w:jc w:val="both"/>
        <w:rPr>
          <w:rFonts w:ascii="Palatino Linotype" w:eastAsia="Palatino Linotype" w:hAnsi="Palatino Linotype" w:cs="Palatino Linotype"/>
          <w:b/>
        </w:rPr>
      </w:pP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Modalidad elegida para la entrega de la información: </w:t>
      </w:r>
      <w:r w:rsidRPr="00E554E1">
        <w:rPr>
          <w:rFonts w:ascii="Palatino Linotype" w:eastAsia="Palatino Linotype" w:hAnsi="Palatino Linotype" w:cs="Palatino Linotype"/>
        </w:rPr>
        <w:t xml:space="preserve">a través del </w:t>
      </w:r>
      <w:r w:rsidRPr="00E554E1">
        <w:rPr>
          <w:rFonts w:ascii="Palatino Linotype" w:eastAsia="Palatino Linotype" w:hAnsi="Palatino Linotype" w:cs="Palatino Linotype"/>
          <w:b/>
        </w:rPr>
        <w:t>SAIMEX</w:t>
      </w:r>
      <w:r w:rsidRPr="00E554E1">
        <w:rPr>
          <w:rFonts w:ascii="Palatino Linotype" w:eastAsia="Palatino Linotype" w:hAnsi="Palatino Linotype" w:cs="Palatino Linotype"/>
        </w:rPr>
        <w:t xml:space="preserve"> </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lastRenderedPageBreak/>
        <w:t xml:space="preserve">2. Prórroga.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doce de agosto de dos mil veintidós</w:t>
      </w:r>
      <w:r w:rsidRPr="00E554E1">
        <w:rPr>
          <w:rFonts w:ascii="Palatino Linotype" w:eastAsia="Palatino Linotype" w:hAnsi="Palatino Linotype" w:cs="Palatino Linotype"/>
        </w:rPr>
        <w:t xml:space="preserve">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hizo del conocimiento del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que el plazo de quince días hábiles para atender su solicitud de información se prorrogó por siete días en virtud de las siguientes razones: </w:t>
      </w:r>
    </w:p>
    <w:p w:rsidR="006E7D3D" w:rsidRPr="00E554E1" w:rsidRDefault="00886556">
      <w:pPr>
        <w:spacing w:before="240" w:after="240" w:line="360" w:lineRule="auto"/>
        <w:ind w:left="851"/>
        <w:jc w:val="both"/>
        <w:rPr>
          <w:rFonts w:ascii="Palatino Linotype" w:eastAsia="Palatino Linotype" w:hAnsi="Palatino Linotype" w:cs="Palatino Linotype"/>
          <w:i/>
        </w:rPr>
      </w:pPr>
      <w:r w:rsidRPr="00E554E1">
        <w:rPr>
          <w:rFonts w:ascii="Palatino Linotype" w:eastAsia="Palatino Linotype" w:hAnsi="Palatino Linotype" w:cs="Palatino Linotype"/>
          <w:i/>
        </w:rPr>
        <w:t>“APROBADO”</w:t>
      </w:r>
    </w:p>
    <w:p w:rsidR="006E7D3D" w:rsidRPr="00E554E1" w:rsidRDefault="00886556">
      <w:pPr>
        <w:spacing w:before="240" w:after="240"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 xml:space="preserve">3. Respuesta. </w:t>
      </w:r>
      <w:r w:rsidRPr="00E554E1">
        <w:rPr>
          <w:rFonts w:ascii="Palatino Linotype" w:eastAsia="Palatino Linotype" w:hAnsi="Palatino Linotype" w:cs="Palatino Linotype"/>
        </w:rPr>
        <w:t xml:space="preserve">De las constancias que obran en SAIMEX, se observa que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no emitió respuesta a la solicitud de información formulada por la parte </w:t>
      </w:r>
      <w:r w:rsidRPr="00E554E1">
        <w:rPr>
          <w:rFonts w:ascii="Palatino Linotype" w:eastAsia="Palatino Linotype" w:hAnsi="Palatino Linotype" w:cs="Palatino Linotype"/>
          <w:b/>
        </w:rPr>
        <w:t>Recurrente.</w:t>
      </w:r>
    </w:p>
    <w:p w:rsidR="006E7D3D" w:rsidRPr="00E554E1" w:rsidRDefault="00886556">
      <w:pPr>
        <w:spacing w:before="240" w:after="240"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 xml:space="preserve">4. Interposición del recurso de revisión. </w:t>
      </w:r>
      <w:r w:rsidRPr="00E554E1">
        <w:rPr>
          <w:rFonts w:ascii="Palatino Linotype" w:eastAsia="Palatino Linotype" w:hAnsi="Palatino Linotype" w:cs="Palatino Linotype"/>
        </w:rPr>
        <w:t xml:space="preserve">Inconforme la parte solicitante con la falta de respuesta del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interpuso recurso de revisión a través de SAIMEX en fecha </w:t>
      </w:r>
      <w:r w:rsidRPr="00E554E1">
        <w:rPr>
          <w:rFonts w:ascii="Palatino Linotype" w:eastAsia="Palatino Linotype" w:hAnsi="Palatino Linotype" w:cs="Palatino Linotype"/>
          <w:b/>
        </w:rPr>
        <w:t>veinticinco de agosto de dos mil veintidós</w:t>
      </w:r>
      <w:r w:rsidRPr="00E554E1">
        <w:rPr>
          <w:rFonts w:ascii="Palatino Linotype" w:eastAsia="Palatino Linotype" w:hAnsi="Palatino Linotype" w:cs="Palatino Linotype"/>
        </w:rPr>
        <w:t>, expresando lo siguiente:</w:t>
      </w:r>
    </w:p>
    <w:p w:rsidR="006E7D3D" w:rsidRPr="00E554E1" w:rsidRDefault="00886556">
      <w:pPr>
        <w:spacing w:line="360" w:lineRule="auto"/>
        <w:rPr>
          <w:rFonts w:ascii="Palatino Linotype" w:eastAsia="Palatino Linotype" w:hAnsi="Palatino Linotype" w:cs="Palatino Linotype"/>
          <w:b/>
        </w:rPr>
      </w:pPr>
      <w:r w:rsidRPr="00E554E1">
        <w:rPr>
          <w:rFonts w:ascii="Palatino Linotype" w:eastAsia="Palatino Linotype" w:hAnsi="Palatino Linotype" w:cs="Palatino Linotype"/>
          <w:b/>
        </w:rPr>
        <w:t>a) Acto impugnado.</w:t>
      </w:r>
    </w:p>
    <w:p w:rsidR="006E7D3D" w:rsidRPr="00E554E1" w:rsidRDefault="00886556">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“La falta de respuesta a la solicitud de información.” (Sic)</w:t>
      </w:r>
    </w:p>
    <w:p w:rsidR="006E7D3D" w:rsidRPr="00E554E1" w:rsidRDefault="00886556">
      <w:pPr>
        <w:spacing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b) Motivos de inconformidad.</w:t>
      </w:r>
    </w:p>
    <w:p w:rsidR="006E7D3D" w:rsidRPr="00E554E1" w:rsidRDefault="00886556">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“No se ha entregado la información a pesar de que ya concluyó el plazo de prórroga autorizada para la entrega.” (Sic)</w:t>
      </w:r>
    </w:p>
    <w:p w:rsidR="006E7D3D" w:rsidRPr="00E554E1" w:rsidRDefault="00886556">
      <w:pPr>
        <w:pBdr>
          <w:top w:val="nil"/>
          <w:left w:val="nil"/>
          <w:bottom w:val="nil"/>
          <w:right w:val="nil"/>
          <w:between w:val="nil"/>
        </w:pBdr>
        <w:spacing w:before="240" w:after="240"/>
        <w:ind w:right="49"/>
        <w:jc w:val="both"/>
        <w:rPr>
          <w:rFonts w:ascii="Palatino Linotype" w:eastAsia="Palatino Linotype" w:hAnsi="Palatino Linotype" w:cs="Palatino Linotype"/>
          <w:sz w:val="22"/>
          <w:szCs w:val="22"/>
        </w:rPr>
      </w:pPr>
      <w:r w:rsidRPr="00E554E1">
        <w:rPr>
          <w:rFonts w:ascii="Palatino Linotype" w:eastAsia="Palatino Linotype" w:hAnsi="Palatino Linotype" w:cs="Palatino Linotype"/>
          <w:b/>
        </w:rPr>
        <w:t xml:space="preserve">5. Trámite del Recurso de Revisión </w:t>
      </w:r>
      <w:r w:rsidRPr="00E554E1">
        <w:rPr>
          <w:rFonts w:ascii="Palatino Linotype" w:eastAsia="Palatino Linotype" w:hAnsi="Palatino Linotype" w:cs="Palatino Linotype"/>
          <w:b/>
          <w:sz w:val="22"/>
          <w:szCs w:val="22"/>
        </w:rPr>
        <w:t xml:space="preserve">13774/INFOEM//IP/RR/2022 </w:t>
      </w:r>
      <w:r w:rsidRPr="00E554E1">
        <w:rPr>
          <w:rFonts w:ascii="Palatino Linotype" w:eastAsia="Palatino Linotype" w:hAnsi="Palatino Linotype" w:cs="Palatino Linotype"/>
          <w:b/>
        </w:rPr>
        <w:t>ante el Instituto.</w:t>
      </w:r>
    </w:p>
    <w:p w:rsidR="006E7D3D" w:rsidRPr="00E554E1" w:rsidRDefault="00886556">
      <w:pPr>
        <w:spacing w:before="240" w:after="240"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 xml:space="preserve">a. Turno. </w:t>
      </w:r>
      <w:r w:rsidRPr="00E554E1">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E554E1">
        <w:rPr>
          <w:rFonts w:ascii="Palatino Linotype" w:eastAsia="Palatino Linotype" w:hAnsi="Palatino Linotype" w:cs="Palatino Linotype"/>
          <w:b/>
        </w:rPr>
        <w:t>13774/INFOEM/IP/RR/2022</w:t>
      </w:r>
      <w:r w:rsidRPr="00E554E1">
        <w:rPr>
          <w:rFonts w:ascii="Palatino Linotype" w:eastAsia="Palatino Linotype" w:hAnsi="Palatino Linotype" w:cs="Palatino Linotype"/>
        </w:rPr>
        <w:t xml:space="preserve"> fue turnado a la </w:t>
      </w:r>
      <w:r w:rsidRPr="00E554E1">
        <w:rPr>
          <w:rFonts w:ascii="Palatino Linotype" w:eastAsia="Palatino Linotype" w:hAnsi="Palatino Linotype" w:cs="Palatino Linotype"/>
          <w:b/>
        </w:rPr>
        <w:t>Comisionada Ponente</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 xml:space="preserve">Guadalupe </w:t>
      </w:r>
      <w:r w:rsidRPr="00E554E1">
        <w:rPr>
          <w:rFonts w:ascii="Palatino Linotype" w:eastAsia="Palatino Linotype" w:hAnsi="Palatino Linotype" w:cs="Palatino Linotype"/>
          <w:b/>
        </w:rPr>
        <w:lastRenderedPageBreak/>
        <w:t>Ramírez Peña</w:t>
      </w:r>
      <w:r w:rsidRPr="00E554E1">
        <w:rPr>
          <w:rFonts w:ascii="Palatino Linotype" w:eastAsia="Palatino Linotype" w:hAnsi="Palatino Linotype" w:cs="Palatino Linotype"/>
        </w:rPr>
        <w:t>; a efecto de presentar al Pleno el proyecto de resolución correspondiente.</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b. Admisión. </w:t>
      </w:r>
      <w:r w:rsidRPr="00E554E1">
        <w:rPr>
          <w:rFonts w:ascii="Palatino Linotype" w:eastAsia="Palatino Linotype" w:hAnsi="Palatino Linotype" w:cs="Palatino Linotype"/>
        </w:rPr>
        <w:t xml:space="preserve">En fecha </w:t>
      </w:r>
      <w:r w:rsidRPr="00E554E1">
        <w:rPr>
          <w:rFonts w:ascii="Palatino Linotype" w:eastAsia="Palatino Linotype" w:hAnsi="Palatino Linotype" w:cs="Palatino Linotype"/>
          <w:b/>
        </w:rPr>
        <w:t>treinta de agosto de dos mil veintidós</w:t>
      </w:r>
      <w:r w:rsidRPr="00E554E1">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c. Manifestaciones. </w:t>
      </w:r>
      <w:r w:rsidRPr="00E554E1">
        <w:rPr>
          <w:rFonts w:ascii="Palatino Linotype" w:eastAsia="Palatino Linotype" w:hAnsi="Palatino Linotype" w:cs="Palatino Linotype"/>
        </w:rPr>
        <w:t xml:space="preserve">De las constancias que obran en el expediente electrónico del SAIMEX se desprende que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no rindió su informe justificado, del mismo modo el ahora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xml:space="preserve"> omitió realizar manifestaciones, como se observa a continuación:</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noProof/>
          <w:lang w:val="es-MX" w:eastAsia="es-MX"/>
        </w:rPr>
        <w:drawing>
          <wp:inline distT="0" distB="0" distL="0" distR="0">
            <wp:extent cx="5612130" cy="1978025"/>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978025"/>
                    </a:xfrm>
                    <a:prstGeom prst="rect">
                      <a:avLst/>
                    </a:prstGeom>
                    <a:ln/>
                  </pic:spPr>
                </pic:pic>
              </a:graphicData>
            </a:graphic>
          </wp:inline>
        </w:drawing>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d. Cierre de Instrucción. </w:t>
      </w:r>
      <w:r w:rsidRPr="00E554E1">
        <w:rPr>
          <w:rFonts w:ascii="Palatino Linotype" w:eastAsia="Palatino Linotype" w:hAnsi="Palatino Linotype" w:cs="Palatino Linotype"/>
        </w:rPr>
        <w:t xml:space="preserve">En fecha </w:t>
      </w:r>
      <w:r w:rsidRPr="00E554E1">
        <w:rPr>
          <w:rFonts w:ascii="Palatino Linotype" w:eastAsia="Palatino Linotype" w:hAnsi="Palatino Linotype" w:cs="Palatino Linotype"/>
          <w:b/>
        </w:rPr>
        <w:t>doce de septiembre de dos mil veintidós</w:t>
      </w:r>
      <w:r w:rsidRPr="00E554E1">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w:t>
      </w:r>
      <w:r w:rsidRPr="00E554E1">
        <w:rPr>
          <w:rFonts w:ascii="Palatino Linotype" w:eastAsia="Palatino Linotype" w:hAnsi="Palatino Linotype" w:cs="Palatino Linotype"/>
        </w:rPr>
        <w:lastRenderedPageBreak/>
        <w:t>Información Pública y Protección de Datos Personales del Estado de México y Municipios.</w:t>
      </w:r>
    </w:p>
    <w:p w:rsidR="006E7D3D" w:rsidRPr="00E554E1" w:rsidRDefault="00886556">
      <w:pPr>
        <w:spacing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 xml:space="preserve">e. Resolución del Recurso de Revisión.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cinco de octubre de dos mil veintidós</w:t>
      </w:r>
      <w:r w:rsidRPr="00E554E1">
        <w:rPr>
          <w:rFonts w:ascii="Palatino Linotype" w:eastAsia="Palatino Linotype" w:hAnsi="Palatino Linotype" w:cs="Palatino Linotype"/>
        </w:rPr>
        <w:t>, el Pleno del Instituto de Transparencia, Accesos la Información Pública y Protección de Datos Personales del Estado de México y Municipios, durante la Trigésima Sexta Sesión Ordinaria, aprobó por unanimidad de votos, la Resolución del Recurso de Revisión, en la cual se determinó lo siguiente:</w:t>
      </w:r>
    </w:p>
    <w:p w:rsidR="006E7D3D" w:rsidRPr="00E554E1" w:rsidRDefault="00886556">
      <w:pPr>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 xml:space="preserve">“Primero. </w:t>
      </w:r>
      <w:r w:rsidRPr="00E554E1">
        <w:rPr>
          <w:rFonts w:ascii="Palatino Linotype" w:eastAsia="Palatino Linotype" w:hAnsi="Palatino Linotype" w:cs="Palatino Linotype"/>
          <w:i/>
          <w:sz w:val="22"/>
          <w:szCs w:val="22"/>
        </w:rPr>
        <w:t xml:space="preserve">Resultan fundados los motivos de inconformidad del Recurrente, en el Recurso de Revisión </w:t>
      </w:r>
      <w:r w:rsidRPr="00E554E1">
        <w:rPr>
          <w:rFonts w:ascii="Palatino Linotype" w:eastAsia="Palatino Linotype" w:hAnsi="Palatino Linotype" w:cs="Palatino Linotype"/>
          <w:b/>
          <w:i/>
          <w:sz w:val="22"/>
          <w:szCs w:val="22"/>
        </w:rPr>
        <w:t>13774/INFOEM/IP/RR/2022,</w:t>
      </w:r>
      <w:r w:rsidRPr="00E554E1">
        <w:rPr>
          <w:rFonts w:ascii="Palatino Linotype" w:eastAsia="Palatino Linotype" w:hAnsi="Palatino Linotype" w:cs="Palatino Linotype"/>
          <w:i/>
          <w:sz w:val="22"/>
          <w:szCs w:val="22"/>
        </w:rPr>
        <w:t xml:space="preserve"> en términos del Considerando Cuarto de la presente resolución.</w:t>
      </w:r>
    </w:p>
    <w:p w:rsidR="006E7D3D" w:rsidRPr="00E554E1" w:rsidRDefault="00886556">
      <w:pPr>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Segundo.</w:t>
      </w:r>
      <w:r w:rsidRPr="00E554E1">
        <w:rPr>
          <w:rFonts w:ascii="Palatino Linotype" w:eastAsia="Palatino Linotype" w:hAnsi="Palatino Linotype" w:cs="Palatino Linotype"/>
          <w:i/>
          <w:sz w:val="22"/>
          <w:szCs w:val="22"/>
        </w:rPr>
        <w:t xml:space="preserve"> Se</w:t>
      </w:r>
      <w:r w:rsidRPr="00E554E1">
        <w:rPr>
          <w:rFonts w:ascii="Palatino Linotype" w:eastAsia="Palatino Linotype" w:hAnsi="Palatino Linotype" w:cs="Palatino Linotype"/>
          <w:b/>
          <w:i/>
          <w:sz w:val="22"/>
          <w:szCs w:val="22"/>
        </w:rPr>
        <w:t xml:space="preserve"> Ordena </w:t>
      </w:r>
      <w:r w:rsidRPr="00E554E1">
        <w:rPr>
          <w:rFonts w:ascii="Palatino Linotype" w:eastAsia="Palatino Linotype" w:hAnsi="Palatino Linotype" w:cs="Palatino Linotype"/>
          <w:i/>
          <w:sz w:val="22"/>
          <w:szCs w:val="22"/>
        </w:rPr>
        <w:t xml:space="preserve">al </w:t>
      </w:r>
      <w:r w:rsidRPr="00E554E1">
        <w:rPr>
          <w:rFonts w:ascii="Palatino Linotype" w:eastAsia="Palatino Linotype" w:hAnsi="Palatino Linotype" w:cs="Palatino Linotype"/>
          <w:b/>
          <w:i/>
          <w:sz w:val="22"/>
          <w:szCs w:val="22"/>
        </w:rPr>
        <w:t>Sujeto Obligado</w:t>
      </w:r>
      <w:r w:rsidRPr="00E554E1">
        <w:rPr>
          <w:rFonts w:ascii="Palatino Linotype" w:eastAsia="Palatino Linotype" w:hAnsi="Palatino Linotype" w:cs="Palatino Linotype"/>
          <w:i/>
          <w:sz w:val="22"/>
          <w:szCs w:val="22"/>
        </w:rPr>
        <w:t xml:space="preserve"> que, vía </w:t>
      </w:r>
      <w:r w:rsidRPr="00E554E1">
        <w:rPr>
          <w:rFonts w:ascii="Palatino Linotype" w:eastAsia="Palatino Linotype" w:hAnsi="Palatino Linotype" w:cs="Palatino Linotype"/>
          <w:b/>
          <w:i/>
          <w:sz w:val="22"/>
          <w:szCs w:val="22"/>
        </w:rPr>
        <w:t xml:space="preserve">Sistema de Acceso a la Información Mexiquense (SAIMEX), </w:t>
      </w:r>
      <w:r w:rsidRPr="00E554E1">
        <w:rPr>
          <w:rFonts w:ascii="Palatino Linotype" w:eastAsia="Palatino Linotype" w:hAnsi="Palatino Linotype" w:cs="Palatino Linotype"/>
          <w:i/>
          <w:sz w:val="22"/>
          <w:szCs w:val="22"/>
        </w:rPr>
        <w:t xml:space="preserve">de trámite a la solicitud de acceso a la información pública </w:t>
      </w:r>
      <w:r w:rsidRPr="00E554E1">
        <w:rPr>
          <w:rFonts w:ascii="Palatino Linotype" w:eastAsia="Palatino Linotype" w:hAnsi="Palatino Linotype" w:cs="Palatino Linotype"/>
          <w:b/>
          <w:i/>
          <w:sz w:val="22"/>
          <w:szCs w:val="22"/>
        </w:rPr>
        <w:t xml:space="preserve">00162/TULTEPEC/IP/2022, </w:t>
      </w:r>
      <w:r w:rsidRPr="00E554E1">
        <w:rPr>
          <w:rFonts w:ascii="Palatino Linotype" w:eastAsia="Palatino Linotype" w:hAnsi="Palatino Linotype" w:cs="Palatino Linotype"/>
          <w:i/>
          <w:sz w:val="22"/>
          <w:szCs w:val="22"/>
        </w:rPr>
        <w:t xml:space="preserve">que dio origen al recurso de revisión </w:t>
      </w:r>
      <w:r w:rsidRPr="00E554E1">
        <w:rPr>
          <w:rFonts w:ascii="Palatino Linotype" w:eastAsia="Palatino Linotype" w:hAnsi="Palatino Linotype" w:cs="Palatino Linotype"/>
          <w:b/>
          <w:i/>
          <w:sz w:val="22"/>
          <w:szCs w:val="22"/>
        </w:rPr>
        <w:t>13774/INFOEM/IP/RR/2022</w:t>
      </w:r>
      <w:r w:rsidRPr="00E554E1">
        <w:rPr>
          <w:rFonts w:ascii="Palatino Linotype" w:eastAsia="Palatino Linotype" w:hAnsi="Palatino Linotype" w:cs="Palatino Linotype"/>
          <w:i/>
          <w:sz w:val="22"/>
          <w:szCs w:val="22"/>
        </w:rPr>
        <w:t>,</w:t>
      </w:r>
      <w:r w:rsidRPr="00E554E1">
        <w:rPr>
          <w:rFonts w:ascii="Palatino Linotype" w:eastAsia="Palatino Linotype" w:hAnsi="Palatino Linotype" w:cs="Palatino Linotype"/>
          <w:b/>
          <w:i/>
          <w:sz w:val="22"/>
          <w:szCs w:val="22"/>
        </w:rPr>
        <w:t xml:space="preserve"> </w:t>
      </w:r>
      <w:r w:rsidRPr="00E554E1">
        <w:rPr>
          <w:rFonts w:ascii="Palatino Linotype" w:eastAsia="Palatino Linotype" w:hAnsi="Palatino Linotype" w:cs="Palatino Linotype"/>
          <w:i/>
          <w:sz w:val="22"/>
          <w:szCs w:val="22"/>
        </w:rPr>
        <w:t>en términos del Considerando</w:t>
      </w:r>
      <w:r w:rsidRPr="00E554E1">
        <w:rPr>
          <w:rFonts w:ascii="Palatino Linotype" w:eastAsia="Palatino Linotype" w:hAnsi="Palatino Linotype" w:cs="Palatino Linotype"/>
          <w:b/>
          <w:i/>
          <w:sz w:val="22"/>
          <w:szCs w:val="22"/>
        </w:rPr>
        <w:t xml:space="preserve"> Cuarto</w:t>
      </w:r>
      <w:r w:rsidRPr="00E554E1">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rsidR="006E7D3D" w:rsidRPr="00E554E1" w:rsidRDefault="00886556">
      <w:pPr>
        <w:spacing w:before="240" w:after="240" w:line="276" w:lineRule="auto"/>
        <w:ind w:left="851" w:right="616"/>
        <w:jc w:val="both"/>
        <w:rPr>
          <w:rFonts w:ascii="Palatino Linotype" w:eastAsia="Palatino Linotype" w:hAnsi="Palatino Linotype" w:cs="Palatino Linotype"/>
          <w:i/>
          <w:sz w:val="22"/>
          <w:szCs w:val="22"/>
        </w:rPr>
      </w:pPr>
      <w:bookmarkStart w:id="3" w:name="_heading=h.3znysh7" w:colFirst="0" w:colLast="0"/>
      <w:bookmarkEnd w:id="3"/>
      <w:r w:rsidRPr="00E554E1">
        <w:rPr>
          <w:rFonts w:ascii="Palatino Linotype" w:eastAsia="Palatino Linotype" w:hAnsi="Palatino Linotype" w:cs="Palatino Linotype"/>
          <w:b/>
          <w:i/>
          <w:sz w:val="22"/>
          <w:szCs w:val="22"/>
        </w:rPr>
        <w:t xml:space="preserve">Tercero. Notifíquese, </w:t>
      </w:r>
      <w:r w:rsidRPr="00E554E1">
        <w:rPr>
          <w:rFonts w:ascii="Palatino Linotype" w:eastAsia="Palatino Linotype" w:hAnsi="Palatino Linotype" w:cs="Palatino Linotype"/>
          <w:i/>
          <w:sz w:val="22"/>
          <w:szCs w:val="22"/>
        </w:rPr>
        <w:t xml:space="preserve">vía </w:t>
      </w:r>
      <w:r w:rsidRPr="00E554E1">
        <w:rPr>
          <w:rFonts w:ascii="Palatino Linotype" w:eastAsia="Palatino Linotype" w:hAnsi="Palatino Linotype" w:cs="Palatino Linotype"/>
          <w:b/>
          <w:i/>
          <w:sz w:val="22"/>
          <w:szCs w:val="22"/>
        </w:rPr>
        <w:t>SAIMEX</w:t>
      </w:r>
      <w:r w:rsidRPr="00E554E1">
        <w:rPr>
          <w:rFonts w:ascii="Palatino Linotype" w:eastAsia="Palatino Linotype" w:hAnsi="Palatino Linotype" w:cs="Palatino Linotype"/>
          <w:i/>
          <w:sz w:val="22"/>
          <w:szCs w:val="22"/>
        </w:rPr>
        <w:t xml:space="preserve">, al Titular de la Unidad de Transparencia del </w:t>
      </w:r>
      <w:r w:rsidRPr="00E554E1">
        <w:rPr>
          <w:rFonts w:ascii="Palatino Linotype" w:eastAsia="Palatino Linotype" w:hAnsi="Palatino Linotype" w:cs="Palatino Linotype"/>
          <w:b/>
          <w:i/>
          <w:sz w:val="22"/>
          <w:szCs w:val="22"/>
        </w:rPr>
        <w:t>Sujeto Obligado,</w:t>
      </w:r>
      <w:r w:rsidRPr="00E554E1">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E7D3D" w:rsidRPr="00E554E1" w:rsidRDefault="00886556">
      <w:pPr>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 xml:space="preserve">Cuarto. Notifíquese, </w:t>
      </w:r>
      <w:r w:rsidRPr="00E554E1">
        <w:rPr>
          <w:rFonts w:ascii="Palatino Linotype" w:eastAsia="Palatino Linotype" w:hAnsi="Palatino Linotype" w:cs="Palatino Linotype"/>
          <w:i/>
          <w:sz w:val="22"/>
          <w:szCs w:val="22"/>
        </w:rPr>
        <w:t xml:space="preserve">vía </w:t>
      </w:r>
      <w:r w:rsidRPr="00E554E1">
        <w:rPr>
          <w:rFonts w:ascii="Palatino Linotype" w:eastAsia="Palatino Linotype" w:hAnsi="Palatino Linotype" w:cs="Palatino Linotype"/>
          <w:b/>
          <w:i/>
          <w:sz w:val="22"/>
          <w:szCs w:val="22"/>
        </w:rPr>
        <w:t>SAIMEX,</w:t>
      </w:r>
      <w:r w:rsidRPr="00E554E1">
        <w:rPr>
          <w:rFonts w:ascii="Palatino Linotype" w:eastAsia="Palatino Linotype" w:hAnsi="Palatino Linotype" w:cs="Palatino Linotype"/>
          <w:i/>
          <w:sz w:val="22"/>
          <w:szCs w:val="22"/>
        </w:rPr>
        <w:t xml:space="preserve"> a </w:t>
      </w:r>
      <w:r w:rsidRPr="00E554E1">
        <w:rPr>
          <w:rFonts w:ascii="Palatino Linotype" w:eastAsia="Palatino Linotype" w:hAnsi="Palatino Linotype" w:cs="Palatino Linotype"/>
          <w:b/>
          <w:i/>
          <w:sz w:val="22"/>
          <w:szCs w:val="22"/>
        </w:rPr>
        <w:t>la parte</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rPr>
        <w:t xml:space="preserve">Recurrente </w:t>
      </w:r>
      <w:r w:rsidRPr="00E554E1">
        <w:rPr>
          <w:rFonts w:ascii="Palatino Linotype" w:eastAsia="Palatino Linotype" w:hAnsi="Palatino Linotype" w:cs="Palatino Linotype"/>
          <w:i/>
          <w:sz w:val="22"/>
          <w:szCs w:val="22"/>
        </w:rPr>
        <w:t xml:space="preserve">la presente resolución, así como, que de conformidad con lo establecido en el artículo 196 de la Ley de Transparencia y Acceso a la Información Pública del Estado de México y </w:t>
      </w:r>
      <w:r w:rsidRPr="00E554E1">
        <w:rPr>
          <w:rFonts w:ascii="Palatino Linotype" w:eastAsia="Palatino Linotype" w:hAnsi="Palatino Linotype" w:cs="Palatino Linotype"/>
          <w:i/>
          <w:sz w:val="22"/>
          <w:szCs w:val="22"/>
        </w:rPr>
        <w:lastRenderedPageBreak/>
        <w:t>Municipios, en caso de que considere que le causa algún perjuicio podrá impugnarla vía Juicio de Amparo en los términos de las leyes aplicables.</w:t>
      </w:r>
    </w:p>
    <w:p w:rsidR="006E7D3D" w:rsidRPr="00E554E1" w:rsidRDefault="00886556">
      <w:pPr>
        <w:spacing w:before="240" w:after="240" w:line="276" w:lineRule="auto"/>
        <w:ind w:left="851" w:right="616"/>
        <w:jc w:val="both"/>
        <w:rPr>
          <w:rFonts w:ascii="Palatino Linotype" w:eastAsia="Palatino Linotype" w:hAnsi="Palatino Linotype" w:cs="Palatino Linotype"/>
          <w:b/>
          <w:i/>
          <w:sz w:val="22"/>
          <w:szCs w:val="22"/>
        </w:rPr>
      </w:pPr>
      <w:bookmarkStart w:id="4" w:name="_heading=h.tyjcwt" w:colFirst="0" w:colLast="0"/>
      <w:bookmarkEnd w:id="4"/>
      <w:r w:rsidRPr="00E554E1">
        <w:rPr>
          <w:rFonts w:ascii="Palatino Linotype" w:eastAsia="Palatino Linotype" w:hAnsi="Palatino Linotype" w:cs="Palatino Linotype"/>
          <w:b/>
          <w:i/>
          <w:sz w:val="22"/>
          <w:szCs w:val="22"/>
        </w:rPr>
        <w:t xml:space="preserve">Quinto. Notifíquese, </w:t>
      </w:r>
      <w:r w:rsidRPr="00E554E1">
        <w:rPr>
          <w:rFonts w:ascii="Palatino Linotype" w:eastAsia="Palatino Linotype" w:hAnsi="Palatino Linotype" w:cs="Palatino Linotype"/>
          <w:i/>
          <w:sz w:val="22"/>
          <w:szCs w:val="22"/>
        </w:rPr>
        <w:t xml:space="preserve">vía SAIMEX a </w:t>
      </w:r>
      <w:r w:rsidRPr="00E554E1">
        <w:rPr>
          <w:rFonts w:ascii="Palatino Linotype" w:eastAsia="Palatino Linotype" w:hAnsi="Palatino Linotype" w:cs="Palatino Linotype"/>
          <w:b/>
          <w:i/>
          <w:sz w:val="22"/>
          <w:szCs w:val="22"/>
        </w:rPr>
        <w:t>la parte</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rPr>
        <w:t xml:space="preserve">Recurrente </w:t>
      </w:r>
      <w:r w:rsidRPr="00E554E1">
        <w:rPr>
          <w:rFonts w:ascii="Palatino Linotype" w:eastAsia="Palatino Linotype" w:hAnsi="Palatino Linotype" w:cs="Palatino Linotype"/>
          <w:i/>
          <w:sz w:val="22"/>
          <w:szCs w:val="22"/>
        </w:rPr>
        <w:t xml:space="preserve">que la respuesta que dé el </w:t>
      </w:r>
      <w:r w:rsidRPr="00E554E1">
        <w:rPr>
          <w:rFonts w:ascii="Palatino Linotype" w:eastAsia="Palatino Linotype" w:hAnsi="Palatino Linotype" w:cs="Palatino Linotype"/>
          <w:b/>
          <w:i/>
          <w:sz w:val="22"/>
          <w:szCs w:val="22"/>
        </w:rPr>
        <w:t>Sujeto Obligado</w:t>
      </w:r>
      <w:r w:rsidRPr="00E554E1">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E7D3D" w:rsidRPr="00E554E1" w:rsidRDefault="00886556">
      <w:pPr>
        <w:spacing w:before="240" w:after="240" w:line="276" w:lineRule="auto"/>
        <w:ind w:left="851" w:right="616"/>
        <w:jc w:val="both"/>
        <w:rPr>
          <w:rFonts w:ascii="Palatino Linotype" w:eastAsia="Palatino Linotype" w:hAnsi="Palatino Linotype" w:cs="Palatino Linotype"/>
          <w:b/>
          <w:i/>
          <w:sz w:val="22"/>
          <w:szCs w:val="22"/>
        </w:rPr>
      </w:pPr>
      <w:r w:rsidRPr="00E554E1">
        <w:rPr>
          <w:rFonts w:ascii="Palatino Linotype" w:eastAsia="Palatino Linotype" w:hAnsi="Palatino Linotype" w:cs="Palatino Linotype"/>
          <w:b/>
          <w:i/>
          <w:sz w:val="22"/>
          <w:szCs w:val="22"/>
        </w:rPr>
        <w:t xml:space="preserve">Sexto. Gírese </w:t>
      </w:r>
      <w:r w:rsidRPr="00E554E1">
        <w:rPr>
          <w:rFonts w:ascii="Palatino Linotype" w:eastAsia="Palatino Linotype" w:hAnsi="Palatino Linotype" w:cs="Palatino Linotype"/>
          <w:i/>
          <w:sz w:val="22"/>
          <w:szCs w:val="22"/>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E554E1">
        <w:rPr>
          <w:rFonts w:ascii="Palatino Linotype" w:eastAsia="Palatino Linotype" w:hAnsi="Palatino Linotype" w:cs="Palatino Linotype"/>
          <w:b/>
          <w:i/>
          <w:sz w:val="22"/>
          <w:szCs w:val="22"/>
        </w:rPr>
        <w:t xml:space="preserve">Considerando Cuarto </w:t>
      </w:r>
      <w:r w:rsidRPr="00E554E1">
        <w:rPr>
          <w:rFonts w:ascii="Palatino Linotype" w:eastAsia="Palatino Linotype" w:hAnsi="Palatino Linotype" w:cs="Palatino Linotype"/>
          <w:i/>
          <w:sz w:val="22"/>
          <w:szCs w:val="22"/>
        </w:rPr>
        <w:t>de la presente resolución.</w:t>
      </w:r>
      <w:r w:rsidRPr="00E554E1">
        <w:rPr>
          <w:rFonts w:ascii="Palatino Linotype" w:eastAsia="Palatino Linotype" w:hAnsi="Palatino Linotype" w:cs="Palatino Linotype"/>
          <w:b/>
          <w:i/>
          <w:sz w:val="22"/>
          <w:szCs w:val="22"/>
        </w:rPr>
        <w:t xml:space="preserve"> </w:t>
      </w:r>
    </w:p>
    <w:p w:rsidR="006E7D3D" w:rsidRPr="00E554E1" w:rsidRDefault="00886556">
      <w:pPr>
        <w:spacing w:before="240" w:after="240" w:line="276" w:lineRule="auto"/>
        <w:ind w:left="851" w:right="616"/>
        <w:jc w:val="both"/>
        <w:rPr>
          <w:rFonts w:ascii="Palatino Linotype" w:eastAsia="Palatino Linotype" w:hAnsi="Palatino Linotype" w:cs="Palatino Linotype"/>
          <w:b/>
          <w:i/>
        </w:rPr>
      </w:pPr>
      <w:r w:rsidRPr="00E554E1">
        <w:rPr>
          <w:rFonts w:ascii="Palatino Linotype" w:eastAsia="Palatino Linotype" w:hAnsi="Palatino Linotype" w:cs="Palatino Linotype"/>
          <w:b/>
          <w:i/>
          <w:sz w:val="22"/>
          <w:szCs w:val="22"/>
        </w:rPr>
        <w:t xml:space="preserve">Séptimo. </w:t>
      </w:r>
      <w:r w:rsidRPr="00E554E1">
        <w:rPr>
          <w:rFonts w:ascii="Palatino Linotype" w:eastAsia="Palatino Linotype" w:hAnsi="Palatino Linotype" w:cs="Palatino Linotype"/>
          <w:i/>
          <w:sz w:val="22"/>
          <w:szCs w:val="22"/>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E554E1">
        <w:rPr>
          <w:rFonts w:ascii="Palatino Linotype" w:eastAsia="Palatino Linotype" w:hAnsi="Palatino Linotype" w:cs="Palatino Linotype"/>
          <w:i/>
        </w:rPr>
        <w:t>.</w:t>
      </w:r>
      <w:r w:rsidRPr="00E554E1">
        <w:rPr>
          <w:rFonts w:ascii="Palatino Linotype" w:eastAsia="Palatino Linotype" w:hAnsi="Palatino Linotype" w:cs="Palatino Linotype"/>
          <w:b/>
          <w:i/>
        </w:rPr>
        <w:t xml:space="preserve">  </w:t>
      </w: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f. Notificación de la Resolución del Recurso de Revisión 13774/INFOEM/IP/RR/2022. </w:t>
      </w:r>
      <w:r w:rsidRPr="00E554E1">
        <w:rPr>
          <w:rFonts w:ascii="Palatino Linotype" w:eastAsia="Palatino Linotype" w:hAnsi="Palatino Linotype" w:cs="Palatino Linotype"/>
        </w:rPr>
        <w:t xml:space="preserve">El diez de octubre de dos mil veintidós, se notificó a las partes la resolución del Medio de Impugnación previamente referido, por medio del Sistema de Acceso a la Información Mexiquense (SAIMEX). </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g. Acuerdo de Cumplimiento/Incumplimiento del Recurso de Revisión.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veinticinco de octubre de dos mil veintidós</w:t>
      </w:r>
      <w:r w:rsidRPr="00E554E1">
        <w:rPr>
          <w:rFonts w:ascii="Palatino Linotype" w:eastAsia="Palatino Linotype" w:hAnsi="Palatino Linotype" w:cs="Palatino Linotype"/>
        </w:rPr>
        <w:t xml:space="preserve">, la Dirección de Cumplimientos de este Instituto notificó a las partes, el acuerdo de incumplimiento a la resolución. </w:t>
      </w:r>
    </w:p>
    <w:p w:rsidR="006E7D3D" w:rsidRPr="00E554E1" w:rsidRDefault="00886556">
      <w:pPr>
        <w:spacing w:before="240" w:after="240" w:line="360" w:lineRule="auto"/>
        <w:ind w:left="1418" w:right="758"/>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lastRenderedPageBreak/>
        <w:t>“Con fundamento en el artículo 200, fracción I de la Ley de Transparencia y Acceso a la Información Pública del Estado de México y Municipios, se les hace de su conocimiento de las partes, el </w:t>
      </w:r>
      <w:r w:rsidRPr="00E554E1">
        <w:rPr>
          <w:rFonts w:ascii="Palatino Linotype" w:eastAsia="Palatino Linotype" w:hAnsi="Palatino Linotype" w:cs="Palatino Linotype"/>
          <w:b/>
          <w:i/>
          <w:sz w:val="22"/>
          <w:szCs w:val="22"/>
        </w:rPr>
        <w:t>Acuerdo de Incumplimiento</w:t>
      </w:r>
      <w:r w:rsidRPr="00E554E1">
        <w:rPr>
          <w:rFonts w:ascii="Palatino Linotype" w:eastAsia="Palatino Linotype" w:hAnsi="Palatino Linotype" w:cs="Palatino Linotype"/>
          <w:i/>
          <w:sz w:val="22"/>
          <w:szCs w:val="22"/>
        </w:rPr>
        <w:t xml:space="preserve"> a la Resolución del Recurso de Revisión al rubro indicado, emitido en fecha treinta y uno de enero de dos mil </w:t>
      </w:r>
      <w:proofErr w:type="spellStart"/>
      <w:r w:rsidRPr="00E554E1">
        <w:rPr>
          <w:rFonts w:ascii="Palatino Linotype" w:eastAsia="Palatino Linotype" w:hAnsi="Palatino Linotype" w:cs="Palatino Linotype"/>
          <w:i/>
          <w:sz w:val="22"/>
          <w:szCs w:val="22"/>
        </w:rPr>
        <w:t>veintitres</w:t>
      </w:r>
      <w:proofErr w:type="spellEnd"/>
      <w:r w:rsidRPr="00E554E1">
        <w:rPr>
          <w:rFonts w:ascii="Palatino Linotype" w:eastAsia="Palatino Linotype" w:hAnsi="Palatino Linotype" w:cs="Palatino Linotype"/>
          <w:i/>
          <w:sz w:val="22"/>
          <w:szCs w:val="22"/>
        </w:rPr>
        <w:t>, que deriva de la solicitud de información señalada, para su conocimiento y efectos legales procedentes.”</w:t>
      </w:r>
    </w:p>
    <w:p w:rsidR="006E7D3D" w:rsidRPr="00E554E1" w:rsidRDefault="00886556">
      <w:pPr>
        <w:spacing w:line="276" w:lineRule="auto"/>
        <w:ind w:left="851" w:right="851"/>
        <w:jc w:val="both"/>
        <w:rPr>
          <w:rFonts w:ascii="Palatino Linotype" w:eastAsia="Palatino Linotype" w:hAnsi="Palatino Linotype" w:cs="Palatino Linotype"/>
          <w:b/>
          <w:sz w:val="22"/>
          <w:szCs w:val="22"/>
        </w:rPr>
      </w:pPr>
      <w:r w:rsidRPr="00E554E1">
        <w:rPr>
          <w:rFonts w:ascii="Palatino Linotype" w:eastAsia="Palatino Linotype" w:hAnsi="Palatino Linotype" w:cs="Palatino Linotype"/>
          <w:b/>
          <w:sz w:val="22"/>
          <w:szCs w:val="22"/>
        </w:rPr>
        <w:t>Archivos adjuntos:</w:t>
      </w:r>
    </w:p>
    <w:p w:rsidR="006E7D3D" w:rsidRPr="00E554E1" w:rsidRDefault="006E7D3D">
      <w:pPr>
        <w:spacing w:line="276" w:lineRule="auto"/>
        <w:ind w:left="851" w:right="851"/>
        <w:jc w:val="both"/>
        <w:rPr>
          <w:rFonts w:ascii="Palatino Linotype" w:eastAsia="Palatino Linotype" w:hAnsi="Palatino Linotype" w:cs="Palatino Linotype"/>
          <w:b/>
          <w:sz w:val="22"/>
          <w:szCs w:val="22"/>
        </w:rPr>
      </w:pPr>
    </w:p>
    <w:p w:rsidR="006E7D3D" w:rsidRPr="00E554E1" w:rsidRDefault="00886556">
      <w:pPr>
        <w:spacing w:line="360" w:lineRule="auto"/>
        <w:ind w:left="851" w:right="49"/>
        <w:jc w:val="both"/>
        <w:rPr>
          <w:rFonts w:ascii="Palatino Linotype" w:eastAsia="Palatino Linotype" w:hAnsi="Palatino Linotype" w:cs="Palatino Linotype"/>
          <w:b/>
          <w:i/>
          <w:sz w:val="22"/>
          <w:szCs w:val="22"/>
        </w:rPr>
      </w:pPr>
      <w:r w:rsidRPr="00E554E1">
        <w:rPr>
          <w:rFonts w:ascii="Palatino Linotype" w:eastAsia="Palatino Linotype" w:hAnsi="Palatino Linotype" w:cs="Palatino Linotype"/>
          <w:b/>
          <w:i/>
          <w:sz w:val="22"/>
          <w:szCs w:val="22"/>
        </w:rPr>
        <w:t xml:space="preserve">AI-RR-13774-2022.pdf: </w:t>
      </w:r>
      <w:r w:rsidRPr="00E554E1">
        <w:rPr>
          <w:rFonts w:ascii="Palatino Linotype" w:eastAsia="Palatino Linotype" w:hAnsi="Palatino Linotype" w:cs="Palatino Linotype"/>
        </w:rPr>
        <w:t>Acuerdo de Incumplimiento de fecha veinticinco de octubre de dos mil veintitrés, mediante el cual, el Director de Cumplimientos da cuenta del incumplimiento a la resolución citada al rubro y adicionalmente, solicita se notifique el incumplimiento al Superior Jerárquico del responsable de dar cumplimiento a la Resolución de mérito, así como al Titular del Órgano Interno de Control del INFOEM para efecto de que, en uso de sus atribuciones, se impongan las medidas de apremio procedentes al Sujeto Obligado implicado a fin de garantizar el cumplimiento de la Resolución del Recurso de Revisión de mérito.</w:t>
      </w:r>
    </w:p>
    <w:p w:rsidR="006E7D3D" w:rsidRPr="00E554E1" w:rsidRDefault="006E7D3D">
      <w:pPr>
        <w:spacing w:line="276" w:lineRule="auto"/>
        <w:ind w:left="851" w:right="851"/>
        <w:jc w:val="both"/>
        <w:rPr>
          <w:rFonts w:ascii="Palatino Linotype" w:eastAsia="Palatino Linotype" w:hAnsi="Palatino Linotype" w:cs="Palatino Linotype"/>
          <w:b/>
          <w:i/>
          <w:sz w:val="22"/>
          <w:szCs w:val="22"/>
        </w:rPr>
      </w:pPr>
    </w:p>
    <w:p w:rsidR="006E7D3D" w:rsidRPr="00E554E1" w:rsidRDefault="00886556">
      <w:pPr>
        <w:spacing w:line="360" w:lineRule="auto"/>
        <w:ind w:left="851" w:right="49"/>
        <w:jc w:val="both"/>
        <w:rPr>
          <w:rFonts w:ascii="Palatino Linotype" w:eastAsia="Palatino Linotype" w:hAnsi="Palatino Linotype" w:cs="Palatino Linotype"/>
        </w:rPr>
      </w:pPr>
      <w:r w:rsidRPr="00E554E1">
        <w:rPr>
          <w:rFonts w:ascii="Palatino Linotype" w:eastAsia="Palatino Linotype" w:hAnsi="Palatino Linotype" w:cs="Palatino Linotype"/>
          <w:b/>
          <w:i/>
          <w:sz w:val="22"/>
          <w:szCs w:val="22"/>
        </w:rPr>
        <w:t xml:space="preserve">OF-SJ-RR-13774-2022.pdf: </w:t>
      </w:r>
      <w:r w:rsidRPr="00E554E1">
        <w:rPr>
          <w:rFonts w:ascii="Palatino Linotype" w:eastAsia="Palatino Linotype" w:hAnsi="Palatino Linotype" w:cs="Palatino Linotype"/>
        </w:rPr>
        <w:t>Oficio INFOEM/STP/DC/05850/2022, signado por el Director de Cumplimientos, mediante el cual se solicita que se notifique al superior jerárquico del responsable de dar cumplimiento a la resolución de mérito, a efecto de que dé cumplimiento a la misma en un periodo no mayor a cinco días hábiles.</w:t>
      </w:r>
    </w:p>
    <w:p w:rsidR="006E7D3D" w:rsidRPr="00E554E1" w:rsidRDefault="006E7D3D">
      <w:pPr>
        <w:spacing w:line="276" w:lineRule="auto"/>
        <w:ind w:left="851" w:right="851"/>
        <w:jc w:val="both"/>
        <w:rPr>
          <w:rFonts w:ascii="Palatino Linotype" w:eastAsia="Palatino Linotype" w:hAnsi="Palatino Linotype" w:cs="Palatino Linotype"/>
          <w:b/>
          <w:i/>
          <w:sz w:val="22"/>
          <w:szCs w:val="22"/>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lastRenderedPageBreak/>
        <w:t xml:space="preserve">h. Turno a la Contraloría Interna para Imposición de Medida de Apremio.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veinticinco de octubre de dos mil veintidós</w:t>
      </w:r>
      <w:r w:rsidRPr="00E554E1">
        <w:rPr>
          <w:rFonts w:ascii="Palatino Linotype" w:eastAsia="Palatino Linotype" w:hAnsi="Palatino Linotype" w:cs="Palatino Linotype"/>
        </w:rPr>
        <w:t xml:space="preserve">, se notificó al Titular del Órgano de Control Interno, el oficio OFICIO-RR-13774-2022, de fecha veinticinco de octubre de dos mil veintidós, mediante el cual, el Director de Cumplimientos hace del conocimiento del Contralor que se emitió un incumplimiento al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para efecto de que en ejercicio de sus atribuciones, se impongan las medidas de apremio que conforme a derecho procedan.</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spacing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i.</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 xml:space="preserve">Notificación de Apercibimiento al Titular de la Unidad de Transparencia.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 xml:space="preserve">nueve de noviembre de dos mil veintidós </w:t>
      </w:r>
      <w:r w:rsidRPr="00E554E1">
        <w:rPr>
          <w:rFonts w:ascii="Palatino Linotype" w:eastAsia="Palatino Linotype" w:hAnsi="Palatino Linotype" w:cs="Palatino Linotype"/>
        </w:rPr>
        <w:t xml:space="preserve">mediante oficio INFOEM/CI-OCV/2255/2022 de fecha siete de noviembre de dos mil veintidós, suscrito y signado por el Contralor Interno y Titular del Órgano de Control y Vigilancia de este Organismo Garante, por medio del cual apercibió al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para que en un plazo de cinco días hábiles diera cumplimiento a la resolución de referencia. </w:t>
      </w:r>
    </w:p>
    <w:p w:rsidR="006E7D3D" w:rsidRPr="00E554E1" w:rsidRDefault="00886556">
      <w:pPr>
        <w:spacing w:before="240" w:after="240"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b/>
        </w:rPr>
        <w:t>6. Interposición del Segundo Recurso de Revisión 13774/INFOEM/ICR-02</w:t>
      </w:r>
      <w:r w:rsidR="000B7C28" w:rsidRPr="00E554E1">
        <w:rPr>
          <w:rFonts w:ascii="Palatino Linotype" w:eastAsia="Palatino Linotype" w:hAnsi="Palatino Linotype" w:cs="Palatino Linotype"/>
          <w:b/>
        </w:rPr>
        <w:t>/</w:t>
      </w:r>
      <w:r w:rsidRPr="00E554E1">
        <w:rPr>
          <w:rFonts w:ascii="Palatino Linotype" w:eastAsia="Palatino Linotype" w:hAnsi="Palatino Linotype" w:cs="Palatino Linotype"/>
          <w:b/>
        </w:rPr>
        <w:t xml:space="preserve">IP/RR/2022.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seis de enero de dos mil veintitrés</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la parte</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interpuso Recurso de Revisión en este Instituto, a través del Sistema de Acceso a la Información Mexiquense (SAIMEX), en contra de la falta de respuesta del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en cumplimiento a la resolución referida en el antecedente 5, e. expresando las siguientes manifestaciones:</w:t>
      </w:r>
    </w:p>
    <w:p w:rsidR="006E7D3D" w:rsidRPr="00E554E1" w:rsidRDefault="006E7D3D">
      <w:pPr>
        <w:spacing w:line="360" w:lineRule="auto"/>
        <w:jc w:val="both"/>
        <w:rPr>
          <w:rFonts w:ascii="Palatino Linotype" w:eastAsia="Palatino Linotype" w:hAnsi="Palatino Linotype" w:cs="Palatino Linotype"/>
          <w:b/>
        </w:rPr>
      </w:pPr>
    </w:p>
    <w:p w:rsidR="006E7D3D" w:rsidRPr="00E554E1" w:rsidRDefault="00886556">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E554E1">
        <w:rPr>
          <w:rFonts w:ascii="Palatino Linotype" w:eastAsia="Palatino Linotype" w:hAnsi="Palatino Linotype" w:cs="Palatino Linotype"/>
          <w:b/>
        </w:rPr>
        <w:t>Acto Impugnado</w:t>
      </w:r>
    </w:p>
    <w:p w:rsidR="006E7D3D" w:rsidRPr="00E554E1" w:rsidRDefault="00886556">
      <w:pPr>
        <w:ind w:left="567" w:right="1013"/>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“Sin respuesta a pesar del recurso de revisión” (Sic.)</w:t>
      </w:r>
    </w:p>
    <w:p w:rsidR="006E7D3D" w:rsidRPr="00E554E1" w:rsidRDefault="006E7D3D">
      <w:pPr>
        <w:spacing w:line="360" w:lineRule="auto"/>
        <w:ind w:left="567" w:right="567"/>
        <w:jc w:val="both"/>
        <w:rPr>
          <w:rFonts w:ascii="Palatino Linotype" w:eastAsia="Palatino Linotype" w:hAnsi="Palatino Linotype" w:cs="Palatino Linotype"/>
          <w:i/>
        </w:rPr>
      </w:pPr>
    </w:p>
    <w:p w:rsidR="006E7D3D" w:rsidRPr="00E554E1" w:rsidRDefault="00886556">
      <w:pPr>
        <w:numPr>
          <w:ilvl w:val="0"/>
          <w:numId w:val="1"/>
        </w:numPr>
        <w:pBdr>
          <w:top w:val="nil"/>
          <w:left w:val="nil"/>
          <w:bottom w:val="nil"/>
          <w:right w:val="nil"/>
          <w:between w:val="nil"/>
        </w:pBdr>
        <w:spacing w:line="360" w:lineRule="auto"/>
        <w:ind w:right="567"/>
        <w:jc w:val="both"/>
        <w:rPr>
          <w:rFonts w:ascii="Palatino Linotype" w:eastAsia="Palatino Linotype" w:hAnsi="Palatino Linotype" w:cs="Palatino Linotype"/>
          <w:b/>
        </w:rPr>
      </w:pPr>
      <w:r w:rsidRPr="00E554E1">
        <w:rPr>
          <w:rFonts w:ascii="Palatino Linotype" w:eastAsia="Palatino Linotype" w:hAnsi="Palatino Linotype" w:cs="Palatino Linotype"/>
          <w:b/>
        </w:rPr>
        <w:t>Razones o Motivos de la Inconformidad</w:t>
      </w:r>
    </w:p>
    <w:p w:rsidR="006E7D3D" w:rsidRPr="00E554E1" w:rsidRDefault="00886556">
      <w:pPr>
        <w:spacing w:line="276" w:lineRule="auto"/>
        <w:ind w:left="567" w:right="567"/>
        <w:jc w:val="both"/>
        <w:rPr>
          <w:rFonts w:ascii="Palatino Linotype" w:eastAsia="Palatino Linotype" w:hAnsi="Palatino Linotype" w:cs="Palatino Linotype"/>
          <w:sz w:val="22"/>
          <w:szCs w:val="22"/>
        </w:rPr>
      </w:pPr>
      <w:r w:rsidRPr="00E554E1">
        <w:rPr>
          <w:rFonts w:ascii="Palatino Linotype" w:eastAsia="Palatino Linotype" w:hAnsi="Palatino Linotype" w:cs="Palatino Linotype"/>
          <w:i/>
          <w:sz w:val="22"/>
          <w:szCs w:val="22"/>
        </w:rPr>
        <w:t>“sin respuesta” (Sic)</w:t>
      </w:r>
    </w:p>
    <w:p w:rsidR="006E7D3D" w:rsidRPr="00E554E1" w:rsidRDefault="006E7D3D">
      <w:pPr>
        <w:widowControl w:val="0"/>
        <w:spacing w:line="360" w:lineRule="auto"/>
        <w:jc w:val="both"/>
        <w:rPr>
          <w:rFonts w:ascii="Palatino Linotype" w:eastAsia="Palatino Linotype" w:hAnsi="Palatino Linotype" w:cs="Palatino Linotype"/>
          <w:b/>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7. Trámite del Recurso de Revisión con número 13774/INFOEM/ICR-02/IP/RR/2022 ante el Instituto.</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a) Turno del Recurso de Revisión.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seis de enero de dos mil veintitrés</w:t>
      </w:r>
      <w:r w:rsidRPr="00E554E1">
        <w:rPr>
          <w:rFonts w:ascii="Palatino Linotype" w:eastAsia="Palatino Linotype" w:hAnsi="Palatino Linotype" w:cs="Palatino Linotype"/>
        </w:rPr>
        <w:t xml:space="preserve">, el Sistema de Acceso a la Información Mexiquense (SAIMEX), asignó el número de expediente </w:t>
      </w:r>
      <w:r w:rsidRPr="00E554E1">
        <w:rPr>
          <w:rFonts w:ascii="Palatino Linotype" w:eastAsia="Palatino Linotype" w:hAnsi="Palatino Linotype" w:cs="Palatino Linotype"/>
          <w:b/>
        </w:rPr>
        <w:t xml:space="preserve">13774/INFOEM/ICR-02/IP/RR/2022, </w:t>
      </w:r>
      <w:r w:rsidRPr="00E554E1">
        <w:rPr>
          <w:rFonts w:ascii="Palatino Linotype" w:eastAsia="Palatino Linotype" w:hAnsi="Palatino Linotype" w:cs="Palatino Linotype"/>
        </w:rPr>
        <w:t xml:space="preserve">al Medio de Impugnación que nos ocupa, con base en el sistema aprobado por el Pleno de este Organismo Garante y lo turnó a la </w:t>
      </w:r>
      <w:r w:rsidRPr="00E554E1">
        <w:rPr>
          <w:rFonts w:ascii="Palatino Linotype" w:eastAsia="Palatino Linotype" w:hAnsi="Palatino Linotype" w:cs="Palatino Linotype"/>
          <w:b/>
        </w:rPr>
        <w:t>Comisionada Ponente Guadalupe Ramírez Peña</w:t>
      </w:r>
      <w:r w:rsidRPr="00E554E1">
        <w:rPr>
          <w:rFonts w:ascii="Palatino Linotype" w:eastAsia="Palatino Linotype" w:hAnsi="Palatino Linotype" w:cs="Palatino Linotype"/>
        </w:rPr>
        <w:t>, para los efectos del artículo 185, fracción I de la Ley de Transparencia y Acceso a la Información Pública del Estado de México y Municipios.</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spacing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b/>
        </w:rPr>
        <w:t xml:space="preserve">b) Admisión del Recurso de Revisión.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doce de enero de dos mil veintitrés</w:t>
      </w:r>
      <w:r w:rsidRPr="00E554E1">
        <w:rPr>
          <w:rFonts w:ascii="Palatino Linotype" w:eastAsia="Palatino Linotype" w:hAnsi="Palatino Linotype" w:cs="Palatino Linotype"/>
        </w:rPr>
        <w:t>, se acordó la admisión del Recurso de Revisión interpuesto por la parte</w:t>
      </w:r>
      <w:r w:rsidRPr="00E554E1">
        <w:rPr>
          <w:rFonts w:ascii="Palatino Linotype" w:eastAsia="Palatino Linotype" w:hAnsi="Palatino Linotype" w:cs="Palatino Linotype"/>
          <w:b/>
        </w:rPr>
        <w:t xml:space="preserve"> Recurrente</w:t>
      </w:r>
      <w:r w:rsidRPr="00E554E1">
        <w:rPr>
          <w:rFonts w:ascii="Palatino Linotype" w:eastAsia="Palatino Linotype" w:hAnsi="Palatino Linotype" w:cs="Palatino Linotype"/>
        </w:rPr>
        <w:t xml:space="preserve"> en contra del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en términos del artículo 185, fracciones I, II y IV de la Ley de Transparencia y Acceso a la Información Pública del Estado de México y Municipios, el cual fue notificado a las partes a través del Sistema de Acceso a la Información Mexiquense (SAIMEX), en el que se les otorgó un plazo de siete días hábiles posteriores, para que manifestaran lo que a su derecho conviniera y formularan alegatos.</w:t>
      </w:r>
      <w:r w:rsidRPr="00E554E1">
        <w:rPr>
          <w:rFonts w:ascii="Palatino Linotype" w:eastAsia="Palatino Linotype" w:hAnsi="Palatino Linotype" w:cs="Palatino Linotype"/>
          <w:b/>
        </w:rPr>
        <w:t xml:space="preserve"> </w:t>
      </w:r>
    </w:p>
    <w:p w:rsidR="006E7D3D" w:rsidRPr="00E554E1" w:rsidRDefault="006E7D3D">
      <w:pPr>
        <w:spacing w:line="360" w:lineRule="auto"/>
        <w:jc w:val="both"/>
        <w:rPr>
          <w:rFonts w:ascii="Palatino Linotype" w:eastAsia="Palatino Linotype" w:hAnsi="Palatino Linotype" w:cs="Palatino Linotype"/>
          <w:b/>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lastRenderedPageBreak/>
        <w:t xml:space="preserve">8. Manifestaciones o Informe Justificado. </w:t>
      </w: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ocho de febrero de dos mil veintitrés</w:t>
      </w:r>
      <w:r w:rsidRPr="00E554E1">
        <w:rPr>
          <w:rFonts w:ascii="Palatino Linotype" w:eastAsia="Palatino Linotype" w:hAnsi="Palatino Linotype" w:cs="Palatino Linotype"/>
        </w:rPr>
        <w:t xml:space="preserve">,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remitió de manera repetitiva los archivos electrónicos identificados denominados </w:t>
      </w:r>
      <w:r w:rsidRPr="00E554E1">
        <w:rPr>
          <w:rFonts w:ascii="Palatino Linotype" w:eastAsia="Palatino Linotype" w:hAnsi="Palatino Linotype" w:cs="Palatino Linotype"/>
          <w:b/>
          <w:i/>
        </w:rPr>
        <w:t xml:space="preserve">respuesta 162.pdf </w:t>
      </w:r>
      <w:r w:rsidRPr="00E554E1">
        <w:rPr>
          <w:rFonts w:ascii="Palatino Linotype" w:eastAsia="Palatino Linotype" w:hAnsi="Palatino Linotype" w:cs="Palatino Linotype"/>
        </w:rPr>
        <w:t xml:space="preserve">y </w:t>
      </w:r>
      <w:r w:rsidRPr="00E554E1">
        <w:rPr>
          <w:rFonts w:ascii="Palatino Linotype" w:eastAsia="Palatino Linotype" w:hAnsi="Palatino Linotype" w:cs="Palatino Linotype"/>
          <w:b/>
          <w:i/>
        </w:rPr>
        <w:t xml:space="preserve">00162.pdf </w:t>
      </w:r>
      <w:r w:rsidRPr="00E554E1">
        <w:rPr>
          <w:rFonts w:ascii="Palatino Linotype" w:eastAsia="Palatino Linotype" w:hAnsi="Palatino Linotype" w:cs="Palatino Linotype"/>
        </w:rPr>
        <w:t xml:space="preserve">cuyo contenido se trata del oficio DRH/628/2022 de fecha dos de enero de dos mil veintitrés, suscrito por el Director de Recursos Humanos, quien informó que la Dirección de Recursos Humanos es la única área del ayuntamiento con la facultad de contratar personal y darlos de alta ya sea en nómina o como asimilados; asimismo, hizo del conocimiento del Recurrente que la Quinta Regidora no tiene capacidad de contratar a ningún servidor público ya que esa función es única y exclusiva de la Dirección de Recursos Humanos. </w:t>
      </w: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noProof/>
          <w:lang w:val="es-MX" w:eastAsia="es-MX"/>
        </w:rPr>
        <w:lastRenderedPageBreak/>
        <w:drawing>
          <wp:inline distT="0" distB="0" distL="0" distR="0">
            <wp:extent cx="5548243" cy="7048500"/>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53393" cy="7055043"/>
                    </a:xfrm>
                    <a:prstGeom prst="rect">
                      <a:avLst/>
                    </a:prstGeom>
                    <a:ln/>
                  </pic:spPr>
                </pic:pic>
              </a:graphicData>
            </a:graphic>
          </wp:inline>
        </w:drawing>
      </w: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 </w:t>
      </w:r>
    </w:p>
    <w:p w:rsidR="006E7D3D" w:rsidRPr="00E554E1" w:rsidRDefault="00886556">
      <w:pPr>
        <w:widowControl w:val="0"/>
        <w:spacing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lastRenderedPageBreak/>
        <w:t>9. Cierre de instrucción.</w:t>
      </w:r>
      <w:r w:rsidRPr="00E554E1">
        <w:rPr>
          <w:rFonts w:ascii="Palatino Linotype" w:eastAsia="Palatino Linotype" w:hAnsi="Palatino Linotype" w:cs="Palatino Linotype"/>
        </w:rPr>
        <w:t xml:space="preserve"> El </w:t>
      </w:r>
      <w:r w:rsidRPr="00E554E1">
        <w:rPr>
          <w:rFonts w:ascii="Palatino Linotype" w:eastAsia="Palatino Linotype" w:hAnsi="Palatino Linotype" w:cs="Palatino Linotype"/>
          <w:b/>
        </w:rPr>
        <w:t>dieciocho de abril de dos mil veintitrés</w:t>
      </w:r>
      <w:r w:rsidRPr="00E554E1">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 </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10. Ampliación del plazo.</w:t>
      </w:r>
      <w:r w:rsidRPr="00E554E1">
        <w:rPr>
          <w:rFonts w:ascii="Palatino Linotype" w:eastAsia="Palatino Linotype" w:hAnsi="Palatino Linotype" w:cs="Palatino Linotype"/>
        </w:rPr>
        <w:t xml:space="preserve"> Con fundamento en el artículo 133 de la Ley de Protección de Datos Personales en Posesión de Sujetos Obligados del Estado de México y Municipios,</w:t>
      </w:r>
      <w:r w:rsidRPr="00E554E1">
        <w:rPr>
          <w:rFonts w:ascii="Palatino Linotype" w:eastAsia="Palatino Linotype" w:hAnsi="Palatino Linotype" w:cs="Palatino Linotype"/>
          <w:b/>
        </w:rPr>
        <w:t xml:space="preserve"> </w:t>
      </w:r>
      <w:r w:rsidRPr="00E554E1">
        <w:rPr>
          <w:rFonts w:ascii="Palatino Linotype" w:eastAsia="Palatino Linotype" w:hAnsi="Palatino Linotype" w:cs="Palatino Linotype"/>
        </w:rPr>
        <w:t xml:space="preserve">mediante acuerdo de fecha </w:t>
      </w:r>
      <w:r w:rsidRPr="00E554E1">
        <w:rPr>
          <w:rFonts w:ascii="Palatino Linotype" w:eastAsia="Palatino Linotype" w:hAnsi="Palatino Linotype" w:cs="Palatino Linotype"/>
          <w:b/>
        </w:rPr>
        <w:t xml:space="preserve">dieciocho de abril del año dos mil veintitrés </w:t>
      </w:r>
      <w:r w:rsidRPr="00E554E1">
        <w:rPr>
          <w:rFonts w:ascii="Palatino Linotype" w:eastAsia="Palatino Linotype" w:hAnsi="Palatino Linotype" w:cs="Palatino Linotype"/>
        </w:rPr>
        <w:t>se acordó la ampliación de plazo, para emitir la resolución correspondiente.</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E554E1">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E7D3D" w:rsidRPr="00E554E1" w:rsidRDefault="00886556">
      <w:pPr>
        <w:spacing w:before="240" w:after="240" w:line="360" w:lineRule="auto"/>
        <w:jc w:val="both"/>
        <w:rPr>
          <w:rFonts w:ascii="Palatino Linotype" w:eastAsia="Palatino Linotype" w:hAnsi="Palatino Linotype" w:cs="Palatino Linotype"/>
          <w:strike/>
        </w:rPr>
      </w:pPr>
      <w:r w:rsidRPr="00E554E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6E7D3D" w:rsidRPr="00E554E1" w:rsidRDefault="00886556">
      <w:pPr>
        <w:numPr>
          <w:ilvl w:val="0"/>
          <w:numId w:val="2"/>
        </w:num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6E7D3D" w:rsidRPr="00E554E1" w:rsidRDefault="00886556">
      <w:pPr>
        <w:numPr>
          <w:ilvl w:val="0"/>
          <w:numId w:val="2"/>
        </w:num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Actividad Procesal del interesado. Acciones u omisiones del interesado.</w:t>
      </w:r>
    </w:p>
    <w:p w:rsidR="006E7D3D" w:rsidRPr="00E554E1" w:rsidRDefault="00886556">
      <w:pPr>
        <w:numPr>
          <w:ilvl w:val="0"/>
          <w:numId w:val="2"/>
        </w:num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Conducta de la Autoridad: Las Acciones u omisiones realizadas en el procedimiento. Así como si la autoridad actuó con la debida diligencia.</w:t>
      </w:r>
    </w:p>
    <w:p w:rsidR="006E7D3D" w:rsidRPr="00E554E1" w:rsidRDefault="00886556">
      <w:pPr>
        <w:spacing w:before="240" w:after="240" w:line="360" w:lineRule="auto"/>
        <w:ind w:left="567"/>
        <w:jc w:val="both"/>
        <w:rPr>
          <w:rFonts w:ascii="Palatino Linotype" w:eastAsia="Palatino Linotype" w:hAnsi="Palatino Linotype" w:cs="Palatino Linotype"/>
        </w:rPr>
      </w:pPr>
      <w:r w:rsidRPr="00E554E1">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E7D3D" w:rsidRPr="00E554E1" w:rsidRDefault="00886556">
      <w:pPr>
        <w:spacing w:before="240" w:after="240" w:line="360" w:lineRule="auto"/>
        <w:jc w:val="both"/>
        <w:rPr>
          <w:rFonts w:ascii="Palatino Linotype" w:eastAsia="Palatino Linotype" w:hAnsi="Palatino Linotype" w:cs="Palatino Linotype"/>
          <w:b/>
        </w:rPr>
      </w:pPr>
      <w:r w:rsidRPr="00E554E1">
        <w:rPr>
          <w:rFonts w:ascii="Palatino Linotype" w:eastAsia="Palatino Linotype" w:hAnsi="Palatino Linotype" w:cs="Palatino Linotype"/>
        </w:rPr>
        <w:t>Argumento que encuentra sustento en la jurisprudencia P</w:t>
      </w:r>
      <w:proofErr w:type="gramStart"/>
      <w:r w:rsidRPr="00E554E1">
        <w:rPr>
          <w:rFonts w:ascii="Palatino Linotype" w:eastAsia="Palatino Linotype" w:hAnsi="Palatino Linotype" w:cs="Palatino Linotype"/>
        </w:rPr>
        <w:t>./</w:t>
      </w:r>
      <w:proofErr w:type="gramEnd"/>
      <w:r w:rsidRPr="00E554E1">
        <w:rPr>
          <w:rFonts w:ascii="Palatino Linotype" w:eastAsia="Palatino Linotype" w:hAnsi="Palatino Linotype" w:cs="Palatino Linotype"/>
        </w:rPr>
        <w:t xml:space="preserve">J. 32/92 emitida por el Pleno de la Suprema Corte de Justicia de la Nación de rubro </w:t>
      </w:r>
      <w:r w:rsidRPr="00E554E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554E1">
        <w:rPr>
          <w:rFonts w:ascii="Palatino Linotype" w:eastAsia="Palatino Linotype" w:hAnsi="Palatino Linotype" w:cs="Palatino Linotype"/>
        </w:rPr>
        <w:t>, visible en la Gaceta del Seminario Judicial de la Federación con el registro digital 205635.</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554E1">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i/>
        </w:rPr>
        <w:t>“PLAZO RAZONABLE PARA RESOLVER. DIMENSIÓN Y EFECTOS DE ESTE CONCEPTO CUANDO SE ADUCE EXCESIVA CARGA DE TRABAJO.”</w:t>
      </w:r>
      <w:r w:rsidRPr="00E554E1">
        <w:rPr>
          <w:rFonts w:ascii="Palatino Linotype" w:eastAsia="Palatino Linotype" w:hAnsi="Palatino Linotype" w:cs="Palatino Linotype"/>
        </w:rPr>
        <w:t xml:space="preserve"> consultable en el Seminario Judicial de la Federación y su gaceta, con el registro digital 2002351.</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i/>
        </w:rPr>
        <w:t>“PLAZO RAZONABLE PARA RESOLVER. CONCEPTO Y ELEMENTOS QUE LO INTEGRAN A LA LUZ DEL DERECHO INTERNACIONAL DE LOS DERECHOS HUMANOS.”</w:t>
      </w:r>
      <w:r w:rsidRPr="00E554E1">
        <w:rPr>
          <w:rFonts w:ascii="Palatino Linotype" w:eastAsia="Palatino Linotype" w:hAnsi="Palatino Linotype" w:cs="Palatino Linotype"/>
        </w:rPr>
        <w:t>, visible en el Seminario Judicial de la Federación y su gaceta, con el registro digital 2002350.</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D54CFB" w:rsidRPr="00E554E1" w:rsidRDefault="00D54CFB">
      <w:pPr>
        <w:spacing w:before="240" w:after="240" w:line="360" w:lineRule="auto"/>
        <w:jc w:val="both"/>
        <w:rPr>
          <w:rFonts w:ascii="Palatino Linotype" w:eastAsia="Palatino Linotype" w:hAnsi="Palatino Linotype" w:cs="Palatino Linotype"/>
        </w:rPr>
      </w:pPr>
    </w:p>
    <w:p w:rsidR="006E7D3D" w:rsidRPr="00E554E1" w:rsidRDefault="00886556">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5" w:name="_heading=h.3dy6vkm" w:colFirst="0" w:colLast="0"/>
      <w:bookmarkEnd w:id="5"/>
      <w:r w:rsidRPr="00E554E1">
        <w:rPr>
          <w:rFonts w:ascii="Palatino Linotype" w:eastAsia="Palatino Linotype" w:hAnsi="Palatino Linotype" w:cs="Palatino Linotype"/>
          <w:b/>
        </w:rPr>
        <w:lastRenderedPageBreak/>
        <w:t>C O N S I D E R A N D O S:</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Primero. Competencia.</w:t>
      </w:r>
      <w:r w:rsidRPr="00E554E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554E1">
        <w:rPr>
          <w:rFonts w:ascii="Palatino Linotype" w:eastAsia="Palatino Linotype" w:hAnsi="Palatino Linotype" w:cs="Palatino Linotype"/>
          <w:b/>
        </w:rPr>
        <w:t>el</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 xml:space="preserve">Segundo. Oportunidad y </w:t>
      </w:r>
      <w:proofErr w:type="spellStart"/>
      <w:r w:rsidRPr="00E554E1">
        <w:rPr>
          <w:rFonts w:ascii="Palatino Linotype" w:eastAsia="Palatino Linotype" w:hAnsi="Palatino Linotype" w:cs="Palatino Linotype"/>
          <w:b/>
        </w:rPr>
        <w:t>Procedibilidad</w:t>
      </w:r>
      <w:proofErr w:type="spellEnd"/>
      <w:r w:rsidRPr="00E554E1">
        <w:rPr>
          <w:rFonts w:ascii="Palatino Linotype" w:eastAsia="Palatino Linotype" w:hAnsi="Palatino Linotype" w:cs="Palatino Linotype"/>
          <w:b/>
        </w:rPr>
        <w:t xml:space="preserve">. </w:t>
      </w:r>
      <w:r w:rsidRPr="00E554E1">
        <w:rPr>
          <w:rFonts w:ascii="Palatino Linotype" w:eastAsia="Palatino Linotype" w:hAnsi="Palatino Linotype" w:cs="Palatino Linotype"/>
        </w:rPr>
        <w:t>Es de precisar que la</w:t>
      </w:r>
      <w:r w:rsidRPr="00E554E1">
        <w:rPr>
          <w:rFonts w:ascii="Palatino Linotype" w:eastAsia="Palatino Linotype" w:hAnsi="Palatino Linotype" w:cs="Palatino Linotype"/>
          <w:b/>
        </w:rPr>
        <w:t xml:space="preserve"> </w:t>
      </w:r>
      <w:r w:rsidRPr="00E554E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i/>
          <w:sz w:val="22"/>
          <w:szCs w:val="22"/>
        </w:rPr>
        <w:t>“</w:t>
      </w:r>
      <w:r w:rsidRPr="00E554E1">
        <w:rPr>
          <w:rFonts w:ascii="Palatino Linotype" w:eastAsia="Palatino Linotype" w:hAnsi="Palatino Linotype" w:cs="Palatino Linotype"/>
          <w:b/>
          <w:i/>
          <w:sz w:val="22"/>
          <w:szCs w:val="22"/>
        </w:rPr>
        <w:t xml:space="preserve">Artículo 163. </w:t>
      </w:r>
      <w:r w:rsidRPr="00E554E1">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i/>
          <w:sz w:val="22"/>
          <w:szCs w:val="22"/>
        </w:rPr>
        <w:t>…</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b/>
          <w:i/>
          <w:sz w:val="22"/>
          <w:szCs w:val="22"/>
        </w:rPr>
        <w:t>Artículo 166.</w:t>
      </w:r>
      <w:r w:rsidRPr="00E554E1">
        <w:rPr>
          <w:rFonts w:ascii="Palatino Linotype" w:eastAsia="Palatino Linotype" w:hAnsi="Palatino Linotype" w:cs="Palatino Linotype"/>
          <w:i/>
          <w:sz w:val="22"/>
          <w:szCs w:val="22"/>
        </w:rPr>
        <w:t xml:space="preserve"> […]</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lastRenderedPageBreak/>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y en el asunto que se resuelve, el Pleno de este Instituto otorgó al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el plazo de diez días hábiles para el cumplimiento de la resolución del recurso de revisión </w:t>
      </w:r>
      <w:r w:rsidRPr="00E554E1">
        <w:rPr>
          <w:rFonts w:ascii="Palatino Linotype" w:eastAsia="Palatino Linotype" w:hAnsi="Palatino Linotype" w:cs="Palatino Linotype"/>
          <w:b/>
        </w:rPr>
        <w:t xml:space="preserve">13774/INFOEM/IP/RR/2022; </w:t>
      </w:r>
      <w:r w:rsidRPr="00E554E1">
        <w:rPr>
          <w:rFonts w:ascii="Palatino Linotype" w:eastAsia="Palatino Linotype" w:hAnsi="Palatino Linotype" w:cs="Palatino Linotype"/>
        </w:rPr>
        <w:t xml:space="preserve">es así que,  en los casos en que transcurre el referido, sin que los Sujetos Obligados entreguen información que dé respuesta </w:t>
      </w:r>
      <w:r w:rsidR="00835A9C" w:rsidRPr="00E554E1">
        <w:rPr>
          <w:rFonts w:ascii="Palatino Linotype" w:eastAsia="Palatino Linotype" w:hAnsi="Palatino Linotype" w:cs="Palatino Linotype"/>
        </w:rPr>
        <w:t>a la solicitud de información, e</w:t>
      </w:r>
      <w:r w:rsidRPr="00E554E1">
        <w:rPr>
          <w:rFonts w:ascii="Palatino Linotype" w:eastAsia="Palatino Linotype" w:hAnsi="Palatino Linotype" w:cs="Palatino Linotype"/>
        </w:rPr>
        <w:t>sta se considera negada; por lo que a la persona solicitante le asiste el derecho para presentar el recurso de revisión.</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6E7D3D" w:rsidRPr="00E554E1" w:rsidRDefault="00886556">
      <w:pPr>
        <w:spacing w:before="240" w:after="240" w:line="360" w:lineRule="auto"/>
        <w:jc w:val="both"/>
        <w:rPr>
          <w:rFonts w:ascii="Palatino Linotype" w:eastAsia="Palatino Linotype" w:hAnsi="Palatino Linotype" w:cs="Palatino Linotype"/>
          <w:i/>
        </w:rPr>
      </w:pPr>
      <w:r w:rsidRPr="00E554E1">
        <w:rPr>
          <w:rFonts w:ascii="Palatino Linotype" w:eastAsia="Palatino Linotype" w:hAnsi="Palatino Linotype" w:cs="Palatino Linotype"/>
        </w:rPr>
        <w:t>Por su parte, el artículo 178 del citado ordenamiento, establece:</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i/>
          <w:sz w:val="22"/>
          <w:szCs w:val="22"/>
        </w:rPr>
        <w:t>“</w:t>
      </w:r>
      <w:r w:rsidRPr="00E554E1">
        <w:rPr>
          <w:rFonts w:ascii="Palatino Linotype" w:eastAsia="Palatino Linotype" w:hAnsi="Palatino Linotype" w:cs="Palatino Linotype"/>
          <w:b/>
          <w:i/>
          <w:sz w:val="22"/>
          <w:szCs w:val="22"/>
        </w:rPr>
        <w:t xml:space="preserve">Artículo 178. </w:t>
      </w:r>
      <w:r w:rsidRPr="00E554E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554E1">
        <w:rPr>
          <w:rFonts w:ascii="Palatino Linotype" w:eastAsia="Palatino Linotype" w:hAnsi="Palatino Linotype" w:cs="Palatino Linotype"/>
          <w:b/>
          <w:i/>
          <w:sz w:val="22"/>
          <w:szCs w:val="22"/>
        </w:rPr>
        <w:t>.”</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E554E1">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La negativa ficta constituye una presunción legal, en el entendido de que donde no hubo respuesta por parte del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554E1">
        <w:rPr>
          <w:rFonts w:ascii="Palatino Linotype" w:eastAsia="Palatino Linotype" w:hAnsi="Palatino Linotype" w:cs="Palatino Linotype"/>
        </w:rPr>
        <w:t>desechamiento</w:t>
      </w:r>
      <w:proofErr w:type="spellEnd"/>
      <w:r w:rsidRPr="00E554E1">
        <w:rPr>
          <w:rFonts w:ascii="Palatino Linotype" w:eastAsia="Palatino Linotype" w:hAnsi="Palatino Linotype" w:cs="Palatino Linotype"/>
        </w:rPr>
        <w:t xml:space="preserve"> del mismo.</w:t>
      </w:r>
    </w:p>
    <w:p w:rsidR="006E7D3D" w:rsidRPr="00E554E1" w:rsidRDefault="00886556">
      <w:pPr>
        <w:spacing w:before="240" w:after="240" w:line="360" w:lineRule="auto"/>
        <w:jc w:val="both"/>
        <w:rPr>
          <w:rFonts w:ascii="Palatino Linotype" w:eastAsia="Palatino Linotype" w:hAnsi="Palatino Linotype" w:cs="Palatino Linotype"/>
          <w:i/>
        </w:rPr>
      </w:pPr>
      <w:r w:rsidRPr="00E554E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este tiene la posibilidad de impugnar dicha omisión </w:t>
      </w:r>
      <w:r w:rsidRPr="00E554E1">
        <w:rPr>
          <w:rFonts w:ascii="Palatino Linotype" w:eastAsia="Palatino Linotype" w:hAnsi="Palatino Linotype" w:cs="Palatino Linotype"/>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b/>
          <w:i/>
          <w:sz w:val="22"/>
          <w:szCs w:val="22"/>
        </w:rPr>
        <w:t>“CRITERIO 0001-15. NEGATIVA FICTA. PLAZO PARA INTERPONER EL RECURSO DE REVISIÓN TRATÁNDOSE DE</w:t>
      </w:r>
      <w:r w:rsidRPr="00E554E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554E1">
        <w:rPr>
          <w:rFonts w:ascii="Palatino Linotype" w:eastAsia="Palatino Linotype" w:hAnsi="Palatino Linotype" w:cs="Palatino Linotype"/>
          <w:i/>
        </w:rPr>
        <w:t xml:space="preserve"> </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Al mismo tiempo, por cuanto hace a la </w:t>
      </w:r>
      <w:proofErr w:type="spellStart"/>
      <w:r w:rsidRPr="00E554E1">
        <w:rPr>
          <w:rFonts w:ascii="Palatino Linotype" w:eastAsia="Palatino Linotype" w:hAnsi="Palatino Linotype" w:cs="Palatino Linotype"/>
        </w:rPr>
        <w:t>procedibilidad</w:t>
      </w:r>
      <w:proofErr w:type="spellEnd"/>
      <w:r w:rsidRPr="00E554E1">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por lo que, en el presente caso, al haber sido presentado el recurso de revisión vía SAIMEX, dicho requisito resulta innecesario.</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6E7D3D" w:rsidRPr="00E554E1" w:rsidRDefault="00886556">
      <w:pPr>
        <w:ind w:left="851" w:right="851"/>
        <w:jc w:val="both"/>
        <w:rPr>
          <w:rFonts w:ascii="Palatino Linotype" w:eastAsia="Palatino Linotype" w:hAnsi="Palatino Linotype" w:cs="Palatino Linotype"/>
          <w:i/>
        </w:rPr>
      </w:pPr>
      <w:r w:rsidRPr="00E554E1">
        <w:rPr>
          <w:rFonts w:ascii="Palatino Linotype" w:eastAsia="Palatino Linotype" w:hAnsi="Palatino Linotype" w:cs="Palatino Linotype"/>
          <w:i/>
          <w:sz w:val="22"/>
          <w:szCs w:val="22"/>
        </w:rPr>
        <w:t>“</w:t>
      </w:r>
      <w:r w:rsidRPr="00E554E1">
        <w:rPr>
          <w:rFonts w:ascii="Palatino Linotype" w:eastAsia="Palatino Linotype" w:hAnsi="Palatino Linotype" w:cs="Palatino Linotype"/>
          <w:b/>
          <w:i/>
          <w:sz w:val="22"/>
          <w:szCs w:val="22"/>
        </w:rPr>
        <w:t xml:space="preserve">Artículo 179. </w:t>
      </w:r>
      <w:r w:rsidRPr="00E554E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E7D3D" w:rsidRPr="00E554E1" w:rsidRDefault="00886556">
      <w:pPr>
        <w:ind w:left="1134" w:right="851"/>
        <w:jc w:val="both"/>
        <w:rPr>
          <w:rFonts w:ascii="Palatino Linotype" w:eastAsia="Palatino Linotype" w:hAnsi="Palatino Linotype" w:cs="Palatino Linotype"/>
          <w:i/>
        </w:rPr>
      </w:pPr>
      <w:r w:rsidRPr="00E554E1">
        <w:rPr>
          <w:rFonts w:ascii="Palatino Linotype" w:eastAsia="Palatino Linotype" w:hAnsi="Palatino Linotype" w:cs="Palatino Linotype"/>
          <w:i/>
        </w:rPr>
        <w:t>…</w:t>
      </w:r>
    </w:p>
    <w:p w:rsidR="006E7D3D" w:rsidRPr="00E554E1" w:rsidRDefault="00886556">
      <w:pPr>
        <w:ind w:left="1134" w:right="851"/>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 xml:space="preserve">VII. </w:t>
      </w:r>
      <w:r w:rsidRPr="00E554E1">
        <w:rPr>
          <w:rFonts w:ascii="Palatino Linotype" w:eastAsia="Palatino Linotype" w:hAnsi="Palatino Linotype" w:cs="Palatino Linotype"/>
          <w:i/>
          <w:sz w:val="22"/>
          <w:szCs w:val="22"/>
        </w:rPr>
        <w:t>La falta de respuesta a una solicitud de acceso a la información;</w:t>
      </w:r>
    </w:p>
    <w:p w:rsidR="006E7D3D" w:rsidRPr="00E554E1" w:rsidRDefault="00886556">
      <w:pPr>
        <w:ind w:left="1134" w:right="851"/>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w:t>
      </w:r>
    </w:p>
    <w:p w:rsidR="006E7D3D" w:rsidRPr="00E554E1" w:rsidRDefault="006E7D3D">
      <w:pPr>
        <w:ind w:left="1134" w:right="851"/>
        <w:jc w:val="both"/>
        <w:rPr>
          <w:rFonts w:ascii="Palatino Linotype" w:eastAsia="Palatino Linotype" w:hAnsi="Palatino Linotype" w:cs="Palatino Linotype"/>
          <w:i/>
          <w:sz w:val="22"/>
          <w:szCs w:val="22"/>
        </w:rPr>
      </w:pPr>
    </w:p>
    <w:p w:rsidR="006E7D3D" w:rsidRPr="00E554E1" w:rsidRDefault="00886556">
      <w:pPr>
        <w:spacing w:line="276" w:lineRule="auto"/>
        <w:ind w:left="1134" w:right="851"/>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 xml:space="preserve">La respuesta que den los sujetos obligados derivada de la resolución a un recurso de revisión que proceda por las causales señaladas en las fracciones IV, </w:t>
      </w:r>
      <w:r w:rsidRPr="00E554E1">
        <w:rPr>
          <w:rFonts w:ascii="Palatino Linotype" w:eastAsia="Palatino Linotype" w:hAnsi="Palatino Linotype" w:cs="Palatino Linotype"/>
          <w:b/>
          <w:i/>
          <w:sz w:val="22"/>
          <w:szCs w:val="22"/>
        </w:rPr>
        <w:t>VII,</w:t>
      </w:r>
      <w:r w:rsidRPr="00E554E1">
        <w:rPr>
          <w:rFonts w:ascii="Palatino Linotype" w:eastAsia="Palatino Linotype" w:hAnsi="Palatino Linotype" w:cs="Palatino Linotype"/>
          <w:i/>
          <w:sz w:val="22"/>
          <w:szCs w:val="22"/>
        </w:rPr>
        <w:t xml:space="preserve"> IX, X, XI y XII es susceptible de ser impugnada de nueva cuenta, mediante recurso de revisión, ante el Instituto.”</w:t>
      </w:r>
    </w:p>
    <w:p w:rsidR="006E7D3D" w:rsidRPr="00E554E1" w:rsidRDefault="00886556">
      <w:pPr>
        <w:tabs>
          <w:tab w:val="left" w:pos="8647"/>
        </w:tabs>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El precepto legal citado, establece como supuesto de procedencia del recurso de revisión, en aquellos casos en que la parte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estime negado el acceso a la información por la falta de respuesta por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en este asunto se actualiza la hipótesis jurídica citada, en atención a que la parte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xml:space="preserve"> combate falta de trámite por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y expresa motivos de inconformidad en contra de dicha circunstancia.</w:t>
      </w:r>
    </w:p>
    <w:p w:rsidR="006E7D3D" w:rsidRPr="00E554E1" w:rsidRDefault="00886556">
      <w:pPr>
        <w:spacing w:line="360" w:lineRule="auto"/>
        <w:jc w:val="both"/>
        <w:rPr>
          <w:rFonts w:ascii="Palatino Linotype" w:eastAsia="Palatino Linotype" w:hAnsi="Palatino Linotype" w:cs="Palatino Linotype"/>
        </w:rPr>
      </w:pPr>
      <w:bookmarkStart w:id="6" w:name="_heading=h.2et92p0" w:colFirst="0" w:colLast="0"/>
      <w:bookmarkEnd w:id="6"/>
      <w:r w:rsidRPr="00E554E1">
        <w:rPr>
          <w:rFonts w:ascii="Palatino Linotype" w:eastAsia="Palatino Linotype" w:hAnsi="Palatino Linotype" w:cs="Palatino Linotype"/>
          <w:b/>
        </w:rPr>
        <w:lastRenderedPageBreak/>
        <w:t>Tercero. Análisis de las causales de sobreseimiento del recurso de revisión.</w:t>
      </w:r>
      <w:r w:rsidRPr="00E554E1">
        <w:rPr>
          <w:rFonts w:ascii="Calibri" w:eastAsia="Calibri" w:hAnsi="Calibri" w:cs="Calibri"/>
        </w:rPr>
        <w:t xml:space="preserve"> </w:t>
      </w:r>
      <w:r w:rsidRPr="00E554E1">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E554E1">
        <w:rPr>
          <w:rFonts w:ascii="Palatino Linotype" w:eastAsia="Palatino Linotype" w:hAnsi="Palatino Linotype" w:cs="Palatino Linotype"/>
        </w:rPr>
        <w:t>procedibilidad</w:t>
      </w:r>
      <w:proofErr w:type="spellEnd"/>
      <w:r w:rsidRPr="00E554E1">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E7D3D" w:rsidRPr="00E554E1" w:rsidRDefault="006E7D3D">
      <w:pPr>
        <w:spacing w:line="360" w:lineRule="auto"/>
        <w:jc w:val="both"/>
        <w:rPr>
          <w:rFonts w:ascii="Calibri" w:eastAsia="Calibri" w:hAnsi="Calibri" w:cs="Calibri"/>
        </w:rPr>
      </w:pPr>
    </w:p>
    <w:p w:rsidR="006E7D3D" w:rsidRPr="00E554E1" w:rsidRDefault="00886556">
      <w:pPr>
        <w:spacing w:line="360" w:lineRule="auto"/>
        <w:jc w:val="both"/>
        <w:rPr>
          <w:rFonts w:ascii="Calibri" w:eastAsia="Calibri" w:hAnsi="Calibri" w:cs="Calibri"/>
        </w:rPr>
      </w:pPr>
      <w:r w:rsidRPr="00E554E1">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6E7D3D" w:rsidRPr="00E554E1" w:rsidRDefault="006E7D3D">
      <w:pPr>
        <w:spacing w:after="160" w:line="256" w:lineRule="auto"/>
        <w:rPr>
          <w:rFonts w:ascii="Calibri" w:eastAsia="Calibri" w:hAnsi="Calibri" w:cs="Calibri"/>
        </w:rPr>
      </w:pPr>
    </w:p>
    <w:p w:rsidR="006E7D3D" w:rsidRPr="00E554E1" w:rsidRDefault="00886556">
      <w:pPr>
        <w:spacing w:line="360" w:lineRule="auto"/>
        <w:ind w:right="51"/>
        <w:jc w:val="both"/>
        <w:rPr>
          <w:rFonts w:ascii="Palatino Linotype" w:eastAsia="Palatino Linotype" w:hAnsi="Palatino Linotype" w:cs="Palatino Linotype"/>
        </w:rPr>
      </w:pPr>
      <w:r w:rsidRPr="00E554E1">
        <w:rPr>
          <w:rFonts w:ascii="Palatino Linotype" w:eastAsia="Palatino Linotype" w:hAnsi="Palatino Linotype" w:cs="Palatino Linotype"/>
        </w:rPr>
        <w:t>De manera preliminar en el caso concreto conviene analizar si se actualiza alguna de las causales de sobreseimiento del recurso de revisión.</w:t>
      </w:r>
    </w:p>
    <w:p w:rsidR="006E7D3D" w:rsidRPr="00E554E1" w:rsidRDefault="006E7D3D">
      <w:pPr>
        <w:spacing w:line="360" w:lineRule="auto"/>
        <w:ind w:right="51"/>
        <w:jc w:val="both"/>
        <w:rPr>
          <w:rFonts w:ascii="Palatino Linotype" w:eastAsia="Palatino Linotype" w:hAnsi="Palatino Linotype" w:cs="Palatino Linotype"/>
        </w:rPr>
      </w:pPr>
    </w:p>
    <w:p w:rsidR="006E7D3D" w:rsidRPr="00E554E1" w:rsidRDefault="00886556">
      <w:pPr>
        <w:spacing w:line="360" w:lineRule="auto"/>
        <w:ind w:right="51"/>
        <w:jc w:val="both"/>
        <w:rPr>
          <w:rFonts w:ascii="Palatino Linotype" w:eastAsia="Palatino Linotype" w:hAnsi="Palatino Linotype" w:cs="Palatino Linotype"/>
        </w:rPr>
      </w:pPr>
      <w:r w:rsidRPr="00E554E1">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parte solicitante requirió al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le proporcione información  consistente en lo siguiente:</w:t>
      </w:r>
    </w:p>
    <w:p w:rsidR="006E7D3D" w:rsidRPr="00E554E1" w:rsidRDefault="006E7D3D">
      <w:pPr>
        <w:spacing w:line="360" w:lineRule="auto"/>
        <w:ind w:right="51"/>
        <w:jc w:val="both"/>
        <w:rPr>
          <w:rFonts w:ascii="Palatino Linotype" w:eastAsia="Palatino Linotype" w:hAnsi="Palatino Linotype" w:cs="Palatino Linotype"/>
        </w:rPr>
      </w:pPr>
    </w:p>
    <w:p w:rsidR="006E7D3D" w:rsidRPr="00E554E1" w:rsidRDefault="00886556">
      <w:pPr>
        <w:spacing w:line="276" w:lineRule="auto"/>
        <w:ind w:left="851" w:right="616"/>
        <w:jc w:val="both"/>
        <w:rPr>
          <w:rFonts w:ascii="Palatino Linotype" w:eastAsia="Palatino Linotype" w:hAnsi="Palatino Linotype" w:cs="Palatino Linotype"/>
        </w:rPr>
      </w:pPr>
      <w:r w:rsidRPr="00E554E1">
        <w:rPr>
          <w:rFonts w:ascii="Palatino Linotype" w:eastAsia="Palatino Linotype" w:hAnsi="Palatino Linotype" w:cs="Palatino Linotype"/>
        </w:rPr>
        <w:t>“</w:t>
      </w:r>
      <w:r w:rsidRPr="00E554E1">
        <w:rPr>
          <w:rFonts w:ascii="Palatino Linotype" w:eastAsia="Palatino Linotype" w:hAnsi="Palatino Linotype" w:cs="Palatino Linotype"/>
          <w:i/>
          <w:sz w:val="22"/>
          <w:szCs w:val="22"/>
        </w:rPr>
        <w:t>Con fundamento en la Ley de Transparencia solicito que la actual quinta regidora Fernanda López Sánchez, nos informe porqué contrató como su asesor a su hermano aspirante a gobernador del Estado de México: Juan Manuel López Sánchez. Favor de contestar bajo el principio de no mentir, no robar y no traicionar al pueblo.” (Sic)</w:t>
      </w:r>
    </w:p>
    <w:p w:rsidR="006E7D3D" w:rsidRPr="00E554E1" w:rsidRDefault="006E7D3D">
      <w:pPr>
        <w:spacing w:before="240" w:after="240" w:line="360" w:lineRule="auto"/>
        <w:ind w:right="49"/>
        <w:jc w:val="both"/>
        <w:rPr>
          <w:rFonts w:ascii="Palatino Linotype" w:eastAsia="Palatino Linotype" w:hAnsi="Palatino Linotype" w:cs="Palatino Linotype"/>
        </w:rPr>
      </w:pPr>
    </w:p>
    <w:p w:rsidR="006E7D3D" w:rsidRPr="00E554E1" w:rsidRDefault="00886556">
      <w:pPr>
        <w:spacing w:before="240" w:after="240"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omitió responder a la solicitud inicial; asimismo, según consta en el expediente electrónico, no dio cumplimiento a la resolución del recurso de revisión 13774/INFOEM/IP/RR/2022; situación que originó la interposición del segundo recurso de revisión que ahora se resuelve; en el que, en el periodo otorgado a las partes para que manifestaran lo que a su derecho asistiera y conviniera,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rindió su informe justificado, el cual fue notificado al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para su conocimiento. </w:t>
      </w:r>
    </w:p>
    <w:p w:rsidR="001A150D" w:rsidRPr="00E554E1" w:rsidRDefault="001A150D" w:rsidP="001A150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Previo al análisis de la documental remitida por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en informe justificado, es importante enfatizar que el planteamiento formulado por el solicitante consiste en manifestaciones que no son atendibles mediante el derecho de acceso a la información pública, sino que, constituye un derecho de petición. </w:t>
      </w:r>
    </w:p>
    <w:p w:rsidR="001A150D" w:rsidRPr="00E554E1" w:rsidRDefault="001A150D" w:rsidP="001A150D">
      <w:pPr>
        <w:spacing w:line="360" w:lineRule="auto"/>
        <w:jc w:val="both"/>
        <w:rPr>
          <w:rFonts w:ascii="Palatino Linotype" w:eastAsia="Calibri" w:hAnsi="Palatino Linotype" w:cs="Arial"/>
        </w:rPr>
      </w:pPr>
      <w:r w:rsidRPr="00E554E1">
        <w:rPr>
          <w:rFonts w:ascii="Palatino Linotype" w:eastAsia="Calibri" w:hAnsi="Palatino Linotype" w:cs="Arial"/>
          <w:szCs w:val="20"/>
        </w:rPr>
        <w:t>Lo anterior, debido a que se trata de cuestionamientos y manifestaciones vertid</w:t>
      </w:r>
      <w:r w:rsidR="00C64670" w:rsidRPr="00E554E1">
        <w:rPr>
          <w:rFonts w:ascii="Palatino Linotype" w:eastAsia="Calibri" w:hAnsi="Palatino Linotype" w:cs="Arial"/>
          <w:szCs w:val="20"/>
        </w:rPr>
        <w:t>a</w:t>
      </w:r>
      <w:r w:rsidRPr="00E554E1">
        <w:rPr>
          <w:rFonts w:ascii="Palatino Linotype" w:eastAsia="Calibri" w:hAnsi="Palatino Linotype" w:cs="Arial"/>
          <w:szCs w:val="20"/>
        </w:rPr>
        <w:t>s por el entonces solicitante,</w:t>
      </w:r>
      <w:r w:rsidRPr="00E554E1">
        <w:rPr>
          <w:rFonts w:ascii="Palatino Linotype" w:eastAsia="Calibri" w:hAnsi="Palatino Linotype" w:cs="Arial"/>
        </w:rPr>
        <w:t xml:space="preserve"> interrogantes y declaraciones que no se colman con la </w:t>
      </w:r>
      <w:r w:rsidRPr="00E554E1">
        <w:rPr>
          <w:rFonts w:ascii="Palatino Linotype" w:eastAsia="Calibri" w:hAnsi="Palatino Linotype" w:cs="Arial"/>
        </w:rPr>
        <w:lastRenderedPageBreak/>
        <w:t>entrega de documentos, situación que conlleva a afirmar que se está en presencia del ejercicio del derecho de petición.</w:t>
      </w:r>
    </w:p>
    <w:p w:rsidR="001A150D" w:rsidRPr="00E554E1" w:rsidRDefault="001A150D" w:rsidP="001A150D">
      <w:pPr>
        <w:spacing w:line="360" w:lineRule="auto"/>
        <w:jc w:val="both"/>
        <w:rPr>
          <w:rFonts w:ascii="Palatino Linotype" w:eastAsia="Calibri" w:hAnsi="Palatino Linotype" w:cs="Arial"/>
        </w:rPr>
      </w:pPr>
    </w:p>
    <w:p w:rsidR="001A150D" w:rsidRPr="00E554E1" w:rsidRDefault="001A150D" w:rsidP="001A150D">
      <w:pPr>
        <w:autoSpaceDE w:val="0"/>
        <w:autoSpaceDN w:val="0"/>
        <w:adjustRightInd w:val="0"/>
        <w:spacing w:line="360" w:lineRule="auto"/>
        <w:jc w:val="both"/>
        <w:rPr>
          <w:rFonts w:ascii="Palatino Linotype" w:eastAsia="Calibri" w:hAnsi="Palatino Linotype" w:cs="Arial"/>
        </w:rPr>
      </w:pPr>
      <w:r w:rsidRPr="00E554E1">
        <w:rPr>
          <w:rFonts w:ascii="Palatino Linotype" w:eastAsia="Calibri" w:hAnsi="Palatino Linotype" w:cs="Arial"/>
        </w:rPr>
        <w:t>Bajo ese contexto, es importante dejar en claro lo que debe entenderse por derecho de petición y por derecho de acceso a la información pública.</w:t>
      </w:r>
    </w:p>
    <w:p w:rsidR="001A150D" w:rsidRPr="00E554E1" w:rsidRDefault="001A150D" w:rsidP="001A150D">
      <w:pPr>
        <w:autoSpaceDE w:val="0"/>
        <w:autoSpaceDN w:val="0"/>
        <w:adjustRightInd w:val="0"/>
        <w:spacing w:line="360" w:lineRule="auto"/>
        <w:jc w:val="both"/>
        <w:rPr>
          <w:rFonts w:ascii="Palatino Linotype" w:eastAsia="Calibri" w:hAnsi="Palatino Linotype" w:cs="Arial"/>
        </w:rPr>
      </w:pPr>
    </w:p>
    <w:p w:rsidR="001A150D" w:rsidRPr="00E554E1" w:rsidRDefault="001A150D" w:rsidP="001A150D">
      <w:pPr>
        <w:autoSpaceDE w:val="0"/>
        <w:autoSpaceDN w:val="0"/>
        <w:adjustRightInd w:val="0"/>
        <w:spacing w:line="360" w:lineRule="auto"/>
        <w:jc w:val="both"/>
        <w:rPr>
          <w:rFonts w:ascii="Palatino Linotype" w:eastAsia="Calibri" w:hAnsi="Palatino Linotype" w:cs="Arial"/>
          <w:i/>
        </w:rPr>
      </w:pPr>
      <w:r w:rsidRPr="00E554E1">
        <w:rPr>
          <w:rFonts w:ascii="Palatino Linotype" w:eastAsia="Calibri" w:hAnsi="Palatino Linotype" w:cs="Arial"/>
        </w:rPr>
        <w:t>Por lo que respecta a la definición de Derecho de Petición, el Maestro Ignacio Burgoa Orihuela refiere: “…</w:t>
      </w:r>
      <w:r w:rsidRPr="00E554E1">
        <w:rPr>
          <w:rFonts w:ascii="Palatino Linotype" w:eastAsia="Calibri"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554E1">
        <w:rPr>
          <w:rFonts w:ascii="Palatino Linotype" w:eastAsia="Calibri" w:hAnsi="Palatino Linotype"/>
          <w:i/>
          <w:vertAlign w:val="superscript"/>
        </w:rPr>
        <w:t xml:space="preserve"> </w:t>
      </w:r>
      <w:r w:rsidRPr="00E554E1">
        <w:rPr>
          <w:rFonts w:ascii="Palatino Linotype" w:eastAsia="Calibri" w:hAnsi="Palatino Linotype"/>
          <w:i/>
          <w:vertAlign w:val="superscript"/>
        </w:rPr>
        <w:footnoteReference w:id="1"/>
      </w:r>
      <w:proofErr w:type="gramStart"/>
      <w:r w:rsidRPr="00E554E1">
        <w:rPr>
          <w:rFonts w:ascii="Palatino Linotype" w:eastAsia="Calibri" w:hAnsi="Palatino Linotype"/>
          <w:i/>
        </w:rPr>
        <w:t>“</w:t>
      </w:r>
      <w:r w:rsidRPr="00E554E1">
        <w:rPr>
          <w:rFonts w:ascii="Palatino Linotype" w:eastAsia="Calibri" w:hAnsi="Palatino Linotype" w:cs="Arial"/>
          <w:i/>
        </w:rPr>
        <w:t xml:space="preserve"> (</w:t>
      </w:r>
      <w:proofErr w:type="gramEnd"/>
      <w:r w:rsidRPr="00E554E1">
        <w:rPr>
          <w:rFonts w:ascii="Palatino Linotype" w:eastAsia="Calibri" w:hAnsi="Palatino Linotype" w:cs="Arial"/>
          <w:i/>
        </w:rPr>
        <w:t>Sic)</w:t>
      </w:r>
    </w:p>
    <w:p w:rsidR="001A150D" w:rsidRPr="00E554E1" w:rsidRDefault="001A150D" w:rsidP="001A150D">
      <w:pPr>
        <w:autoSpaceDE w:val="0"/>
        <w:autoSpaceDN w:val="0"/>
        <w:adjustRightInd w:val="0"/>
        <w:spacing w:line="360" w:lineRule="auto"/>
        <w:jc w:val="both"/>
        <w:rPr>
          <w:rFonts w:ascii="Palatino Linotype" w:eastAsia="Calibri" w:hAnsi="Palatino Linotype" w:cs="Arial"/>
          <w:i/>
        </w:rPr>
      </w:pPr>
    </w:p>
    <w:p w:rsidR="001A150D" w:rsidRPr="00E554E1" w:rsidRDefault="001A150D" w:rsidP="001A150D">
      <w:pPr>
        <w:autoSpaceDE w:val="0"/>
        <w:autoSpaceDN w:val="0"/>
        <w:adjustRightInd w:val="0"/>
        <w:spacing w:line="360" w:lineRule="auto"/>
        <w:jc w:val="both"/>
        <w:rPr>
          <w:rFonts w:ascii="Palatino Linotype" w:eastAsia="Calibri" w:hAnsi="Palatino Linotype" w:cs="Arial"/>
          <w:i/>
        </w:rPr>
      </w:pPr>
      <w:r w:rsidRPr="00E554E1">
        <w:rPr>
          <w:rFonts w:ascii="Palatino Linotype" w:eastAsia="Calibri" w:hAnsi="Palatino Linotype" w:cs="Arial"/>
        </w:rPr>
        <w:t xml:space="preserve">Por su parte, David Cienfuegos Salgado, concibe al derecho de petición como </w:t>
      </w:r>
      <w:r w:rsidRPr="00E554E1">
        <w:rPr>
          <w:rFonts w:ascii="Palatino Linotype" w:eastAsia="Calibri" w:hAnsi="Palatino Linotype" w:cs="Arial"/>
          <w:i/>
        </w:rPr>
        <w:t>“el derecho de toda persona a ser escuchado por quienes ejercen el poder público</w:t>
      </w:r>
      <w:proofErr w:type="gramStart"/>
      <w:r w:rsidRPr="00E554E1">
        <w:rPr>
          <w:rFonts w:ascii="Palatino Linotype" w:eastAsia="Calibri" w:hAnsi="Palatino Linotype" w:cs="Arial"/>
          <w:i/>
        </w:rPr>
        <w:t>.</w:t>
      </w:r>
      <w:r w:rsidRPr="00E554E1">
        <w:rPr>
          <w:rFonts w:ascii="Palatino Linotype" w:eastAsia="Calibri" w:hAnsi="Palatino Linotype"/>
          <w:i/>
          <w:vertAlign w:val="superscript"/>
        </w:rPr>
        <w:t xml:space="preserve"> </w:t>
      </w:r>
      <w:proofErr w:type="gramEnd"/>
      <w:r w:rsidRPr="00E554E1">
        <w:rPr>
          <w:rFonts w:ascii="Palatino Linotype" w:eastAsia="Calibri" w:hAnsi="Palatino Linotype"/>
          <w:i/>
          <w:vertAlign w:val="superscript"/>
        </w:rPr>
        <w:footnoteReference w:id="2"/>
      </w:r>
      <w:r w:rsidRPr="00E554E1">
        <w:rPr>
          <w:rFonts w:ascii="Palatino Linotype" w:eastAsia="Calibri" w:hAnsi="Palatino Linotype" w:cs="Arial"/>
          <w:i/>
        </w:rPr>
        <w:t xml:space="preserve">” (Sic) </w:t>
      </w:r>
    </w:p>
    <w:p w:rsidR="001A150D" w:rsidRPr="00E554E1" w:rsidRDefault="001A150D" w:rsidP="001A150D">
      <w:pPr>
        <w:spacing w:line="360" w:lineRule="auto"/>
        <w:jc w:val="both"/>
        <w:rPr>
          <w:rFonts w:ascii="Palatino Linotype" w:eastAsia="Calibri" w:hAnsi="Palatino Linotype" w:cs="Arial"/>
          <w:i/>
        </w:rPr>
      </w:pPr>
      <w:r w:rsidRPr="00E554E1">
        <w:rPr>
          <w:rFonts w:ascii="Palatino Linotype" w:eastAsia="Calibri" w:hAnsi="Palatino Linotype" w:cs="Arial"/>
        </w:rPr>
        <w:t xml:space="preserve">A este respecto, y para diferenciar el derecho de petición al derecho de acceso a la información, resulta conducente señalar que José Guadalupe Robles, conceptualiza el derecho a la información como </w:t>
      </w:r>
      <w:r w:rsidRPr="00E554E1">
        <w:rPr>
          <w:rFonts w:ascii="Palatino Linotype" w:eastAsia="Calibri" w:hAnsi="Palatino Linotype" w:cs="Arial"/>
          <w:i/>
        </w:rPr>
        <w:t xml:space="preserve">“un derecho fundamental tanto de carácter individual como colectivo, cuyas limitaciones deben estar establecida en la ley, así como una garantía de que la información sea transmitida con claridad y objetividad, por cuanto a que es un bien </w:t>
      </w:r>
      <w:r w:rsidRPr="00E554E1">
        <w:rPr>
          <w:rFonts w:ascii="Palatino Linotype" w:eastAsia="Calibri" w:hAnsi="Palatino Linotype" w:cs="Arial"/>
          <w:i/>
        </w:rPr>
        <w:lastRenderedPageBreak/>
        <w:t>jurídico que coadyuva al desarrollo de las personas y a la formación de opinión pública de calidad para poder participar y luego influir en la vida pública.</w:t>
      </w:r>
      <w:r w:rsidRPr="00E554E1">
        <w:rPr>
          <w:rFonts w:ascii="Palatino Linotype" w:eastAsia="Calibri" w:hAnsi="Palatino Linotype"/>
          <w:i/>
          <w:vertAlign w:val="superscript"/>
        </w:rPr>
        <w:t xml:space="preserve"> </w:t>
      </w:r>
      <w:r w:rsidRPr="00E554E1">
        <w:rPr>
          <w:rFonts w:ascii="Palatino Linotype" w:eastAsia="Calibri" w:hAnsi="Palatino Linotype"/>
          <w:i/>
          <w:vertAlign w:val="superscript"/>
        </w:rPr>
        <w:footnoteReference w:id="3"/>
      </w:r>
      <w:r w:rsidRPr="00E554E1">
        <w:rPr>
          <w:rFonts w:ascii="Palatino Linotype" w:eastAsia="Calibri" w:hAnsi="Palatino Linotype" w:cs="Arial"/>
          <w:i/>
        </w:rPr>
        <w:t xml:space="preserve">“(SIC) </w:t>
      </w:r>
    </w:p>
    <w:p w:rsidR="001A150D" w:rsidRPr="00E554E1" w:rsidRDefault="001A150D" w:rsidP="001A150D">
      <w:pPr>
        <w:spacing w:line="360" w:lineRule="auto"/>
        <w:jc w:val="both"/>
        <w:rPr>
          <w:rFonts w:ascii="Palatino Linotype" w:eastAsia="Calibri" w:hAnsi="Palatino Linotype" w:cs="Arial"/>
          <w:i/>
        </w:rPr>
      </w:pPr>
    </w:p>
    <w:p w:rsidR="001A150D" w:rsidRPr="00E554E1" w:rsidRDefault="001A150D" w:rsidP="001A150D">
      <w:pPr>
        <w:spacing w:line="360" w:lineRule="auto"/>
        <w:jc w:val="both"/>
        <w:rPr>
          <w:rFonts w:ascii="Palatino Linotype" w:hAnsi="Palatino Linotype" w:cs="Arial"/>
          <w:i/>
          <w:lang w:eastAsia="es-MX"/>
        </w:rPr>
      </w:pPr>
      <w:r w:rsidRPr="00E554E1">
        <w:rPr>
          <w:rFonts w:ascii="Palatino Linotype" w:hAnsi="Palatino Linotype" w:cs="Arial"/>
          <w:lang w:eastAsia="es-MX"/>
        </w:rPr>
        <w:t>Además, el derecho a la información constituye una prerrogativa a acceder a documentación en poder de los Sujetos Obligados, no así a realizar cues</w:t>
      </w:r>
      <w:r w:rsidR="00690302" w:rsidRPr="00E554E1">
        <w:rPr>
          <w:rFonts w:ascii="Palatino Linotype" w:hAnsi="Palatino Linotype" w:cs="Arial"/>
          <w:lang w:eastAsia="es-MX"/>
        </w:rPr>
        <w:t>tionamientos, o manifestaciones</w:t>
      </w:r>
      <w:r w:rsidRPr="00E554E1">
        <w:rPr>
          <w:rFonts w:ascii="Palatino Linotype" w:hAnsi="Palatino Linotype" w:cs="Arial"/>
          <w:lang w:eastAsia="es-MX"/>
        </w:rPr>
        <w:t xml:space="preserve">. Sirve de apoyo a lo anterior la definición de derecho a la información de Ernesto Villanueva </w:t>
      </w:r>
      <w:proofErr w:type="spellStart"/>
      <w:r w:rsidRPr="00E554E1">
        <w:rPr>
          <w:rFonts w:ascii="Palatino Linotype" w:hAnsi="Palatino Linotype" w:cs="Arial"/>
          <w:lang w:eastAsia="es-MX"/>
        </w:rPr>
        <w:t>Villanueva</w:t>
      </w:r>
      <w:proofErr w:type="spellEnd"/>
      <w:r w:rsidRPr="00E554E1">
        <w:rPr>
          <w:rFonts w:ascii="Palatino Linotype" w:hAnsi="Palatino Linotype" w:cs="Arial"/>
          <w:lang w:eastAsia="es-MX"/>
        </w:rPr>
        <w:t xml:space="preserve"> que dice: “</w:t>
      </w:r>
      <w:r w:rsidRPr="00E554E1">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E554E1">
        <w:rPr>
          <w:rFonts w:ascii="Palatino Linotype" w:hAnsi="Palatino Linotype" w:cs="Arial"/>
          <w:i/>
          <w:vertAlign w:val="superscript"/>
          <w:lang w:eastAsia="es-MX"/>
        </w:rPr>
        <w:footnoteReference w:id="4"/>
      </w:r>
    </w:p>
    <w:p w:rsidR="001A150D" w:rsidRPr="00E554E1" w:rsidRDefault="001A150D" w:rsidP="001A150D">
      <w:pPr>
        <w:spacing w:line="360" w:lineRule="auto"/>
        <w:jc w:val="both"/>
        <w:rPr>
          <w:rFonts w:ascii="Palatino Linotype" w:eastAsia="Calibri" w:hAnsi="Palatino Linotype" w:cs="Arial"/>
          <w:i/>
        </w:rPr>
      </w:pPr>
    </w:p>
    <w:p w:rsidR="001A150D" w:rsidRPr="00E554E1" w:rsidRDefault="001A150D" w:rsidP="001A150D">
      <w:pPr>
        <w:spacing w:line="360" w:lineRule="auto"/>
        <w:jc w:val="both"/>
        <w:rPr>
          <w:rFonts w:ascii="Palatino Linotype" w:eastAsia="Calibri" w:hAnsi="Palatino Linotype" w:cs="Arial"/>
        </w:rPr>
      </w:pPr>
      <w:r w:rsidRPr="00E554E1">
        <w:rPr>
          <w:rFonts w:ascii="Palatino Linotype" w:eastAsia="Calibri" w:hAnsi="Palatino Linotype" w:cs="Arial"/>
        </w:rPr>
        <w:t xml:space="preserve">De lo anterior, se puede concluir que la distinción entre el derecho de petición y el derecho de acceso a la información estriba, principalmente, en que en el primero de ellos </w:t>
      </w:r>
      <w:r w:rsidRPr="00E554E1">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E554E1">
        <w:rPr>
          <w:rFonts w:ascii="Palatino Linotype" w:eastAsia="Calibri" w:hAnsi="Palatino Linotype" w:cs="Arial"/>
          <w:bCs/>
          <w:lang w:eastAsia="es-CO"/>
        </w:rPr>
        <w:t>segundo supuesto, la petición se encamina primordialmente a</w:t>
      </w:r>
      <w:r w:rsidRPr="00E554E1">
        <w:rPr>
          <w:rFonts w:ascii="Palatino Linotype" w:eastAsia="Calibri" w:hAnsi="Palatino Linotype" w:cs="Arial"/>
        </w:rPr>
        <w:t xml:space="preserve"> permitir el </w:t>
      </w:r>
      <w:r w:rsidRPr="00E554E1">
        <w:rPr>
          <w:rFonts w:ascii="Palatino Linotype" w:eastAsia="Calibri" w:hAnsi="Palatino Linotype" w:cs="Arial"/>
          <w:lang w:eastAsia="es-CO"/>
        </w:rPr>
        <w:t xml:space="preserve">acceso a datos, registros y todo tipo de información pública </w:t>
      </w:r>
      <w:r w:rsidRPr="00E554E1">
        <w:rPr>
          <w:rFonts w:ascii="Palatino Linotype" w:eastAsia="Calibri" w:hAnsi="Palatino Linotype" w:cs="Arial"/>
          <w:b/>
          <w:lang w:eastAsia="es-CO"/>
        </w:rPr>
        <w:t>que conste en documentos</w:t>
      </w:r>
      <w:r w:rsidRPr="00E554E1">
        <w:rPr>
          <w:rFonts w:ascii="Palatino Linotype" w:eastAsia="Calibri" w:hAnsi="Palatino Linotype" w:cs="Arial"/>
          <w:lang w:eastAsia="es-CO"/>
        </w:rPr>
        <w:t xml:space="preserve">, sea generada o se encuentre en posesión de </w:t>
      </w:r>
      <w:r w:rsidRPr="00E554E1">
        <w:rPr>
          <w:rFonts w:ascii="Palatino Linotype" w:eastAsia="Calibri" w:hAnsi="Palatino Linotype" w:cs="Arial"/>
        </w:rPr>
        <w:t xml:space="preserve">la autoridad. </w:t>
      </w:r>
    </w:p>
    <w:p w:rsidR="001A150D" w:rsidRPr="00E554E1" w:rsidRDefault="001A150D" w:rsidP="001A150D">
      <w:pPr>
        <w:spacing w:line="360" w:lineRule="auto"/>
        <w:jc w:val="both"/>
        <w:rPr>
          <w:rFonts w:ascii="Palatino Linotype" w:eastAsia="Calibri" w:hAnsi="Palatino Linotype" w:cs="Arial"/>
        </w:rPr>
      </w:pPr>
    </w:p>
    <w:p w:rsidR="001A150D" w:rsidRPr="00E554E1" w:rsidRDefault="001A150D" w:rsidP="001A150D">
      <w:pPr>
        <w:spacing w:line="360" w:lineRule="auto"/>
        <w:jc w:val="both"/>
        <w:rPr>
          <w:rFonts w:ascii="Palatino Linotype" w:eastAsia="Calibri" w:hAnsi="Palatino Linotype" w:cs="Arial"/>
        </w:rPr>
      </w:pPr>
      <w:r w:rsidRPr="00E554E1">
        <w:rPr>
          <w:rFonts w:ascii="Palatino Linotype" w:eastAsia="Calibri" w:hAnsi="Palatino Linotype" w:cs="Arial"/>
        </w:rPr>
        <w:lastRenderedPageBreak/>
        <w:t>Así las cosas, debe señalarse que en su solicitud presentada en el SAIMEX el hoy recurrente solicita una razón o bien razonamiento por parte del Sujeto Obligado mediante la realización de cuestionamientos, entendiéndose por éstos la definición de la Real Academia de la Lengua Española</w:t>
      </w:r>
      <w:r w:rsidRPr="00E554E1">
        <w:rPr>
          <w:rFonts w:ascii="Palatino Linotype" w:eastAsia="Calibri" w:hAnsi="Palatino Linotype" w:cs="Arial"/>
          <w:vertAlign w:val="superscript"/>
        </w:rPr>
        <w:footnoteReference w:id="5"/>
      </w:r>
      <w:r w:rsidRPr="00E554E1">
        <w:rPr>
          <w:rFonts w:ascii="Palatino Linotype" w:eastAsia="Calibri" w:hAnsi="Palatino Linotype" w:cs="Arial"/>
        </w:rPr>
        <w:t xml:space="preserve"> que dice:</w:t>
      </w:r>
    </w:p>
    <w:p w:rsidR="001A150D" w:rsidRPr="00E554E1" w:rsidRDefault="001A150D" w:rsidP="001A150D">
      <w:pPr>
        <w:spacing w:line="360" w:lineRule="auto"/>
        <w:jc w:val="both"/>
        <w:rPr>
          <w:rFonts w:ascii="Palatino Linotype" w:eastAsia="Calibri" w:hAnsi="Palatino Linotype" w:cs="Arial"/>
        </w:rPr>
      </w:pPr>
    </w:p>
    <w:p w:rsidR="00690302" w:rsidRPr="00E554E1" w:rsidRDefault="00690302" w:rsidP="001A150D">
      <w:pPr>
        <w:spacing w:line="360" w:lineRule="auto"/>
        <w:jc w:val="both"/>
        <w:rPr>
          <w:rFonts w:ascii="Palatino Linotype" w:eastAsia="Calibri" w:hAnsi="Palatino Linotype" w:cs="Arial"/>
        </w:rPr>
      </w:pPr>
    </w:p>
    <w:p w:rsidR="00690302" w:rsidRPr="00E554E1" w:rsidRDefault="00690302" w:rsidP="001A150D">
      <w:pPr>
        <w:spacing w:line="360" w:lineRule="auto"/>
        <w:jc w:val="both"/>
        <w:rPr>
          <w:rFonts w:ascii="Palatino Linotype" w:eastAsia="Calibri" w:hAnsi="Palatino Linotype" w:cs="Arial"/>
        </w:rPr>
      </w:pPr>
    </w:p>
    <w:p w:rsidR="001A150D" w:rsidRPr="00E554E1" w:rsidRDefault="001A150D" w:rsidP="001A150D">
      <w:pPr>
        <w:spacing w:line="360" w:lineRule="auto"/>
        <w:ind w:left="567" w:right="618"/>
        <w:jc w:val="both"/>
        <w:rPr>
          <w:rFonts w:ascii="Palatino Linotype" w:eastAsia="Arial Unicode MS" w:hAnsi="Palatino Linotype" w:cs="Arial"/>
          <w:i/>
        </w:rPr>
      </w:pPr>
      <w:r w:rsidRPr="00E554E1">
        <w:rPr>
          <w:rFonts w:ascii="Palatino Linotype" w:eastAsia="Arial Unicode MS" w:hAnsi="Palatino Linotype" w:cs="Arial"/>
          <w:b/>
          <w:bCs/>
          <w:i/>
        </w:rPr>
        <w:t>Por qué.</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bookmarkStart w:id="7" w:name="por_qué.1"/>
      <w:bookmarkEnd w:id="7"/>
      <w:r w:rsidRPr="00E554E1">
        <w:rPr>
          <w:rFonts w:ascii="Palatino Linotype" w:eastAsia="Arial Unicode MS" w:hAnsi="Palatino Linotype" w:cs="Arial"/>
          <w:b/>
          <w:bCs/>
          <w:i/>
          <w:lang w:eastAsia="es-MX"/>
        </w:rPr>
        <w:t>1.</w:t>
      </w:r>
      <w:r w:rsidRPr="00E554E1">
        <w:rPr>
          <w:rFonts w:ascii="Palatino Linotype" w:eastAsia="Arial Unicode MS" w:hAnsi="Palatino Linotype" w:cs="Arial"/>
          <w:i/>
          <w:lang w:eastAsia="es-MX"/>
        </w:rPr>
        <w:t xml:space="preserve"> loc. </w:t>
      </w:r>
      <w:proofErr w:type="spellStart"/>
      <w:r w:rsidRPr="00E554E1">
        <w:rPr>
          <w:rFonts w:ascii="Palatino Linotype" w:eastAsia="Arial Unicode MS" w:hAnsi="Palatino Linotype" w:cs="Arial"/>
          <w:i/>
          <w:lang w:eastAsia="es-MX"/>
        </w:rPr>
        <w:t>adv</w:t>
      </w:r>
      <w:proofErr w:type="spellEnd"/>
      <w:r w:rsidRPr="00E554E1">
        <w:rPr>
          <w:rFonts w:ascii="Palatino Linotype" w:eastAsia="Arial Unicode MS" w:hAnsi="Palatino Linotype" w:cs="Arial"/>
          <w:i/>
          <w:lang w:eastAsia="es-MX"/>
        </w:rPr>
        <w:t xml:space="preserve">. Por cuál razón, causa o motivo. </w:t>
      </w:r>
      <w:r w:rsidRPr="00E554E1">
        <w:rPr>
          <w:rFonts w:ascii="Palatino Linotype" w:eastAsia="Arial Unicode MS" w:hAnsi="Palatino Linotype" w:cs="Arial"/>
          <w:i/>
          <w:iCs/>
          <w:lang w:eastAsia="es-MX"/>
        </w:rPr>
        <w:t>¿Por qué te agrada la compañía de un hombre como ese?</w:t>
      </w:r>
      <w:r w:rsidRPr="00E554E1">
        <w:rPr>
          <w:rFonts w:ascii="Palatino Linotype" w:eastAsia="Arial Unicode MS" w:hAnsi="Palatino Linotype" w:cs="Arial"/>
          <w:i/>
          <w:lang w:eastAsia="es-MX"/>
        </w:rPr>
        <w:t xml:space="preserve"> </w:t>
      </w:r>
      <w:r w:rsidRPr="00E554E1">
        <w:rPr>
          <w:rFonts w:ascii="Palatino Linotype" w:eastAsia="Arial Unicode MS" w:hAnsi="Palatino Linotype" w:cs="Arial"/>
          <w:i/>
          <w:iCs/>
          <w:lang w:eastAsia="es-MX"/>
        </w:rPr>
        <w:t>No acierto a explicarme por qué le tengo tanto cariño.</w:t>
      </w:r>
    </w:p>
    <w:p w:rsidR="001A150D" w:rsidRPr="00E554E1" w:rsidRDefault="001A150D" w:rsidP="001A150D">
      <w:pPr>
        <w:spacing w:line="360" w:lineRule="auto"/>
        <w:ind w:left="567" w:right="618"/>
        <w:jc w:val="both"/>
        <w:rPr>
          <w:rFonts w:ascii="Palatino Linotype" w:eastAsia="Arial Unicode MS" w:hAnsi="Palatino Linotype" w:cs="Arial"/>
          <w:b/>
          <w:bCs/>
          <w:i/>
          <w:lang w:eastAsia="es-MX"/>
        </w:rPr>
      </w:pP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r w:rsidRPr="00E554E1">
        <w:rPr>
          <w:rFonts w:ascii="Palatino Linotype" w:eastAsia="Arial Unicode MS" w:hAnsi="Palatino Linotype" w:cs="Arial"/>
          <w:b/>
          <w:bCs/>
          <w:i/>
          <w:lang w:eastAsia="es-MX"/>
        </w:rPr>
        <w:t>Razón.</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r w:rsidRPr="00E554E1">
        <w:rPr>
          <w:rFonts w:ascii="Palatino Linotype" w:eastAsia="Arial Unicode MS" w:hAnsi="Palatino Linotype" w:cs="Arial"/>
          <w:i/>
          <w:lang w:eastAsia="es-MX"/>
        </w:rPr>
        <w:t xml:space="preserve">(Del lat. </w:t>
      </w:r>
      <w:proofErr w:type="spellStart"/>
      <w:r w:rsidRPr="00E554E1">
        <w:rPr>
          <w:rFonts w:ascii="Palatino Linotype" w:eastAsia="Arial Unicode MS" w:hAnsi="Palatino Linotype" w:cs="Arial"/>
          <w:i/>
          <w:iCs/>
          <w:lang w:eastAsia="es-MX"/>
        </w:rPr>
        <w:t>ratĭo</w:t>
      </w:r>
      <w:proofErr w:type="spellEnd"/>
      <w:r w:rsidRPr="00E554E1">
        <w:rPr>
          <w:rFonts w:ascii="Palatino Linotype" w:eastAsia="Arial Unicode MS" w:hAnsi="Palatino Linotype" w:cs="Arial"/>
          <w:i/>
          <w:iCs/>
          <w:lang w:eastAsia="es-MX"/>
        </w:rPr>
        <w:t>, -</w:t>
      </w:r>
      <w:proofErr w:type="spellStart"/>
      <w:r w:rsidRPr="00E554E1">
        <w:rPr>
          <w:rFonts w:ascii="Palatino Linotype" w:eastAsia="Arial Unicode MS" w:hAnsi="Palatino Linotype" w:cs="Arial"/>
          <w:i/>
          <w:iCs/>
          <w:lang w:eastAsia="es-MX"/>
        </w:rPr>
        <w:t>ōnis</w:t>
      </w:r>
      <w:proofErr w:type="spellEnd"/>
      <w:r w:rsidRPr="00E554E1">
        <w:rPr>
          <w:rFonts w:ascii="Palatino Linotype" w:eastAsia="Arial Unicode MS" w:hAnsi="Palatino Linotype" w:cs="Arial"/>
          <w:i/>
          <w:lang w:eastAsia="es-MX"/>
        </w:rPr>
        <w:t>).</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r w:rsidRPr="00E554E1">
        <w:rPr>
          <w:rFonts w:ascii="Palatino Linotype" w:eastAsia="Arial Unicode MS" w:hAnsi="Palatino Linotype" w:cs="Arial"/>
          <w:b/>
          <w:bCs/>
          <w:i/>
          <w:lang w:eastAsia="es-MX"/>
        </w:rPr>
        <w:t>1.</w:t>
      </w:r>
      <w:r w:rsidRPr="00E554E1">
        <w:rPr>
          <w:rFonts w:ascii="Palatino Linotype" w:eastAsia="Arial Unicode MS" w:hAnsi="Palatino Linotype" w:cs="Arial"/>
          <w:i/>
          <w:lang w:eastAsia="es-MX"/>
        </w:rPr>
        <w:t xml:space="preserve"> f. Facultad de discurrir.</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r w:rsidRPr="00E554E1">
        <w:rPr>
          <w:rFonts w:ascii="Palatino Linotype" w:eastAsia="Arial Unicode MS" w:hAnsi="Palatino Linotype" w:cs="Arial"/>
          <w:b/>
          <w:bCs/>
          <w:i/>
          <w:lang w:eastAsia="es-MX"/>
        </w:rPr>
        <w:t>2.</w:t>
      </w:r>
      <w:r w:rsidRPr="00E554E1">
        <w:rPr>
          <w:rFonts w:ascii="Palatino Linotype" w:eastAsia="Arial Unicode MS" w:hAnsi="Palatino Linotype" w:cs="Arial"/>
          <w:i/>
          <w:lang w:eastAsia="es-MX"/>
        </w:rPr>
        <w:t xml:space="preserve"> f. Acto de discurrir el entendimiento.</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bookmarkStart w:id="8" w:name="0_3"/>
      <w:bookmarkEnd w:id="8"/>
      <w:r w:rsidRPr="00E554E1">
        <w:rPr>
          <w:rFonts w:ascii="Palatino Linotype" w:eastAsia="Arial Unicode MS" w:hAnsi="Palatino Linotype" w:cs="Arial"/>
          <w:b/>
          <w:bCs/>
          <w:i/>
          <w:lang w:eastAsia="es-MX"/>
        </w:rPr>
        <w:t>3.</w:t>
      </w:r>
      <w:r w:rsidRPr="00E554E1">
        <w:rPr>
          <w:rFonts w:ascii="Palatino Linotype" w:eastAsia="Arial Unicode MS" w:hAnsi="Palatino Linotype" w:cs="Arial"/>
          <w:i/>
          <w:lang w:eastAsia="es-MX"/>
        </w:rPr>
        <w:t xml:space="preserve"> f. Palabras o frases con que se expresa el discurso.</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bookmarkStart w:id="9" w:name="0_4"/>
      <w:bookmarkEnd w:id="9"/>
      <w:r w:rsidRPr="00E554E1">
        <w:rPr>
          <w:rFonts w:ascii="Palatino Linotype" w:eastAsia="Arial Unicode MS" w:hAnsi="Palatino Linotype" w:cs="Arial"/>
          <w:b/>
          <w:bCs/>
          <w:i/>
          <w:lang w:eastAsia="es-MX"/>
        </w:rPr>
        <w:t>4.</w:t>
      </w:r>
      <w:r w:rsidRPr="00E554E1">
        <w:rPr>
          <w:rFonts w:ascii="Palatino Linotype" w:eastAsia="Arial Unicode MS" w:hAnsi="Palatino Linotype" w:cs="Arial"/>
          <w:i/>
          <w:lang w:eastAsia="es-MX"/>
        </w:rPr>
        <w:t xml:space="preserve"> f. Argumento o demostración que se aduce en apoyo de algo.</w:t>
      </w:r>
    </w:p>
    <w:p w:rsidR="001A150D" w:rsidRPr="00E554E1" w:rsidRDefault="001A150D" w:rsidP="001A150D">
      <w:pPr>
        <w:spacing w:line="360" w:lineRule="auto"/>
        <w:ind w:left="567" w:right="618"/>
        <w:jc w:val="both"/>
        <w:rPr>
          <w:rFonts w:ascii="Palatino Linotype" w:eastAsia="Arial Unicode MS" w:hAnsi="Palatino Linotype" w:cs="Arial"/>
          <w:b/>
          <w:bCs/>
          <w:i/>
          <w:lang w:eastAsia="es-MX"/>
        </w:rPr>
      </w:pP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r w:rsidRPr="00E554E1">
        <w:rPr>
          <w:rFonts w:ascii="Palatino Linotype" w:eastAsia="Arial Unicode MS" w:hAnsi="Palatino Linotype" w:cs="Arial"/>
          <w:b/>
          <w:bCs/>
          <w:i/>
          <w:lang w:eastAsia="es-MX"/>
        </w:rPr>
        <w:t>Razonamiento.</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bookmarkStart w:id="10" w:name="0_1"/>
      <w:bookmarkEnd w:id="10"/>
      <w:r w:rsidRPr="00E554E1">
        <w:rPr>
          <w:rFonts w:ascii="Palatino Linotype" w:eastAsia="Arial Unicode MS" w:hAnsi="Palatino Linotype" w:cs="Arial"/>
          <w:b/>
          <w:bCs/>
          <w:i/>
          <w:lang w:eastAsia="es-MX"/>
        </w:rPr>
        <w:t>1.</w:t>
      </w:r>
      <w:r w:rsidRPr="00E554E1">
        <w:rPr>
          <w:rFonts w:ascii="Palatino Linotype" w:eastAsia="Arial Unicode MS" w:hAnsi="Palatino Linotype" w:cs="Arial"/>
          <w:i/>
          <w:lang w:eastAsia="es-MX"/>
        </w:rPr>
        <w:t xml:space="preserve"> m. Acción y efecto de razonar.</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bookmarkStart w:id="11" w:name="0_2"/>
      <w:bookmarkEnd w:id="11"/>
      <w:r w:rsidRPr="00E554E1">
        <w:rPr>
          <w:rFonts w:ascii="Palatino Linotype" w:eastAsia="Arial Unicode MS" w:hAnsi="Palatino Linotype" w:cs="Arial"/>
          <w:b/>
          <w:bCs/>
          <w:i/>
          <w:lang w:eastAsia="es-MX"/>
        </w:rPr>
        <w:t>2.</w:t>
      </w:r>
      <w:r w:rsidRPr="00E554E1">
        <w:rPr>
          <w:rFonts w:ascii="Palatino Linotype" w:eastAsia="Arial Unicode MS" w:hAnsi="Palatino Linotype" w:cs="Arial"/>
          <w:i/>
          <w:lang w:eastAsia="es-MX"/>
        </w:rPr>
        <w:t xml:space="preserve"> m. Serie de conceptos encaminados a demostrar algo o a persuadir o mover a oyentes o lectores.</w:t>
      </w:r>
    </w:p>
    <w:p w:rsidR="001A150D" w:rsidRPr="00E554E1" w:rsidRDefault="001A150D" w:rsidP="001A150D">
      <w:pPr>
        <w:spacing w:line="360" w:lineRule="auto"/>
        <w:ind w:left="567" w:right="618"/>
        <w:jc w:val="both"/>
        <w:rPr>
          <w:rFonts w:ascii="Palatino Linotype" w:eastAsia="Arial Unicode MS" w:hAnsi="Palatino Linotype" w:cs="Arial"/>
          <w:i/>
          <w:lang w:eastAsia="es-MX"/>
        </w:rPr>
      </w:pPr>
    </w:p>
    <w:p w:rsidR="001A150D" w:rsidRPr="00E554E1" w:rsidRDefault="001A150D" w:rsidP="001A150D">
      <w:pPr>
        <w:spacing w:line="360" w:lineRule="auto"/>
        <w:jc w:val="both"/>
        <w:rPr>
          <w:rFonts w:ascii="Palatino Linotype" w:eastAsia="Calibri" w:hAnsi="Palatino Linotype" w:cs="Arial"/>
        </w:rPr>
      </w:pPr>
      <w:r w:rsidRPr="00E554E1">
        <w:rPr>
          <w:rFonts w:ascii="Palatino Linotype" w:eastAsia="Calibri"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1A150D" w:rsidRPr="00E554E1" w:rsidRDefault="001A150D" w:rsidP="001A150D">
      <w:pPr>
        <w:pBdr>
          <w:top w:val="nil"/>
          <w:left w:val="nil"/>
          <w:bottom w:val="nil"/>
          <w:right w:val="nil"/>
          <w:between w:val="nil"/>
        </w:pBdr>
        <w:spacing w:before="280" w:after="280" w:line="360" w:lineRule="auto"/>
        <w:jc w:val="both"/>
        <w:rPr>
          <w:rFonts w:ascii="Palatino Linotype" w:eastAsia="Palatino Linotype" w:hAnsi="Palatino Linotype" w:cs="Palatino Linotype"/>
        </w:rPr>
      </w:pPr>
    </w:p>
    <w:p w:rsidR="004E3E16" w:rsidRPr="00E554E1" w:rsidRDefault="004E3E16">
      <w:pPr>
        <w:spacing w:line="360" w:lineRule="auto"/>
        <w:jc w:val="both"/>
        <w:rPr>
          <w:rFonts w:ascii="Palatino Linotype" w:eastAsia="Palatino Linotype" w:hAnsi="Palatino Linotype" w:cs="Palatino Linotype"/>
          <w:b/>
        </w:rPr>
      </w:pPr>
    </w:p>
    <w:p w:rsidR="006E7D3D" w:rsidRPr="00E554E1" w:rsidRDefault="003C1D0C">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No obstante lo anterior, </w:t>
      </w:r>
      <w:r w:rsidR="00886556" w:rsidRPr="00E554E1">
        <w:rPr>
          <w:rFonts w:ascii="Palatino Linotype" w:eastAsia="Palatino Linotype" w:hAnsi="Palatino Linotype" w:cs="Palatino Linotype"/>
        </w:rPr>
        <w:t xml:space="preserve">el </w:t>
      </w:r>
      <w:r w:rsidR="00886556" w:rsidRPr="00E554E1">
        <w:rPr>
          <w:rFonts w:ascii="Palatino Linotype" w:eastAsia="Palatino Linotype" w:hAnsi="Palatino Linotype" w:cs="Palatino Linotype"/>
          <w:b/>
        </w:rPr>
        <w:t>Sujeto O</w:t>
      </w:r>
      <w:r w:rsidRPr="00E554E1">
        <w:rPr>
          <w:rFonts w:ascii="Palatino Linotype" w:eastAsia="Palatino Linotype" w:hAnsi="Palatino Linotype" w:cs="Palatino Linotype"/>
          <w:b/>
        </w:rPr>
        <w:t xml:space="preserve">bligado </w:t>
      </w:r>
      <w:r w:rsidR="00B27E79" w:rsidRPr="00E554E1">
        <w:rPr>
          <w:rFonts w:ascii="Palatino Linotype" w:eastAsia="Palatino Linotype" w:hAnsi="Palatino Linotype" w:cs="Palatino Linotype"/>
        </w:rPr>
        <w:t xml:space="preserve">con el fin de garantizar el derecho del particular remitió en informe justificado </w:t>
      </w:r>
      <w:r w:rsidR="00886556" w:rsidRPr="00E554E1">
        <w:rPr>
          <w:rFonts w:ascii="Palatino Linotype" w:eastAsia="Palatino Linotype" w:hAnsi="Palatino Linotype" w:cs="Palatino Linotype"/>
        </w:rPr>
        <w:t xml:space="preserve">el oficio DRH/628/2022 de fecha dos de enero de dos mil veintitrés, </w:t>
      </w:r>
      <w:r w:rsidR="00B27E79" w:rsidRPr="00E554E1">
        <w:rPr>
          <w:rFonts w:ascii="Palatino Linotype" w:eastAsia="Palatino Linotype" w:hAnsi="Palatino Linotype" w:cs="Palatino Linotype"/>
        </w:rPr>
        <w:t xml:space="preserve">en el que contestó </w:t>
      </w:r>
      <w:r w:rsidR="00886556" w:rsidRPr="00E554E1">
        <w:rPr>
          <w:rFonts w:ascii="Palatino Linotype" w:eastAsia="Palatino Linotype" w:hAnsi="Palatino Linotype" w:cs="Palatino Linotype"/>
        </w:rPr>
        <w:t xml:space="preserve">que la Quinta Regidora no tiene capacidad de contratar a ningún servidor público ya que esa función es única y exclusiva de la Dirección de Recursos Humanos, la cual cuenta con la facultad de contratar personal, tal como se advierte en la siguiente imagen. </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noProof/>
          <w:lang w:val="es-MX" w:eastAsia="es-MX"/>
        </w:rPr>
        <w:lastRenderedPageBreak/>
        <w:drawing>
          <wp:inline distT="0" distB="0" distL="0" distR="0">
            <wp:extent cx="5657850" cy="5153025"/>
            <wp:effectExtent l="0" t="0" r="0" b="9525"/>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63223" cy="5157919"/>
                    </a:xfrm>
                    <a:prstGeom prst="rect">
                      <a:avLst/>
                    </a:prstGeom>
                    <a:ln/>
                  </pic:spPr>
                </pic:pic>
              </a:graphicData>
            </a:graphic>
          </wp:inline>
        </w:drawing>
      </w: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En este contexto, cabe referir que el artículo 36, fracción XVI del Bando Municipal de Tultepec 2022, establece: </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spacing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 xml:space="preserve">“ARTÍCULO 36.- </w:t>
      </w:r>
      <w:r w:rsidRPr="00E554E1">
        <w:rPr>
          <w:rFonts w:ascii="Palatino Linotype" w:eastAsia="Palatino Linotype" w:hAnsi="Palatino Linotype" w:cs="Palatino Linotype"/>
          <w:i/>
          <w:sz w:val="22"/>
          <w:szCs w:val="22"/>
        </w:rPr>
        <w:t xml:space="preserve">Para el estudio, planeación y despacho de los asuntos en los diversos ramos de la Administración Pública Municipal, </w:t>
      </w:r>
      <w:r w:rsidRPr="00E554E1">
        <w:rPr>
          <w:rFonts w:ascii="Palatino Linotype" w:eastAsia="Palatino Linotype" w:hAnsi="Palatino Linotype" w:cs="Palatino Linotype"/>
          <w:b/>
          <w:i/>
          <w:sz w:val="22"/>
          <w:szCs w:val="22"/>
          <w:u w:val="single"/>
        </w:rPr>
        <w:t>el Ayuntamiento se auxiliará de las siguientes dependencias que integran la Administración Pública Centralizada:</w:t>
      </w:r>
    </w:p>
    <w:p w:rsidR="006E7D3D" w:rsidRPr="00E554E1" w:rsidRDefault="006E7D3D">
      <w:pPr>
        <w:spacing w:line="276" w:lineRule="auto"/>
        <w:ind w:left="851" w:right="616"/>
        <w:jc w:val="both"/>
        <w:rPr>
          <w:rFonts w:ascii="Palatino Linotype" w:eastAsia="Palatino Linotype" w:hAnsi="Palatino Linotype" w:cs="Palatino Linotype"/>
          <w:i/>
          <w:sz w:val="22"/>
          <w:szCs w:val="22"/>
        </w:rPr>
      </w:pPr>
    </w:p>
    <w:p w:rsidR="006E7D3D" w:rsidRPr="00E554E1" w:rsidRDefault="00886556">
      <w:pPr>
        <w:spacing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lastRenderedPageBreak/>
        <w:t>...</w:t>
      </w:r>
    </w:p>
    <w:p w:rsidR="006E7D3D" w:rsidRPr="00E554E1" w:rsidRDefault="00886556">
      <w:pPr>
        <w:spacing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XVI.- Dirección de Recursos Humanos;</w:t>
      </w:r>
    </w:p>
    <w:p w:rsidR="006E7D3D" w:rsidRPr="00E554E1" w:rsidRDefault="00886556">
      <w:pPr>
        <w:spacing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widowControl w:val="0"/>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Asimismo, en el Portal de Información Pública de Oficio (IPOMEX) del Ayuntamiento de Tultepec, en la fracción II A. Estructura Orgánica, se encuentra registrada la Dirección de Recursos Humanos, que de acuerdo con lo dispuesto en el artículo 55 del Reglamento Orgánico Municipal 2021, cuenta con las atribuciones siguientes: </w:t>
      </w:r>
    </w:p>
    <w:p w:rsidR="006E7D3D" w:rsidRPr="00E554E1" w:rsidRDefault="00886556">
      <w:pPr>
        <w:widowControl w:val="0"/>
        <w:spacing w:before="240" w:after="240" w:line="276" w:lineRule="auto"/>
        <w:ind w:left="851"/>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“ARTÍCULO 55</w:t>
      </w:r>
      <w:r w:rsidRPr="00E554E1">
        <w:rPr>
          <w:rFonts w:ascii="Palatino Linotype" w:eastAsia="Palatino Linotype" w:hAnsi="Palatino Linotype" w:cs="Palatino Linotype"/>
          <w:i/>
          <w:sz w:val="22"/>
          <w:szCs w:val="22"/>
        </w:rPr>
        <w:t>.- Compete a la Recursos Humanos las siguientes atribuciones:</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I.- Hacer que se cumplan cabalmente las disposiciones legales que rijan las relaciones de trabajo y de servicio entre el municipio y los servidores públicos;</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 xml:space="preserve">II.- </w:t>
      </w:r>
      <w:r w:rsidRPr="00E554E1">
        <w:rPr>
          <w:rFonts w:ascii="Palatino Linotype" w:eastAsia="Palatino Linotype" w:hAnsi="Palatino Linotype" w:cs="Palatino Linotype"/>
          <w:b/>
          <w:i/>
          <w:sz w:val="22"/>
          <w:szCs w:val="22"/>
          <w:u w:val="single"/>
        </w:rPr>
        <w:t>Seleccionar, contratar, capacitar y controlar al personal que labore en las dependencias del Gobierno Municipal</w:t>
      </w:r>
      <w:r w:rsidRPr="00E554E1">
        <w:rPr>
          <w:rFonts w:ascii="Palatino Linotype" w:eastAsia="Palatino Linotype" w:hAnsi="Palatino Linotype" w:cs="Palatino Linotype"/>
          <w:i/>
          <w:sz w:val="22"/>
          <w:szCs w:val="22"/>
        </w:rPr>
        <w:t>;</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b/>
          <w:i/>
          <w:sz w:val="22"/>
          <w:szCs w:val="22"/>
          <w:u w:val="single"/>
        </w:rPr>
      </w:pPr>
      <w:r w:rsidRPr="00E554E1">
        <w:rPr>
          <w:rFonts w:ascii="Palatino Linotype" w:eastAsia="Palatino Linotype" w:hAnsi="Palatino Linotype" w:cs="Palatino Linotype"/>
          <w:i/>
          <w:sz w:val="22"/>
          <w:szCs w:val="22"/>
        </w:rPr>
        <w:t xml:space="preserve">III.- </w:t>
      </w:r>
      <w:r w:rsidRPr="00E554E1">
        <w:rPr>
          <w:rFonts w:ascii="Palatino Linotype" w:eastAsia="Palatino Linotype" w:hAnsi="Palatino Linotype" w:cs="Palatino Linotype"/>
          <w:b/>
          <w:i/>
          <w:sz w:val="22"/>
          <w:szCs w:val="22"/>
          <w:u w:val="single"/>
        </w:rPr>
        <w:t>Tramitar los nombramientos, remociones, renuncias, licencias y permisos de los funcionarios y trabajadores del municipio;</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IV.- Cumplir y hacer cumplir el convenio de prestaciones que celebre el Ayuntamiento con el Sindicato Único de Trabajadores de los Poderes, Municipios e Instituciones Descentralizadas del Estado de México;</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V.- Elaborar la nómina, lista de raya y recibos de pago de los sueldos y salarios que perciban de las y los trabajadores del Municipio, con estricto apego y observancia de la legislación que rige las relaciones de trabajo del Municipio con sus empleados y demás disposiciones de carácter social y fiscal;</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 xml:space="preserve">VI.- </w:t>
      </w:r>
      <w:r w:rsidRPr="00E554E1">
        <w:rPr>
          <w:rFonts w:ascii="Palatino Linotype" w:eastAsia="Palatino Linotype" w:hAnsi="Palatino Linotype" w:cs="Palatino Linotype"/>
          <w:b/>
          <w:i/>
          <w:sz w:val="22"/>
          <w:szCs w:val="22"/>
          <w:u w:val="single"/>
        </w:rPr>
        <w:t>Llevar e integrar los expedientes de las y los servidores públicos que prestan sus servicios en el Gobierno Municipal</w:t>
      </w:r>
      <w:r w:rsidRPr="00E554E1">
        <w:rPr>
          <w:rFonts w:ascii="Palatino Linotype" w:eastAsia="Palatino Linotype" w:hAnsi="Palatino Linotype" w:cs="Palatino Linotype"/>
          <w:i/>
          <w:sz w:val="22"/>
          <w:szCs w:val="22"/>
        </w:rPr>
        <w:t xml:space="preserve">, con los datos y documentos que </w:t>
      </w:r>
      <w:r w:rsidRPr="00E554E1">
        <w:rPr>
          <w:rFonts w:ascii="Palatino Linotype" w:eastAsia="Palatino Linotype" w:hAnsi="Palatino Linotype" w:cs="Palatino Linotype"/>
          <w:i/>
          <w:sz w:val="22"/>
          <w:szCs w:val="22"/>
        </w:rPr>
        <w:lastRenderedPageBreak/>
        <w:t>exija la legislación y reglamentos aplicables;</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 xml:space="preserve">VII.- </w:t>
      </w:r>
      <w:proofErr w:type="spellStart"/>
      <w:r w:rsidRPr="00E554E1">
        <w:rPr>
          <w:rFonts w:ascii="Palatino Linotype" w:eastAsia="Palatino Linotype" w:hAnsi="Palatino Linotype" w:cs="Palatino Linotype"/>
          <w:i/>
          <w:sz w:val="22"/>
          <w:szCs w:val="22"/>
        </w:rPr>
        <w:t>Credencializar</w:t>
      </w:r>
      <w:proofErr w:type="spellEnd"/>
      <w:r w:rsidRPr="00E554E1">
        <w:rPr>
          <w:rFonts w:ascii="Palatino Linotype" w:eastAsia="Palatino Linotype" w:hAnsi="Palatino Linotype" w:cs="Palatino Linotype"/>
          <w:i/>
          <w:sz w:val="22"/>
          <w:szCs w:val="22"/>
        </w:rPr>
        <w:t xml:space="preserve"> para su identificación a todos y cada uno de las y los servidores públicos del Municipio;</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VIII.- Llevar registro, control y conservación de comprobación de pago de prestaciones que les corresponda a las y los servidores públicos;</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IX.- Llevar, controlar y conservar el registro de asistencia de las y los servidores públicos;</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X.- Comunicar a Tesorería Municipal el importe de los salarios y sueldos que deban pagarse a cada uno de las y los servidores públicos del Municipio;</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b/>
          <w:i/>
          <w:sz w:val="22"/>
          <w:szCs w:val="22"/>
          <w:u w:val="single"/>
        </w:rPr>
      </w:pPr>
      <w:r w:rsidRPr="00E554E1">
        <w:rPr>
          <w:rFonts w:ascii="Palatino Linotype" w:eastAsia="Palatino Linotype" w:hAnsi="Palatino Linotype" w:cs="Palatino Linotype"/>
          <w:i/>
          <w:sz w:val="22"/>
          <w:szCs w:val="22"/>
        </w:rPr>
        <w:t xml:space="preserve">XI.- </w:t>
      </w:r>
      <w:r w:rsidRPr="00E554E1">
        <w:rPr>
          <w:rFonts w:ascii="Palatino Linotype" w:eastAsia="Palatino Linotype" w:hAnsi="Palatino Linotype" w:cs="Palatino Linotype"/>
          <w:b/>
          <w:i/>
          <w:sz w:val="22"/>
          <w:szCs w:val="22"/>
          <w:u w:val="single"/>
        </w:rPr>
        <w:t>Registrar los movimientos de alta y baja de las y los servidores públicos en el Instituto de Seguridad Social del Estado de México y Municipios, así como comunicar a éste la modificación de salarios que tuvieran, dentro de los plazos que imponga la legislación aplicable;</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XII.- Formar parte de la Comisión Mixta de Seguridad e Higiene en el Trabajo;</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XIII.- Vigilar que se enteren las cuotas y aportaciones al Instituto de Seguridad Social del Estado de México y Municipios por cada uno de las y los servidores públicos sujetos a ese régimen de seguridad social;</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XIV.- Conocer, controlar y ejecutar el calendario oficial; y</w:t>
      </w:r>
    </w:p>
    <w:p w:rsidR="006E7D3D" w:rsidRPr="00E554E1" w:rsidRDefault="00886556">
      <w:pPr>
        <w:widowControl w:val="0"/>
        <w:spacing w:before="240" w:after="240" w:line="276" w:lineRule="auto"/>
        <w:ind w:left="851" w:right="616"/>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XV.- Las demás que le sean encomendadas por el Ayuntamiento o la Presidenta o Presidente Municipal y sean inherentes al ejercicio de sus funciones;</w:t>
      </w:r>
    </w:p>
    <w:p w:rsidR="006E7D3D" w:rsidRPr="00E554E1" w:rsidRDefault="00886556">
      <w:pPr>
        <w:widowControl w:val="0"/>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Por consiguiente, de los preceptos normativos citados, se colige que corresponde a la Dirección de Recursos Humanos la selección y contratación del personal que labora en el Ayuntamiento; así como, la integración de los expedientes laborales y registros de alta ante el Instituto de Seguridad Social del Estado de México y Municipios.</w:t>
      </w: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lastRenderedPageBreak/>
        <w:t>En este sentido, es importante referir que los Sujetos Obligados tienen el deber de atender las solicitudes de acceso a la información pública que se les haga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ind w:left="567" w:right="758"/>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i/>
          <w:sz w:val="22"/>
          <w:szCs w:val="22"/>
        </w:rPr>
        <w:t>“</w:t>
      </w:r>
      <w:r w:rsidRPr="00E554E1">
        <w:rPr>
          <w:rFonts w:ascii="Palatino Linotype" w:eastAsia="Palatino Linotype" w:hAnsi="Palatino Linotype" w:cs="Palatino Linotype"/>
          <w:b/>
          <w:i/>
          <w:sz w:val="22"/>
          <w:szCs w:val="22"/>
        </w:rPr>
        <w:t>Artículo 12.-</w:t>
      </w:r>
      <w:r w:rsidRPr="00E554E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E7D3D" w:rsidRPr="00E554E1" w:rsidRDefault="00886556">
      <w:pPr>
        <w:ind w:left="567" w:right="758"/>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E7D3D" w:rsidRPr="00E554E1" w:rsidRDefault="006E7D3D">
      <w:pPr>
        <w:spacing w:line="360" w:lineRule="auto"/>
        <w:ind w:right="-93"/>
        <w:jc w:val="both"/>
        <w:rPr>
          <w:rFonts w:ascii="Palatino Linotype" w:eastAsia="Palatino Linotype" w:hAnsi="Palatino Linotype" w:cs="Palatino Linotype"/>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Asimismo,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sucedió en el presente caso una vez atendidos en informe justificado los requerimientos formulados por la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 </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lastRenderedPageBreak/>
        <w:t xml:space="preserve">En este entendido y toda vez que la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tiene a su disposición la información requerida, la obligación de acceso a la información se tiene por cumplida de conformidad con lo dispuesto en el artículo 166 de la Ley de Transparencia de la Entidad que es del tenor literal siguiente: </w:t>
      </w:r>
    </w:p>
    <w:p w:rsidR="006E7D3D" w:rsidRPr="00E554E1" w:rsidRDefault="006E7D3D">
      <w:pPr>
        <w:spacing w:line="360" w:lineRule="auto"/>
        <w:jc w:val="both"/>
        <w:rPr>
          <w:rFonts w:ascii="Palatino Linotype" w:eastAsia="Palatino Linotype" w:hAnsi="Palatino Linotype" w:cs="Palatino Linotype"/>
        </w:rPr>
      </w:pPr>
    </w:p>
    <w:p w:rsidR="006E7D3D" w:rsidRPr="00E554E1" w:rsidRDefault="00886556">
      <w:pPr>
        <w:pBdr>
          <w:top w:val="nil"/>
          <w:left w:val="nil"/>
          <w:bottom w:val="nil"/>
          <w:right w:val="nil"/>
          <w:between w:val="nil"/>
        </w:pBdr>
        <w:spacing w:before="240" w:after="240" w:line="276" w:lineRule="auto"/>
        <w:ind w:left="851" w:right="850"/>
        <w:jc w:val="both"/>
        <w:rPr>
          <w:rFonts w:ascii="Palatino Linotype" w:eastAsia="Palatino Linotype" w:hAnsi="Palatino Linotype" w:cs="Palatino Linotype"/>
          <w:i/>
          <w:sz w:val="22"/>
          <w:szCs w:val="22"/>
        </w:rPr>
      </w:pPr>
      <w:r w:rsidRPr="00E554E1">
        <w:rPr>
          <w:rFonts w:ascii="Palatino Linotype" w:eastAsia="Palatino Linotype" w:hAnsi="Palatino Linotype" w:cs="Palatino Linotype"/>
          <w:b/>
          <w:i/>
          <w:sz w:val="22"/>
          <w:szCs w:val="22"/>
        </w:rPr>
        <w:t>“Artículo 166.</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u w:val="single"/>
        </w:rPr>
        <w:t>La obligación de acceso a la información pública se tendrá por cumplida cuando el solicitante tenga a su disposición la información requerida</w:t>
      </w:r>
      <w:r w:rsidRPr="00E554E1">
        <w:rPr>
          <w:rFonts w:ascii="Palatino Linotype" w:eastAsia="Palatino Linotype" w:hAnsi="Palatino Linotype" w:cs="Palatino Linotype"/>
          <w:i/>
          <w:sz w:val="22"/>
          <w:szCs w:val="22"/>
        </w:rPr>
        <w:t>, o cuando realice la consulta de la misma en el lugar en el que ésta se localice.</w:t>
      </w:r>
    </w:p>
    <w:p w:rsidR="006E7D3D" w:rsidRPr="00E554E1" w:rsidRDefault="00886556">
      <w:pPr>
        <w:pBdr>
          <w:top w:val="nil"/>
          <w:left w:val="nil"/>
          <w:bottom w:val="nil"/>
          <w:right w:val="nil"/>
          <w:between w:val="nil"/>
        </w:pBdr>
        <w:spacing w:after="160" w:line="360" w:lineRule="auto"/>
        <w:jc w:val="both"/>
      </w:pPr>
      <w:r w:rsidRPr="00E554E1">
        <w:rPr>
          <w:rFonts w:ascii="Palatino Linotype" w:eastAsia="Palatino Linotype" w:hAnsi="Palatino Linotype" w:cs="Palatino Linotype"/>
        </w:rPr>
        <w:t>Cabe señalar que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cuando no es una obligación de las autoridades tal y como lo señala el Criterio de Interpretación 03/17, emitido por el Pleno del Instituto Nacional de Transparencia, Acceso a la Información y Protección de Datos Personales,  INAI, que dice: </w:t>
      </w:r>
    </w:p>
    <w:p w:rsidR="006E7D3D" w:rsidRPr="00E554E1" w:rsidRDefault="00886556">
      <w:pPr>
        <w:pBdr>
          <w:top w:val="nil"/>
          <w:left w:val="nil"/>
          <w:bottom w:val="nil"/>
          <w:right w:val="nil"/>
          <w:between w:val="nil"/>
        </w:pBdr>
        <w:spacing w:after="160"/>
        <w:ind w:left="851" w:right="900"/>
        <w:jc w:val="both"/>
        <w:rPr>
          <w:sz w:val="22"/>
          <w:szCs w:val="22"/>
        </w:rPr>
      </w:pPr>
      <w:r w:rsidRPr="00E554E1">
        <w:rPr>
          <w:rFonts w:ascii="Palatino Linotype" w:eastAsia="Palatino Linotype" w:hAnsi="Palatino Linotype" w:cs="Palatino Linotype"/>
          <w:i/>
          <w:sz w:val="22"/>
          <w:szCs w:val="22"/>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E554E1">
        <w:rPr>
          <w:rFonts w:ascii="Palatino Linotype" w:eastAsia="Palatino Linotype" w:hAnsi="Palatino Linotype" w:cs="Palatino Linotype"/>
          <w:i/>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E7D3D" w:rsidRPr="00E554E1" w:rsidRDefault="006E7D3D">
      <w:pPr>
        <w:pBdr>
          <w:top w:val="nil"/>
          <w:left w:val="nil"/>
          <w:bottom w:val="nil"/>
          <w:right w:val="nil"/>
          <w:between w:val="nil"/>
        </w:pBdr>
        <w:spacing w:after="160" w:line="360" w:lineRule="auto"/>
        <w:jc w:val="both"/>
        <w:rPr>
          <w:rFonts w:ascii="Palatino Linotype" w:eastAsia="Palatino Linotype" w:hAnsi="Palatino Linotype" w:cs="Palatino Linotype"/>
        </w:rPr>
      </w:pPr>
    </w:p>
    <w:p w:rsidR="006E7D3D" w:rsidRPr="00E554E1" w:rsidRDefault="00886556">
      <w:pPr>
        <w:pBdr>
          <w:top w:val="nil"/>
          <w:left w:val="nil"/>
          <w:bottom w:val="nil"/>
          <w:right w:val="nil"/>
          <w:between w:val="nil"/>
        </w:pBdr>
        <w:spacing w:after="160" w:line="360" w:lineRule="auto"/>
        <w:jc w:val="both"/>
      </w:pPr>
      <w:r w:rsidRPr="00E554E1">
        <w:rPr>
          <w:rFonts w:ascii="Palatino Linotype" w:eastAsia="Palatino Linotype" w:hAnsi="Palatino Linotype" w:cs="Palatino Linotype"/>
        </w:rPr>
        <w:t>Entonces, dado a que el criterio en mención establece que las autoridades no están obligadas a generar documentos “ad hoc” en contrario sensu, dicho criterio se puede interpretar resultando que las autoridades no están impedidas a generar documentos “ad hoc”, esto, siempre que con dicho documento elaborado se dé cabal cumplimiento al requerimiento planteado.</w:t>
      </w:r>
    </w:p>
    <w:p w:rsidR="006E7D3D" w:rsidRPr="00E554E1" w:rsidRDefault="006E7D3D">
      <w:pPr>
        <w:pBdr>
          <w:top w:val="nil"/>
          <w:left w:val="nil"/>
          <w:bottom w:val="nil"/>
          <w:right w:val="nil"/>
          <w:between w:val="nil"/>
        </w:pBdr>
        <w:spacing w:line="360" w:lineRule="auto"/>
        <w:jc w:val="both"/>
        <w:rPr>
          <w:rFonts w:ascii="Palatino Linotype" w:eastAsia="Palatino Linotype" w:hAnsi="Palatino Linotype" w:cs="Palatino Linotype"/>
        </w:rPr>
      </w:pPr>
    </w:p>
    <w:p w:rsidR="006E7D3D" w:rsidRPr="00E554E1" w:rsidRDefault="00886556">
      <w:pPr>
        <w:pBdr>
          <w:top w:val="nil"/>
          <w:left w:val="nil"/>
          <w:bottom w:val="nil"/>
          <w:right w:val="nil"/>
          <w:between w:val="nil"/>
        </w:pBdr>
        <w:spacing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Aunado a lo anterior,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6E7D3D" w:rsidRPr="00E554E1" w:rsidRDefault="00886556">
      <w:pPr>
        <w:pBdr>
          <w:top w:val="nil"/>
          <w:left w:val="nil"/>
          <w:bottom w:val="nil"/>
          <w:right w:val="nil"/>
          <w:between w:val="nil"/>
        </w:pBdr>
        <w:spacing w:before="240" w:after="360"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rsidR="006E7D3D" w:rsidRPr="00E554E1" w:rsidRDefault="00886556">
      <w:pPr>
        <w:spacing w:before="240" w:after="360" w:line="276" w:lineRule="auto"/>
        <w:ind w:left="567" w:right="616"/>
        <w:jc w:val="both"/>
        <w:rPr>
          <w:rFonts w:ascii="Palatino Linotype" w:eastAsia="Palatino Linotype" w:hAnsi="Palatino Linotype" w:cs="Palatino Linotype"/>
          <w:sz w:val="22"/>
          <w:szCs w:val="22"/>
        </w:rPr>
      </w:pPr>
      <w:r w:rsidRPr="00E554E1">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w:t>
      </w:r>
      <w:r w:rsidRPr="00E554E1">
        <w:rPr>
          <w:rFonts w:ascii="Palatino Linotype" w:eastAsia="Palatino Linotype" w:hAnsi="Palatino Linotype" w:cs="Palatino Linotype"/>
          <w:i/>
          <w:sz w:val="22"/>
          <w:szCs w:val="22"/>
        </w:rPr>
        <w:lastRenderedPageBreak/>
        <w:t>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E7D3D" w:rsidRPr="00E554E1" w:rsidRDefault="0088655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El tal sentido,</w:t>
      </w:r>
      <w:r w:rsidR="00E1604C" w:rsidRPr="00E554E1">
        <w:rPr>
          <w:rFonts w:ascii="Palatino Linotype" w:eastAsia="Palatino Linotype" w:hAnsi="Palatino Linotype" w:cs="Palatino Linotype"/>
        </w:rPr>
        <w:t xml:space="preserve"> a pesar de que la solicitud</w:t>
      </w:r>
      <w:r w:rsidR="00FE3B3E" w:rsidRPr="00E554E1">
        <w:rPr>
          <w:rFonts w:ascii="Palatino Linotype" w:eastAsia="Palatino Linotype" w:hAnsi="Palatino Linotype" w:cs="Palatino Linotype"/>
        </w:rPr>
        <w:t xml:space="preserve"> consiste en un cuestionamiento,</w:t>
      </w:r>
      <w:r w:rsidRPr="00E554E1">
        <w:rPr>
          <w:rFonts w:ascii="Palatino Linotype" w:eastAsia="Palatino Linotype" w:hAnsi="Palatino Linotype" w:cs="Palatino Linotype"/>
        </w:rPr>
        <w:t xml:space="preserve"> este Organismo Garante tiene por satisfecho el requerimiento sobre el cual se inconformó el </w:t>
      </w:r>
      <w:r w:rsidRPr="00E554E1">
        <w:rPr>
          <w:rFonts w:ascii="Palatino Linotype" w:eastAsia="Palatino Linotype" w:hAnsi="Palatino Linotype" w:cs="Palatino Linotype"/>
          <w:b/>
        </w:rPr>
        <w:t xml:space="preserve">Recurrente </w:t>
      </w:r>
      <w:r w:rsidRPr="00E554E1">
        <w:rPr>
          <w:rFonts w:ascii="Palatino Linotype" w:eastAsia="Palatino Linotype" w:hAnsi="Palatino Linotype" w:cs="Palatino Linotype"/>
        </w:rPr>
        <w:t xml:space="preserve">al momento de interponer el Recurso de Revisión;  ya que a través del informe justificado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respondió al planteamiento formulado </w:t>
      </w:r>
      <w:r w:rsidR="00FE3B3E" w:rsidRPr="00E554E1">
        <w:rPr>
          <w:rFonts w:ascii="Palatino Linotype" w:eastAsia="Palatino Linotype" w:hAnsi="Palatino Linotype" w:cs="Palatino Linotype"/>
        </w:rPr>
        <w:t xml:space="preserve">en la solicitud de información. </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 xml:space="preserve">En consecuencia, </w:t>
      </w:r>
      <w:r w:rsidR="00980094" w:rsidRPr="00E554E1">
        <w:rPr>
          <w:rFonts w:ascii="Palatino Linotype" w:eastAsia="Palatino Linotype" w:hAnsi="Palatino Linotype" w:cs="Palatino Linotype"/>
        </w:rPr>
        <w:t>ante la respuesta</w:t>
      </w:r>
      <w:r w:rsidRPr="00E554E1">
        <w:rPr>
          <w:rFonts w:ascii="Palatino Linotype" w:eastAsia="Palatino Linotype" w:hAnsi="Palatino Linotype" w:cs="Palatino Linotype"/>
        </w:rPr>
        <w:t xml:space="preserve"> remitida vía informe justificado, conviene hacer alusión a lo que señala el artículo 192, fracción III de la Ley de Transparencia y Acceso a la Información Pública del Estado de México y Municipios vigente, a saber:</w:t>
      </w:r>
    </w:p>
    <w:p w:rsidR="006E7D3D" w:rsidRPr="00E554E1" w:rsidRDefault="00886556">
      <w:pPr>
        <w:pBdr>
          <w:top w:val="nil"/>
          <w:left w:val="nil"/>
          <w:bottom w:val="nil"/>
          <w:right w:val="nil"/>
          <w:between w:val="nil"/>
        </w:pBdr>
        <w:spacing w:before="240" w:after="240"/>
        <w:ind w:left="851" w:right="900"/>
        <w:jc w:val="both"/>
      </w:pPr>
      <w:r w:rsidRPr="00E554E1">
        <w:rPr>
          <w:rFonts w:ascii="Palatino Linotype" w:eastAsia="Palatino Linotype" w:hAnsi="Palatino Linotype" w:cs="Palatino Linotype"/>
          <w:i/>
          <w:sz w:val="22"/>
          <w:szCs w:val="22"/>
        </w:rPr>
        <w:t>“</w:t>
      </w:r>
      <w:r w:rsidRPr="00E554E1">
        <w:rPr>
          <w:rFonts w:ascii="Palatino Linotype" w:eastAsia="Palatino Linotype" w:hAnsi="Palatino Linotype" w:cs="Palatino Linotype"/>
          <w:b/>
          <w:i/>
          <w:sz w:val="22"/>
          <w:szCs w:val="22"/>
        </w:rPr>
        <w:t>Artículo 192</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rPr>
        <w:t>El recurso será sobreseído</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rPr>
        <w:t>en todo o en parte,</w:t>
      </w:r>
      <w:r w:rsidRPr="00E554E1">
        <w:rPr>
          <w:rFonts w:ascii="Palatino Linotype" w:eastAsia="Palatino Linotype" w:hAnsi="Palatino Linotype" w:cs="Palatino Linotype"/>
          <w:i/>
          <w:sz w:val="22"/>
          <w:szCs w:val="22"/>
        </w:rPr>
        <w:t xml:space="preserve"> </w:t>
      </w:r>
      <w:r w:rsidRPr="00E554E1">
        <w:rPr>
          <w:rFonts w:ascii="Palatino Linotype" w:eastAsia="Palatino Linotype" w:hAnsi="Palatino Linotype" w:cs="Palatino Linotype"/>
          <w:b/>
          <w:i/>
          <w:sz w:val="22"/>
          <w:szCs w:val="22"/>
        </w:rPr>
        <w:t>cuando una vez admitido, se actualicen alguno de los siguientes supuestos</w:t>
      </w:r>
      <w:r w:rsidRPr="00E554E1">
        <w:rPr>
          <w:rFonts w:ascii="Palatino Linotype" w:eastAsia="Palatino Linotype" w:hAnsi="Palatino Linotype" w:cs="Palatino Linotype"/>
          <w:i/>
          <w:sz w:val="22"/>
          <w:szCs w:val="22"/>
        </w:rPr>
        <w:t>: </w:t>
      </w:r>
    </w:p>
    <w:p w:rsidR="006E7D3D" w:rsidRPr="00E554E1" w:rsidRDefault="00886556">
      <w:pPr>
        <w:pBdr>
          <w:top w:val="nil"/>
          <w:left w:val="nil"/>
          <w:bottom w:val="nil"/>
          <w:right w:val="nil"/>
          <w:between w:val="nil"/>
        </w:pBdr>
        <w:spacing w:before="240" w:after="240"/>
        <w:ind w:left="1134" w:right="900"/>
        <w:jc w:val="both"/>
      </w:pPr>
      <w:r w:rsidRPr="00E554E1">
        <w:rPr>
          <w:rFonts w:ascii="Palatino Linotype" w:eastAsia="Palatino Linotype" w:hAnsi="Palatino Linotype" w:cs="Palatino Linotype"/>
          <w:i/>
          <w:sz w:val="22"/>
          <w:szCs w:val="22"/>
        </w:rPr>
        <w:t>(…)</w:t>
      </w:r>
    </w:p>
    <w:p w:rsidR="006E7D3D" w:rsidRPr="00E554E1" w:rsidRDefault="00886556">
      <w:pPr>
        <w:pBdr>
          <w:top w:val="nil"/>
          <w:left w:val="nil"/>
          <w:bottom w:val="nil"/>
          <w:right w:val="nil"/>
          <w:between w:val="nil"/>
        </w:pBdr>
        <w:spacing w:before="240" w:after="240"/>
        <w:ind w:left="1134" w:right="900"/>
        <w:jc w:val="both"/>
      </w:pPr>
      <w:r w:rsidRPr="00E554E1">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E554E1">
        <w:rPr>
          <w:rFonts w:ascii="Palatino Linotype" w:eastAsia="Palatino Linotype" w:hAnsi="Palatino Linotype" w:cs="Palatino Linotype"/>
          <w:i/>
          <w:sz w:val="22"/>
          <w:szCs w:val="22"/>
        </w:rPr>
        <w:t>”</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De lo establecido en el precepto legal citado se advierte que el sobreseimiento del recurso de revisión procede en los siguientes casos:</w:t>
      </w:r>
    </w:p>
    <w:p w:rsidR="006E7D3D" w:rsidRPr="00E554E1" w:rsidRDefault="00886556">
      <w:pPr>
        <w:pBdr>
          <w:top w:val="nil"/>
          <w:left w:val="nil"/>
          <w:bottom w:val="nil"/>
          <w:right w:val="nil"/>
          <w:between w:val="nil"/>
        </w:pBdr>
        <w:spacing w:before="240" w:after="240"/>
        <w:ind w:left="284"/>
        <w:jc w:val="both"/>
      </w:pPr>
      <w:r w:rsidRPr="00E554E1">
        <w:rPr>
          <w:rFonts w:ascii="Palatino Linotype" w:eastAsia="Palatino Linotype" w:hAnsi="Palatino Linotype" w:cs="Palatino Linotype"/>
        </w:rPr>
        <w:lastRenderedPageBreak/>
        <w:t>a) Cuando el Sujeto Obligado modifique el acto impugnado. </w:t>
      </w:r>
    </w:p>
    <w:p w:rsidR="006E7D3D" w:rsidRPr="00E554E1" w:rsidRDefault="00886556">
      <w:pPr>
        <w:pBdr>
          <w:top w:val="nil"/>
          <w:left w:val="nil"/>
          <w:bottom w:val="nil"/>
          <w:right w:val="nil"/>
          <w:between w:val="nil"/>
        </w:pBdr>
        <w:spacing w:before="240" w:after="240"/>
        <w:ind w:left="284"/>
        <w:jc w:val="both"/>
      </w:pPr>
      <w:r w:rsidRPr="00E554E1">
        <w:rPr>
          <w:rFonts w:ascii="Palatino Linotype" w:eastAsia="Palatino Linotype" w:hAnsi="Palatino Linotype" w:cs="Palatino Linotype"/>
        </w:rPr>
        <w:t>b) Cuando el Sujeto Obligado revoque el acto impugnado; </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Quedando en ambos casos el acto combatido sin materia o sin efectos.</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esta subsanó las deficiencias que hubiera tenido, quedando satisfecho el derecho accionado por la parte recurrente.</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t>En tanto que, un acto impugnado queda sin materia, cuando ha sido satisfecha la pretensión del recurrente de manera que el Sujeto Obligado entrega una respuesta completa aunque sea posterior a los términos previstos en la ley y mediante ésta concede la información solicitada.</w:t>
      </w:r>
    </w:p>
    <w:p w:rsidR="006E7D3D" w:rsidRPr="00E554E1" w:rsidRDefault="00886556">
      <w:pPr>
        <w:pBdr>
          <w:top w:val="nil"/>
          <w:left w:val="nil"/>
          <w:bottom w:val="nil"/>
          <w:right w:val="nil"/>
          <w:between w:val="nil"/>
        </w:pBdr>
        <w:spacing w:before="240" w:after="240" w:line="360" w:lineRule="auto"/>
        <w:jc w:val="both"/>
      </w:pPr>
      <w:r w:rsidRPr="00E554E1">
        <w:rPr>
          <w:rFonts w:ascii="Palatino Linotype" w:eastAsia="Palatino Linotype" w:hAnsi="Palatino Linotype" w:cs="Palatino Linotype"/>
        </w:rPr>
        <w:lastRenderedPageBreak/>
        <w:t xml:space="preserve">Ahora bien, en el caso concreto, es evidente que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modificó su respuesta, ya que, a través de su pronunciamiento emitido en la etapa de manifestaciones, atendió el planteamiento formulado en la solicitud inicial. </w:t>
      </w:r>
    </w:p>
    <w:p w:rsidR="006E7D3D" w:rsidRPr="00E554E1" w:rsidRDefault="0088655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De este modo, cuando el </w:t>
      </w:r>
      <w:r w:rsidRPr="00E554E1">
        <w:rPr>
          <w:rFonts w:ascii="Palatino Linotype" w:eastAsia="Palatino Linotype" w:hAnsi="Palatino Linotype" w:cs="Palatino Linotype"/>
          <w:b/>
        </w:rPr>
        <w:t xml:space="preserve">SUJETO OBLIGADO, </w:t>
      </w:r>
      <w:r w:rsidRPr="00E554E1">
        <w:rPr>
          <w:rFonts w:ascii="Palatino Linotype" w:eastAsia="Palatino Linotype" w:hAnsi="Palatino Linotype" w:cs="Palatino Linotype"/>
        </w:rPr>
        <w:t xml:space="preserve">antes de que se dicte resolución definitiva, responde a la solicitud de información a la  que en un primer momento omitió contestar; el recurso de revisión que al efecto se haya interpuesto queda sin materia lo que imposibilita el estudio de fondo de la </w:t>
      </w:r>
      <w:proofErr w:type="spellStart"/>
      <w:r w:rsidRPr="00E554E1">
        <w:rPr>
          <w:rFonts w:ascii="Palatino Linotype" w:eastAsia="Palatino Linotype" w:hAnsi="Palatino Linotype" w:cs="Palatino Linotype"/>
          <w:i/>
        </w:rPr>
        <w:t>litis</w:t>
      </w:r>
      <w:proofErr w:type="spellEnd"/>
      <w:r w:rsidRPr="00E554E1">
        <w:rPr>
          <w:rFonts w:ascii="Palatino Linotype" w:eastAsia="Palatino Linotype" w:hAnsi="Palatino Linotype" w:cs="Palatino Linotype"/>
        </w:rPr>
        <w:t xml:space="preserve"> planteada, debido a que la afectación en su esfera de derechos fue restituida por la propia autoridad que emitió el acto motivo de impugnación.</w:t>
      </w:r>
    </w:p>
    <w:p w:rsidR="006E7D3D" w:rsidRPr="00E554E1" w:rsidRDefault="006E7D3D">
      <w:pPr>
        <w:pBdr>
          <w:top w:val="nil"/>
          <w:left w:val="nil"/>
          <w:bottom w:val="nil"/>
          <w:right w:val="nil"/>
          <w:between w:val="nil"/>
        </w:pBdr>
        <w:ind w:left="720"/>
        <w:rPr>
          <w:rFonts w:ascii="Palatino Linotype" w:eastAsia="Palatino Linotype" w:hAnsi="Palatino Linotype" w:cs="Palatino Linotype"/>
        </w:rPr>
      </w:pPr>
    </w:p>
    <w:p w:rsidR="006E7D3D" w:rsidRPr="00E554E1" w:rsidRDefault="0088655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u w:val="single"/>
        </w:rPr>
      </w:pPr>
      <w:r w:rsidRPr="00E554E1">
        <w:rPr>
          <w:rFonts w:ascii="Palatino Linotype" w:eastAsia="Palatino Linotype" w:hAnsi="Palatino Linotype" w:cs="Palatino Linotype"/>
        </w:rPr>
        <w:t xml:space="preserve">Por lo tanto, para que se actualice el sobreseimiento de un recurso de revisión,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puede entregar o completar la información al momento de rendir su </w:t>
      </w:r>
      <w:r w:rsidRPr="00E554E1">
        <w:rPr>
          <w:rFonts w:ascii="Palatino Linotype" w:eastAsia="Palatino Linotype" w:hAnsi="Palatino Linotype" w:cs="Palatino Linotype"/>
          <w:b/>
          <w:u w:val="single"/>
        </w:rPr>
        <w:t>informe de justificación</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b/>
          <w:u w:val="single"/>
        </w:rPr>
        <w:t>dentro de los siete días</w:t>
      </w:r>
      <w:r w:rsidRPr="00E554E1">
        <w:rPr>
          <w:rFonts w:ascii="Palatino Linotype" w:eastAsia="Palatino Linotype" w:hAnsi="Palatino Linotype" w:cs="Palatino Linotype"/>
        </w:rPr>
        <w:t xml:space="preserve"> previstos para manifestar lo que a su derecho convenga, </w:t>
      </w:r>
      <w:r w:rsidRPr="00E554E1">
        <w:rPr>
          <w:rFonts w:ascii="Palatino Linotype" w:eastAsia="Palatino Linotype" w:hAnsi="Palatino Linotype" w:cs="Palatino Linotype"/>
          <w:b/>
          <w:u w:val="single"/>
        </w:rPr>
        <w:t xml:space="preserve">lo anterior también puede ocurrir si entrega la información después de ese lapso, pero antes del cierre de instrucción. </w:t>
      </w:r>
    </w:p>
    <w:p w:rsidR="006E7D3D" w:rsidRPr="00E554E1" w:rsidRDefault="006E7D3D">
      <w:pPr>
        <w:pBdr>
          <w:top w:val="nil"/>
          <w:left w:val="nil"/>
          <w:bottom w:val="nil"/>
          <w:right w:val="nil"/>
          <w:between w:val="nil"/>
        </w:pBdr>
        <w:ind w:left="720"/>
        <w:rPr>
          <w:rFonts w:ascii="Palatino Linotype" w:eastAsia="Palatino Linotype" w:hAnsi="Palatino Linotype" w:cs="Palatino Linotype"/>
        </w:rPr>
      </w:pPr>
    </w:p>
    <w:p w:rsidR="006E7D3D" w:rsidRPr="00E554E1" w:rsidRDefault="0088655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Este Pleno advierte que 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con la información enviada, </w:t>
      </w:r>
      <w:r w:rsidRPr="00E554E1">
        <w:rPr>
          <w:rFonts w:ascii="Palatino Linotype" w:eastAsia="Palatino Linotype" w:hAnsi="Palatino Linotype" w:cs="Palatino Linotype"/>
          <w:b/>
        </w:rPr>
        <w:t>modifica</w:t>
      </w:r>
      <w:r w:rsidRPr="00E554E1">
        <w:rPr>
          <w:rFonts w:ascii="Palatino Linotype" w:eastAsia="Palatino Linotype" w:hAnsi="Palatino Linotype" w:cs="Palatino Linotype"/>
        </w:rPr>
        <w:t xml:space="preserve"> </w:t>
      </w:r>
      <w:r w:rsidRPr="00E554E1">
        <w:rPr>
          <w:rFonts w:ascii="Palatino Linotype" w:eastAsia="Palatino Linotype" w:hAnsi="Palatino Linotype" w:cs="Palatino Linotype"/>
          <w:u w:val="single"/>
        </w:rPr>
        <w:t>el acto que le dio origen al recurso de revisión, por lo que trae como consecuencia que el mismo quede sin materia</w:t>
      </w:r>
      <w:r w:rsidRPr="00E554E1">
        <w:rPr>
          <w:rFonts w:ascii="Palatino Linotype" w:eastAsia="Palatino Linotype" w:hAnsi="Palatino Linotype" w:cs="Palatino Linotype"/>
        </w:rPr>
        <w:t xml:space="preserve">, actualizándose de este modo, la hipótesis jurídica contenida en la </w:t>
      </w:r>
      <w:r w:rsidRPr="00E554E1">
        <w:rPr>
          <w:rFonts w:ascii="Palatino Linotype" w:eastAsia="Palatino Linotype" w:hAnsi="Palatino Linotype" w:cs="Palatino Linotype"/>
          <w:b/>
        </w:rPr>
        <w:t>fracción III</w:t>
      </w:r>
      <w:r w:rsidRPr="00E554E1">
        <w:rPr>
          <w:rFonts w:ascii="Palatino Linotype" w:eastAsia="Palatino Linotype" w:hAnsi="Palatino Linotype" w:cs="Palatino Linotype"/>
        </w:rPr>
        <w:t xml:space="preserve"> del citado artículo </w:t>
      </w:r>
      <w:r w:rsidRPr="00E554E1">
        <w:rPr>
          <w:rFonts w:ascii="Palatino Linotype" w:eastAsia="Palatino Linotype" w:hAnsi="Palatino Linotype" w:cs="Palatino Linotype"/>
          <w:b/>
        </w:rPr>
        <w:t>192</w:t>
      </w:r>
      <w:r w:rsidRPr="00E554E1">
        <w:rPr>
          <w:rFonts w:ascii="Palatino Linotype" w:eastAsia="Palatino Linotype" w:hAnsi="Palatino Linotype" w:cs="Palatino Linotype"/>
        </w:rPr>
        <w:t>.</w:t>
      </w:r>
    </w:p>
    <w:p w:rsidR="006E7D3D" w:rsidRPr="00E554E1" w:rsidRDefault="006E7D3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6E7D3D" w:rsidRPr="00E554E1" w:rsidRDefault="0088655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Así, siendo el </w:t>
      </w:r>
      <w:r w:rsidRPr="00E554E1">
        <w:rPr>
          <w:rFonts w:ascii="Palatino Linotype" w:eastAsia="Palatino Linotype" w:hAnsi="Palatino Linotype" w:cs="Palatino Linotype"/>
          <w:i/>
        </w:rPr>
        <w:t>sobreseimiento</w:t>
      </w:r>
      <w:r w:rsidRPr="00E554E1">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la </w:t>
      </w:r>
      <w:r w:rsidRPr="00E554E1">
        <w:rPr>
          <w:rFonts w:ascii="Palatino Linotype" w:eastAsia="Palatino Linotype" w:hAnsi="Palatino Linotype" w:cs="Palatino Linotype"/>
        </w:rPr>
        <w:lastRenderedPageBreak/>
        <w:t xml:space="preserve">parte Recurrente, este Instituto se encuentra imposibilitado para entrar al estudio de fondo del recurso de revisión, lo anterior con apoyo en la Tesis Aislada del Segundo Tribunal Colegiado del Segundo Distrito, de la Suprema Corte de Justicia de la Nación, registrada con el rubro: </w:t>
      </w:r>
      <w:r w:rsidRPr="00E554E1">
        <w:rPr>
          <w:rFonts w:ascii="Palatino Linotype" w:eastAsia="Palatino Linotype" w:hAnsi="Palatino Linotype" w:cs="Palatino Linotype"/>
          <w:b/>
        </w:rPr>
        <w:t>SOBRESEIMIENTO, NO PERMITE ENTRAR AL ESTUDIO DE LAS CUESTIONES DE FONDO</w:t>
      </w:r>
    </w:p>
    <w:p w:rsidR="006E7D3D" w:rsidRPr="00E554E1" w:rsidRDefault="006E7D3D">
      <w:pPr>
        <w:tabs>
          <w:tab w:val="left" w:pos="7938"/>
        </w:tabs>
        <w:spacing w:line="360" w:lineRule="auto"/>
        <w:jc w:val="both"/>
        <w:rPr>
          <w:rFonts w:ascii="Palatino Linotype" w:eastAsia="Palatino Linotype" w:hAnsi="Palatino Linotype" w:cs="Palatino Linotype"/>
        </w:rPr>
      </w:pPr>
    </w:p>
    <w:p w:rsidR="006E7D3D" w:rsidRPr="00E554E1" w:rsidRDefault="00886556">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Por lo tanto, en términos del artículo 186 fracción I este Pleno determina el </w:t>
      </w:r>
      <w:r w:rsidRPr="00E554E1">
        <w:rPr>
          <w:rFonts w:ascii="Palatino Linotype" w:eastAsia="Palatino Linotype" w:hAnsi="Palatino Linotype" w:cs="Palatino Linotype"/>
          <w:b/>
        </w:rPr>
        <w:t xml:space="preserve">Sobreseimiento </w:t>
      </w:r>
      <w:r w:rsidRPr="00E554E1">
        <w:rPr>
          <w:rFonts w:ascii="Palatino Linotype" w:eastAsia="Palatino Linotype" w:hAnsi="Palatino Linotype" w:cs="Palatino Linotype"/>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6E7D3D" w:rsidRPr="00E554E1" w:rsidRDefault="00886556">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554E1">
        <w:rPr>
          <w:rFonts w:ascii="Palatino Linotype" w:eastAsia="Palatino Linotype" w:hAnsi="Palatino Linotype" w:cs="Palatino Linotype"/>
          <w:b/>
        </w:rPr>
        <w:t>R E S U E L V E:</w:t>
      </w:r>
    </w:p>
    <w:p w:rsidR="006E7D3D" w:rsidRPr="00E554E1" w:rsidRDefault="00886556">
      <w:pPr>
        <w:pBdr>
          <w:top w:val="nil"/>
          <w:left w:val="nil"/>
          <w:bottom w:val="nil"/>
          <w:right w:val="nil"/>
          <w:between w:val="nil"/>
        </w:pBdr>
        <w:spacing w:before="160" w:line="360" w:lineRule="auto"/>
        <w:jc w:val="both"/>
      </w:pPr>
      <w:bookmarkStart w:id="12" w:name="_heading=h.1t3h5sf" w:colFirst="0" w:colLast="0"/>
      <w:bookmarkEnd w:id="12"/>
      <w:r w:rsidRPr="00E554E1">
        <w:rPr>
          <w:rFonts w:ascii="Palatino Linotype" w:eastAsia="Palatino Linotype" w:hAnsi="Palatino Linotype" w:cs="Palatino Linotype"/>
          <w:b/>
        </w:rPr>
        <w:t>Primero.</w:t>
      </w:r>
      <w:r w:rsidRPr="00E554E1">
        <w:rPr>
          <w:rFonts w:ascii="Palatino Linotype" w:eastAsia="Palatino Linotype" w:hAnsi="Palatino Linotype" w:cs="Palatino Linotype"/>
        </w:rPr>
        <w:t xml:space="preserve"> Se </w:t>
      </w:r>
      <w:r w:rsidRPr="00E554E1">
        <w:rPr>
          <w:rFonts w:ascii="Palatino Linotype" w:eastAsia="Palatino Linotype" w:hAnsi="Palatino Linotype" w:cs="Palatino Linotype"/>
          <w:b/>
        </w:rPr>
        <w:t>Sobresee</w:t>
      </w:r>
      <w:r w:rsidRPr="00E554E1">
        <w:rPr>
          <w:rFonts w:ascii="Palatino Linotype" w:eastAsia="Palatino Linotype" w:hAnsi="Palatino Linotype" w:cs="Palatino Linotype"/>
        </w:rPr>
        <w:t xml:space="preserve"> el recurso de revisión número </w:t>
      </w:r>
      <w:r w:rsidRPr="00E554E1">
        <w:rPr>
          <w:rFonts w:ascii="Palatino Linotype" w:eastAsia="Palatino Linotype" w:hAnsi="Palatino Linotype" w:cs="Palatino Linotype"/>
          <w:b/>
        </w:rPr>
        <w:t>13774/INFOEM/ICR-02/IP/RR/2022,</w:t>
      </w:r>
      <w:r w:rsidRPr="00E554E1">
        <w:rPr>
          <w:rFonts w:ascii="Palatino Linotype" w:eastAsia="Palatino Linotype" w:hAnsi="Palatino Linotype" w:cs="Palatino Linotype"/>
        </w:rPr>
        <w:t xml:space="preserve"> porque al colmar la pretensión de la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xml:space="preserve"> mediante informe justificado quedó sin materia el recurso de revisión, de conformidad con lo previsto en el artículo 192 fracción III de la Ley de Transparencia vigente en la entidad, en términos del </w:t>
      </w:r>
      <w:r w:rsidRPr="00E554E1">
        <w:rPr>
          <w:rFonts w:ascii="Palatino Linotype" w:eastAsia="Palatino Linotype" w:hAnsi="Palatino Linotype" w:cs="Palatino Linotype"/>
          <w:b/>
        </w:rPr>
        <w:t>Considerando Tercero</w:t>
      </w:r>
      <w:r w:rsidRPr="00E554E1">
        <w:rPr>
          <w:rFonts w:ascii="Palatino Linotype" w:eastAsia="Palatino Linotype" w:hAnsi="Palatino Linotype" w:cs="Palatino Linotype"/>
        </w:rPr>
        <w:t xml:space="preserve"> de la presente resolución.</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lastRenderedPageBreak/>
        <w:t>Segundo</w:t>
      </w:r>
      <w:r w:rsidRPr="00E554E1">
        <w:rPr>
          <w:rFonts w:ascii="Palatino Linotype" w:eastAsia="Palatino Linotype" w:hAnsi="Palatino Linotype" w:cs="Palatino Linotype"/>
        </w:rPr>
        <w:t xml:space="preserve">. Notifíquese vía SAIMEX, al Titular de la Unidad de Transparencia del </w:t>
      </w:r>
      <w:r w:rsidRPr="00E554E1">
        <w:rPr>
          <w:rFonts w:ascii="Palatino Linotype" w:eastAsia="Palatino Linotype" w:hAnsi="Palatino Linotype" w:cs="Palatino Linotype"/>
          <w:b/>
        </w:rPr>
        <w:t>Sujeto Obligado</w:t>
      </w:r>
      <w:r w:rsidRPr="00E554E1">
        <w:rPr>
          <w:rFonts w:ascii="Palatino Linotype" w:eastAsia="Palatino Linotype" w:hAnsi="Palatino Linotype" w:cs="Palatino Linotype"/>
        </w:rPr>
        <w:t xml:space="preserve"> la presente resolución, para su conocimiento. </w:t>
      </w:r>
    </w:p>
    <w:p w:rsidR="006E7D3D" w:rsidRPr="00E554E1" w:rsidRDefault="00886556">
      <w:pPr>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b/>
        </w:rPr>
        <w:t>Tercero.</w:t>
      </w:r>
      <w:r w:rsidRPr="00E554E1">
        <w:rPr>
          <w:rFonts w:ascii="Palatino Linotype" w:eastAsia="Palatino Linotype" w:hAnsi="Palatino Linotype" w:cs="Palatino Linotype"/>
        </w:rPr>
        <w:t xml:space="preserve">  Notifíquese a la </w:t>
      </w:r>
      <w:r w:rsidRPr="00E554E1">
        <w:rPr>
          <w:rFonts w:ascii="Palatino Linotype" w:eastAsia="Palatino Linotype" w:hAnsi="Palatino Linotype" w:cs="Palatino Linotype"/>
          <w:b/>
        </w:rPr>
        <w:t>Recurrente</w:t>
      </w:r>
      <w:r w:rsidRPr="00E554E1">
        <w:rPr>
          <w:rFonts w:ascii="Palatino Linotype" w:eastAsia="Palatino Linotype" w:hAnsi="Palatino Linotype" w:cs="Palatino Linotype"/>
        </w:rPr>
        <w:t>,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6E7D3D" w:rsidRPr="00E554E1" w:rsidRDefault="00886556">
      <w:pPr>
        <w:tabs>
          <w:tab w:val="left" w:pos="8647"/>
        </w:tabs>
        <w:spacing w:before="240" w:after="240" w:line="360" w:lineRule="auto"/>
        <w:jc w:val="both"/>
        <w:rPr>
          <w:rFonts w:ascii="Palatino Linotype" w:eastAsia="Palatino Linotype" w:hAnsi="Palatino Linotype" w:cs="Palatino Linotype"/>
        </w:rPr>
      </w:pPr>
      <w:r w:rsidRPr="00E554E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3330EB" w:rsidRPr="00E554E1">
        <w:rPr>
          <w:rFonts w:ascii="Palatino Linotype" w:eastAsia="Palatino Linotype" w:hAnsi="Palatino Linotype" w:cs="Palatino Linotype"/>
        </w:rPr>
        <w:t>RAMÍREZ PEÑA; EN LA DÉCIMA SÉPTIMA</w:t>
      </w:r>
      <w:r w:rsidRPr="00E554E1">
        <w:rPr>
          <w:rFonts w:ascii="Palatino Linotype" w:eastAsia="Palatino Linotype" w:hAnsi="Palatino Linotype" w:cs="Palatino Linotype"/>
        </w:rPr>
        <w:t xml:space="preserve"> SESIÓN ORDINARIA CELEBRADA EL </w:t>
      </w:r>
      <w:r w:rsidR="003330EB" w:rsidRPr="00E554E1">
        <w:rPr>
          <w:rFonts w:ascii="Palatino Linotype" w:eastAsia="Palatino Linotype" w:hAnsi="Palatino Linotype" w:cs="Palatino Linotype"/>
        </w:rPr>
        <w:t>DIEZ</w:t>
      </w:r>
      <w:r w:rsidRPr="00E554E1">
        <w:rPr>
          <w:rFonts w:ascii="Palatino Linotype" w:eastAsia="Palatino Linotype" w:hAnsi="Palatino Linotype" w:cs="Palatino Linotype"/>
        </w:rPr>
        <w:t xml:space="preserve"> DE MAYO DE DOS MIL VEINTITRÉS, ANTE EL SECRETARIO TÉCNICO DEL PLENO ALEXIS TAPIA RAMÍREZ.</w:t>
      </w:r>
    </w:p>
    <w:p w:rsidR="006E7D3D" w:rsidRPr="00E554E1" w:rsidRDefault="006E7D3D">
      <w:pPr>
        <w:spacing w:line="360" w:lineRule="auto"/>
        <w:ind w:right="49"/>
        <w:jc w:val="both"/>
        <w:rPr>
          <w:rFonts w:ascii="Palatino Linotype" w:eastAsia="Palatino Linotype" w:hAnsi="Palatino Linotype" w:cs="Palatino Linotype"/>
        </w:rPr>
      </w:pPr>
    </w:p>
    <w:p w:rsidR="006E7D3D" w:rsidRPr="00E554E1" w:rsidRDefault="006E7D3D">
      <w:pPr>
        <w:spacing w:line="360" w:lineRule="auto"/>
        <w:ind w:right="49"/>
        <w:jc w:val="both"/>
        <w:rPr>
          <w:rFonts w:ascii="Palatino Linotype" w:eastAsia="Palatino Linotype" w:hAnsi="Palatino Linotype" w:cs="Palatino Linotype"/>
        </w:rPr>
      </w:pPr>
    </w:p>
    <w:p w:rsidR="006E7D3D" w:rsidRPr="00E554E1" w:rsidRDefault="006E7D3D">
      <w:pPr>
        <w:spacing w:line="360" w:lineRule="auto"/>
        <w:ind w:right="49"/>
        <w:jc w:val="both"/>
        <w:rPr>
          <w:rFonts w:ascii="Palatino Linotype" w:eastAsia="Palatino Linotype" w:hAnsi="Palatino Linotype" w:cs="Palatino Linotype"/>
        </w:rPr>
        <w:sectPr w:rsidR="006E7D3D" w:rsidRPr="00E554E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p>
    <w:p w:rsidR="006E7D3D" w:rsidRPr="00E554E1" w:rsidRDefault="006E7D3D">
      <w:pPr>
        <w:tabs>
          <w:tab w:val="left" w:pos="709"/>
        </w:tabs>
        <w:spacing w:before="240" w:after="240" w:line="360" w:lineRule="auto"/>
        <w:jc w:val="both"/>
        <w:rPr>
          <w:rFonts w:ascii="Palatino Linotype" w:eastAsia="Palatino Linotype" w:hAnsi="Palatino Linotype" w:cs="Palatino Linotype"/>
        </w:rPr>
      </w:pPr>
    </w:p>
    <w:p w:rsidR="006E7D3D" w:rsidRPr="00E554E1" w:rsidRDefault="006E7D3D"/>
    <w:p w:rsidR="006E7D3D" w:rsidRPr="00E554E1" w:rsidRDefault="006E7D3D"/>
    <w:sectPr w:rsidR="006E7D3D" w:rsidRPr="00E554E1">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B1" w:rsidRDefault="00F606B1">
      <w:r>
        <w:separator/>
      </w:r>
    </w:p>
  </w:endnote>
  <w:endnote w:type="continuationSeparator" w:id="0">
    <w:p w:rsidR="00F606B1" w:rsidRDefault="00F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3D" w:rsidRDefault="0088655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22DD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22DD6">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rsidR="006E7D3D" w:rsidRDefault="006E7D3D">
    <w:pPr>
      <w:pBdr>
        <w:top w:val="nil"/>
        <w:left w:val="nil"/>
        <w:bottom w:val="nil"/>
        <w:right w:val="nil"/>
        <w:between w:val="nil"/>
      </w:pBdr>
      <w:tabs>
        <w:tab w:val="center" w:pos="4252"/>
        <w:tab w:val="right" w:pos="8504"/>
      </w:tabs>
      <w:rPr>
        <w:color w:val="000000"/>
      </w:rPr>
    </w:pPr>
  </w:p>
  <w:p w:rsidR="006E7D3D" w:rsidRDefault="006E7D3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3D" w:rsidRDefault="0088655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22DD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22DD6">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rsidR="006E7D3D" w:rsidRDefault="006E7D3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B1" w:rsidRDefault="00F606B1">
      <w:r>
        <w:separator/>
      </w:r>
    </w:p>
  </w:footnote>
  <w:footnote w:type="continuationSeparator" w:id="0">
    <w:p w:rsidR="00F606B1" w:rsidRDefault="00F606B1">
      <w:r>
        <w:continuationSeparator/>
      </w:r>
    </w:p>
  </w:footnote>
  <w:footnote w:id="1">
    <w:p w:rsidR="001A150D" w:rsidRPr="00E70844" w:rsidRDefault="001A150D" w:rsidP="001A150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Porrúa,</w:t>
      </w:r>
      <w:r>
        <w:rPr>
          <w:rFonts w:ascii="Palatino Linotype" w:hAnsi="Palatino Linotype" w:cs="Arial"/>
          <w:sz w:val="16"/>
          <w:szCs w:val="16"/>
          <w:lang w:eastAsia="es-MX"/>
        </w:rPr>
        <w:t xml:space="preserve"> S.A., México. 1992. p. 115.</w:t>
      </w:r>
    </w:p>
  </w:footnote>
  <w:footnote w:id="2">
    <w:p w:rsidR="001A150D" w:rsidRPr="009064F6" w:rsidRDefault="001A150D" w:rsidP="001A150D">
      <w:pPr>
        <w:pStyle w:val="Textonotapie1"/>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1A150D" w:rsidRPr="00E70844" w:rsidRDefault="001A150D" w:rsidP="001A150D">
      <w:pPr>
        <w:pStyle w:val="Textonotapie1"/>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1A150D" w:rsidRPr="00E70844" w:rsidRDefault="001A150D" w:rsidP="001A150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1A150D" w:rsidRPr="00CE236E" w:rsidRDefault="001A150D" w:rsidP="001A150D">
      <w:pPr>
        <w:pStyle w:val="Textonotapie1"/>
        <w:jc w:val="both"/>
        <w:rPr>
          <w:rFonts w:ascii="Arial" w:hAnsi="Arial" w:cs="Arial"/>
          <w:sz w:val="16"/>
          <w:szCs w:val="16"/>
        </w:rPr>
      </w:pPr>
    </w:p>
  </w:footnote>
  <w:footnote w:id="5">
    <w:p w:rsidR="001A150D" w:rsidRPr="00E70844" w:rsidRDefault="001A150D" w:rsidP="001A150D">
      <w:pPr>
        <w:pStyle w:val="Textonotapie1"/>
        <w:jc w:val="both"/>
        <w:rPr>
          <w:rFonts w:ascii="Palatino Linotype" w:hAnsi="Palatino Linotype"/>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Ubicable en las siguientes direcciones: </w:t>
      </w:r>
      <w:hyperlink r:id="rId1" w:history="1">
        <w:r w:rsidRPr="00E70844">
          <w:rPr>
            <w:rStyle w:val="Hipervnculo1"/>
            <w:rFonts w:ascii="Palatino Linotype" w:hAnsi="Palatino Linotype" w:cs="Arial"/>
            <w:sz w:val="16"/>
            <w:szCs w:val="16"/>
          </w:rPr>
          <w:t>http://lema.rae.es/drae/?val=razonamiento</w:t>
        </w:r>
      </w:hyperlink>
      <w:r w:rsidRPr="00E70844">
        <w:rPr>
          <w:rFonts w:ascii="Palatino Linotype" w:hAnsi="Palatino Linotype" w:cs="Arial"/>
          <w:sz w:val="16"/>
          <w:szCs w:val="16"/>
        </w:rPr>
        <w:t xml:space="preserve"> y </w:t>
      </w:r>
      <w:hyperlink r:id="rId2" w:history="1">
        <w:r w:rsidRPr="00E70844">
          <w:rPr>
            <w:rStyle w:val="Hipervnculo1"/>
            <w:rFonts w:ascii="Palatino Linotype" w:hAnsi="Palatino Linotype" w:cs="Arial"/>
            <w:sz w:val="16"/>
            <w:szCs w:val="16"/>
          </w:rPr>
          <w:t>http://lema.rae.es/drae/?val=razonamiento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3D" w:rsidRDefault="0088655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-1080125</wp:posOffset>
          </wp:positionH>
          <wp:positionV relativeFrom="paragraph">
            <wp:posOffset>-450838</wp:posOffset>
          </wp:positionV>
          <wp:extent cx="7635163" cy="9944100"/>
          <wp:effectExtent l="0" t="0" r="0" b="0"/>
          <wp:wrapNone/>
          <wp:docPr id="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4"/>
      <w:tblW w:w="6240" w:type="dxa"/>
      <w:tblInd w:w="2694" w:type="dxa"/>
      <w:tblLayout w:type="fixed"/>
      <w:tblLook w:val="0400" w:firstRow="0" w:lastRow="0" w:firstColumn="0" w:lastColumn="0" w:noHBand="0" w:noVBand="1"/>
    </w:tblPr>
    <w:tblGrid>
      <w:gridCol w:w="2379"/>
      <w:gridCol w:w="3861"/>
    </w:tblGrid>
    <w:tr w:rsidR="006E7D3D">
      <w:tc>
        <w:tcPr>
          <w:tcW w:w="2379" w:type="dxa"/>
          <w:vAlign w:val="center"/>
        </w:tcPr>
        <w:p w:rsidR="006E7D3D" w:rsidRDefault="008865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60" w:type="dxa"/>
          <w:vAlign w:val="center"/>
        </w:tcPr>
        <w:p w:rsidR="006E7D3D" w:rsidRDefault="0088655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13774/INFOEM/ICR-02/IP/RR/2022 </w:t>
          </w:r>
        </w:p>
      </w:tc>
    </w:tr>
    <w:tr w:rsidR="006E7D3D">
      <w:trPr>
        <w:trHeight w:val="228"/>
      </w:trPr>
      <w:tc>
        <w:tcPr>
          <w:tcW w:w="2379" w:type="dxa"/>
          <w:vAlign w:val="center"/>
        </w:tcPr>
        <w:p w:rsidR="006E7D3D" w:rsidRDefault="008865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60" w:type="dxa"/>
          <w:vAlign w:val="center"/>
        </w:tcPr>
        <w:p w:rsidR="006E7D3D" w:rsidRDefault="0088655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6E7D3D">
      <w:tc>
        <w:tcPr>
          <w:tcW w:w="2379" w:type="dxa"/>
          <w:vAlign w:val="center"/>
        </w:tcPr>
        <w:p w:rsidR="006E7D3D" w:rsidRDefault="008865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60" w:type="dxa"/>
          <w:vAlign w:val="center"/>
        </w:tcPr>
        <w:p w:rsidR="006E7D3D" w:rsidRDefault="0088655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7D3D" w:rsidRDefault="0088655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3D" w:rsidRDefault="0088655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-1013447</wp:posOffset>
          </wp:positionH>
          <wp:positionV relativeFrom="paragraph">
            <wp:posOffset>-372099</wp:posOffset>
          </wp:positionV>
          <wp:extent cx="7635600" cy="9943200"/>
          <wp:effectExtent l="0" t="0" r="0" b="0"/>
          <wp:wrapNone/>
          <wp:docPr id="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3"/>
      <w:tblW w:w="6379" w:type="dxa"/>
      <w:tblInd w:w="2977" w:type="dxa"/>
      <w:tblLayout w:type="fixed"/>
      <w:tblLook w:val="0400" w:firstRow="0" w:lastRow="0" w:firstColumn="0" w:lastColumn="0" w:noHBand="0" w:noVBand="1"/>
    </w:tblPr>
    <w:tblGrid>
      <w:gridCol w:w="2551"/>
      <w:gridCol w:w="3828"/>
    </w:tblGrid>
    <w:tr w:rsidR="006E7D3D">
      <w:tc>
        <w:tcPr>
          <w:tcW w:w="2551" w:type="dxa"/>
          <w:vAlign w:val="center"/>
        </w:tcPr>
        <w:p w:rsidR="006E7D3D" w:rsidRDefault="008865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vAlign w:val="center"/>
        </w:tcPr>
        <w:p w:rsidR="006E7D3D" w:rsidRDefault="0088655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13774/INFOEM/ICR-02/IP/RR/2022</w:t>
          </w:r>
        </w:p>
      </w:tc>
    </w:tr>
    <w:tr w:rsidR="006E7D3D">
      <w:tc>
        <w:tcPr>
          <w:tcW w:w="2551" w:type="dxa"/>
          <w:vAlign w:val="center"/>
        </w:tcPr>
        <w:p w:rsidR="006E7D3D" w:rsidRDefault="0088655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vAlign w:val="center"/>
        </w:tcPr>
        <w:p w:rsidR="006E7D3D" w:rsidRDefault="00B22DD6" w:rsidP="00B22DD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w:t>
          </w:r>
        </w:p>
      </w:tc>
    </w:tr>
    <w:tr w:rsidR="006E7D3D">
      <w:trPr>
        <w:trHeight w:val="228"/>
      </w:trPr>
      <w:tc>
        <w:tcPr>
          <w:tcW w:w="2551" w:type="dxa"/>
          <w:vAlign w:val="center"/>
        </w:tcPr>
        <w:p w:rsidR="006E7D3D" w:rsidRDefault="008865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vAlign w:val="center"/>
        </w:tcPr>
        <w:p w:rsidR="006E7D3D" w:rsidRDefault="0088655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6E7D3D">
      <w:tc>
        <w:tcPr>
          <w:tcW w:w="2551" w:type="dxa"/>
          <w:vAlign w:val="center"/>
        </w:tcPr>
        <w:p w:rsidR="006E7D3D" w:rsidRDefault="008865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vAlign w:val="center"/>
        </w:tcPr>
        <w:p w:rsidR="006E7D3D" w:rsidRDefault="0088655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7D3D" w:rsidRDefault="006E7D3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D3D" w:rsidRDefault="0088655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6E7D3D" w:rsidRDefault="006E7D3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585E"/>
    <w:multiLevelType w:val="multilevel"/>
    <w:tmpl w:val="D1621DB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19D2D3D"/>
    <w:multiLevelType w:val="multilevel"/>
    <w:tmpl w:val="936AED2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3D5908"/>
    <w:multiLevelType w:val="multilevel"/>
    <w:tmpl w:val="A31AADB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01E346A"/>
    <w:multiLevelType w:val="multilevel"/>
    <w:tmpl w:val="036475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784094A"/>
    <w:multiLevelType w:val="multilevel"/>
    <w:tmpl w:val="20827A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3D"/>
    <w:rsid w:val="0001087C"/>
    <w:rsid w:val="0001387C"/>
    <w:rsid w:val="000B7C28"/>
    <w:rsid w:val="000C00E1"/>
    <w:rsid w:val="001252EC"/>
    <w:rsid w:val="001A150D"/>
    <w:rsid w:val="001F2627"/>
    <w:rsid w:val="00212550"/>
    <w:rsid w:val="003330EB"/>
    <w:rsid w:val="003C1D0C"/>
    <w:rsid w:val="003F5111"/>
    <w:rsid w:val="004E3E16"/>
    <w:rsid w:val="006506D5"/>
    <w:rsid w:val="00690302"/>
    <w:rsid w:val="006E7D3D"/>
    <w:rsid w:val="0071265E"/>
    <w:rsid w:val="00835A9C"/>
    <w:rsid w:val="00886556"/>
    <w:rsid w:val="00980094"/>
    <w:rsid w:val="009F18D4"/>
    <w:rsid w:val="00A67FEE"/>
    <w:rsid w:val="00B22DD6"/>
    <w:rsid w:val="00B27E79"/>
    <w:rsid w:val="00B95B68"/>
    <w:rsid w:val="00BE743F"/>
    <w:rsid w:val="00C64670"/>
    <w:rsid w:val="00CD63E9"/>
    <w:rsid w:val="00D54CFB"/>
    <w:rsid w:val="00D76380"/>
    <w:rsid w:val="00E1604C"/>
    <w:rsid w:val="00E554E1"/>
    <w:rsid w:val="00ED09C6"/>
    <w:rsid w:val="00F07E94"/>
    <w:rsid w:val="00F15CC8"/>
    <w:rsid w:val="00F606B1"/>
    <w:rsid w:val="00FE3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418EB-4252-4D6C-9C6D-9199800D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15" w:type="dxa"/>
        <w:bottom w:w="0" w:type="dxa"/>
        <w:right w:w="115" w:type="dxa"/>
      </w:tblCellMar>
    </w:tbl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1">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032CDC"/>
    <w:rPr>
      <w:b/>
      <w:bCs/>
    </w:rPr>
  </w:style>
  <w:style w:type="paragraph" w:styleId="Listaconvietas3">
    <w:name w:val="List Bullet 3"/>
    <w:basedOn w:val="Normal"/>
    <w:uiPriority w:val="99"/>
    <w:unhideWhenUsed/>
    <w:rsid w:val="004A0A64"/>
    <w:pPr>
      <w:numPr>
        <w:numId w:val="5"/>
      </w:numPr>
      <w:contextualSpacing/>
    </w:pPr>
    <w:rPr>
      <w:lang w:eastAsia="es-MX"/>
    </w:r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paragraph" w:customStyle="1" w:styleId="Textonotapie1">
    <w:name w:val="Texto nota pie1"/>
    <w:basedOn w:val="Normal"/>
    <w:next w:val="Textonotapie"/>
    <w:uiPriority w:val="99"/>
    <w:unhideWhenUsed/>
    <w:rsid w:val="00F15CC8"/>
    <w:rPr>
      <w:rFonts w:asciiTheme="minorHAnsi" w:eastAsiaTheme="minorHAnsi" w:hAnsiTheme="minorHAnsi" w:cstheme="minorBidi"/>
      <w:sz w:val="20"/>
      <w:szCs w:val="20"/>
      <w:lang w:val="es-MX" w:eastAsia="en-US"/>
    </w:rPr>
  </w:style>
  <w:style w:type="character" w:customStyle="1" w:styleId="Hipervnculo1">
    <w:name w:val="Hipervínculo1"/>
    <w:basedOn w:val="Fuentedeprrafopredeter"/>
    <w:uiPriority w:val="99"/>
    <w:unhideWhenUsed/>
    <w:rsid w:val="00F15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lema.rae.es/drae/?val=razonamiento" TargetMode="External"/><Relationship Id="rId1" Type="http://schemas.openxmlformats.org/officeDocument/2006/relationships/hyperlink" Target="http://lema.rae.es/drae/?val=razonami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LzULGX7LoC5pqa9AgmN3/tReYw==">AMUW2mUQHkS2V8uYC9ccYQj0BIfIqG6ZqO2zf7pq9XCOHKbez7/YD9Yg7Nn+7tSTQEIWq/Z86U54tB0CuHnZAtaaFB0Z5YgOmWsngD9SCXym7XmpKAnvC8Z74RNNXgwwYCoizaqmno7ui5QOePCTftZVuCUxhmPHFZK1jPNWoReO3exYXElAnzKaaTazclLOgExARYMBu3acNGpXoIPiAwT2HDn0OOsd3g==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7736</Words>
  <Characters>42548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2023-05-12T15:53:00Z</cp:lastPrinted>
  <dcterms:created xsi:type="dcterms:W3CDTF">2023-05-17T20:27:00Z</dcterms:created>
  <dcterms:modified xsi:type="dcterms:W3CDTF">2023-05-17T20:27:00Z</dcterms:modified>
</cp:coreProperties>
</file>