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EB4728" w:rsidRDefault="009F09BC" w:rsidP="009F09BC">
      <w:pPr>
        <w:tabs>
          <w:tab w:val="left" w:pos="3465"/>
        </w:tabs>
        <w:spacing w:before="240" w:after="360" w:line="360" w:lineRule="auto"/>
        <w:jc w:val="both"/>
        <w:rPr>
          <w:rFonts w:ascii="Palatino Linotype" w:hAnsi="Palatino Linotype"/>
        </w:rPr>
      </w:pPr>
      <w:r w:rsidRPr="00EB472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0141C" w:rsidRPr="00EB4728">
        <w:rPr>
          <w:rFonts w:ascii="Palatino Linotype" w:hAnsi="Palatino Linotype"/>
        </w:rPr>
        <w:t>veinticuatro</w:t>
      </w:r>
      <w:r w:rsidR="006D5738" w:rsidRPr="00EB4728">
        <w:rPr>
          <w:rFonts w:ascii="Palatino Linotype" w:hAnsi="Palatino Linotype"/>
        </w:rPr>
        <w:t xml:space="preserve"> (24)</w:t>
      </w:r>
      <w:r w:rsidR="00BB5D7F" w:rsidRPr="00EB4728">
        <w:rPr>
          <w:rFonts w:ascii="Palatino Linotype" w:hAnsi="Palatino Linotype"/>
        </w:rPr>
        <w:t xml:space="preserve"> </w:t>
      </w:r>
      <w:r w:rsidRPr="00EB4728">
        <w:rPr>
          <w:rFonts w:ascii="Palatino Linotype" w:hAnsi="Palatino Linotype"/>
        </w:rPr>
        <w:t xml:space="preserve">de </w:t>
      </w:r>
      <w:r w:rsidR="0050141C" w:rsidRPr="00EB4728">
        <w:rPr>
          <w:rFonts w:ascii="Palatino Linotype" w:hAnsi="Palatino Linotype"/>
        </w:rPr>
        <w:t>mayo</w:t>
      </w:r>
      <w:r w:rsidR="00507539" w:rsidRPr="00EB4728">
        <w:rPr>
          <w:rFonts w:ascii="Palatino Linotype" w:hAnsi="Palatino Linotype"/>
        </w:rPr>
        <w:t xml:space="preserve"> de dos mil veintitrés</w:t>
      </w:r>
      <w:r w:rsidRPr="00EB4728">
        <w:rPr>
          <w:rFonts w:ascii="Palatino Linotype" w:hAnsi="Palatino Linotype"/>
        </w:rPr>
        <w:t>.</w:t>
      </w:r>
    </w:p>
    <w:p w:rsidR="009F09BC" w:rsidRPr="00EB4728" w:rsidRDefault="009F09BC" w:rsidP="009F09BC">
      <w:pPr>
        <w:spacing w:before="240" w:after="360" w:line="360" w:lineRule="auto"/>
        <w:jc w:val="both"/>
        <w:rPr>
          <w:rFonts w:ascii="Palatino Linotype" w:hAnsi="Palatino Linotype"/>
          <w:b/>
        </w:rPr>
      </w:pPr>
      <w:r w:rsidRPr="00EB4728">
        <w:rPr>
          <w:rFonts w:ascii="Palatino Linotype" w:hAnsi="Palatino Linotype"/>
          <w:b/>
        </w:rPr>
        <w:t>VISTO</w:t>
      </w:r>
      <w:r w:rsidRPr="00EB4728">
        <w:rPr>
          <w:rFonts w:ascii="Palatino Linotype" w:hAnsi="Palatino Linotype"/>
        </w:rPr>
        <w:t xml:space="preserve"> l</w:t>
      </w:r>
      <w:r w:rsidR="005E342B" w:rsidRPr="00EB4728">
        <w:rPr>
          <w:rFonts w:ascii="Palatino Linotype" w:hAnsi="Palatino Linotype"/>
        </w:rPr>
        <w:t>os</w:t>
      </w:r>
      <w:r w:rsidRPr="00EB4728">
        <w:rPr>
          <w:rFonts w:ascii="Palatino Linotype" w:hAnsi="Palatino Linotype"/>
        </w:rPr>
        <w:t xml:space="preserve"> expediente</w:t>
      </w:r>
      <w:r w:rsidR="005E342B" w:rsidRPr="00EB4728">
        <w:rPr>
          <w:rFonts w:ascii="Palatino Linotype" w:hAnsi="Palatino Linotype"/>
        </w:rPr>
        <w:t>s</w:t>
      </w:r>
      <w:r w:rsidRPr="00EB4728">
        <w:rPr>
          <w:rFonts w:ascii="Palatino Linotype" w:hAnsi="Palatino Linotype"/>
        </w:rPr>
        <w:t xml:space="preserve"> electrónico</w:t>
      </w:r>
      <w:r w:rsidR="005E342B" w:rsidRPr="00EB4728">
        <w:rPr>
          <w:rFonts w:ascii="Palatino Linotype" w:hAnsi="Palatino Linotype"/>
        </w:rPr>
        <w:t>s</w:t>
      </w:r>
      <w:r w:rsidRPr="00EB4728">
        <w:rPr>
          <w:rFonts w:ascii="Palatino Linotype" w:hAnsi="Palatino Linotype"/>
        </w:rPr>
        <w:t xml:space="preserve"> formado</w:t>
      </w:r>
      <w:r w:rsidR="005E342B" w:rsidRPr="00EB4728">
        <w:rPr>
          <w:rFonts w:ascii="Palatino Linotype" w:hAnsi="Palatino Linotype"/>
        </w:rPr>
        <w:t>s</w:t>
      </w:r>
      <w:r w:rsidRPr="00EB4728">
        <w:rPr>
          <w:rFonts w:ascii="Palatino Linotype" w:hAnsi="Palatino Linotype"/>
        </w:rPr>
        <w:t xml:space="preserve"> con motivo de</w:t>
      </w:r>
      <w:r w:rsidR="005E342B" w:rsidRPr="00EB4728">
        <w:rPr>
          <w:rFonts w:ascii="Palatino Linotype" w:hAnsi="Palatino Linotype"/>
        </w:rPr>
        <w:t xml:space="preserve"> </w:t>
      </w:r>
      <w:r w:rsidRPr="00EB4728">
        <w:rPr>
          <w:rFonts w:ascii="Palatino Linotype" w:hAnsi="Palatino Linotype"/>
        </w:rPr>
        <w:t>l</w:t>
      </w:r>
      <w:r w:rsidR="005E342B" w:rsidRPr="00EB4728">
        <w:rPr>
          <w:rFonts w:ascii="Palatino Linotype" w:hAnsi="Palatino Linotype"/>
        </w:rPr>
        <w:t>os</w:t>
      </w:r>
      <w:r w:rsidRPr="00EB4728">
        <w:rPr>
          <w:rFonts w:ascii="Palatino Linotype" w:hAnsi="Palatino Linotype"/>
        </w:rPr>
        <w:t xml:space="preserve"> recurso de revisión </w:t>
      </w:r>
      <w:r w:rsidR="0028630D" w:rsidRPr="00EB4728">
        <w:rPr>
          <w:rFonts w:ascii="Palatino Linotype" w:hAnsi="Palatino Linotype"/>
        </w:rPr>
        <w:t>del</w:t>
      </w:r>
      <w:r w:rsidR="0028630D" w:rsidRPr="00EB4728">
        <w:rPr>
          <w:rFonts w:ascii="Palatino Linotype" w:hAnsi="Palatino Linotype"/>
          <w:b/>
        </w:rPr>
        <w:t xml:space="preserve"> 1</w:t>
      </w:r>
      <w:r w:rsidR="00653A01" w:rsidRPr="00EB4728">
        <w:rPr>
          <w:rFonts w:ascii="Palatino Linotype" w:hAnsi="Palatino Linotype"/>
          <w:b/>
        </w:rPr>
        <w:t>4933</w:t>
      </w:r>
      <w:r w:rsidR="0028630D" w:rsidRPr="00EB4728">
        <w:rPr>
          <w:rFonts w:ascii="Palatino Linotype" w:hAnsi="Palatino Linotype"/>
          <w:b/>
        </w:rPr>
        <w:t xml:space="preserve">/INFOEM/IP/RR/2022 </w:t>
      </w:r>
      <w:r w:rsidR="00653A01" w:rsidRPr="00EB4728">
        <w:rPr>
          <w:rFonts w:ascii="Palatino Linotype" w:hAnsi="Palatino Linotype"/>
          <w:b/>
        </w:rPr>
        <w:t xml:space="preserve">y </w:t>
      </w:r>
      <w:r w:rsidR="009A4135" w:rsidRPr="00EB4728">
        <w:rPr>
          <w:rFonts w:ascii="Palatino Linotype" w:hAnsi="Palatino Linotype"/>
          <w:b/>
        </w:rPr>
        <w:t>1</w:t>
      </w:r>
      <w:r w:rsidR="00653A01" w:rsidRPr="00EB4728">
        <w:rPr>
          <w:rFonts w:ascii="Palatino Linotype" w:hAnsi="Palatino Linotype"/>
          <w:b/>
        </w:rPr>
        <w:t>4934</w:t>
      </w:r>
      <w:r w:rsidR="009A4135" w:rsidRPr="00EB4728">
        <w:rPr>
          <w:rFonts w:ascii="Palatino Linotype" w:hAnsi="Palatino Linotype"/>
          <w:b/>
        </w:rPr>
        <w:t>/INFOEM/IP/RR/2022</w:t>
      </w:r>
      <w:r w:rsidR="0028630D" w:rsidRPr="00EB4728">
        <w:rPr>
          <w:rFonts w:ascii="Palatino Linotype" w:hAnsi="Palatino Linotype"/>
          <w:b/>
        </w:rPr>
        <w:t xml:space="preserve"> acumulados</w:t>
      </w:r>
      <w:r w:rsidR="005E342B" w:rsidRPr="00EB4728">
        <w:rPr>
          <w:rFonts w:ascii="Palatino Linotype" w:hAnsi="Palatino Linotype"/>
        </w:rPr>
        <w:t>,</w:t>
      </w:r>
      <w:r w:rsidRPr="00EB4728">
        <w:rPr>
          <w:rFonts w:ascii="Palatino Linotype" w:hAnsi="Palatino Linotype" w:cs="Arial"/>
          <w:b/>
          <w:bCs/>
        </w:rPr>
        <w:t xml:space="preserve"> </w:t>
      </w:r>
      <w:r w:rsidRPr="00EB4728">
        <w:rPr>
          <w:rFonts w:ascii="Palatino Linotype" w:hAnsi="Palatino Linotype"/>
        </w:rPr>
        <w:t>promovido</w:t>
      </w:r>
      <w:r w:rsidR="005E342B" w:rsidRPr="00EB4728">
        <w:rPr>
          <w:rFonts w:ascii="Palatino Linotype" w:hAnsi="Palatino Linotype"/>
        </w:rPr>
        <w:t>s</w:t>
      </w:r>
      <w:r w:rsidRPr="00EB4728">
        <w:rPr>
          <w:rFonts w:ascii="Palatino Linotype" w:hAnsi="Palatino Linotype"/>
        </w:rPr>
        <w:t xml:space="preserve"> por </w:t>
      </w:r>
      <w:r w:rsidR="006D5738" w:rsidRPr="00EB4728">
        <w:rPr>
          <w:rFonts w:ascii="Palatino Linotype" w:hAnsi="Palatino Linotype"/>
          <w:b/>
        </w:rPr>
        <w:t>un particular quien</w:t>
      </w:r>
      <w:r w:rsidR="00195954" w:rsidRPr="00EB4728">
        <w:rPr>
          <w:rFonts w:ascii="Palatino Linotype" w:hAnsi="Palatino Linotype"/>
          <w:b/>
        </w:rPr>
        <w:t xml:space="preserve"> no proporciono datos de identificación</w:t>
      </w:r>
      <w:r w:rsidRPr="00EB4728">
        <w:rPr>
          <w:rFonts w:ascii="Palatino Linotype" w:hAnsi="Palatino Linotype"/>
        </w:rPr>
        <w:t xml:space="preserve">, a quien en lo sucesivo se le identificará como </w:t>
      </w:r>
      <w:r w:rsidR="00FF73DB" w:rsidRPr="00EB4728">
        <w:rPr>
          <w:rFonts w:ascii="Palatino Linotype" w:hAnsi="Palatino Linotype"/>
          <w:b/>
        </w:rPr>
        <w:t>EL RECURRENTE</w:t>
      </w:r>
      <w:r w:rsidRPr="00EB4728">
        <w:rPr>
          <w:rFonts w:ascii="Palatino Linotype" w:hAnsi="Palatino Linotype" w:cs="Arial"/>
        </w:rPr>
        <w:t>, en contra de la</w:t>
      </w:r>
      <w:r w:rsidR="005E342B" w:rsidRPr="00EB4728">
        <w:rPr>
          <w:rFonts w:ascii="Palatino Linotype" w:hAnsi="Palatino Linotype" w:cs="Arial"/>
        </w:rPr>
        <w:t>s</w:t>
      </w:r>
      <w:r w:rsidRPr="00EB4728">
        <w:rPr>
          <w:rFonts w:ascii="Palatino Linotype" w:hAnsi="Palatino Linotype" w:cs="Arial"/>
        </w:rPr>
        <w:t xml:space="preserve"> respuesta</w:t>
      </w:r>
      <w:r w:rsidR="005E342B" w:rsidRPr="00EB4728">
        <w:rPr>
          <w:rFonts w:ascii="Palatino Linotype" w:hAnsi="Palatino Linotype" w:cs="Arial"/>
        </w:rPr>
        <w:t>s</w:t>
      </w:r>
      <w:r w:rsidRPr="00EB4728">
        <w:rPr>
          <w:rFonts w:ascii="Palatino Linotype" w:hAnsi="Palatino Linotype" w:cs="Arial"/>
        </w:rPr>
        <w:t xml:space="preserve"> del </w:t>
      </w:r>
      <w:r w:rsidR="00653A01" w:rsidRPr="00EB4728">
        <w:rPr>
          <w:rFonts w:ascii="Palatino Linotype" w:hAnsi="Palatino Linotype" w:cs="Arial"/>
          <w:b/>
        </w:rPr>
        <w:t>Hospital Regional de Alta Especialidad de Zumpango</w:t>
      </w:r>
      <w:r w:rsidRPr="00EB4728">
        <w:rPr>
          <w:rFonts w:ascii="Palatino Linotype" w:hAnsi="Palatino Linotype" w:cs="Arial"/>
          <w:b/>
        </w:rPr>
        <w:t>,</w:t>
      </w:r>
      <w:r w:rsidRPr="00EB4728">
        <w:rPr>
          <w:rFonts w:ascii="Palatino Linotype" w:hAnsi="Palatino Linotype"/>
          <w:b/>
        </w:rPr>
        <w:t xml:space="preserve"> </w:t>
      </w:r>
      <w:r w:rsidRPr="00EB4728">
        <w:rPr>
          <w:rFonts w:ascii="Palatino Linotype" w:hAnsi="Palatino Linotype"/>
        </w:rPr>
        <w:t xml:space="preserve">en </w:t>
      </w:r>
      <w:r w:rsidR="00FF4254" w:rsidRPr="00EB4728">
        <w:rPr>
          <w:rFonts w:ascii="Palatino Linotype" w:hAnsi="Palatino Linotype"/>
        </w:rPr>
        <w:t>adelante</w:t>
      </w:r>
      <w:r w:rsidRPr="00EB4728">
        <w:rPr>
          <w:rFonts w:ascii="Palatino Linotype" w:hAnsi="Palatino Linotype"/>
        </w:rPr>
        <w:t xml:space="preserve"> el</w:t>
      </w:r>
      <w:r w:rsidRPr="00EB4728">
        <w:rPr>
          <w:rFonts w:ascii="Palatino Linotype" w:hAnsi="Palatino Linotype"/>
          <w:b/>
        </w:rPr>
        <w:t xml:space="preserve"> SUJETO OBLIGADO</w:t>
      </w:r>
      <w:r w:rsidRPr="00EB4728">
        <w:rPr>
          <w:rFonts w:ascii="Palatino Linotype" w:hAnsi="Palatino Linotype"/>
        </w:rPr>
        <w:t>, se procede a dictar la presente resolución, con base en los siguientes:</w:t>
      </w:r>
    </w:p>
    <w:p w:rsidR="009F09BC" w:rsidRPr="00EB4728"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EB4728">
        <w:rPr>
          <w:rFonts w:ascii="Palatino Linotype" w:hAnsi="Palatino Linotype"/>
          <w:b/>
          <w:color w:val="000000" w:themeColor="text1"/>
          <w:sz w:val="24"/>
          <w:szCs w:val="24"/>
        </w:rPr>
        <w:t>ANTECEDENTES</w:t>
      </w:r>
      <w:bookmarkEnd w:id="0"/>
      <w:bookmarkEnd w:id="1"/>
      <w:bookmarkEnd w:id="2"/>
    </w:p>
    <w:p w:rsidR="009F09BC" w:rsidRPr="00EB4728" w:rsidRDefault="009F09BC" w:rsidP="004F094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EB4728">
        <w:rPr>
          <w:rFonts w:ascii="Palatino Linotype" w:eastAsia="Calibri" w:hAnsi="Palatino Linotype" w:cs="Arial"/>
          <w:lang w:val="es-ES"/>
        </w:rPr>
        <w:t xml:space="preserve">El día </w:t>
      </w:r>
      <w:r w:rsidR="00E90454" w:rsidRPr="00EB4728">
        <w:rPr>
          <w:rFonts w:ascii="Palatino Linotype" w:eastAsia="Calibri" w:hAnsi="Palatino Linotype" w:cs="Arial"/>
          <w:lang w:val="es-ES"/>
        </w:rPr>
        <w:t>veinti</w:t>
      </w:r>
      <w:r w:rsidR="00E83081" w:rsidRPr="00EB4728">
        <w:rPr>
          <w:rFonts w:ascii="Palatino Linotype" w:eastAsia="Calibri" w:hAnsi="Palatino Linotype" w:cs="Arial"/>
          <w:lang w:val="es-ES"/>
        </w:rPr>
        <w:t>nueve</w:t>
      </w:r>
      <w:r w:rsidRPr="00EB4728">
        <w:rPr>
          <w:rFonts w:ascii="Palatino Linotype" w:eastAsia="Calibri" w:hAnsi="Palatino Linotype" w:cs="Arial"/>
          <w:lang w:val="es-ES"/>
        </w:rPr>
        <w:t xml:space="preserve"> de </w:t>
      </w:r>
      <w:r w:rsidR="00E83081" w:rsidRPr="00EB4728">
        <w:rPr>
          <w:rFonts w:ascii="Palatino Linotype" w:eastAsia="Calibri" w:hAnsi="Palatino Linotype" w:cs="Arial"/>
          <w:lang w:val="es-ES"/>
        </w:rPr>
        <w:t>agost</w:t>
      </w:r>
      <w:r w:rsidR="00E90454" w:rsidRPr="00EB4728">
        <w:rPr>
          <w:rFonts w:ascii="Palatino Linotype" w:eastAsia="Calibri" w:hAnsi="Palatino Linotype" w:cs="Arial"/>
          <w:lang w:val="es-ES"/>
        </w:rPr>
        <w:t>o</w:t>
      </w:r>
      <w:r w:rsidR="00E61C13" w:rsidRPr="00EB4728">
        <w:rPr>
          <w:rFonts w:ascii="Palatino Linotype" w:eastAsia="Calibri" w:hAnsi="Palatino Linotype" w:cs="Arial"/>
          <w:lang w:val="es-ES"/>
        </w:rPr>
        <w:t xml:space="preserve"> de dos mil veintidós</w:t>
      </w:r>
      <w:r w:rsidRPr="00EB4728">
        <w:rPr>
          <w:rFonts w:ascii="Palatino Linotype" w:hAnsi="Palatino Linotype"/>
          <w:b/>
        </w:rPr>
        <w:t xml:space="preserve">, </w:t>
      </w:r>
      <w:r w:rsidRPr="00EB4728">
        <w:rPr>
          <w:rFonts w:ascii="Palatino Linotype" w:eastAsia="Calibri" w:hAnsi="Palatino Linotype" w:cs="Arial"/>
          <w:lang w:val="es-ES"/>
        </w:rPr>
        <w:t xml:space="preserve">se presentó ante el </w:t>
      </w:r>
      <w:r w:rsidRPr="00EB4728">
        <w:rPr>
          <w:rFonts w:ascii="Palatino Linotype" w:eastAsia="Calibri" w:hAnsi="Palatino Linotype" w:cs="Arial"/>
          <w:b/>
          <w:lang w:val="es-ES"/>
        </w:rPr>
        <w:t>SUJETO OBLIGADO</w:t>
      </w:r>
      <w:r w:rsidRPr="00EB4728">
        <w:rPr>
          <w:rFonts w:ascii="Palatino Linotype" w:eastAsia="Calibri" w:hAnsi="Palatino Linotype" w:cs="Arial"/>
        </w:rPr>
        <w:t xml:space="preserve"> vía </w:t>
      </w:r>
      <w:r w:rsidR="008A699B" w:rsidRPr="00EB4728">
        <w:rPr>
          <w:rFonts w:ascii="Palatino Linotype" w:eastAsia="Calibri" w:hAnsi="Palatino Linotype" w:cs="Arial"/>
          <w:lang w:val="es-ES"/>
        </w:rPr>
        <w:t>SAIMEX, la</w:t>
      </w:r>
      <w:r w:rsidR="004F094F" w:rsidRPr="00EB4728">
        <w:rPr>
          <w:rFonts w:ascii="Palatino Linotype" w:eastAsia="Calibri" w:hAnsi="Palatino Linotype" w:cs="Arial"/>
          <w:lang w:val="es-ES"/>
        </w:rPr>
        <w:t>s</w:t>
      </w:r>
      <w:r w:rsidR="008A699B" w:rsidRPr="00EB4728">
        <w:rPr>
          <w:rFonts w:ascii="Palatino Linotype" w:eastAsia="Calibri" w:hAnsi="Palatino Linotype" w:cs="Arial"/>
          <w:lang w:val="es-ES"/>
        </w:rPr>
        <w:t xml:space="preserve"> solicitud</w:t>
      </w:r>
      <w:r w:rsidR="004F094F" w:rsidRPr="00EB4728">
        <w:rPr>
          <w:rFonts w:ascii="Palatino Linotype" w:eastAsia="Calibri" w:hAnsi="Palatino Linotype" w:cs="Arial"/>
          <w:lang w:val="es-ES"/>
        </w:rPr>
        <w:t>es</w:t>
      </w:r>
      <w:r w:rsidRPr="00EB4728">
        <w:rPr>
          <w:rFonts w:ascii="Palatino Linotype" w:eastAsia="Calibri" w:hAnsi="Palatino Linotype" w:cs="Arial"/>
          <w:lang w:val="es-ES"/>
        </w:rPr>
        <w:t xml:space="preserve"> de información pública</w:t>
      </w:r>
      <w:r w:rsidR="004F094F" w:rsidRPr="00EB4728">
        <w:rPr>
          <w:rFonts w:ascii="Palatino Linotype" w:eastAsia="Calibri" w:hAnsi="Palatino Linotype" w:cs="Arial"/>
          <w:lang w:val="es-ES"/>
        </w:rPr>
        <w:t>s</w:t>
      </w:r>
      <w:r w:rsidR="008A699B" w:rsidRPr="00EB4728">
        <w:rPr>
          <w:rFonts w:ascii="Palatino Linotype" w:eastAsia="Calibri" w:hAnsi="Palatino Linotype" w:cs="Arial"/>
          <w:lang w:val="es-ES"/>
        </w:rPr>
        <w:t xml:space="preserve"> registrada</w:t>
      </w:r>
      <w:r w:rsidR="004F094F" w:rsidRPr="00EB4728">
        <w:rPr>
          <w:rFonts w:ascii="Palatino Linotype" w:eastAsia="Calibri" w:hAnsi="Palatino Linotype" w:cs="Arial"/>
          <w:lang w:val="es-ES"/>
        </w:rPr>
        <w:t>s</w:t>
      </w:r>
      <w:r w:rsidRPr="00EB4728">
        <w:rPr>
          <w:rFonts w:ascii="Palatino Linotype" w:eastAsia="Calibri" w:hAnsi="Palatino Linotype" w:cs="Arial"/>
          <w:lang w:val="es-ES"/>
        </w:rPr>
        <w:t xml:space="preserve"> con </w:t>
      </w:r>
      <w:r w:rsidR="008A699B" w:rsidRPr="00EB4728">
        <w:rPr>
          <w:rFonts w:ascii="Palatino Linotype" w:eastAsia="Calibri" w:hAnsi="Palatino Linotype" w:cs="Arial"/>
          <w:lang w:val="es-ES"/>
        </w:rPr>
        <w:t>l</w:t>
      </w:r>
      <w:r w:rsidR="004F094F" w:rsidRPr="00EB4728">
        <w:rPr>
          <w:rFonts w:ascii="Palatino Linotype" w:eastAsia="Calibri" w:hAnsi="Palatino Linotype" w:cs="Arial"/>
          <w:lang w:val="es-ES"/>
        </w:rPr>
        <w:t>os</w:t>
      </w:r>
      <w:r w:rsidR="008A699B" w:rsidRPr="00EB4728">
        <w:rPr>
          <w:rFonts w:ascii="Palatino Linotype" w:eastAsia="Calibri" w:hAnsi="Palatino Linotype" w:cs="Arial"/>
          <w:lang w:val="es-ES"/>
        </w:rPr>
        <w:t xml:space="preserve"> </w:t>
      </w:r>
      <w:r w:rsidRPr="00EB4728">
        <w:rPr>
          <w:rFonts w:ascii="Palatino Linotype" w:eastAsia="Calibri" w:hAnsi="Palatino Linotype" w:cs="Arial"/>
          <w:lang w:val="es-ES"/>
        </w:rPr>
        <w:t>número</w:t>
      </w:r>
      <w:r w:rsidR="004F094F" w:rsidRPr="00EB4728">
        <w:rPr>
          <w:rFonts w:ascii="Palatino Linotype" w:eastAsia="Calibri" w:hAnsi="Palatino Linotype" w:cs="Arial"/>
          <w:lang w:val="es-ES"/>
        </w:rPr>
        <w:t>s</w:t>
      </w:r>
      <w:r w:rsidRPr="00EB4728">
        <w:rPr>
          <w:rFonts w:ascii="Palatino Linotype" w:hAnsi="Palatino Linotype"/>
          <w:b/>
          <w:bCs/>
          <w:color w:val="000000" w:themeColor="text1"/>
        </w:rPr>
        <w:t xml:space="preserve"> </w:t>
      </w:r>
      <w:r w:rsidR="007169D8" w:rsidRPr="00EB4728">
        <w:rPr>
          <w:rFonts w:ascii="Palatino Linotype" w:hAnsi="Palatino Linotype"/>
          <w:bCs/>
          <w:color w:val="000000" w:themeColor="text1"/>
        </w:rPr>
        <w:t>siguientes</w:t>
      </w:r>
      <w:r w:rsidR="00E90454" w:rsidRPr="00EB4728">
        <w:rPr>
          <w:rFonts w:ascii="Palatino Linotype" w:hAnsi="Palatino Linotype"/>
          <w:bCs/>
          <w:color w:val="000000" w:themeColor="text1"/>
        </w:rPr>
        <w:t>,</w:t>
      </w:r>
      <w:r w:rsidRPr="00EB4728">
        <w:rPr>
          <w:rFonts w:ascii="Palatino Linotype" w:hAnsi="Palatino Linotype"/>
          <w:b/>
          <w:bCs/>
          <w:color w:val="000000" w:themeColor="text1"/>
        </w:rPr>
        <w:t xml:space="preserve"> </w:t>
      </w:r>
      <w:r w:rsidRPr="00EB4728">
        <w:rPr>
          <w:rFonts w:ascii="Palatino Linotype" w:eastAsia="Calibri" w:hAnsi="Palatino Linotype" w:cs="Arial"/>
          <w:lang w:val="es-ES"/>
        </w:rPr>
        <w:t>mediante la</w:t>
      </w:r>
      <w:r w:rsidR="00954CD6" w:rsidRPr="00EB4728">
        <w:rPr>
          <w:rFonts w:ascii="Palatino Linotype" w:eastAsia="Calibri" w:hAnsi="Palatino Linotype" w:cs="Arial"/>
          <w:lang w:val="es-ES"/>
        </w:rPr>
        <w:t>s</w:t>
      </w:r>
      <w:r w:rsidRPr="00EB4728">
        <w:rPr>
          <w:rFonts w:ascii="Palatino Linotype" w:eastAsia="Calibri" w:hAnsi="Palatino Linotype" w:cs="Arial"/>
          <w:lang w:val="es-ES"/>
        </w:rPr>
        <w:t xml:space="preserve"> cual</w:t>
      </w:r>
      <w:r w:rsidR="00954CD6" w:rsidRPr="00EB4728">
        <w:rPr>
          <w:rFonts w:ascii="Palatino Linotype" w:eastAsia="Calibri" w:hAnsi="Palatino Linotype" w:cs="Arial"/>
          <w:lang w:val="es-ES"/>
        </w:rPr>
        <w:t>es</w:t>
      </w:r>
      <w:r w:rsidRPr="00EB4728">
        <w:rPr>
          <w:rFonts w:ascii="Palatino Linotype" w:eastAsia="Calibri" w:hAnsi="Palatino Linotype" w:cs="Arial"/>
          <w:lang w:val="es-ES"/>
        </w:rPr>
        <w:t xml:space="preserve"> se solicitó la siguiente información:</w:t>
      </w:r>
    </w:p>
    <w:tbl>
      <w:tblPr>
        <w:tblStyle w:val="Tablaconcuadrcula"/>
        <w:tblW w:w="0" w:type="auto"/>
        <w:tblLook w:val="04A0" w:firstRow="1" w:lastRow="0" w:firstColumn="1" w:lastColumn="0" w:noHBand="0" w:noVBand="1"/>
      </w:tblPr>
      <w:tblGrid>
        <w:gridCol w:w="3282"/>
        <w:gridCol w:w="5546"/>
      </w:tblGrid>
      <w:tr w:rsidR="007169D8" w:rsidRPr="00EB4728" w:rsidTr="00E83081">
        <w:tc>
          <w:tcPr>
            <w:tcW w:w="3282" w:type="dxa"/>
          </w:tcPr>
          <w:p w:rsidR="007169D8" w:rsidRPr="00EB4728" w:rsidRDefault="007169D8" w:rsidP="000537B5">
            <w:pPr>
              <w:jc w:val="center"/>
              <w:rPr>
                <w:rFonts w:ascii="Palatino Linotype" w:hAnsi="Palatino Linotype"/>
                <w:b/>
              </w:rPr>
            </w:pPr>
            <w:r w:rsidRPr="00EB4728">
              <w:rPr>
                <w:rFonts w:ascii="Palatino Linotype" w:hAnsi="Palatino Linotype"/>
                <w:b/>
              </w:rPr>
              <w:t>Número de solicitud</w:t>
            </w:r>
          </w:p>
        </w:tc>
        <w:tc>
          <w:tcPr>
            <w:tcW w:w="5546" w:type="dxa"/>
          </w:tcPr>
          <w:p w:rsidR="007169D8" w:rsidRPr="00EB4728" w:rsidRDefault="007169D8" w:rsidP="000537B5">
            <w:pPr>
              <w:jc w:val="center"/>
              <w:rPr>
                <w:rFonts w:ascii="Palatino Linotype" w:hAnsi="Palatino Linotype"/>
                <w:b/>
              </w:rPr>
            </w:pPr>
            <w:r w:rsidRPr="00EB4728">
              <w:rPr>
                <w:rFonts w:ascii="Palatino Linotype" w:hAnsi="Palatino Linotype"/>
                <w:b/>
              </w:rPr>
              <w:t>Requerimiento</w:t>
            </w:r>
          </w:p>
        </w:tc>
      </w:tr>
      <w:tr w:rsidR="007169D8" w:rsidRPr="00EB4728" w:rsidTr="00E83081">
        <w:tc>
          <w:tcPr>
            <w:tcW w:w="3282" w:type="dxa"/>
          </w:tcPr>
          <w:p w:rsidR="007169D8" w:rsidRPr="00EB4728" w:rsidRDefault="00E83081" w:rsidP="000537B5">
            <w:pPr>
              <w:rPr>
                <w:rFonts w:ascii="Palatino Linotype" w:hAnsi="Palatino Linotype"/>
              </w:rPr>
            </w:pPr>
            <w:r w:rsidRPr="00EB4728">
              <w:rPr>
                <w:rFonts w:ascii="Palatino Linotype" w:hAnsi="Palatino Linotype"/>
                <w:color w:val="000000"/>
              </w:rPr>
              <w:t>00108/HRZUM/IP/2022</w:t>
            </w:r>
          </w:p>
        </w:tc>
        <w:tc>
          <w:tcPr>
            <w:tcW w:w="5546" w:type="dxa"/>
          </w:tcPr>
          <w:p w:rsidR="007169D8" w:rsidRPr="00EB4728" w:rsidRDefault="00E83081" w:rsidP="000537B5">
            <w:pPr>
              <w:jc w:val="both"/>
              <w:rPr>
                <w:rFonts w:ascii="Palatino Linotype" w:hAnsi="Palatino Linotype"/>
                <w:i/>
              </w:rPr>
            </w:pPr>
            <w:r w:rsidRPr="00EB4728">
              <w:rPr>
                <w:rFonts w:ascii="Palatino Linotype" w:hAnsi="Palatino Linotype"/>
                <w:i/>
              </w:rPr>
              <w:t xml:space="preserve">Del Órgano Interno de Control del Hospital Regional de Alta Especialidad de Zumpango, se solicita: 1. Descripción pormenorizada de las quejas y denuncias recibidas en los años 2020, 2021 y 2022, donde se deberá especificar cuántas se realizaron por mes, motivo, etc . Deberá puntualizar contra quien o quienes se realizaron </w:t>
            </w:r>
            <w:r w:rsidRPr="00EB4728">
              <w:rPr>
                <w:rFonts w:ascii="Palatino Linotype" w:hAnsi="Palatino Linotype"/>
                <w:i/>
              </w:rPr>
              <w:lastRenderedPageBreak/>
              <w:t>las denuncias y motivo, así como el resultado de las que ya hayan finalizado. 2. Copia completa e íntegra de los expedientes de investigación que se hayan archivado por falta de elementos, que ya no tengan actividad procesal administrativa, o hayan finalizado en el 2020, 2021 y 2022, especificando el tipo de responsabilidad que se determinó. 3. Copia del título y cédula profesional del personal que conforma el Órgano Interno de Control del Hospital Regional de Alta Especialidad de Zumpango, copia de su contrato individual o colectivo de trabajo, así como de sus funciones específicas y asignaciones de cada uno de ellos; también copia del medio por el cual se les avisaron de esas funciones y asignaciones.</w:t>
            </w:r>
          </w:p>
          <w:p w:rsidR="007169D8" w:rsidRPr="00EB4728" w:rsidRDefault="007169D8" w:rsidP="000537B5">
            <w:pPr>
              <w:jc w:val="both"/>
              <w:rPr>
                <w:rFonts w:ascii="Palatino Linotype" w:hAnsi="Palatino Linotype"/>
                <w:i/>
              </w:rPr>
            </w:pPr>
          </w:p>
        </w:tc>
      </w:tr>
      <w:tr w:rsidR="007169D8" w:rsidRPr="00EB4728" w:rsidTr="00E83081">
        <w:tc>
          <w:tcPr>
            <w:tcW w:w="3282" w:type="dxa"/>
          </w:tcPr>
          <w:p w:rsidR="007169D8" w:rsidRPr="00EB4728" w:rsidRDefault="00E83081" w:rsidP="000537B5">
            <w:pPr>
              <w:rPr>
                <w:rFonts w:ascii="Palatino Linotype" w:hAnsi="Palatino Linotype"/>
              </w:rPr>
            </w:pPr>
            <w:r w:rsidRPr="00EB4728">
              <w:rPr>
                <w:rFonts w:ascii="Palatino Linotype" w:hAnsi="Palatino Linotype"/>
              </w:rPr>
              <w:lastRenderedPageBreak/>
              <w:t>00109/HRZUM/IP/2022</w:t>
            </w:r>
          </w:p>
        </w:tc>
        <w:tc>
          <w:tcPr>
            <w:tcW w:w="5546" w:type="dxa"/>
          </w:tcPr>
          <w:p w:rsidR="007169D8" w:rsidRPr="00EB4728" w:rsidRDefault="00E83081" w:rsidP="000537B5">
            <w:pPr>
              <w:jc w:val="both"/>
              <w:rPr>
                <w:rFonts w:ascii="Palatino Linotype" w:hAnsi="Palatino Linotype"/>
                <w:i/>
              </w:rPr>
            </w:pPr>
            <w:r w:rsidRPr="00EB4728">
              <w:rPr>
                <w:rFonts w:ascii="Palatino Linotype" w:hAnsi="Palatino Linotype"/>
                <w:i/>
              </w:rPr>
              <w:t xml:space="preserve">Del Órgano Interno de Control del Hospital Regional de Alta Especialidad de Zumpango, se solicita: Copia integra y completa de los informes que ha emitido respecto de la presunta responsabilidad de servidores públicos de los años 2020, 2021 y 2022, por faltas graves y no graves. Copia completa e íntegra de las actas del Comité de Adquisiciones y Servicios en los que haya participado el titular del órgano interno de control en el año 2020, 2021 y 2022, así como copia de las carpetas de entrega y recepción de los procesos atendidos de los mismos años y sus respectivas actas de entrega. </w:t>
            </w:r>
          </w:p>
          <w:p w:rsidR="00E83081" w:rsidRPr="00EB4728" w:rsidRDefault="00E83081" w:rsidP="000537B5">
            <w:pPr>
              <w:jc w:val="both"/>
              <w:rPr>
                <w:rFonts w:ascii="Palatino Linotype" w:hAnsi="Palatino Linotype"/>
                <w:i/>
              </w:rPr>
            </w:pPr>
          </w:p>
        </w:tc>
      </w:tr>
    </w:tbl>
    <w:p w:rsidR="00E83081" w:rsidRPr="00EB4728" w:rsidRDefault="00E83081" w:rsidP="00E83081">
      <w:pPr>
        <w:pStyle w:val="Prrafodelista"/>
        <w:spacing w:line="360" w:lineRule="auto"/>
        <w:ind w:left="851" w:right="34"/>
        <w:jc w:val="both"/>
        <w:rPr>
          <w:rFonts w:ascii="Palatino Linotype" w:hAnsi="Palatino Linotype"/>
        </w:rPr>
      </w:pPr>
    </w:p>
    <w:p w:rsidR="009F09BC" w:rsidRPr="00EB4728" w:rsidRDefault="009F09BC" w:rsidP="00C85059">
      <w:pPr>
        <w:pStyle w:val="Prrafodelista"/>
        <w:numPr>
          <w:ilvl w:val="0"/>
          <w:numId w:val="2"/>
        </w:numPr>
        <w:spacing w:line="360" w:lineRule="auto"/>
        <w:ind w:left="851" w:right="34"/>
        <w:jc w:val="both"/>
        <w:rPr>
          <w:rFonts w:ascii="Palatino Linotype" w:hAnsi="Palatino Linotype"/>
        </w:rPr>
      </w:pPr>
      <w:r w:rsidRPr="00EB4728">
        <w:rPr>
          <w:rFonts w:ascii="Palatino Linotype" w:eastAsia="Times New Roman" w:hAnsi="Palatino Linotype" w:cs="Arial"/>
          <w:lang w:val="es-ES"/>
        </w:rPr>
        <w:t>Se eligió como modalidad de entrega de la información</w:t>
      </w:r>
      <w:r w:rsidRPr="00EB4728">
        <w:rPr>
          <w:rFonts w:ascii="Palatino Linotype" w:hAnsi="Palatino Linotype"/>
        </w:rPr>
        <w:t xml:space="preserve">: A través del </w:t>
      </w:r>
      <w:r w:rsidRPr="00EB4728">
        <w:rPr>
          <w:rFonts w:ascii="Palatino Linotype" w:hAnsi="Palatino Linotype"/>
          <w:b/>
        </w:rPr>
        <w:t>SAIMEX</w:t>
      </w:r>
      <w:r w:rsidR="0069487D" w:rsidRPr="00EB4728">
        <w:rPr>
          <w:rFonts w:ascii="Palatino Linotype" w:hAnsi="Palatino Linotype"/>
          <w:b/>
        </w:rPr>
        <w:t>.</w:t>
      </w:r>
    </w:p>
    <w:p w:rsidR="0069487D" w:rsidRPr="00EB4728" w:rsidRDefault="0069487D" w:rsidP="0069487D">
      <w:pPr>
        <w:pStyle w:val="Prrafodelista"/>
        <w:spacing w:line="360" w:lineRule="auto"/>
        <w:ind w:left="851" w:right="34"/>
        <w:jc w:val="both"/>
        <w:rPr>
          <w:rFonts w:ascii="Palatino Linotype" w:hAnsi="Palatino Linotype"/>
        </w:rPr>
      </w:pPr>
    </w:p>
    <w:p w:rsidR="00E61C13" w:rsidRPr="00EB4728" w:rsidRDefault="00FF1F09" w:rsidP="00FF1F0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B4728">
        <w:rPr>
          <w:rFonts w:ascii="Palatino Linotype" w:hAnsi="Palatino Linotype" w:cs="Arial"/>
          <w:color w:val="000000" w:themeColor="text1"/>
        </w:rPr>
        <w:lastRenderedPageBreak/>
        <w:t>Los días ocho y doce de septiembre</w:t>
      </w:r>
      <w:r w:rsidR="00E90454" w:rsidRPr="00EB4728">
        <w:rPr>
          <w:rFonts w:ascii="Palatino Linotype" w:hAnsi="Palatino Linotype" w:cs="Arial"/>
          <w:color w:val="000000" w:themeColor="text1"/>
        </w:rPr>
        <w:t xml:space="preserve"> de dos mil veintidós, el </w:t>
      </w:r>
      <w:r w:rsidR="00E90454" w:rsidRPr="00EB4728">
        <w:rPr>
          <w:rFonts w:ascii="Palatino Linotype" w:hAnsi="Palatino Linotype" w:cs="Arial"/>
          <w:b/>
          <w:color w:val="000000" w:themeColor="text1"/>
        </w:rPr>
        <w:t>SUJETO OBLIGADO</w:t>
      </w:r>
      <w:r w:rsidR="009F09BC" w:rsidRPr="00EB4728">
        <w:rPr>
          <w:rFonts w:ascii="Palatino Linotype" w:hAnsi="Palatino Linotype" w:cs="Arial"/>
          <w:color w:val="000000" w:themeColor="text1"/>
        </w:rPr>
        <w:t xml:space="preserve"> dio respuesta</w:t>
      </w:r>
      <w:r w:rsidR="00745DB7" w:rsidRPr="00EB4728">
        <w:rPr>
          <w:rFonts w:ascii="Palatino Linotype" w:hAnsi="Palatino Linotype" w:cs="Arial"/>
          <w:color w:val="000000" w:themeColor="text1"/>
        </w:rPr>
        <w:t>s</w:t>
      </w:r>
      <w:r w:rsidR="009F09BC" w:rsidRPr="00EB4728">
        <w:rPr>
          <w:rFonts w:ascii="Palatino Linotype" w:hAnsi="Palatino Linotype" w:cs="Arial"/>
          <w:color w:val="000000" w:themeColor="text1"/>
        </w:rPr>
        <w:t xml:space="preserve"> a la</w:t>
      </w:r>
      <w:r w:rsidR="00745DB7" w:rsidRPr="00EB4728">
        <w:rPr>
          <w:rFonts w:ascii="Palatino Linotype" w:hAnsi="Palatino Linotype" w:cs="Arial"/>
          <w:color w:val="000000" w:themeColor="text1"/>
        </w:rPr>
        <w:t>s</w:t>
      </w:r>
      <w:r w:rsidR="009F09BC" w:rsidRPr="00EB4728">
        <w:rPr>
          <w:rFonts w:ascii="Palatino Linotype" w:hAnsi="Palatino Linotype" w:cs="Arial"/>
          <w:color w:val="000000" w:themeColor="text1"/>
        </w:rPr>
        <w:t xml:space="preserve"> solicitud</w:t>
      </w:r>
      <w:r w:rsidR="00745DB7" w:rsidRPr="00EB4728">
        <w:rPr>
          <w:rFonts w:ascii="Palatino Linotype" w:hAnsi="Palatino Linotype" w:cs="Arial"/>
          <w:color w:val="000000" w:themeColor="text1"/>
        </w:rPr>
        <w:t>es</w:t>
      </w:r>
      <w:r w:rsidR="009F09BC" w:rsidRPr="00EB4728">
        <w:rPr>
          <w:rFonts w:ascii="Palatino Linotype" w:hAnsi="Palatino Linotype" w:cs="Arial"/>
          <w:color w:val="000000" w:themeColor="text1"/>
        </w:rPr>
        <w:t xml:space="preserve"> de información </w:t>
      </w:r>
      <w:r w:rsidR="004F094F" w:rsidRPr="00EB4728">
        <w:rPr>
          <w:rFonts w:ascii="Palatino Linotype" w:hAnsi="Palatino Linotype" w:cs="Arial"/>
          <w:color w:val="000000" w:themeColor="text1"/>
        </w:rPr>
        <w:t xml:space="preserve"> </w:t>
      </w:r>
      <w:r w:rsidR="00F347DB" w:rsidRPr="00EB4728">
        <w:rPr>
          <w:rFonts w:ascii="Palatino Linotype" w:hAnsi="Palatino Linotype" w:cs="Arial"/>
          <w:i/>
          <w:color w:val="000000" w:themeColor="text1"/>
        </w:rPr>
        <w:t xml:space="preserve">grosso modo </w:t>
      </w:r>
      <w:r w:rsidR="00745DB7" w:rsidRPr="00EB4728">
        <w:rPr>
          <w:rFonts w:ascii="Palatino Linotype" w:hAnsi="Palatino Linotype" w:cs="Arial"/>
          <w:color w:val="000000" w:themeColor="text1"/>
        </w:rPr>
        <w:t>de la</w:t>
      </w:r>
      <w:r w:rsidR="00F347DB" w:rsidRPr="00EB4728">
        <w:rPr>
          <w:rFonts w:ascii="Palatino Linotype" w:hAnsi="Palatino Linotype" w:cs="Arial"/>
          <w:color w:val="000000" w:themeColor="text1"/>
        </w:rPr>
        <w:t xml:space="preserve"> siguiente</w:t>
      </w:r>
      <w:r w:rsidR="00745DB7" w:rsidRPr="00EB4728">
        <w:rPr>
          <w:rFonts w:ascii="Palatino Linotype" w:hAnsi="Palatino Linotype" w:cs="Arial"/>
          <w:color w:val="000000" w:themeColor="text1"/>
        </w:rPr>
        <w:t xml:space="preserve"> manera</w:t>
      </w:r>
      <w:r w:rsidR="00F347DB" w:rsidRPr="00EB4728">
        <w:rPr>
          <w:rFonts w:ascii="Palatino Linotype" w:hAnsi="Palatino Linotype" w:cs="Arial"/>
          <w:color w:val="000000" w:themeColor="text1"/>
        </w:rPr>
        <w:t>:</w:t>
      </w:r>
    </w:p>
    <w:p w:rsidR="00FF1F09" w:rsidRPr="00EB4728" w:rsidRDefault="00FF1F09" w:rsidP="00FF1F09">
      <w:pPr>
        <w:tabs>
          <w:tab w:val="left" w:pos="0"/>
        </w:tabs>
        <w:spacing w:line="360" w:lineRule="auto"/>
        <w:ind w:right="49"/>
        <w:jc w:val="both"/>
        <w:rPr>
          <w:rFonts w:ascii="Palatino Linotype" w:hAnsi="Palatino Linotype" w:cs="Arial"/>
          <w:i/>
          <w:color w:val="000000" w:themeColor="text1"/>
        </w:rPr>
      </w:pPr>
    </w:p>
    <w:p w:rsidR="00042814" w:rsidRPr="00EB4728" w:rsidRDefault="00042814" w:rsidP="00042814">
      <w:pPr>
        <w:tabs>
          <w:tab w:val="left" w:pos="0"/>
        </w:tabs>
        <w:spacing w:line="360" w:lineRule="auto"/>
        <w:ind w:right="49"/>
        <w:jc w:val="both"/>
        <w:rPr>
          <w:rFonts w:ascii="Palatino Linotype" w:hAnsi="Palatino Linotype" w:cs="Arial"/>
          <w:b/>
          <w:color w:val="000000" w:themeColor="text1"/>
        </w:rPr>
      </w:pPr>
      <w:r w:rsidRPr="00EB4728">
        <w:rPr>
          <w:rFonts w:ascii="Palatino Linotype" w:hAnsi="Palatino Linotype" w:cs="Arial"/>
          <w:b/>
          <w:color w:val="000000" w:themeColor="text1"/>
        </w:rPr>
        <w:t>Folio de la solicitud: 00108/HRZUM/IP/2022</w:t>
      </w:r>
    </w:p>
    <w:p w:rsidR="00042814" w:rsidRPr="00EB4728" w:rsidRDefault="00042814" w:rsidP="00042814">
      <w:pPr>
        <w:tabs>
          <w:tab w:val="left" w:pos="0"/>
        </w:tabs>
        <w:spacing w:line="360" w:lineRule="auto"/>
        <w:ind w:right="49"/>
        <w:jc w:val="both"/>
        <w:rPr>
          <w:rFonts w:ascii="Palatino Linotype" w:hAnsi="Palatino Linotype" w:cs="Arial"/>
          <w:color w:val="000000" w:themeColor="text1"/>
        </w:rPr>
      </w:pPr>
      <w:r w:rsidRPr="00EB4728">
        <w:rPr>
          <w:rFonts w:ascii="Palatino Linotype" w:hAnsi="Palatino Linotype" w:cs="Arial"/>
          <w:color w:val="000000" w:themeColor="text1"/>
        </w:rPr>
        <w:t>Se remitieron los archivos siguientes</w:t>
      </w:r>
      <w:r w:rsidRPr="00EB4728">
        <w:rPr>
          <w:rFonts w:ascii="Palatino Linotype" w:hAnsi="Palatino Linotype" w:cs="Arial"/>
          <w:b/>
          <w:color w:val="000000" w:themeColor="text1"/>
        </w:rPr>
        <w:t xml:space="preserve"> Resp SPH s00108.pdf, RESPUESTA 108 Y SOPORTE DOCUMENTAL.pdf, 108 SOLICITUD DE VERSIÓN PÚBLICA.pdf </w:t>
      </w:r>
      <w:r w:rsidRPr="00EB4728">
        <w:rPr>
          <w:rFonts w:ascii="Palatino Linotype" w:hAnsi="Palatino Linotype" w:cs="Arial"/>
          <w:color w:val="000000" w:themeColor="text1"/>
        </w:rPr>
        <w:t xml:space="preserve">y </w:t>
      </w:r>
      <w:r w:rsidRPr="00EB4728">
        <w:rPr>
          <w:rFonts w:ascii="Palatino Linotype" w:hAnsi="Palatino Linotype" w:cs="Arial"/>
          <w:b/>
          <w:color w:val="000000" w:themeColor="text1"/>
        </w:rPr>
        <w:t>Acta 10 ma Extra.pdf,</w:t>
      </w:r>
      <w:r w:rsidRPr="00EB4728">
        <w:rPr>
          <w:rFonts w:ascii="Palatino Linotype" w:hAnsi="Palatino Linotype" w:cs="Arial"/>
          <w:color w:val="000000" w:themeColor="text1"/>
        </w:rPr>
        <w:t xml:space="preserve"> de cuyo contenido principal se advierte el siguiente:</w:t>
      </w:r>
    </w:p>
    <w:p w:rsidR="00042814" w:rsidRPr="00EB4728" w:rsidRDefault="00042814" w:rsidP="00042814">
      <w:pPr>
        <w:tabs>
          <w:tab w:val="left" w:pos="0"/>
        </w:tabs>
        <w:spacing w:line="360" w:lineRule="auto"/>
        <w:ind w:right="49"/>
        <w:jc w:val="center"/>
        <w:rPr>
          <w:rFonts w:ascii="Palatino Linotype" w:hAnsi="Palatino Linotype" w:cs="Arial"/>
          <w:b/>
          <w:color w:val="000000" w:themeColor="text1"/>
        </w:rPr>
      </w:pPr>
      <w:r w:rsidRPr="00EB4728">
        <w:rPr>
          <w:rFonts w:ascii="Palatino Linotype" w:hAnsi="Palatino Linotype" w:cs="Arial"/>
          <w:b/>
          <w:noProof/>
          <w:color w:val="000000" w:themeColor="text1"/>
          <w:lang w:val="es-MX" w:eastAsia="es-MX"/>
        </w:rPr>
        <w:drawing>
          <wp:inline distT="0" distB="0" distL="0" distR="0" wp14:anchorId="705F0EE5" wp14:editId="49844B17">
            <wp:extent cx="5441950" cy="3870570"/>
            <wp:effectExtent l="19050" t="19050" r="2540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2891" cy="3871239"/>
                    </a:xfrm>
                    <a:prstGeom prst="rect">
                      <a:avLst/>
                    </a:prstGeom>
                    <a:ln>
                      <a:solidFill>
                        <a:schemeClr val="tx1"/>
                      </a:solidFill>
                    </a:ln>
                  </pic:spPr>
                </pic:pic>
              </a:graphicData>
            </a:graphic>
          </wp:inline>
        </w:drawing>
      </w:r>
    </w:p>
    <w:p w:rsidR="00042814" w:rsidRPr="00EB4728" w:rsidRDefault="00042814" w:rsidP="00FF1F09">
      <w:pPr>
        <w:tabs>
          <w:tab w:val="left" w:pos="0"/>
        </w:tabs>
        <w:spacing w:line="360" w:lineRule="auto"/>
        <w:ind w:right="49"/>
        <w:jc w:val="both"/>
        <w:rPr>
          <w:rFonts w:ascii="Palatino Linotype" w:hAnsi="Palatino Linotype" w:cs="Arial"/>
          <w:b/>
          <w:color w:val="000000" w:themeColor="text1"/>
        </w:rPr>
      </w:pPr>
    </w:p>
    <w:p w:rsidR="00FF1F09" w:rsidRPr="00EB4728" w:rsidRDefault="00FF1F09" w:rsidP="00FF1F09">
      <w:pPr>
        <w:tabs>
          <w:tab w:val="left" w:pos="0"/>
        </w:tabs>
        <w:spacing w:line="360" w:lineRule="auto"/>
        <w:ind w:right="49"/>
        <w:jc w:val="both"/>
        <w:rPr>
          <w:rFonts w:ascii="Palatino Linotype" w:hAnsi="Palatino Linotype" w:cs="Arial"/>
          <w:b/>
          <w:color w:val="000000" w:themeColor="text1"/>
        </w:rPr>
      </w:pPr>
      <w:r w:rsidRPr="00EB4728">
        <w:rPr>
          <w:rFonts w:ascii="Palatino Linotype" w:hAnsi="Palatino Linotype" w:cs="Arial"/>
          <w:b/>
          <w:color w:val="000000" w:themeColor="text1"/>
        </w:rPr>
        <w:t>Folio de la solicitud: 00109/HRZUM/IP/2022</w:t>
      </w:r>
    </w:p>
    <w:p w:rsidR="00FF1F09" w:rsidRPr="00EB4728" w:rsidRDefault="00FF1F09" w:rsidP="00FF1F09">
      <w:pPr>
        <w:tabs>
          <w:tab w:val="left" w:pos="0"/>
        </w:tabs>
        <w:spacing w:line="360" w:lineRule="auto"/>
        <w:ind w:right="49"/>
        <w:jc w:val="both"/>
        <w:rPr>
          <w:rFonts w:ascii="Palatino Linotype" w:hAnsi="Palatino Linotype" w:cs="Arial"/>
          <w:color w:val="000000" w:themeColor="text1"/>
        </w:rPr>
      </w:pPr>
      <w:r w:rsidRPr="00EB4728">
        <w:rPr>
          <w:rFonts w:ascii="Palatino Linotype" w:hAnsi="Palatino Linotype" w:cs="Arial"/>
          <w:color w:val="000000" w:themeColor="text1"/>
        </w:rPr>
        <w:lastRenderedPageBreak/>
        <w:t xml:space="preserve">Se adjuntaron los archivos denominados: </w:t>
      </w:r>
      <w:r w:rsidRPr="00EB4728">
        <w:rPr>
          <w:rFonts w:ascii="Palatino Linotype" w:hAnsi="Palatino Linotype" w:cs="Arial"/>
          <w:b/>
          <w:color w:val="000000" w:themeColor="text1"/>
        </w:rPr>
        <w:t xml:space="preserve">Resp SPH s00108.pdf, RESPUESTA 108 Y SOPORTE DOCUMENTAL.pdf, 108 SOLICITUD DE VERSIÓN PÚBLICA.pdf </w:t>
      </w:r>
      <w:r w:rsidRPr="00EB4728">
        <w:rPr>
          <w:rFonts w:ascii="Palatino Linotype" w:hAnsi="Palatino Linotype" w:cs="Arial"/>
          <w:color w:val="000000" w:themeColor="text1"/>
        </w:rPr>
        <w:t>y</w:t>
      </w:r>
      <w:r w:rsidRPr="00EB4728">
        <w:rPr>
          <w:rFonts w:ascii="Palatino Linotype" w:hAnsi="Palatino Linotype" w:cs="Arial"/>
          <w:b/>
          <w:color w:val="000000" w:themeColor="text1"/>
        </w:rPr>
        <w:t xml:space="preserve"> Acta 10 ma Extra.pdf</w:t>
      </w:r>
      <w:r w:rsidR="00042814" w:rsidRPr="00EB4728">
        <w:rPr>
          <w:rFonts w:ascii="Palatino Linotype" w:hAnsi="Palatino Linotype" w:cs="Arial"/>
          <w:b/>
          <w:color w:val="000000" w:themeColor="text1"/>
        </w:rPr>
        <w:t xml:space="preserve">, </w:t>
      </w:r>
      <w:r w:rsidR="00042814" w:rsidRPr="00EB4728">
        <w:rPr>
          <w:rFonts w:ascii="Palatino Linotype" w:hAnsi="Palatino Linotype" w:cs="Arial"/>
          <w:color w:val="000000" w:themeColor="text1"/>
        </w:rPr>
        <w:t>de cuyo contenido relevante se advierte el siguiente:</w:t>
      </w:r>
    </w:p>
    <w:p w:rsidR="00FF1F09" w:rsidRPr="00EB4728" w:rsidRDefault="00FF1F09" w:rsidP="00042814">
      <w:pPr>
        <w:tabs>
          <w:tab w:val="left" w:pos="0"/>
        </w:tabs>
        <w:spacing w:line="360" w:lineRule="auto"/>
        <w:ind w:right="49"/>
        <w:jc w:val="center"/>
        <w:rPr>
          <w:rFonts w:ascii="Palatino Linotype" w:hAnsi="Palatino Linotype" w:cs="Arial"/>
          <w:i/>
          <w:color w:val="000000" w:themeColor="text1"/>
        </w:rPr>
      </w:pPr>
      <w:r w:rsidRPr="00EB4728">
        <w:rPr>
          <w:rFonts w:ascii="Palatino Linotype" w:hAnsi="Palatino Linotype" w:cs="Arial"/>
          <w:i/>
          <w:noProof/>
          <w:color w:val="000000" w:themeColor="text1"/>
          <w:lang w:val="es-MX" w:eastAsia="es-MX"/>
        </w:rPr>
        <w:drawing>
          <wp:inline distT="0" distB="0" distL="0" distR="0" wp14:anchorId="1BCC5533" wp14:editId="3BF8E58B">
            <wp:extent cx="5259380" cy="5765800"/>
            <wp:effectExtent l="19050" t="19050" r="1778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1815" cy="5768470"/>
                    </a:xfrm>
                    <a:prstGeom prst="rect">
                      <a:avLst/>
                    </a:prstGeom>
                    <a:ln>
                      <a:solidFill>
                        <a:schemeClr val="tx1"/>
                      </a:solidFill>
                    </a:ln>
                  </pic:spPr>
                </pic:pic>
              </a:graphicData>
            </a:graphic>
          </wp:inline>
        </w:drawing>
      </w:r>
    </w:p>
    <w:p w:rsidR="00D0226D" w:rsidRPr="00EB4728" w:rsidRDefault="00D0226D" w:rsidP="00D0226D">
      <w:pPr>
        <w:pStyle w:val="Prrafodelista"/>
        <w:tabs>
          <w:tab w:val="left" w:pos="0"/>
        </w:tabs>
        <w:spacing w:line="360" w:lineRule="auto"/>
        <w:ind w:left="0" w:right="49"/>
        <w:jc w:val="both"/>
        <w:rPr>
          <w:rFonts w:ascii="Palatino Linotype" w:hAnsi="Palatino Linotype" w:cs="Arial"/>
          <w:color w:val="000000" w:themeColor="text1"/>
        </w:rPr>
      </w:pPr>
    </w:p>
    <w:p w:rsidR="009F09BC" w:rsidRPr="00EB4728" w:rsidRDefault="009F09BC" w:rsidP="00C8505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B4728">
        <w:rPr>
          <w:rFonts w:ascii="Palatino Linotype" w:eastAsia="Times New Roman" w:hAnsi="Palatino Linotype" w:cs="Arial"/>
          <w:color w:val="000000" w:themeColor="text1"/>
          <w:lang w:val="es-ES"/>
        </w:rPr>
        <w:lastRenderedPageBreak/>
        <w:t>E</w:t>
      </w:r>
      <w:r w:rsidR="002C4997" w:rsidRPr="00EB4728">
        <w:rPr>
          <w:rFonts w:ascii="Palatino Linotype" w:eastAsia="Times New Roman" w:hAnsi="Palatino Linotype" w:cs="Arial"/>
          <w:color w:val="000000" w:themeColor="text1"/>
          <w:lang w:val="es-ES"/>
        </w:rPr>
        <w:t xml:space="preserve">l </w:t>
      </w:r>
      <w:r w:rsidR="00081191" w:rsidRPr="00EB4728">
        <w:rPr>
          <w:rFonts w:ascii="Palatino Linotype" w:eastAsia="Times New Roman" w:hAnsi="Palatino Linotype" w:cs="Arial"/>
          <w:color w:val="000000" w:themeColor="text1"/>
          <w:lang w:val="es-ES"/>
        </w:rPr>
        <w:t>veintiun</w:t>
      </w:r>
      <w:r w:rsidR="00F91C56" w:rsidRPr="00EB4728">
        <w:rPr>
          <w:rFonts w:ascii="Palatino Linotype" w:eastAsia="Times New Roman" w:hAnsi="Palatino Linotype" w:cs="Arial"/>
          <w:color w:val="000000" w:themeColor="text1"/>
          <w:lang w:val="es-ES"/>
        </w:rPr>
        <w:t>o</w:t>
      </w:r>
      <w:r w:rsidRPr="00EB4728">
        <w:rPr>
          <w:rFonts w:ascii="Palatino Linotype" w:eastAsia="Times New Roman" w:hAnsi="Palatino Linotype" w:cs="Arial"/>
          <w:color w:val="000000" w:themeColor="text1"/>
          <w:lang w:val="es-ES"/>
        </w:rPr>
        <w:t xml:space="preserve"> de </w:t>
      </w:r>
      <w:r w:rsidR="00081191" w:rsidRPr="00EB4728">
        <w:rPr>
          <w:rFonts w:ascii="Palatino Linotype" w:eastAsia="Times New Roman" w:hAnsi="Palatino Linotype" w:cs="Arial"/>
          <w:color w:val="000000" w:themeColor="text1"/>
          <w:lang w:val="es-ES"/>
        </w:rPr>
        <w:t xml:space="preserve">septiembre </w:t>
      </w:r>
      <w:r w:rsidR="00025C53" w:rsidRPr="00EB4728">
        <w:rPr>
          <w:rFonts w:ascii="Palatino Linotype" w:eastAsia="Times New Roman" w:hAnsi="Palatino Linotype" w:cs="Arial"/>
          <w:color w:val="000000" w:themeColor="text1"/>
          <w:lang w:val="es-ES"/>
        </w:rPr>
        <w:t>dos mil veintidós</w:t>
      </w:r>
      <w:r w:rsidRPr="00EB4728">
        <w:rPr>
          <w:rFonts w:ascii="Palatino Linotype" w:eastAsia="Times New Roman" w:hAnsi="Palatino Linotype" w:cs="Arial"/>
          <w:color w:val="000000" w:themeColor="text1"/>
          <w:lang w:val="es-ES"/>
        </w:rPr>
        <w:t>, el particular interpuso l</w:t>
      </w:r>
      <w:r w:rsidR="004F094F" w:rsidRPr="00EB4728">
        <w:rPr>
          <w:rFonts w:ascii="Palatino Linotype" w:eastAsia="Times New Roman" w:hAnsi="Palatino Linotype" w:cs="Arial"/>
          <w:color w:val="000000" w:themeColor="text1"/>
          <w:lang w:val="es-ES"/>
        </w:rPr>
        <w:t>os</w:t>
      </w:r>
      <w:r w:rsidRPr="00EB4728">
        <w:rPr>
          <w:rFonts w:ascii="Palatino Linotype" w:eastAsia="Times New Roman" w:hAnsi="Palatino Linotype" w:cs="Arial"/>
          <w:color w:val="000000" w:themeColor="text1"/>
          <w:lang w:val="es-ES"/>
        </w:rPr>
        <w:t xml:space="preserve"> recurso</w:t>
      </w:r>
      <w:r w:rsidR="004F094F" w:rsidRPr="00EB4728">
        <w:rPr>
          <w:rFonts w:ascii="Palatino Linotype" w:eastAsia="Times New Roman" w:hAnsi="Palatino Linotype" w:cs="Arial"/>
          <w:color w:val="000000" w:themeColor="text1"/>
          <w:lang w:val="es-ES"/>
        </w:rPr>
        <w:t>s</w:t>
      </w:r>
      <w:r w:rsidRPr="00EB4728">
        <w:rPr>
          <w:rFonts w:ascii="Palatino Linotype" w:eastAsia="Times New Roman" w:hAnsi="Palatino Linotype" w:cs="Arial"/>
          <w:color w:val="000000" w:themeColor="text1"/>
          <w:lang w:val="es-ES"/>
        </w:rPr>
        <w:t xml:space="preserve"> de revisión en contra de la</w:t>
      </w:r>
      <w:r w:rsidR="004F094F" w:rsidRPr="00EB4728">
        <w:rPr>
          <w:rFonts w:ascii="Palatino Linotype" w:eastAsia="Times New Roman" w:hAnsi="Palatino Linotype" w:cs="Arial"/>
          <w:color w:val="000000" w:themeColor="text1"/>
          <w:lang w:val="es-ES"/>
        </w:rPr>
        <w:t>s</w:t>
      </w:r>
      <w:r w:rsidRPr="00EB4728">
        <w:rPr>
          <w:rFonts w:ascii="Palatino Linotype" w:eastAsia="Times New Roman" w:hAnsi="Palatino Linotype" w:cs="Arial"/>
          <w:color w:val="000000" w:themeColor="text1"/>
          <w:lang w:val="es-ES"/>
        </w:rPr>
        <w:t xml:space="preserve"> respuesta</w:t>
      </w:r>
      <w:r w:rsidR="004F094F" w:rsidRPr="00EB4728">
        <w:rPr>
          <w:rFonts w:ascii="Palatino Linotype" w:eastAsia="Times New Roman" w:hAnsi="Palatino Linotype" w:cs="Arial"/>
          <w:color w:val="000000" w:themeColor="text1"/>
          <w:lang w:val="es-ES"/>
        </w:rPr>
        <w:t>s</w:t>
      </w:r>
      <w:r w:rsidRPr="00EB4728">
        <w:rPr>
          <w:rFonts w:ascii="Palatino Linotype" w:eastAsia="Times New Roman" w:hAnsi="Palatino Linotype" w:cs="Arial"/>
          <w:color w:val="000000" w:themeColor="text1"/>
          <w:lang w:val="es-ES"/>
        </w:rPr>
        <w:t>, manifestando l</w:t>
      </w:r>
      <w:r w:rsidR="002C4997" w:rsidRPr="00EB4728">
        <w:rPr>
          <w:rFonts w:ascii="Palatino Linotype" w:eastAsia="Times New Roman" w:hAnsi="Palatino Linotype" w:cs="Arial"/>
          <w:color w:val="000000" w:themeColor="text1"/>
          <w:lang w:val="es-ES"/>
        </w:rPr>
        <w:t>a</w:t>
      </w:r>
      <w:r w:rsidRPr="00EB4728">
        <w:rPr>
          <w:rFonts w:ascii="Palatino Linotype" w:eastAsia="Times New Roman" w:hAnsi="Palatino Linotype" w:cs="Arial"/>
          <w:color w:val="000000" w:themeColor="text1"/>
          <w:lang w:val="es-ES"/>
        </w:rPr>
        <w:t xml:space="preserve">s </w:t>
      </w:r>
      <w:r w:rsidR="002C4997" w:rsidRPr="00EB4728">
        <w:rPr>
          <w:rFonts w:ascii="Palatino Linotype" w:eastAsia="Times New Roman" w:hAnsi="Palatino Linotype" w:cs="Arial"/>
          <w:color w:val="000000" w:themeColor="text1"/>
          <w:lang w:val="es-ES"/>
        </w:rPr>
        <w:t>siguientes</w:t>
      </w:r>
      <w:r w:rsidRPr="00EB4728">
        <w:rPr>
          <w:rFonts w:ascii="Palatino Linotype" w:eastAsia="Times New Roman" w:hAnsi="Palatino Linotype" w:cs="Arial"/>
          <w:color w:val="000000" w:themeColor="text1"/>
          <w:lang w:val="es-ES"/>
        </w:rPr>
        <w:t xml:space="preserve"> razones o motivos de inconformidad:</w:t>
      </w:r>
    </w:p>
    <w:p w:rsidR="009F09BC" w:rsidRPr="00EB4728"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0F2D42" w:rsidRPr="00EB4728" w:rsidRDefault="000F2D42" w:rsidP="000F2D42">
      <w:pPr>
        <w:spacing w:line="360" w:lineRule="auto"/>
        <w:jc w:val="both"/>
        <w:rPr>
          <w:rStyle w:val="Ttulo2Car"/>
          <w:rFonts w:ascii="Palatino Linotype" w:eastAsiaTheme="minorEastAsia" w:hAnsi="Palatino Linotype" w:cstheme="minorBidi"/>
          <w:b/>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EB4728">
        <w:rPr>
          <w:rStyle w:val="Ttulo2Car"/>
          <w:rFonts w:ascii="Palatino Linotype" w:eastAsiaTheme="minorEastAsia" w:hAnsi="Palatino Linotype" w:cstheme="minorBidi"/>
          <w:b/>
          <w:color w:val="000000" w:themeColor="text1"/>
          <w:sz w:val="24"/>
          <w:szCs w:val="24"/>
        </w:rPr>
        <w:t>Folio del recurso de revisión:</w:t>
      </w:r>
      <w:r w:rsidRPr="00EB4728">
        <w:rPr>
          <w:rStyle w:val="Ttulo2Car"/>
          <w:rFonts w:ascii="Palatino Linotype" w:eastAsiaTheme="minorEastAsia" w:hAnsi="Palatino Linotype" w:cstheme="minorBidi"/>
          <w:b/>
          <w:color w:val="000000" w:themeColor="text1"/>
          <w:sz w:val="24"/>
          <w:szCs w:val="24"/>
        </w:rPr>
        <w:tab/>
        <w:t>14933/INFOEM/IP/RR/2022</w:t>
      </w:r>
    </w:p>
    <w:p w:rsidR="009F09BC" w:rsidRPr="00EB4728" w:rsidRDefault="009F09BC" w:rsidP="000F2D42">
      <w:pPr>
        <w:pStyle w:val="Prrafodelista"/>
        <w:numPr>
          <w:ilvl w:val="0"/>
          <w:numId w:val="2"/>
        </w:numPr>
        <w:spacing w:line="360" w:lineRule="auto"/>
        <w:jc w:val="both"/>
        <w:rPr>
          <w:rFonts w:ascii="Palatino Linotype" w:hAnsi="Palatino Linotype"/>
          <w:i/>
          <w:color w:val="000000" w:themeColor="text1"/>
        </w:rPr>
      </w:pPr>
      <w:r w:rsidRPr="00EB4728">
        <w:rPr>
          <w:rStyle w:val="Ttulo2Car"/>
          <w:rFonts w:ascii="Palatino Linotype" w:hAnsi="Palatino Linotype"/>
          <w:b/>
          <w:color w:val="auto"/>
          <w:sz w:val="24"/>
          <w:szCs w:val="24"/>
        </w:rPr>
        <w:t>Acto impugnado</w:t>
      </w:r>
      <w:bookmarkEnd w:id="3"/>
      <w:r w:rsidRPr="00EB4728">
        <w:rPr>
          <w:rStyle w:val="Ttulo2Car"/>
          <w:rFonts w:ascii="Palatino Linotype" w:hAnsi="Palatino Linotype"/>
          <w:b/>
          <w:color w:val="000000" w:themeColor="text1"/>
          <w:sz w:val="24"/>
          <w:szCs w:val="24"/>
        </w:rPr>
        <w:t xml:space="preserve">: </w:t>
      </w:r>
      <w:r w:rsidRPr="00EB4728">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0F2D42" w:rsidRPr="00EB4728">
        <w:rPr>
          <w:rStyle w:val="Ttulo2Car"/>
          <w:rFonts w:ascii="Palatino Linotype" w:hAnsi="Palatino Linotype"/>
          <w:i/>
          <w:color w:val="000000" w:themeColor="text1"/>
          <w:sz w:val="24"/>
          <w:szCs w:val="24"/>
        </w:rPr>
        <w:t>No se reponde lo solicitado.</w:t>
      </w:r>
      <w:r w:rsidRPr="00EB4728">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F347DB" w:rsidRPr="00EB4728" w:rsidRDefault="00F347DB" w:rsidP="00F347DB">
      <w:pPr>
        <w:pStyle w:val="Prrafodelista"/>
        <w:spacing w:line="360" w:lineRule="auto"/>
        <w:ind w:left="1004"/>
        <w:jc w:val="both"/>
        <w:rPr>
          <w:rFonts w:ascii="Palatino Linotype" w:hAnsi="Palatino Linotype"/>
          <w:i/>
          <w:color w:val="000000" w:themeColor="text1"/>
        </w:rPr>
      </w:pPr>
    </w:p>
    <w:p w:rsidR="00F91C56" w:rsidRPr="00EB4728" w:rsidRDefault="009F09BC" w:rsidP="000F2D42">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EB4728">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EB4728">
        <w:rPr>
          <w:rFonts w:ascii="Palatino Linotype" w:hAnsi="Palatino Linotype"/>
          <w:b/>
          <w:color w:val="000000" w:themeColor="text1"/>
        </w:rPr>
        <w:t xml:space="preserve"> </w:t>
      </w:r>
      <w:r w:rsidRPr="00EB4728">
        <w:rPr>
          <w:rFonts w:ascii="Palatino Linotype" w:hAnsi="Palatino Linotype"/>
          <w:i/>
          <w:color w:val="000000" w:themeColor="text1"/>
        </w:rPr>
        <w:t>“</w:t>
      </w:r>
      <w:r w:rsidR="000F2D42" w:rsidRPr="00EB4728">
        <w:rPr>
          <w:rFonts w:ascii="Palatino Linotype" w:hAnsi="Palatino Linotype"/>
          <w:i/>
          <w:color w:val="000000" w:themeColor="text1"/>
        </w:rPr>
        <w:t>El organo interno de control del hraez debe contar con la información solicitada, ya que ellos dan trámite a las quejas que presenta personal del hospital, no así la Secretaría de la Contraloria.</w:t>
      </w:r>
      <w:r w:rsidR="00F91C56" w:rsidRPr="00EB4728">
        <w:rPr>
          <w:rFonts w:ascii="Palatino Linotype" w:hAnsi="Palatino Linotype"/>
          <w:i/>
          <w:color w:val="000000" w:themeColor="text1"/>
        </w:rPr>
        <w:t xml:space="preserve">” </w:t>
      </w:r>
    </w:p>
    <w:p w:rsidR="000F2D42" w:rsidRPr="00EB4728" w:rsidRDefault="000F2D42" w:rsidP="00F91C56">
      <w:pPr>
        <w:pStyle w:val="Prrafodelista"/>
        <w:spacing w:line="360" w:lineRule="auto"/>
        <w:ind w:left="1004"/>
        <w:jc w:val="both"/>
        <w:rPr>
          <w:rFonts w:ascii="Palatino Linotype" w:hAnsi="Palatino Linotype"/>
          <w:color w:val="000000" w:themeColor="text1"/>
        </w:rPr>
      </w:pPr>
    </w:p>
    <w:p w:rsidR="000F2D42" w:rsidRPr="00EB4728" w:rsidRDefault="000F2D42" w:rsidP="000F2D42">
      <w:pPr>
        <w:spacing w:line="360" w:lineRule="auto"/>
        <w:jc w:val="both"/>
        <w:rPr>
          <w:rStyle w:val="Ttulo2Car"/>
          <w:rFonts w:ascii="Palatino Linotype" w:eastAsiaTheme="minorEastAsia" w:hAnsi="Palatino Linotype" w:cstheme="minorBidi"/>
          <w:b/>
          <w:color w:val="000000" w:themeColor="text1"/>
          <w:sz w:val="24"/>
          <w:szCs w:val="24"/>
        </w:rPr>
      </w:pPr>
      <w:r w:rsidRPr="00EB4728">
        <w:rPr>
          <w:rStyle w:val="Ttulo2Car"/>
          <w:rFonts w:ascii="Palatino Linotype" w:eastAsiaTheme="minorEastAsia" w:hAnsi="Palatino Linotype" w:cstheme="minorBidi"/>
          <w:b/>
          <w:color w:val="000000" w:themeColor="text1"/>
          <w:sz w:val="24"/>
          <w:szCs w:val="24"/>
        </w:rPr>
        <w:t>Folio del recurso de revisión:</w:t>
      </w:r>
      <w:r w:rsidRPr="00EB4728">
        <w:rPr>
          <w:rStyle w:val="Ttulo2Car"/>
          <w:rFonts w:ascii="Palatino Linotype" w:eastAsiaTheme="minorEastAsia" w:hAnsi="Palatino Linotype" w:cstheme="minorBidi"/>
          <w:b/>
          <w:color w:val="000000" w:themeColor="text1"/>
          <w:sz w:val="24"/>
          <w:szCs w:val="24"/>
        </w:rPr>
        <w:tab/>
        <w:t>14934/INFOEM/IP/RR/2022</w:t>
      </w:r>
    </w:p>
    <w:p w:rsidR="000F2D42" w:rsidRPr="00EB4728" w:rsidRDefault="000F2D42" w:rsidP="000F2D42">
      <w:pPr>
        <w:pStyle w:val="Prrafodelista"/>
        <w:numPr>
          <w:ilvl w:val="0"/>
          <w:numId w:val="2"/>
        </w:numPr>
        <w:spacing w:line="360" w:lineRule="auto"/>
        <w:jc w:val="both"/>
        <w:rPr>
          <w:rFonts w:ascii="Palatino Linotype" w:hAnsi="Palatino Linotype"/>
          <w:i/>
          <w:color w:val="000000" w:themeColor="text1"/>
        </w:rPr>
      </w:pPr>
      <w:r w:rsidRPr="00EB4728">
        <w:rPr>
          <w:rStyle w:val="Ttulo2Car"/>
          <w:rFonts w:ascii="Palatino Linotype" w:hAnsi="Palatino Linotype"/>
          <w:b/>
          <w:color w:val="auto"/>
          <w:sz w:val="24"/>
          <w:szCs w:val="24"/>
        </w:rPr>
        <w:t>Acto impugnado</w:t>
      </w:r>
      <w:r w:rsidRPr="00EB4728">
        <w:rPr>
          <w:rStyle w:val="Ttulo2Car"/>
          <w:rFonts w:ascii="Palatino Linotype" w:hAnsi="Palatino Linotype"/>
          <w:b/>
          <w:color w:val="000000" w:themeColor="text1"/>
          <w:sz w:val="24"/>
          <w:szCs w:val="24"/>
        </w:rPr>
        <w:t xml:space="preserve">: </w:t>
      </w:r>
      <w:r w:rsidRPr="00EB4728">
        <w:rPr>
          <w:rStyle w:val="Ttulo2Car"/>
          <w:rFonts w:ascii="Palatino Linotype" w:hAnsi="Palatino Linotype"/>
          <w:i/>
          <w:color w:val="000000" w:themeColor="text1"/>
          <w:sz w:val="24"/>
          <w:szCs w:val="24"/>
        </w:rPr>
        <w:t>“No se responde lo solicitado.</w:t>
      </w:r>
      <w:r w:rsidRPr="00EB4728">
        <w:rPr>
          <w:rFonts w:ascii="Palatino Linotype" w:hAnsi="Palatino Linotype"/>
        </w:rPr>
        <w:t>”</w:t>
      </w:r>
    </w:p>
    <w:p w:rsidR="000F2D42" w:rsidRPr="00EB4728" w:rsidRDefault="000F2D42" w:rsidP="000F2D42">
      <w:pPr>
        <w:pStyle w:val="Prrafodelista"/>
        <w:spacing w:line="360" w:lineRule="auto"/>
        <w:ind w:left="1004"/>
        <w:jc w:val="both"/>
        <w:rPr>
          <w:rFonts w:ascii="Palatino Linotype" w:hAnsi="Palatino Linotype"/>
          <w:i/>
          <w:color w:val="000000" w:themeColor="text1"/>
        </w:rPr>
      </w:pPr>
    </w:p>
    <w:p w:rsidR="000F2D42" w:rsidRPr="00EB4728" w:rsidRDefault="000F2D42" w:rsidP="000F2D42">
      <w:pPr>
        <w:pStyle w:val="Prrafodelista"/>
        <w:numPr>
          <w:ilvl w:val="0"/>
          <w:numId w:val="2"/>
        </w:numPr>
        <w:spacing w:line="360" w:lineRule="auto"/>
        <w:jc w:val="both"/>
        <w:rPr>
          <w:rFonts w:ascii="Palatino Linotype" w:hAnsi="Palatino Linotype"/>
          <w:i/>
          <w:color w:val="000000" w:themeColor="text1"/>
        </w:rPr>
      </w:pPr>
      <w:r w:rsidRPr="00EB4728">
        <w:rPr>
          <w:rStyle w:val="Ttulo2Car"/>
          <w:rFonts w:ascii="Palatino Linotype" w:hAnsi="Palatino Linotype"/>
          <w:b/>
          <w:color w:val="000000" w:themeColor="text1"/>
          <w:sz w:val="24"/>
          <w:szCs w:val="24"/>
        </w:rPr>
        <w:t>Razones o Motivos de inconformidad:</w:t>
      </w:r>
      <w:r w:rsidRPr="00EB4728">
        <w:rPr>
          <w:rFonts w:ascii="Palatino Linotype" w:hAnsi="Palatino Linotype"/>
          <w:b/>
          <w:color w:val="000000" w:themeColor="text1"/>
        </w:rPr>
        <w:t xml:space="preserve"> </w:t>
      </w:r>
      <w:r w:rsidRPr="00EB4728">
        <w:rPr>
          <w:rFonts w:ascii="Palatino Linotype" w:hAnsi="Palatino Linotype"/>
          <w:i/>
          <w:color w:val="000000" w:themeColor="text1"/>
        </w:rPr>
        <w:t xml:space="preserve">“El organo interno de control debe contar con la información solicitada, no la secretaria de la contraloría.” </w:t>
      </w:r>
    </w:p>
    <w:p w:rsidR="000F2D42" w:rsidRPr="00EB4728" w:rsidRDefault="000F2D42" w:rsidP="000F2D42">
      <w:pPr>
        <w:pStyle w:val="Prrafodelista"/>
        <w:spacing w:line="360" w:lineRule="auto"/>
        <w:ind w:left="1004"/>
        <w:jc w:val="both"/>
        <w:rPr>
          <w:rFonts w:ascii="Palatino Linotype" w:hAnsi="Palatino Linotype"/>
          <w:i/>
          <w:color w:val="000000" w:themeColor="text1"/>
        </w:rPr>
      </w:pPr>
      <w:r w:rsidRPr="00EB4728">
        <w:rPr>
          <w:rFonts w:ascii="Palatino Linotype" w:hAnsi="Palatino Linotype"/>
          <w:color w:val="000000" w:themeColor="text1"/>
        </w:rPr>
        <w:t>Énfasis añadido</w:t>
      </w:r>
    </w:p>
    <w:p w:rsidR="00F91C56" w:rsidRPr="00EB4728" w:rsidRDefault="00F91C56" w:rsidP="00F91C56">
      <w:pPr>
        <w:pStyle w:val="Prrafodelista"/>
        <w:spacing w:line="360" w:lineRule="auto"/>
        <w:ind w:left="1004"/>
        <w:jc w:val="both"/>
        <w:rPr>
          <w:rFonts w:ascii="Palatino Linotype" w:hAnsi="Palatino Linotype"/>
          <w:i/>
          <w:color w:val="000000" w:themeColor="text1"/>
        </w:rPr>
      </w:pP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rsidR="00090954" w:rsidRPr="00EB4728" w:rsidRDefault="00090954" w:rsidP="00EC70F3">
      <w:pPr>
        <w:pStyle w:val="Prrafodelista"/>
        <w:numPr>
          <w:ilvl w:val="0"/>
          <w:numId w:val="1"/>
        </w:numPr>
        <w:tabs>
          <w:tab w:val="left" w:pos="0"/>
        </w:tabs>
        <w:spacing w:line="360" w:lineRule="auto"/>
        <w:ind w:left="0" w:right="49" w:firstLine="0"/>
        <w:jc w:val="both"/>
        <w:rPr>
          <w:rFonts w:ascii="Palatino Linotype" w:hAnsi="Palatino Linotype"/>
        </w:rPr>
      </w:pPr>
      <w:r w:rsidRPr="00EB4728">
        <w:rPr>
          <w:rFonts w:ascii="Palatino Linotype" w:eastAsia="Times New Roman" w:hAnsi="Palatino Linotype" w:cs="Arial"/>
          <w:color w:val="000000" w:themeColor="text1"/>
          <w:lang w:val="es-ES"/>
        </w:rPr>
        <w:t>Consecutivamente</w:t>
      </w:r>
      <w:r w:rsidRPr="00EB4728">
        <w:rPr>
          <w:rFonts w:ascii="Palatino Linotype" w:hAnsi="Palatino Linotype"/>
          <w:i/>
        </w:rPr>
        <w:t xml:space="preserve">, </w:t>
      </w:r>
      <w:r w:rsidRPr="00EB4728">
        <w:rPr>
          <w:rFonts w:ascii="Palatino Linotype" w:hAnsi="Palatino Linotype"/>
        </w:rPr>
        <w:t xml:space="preserve">con fundamento en lo dispuesto por el artículo 185 </w:t>
      </w:r>
      <w:r w:rsidRPr="00EB4728">
        <w:rPr>
          <w:rFonts w:ascii="Palatino Linotype" w:eastAsia="Times New Roman" w:hAnsi="Palatino Linotype" w:cs="Arial"/>
          <w:color w:val="000000" w:themeColor="text1"/>
          <w:lang w:val="es-ES"/>
        </w:rPr>
        <w:t>fracción</w:t>
      </w:r>
      <w:r w:rsidRPr="00EB4728">
        <w:rPr>
          <w:rFonts w:ascii="Palatino Linotype" w:hAnsi="Palatino Linotype"/>
        </w:rPr>
        <w:t xml:space="preserve"> I de la Ley de Transparencia y Acceso a la Información Pública del Estado de </w:t>
      </w:r>
      <w:r w:rsidRPr="00EB4728">
        <w:rPr>
          <w:rFonts w:ascii="Palatino Linotype" w:hAnsi="Palatino Linotype"/>
          <w:lang w:val="es-ES"/>
        </w:rPr>
        <w:t xml:space="preserve">México y Municipios, </w:t>
      </w:r>
      <w:r w:rsidRPr="00EB4728">
        <w:rPr>
          <w:rFonts w:ascii="Palatino Linotype" w:hAnsi="Palatino Linotype"/>
        </w:rPr>
        <w:t>los recursos de referencia, fueron turnados</w:t>
      </w:r>
      <w:r w:rsidRPr="00EB4728">
        <w:rPr>
          <w:rFonts w:ascii="Palatino Linotype" w:hAnsi="Palatino Linotype"/>
          <w:b/>
          <w:lang w:val="es-ES"/>
        </w:rPr>
        <w:t xml:space="preserve"> </w:t>
      </w:r>
      <w:r w:rsidR="000F2D42" w:rsidRPr="00EB4728">
        <w:rPr>
          <w:rFonts w:ascii="Palatino Linotype" w:hAnsi="Palatino Linotype"/>
          <w:lang w:val="es-ES"/>
        </w:rPr>
        <w:t>a la</w:t>
      </w:r>
      <w:r w:rsidRPr="00EB4728">
        <w:rPr>
          <w:rFonts w:ascii="Palatino Linotype" w:hAnsi="Palatino Linotype"/>
          <w:lang w:val="es-ES"/>
        </w:rPr>
        <w:t xml:space="preserve">s </w:t>
      </w:r>
      <w:r w:rsidRPr="00EB4728">
        <w:rPr>
          <w:rFonts w:ascii="Palatino Linotype" w:hAnsi="Palatino Linotype"/>
          <w:b/>
          <w:lang w:val="es-ES"/>
        </w:rPr>
        <w:t>Comisionad</w:t>
      </w:r>
      <w:r w:rsidR="000F2D42" w:rsidRPr="00EB4728">
        <w:rPr>
          <w:rFonts w:ascii="Palatino Linotype" w:hAnsi="Palatino Linotype"/>
          <w:b/>
          <w:lang w:val="es-ES"/>
        </w:rPr>
        <w:t>a</w:t>
      </w:r>
      <w:r w:rsidRPr="00EB4728">
        <w:rPr>
          <w:rFonts w:ascii="Palatino Linotype" w:hAnsi="Palatino Linotype"/>
          <w:b/>
          <w:lang w:val="es-ES"/>
        </w:rPr>
        <w:t>s</w:t>
      </w:r>
      <w:r w:rsidR="000F2D42" w:rsidRPr="00EB4728">
        <w:rPr>
          <w:rFonts w:ascii="Palatino Linotype" w:hAnsi="Palatino Linotype"/>
          <w:b/>
          <w:lang w:val="es-ES"/>
        </w:rPr>
        <w:t xml:space="preserve"> María del Rosario Mejía Ayala </w:t>
      </w:r>
      <w:r w:rsidRPr="00EB4728">
        <w:rPr>
          <w:rFonts w:ascii="Palatino Linotype" w:hAnsi="Palatino Linotype"/>
          <w:lang w:val="es-ES"/>
        </w:rPr>
        <w:t xml:space="preserve">y </w:t>
      </w:r>
      <w:r w:rsidRPr="00EB4728">
        <w:rPr>
          <w:rFonts w:ascii="Palatino Linotype" w:hAnsi="Palatino Linotype"/>
          <w:b/>
          <w:lang w:val="es-ES"/>
        </w:rPr>
        <w:t xml:space="preserve">Guadalupe Ramírez Peña </w:t>
      </w:r>
      <w:r w:rsidRPr="00EB4728">
        <w:rPr>
          <w:rFonts w:ascii="Palatino Linotype" w:hAnsi="Palatino Linotype"/>
          <w:lang w:val="es-ES"/>
        </w:rPr>
        <w:t>respectivamente,</w:t>
      </w:r>
      <w:r w:rsidRPr="00EB4728">
        <w:rPr>
          <w:rFonts w:ascii="Palatino Linotype" w:hAnsi="Palatino Linotype"/>
          <w:b/>
          <w:lang w:val="es-ES"/>
        </w:rPr>
        <w:t xml:space="preserve"> </w:t>
      </w:r>
      <w:r w:rsidRPr="00EB4728">
        <w:rPr>
          <w:rFonts w:ascii="Palatino Linotype" w:hAnsi="Palatino Linotype"/>
          <w:lang w:val="es-ES"/>
        </w:rPr>
        <w:t>con el objeto de su análisis.</w:t>
      </w:r>
    </w:p>
    <w:p w:rsidR="00090954" w:rsidRPr="00EB4728" w:rsidRDefault="00090954" w:rsidP="00090954">
      <w:pPr>
        <w:pStyle w:val="Prrafodelista"/>
        <w:tabs>
          <w:tab w:val="left" w:pos="0"/>
        </w:tabs>
        <w:spacing w:line="360" w:lineRule="auto"/>
        <w:ind w:left="0" w:right="49"/>
        <w:jc w:val="both"/>
        <w:rPr>
          <w:rFonts w:ascii="Palatino Linotype" w:hAnsi="Palatino Linotype"/>
        </w:rPr>
      </w:pPr>
    </w:p>
    <w:p w:rsidR="00090954" w:rsidRPr="00EB4728" w:rsidRDefault="000F2D42" w:rsidP="00EC70F3">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EB4728">
        <w:rPr>
          <w:rFonts w:ascii="Palatino Linotype" w:eastAsia="Calibri" w:hAnsi="Palatino Linotype" w:cs="Arial"/>
          <w:lang w:val="es-ES"/>
        </w:rPr>
        <w:lastRenderedPageBreak/>
        <w:t>Las Comisionada</w:t>
      </w:r>
      <w:r w:rsidR="00090954" w:rsidRPr="00EB4728">
        <w:rPr>
          <w:rFonts w:ascii="Palatino Linotype" w:eastAsia="Calibri" w:hAnsi="Palatino Linotype" w:cs="Arial"/>
          <w:lang w:val="es-ES"/>
        </w:rPr>
        <w:t xml:space="preserve">s Ponentes de origen con fundamento en lo dispuesto por el artículo 185 fracción II de la ley de la materia, a través de los </w:t>
      </w:r>
      <w:r w:rsidR="00090954" w:rsidRPr="00EB4728">
        <w:rPr>
          <w:rFonts w:ascii="Palatino Linotype" w:eastAsia="Calibri" w:hAnsi="Palatino Linotype" w:cs="Arial"/>
          <w:b/>
          <w:lang w:val="es-ES"/>
        </w:rPr>
        <w:t>acuerdos de admisión</w:t>
      </w:r>
      <w:r w:rsidR="00090954" w:rsidRPr="00EB4728">
        <w:rPr>
          <w:rFonts w:ascii="Palatino Linotype" w:eastAsia="Calibri" w:hAnsi="Palatino Linotype" w:cs="Arial"/>
          <w:lang w:val="es-ES"/>
        </w:rPr>
        <w:t xml:space="preserve"> de </w:t>
      </w:r>
      <w:r w:rsidR="00EC70F3" w:rsidRPr="00EB4728">
        <w:rPr>
          <w:rFonts w:ascii="Palatino Linotype" w:eastAsia="Calibri" w:hAnsi="Palatino Linotype" w:cs="Arial"/>
          <w:lang w:val="es-ES"/>
        </w:rPr>
        <w:t>días</w:t>
      </w:r>
      <w:r w:rsidR="00090954" w:rsidRPr="00EB4728">
        <w:rPr>
          <w:rFonts w:ascii="Palatino Linotype" w:eastAsia="Calibri" w:hAnsi="Palatino Linotype" w:cs="Arial"/>
          <w:lang w:val="es-ES"/>
        </w:rPr>
        <w:t xml:space="preserve"> </w:t>
      </w:r>
      <w:r w:rsidRPr="00EB4728">
        <w:rPr>
          <w:rFonts w:ascii="Palatino Linotype" w:eastAsia="Calibri" w:hAnsi="Palatino Linotype" w:cs="Arial"/>
          <w:lang w:val="es-ES"/>
        </w:rPr>
        <w:t>veintiséis de septiembre</w:t>
      </w:r>
      <w:r w:rsidR="00EC70F3" w:rsidRPr="00EB4728">
        <w:rPr>
          <w:rFonts w:ascii="Palatino Linotype" w:eastAsia="Calibri" w:hAnsi="Palatino Linotype" w:cs="Arial"/>
          <w:lang w:val="es-ES"/>
        </w:rPr>
        <w:t xml:space="preserve"> </w:t>
      </w:r>
      <w:r w:rsidR="00090954" w:rsidRPr="00EB4728">
        <w:rPr>
          <w:rFonts w:ascii="Palatino Linotype" w:eastAsia="Calibri" w:hAnsi="Palatino Linotype" w:cs="Arial"/>
          <w:lang w:val="es-ES"/>
        </w:rPr>
        <w:t xml:space="preserve">del año en </w:t>
      </w:r>
      <w:r w:rsidR="00EC70F3" w:rsidRPr="00EB4728">
        <w:rPr>
          <w:rFonts w:ascii="Palatino Linotype" w:eastAsia="Calibri" w:hAnsi="Palatino Linotype" w:cs="Arial"/>
          <w:lang w:val="es-ES"/>
        </w:rPr>
        <w:t xml:space="preserve">dos mil </w:t>
      </w:r>
      <w:r w:rsidR="00E579A7" w:rsidRPr="00EB4728">
        <w:rPr>
          <w:rFonts w:ascii="Palatino Linotype" w:eastAsia="Calibri" w:hAnsi="Palatino Linotype" w:cs="Arial"/>
          <w:lang w:val="es-ES"/>
        </w:rPr>
        <w:t>veintidós</w:t>
      </w:r>
      <w:r w:rsidR="00090954" w:rsidRPr="00EB4728">
        <w:rPr>
          <w:rFonts w:ascii="Palatino Linotype" w:eastAsia="Calibri" w:hAnsi="Palatino Linotype" w:cs="Arial"/>
          <w:lang w:val="es-ES"/>
        </w:rPr>
        <w:t xml:space="preserve">, pusieron a disposición de las partes los expedientes electrónicos </w:t>
      </w:r>
      <w:r w:rsidR="00090954" w:rsidRPr="00EB4728">
        <w:rPr>
          <w:rFonts w:ascii="Palatino Linotype" w:eastAsia="Calibri" w:hAnsi="Palatino Linotype" w:cs="Arial"/>
        </w:rPr>
        <w:t>en la vía interpuesta</w:t>
      </w:r>
      <w:r w:rsidR="00090954" w:rsidRPr="00EB4728">
        <w:rPr>
          <w:rFonts w:ascii="Palatino Linotype" w:eastAsia="Calibri" w:hAnsi="Palatino Linotype" w:cs="Arial"/>
          <w:lang w:val="es-AR"/>
        </w:rPr>
        <w:t xml:space="preserve">; </w:t>
      </w:r>
      <w:r w:rsidR="00090954" w:rsidRPr="00EB4728">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090954" w:rsidRPr="00EB4728">
        <w:rPr>
          <w:rFonts w:ascii="Palatino Linotype" w:eastAsia="Calibri" w:hAnsi="Palatino Linotype" w:cs="Arial"/>
          <w:b/>
          <w:lang w:val="es-ES"/>
        </w:rPr>
        <w:t>SUJETO OBLIGADO</w:t>
      </w:r>
      <w:r w:rsidR="00090954" w:rsidRPr="00EB4728">
        <w:rPr>
          <w:rFonts w:ascii="Palatino Linotype" w:eastAsia="Calibri" w:hAnsi="Palatino Linotype" w:cs="Arial"/>
          <w:lang w:val="es-ES"/>
        </w:rPr>
        <w:t xml:space="preserve"> presentará los Informes Justificados procedentes.</w:t>
      </w:r>
    </w:p>
    <w:p w:rsidR="00090954" w:rsidRPr="00EB4728" w:rsidRDefault="00090954" w:rsidP="00090954">
      <w:pPr>
        <w:pStyle w:val="Prrafodelista"/>
        <w:tabs>
          <w:tab w:val="left" w:pos="426"/>
          <w:tab w:val="left" w:pos="567"/>
        </w:tabs>
        <w:spacing w:before="240" w:after="240" w:line="360" w:lineRule="auto"/>
        <w:ind w:left="0"/>
        <w:jc w:val="both"/>
        <w:rPr>
          <w:rFonts w:ascii="Palatino Linotype" w:eastAsia="Calibri" w:hAnsi="Palatino Linotype" w:cs="Arial"/>
          <w:lang w:val="es-AR"/>
        </w:rPr>
      </w:pPr>
    </w:p>
    <w:p w:rsidR="00090954" w:rsidRPr="00EB4728"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EB4728">
        <w:rPr>
          <w:rFonts w:ascii="Palatino Linotype" w:hAnsi="Palatino Linotype"/>
        </w:rPr>
        <w:t xml:space="preserve">Posteriormente el Pleno de este Órgano Autónomo, en la </w:t>
      </w:r>
      <w:r w:rsidR="000F2D42" w:rsidRPr="00EB4728">
        <w:rPr>
          <w:rFonts w:ascii="Palatino Linotype" w:hAnsi="Palatino Linotype"/>
        </w:rPr>
        <w:t>Trigésima Sexta</w:t>
      </w:r>
      <w:r w:rsidRPr="00EB4728">
        <w:rPr>
          <w:rFonts w:ascii="Palatino Linotype" w:hAnsi="Palatino Linotype"/>
        </w:rPr>
        <w:t xml:space="preserve"> Sesión </w:t>
      </w:r>
      <w:r w:rsidRPr="00EB4728">
        <w:rPr>
          <w:rFonts w:ascii="Palatino Linotype" w:eastAsia="Calibri" w:hAnsi="Palatino Linotype" w:cs="Arial"/>
          <w:lang w:val="es-ES"/>
        </w:rPr>
        <w:t>Ordinaria</w:t>
      </w:r>
      <w:r w:rsidRPr="00EB4728">
        <w:rPr>
          <w:rFonts w:ascii="Palatino Linotype" w:hAnsi="Palatino Linotype"/>
        </w:rPr>
        <w:t xml:space="preserve"> </w:t>
      </w:r>
      <w:r w:rsidRPr="00EB4728">
        <w:rPr>
          <w:rFonts w:ascii="Palatino Linotype" w:eastAsia="Calibri" w:hAnsi="Palatino Linotype" w:cs="Arial"/>
          <w:lang w:val="es-ES"/>
        </w:rPr>
        <w:t>de</w:t>
      </w:r>
      <w:r w:rsidRPr="00EB4728">
        <w:rPr>
          <w:rFonts w:ascii="Palatino Linotype" w:hAnsi="Palatino Linotype"/>
        </w:rPr>
        <w:t xml:space="preserve"> fecha </w:t>
      </w:r>
      <w:r w:rsidR="000F2D42" w:rsidRPr="00EB4728">
        <w:rPr>
          <w:rFonts w:ascii="Palatino Linotype" w:hAnsi="Palatino Linotype"/>
        </w:rPr>
        <w:t>cinco de octubre</w:t>
      </w:r>
      <w:r w:rsidRPr="00EB4728">
        <w:rPr>
          <w:rFonts w:ascii="Palatino Linotype" w:hAnsi="Palatino Linotype"/>
        </w:rPr>
        <w:t xml:space="preserve"> de dos mil veintidós; ordenó la acumulación de los recursos de revisión de mérito, a efecto de que la Ponencia de la </w:t>
      </w:r>
      <w:r w:rsidRPr="00EB4728">
        <w:rPr>
          <w:rFonts w:ascii="Palatino Linotype" w:hAnsi="Palatino Linotype"/>
          <w:b/>
        </w:rPr>
        <w:t xml:space="preserve">Comisionada María del Rosario Mejía Ayala </w:t>
      </w:r>
      <w:r w:rsidRPr="00EB4728">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EB4728">
        <w:rPr>
          <w:rFonts w:ascii="Palatino Linotype" w:hAnsi="Palatino Linotype"/>
          <w:i/>
          <w:vertAlign w:val="superscript"/>
        </w:rPr>
        <w:footnoteReference w:id="1"/>
      </w:r>
      <w:r w:rsidRPr="00EB4728">
        <w:rPr>
          <w:rFonts w:ascii="Palatino Linotype" w:hAnsi="Palatino Linotype"/>
        </w:rPr>
        <w:t>, que señala:</w:t>
      </w:r>
    </w:p>
    <w:p w:rsidR="00090954" w:rsidRPr="00EB4728" w:rsidRDefault="00090954" w:rsidP="00090954">
      <w:pPr>
        <w:pStyle w:val="Prrafodelista"/>
        <w:tabs>
          <w:tab w:val="left" w:pos="0"/>
        </w:tabs>
        <w:spacing w:line="360" w:lineRule="auto"/>
        <w:ind w:left="0" w:right="49"/>
        <w:jc w:val="both"/>
        <w:rPr>
          <w:rFonts w:ascii="Palatino Linotype" w:hAnsi="Palatino Linotype"/>
        </w:rPr>
      </w:pPr>
    </w:p>
    <w:p w:rsidR="00090954" w:rsidRPr="00EB4728" w:rsidRDefault="00090954" w:rsidP="000537B5">
      <w:pPr>
        <w:pStyle w:val="Prrafodelista"/>
        <w:tabs>
          <w:tab w:val="left" w:pos="426"/>
        </w:tabs>
        <w:ind w:left="567" w:right="618"/>
        <w:jc w:val="both"/>
        <w:rPr>
          <w:rFonts w:ascii="Palatino Linotype" w:hAnsi="Palatino Linotype"/>
          <w:i/>
          <w:lang w:val="es-ES"/>
        </w:rPr>
      </w:pPr>
      <w:r w:rsidRPr="00EB4728">
        <w:rPr>
          <w:rFonts w:ascii="Palatino Linotype" w:hAnsi="Palatino Linotype"/>
          <w:b/>
          <w:i/>
          <w:lang w:val="es-ES"/>
        </w:rPr>
        <w:t>“ONCE.</w:t>
      </w:r>
      <w:r w:rsidRPr="00EB4728">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090954" w:rsidRPr="00EB4728" w:rsidRDefault="00090954" w:rsidP="000537B5">
      <w:pPr>
        <w:pStyle w:val="Prrafodelista"/>
        <w:tabs>
          <w:tab w:val="left" w:pos="426"/>
        </w:tabs>
        <w:ind w:left="567" w:right="618"/>
        <w:jc w:val="both"/>
        <w:rPr>
          <w:rFonts w:ascii="Palatino Linotype" w:hAnsi="Palatino Linotype"/>
          <w:i/>
          <w:lang w:val="es-ES"/>
        </w:rPr>
      </w:pPr>
      <w:r w:rsidRPr="00EB4728">
        <w:rPr>
          <w:rFonts w:ascii="Palatino Linotype" w:hAnsi="Palatino Linotype"/>
          <w:i/>
          <w:lang w:val="es-ES"/>
        </w:rPr>
        <w:t>…</w:t>
      </w:r>
      <w:r w:rsidRPr="00EB4728">
        <w:rPr>
          <w:rFonts w:ascii="Palatino Linotype" w:hAnsi="Palatino Linotype"/>
          <w:i/>
          <w:lang w:val="es-ES"/>
        </w:rPr>
        <w:tab/>
      </w:r>
    </w:p>
    <w:p w:rsidR="00090954" w:rsidRPr="00EB4728" w:rsidRDefault="00090954" w:rsidP="000537B5">
      <w:pPr>
        <w:pStyle w:val="Prrafodelista"/>
        <w:tabs>
          <w:tab w:val="left" w:pos="426"/>
        </w:tabs>
        <w:ind w:left="567" w:right="618"/>
        <w:jc w:val="both"/>
        <w:rPr>
          <w:rFonts w:ascii="Palatino Linotype" w:hAnsi="Palatino Linotype"/>
          <w:i/>
          <w:lang w:val="es-ES"/>
        </w:rPr>
      </w:pPr>
      <w:r w:rsidRPr="00EB4728">
        <w:rPr>
          <w:rFonts w:ascii="Palatino Linotype" w:hAnsi="Palatino Linotype"/>
          <w:i/>
          <w:lang w:val="es-ES"/>
        </w:rPr>
        <w:t>b) Las partes o los actos impugnados sean iguales</w:t>
      </w:r>
    </w:p>
    <w:p w:rsidR="00090954" w:rsidRPr="00EB4728" w:rsidRDefault="00090954" w:rsidP="000537B5">
      <w:pPr>
        <w:pStyle w:val="Prrafodelista"/>
        <w:tabs>
          <w:tab w:val="left" w:pos="426"/>
        </w:tabs>
        <w:ind w:left="567" w:right="618"/>
        <w:jc w:val="both"/>
        <w:rPr>
          <w:rFonts w:ascii="Palatino Linotype" w:hAnsi="Palatino Linotype"/>
          <w:i/>
          <w:lang w:val="es-ES"/>
        </w:rPr>
      </w:pPr>
      <w:r w:rsidRPr="00EB4728">
        <w:rPr>
          <w:rFonts w:ascii="Palatino Linotype" w:hAnsi="Palatino Linotype"/>
          <w:i/>
          <w:lang w:val="es-ES"/>
        </w:rPr>
        <w:t>c) Cuando se trate del mismo solicitante, el mismo SUJETO OBLIGADO, aunque se trate de solicitudes diversas;</w:t>
      </w:r>
    </w:p>
    <w:p w:rsidR="00090954" w:rsidRPr="00EB4728" w:rsidRDefault="00090954" w:rsidP="000537B5">
      <w:pPr>
        <w:pStyle w:val="Prrafodelista"/>
        <w:tabs>
          <w:tab w:val="left" w:pos="426"/>
        </w:tabs>
        <w:ind w:left="567" w:right="618"/>
        <w:jc w:val="both"/>
        <w:rPr>
          <w:rFonts w:ascii="Palatino Linotype" w:hAnsi="Palatino Linotype"/>
          <w:i/>
          <w:lang w:val="es-ES"/>
        </w:rPr>
      </w:pPr>
      <w:r w:rsidRPr="00EB4728">
        <w:rPr>
          <w:rFonts w:ascii="Palatino Linotype" w:hAnsi="Palatino Linotype"/>
          <w:i/>
          <w:lang w:val="es-ES"/>
        </w:rPr>
        <w:lastRenderedPageBreak/>
        <w:t>(…)”</w:t>
      </w:r>
    </w:p>
    <w:p w:rsidR="00090954" w:rsidRPr="00EB4728" w:rsidRDefault="00090954" w:rsidP="00090954">
      <w:pPr>
        <w:pStyle w:val="Prrafodelista"/>
        <w:tabs>
          <w:tab w:val="left" w:pos="426"/>
        </w:tabs>
        <w:spacing w:line="360" w:lineRule="auto"/>
        <w:ind w:left="567" w:right="616"/>
        <w:jc w:val="both"/>
        <w:rPr>
          <w:rFonts w:ascii="Palatino Linotype" w:hAnsi="Palatino Linotype"/>
          <w:lang w:val="es-ES"/>
        </w:rPr>
      </w:pPr>
      <w:r w:rsidRPr="00EB4728">
        <w:rPr>
          <w:rFonts w:ascii="Palatino Linotype" w:hAnsi="Palatino Linotype"/>
          <w:lang w:val="es-ES"/>
        </w:rPr>
        <w:t>(Énfasis añadido)</w:t>
      </w:r>
    </w:p>
    <w:p w:rsidR="00090954" w:rsidRPr="00EB4728" w:rsidRDefault="00090954" w:rsidP="00090954">
      <w:pPr>
        <w:pStyle w:val="Prrafodelista"/>
        <w:tabs>
          <w:tab w:val="left" w:pos="426"/>
        </w:tabs>
        <w:spacing w:line="360" w:lineRule="auto"/>
        <w:ind w:left="567" w:right="616"/>
        <w:jc w:val="both"/>
        <w:rPr>
          <w:rFonts w:ascii="Palatino Linotype" w:hAnsi="Palatino Linotype"/>
          <w:lang w:val="es-ES"/>
        </w:rPr>
      </w:pPr>
    </w:p>
    <w:p w:rsidR="00090954" w:rsidRPr="00EB4728"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EB4728">
        <w:rPr>
          <w:rFonts w:ascii="Palatino Linotype" w:hAnsi="Palatino Linotype"/>
        </w:rPr>
        <w:t>Es así que,</w:t>
      </w:r>
      <w:r w:rsidRPr="00EB4728">
        <w:rPr>
          <w:rFonts w:ascii="Palatino Linotype" w:hAnsi="Palatino Linotype"/>
          <w:i/>
        </w:rPr>
        <w:t xml:space="preserve"> </w:t>
      </w:r>
      <w:r w:rsidRPr="00EB4728">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090954" w:rsidRPr="00EB4728" w:rsidRDefault="00090954" w:rsidP="00090954">
      <w:pPr>
        <w:pStyle w:val="Prrafodelista"/>
        <w:tabs>
          <w:tab w:val="left" w:pos="0"/>
        </w:tabs>
        <w:spacing w:line="360" w:lineRule="auto"/>
        <w:ind w:left="0" w:right="49"/>
        <w:jc w:val="both"/>
        <w:rPr>
          <w:rFonts w:ascii="Palatino Linotype" w:hAnsi="Palatino Linotype"/>
        </w:rPr>
      </w:pPr>
    </w:p>
    <w:p w:rsidR="00090954" w:rsidRPr="00EB4728" w:rsidRDefault="00090954" w:rsidP="000537B5">
      <w:pPr>
        <w:tabs>
          <w:tab w:val="left" w:pos="567"/>
        </w:tabs>
        <w:ind w:left="567" w:right="616"/>
        <w:jc w:val="center"/>
        <w:rPr>
          <w:rFonts w:ascii="Palatino Linotype" w:hAnsi="Palatino Linotype"/>
          <w:b/>
          <w:i/>
        </w:rPr>
      </w:pPr>
      <w:r w:rsidRPr="00EB4728">
        <w:rPr>
          <w:rFonts w:ascii="Palatino Linotype" w:hAnsi="Palatino Linotype"/>
          <w:b/>
          <w:i/>
        </w:rPr>
        <w:t>Código de Procedimientos Administrativos del Estado de México.</w:t>
      </w:r>
    </w:p>
    <w:p w:rsidR="00090954" w:rsidRPr="00EB4728" w:rsidRDefault="00090954" w:rsidP="000537B5">
      <w:pPr>
        <w:ind w:left="567" w:right="616"/>
        <w:jc w:val="both"/>
        <w:rPr>
          <w:rFonts w:ascii="Palatino Linotype" w:hAnsi="Palatino Linotype"/>
          <w:i/>
        </w:rPr>
      </w:pPr>
      <w:r w:rsidRPr="00EB4728">
        <w:rPr>
          <w:rFonts w:ascii="Palatino Linotype" w:hAnsi="Palatino Linotype"/>
          <w:b/>
          <w:i/>
        </w:rPr>
        <w:t>“Artículo 18.-</w:t>
      </w:r>
      <w:r w:rsidRPr="00EB4728">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90954" w:rsidRPr="00EB4728" w:rsidRDefault="00090954" w:rsidP="000537B5">
      <w:pPr>
        <w:tabs>
          <w:tab w:val="left" w:pos="567"/>
        </w:tabs>
        <w:ind w:right="616"/>
        <w:jc w:val="both"/>
        <w:rPr>
          <w:rFonts w:ascii="Palatino Linotype" w:hAnsi="Palatino Linotype"/>
          <w:i/>
        </w:rPr>
      </w:pPr>
    </w:p>
    <w:p w:rsidR="00090954" w:rsidRPr="00EB4728" w:rsidRDefault="00090954" w:rsidP="000537B5">
      <w:pPr>
        <w:ind w:left="567" w:right="618"/>
        <w:jc w:val="both"/>
        <w:rPr>
          <w:rFonts w:ascii="Palatino Linotype" w:hAnsi="Palatino Linotype"/>
          <w:b/>
          <w:i/>
        </w:rPr>
      </w:pPr>
      <w:r w:rsidRPr="00EB4728">
        <w:rPr>
          <w:rFonts w:ascii="Palatino Linotype" w:hAnsi="Palatino Linotype"/>
          <w:b/>
          <w:i/>
        </w:rPr>
        <w:t>Ley de Transparencia y Acceso a la Información Pública del Estado de México y Municipios</w:t>
      </w:r>
    </w:p>
    <w:p w:rsidR="00090954" w:rsidRPr="00EB4728" w:rsidRDefault="00090954" w:rsidP="000537B5">
      <w:pPr>
        <w:ind w:left="567" w:right="618"/>
        <w:jc w:val="both"/>
        <w:rPr>
          <w:rFonts w:ascii="Palatino Linotype" w:hAnsi="Palatino Linotype"/>
          <w:i/>
        </w:rPr>
      </w:pPr>
      <w:r w:rsidRPr="00EB4728">
        <w:rPr>
          <w:rFonts w:ascii="Palatino Linotype" w:hAnsi="Palatino Linotype"/>
          <w:b/>
          <w:i/>
        </w:rPr>
        <w:t>“Artículo 195.</w:t>
      </w:r>
      <w:r w:rsidRPr="00EB4728">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090954" w:rsidRPr="00EB4728" w:rsidRDefault="00090954" w:rsidP="00090954">
      <w:pPr>
        <w:spacing w:line="360" w:lineRule="auto"/>
        <w:ind w:left="567" w:right="-142"/>
        <w:contextualSpacing/>
        <w:jc w:val="both"/>
        <w:rPr>
          <w:rFonts w:ascii="Palatino Linotype" w:hAnsi="Palatino Linotype"/>
        </w:rPr>
      </w:pPr>
      <w:r w:rsidRPr="00EB4728">
        <w:rPr>
          <w:rFonts w:ascii="Palatino Linotype" w:hAnsi="Palatino Linotype"/>
        </w:rPr>
        <w:t xml:space="preserve"> (Énfasis añadido)</w:t>
      </w:r>
    </w:p>
    <w:p w:rsidR="006D7B34" w:rsidRPr="00EB4728" w:rsidRDefault="009F09BC" w:rsidP="006D7B34">
      <w:pPr>
        <w:pStyle w:val="Prrafodelista"/>
        <w:numPr>
          <w:ilvl w:val="0"/>
          <w:numId w:val="1"/>
        </w:numPr>
        <w:spacing w:before="240" w:after="240" w:line="360" w:lineRule="auto"/>
        <w:ind w:left="0" w:firstLine="0"/>
        <w:jc w:val="both"/>
        <w:rPr>
          <w:rFonts w:ascii="Palatino Linotype" w:hAnsi="Palatino Linotype"/>
        </w:rPr>
      </w:pPr>
      <w:r w:rsidRPr="00EB4728">
        <w:rPr>
          <w:rFonts w:ascii="Palatino Linotype" w:hAnsi="Palatino Linotype"/>
          <w:color w:val="000000"/>
        </w:rPr>
        <w:t xml:space="preserve">El </w:t>
      </w:r>
      <w:r w:rsidRPr="00EB4728">
        <w:rPr>
          <w:rFonts w:ascii="Palatino Linotype" w:hAnsi="Palatino Linotype"/>
          <w:b/>
          <w:color w:val="000000"/>
        </w:rPr>
        <w:t xml:space="preserve">SUJETO </w:t>
      </w:r>
      <w:r w:rsidRPr="00EB4728">
        <w:rPr>
          <w:rFonts w:ascii="Palatino Linotype" w:eastAsia="Calibri" w:hAnsi="Palatino Linotype" w:cs="Arial"/>
          <w:b/>
          <w:lang w:val="es-ES"/>
        </w:rPr>
        <w:t>OBLIGADO</w:t>
      </w:r>
      <w:r w:rsidR="007A6A1A" w:rsidRPr="00EB4728">
        <w:rPr>
          <w:rFonts w:ascii="Palatino Linotype" w:hAnsi="Palatino Linotype"/>
          <w:color w:val="000000"/>
        </w:rPr>
        <w:t xml:space="preserve"> </w:t>
      </w:r>
      <w:r w:rsidR="006D7B34" w:rsidRPr="00EB4728">
        <w:rPr>
          <w:rFonts w:ascii="Palatino Linotype" w:hAnsi="Palatino Linotype"/>
          <w:color w:val="000000"/>
        </w:rPr>
        <w:t xml:space="preserve">rindió sus informes en fecha veintiséis de octubre de dos mil veintidós, los cuales fueron notificados a la parte recurrente mediante </w:t>
      </w:r>
      <w:r w:rsidR="006D7B34" w:rsidRPr="00EB4728">
        <w:rPr>
          <w:rFonts w:ascii="Palatino Linotype" w:hAnsi="Palatino Linotype"/>
          <w:color w:val="000000"/>
        </w:rPr>
        <w:lastRenderedPageBreak/>
        <w:t xml:space="preserve">acuerdo de fecha diecisiete de mayo de dos mil veintitrés, cuyo contenido confirma la respuesta inicial, </w:t>
      </w:r>
      <w:r w:rsidR="006D7B34" w:rsidRPr="00EB4728">
        <w:rPr>
          <w:rFonts w:ascii="Palatino Linotype" w:hAnsi="Palatino Linotype"/>
          <w:i/>
          <w:color w:val="000000"/>
        </w:rPr>
        <w:t>grosso modo</w:t>
      </w:r>
      <w:r w:rsidR="006D7B34" w:rsidRPr="00EB4728">
        <w:rPr>
          <w:rFonts w:ascii="Palatino Linotype" w:hAnsi="Palatino Linotype"/>
          <w:color w:val="000000"/>
        </w:rPr>
        <w:t xml:space="preserve"> en los siguientes términos:</w:t>
      </w:r>
    </w:p>
    <w:p w:rsidR="006D7B34" w:rsidRPr="00EB4728" w:rsidRDefault="006D7B34" w:rsidP="006D7B34">
      <w:pPr>
        <w:pStyle w:val="Prrafodelista"/>
        <w:spacing w:before="240" w:after="240" w:line="360" w:lineRule="auto"/>
        <w:ind w:left="0"/>
        <w:jc w:val="both"/>
        <w:rPr>
          <w:rFonts w:ascii="Palatino Linotype" w:hAnsi="Palatino Linotype"/>
        </w:rPr>
      </w:pPr>
    </w:p>
    <w:p w:rsidR="006D7B34" w:rsidRPr="00EB4728" w:rsidRDefault="006D7B34" w:rsidP="006D7B34">
      <w:pPr>
        <w:pStyle w:val="Prrafodelista"/>
        <w:spacing w:before="240" w:after="240" w:line="360" w:lineRule="auto"/>
        <w:ind w:left="0"/>
        <w:jc w:val="center"/>
        <w:rPr>
          <w:rFonts w:ascii="Palatino Linotype" w:hAnsi="Palatino Linotype"/>
        </w:rPr>
      </w:pPr>
      <w:r w:rsidRPr="00EB4728">
        <w:rPr>
          <w:rFonts w:ascii="Palatino Linotype" w:hAnsi="Palatino Linotype"/>
          <w:noProof/>
          <w:lang w:val="es-MX" w:eastAsia="es-MX"/>
        </w:rPr>
        <w:drawing>
          <wp:inline distT="0" distB="0" distL="0" distR="0" wp14:anchorId="60FB3CA6" wp14:editId="4B5A7B19">
            <wp:extent cx="5428259" cy="5996390"/>
            <wp:effectExtent l="19050" t="19050" r="20320"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8879" cy="5997075"/>
                    </a:xfrm>
                    <a:prstGeom prst="rect">
                      <a:avLst/>
                    </a:prstGeom>
                    <a:ln>
                      <a:solidFill>
                        <a:schemeClr val="tx1"/>
                      </a:solidFill>
                    </a:ln>
                  </pic:spPr>
                </pic:pic>
              </a:graphicData>
            </a:graphic>
          </wp:inline>
        </w:drawing>
      </w:r>
    </w:p>
    <w:p w:rsidR="006D7B34" w:rsidRPr="00EB4728" w:rsidRDefault="006D7B34" w:rsidP="006D7B34">
      <w:pPr>
        <w:pStyle w:val="Prrafodelista"/>
        <w:spacing w:before="240" w:after="240" w:line="360" w:lineRule="auto"/>
        <w:ind w:left="0"/>
        <w:jc w:val="center"/>
        <w:rPr>
          <w:rFonts w:ascii="Palatino Linotype" w:hAnsi="Palatino Linotype"/>
        </w:rPr>
      </w:pPr>
      <w:r w:rsidRPr="00EB4728">
        <w:rPr>
          <w:rFonts w:ascii="Palatino Linotype" w:hAnsi="Palatino Linotype"/>
          <w:noProof/>
          <w:lang w:val="es-MX" w:eastAsia="es-MX"/>
        </w:rPr>
        <w:lastRenderedPageBreak/>
        <w:drawing>
          <wp:inline distT="0" distB="0" distL="0" distR="0" wp14:anchorId="7F92CBC7" wp14:editId="5EF90601">
            <wp:extent cx="5306691" cy="2399960"/>
            <wp:effectExtent l="19050" t="19050" r="27940"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4214" cy="2403362"/>
                    </a:xfrm>
                    <a:prstGeom prst="rect">
                      <a:avLst/>
                    </a:prstGeom>
                    <a:ln>
                      <a:solidFill>
                        <a:schemeClr val="tx1"/>
                      </a:solidFill>
                    </a:ln>
                  </pic:spPr>
                </pic:pic>
              </a:graphicData>
            </a:graphic>
          </wp:inline>
        </w:drawing>
      </w:r>
    </w:p>
    <w:p w:rsidR="006D7B34" w:rsidRPr="00EB4728" w:rsidRDefault="006D7B34" w:rsidP="006D7B34">
      <w:pPr>
        <w:pStyle w:val="Prrafodelista"/>
        <w:spacing w:before="240" w:after="240" w:line="360" w:lineRule="auto"/>
        <w:ind w:left="0"/>
        <w:jc w:val="center"/>
        <w:rPr>
          <w:rFonts w:ascii="Palatino Linotype" w:hAnsi="Palatino Linotype"/>
        </w:rPr>
      </w:pPr>
    </w:p>
    <w:p w:rsidR="009F09BC" w:rsidRPr="00EB4728" w:rsidRDefault="009F09BC" w:rsidP="00090954">
      <w:pPr>
        <w:pStyle w:val="Prrafodelista"/>
        <w:numPr>
          <w:ilvl w:val="0"/>
          <w:numId w:val="1"/>
        </w:numPr>
        <w:spacing w:before="240" w:after="240" w:line="360" w:lineRule="auto"/>
        <w:ind w:left="0" w:firstLine="0"/>
        <w:jc w:val="both"/>
        <w:rPr>
          <w:rFonts w:ascii="Palatino Linotype" w:hAnsi="Palatino Linotype"/>
        </w:rPr>
      </w:pPr>
      <w:r w:rsidRPr="00EB4728">
        <w:rPr>
          <w:rFonts w:ascii="Palatino Linotype" w:hAnsi="Palatino Linotype"/>
          <w:color w:val="000000"/>
        </w:rPr>
        <w:t xml:space="preserve">Por su parte </w:t>
      </w:r>
      <w:r w:rsidR="002B59F0" w:rsidRPr="00EB4728">
        <w:rPr>
          <w:rFonts w:ascii="Palatino Linotype" w:hAnsi="Palatino Linotype"/>
          <w:b/>
          <w:color w:val="000000"/>
        </w:rPr>
        <w:t>EL PARTICULAR</w:t>
      </w:r>
      <w:r w:rsidRPr="00EB4728">
        <w:rPr>
          <w:rFonts w:ascii="Palatino Linotype" w:hAnsi="Palatino Linotype"/>
          <w:b/>
          <w:color w:val="000000"/>
        </w:rPr>
        <w:t xml:space="preserve"> </w:t>
      </w:r>
      <w:r w:rsidR="00701315" w:rsidRPr="00EB4728">
        <w:rPr>
          <w:rFonts w:ascii="Palatino Linotype" w:hAnsi="Palatino Linotype"/>
          <w:color w:val="000000"/>
        </w:rPr>
        <w:t>dejó de realizar manifestaciones que a su derecho conviniera y asistiera</w:t>
      </w:r>
      <w:r w:rsidR="00090954" w:rsidRPr="00EB4728">
        <w:rPr>
          <w:rFonts w:ascii="Palatino Linotype" w:hAnsi="Palatino Linotype"/>
          <w:color w:val="000000"/>
        </w:rPr>
        <w:t xml:space="preserve"> en los tres</w:t>
      </w:r>
      <w:r w:rsidR="00575FDD" w:rsidRPr="00EB4728">
        <w:rPr>
          <w:rFonts w:ascii="Palatino Linotype" w:hAnsi="Palatino Linotype"/>
          <w:color w:val="000000"/>
        </w:rPr>
        <w:t xml:space="preserve"> recursos de revisión objeto de</w:t>
      </w:r>
      <w:r w:rsidR="00090954" w:rsidRPr="00EB4728">
        <w:rPr>
          <w:rFonts w:ascii="Palatino Linotype" w:hAnsi="Palatino Linotype"/>
          <w:color w:val="000000"/>
        </w:rPr>
        <w:t xml:space="preserve"> acumulación</w:t>
      </w:r>
      <w:r w:rsidR="00B04B63" w:rsidRPr="00EB4728">
        <w:rPr>
          <w:rFonts w:ascii="Palatino Linotype" w:hAnsi="Palatino Linotype"/>
          <w:color w:val="000000"/>
        </w:rPr>
        <w:t>.</w:t>
      </w:r>
    </w:p>
    <w:p w:rsidR="00ED6E75" w:rsidRPr="00EB4728" w:rsidRDefault="00ED6E75" w:rsidP="00ED6E75">
      <w:pPr>
        <w:pStyle w:val="Prrafodelista"/>
        <w:spacing w:before="240" w:after="240" w:line="360" w:lineRule="auto"/>
        <w:ind w:left="0"/>
        <w:jc w:val="both"/>
        <w:rPr>
          <w:rFonts w:ascii="Palatino Linotype" w:hAnsi="Palatino Linotype"/>
        </w:rPr>
      </w:pPr>
    </w:p>
    <w:p w:rsidR="00E16445" w:rsidRPr="00EB4728" w:rsidRDefault="00701315"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EB4728">
        <w:rPr>
          <w:rFonts w:ascii="Palatino Linotype" w:hAnsi="Palatino Linotype"/>
        </w:rPr>
        <w:t>Mediante acuerdo</w:t>
      </w:r>
      <w:r w:rsidR="00C35712" w:rsidRPr="00EB4728">
        <w:rPr>
          <w:rFonts w:ascii="Palatino Linotype" w:hAnsi="Palatino Linotype"/>
        </w:rPr>
        <w:t xml:space="preserve"> de fecha </w:t>
      </w:r>
      <w:r w:rsidR="00FF60EE" w:rsidRPr="00EB4728">
        <w:rPr>
          <w:rFonts w:ascii="Palatino Linotype" w:hAnsi="Palatino Linotype"/>
        </w:rPr>
        <w:t>doce de diciembre</w:t>
      </w:r>
      <w:r w:rsidR="00090954" w:rsidRPr="00EB4728">
        <w:rPr>
          <w:rFonts w:ascii="Palatino Linotype" w:hAnsi="Palatino Linotype"/>
        </w:rPr>
        <w:t xml:space="preserve"> de 2022 </w:t>
      </w:r>
      <w:r w:rsidR="00FF60EE" w:rsidRPr="00EB4728">
        <w:rPr>
          <w:rFonts w:ascii="Palatino Linotype" w:hAnsi="Palatino Linotype"/>
        </w:rPr>
        <w:t>se amplió el termino para resolver</w:t>
      </w:r>
      <w:r w:rsidR="00954CD6" w:rsidRPr="00EB4728">
        <w:rPr>
          <w:rFonts w:ascii="Palatino Linotype" w:hAnsi="Palatino Linotype"/>
        </w:rPr>
        <w:t xml:space="preserve"> los recursos de referencia</w:t>
      </w:r>
      <w:r w:rsidR="00FF60EE" w:rsidRPr="00EB4728">
        <w:rPr>
          <w:rFonts w:ascii="Palatino Linotype" w:hAnsi="Palatino Linotype"/>
        </w:rPr>
        <w:t xml:space="preserve">, </w:t>
      </w:r>
      <w:r w:rsidR="00E16445" w:rsidRPr="00EB4728">
        <w:rPr>
          <w:rFonts w:ascii="Palatino Linotype" w:hAnsi="Palatino Linotype"/>
        </w:rPr>
        <w:t>al respecto cabe hacer las siguientes precisiones:</w:t>
      </w:r>
    </w:p>
    <w:p w:rsidR="00E16445" w:rsidRPr="00EB4728" w:rsidRDefault="00E16445" w:rsidP="00E16445">
      <w:pPr>
        <w:pStyle w:val="Prrafodelista"/>
        <w:rPr>
          <w:rFonts w:ascii="Palatino Linotype" w:hAnsi="Palatino Linotype"/>
          <w:b/>
          <w:color w:val="000000" w:themeColor="text1"/>
        </w:rPr>
      </w:pPr>
    </w:p>
    <w:p w:rsidR="00E16445" w:rsidRPr="00EB4728" w:rsidRDefault="00E16445" w:rsidP="00E16445">
      <w:pPr>
        <w:pStyle w:val="Prrafodelista"/>
        <w:numPr>
          <w:ilvl w:val="0"/>
          <w:numId w:val="5"/>
        </w:numPr>
        <w:spacing w:line="360" w:lineRule="auto"/>
        <w:ind w:left="284" w:firstLine="0"/>
        <w:contextualSpacing w:val="0"/>
        <w:jc w:val="center"/>
        <w:rPr>
          <w:rFonts w:ascii="Palatino Linotype" w:hAnsi="Palatino Linotype"/>
          <w:b/>
        </w:rPr>
      </w:pPr>
      <w:r w:rsidRPr="00EB4728">
        <w:rPr>
          <w:rFonts w:ascii="Palatino Linotype" w:hAnsi="Palatino Linotype"/>
          <w:b/>
        </w:rPr>
        <w:t>Argumentos a considerar en las resoluciones a los recursos de revisión para justificar los fallos emitidos fuera del plazo legal de 45 días.</w:t>
      </w:r>
    </w:p>
    <w:p w:rsidR="00E16445" w:rsidRPr="00EB4728" w:rsidRDefault="00E16445" w:rsidP="00E16445">
      <w:pPr>
        <w:spacing w:line="360" w:lineRule="auto"/>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Este organismo garante no pasa por alto justificar, que la dilación en la resolución del </w:t>
      </w:r>
      <w:r w:rsidRPr="00EB4728">
        <w:rPr>
          <w:rFonts w:ascii="Palatino Linotype" w:hAnsi="Palatino Linotype"/>
          <w:lang w:val="es-MX"/>
        </w:rPr>
        <w:t>presente</w:t>
      </w:r>
      <w:r w:rsidRPr="00EB4728">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w:t>
      </w:r>
      <w:r w:rsidRPr="00EB4728">
        <w:rPr>
          <w:rFonts w:ascii="Palatino Linotype" w:hAnsi="Palatino Linotype"/>
        </w:rPr>
        <w:lastRenderedPageBreak/>
        <w:t>deben resolverse por este Instituto, circunstancia atípica que ha rebasado las capacidades técnicas y humanas del personal encargado de la proyección de las resoluciones a dichos medios de impugnación.</w:t>
      </w:r>
    </w:p>
    <w:p w:rsidR="00E16445" w:rsidRPr="00EB4728" w:rsidRDefault="00E16445" w:rsidP="00E16445">
      <w:pPr>
        <w:pStyle w:val="Prrafodelista"/>
        <w:spacing w:line="360" w:lineRule="auto"/>
        <w:ind w:left="0"/>
        <w:jc w:val="both"/>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E16445" w:rsidRPr="00EB4728" w:rsidRDefault="00E16445" w:rsidP="00E16445">
      <w:pPr>
        <w:pStyle w:val="Prrafodelista"/>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16445" w:rsidRPr="00EB4728" w:rsidRDefault="00E16445" w:rsidP="00E16445">
      <w:pPr>
        <w:spacing w:line="360" w:lineRule="auto"/>
        <w:jc w:val="both"/>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16445" w:rsidRPr="00EB4728" w:rsidRDefault="00E16445" w:rsidP="00E16445">
      <w:pPr>
        <w:spacing w:line="360" w:lineRule="auto"/>
        <w:jc w:val="both"/>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E16445" w:rsidRPr="00EB4728" w:rsidRDefault="00E16445" w:rsidP="00E16445">
      <w:pPr>
        <w:pStyle w:val="Prrafodelista"/>
        <w:numPr>
          <w:ilvl w:val="0"/>
          <w:numId w:val="6"/>
        </w:numPr>
        <w:spacing w:line="360" w:lineRule="auto"/>
        <w:jc w:val="both"/>
        <w:rPr>
          <w:rFonts w:ascii="Palatino Linotype" w:hAnsi="Palatino Linotype"/>
        </w:rPr>
      </w:pPr>
      <w:r w:rsidRPr="00EB4728">
        <w:rPr>
          <w:rFonts w:ascii="Palatino Linotype" w:hAnsi="Palatino Linotype"/>
        </w:rPr>
        <w:lastRenderedPageBreak/>
        <w:t xml:space="preserve">Complejidad del Asunto: La complejidad de la prueba, la pluralidad de sujetos procesales, el tiempo transcurrido, las características y contexto del recurso. </w:t>
      </w:r>
    </w:p>
    <w:p w:rsidR="00E16445" w:rsidRPr="00EB4728" w:rsidRDefault="00E16445" w:rsidP="00E16445">
      <w:pPr>
        <w:pStyle w:val="Prrafodelista"/>
        <w:spacing w:line="360" w:lineRule="auto"/>
        <w:ind w:left="927"/>
        <w:jc w:val="both"/>
        <w:rPr>
          <w:rFonts w:ascii="Palatino Linotype" w:hAnsi="Palatino Linotype"/>
        </w:rPr>
      </w:pPr>
    </w:p>
    <w:p w:rsidR="00E16445" w:rsidRPr="00EB4728" w:rsidRDefault="00E16445" w:rsidP="00E16445">
      <w:pPr>
        <w:pStyle w:val="Prrafodelista"/>
        <w:numPr>
          <w:ilvl w:val="0"/>
          <w:numId w:val="6"/>
        </w:numPr>
        <w:spacing w:line="360" w:lineRule="auto"/>
        <w:jc w:val="both"/>
        <w:rPr>
          <w:rFonts w:ascii="Palatino Linotype" w:hAnsi="Palatino Linotype"/>
        </w:rPr>
      </w:pPr>
      <w:r w:rsidRPr="00EB4728">
        <w:rPr>
          <w:rFonts w:ascii="Palatino Linotype" w:hAnsi="Palatino Linotype"/>
        </w:rPr>
        <w:t>Actividad Procesal del interesado. Acciones u omisiones del interesado.</w:t>
      </w:r>
    </w:p>
    <w:p w:rsidR="00E16445" w:rsidRPr="00EB4728" w:rsidRDefault="00E16445" w:rsidP="00E16445">
      <w:pPr>
        <w:spacing w:line="360" w:lineRule="auto"/>
        <w:jc w:val="both"/>
        <w:rPr>
          <w:rFonts w:ascii="Palatino Linotype" w:hAnsi="Palatino Linotype"/>
        </w:rPr>
      </w:pPr>
    </w:p>
    <w:p w:rsidR="00E16445" w:rsidRPr="00EB4728" w:rsidRDefault="00E16445" w:rsidP="00E16445">
      <w:pPr>
        <w:pStyle w:val="Prrafodelista"/>
        <w:numPr>
          <w:ilvl w:val="0"/>
          <w:numId w:val="6"/>
        </w:numPr>
        <w:spacing w:line="360" w:lineRule="auto"/>
        <w:jc w:val="both"/>
        <w:rPr>
          <w:rFonts w:ascii="Palatino Linotype" w:hAnsi="Palatino Linotype"/>
        </w:rPr>
      </w:pPr>
      <w:r w:rsidRPr="00EB4728">
        <w:rPr>
          <w:rFonts w:ascii="Palatino Linotype" w:hAnsi="Palatino Linotype"/>
        </w:rPr>
        <w:t>Conducta de la Autoridad: Las Acciones u omisiones realizadas en el procedimiento. Así como si la autoridad actuó con la debida diligencia.</w:t>
      </w:r>
    </w:p>
    <w:p w:rsidR="00E16445" w:rsidRPr="00EB4728" w:rsidRDefault="00E16445" w:rsidP="00E16445">
      <w:pPr>
        <w:pStyle w:val="Prrafodelista"/>
        <w:spacing w:line="360" w:lineRule="auto"/>
        <w:rPr>
          <w:rFonts w:ascii="Palatino Linotype" w:hAnsi="Palatino Linotype"/>
        </w:rPr>
      </w:pPr>
    </w:p>
    <w:p w:rsidR="00E16445" w:rsidRPr="00EB4728" w:rsidRDefault="00E16445" w:rsidP="00E16445">
      <w:pPr>
        <w:spacing w:line="360" w:lineRule="auto"/>
        <w:ind w:left="567"/>
        <w:jc w:val="both"/>
        <w:rPr>
          <w:rFonts w:ascii="Palatino Linotype" w:hAnsi="Palatino Linotype"/>
        </w:rPr>
      </w:pPr>
      <w:r w:rsidRPr="00EB4728">
        <w:rPr>
          <w:rFonts w:ascii="Palatino Linotype" w:hAnsi="Palatino Linotype"/>
        </w:rPr>
        <w:t>d) La afectación generada en la situación jurídica de la persona involucrada en el proceso: Violación a sus derechos humanos.</w:t>
      </w:r>
    </w:p>
    <w:p w:rsidR="00E16445" w:rsidRPr="00EB4728" w:rsidRDefault="00E16445" w:rsidP="00E16445">
      <w:pPr>
        <w:spacing w:line="360" w:lineRule="auto"/>
        <w:jc w:val="both"/>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16445" w:rsidRPr="00EB4728" w:rsidRDefault="00E16445" w:rsidP="00E16445">
      <w:pPr>
        <w:spacing w:line="360" w:lineRule="auto"/>
        <w:jc w:val="both"/>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b/>
        </w:rPr>
      </w:pPr>
      <w:r w:rsidRPr="00EB4728">
        <w:rPr>
          <w:rFonts w:ascii="Palatino Linotype" w:hAnsi="Palatino Linotype"/>
        </w:rPr>
        <w:t xml:space="preserve">Argumento que encuentra sustento en la jurisprudencia P./J. 32/92 emitida por el Pleno de la Suprema Corte de Justicia de la Nación de rubro </w:t>
      </w:r>
      <w:r w:rsidRPr="00EB4728">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EB4728">
        <w:rPr>
          <w:rFonts w:ascii="Palatino Linotype" w:hAnsi="Palatino Linotype"/>
          <w:i/>
        </w:rPr>
        <w:lastRenderedPageBreak/>
        <w:t>CARACTERÍSTICAS DEL CASO.”</w:t>
      </w:r>
      <w:r w:rsidRPr="00EB4728">
        <w:rPr>
          <w:rFonts w:ascii="Palatino Linotype" w:hAnsi="Palatino Linotype"/>
        </w:rPr>
        <w:t>, visible en la Gaceta del Seminario Judicial de la Federación con el registro digital 205635.</w:t>
      </w:r>
    </w:p>
    <w:p w:rsidR="00E16445" w:rsidRPr="00EB4728" w:rsidRDefault="00E16445" w:rsidP="00E16445">
      <w:pPr>
        <w:spacing w:line="360" w:lineRule="auto"/>
        <w:jc w:val="both"/>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16445" w:rsidRPr="00EB4728" w:rsidRDefault="00E16445" w:rsidP="00E16445">
      <w:pPr>
        <w:spacing w:line="360" w:lineRule="auto"/>
        <w:jc w:val="both"/>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E16445" w:rsidRPr="00EB4728" w:rsidRDefault="00E16445" w:rsidP="00E16445">
      <w:pPr>
        <w:spacing w:line="360" w:lineRule="auto"/>
        <w:jc w:val="both"/>
        <w:rPr>
          <w:rFonts w:ascii="Palatino Linotype" w:hAnsi="Palatino Linotype"/>
        </w:rPr>
      </w:pPr>
    </w:p>
    <w:p w:rsidR="00E16445" w:rsidRPr="00EB4728" w:rsidRDefault="00E16445" w:rsidP="00E16445">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E16445" w:rsidRPr="00EB4728" w:rsidRDefault="00E16445" w:rsidP="00E16445">
      <w:pPr>
        <w:spacing w:line="360" w:lineRule="auto"/>
        <w:jc w:val="both"/>
        <w:rPr>
          <w:rFonts w:ascii="Palatino Linotype" w:hAnsi="Palatino Linotype"/>
        </w:rPr>
      </w:pPr>
    </w:p>
    <w:p w:rsidR="00E16445" w:rsidRPr="00EB4728" w:rsidRDefault="00E16445" w:rsidP="00E16445">
      <w:pPr>
        <w:ind w:left="425" w:right="476"/>
        <w:jc w:val="both"/>
        <w:rPr>
          <w:rFonts w:ascii="Palatino Linotype" w:hAnsi="Palatino Linotype"/>
        </w:rPr>
      </w:pPr>
      <w:r w:rsidRPr="00EB4728">
        <w:rPr>
          <w:rFonts w:ascii="Palatino Linotype" w:hAnsi="Palatino Linotype"/>
        </w:rPr>
        <w:t xml:space="preserve"> </w:t>
      </w:r>
      <w:r w:rsidRPr="00EB4728">
        <w:rPr>
          <w:rFonts w:ascii="Palatino Linotype" w:hAnsi="Palatino Linotype"/>
          <w:i/>
        </w:rPr>
        <w:t xml:space="preserve">“PLAZO RAZONABLE PARA RESOLVER. DIMENSIÓN Y EFECTOS DE ESTE CONCEPTO CUANDO SE ADUCE EXCESIVA CARGA DE </w:t>
      </w:r>
      <w:r w:rsidRPr="00EB4728">
        <w:rPr>
          <w:rFonts w:ascii="Palatino Linotype" w:hAnsi="Palatino Linotype"/>
          <w:i/>
        </w:rPr>
        <w:lastRenderedPageBreak/>
        <w:t>TRABAJO.”</w:t>
      </w:r>
      <w:r w:rsidRPr="00EB4728">
        <w:rPr>
          <w:rFonts w:ascii="Palatino Linotype" w:hAnsi="Palatino Linotype"/>
        </w:rPr>
        <w:t xml:space="preserve"> consultable en el Seminario Judicial de la Federación y su gaceta, con el registro digital 2002351.</w:t>
      </w:r>
    </w:p>
    <w:p w:rsidR="00E16445" w:rsidRPr="00EB4728" w:rsidRDefault="00E16445" w:rsidP="00E16445">
      <w:pPr>
        <w:ind w:left="425" w:right="476"/>
        <w:jc w:val="both"/>
        <w:rPr>
          <w:rFonts w:ascii="Palatino Linotype" w:hAnsi="Palatino Linotype"/>
          <w:b/>
        </w:rPr>
      </w:pPr>
    </w:p>
    <w:p w:rsidR="00E16445" w:rsidRPr="00EB4728" w:rsidRDefault="00E16445" w:rsidP="00E16445">
      <w:pPr>
        <w:ind w:left="425" w:right="476"/>
        <w:jc w:val="both"/>
        <w:rPr>
          <w:rFonts w:ascii="Palatino Linotype" w:hAnsi="Palatino Linotype"/>
        </w:rPr>
      </w:pPr>
      <w:r w:rsidRPr="00EB4728">
        <w:rPr>
          <w:rFonts w:ascii="Palatino Linotype" w:hAnsi="Palatino Linotype"/>
          <w:i/>
        </w:rPr>
        <w:t>“PLAZO RAZONABLE PARA RESOLVER. CONCEPTO Y ELEMENTOS QUE LO INTEGRAN A LA LUZ DEL DERECHO INTERNACIONAL DE LOS DERECHOS HUMANOS.”</w:t>
      </w:r>
      <w:r w:rsidRPr="00EB4728">
        <w:rPr>
          <w:rFonts w:ascii="Palatino Linotype" w:hAnsi="Palatino Linotype"/>
        </w:rPr>
        <w:t>, visible en el Seminario Judicial de la Federación y su gaceta, con el registro digital 2002350.”</w:t>
      </w:r>
    </w:p>
    <w:p w:rsidR="00E16445" w:rsidRPr="00EB4728" w:rsidRDefault="00E16445" w:rsidP="00E16445">
      <w:pPr>
        <w:pStyle w:val="Prrafodelista"/>
        <w:rPr>
          <w:rFonts w:ascii="Palatino Linotype" w:hAnsi="Palatino Linotype"/>
        </w:rPr>
      </w:pPr>
    </w:p>
    <w:p w:rsidR="009F09BC" w:rsidRPr="00EB4728" w:rsidRDefault="00E16445"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EB4728">
        <w:rPr>
          <w:rFonts w:ascii="Palatino Linotype" w:hAnsi="Palatino Linotype"/>
        </w:rPr>
        <w:t>P</w:t>
      </w:r>
      <w:r w:rsidR="00FF60EE" w:rsidRPr="00EB4728">
        <w:rPr>
          <w:rFonts w:ascii="Palatino Linotype" w:hAnsi="Palatino Linotype"/>
        </w:rPr>
        <w:t>osteriormente medi</w:t>
      </w:r>
      <w:r w:rsidR="009C3553" w:rsidRPr="00EB4728">
        <w:rPr>
          <w:rFonts w:ascii="Palatino Linotype" w:hAnsi="Palatino Linotype"/>
        </w:rPr>
        <w:t>ante acuerdo de fecha veintitrés de may</w:t>
      </w:r>
      <w:r w:rsidR="00FF60EE" w:rsidRPr="00EB4728">
        <w:rPr>
          <w:rFonts w:ascii="Palatino Linotype" w:hAnsi="Palatino Linotype"/>
        </w:rPr>
        <w:t>o de dos mil veintitrés</w:t>
      </w:r>
      <w:r w:rsidR="009C3553" w:rsidRPr="00EB4728">
        <w:rPr>
          <w:rFonts w:ascii="Palatino Linotype" w:hAnsi="Palatino Linotype"/>
        </w:rPr>
        <w:t>,</w:t>
      </w:r>
      <w:r w:rsidR="00FF60EE" w:rsidRPr="00EB4728">
        <w:rPr>
          <w:rFonts w:ascii="Palatino Linotype" w:hAnsi="Palatino Linotype"/>
        </w:rPr>
        <w:t xml:space="preserve"> </w:t>
      </w:r>
      <w:r w:rsidR="00090954" w:rsidRPr="00EB4728">
        <w:rPr>
          <w:rFonts w:ascii="Palatino Linotype" w:hAnsi="Palatino Linotype"/>
        </w:rPr>
        <w:t xml:space="preserve">se decretó el cierre de </w:t>
      </w:r>
      <w:r w:rsidR="00090954" w:rsidRPr="00EB4728">
        <w:rPr>
          <w:rFonts w:ascii="Palatino Linotype" w:hAnsi="Palatino Linotype"/>
          <w:color w:val="000000"/>
        </w:rPr>
        <w:t>instrucción</w:t>
      </w:r>
      <w:r w:rsidR="00FF60EE" w:rsidRPr="00EB4728">
        <w:rPr>
          <w:rFonts w:ascii="Palatino Linotype" w:hAnsi="Palatino Linotype"/>
        </w:rPr>
        <w:t xml:space="preserve">, </w:t>
      </w:r>
      <w:r w:rsidR="009F09BC" w:rsidRPr="00EB4728">
        <w:rPr>
          <w:rFonts w:ascii="Palatino Linotype" w:hAnsi="Palatino Linotype" w:cs="Arial"/>
        </w:rPr>
        <w:t>por lo que no ha</w:t>
      </w:r>
      <w:r w:rsidR="00701315" w:rsidRPr="00EB4728">
        <w:rPr>
          <w:rFonts w:ascii="Palatino Linotype" w:hAnsi="Palatino Linotype" w:cs="Arial"/>
        </w:rPr>
        <w:t>biendo más que hacer constar, y-</w:t>
      </w:r>
      <w:r w:rsidR="00090954" w:rsidRPr="00EB4728">
        <w:rPr>
          <w:rFonts w:ascii="Palatino Linotype" w:hAnsi="Palatino Linotype" w:cs="Arial"/>
        </w:rPr>
        <w:t>------------------------------------------------------</w:t>
      </w:r>
      <w:r w:rsidR="009C3553" w:rsidRPr="00EB4728">
        <w:rPr>
          <w:rFonts w:ascii="Palatino Linotype" w:hAnsi="Palatino Linotype" w:cs="Arial"/>
        </w:rPr>
        <w:t>------------------------------------------</w:t>
      </w:r>
    </w:p>
    <w:p w:rsidR="00701315" w:rsidRPr="00EB4728" w:rsidRDefault="00701315" w:rsidP="00701315">
      <w:pPr>
        <w:pStyle w:val="Prrafodelista"/>
        <w:rPr>
          <w:rFonts w:ascii="Palatino Linotype" w:hAnsi="Palatino Linotype"/>
          <w:b/>
          <w:color w:val="000000" w:themeColor="text1"/>
        </w:rPr>
      </w:pPr>
    </w:p>
    <w:p w:rsidR="009F09BC" w:rsidRPr="00EB4728" w:rsidRDefault="009F09BC" w:rsidP="00701315">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EB4728">
        <w:rPr>
          <w:rFonts w:ascii="Palatino Linotype" w:hAnsi="Palatino Linotype"/>
          <w:b/>
          <w:color w:val="000000" w:themeColor="text1"/>
          <w:sz w:val="24"/>
          <w:szCs w:val="24"/>
        </w:rPr>
        <w:t>CONSIDERANDO</w:t>
      </w:r>
      <w:bookmarkEnd w:id="133"/>
      <w:bookmarkEnd w:id="134"/>
    </w:p>
    <w:p w:rsidR="009F09BC" w:rsidRPr="00EB4728" w:rsidRDefault="009F09BC" w:rsidP="009F09BC">
      <w:pPr>
        <w:rPr>
          <w:rFonts w:ascii="Palatino Linotype" w:hAnsi="Palatino Linotype"/>
          <w:lang w:val="es-MX" w:eastAsia="en-US"/>
        </w:rPr>
      </w:pPr>
    </w:p>
    <w:p w:rsidR="009F09BC" w:rsidRPr="00EB4728" w:rsidRDefault="009F09BC" w:rsidP="009F09BC">
      <w:pPr>
        <w:pStyle w:val="Ttulo2"/>
        <w:rPr>
          <w:rFonts w:ascii="Palatino Linotype" w:hAnsi="Palatino Linotype"/>
          <w:b/>
          <w:color w:val="auto"/>
          <w:sz w:val="24"/>
          <w:szCs w:val="24"/>
        </w:rPr>
      </w:pPr>
      <w:bookmarkStart w:id="135" w:name="_Toc491791303"/>
      <w:bookmarkStart w:id="136" w:name="_Toc83128579"/>
      <w:r w:rsidRPr="00EB4728">
        <w:rPr>
          <w:rFonts w:ascii="Palatino Linotype" w:hAnsi="Palatino Linotype"/>
          <w:b/>
          <w:color w:val="auto"/>
          <w:sz w:val="24"/>
          <w:szCs w:val="24"/>
        </w:rPr>
        <w:t>PRIMERO. De la competencia</w:t>
      </w:r>
      <w:bookmarkEnd w:id="135"/>
      <w:bookmarkEnd w:id="136"/>
    </w:p>
    <w:p w:rsidR="009F09BC" w:rsidRPr="00EB4728" w:rsidRDefault="009F09BC" w:rsidP="009F09BC">
      <w:pPr>
        <w:rPr>
          <w:rFonts w:ascii="Palatino Linotype" w:hAnsi="Palatino Linotype"/>
          <w:lang w:val="es-MX" w:eastAsia="en-US"/>
        </w:rPr>
      </w:pPr>
    </w:p>
    <w:p w:rsidR="009C3553" w:rsidRPr="00EB4728" w:rsidRDefault="009C3553" w:rsidP="009C3553">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w:t>
      </w:r>
      <w:r w:rsidRPr="00EB4728">
        <w:rPr>
          <w:rFonts w:ascii="Palatino Linotype" w:eastAsia="Calibri" w:hAnsi="Palatino Linotype" w:cs="Arial"/>
        </w:rPr>
        <w:t>apartado</w:t>
      </w:r>
      <w:r w:rsidRPr="00EB4728">
        <w:rPr>
          <w:rFonts w:ascii="Palatino Linotype" w:hAnsi="Palatino Linotype"/>
        </w:rPr>
        <w:t xml:space="preserve">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EB4728"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EB4728" w:rsidRDefault="009F09BC" w:rsidP="009F09BC">
      <w:pPr>
        <w:pStyle w:val="Ttulo2"/>
        <w:rPr>
          <w:rFonts w:ascii="Palatino Linotype" w:hAnsi="Palatino Linotype"/>
          <w:b/>
          <w:color w:val="auto"/>
          <w:sz w:val="24"/>
          <w:szCs w:val="24"/>
        </w:rPr>
      </w:pPr>
      <w:bookmarkStart w:id="137" w:name="_Toc491791304"/>
      <w:bookmarkStart w:id="138" w:name="_Toc83128580"/>
      <w:r w:rsidRPr="00EB4728">
        <w:rPr>
          <w:rFonts w:ascii="Palatino Linotype" w:hAnsi="Palatino Linotype"/>
          <w:b/>
          <w:color w:val="auto"/>
          <w:sz w:val="24"/>
          <w:szCs w:val="24"/>
        </w:rPr>
        <w:lastRenderedPageBreak/>
        <w:t>SEGUNDO. De la oportunidad y procedencia.</w:t>
      </w:r>
      <w:bookmarkEnd w:id="137"/>
      <w:bookmarkEnd w:id="138"/>
    </w:p>
    <w:p w:rsidR="009F09BC" w:rsidRPr="00EB4728" w:rsidRDefault="009F09BC" w:rsidP="009F09BC">
      <w:pPr>
        <w:rPr>
          <w:rFonts w:ascii="Palatino Linotype" w:hAnsi="Palatino Linotype"/>
          <w:lang w:val="es-MX" w:eastAsia="en-US"/>
        </w:rPr>
      </w:pPr>
    </w:p>
    <w:p w:rsidR="009F09BC" w:rsidRPr="00EB4728" w:rsidRDefault="002649F6" w:rsidP="00C85059">
      <w:pPr>
        <w:pStyle w:val="Prrafodelista"/>
        <w:numPr>
          <w:ilvl w:val="0"/>
          <w:numId w:val="1"/>
        </w:numPr>
        <w:spacing w:line="360" w:lineRule="auto"/>
        <w:ind w:left="0" w:firstLine="0"/>
        <w:jc w:val="both"/>
        <w:rPr>
          <w:rFonts w:ascii="Palatino Linotype" w:hAnsi="Palatino Linotype"/>
        </w:rPr>
      </w:pPr>
      <w:r w:rsidRPr="00EB4728">
        <w:rPr>
          <w:rFonts w:ascii="Palatino Linotype" w:eastAsia="Calibri" w:hAnsi="Palatino Linotype" w:cs="Arial"/>
        </w:rPr>
        <w:t>Los</w:t>
      </w:r>
      <w:r w:rsidR="00AD63B4" w:rsidRPr="00EB4728">
        <w:rPr>
          <w:rFonts w:ascii="Palatino Linotype" w:eastAsia="Calibri" w:hAnsi="Palatino Linotype" w:cs="Arial"/>
        </w:rPr>
        <w:t xml:space="preserve"> </w:t>
      </w:r>
      <w:r w:rsidR="009F09BC" w:rsidRPr="00EB4728">
        <w:rPr>
          <w:rFonts w:ascii="Palatino Linotype" w:eastAsia="Calibri" w:hAnsi="Palatino Linotype" w:cs="Arial"/>
        </w:rPr>
        <w:t>medio</w:t>
      </w:r>
      <w:r w:rsidRPr="00EB4728">
        <w:rPr>
          <w:rFonts w:ascii="Palatino Linotype" w:eastAsia="Calibri" w:hAnsi="Palatino Linotype" w:cs="Arial"/>
        </w:rPr>
        <w:t>s</w:t>
      </w:r>
      <w:r w:rsidR="009F09BC" w:rsidRPr="00EB4728">
        <w:rPr>
          <w:rFonts w:ascii="Palatino Linotype" w:eastAsia="Calibri" w:hAnsi="Palatino Linotype" w:cs="Arial"/>
        </w:rPr>
        <w:t xml:space="preserve"> de impugnación fue</w:t>
      </w:r>
      <w:r w:rsidRPr="00EB4728">
        <w:rPr>
          <w:rFonts w:ascii="Palatino Linotype" w:eastAsia="Calibri" w:hAnsi="Palatino Linotype" w:cs="Arial"/>
        </w:rPr>
        <w:t>ron</w:t>
      </w:r>
      <w:r w:rsidR="009F09BC" w:rsidRPr="00EB4728">
        <w:rPr>
          <w:rFonts w:ascii="Palatino Linotype" w:eastAsia="Calibri" w:hAnsi="Palatino Linotype" w:cs="Arial"/>
        </w:rPr>
        <w:t xml:space="preserve"> presentado</w:t>
      </w:r>
      <w:r w:rsidRPr="00EB4728">
        <w:rPr>
          <w:rFonts w:ascii="Palatino Linotype" w:eastAsia="Calibri" w:hAnsi="Palatino Linotype" w:cs="Arial"/>
        </w:rPr>
        <w:t>s</w:t>
      </w:r>
      <w:r w:rsidR="009F09BC" w:rsidRPr="00EB4728">
        <w:rPr>
          <w:rFonts w:ascii="Palatino Linotype" w:eastAsia="Calibri" w:hAnsi="Palatino Linotype" w:cs="Arial"/>
        </w:rPr>
        <w:t xml:space="preserve"> a través del </w:t>
      </w:r>
      <w:r w:rsidR="009F09BC" w:rsidRPr="00EB4728">
        <w:rPr>
          <w:rFonts w:ascii="Palatino Linotype" w:eastAsia="Calibri" w:hAnsi="Palatino Linotype" w:cs="Arial"/>
          <w:b/>
        </w:rPr>
        <w:t>SAIMEX,</w:t>
      </w:r>
      <w:r w:rsidRPr="00EB4728">
        <w:rPr>
          <w:rFonts w:ascii="Palatino Linotype" w:eastAsia="Calibri" w:hAnsi="Palatino Linotype" w:cs="Arial"/>
        </w:rPr>
        <w:t xml:space="preserve"> en </w:t>
      </w:r>
      <w:r w:rsidR="009F09BC" w:rsidRPr="00EB4728">
        <w:rPr>
          <w:rFonts w:ascii="Palatino Linotype" w:eastAsia="Calibri" w:hAnsi="Palatino Linotype" w:cs="Arial"/>
        </w:rPr>
        <w:t>l</w:t>
      </w:r>
      <w:r w:rsidRPr="00EB4728">
        <w:rPr>
          <w:rFonts w:ascii="Palatino Linotype" w:eastAsia="Calibri" w:hAnsi="Palatino Linotype" w:cs="Arial"/>
        </w:rPr>
        <w:t>os</w:t>
      </w:r>
      <w:r w:rsidR="009F09BC" w:rsidRPr="00EB4728">
        <w:rPr>
          <w:rFonts w:ascii="Palatino Linotype" w:eastAsia="Calibri" w:hAnsi="Palatino Linotype" w:cs="Arial"/>
        </w:rPr>
        <w:t xml:space="preserve"> formato</w:t>
      </w:r>
      <w:r w:rsidRPr="00EB4728">
        <w:rPr>
          <w:rFonts w:ascii="Palatino Linotype" w:eastAsia="Calibri" w:hAnsi="Palatino Linotype" w:cs="Arial"/>
        </w:rPr>
        <w:t>s</w:t>
      </w:r>
      <w:r w:rsidR="009F09BC" w:rsidRPr="00EB4728">
        <w:rPr>
          <w:rFonts w:ascii="Palatino Linotype" w:eastAsia="Calibri" w:hAnsi="Palatino Linotype" w:cs="Arial"/>
        </w:rPr>
        <w:t xml:space="preserve"> previamente aprobado</w:t>
      </w:r>
      <w:r w:rsidRPr="00EB4728">
        <w:rPr>
          <w:rFonts w:ascii="Palatino Linotype" w:eastAsia="Calibri" w:hAnsi="Palatino Linotype" w:cs="Arial"/>
        </w:rPr>
        <w:t>s</w:t>
      </w:r>
      <w:r w:rsidR="009F09BC" w:rsidRPr="00EB4728">
        <w:rPr>
          <w:rFonts w:ascii="Palatino Linotype" w:eastAsia="Calibri" w:hAnsi="Palatino Linotype" w:cs="Arial"/>
        </w:rPr>
        <w:t xml:space="preserve"> para tal efecto y dentro del plazo legal de quince días hábiles otorgados; para el caso en particular es de señalar que el </w:t>
      </w:r>
      <w:r w:rsidR="009F09BC" w:rsidRPr="00EB4728">
        <w:rPr>
          <w:rFonts w:ascii="Palatino Linotype" w:eastAsia="Calibri" w:hAnsi="Palatino Linotype" w:cs="Arial"/>
          <w:b/>
        </w:rPr>
        <w:t>SUJETO OBLIGADO</w:t>
      </w:r>
      <w:r w:rsidR="00425842" w:rsidRPr="00EB4728">
        <w:rPr>
          <w:rFonts w:ascii="Palatino Linotype" w:eastAsia="Calibri" w:hAnsi="Palatino Linotype" w:cs="Arial"/>
        </w:rPr>
        <w:t xml:space="preserve"> entregó su</w:t>
      </w:r>
      <w:r w:rsidRPr="00EB4728">
        <w:rPr>
          <w:rFonts w:ascii="Palatino Linotype" w:eastAsia="Calibri" w:hAnsi="Palatino Linotype" w:cs="Arial"/>
        </w:rPr>
        <w:t>s</w:t>
      </w:r>
      <w:r w:rsidR="009F09BC" w:rsidRPr="00EB4728">
        <w:rPr>
          <w:rFonts w:ascii="Palatino Linotype" w:eastAsia="Calibri" w:hAnsi="Palatino Linotype" w:cs="Arial"/>
        </w:rPr>
        <w:t xml:space="preserve"> respuesta</w:t>
      </w:r>
      <w:r w:rsidRPr="00EB4728">
        <w:rPr>
          <w:rFonts w:ascii="Palatino Linotype" w:eastAsia="Calibri" w:hAnsi="Palatino Linotype" w:cs="Arial"/>
        </w:rPr>
        <w:t>s</w:t>
      </w:r>
      <w:r w:rsidR="009F09BC" w:rsidRPr="00EB4728">
        <w:rPr>
          <w:rFonts w:ascii="Palatino Linotype" w:eastAsia="Calibri" w:hAnsi="Palatino Linotype" w:cs="Arial"/>
        </w:rPr>
        <w:t xml:space="preserve"> </w:t>
      </w:r>
      <w:r w:rsidR="00425842" w:rsidRPr="00EB4728">
        <w:rPr>
          <w:rFonts w:ascii="Palatino Linotype" w:eastAsia="Calibri" w:hAnsi="Palatino Linotype" w:cs="Arial"/>
        </w:rPr>
        <w:t>e</w:t>
      </w:r>
      <w:r w:rsidR="00E55966" w:rsidRPr="00EB4728">
        <w:rPr>
          <w:rFonts w:ascii="Palatino Linotype" w:eastAsia="Calibri" w:hAnsi="Palatino Linotype" w:cs="Arial"/>
        </w:rPr>
        <w:t xml:space="preserve">l </w:t>
      </w:r>
      <w:r w:rsidR="00FF60EE" w:rsidRPr="00EB4728">
        <w:rPr>
          <w:rFonts w:ascii="Palatino Linotype" w:eastAsia="Calibri" w:hAnsi="Palatino Linotype" w:cs="Arial"/>
        </w:rPr>
        <w:t>doce</w:t>
      </w:r>
      <w:r w:rsidR="009F09BC" w:rsidRPr="00EB4728">
        <w:rPr>
          <w:rFonts w:ascii="Palatino Linotype" w:eastAsia="Calibri" w:hAnsi="Palatino Linotype" w:cs="Arial"/>
        </w:rPr>
        <w:t xml:space="preserve"> de </w:t>
      </w:r>
      <w:r w:rsidR="00651B10" w:rsidRPr="00EB4728">
        <w:rPr>
          <w:rFonts w:ascii="Palatino Linotype" w:eastAsia="Calibri" w:hAnsi="Palatino Linotype" w:cs="Arial"/>
        </w:rPr>
        <w:t>septiembre</w:t>
      </w:r>
      <w:r w:rsidR="00425842" w:rsidRPr="00EB4728">
        <w:rPr>
          <w:rFonts w:ascii="Palatino Linotype" w:eastAsia="Calibri" w:hAnsi="Palatino Linotype" w:cs="Arial"/>
        </w:rPr>
        <w:t xml:space="preserve"> de dos mil veintidós</w:t>
      </w:r>
      <w:r w:rsidR="009F09BC" w:rsidRPr="00EB4728">
        <w:rPr>
          <w:rFonts w:ascii="Palatino Linotype" w:eastAsia="Calibri" w:hAnsi="Palatino Linotype" w:cs="Arial"/>
        </w:rPr>
        <w:t xml:space="preserve">, </w:t>
      </w:r>
      <w:r w:rsidR="009F09BC" w:rsidRPr="00EB4728">
        <w:rPr>
          <w:rFonts w:ascii="Palatino Linotype" w:hAnsi="Palatino Linotype" w:cs="Arial"/>
        </w:rPr>
        <w:t xml:space="preserve">de tal forma que </w:t>
      </w:r>
      <w:r w:rsidR="00425842" w:rsidRPr="00EB4728">
        <w:rPr>
          <w:rFonts w:ascii="Palatino Linotype" w:hAnsi="Palatino Linotype" w:cs="Arial"/>
        </w:rPr>
        <w:t>e</w:t>
      </w:r>
      <w:r w:rsidR="009F09BC" w:rsidRPr="00EB4728">
        <w:rPr>
          <w:rFonts w:ascii="Palatino Linotype" w:hAnsi="Palatino Linotype" w:cs="Arial"/>
        </w:rPr>
        <w:t>l plazo para interponer l</w:t>
      </w:r>
      <w:r w:rsidRPr="00EB4728">
        <w:rPr>
          <w:rFonts w:ascii="Palatino Linotype" w:hAnsi="Palatino Linotype" w:cs="Arial"/>
        </w:rPr>
        <w:t>os</w:t>
      </w:r>
      <w:r w:rsidR="009F09BC" w:rsidRPr="00EB4728">
        <w:rPr>
          <w:rFonts w:ascii="Palatino Linotype" w:hAnsi="Palatino Linotype" w:cs="Arial"/>
        </w:rPr>
        <w:t xml:space="preserve"> recurso</w:t>
      </w:r>
      <w:r w:rsidRPr="00EB4728">
        <w:rPr>
          <w:rFonts w:ascii="Palatino Linotype" w:hAnsi="Palatino Linotype" w:cs="Arial"/>
        </w:rPr>
        <w:t>s</w:t>
      </w:r>
      <w:r w:rsidR="009F09BC" w:rsidRPr="00EB4728">
        <w:rPr>
          <w:rFonts w:ascii="Palatino Linotype" w:hAnsi="Palatino Linotype" w:cs="Arial"/>
        </w:rPr>
        <w:t xml:space="preserve"> de revisión </w:t>
      </w:r>
      <w:r w:rsidR="00425842" w:rsidRPr="00EB4728">
        <w:rPr>
          <w:rFonts w:ascii="Palatino Linotype" w:hAnsi="Palatino Linotype" w:cs="Arial"/>
        </w:rPr>
        <w:t>transcurrió</w:t>
      </w:r>
      <w:r w:rsidR="009F09BC" w:rsidRPr="00EB4728">
        <w:rPr>
          <w:rFonts w:ascii="Palatino Linotype" w:hAnsi="Palatino Linotype" w:cs="Arial"/>
        </w:rPr>
        <w:t xml:space="preserve"> del día </w:t>
      </w:r>
      <w:r w:rsidR="00FF60EE" w:rsidRPr="00EB4728">
        <w:rPr>
          <w:rFonts w:ascii="Palatino Linotype" w:hAnsi="Palatino Linotype" w:cs="Arial"/>
        </w:rPr>
        <w:t>trece de mayo</w:t>
      </w:r>
      <w:r w:rsidR="00701315" w:rsidRPr="00EB4728">
        <w:rPr>
          <w:rFonts w:ascii="Palatino Linotype" w:hAnsi="Palatino Linotype" w:cs="Arial"/>
        </w:rPr>
        <w:t xml:space="preserve"> </w:t>
      </w:r>
      <w:r w:rsidR="00E55966" w:rsidRPr="00EB4728">
        <w:rPr>
          <w:rFonts w:ascii="Palatino Linotype" w:hAnsi="Palatino Linotype" w:cs="Arial"/>
        </w:rPr>
        <w:t xml:space="preserve">al </w:t>
      </w:r>
      <w:r w:rsidR="00FF60EE" w:rsidRPr="00EB4728">
        <w:rPr>
          <w:rFonts w:ascii="Palatino Linotype" w:hAnsi="Palatino Linotype" w:cs="Arial"/>
        </w:rPr>
        <w:t>seis</w:t>
      </w:r>
      <w:r w:rsidR="0001674C" w:rsidRPr="00EB4728">
        <w:rPr>
          <w:rFonts w:ascii="Palatino Linotype" w:hAnsi="Palatino Linotype" w:cs="Arial"/>
        </w:rPr>
        <w:t xml:space="preserve"> de </w:t>
      </w:r>
      <w:r w:rsidR="00FF60EE" w:rsidRPr="00EB4728">
        <w:rPr>
          <w:rFonts w:ascii="Palatino Linotype" w:hAnsi="Palatino Linotype" w:cs="Arial"/>
        </w:rPr>
        <w:t>junio</w:t>
      </w:r>
      <w:r w:rsidR="0001674C" w:rsidRPr="00EB4728">
        <w:rPr>
          <w:rFonts w:ascii="Palatino Linotype" w:hAnsi="Palatino Linotype" w:cs="Arial"/>
        </w:rPr>
        <w:t xml:space="preserve"> de dos mil </w:t>
      </w:r>
      <w:r w:rsidR="00425842" w:rsidRPr="00EB4728">
        <w:rPr>
          <w:rFonts w:ascii="Palatino Linotype" w:hAnsi="Palatino Linotype" w:cs="Arial"/>
        </w:rPr>
        <w:t>veintidós</w:t>
      </w:r>
      <w:r w:rsidR="0001674C" w:rsidRPr="00EB4728">
        <w:rPr>
          <w:rFonts w:ascii="Palatino Linotype" w:hAnsi="Palatino Linotype" w:cs="Arial"/>
        </w:rPr>
        <w:t>; e</w:t>
      </w:r>
      <w:r w:rsidR="009F09BC" w:rsidRPr="00EB4728">
        <w:rPr>
          <w:rFonts w:ascii="Palatino Linotype" w:hAnsi="Palatino Linotype" w:cs="Arial"/>
        </w:rPr>
        <w:t xml:space="preserve">n consecuencia, </w:t>
      </w:r>
      <w:r w:rsidR="00BD475D" w:rsidRPr="00EB4728">
        <w:rPr>
          <w:rFonts w:ascii="Palatino Linotype" w:hAnsi="Palatino Linotype" w:cs="Arial"/>
        </w:rPr>
        <w:t>e</w:t>
      </w:r>
      <w:r w:rsidR="009F09BC" w:rsidRPr="00EB4728">
        <w:rPr>
          <w:rFonts w:ascii="Palatino Linotype" w:hAnsi="Palatino Linotype" w:cs="Arial"/>
        </w:rPr>
        <w:t xml:space="preserve">l ahora </w:t>
      </w:r>
      <w:r w:rsidR="009F09BC" w:rsidRPr="00EB4728">
        <w:rPr>
          <w:rFonts w:ascii="Palatino Linotype" w:hAnsi="Palatino Linotype" w:cs="Arial"/>
          <w:b/>
        </w:rPr>
        <w:t>RECURRENTE</w:t>
      </w:r>
      <w:r w:rsidR="009F09BC" w:rsidRPr="00EB4728">
        <w:rPr>
          <w:rFonts w:ascii="Palatino Linotype" w:hAnsi="Palatino Linotype" w:cs="Arial"/>
        </w:rPr>
        <w:t xml:space="preserve"> presentó </w:t>
      </w:r>
      <w:r w:rsidR="00CA1063" w:rsidRPr="00EB4728">
        <w:rPr>
          <w:rFonts w:ascii="Palatino Linotype" w:hAnsi="Palatino Linotype" w:cs="Arial"/>
        </w:rPr>
        <w:t>su</w:t>
      </w:r>
      <w:r w:rsidRPr="00EB4728">
        <w:rPr>
          <w:rFonts w:ascii="Palatino Linotype" w:hAnsi="Palatino Linotype" w:cs="Arial"/>
        </w:rPr>
        <w:t>s</w:t>
      </w:r>
      <w:r w:rsidR="00CA1063" w:rsidRPr="00EB4728">
        <w:rPr>
          <w:rFonts w:ascii="Palatino Linotype" w:hAnsi="Palatino Linotype" w:cs="Arial"/>
        </w:rPr>
        <w:t xml:space="preserve"> inconformidad</w:t>
      </w:r>
      <w:r w:rsidRPr="00EB4728">
        <w:rPr>
          <w:rFonts w:ascii="Palatino Linotype" w:hAnsi="Palatino Linotype" w:cs="Arial"/>
        </w:rPr>
        <w:t>es</w:t>
      </w:r>
      <w:r w:rsidR="00CA1063" w:rsidRPr="00EB4728">
        <w:rPr>
          <w:rFonts w:ascii="Palatino Linotype" w:hAnsi="Palatino Linotype" w:cs="Arial"/>
        </w:rPr>
        <w:t xml:space="preserve"> el día </w:t>
      </w:r>
      <w:r w:rsidR="00CE7423" w:rsidRPr="00EB4728">
        <w:rPr>
          <w:rFonts w:ascii="Palatino Linotype" w:hAnsi="Palatino Linotype" w:cs="Arial"/>
        </w:rPr>
        <w:t>veintiuno de septiembre</w:t>
      </w:r>
      <w:r w:rsidR="007142D6" w:rsidRPr="00EB4728">
        <w:rPr>
          <w:rFonts w:ascii="Palatino Linotype" w:hAnsi="Palatino Linotype" w:cs="Arial"/>
        </w:rPr>
        <w:t xml:space="preserve"> de dos mil veintidós</w:t>
      </w:r>
      <w:r w:rsidR="009F09BC" w:rsidRPr="00EB4728">
        <w:rPr>
          <w:rFonts w:ascii="Palatino Linotype" w:hAnsi="Palatino Linotype" w:cs="Arial"/>
        </w:rPr>
        <w:t xml:space="preserve">; </w:t>
      </w:r>
      <w:r w:rsidR="0062406B" w:rsidRPr="00EB4728">
        <w:rPr>
          <w:rFonts w:ascii="Palatino Linotype" w:hAnsi="Palatino Linotype" w:cs="Arial"/>
        </w:rPr>
        <w:t xml:space="preserve">es decir </w:t>
      </w:r>
      <w:r w:rsidR="0082142B" w:rsidRPr="00EB4728">
        <w:rPr>
          <w:rFonts w:ascii="Palatino Linotype" w:hAnsi="Palatino Linotype" w:cs="Arial"/>
        </w:rPr>
        <w:t>dentro d</w:t>
      </w:r>
      <w:r w:rsidR="009F09BC" w:rsidRPr="00EB4728">
        <w:rPr>
          <w:rFonts w:ascii="Palatino Linotype" w:hAnsi="Palatino Linotype" w:cs="Arial"/>
        </w:rPr>
        <w:t>el lapso legalmente establecido para tal efecto.</w:t>
      </w:r>
    </w:p>
    <w:p w:rsidR="0062406B" w:rsidRPr="00EB4728" w:rsidRDefault="0062406B" w:rsidP="0062406B">
      <w:pPr>
        <w:pStyle w:val="Prrafodelista"/>
        <w:spacing w:line="360" w:lineRule="auto"/>
        <w:ind w:left="0"/>
        <w:jc w:val="both"/>
        <w:rPr>
          <w:rFonts w:ascii="Palatino Linotype" w:hAnsi="Palatino Linotype"/>
        </w:rPr>
      </w:pPr>
    </w:p>
    <w:p w:rsidR="00456048" w:rsidRPr="00EB4728" w:rsidRDefault="00456048" w:rsidP="00C8505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Por otro lado, de la revisión al expediente electrónico del SAIMEX se desprende que la </w:t>
      </w:r>
      <w:r w:rsidRPr="00EB4728">
        <w:rPr>
          <w:rFonts w:ascii="Palatino Linotype" w:eastAsia="Calibri" w:hAnsi="Palatino Linotype" w:cs="Arial"/>
        </w:rPr>
        <w:t>parte</w:t>
      </w:r>
      <w:r w:rsidRPr="00EB4728">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456048" w:rsidRPr="00EB4728" w:rsidRDefault="00456048" w:rsidP="00BD475D">
      <w:pPr>
        <w:rPr>
          <w:rFonts w:ascii="Palatino Linotype" w:hAnsi="Palatino Linotype"/>
        </w:rPr>
      </w:pPr>
    </w:p>
    <w:p w:rsidR="00456048" w:rsidRPr="00EB4728" w:rsidRDefault="00456048" w:rsidP="00C8505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w:t>
      </w:r>
      <w:r w:rsidRPr="00EB4728">
        <w:rPr>
          <w:rFonts w:ascii="Palatino Linotype" w:hAnsi="Palatino Linotype"/>
        </w:rPr>
        <w:lastRenderedPageBreak/>
        <w:t>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456048" w:rsidRPr="00EB4728" w:rsidRDefault="00456048" w:rsidP="00456048">
      <w:pPr>
        <w:pStyle w:val="Prrafodelista"/>
        <w:rPr>
          <w:rFonts w:ascii="Palatino Linotype" w:hAnsi="Palatino Linotype"/>
        </w:rPr>
      </w:pPr>
    </w:p>
    <w:p w:rsidR="00456048" w:rsidRPr="00EB4728" w:rsidRDefault="00456048" w:rsidP="00C8505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56048" w:rsidRPr="00EB4728" w:rsidRDefault="00456048" w:rsidP="00456048">
      <w:pPr>
        <w:pStyle w:val="Prrafodelista"/>
        <w:rPr>
          <w:rFonts w:ascii="Palatino Linotype" w:hAnsi="Palatino Linotype"/>
        </w:rPr>
      </w:pPr>
    </w:p>
    <w:p w:rsidR="00456048" w:rsidRPr="00EB4728" w:rsidRDefault="00456048" w:rsidP="00C8505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456048" w:rsidRPr="00EB4728" w:rsidRDefault="00456048" w:rsidP="00456048">
      <w:pPr>
        <w:pStyle w:val="Prrafodelista"/>
        <w:rPr>
          <w:rFonts w:ascii="Palatino Linotype" w:hAnsi="Palatino Linotype"/>
        </w:rPr>
      </w:pPr>
    </w:p>
    <w:p w:rsidR="00456048" w:rsidRPr="00EB4728" w:rsidRDefault="00456048" w:rsidP="00C8505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9F09BC" w:rsidRPr="00EB4728" w:rsidRDefault="009F09BC" w:rsidP="00C85059">
      <w:pPr>
        <w:pStyle w:val="Prrafodelista"/>
        <w:numPr>
          <w:ilvl w:val="0"/>
          <w:numId w:val="1"/>
        </w:numPr>
        <w:spacing w:line="360" w:lineRule="auto"/>
        <w:ind w:left="0" w:firstLine="0"/>
        <w:jc w:val="both"/>
        <w:rPr>
          <w:rFonts w:ascii="Palatino Linotype" w:hAnsi="Palatino Linotype"/>
        </w:rPr>
      </w:pPr>
      <w:r w:rsidRPr="00EB4728">
        <w:rPr>
          <w:rFonts w:ascii="Palatino Linotype" w:eastAsia="Calibri" w:hAnsi="Palatino Linotype" w:cs="Arial"/>
        </w:rPr>
        <w:lastRenderedPageBreak/>
        <w:t xml:space="preserve">Asimismo, </w:t>
      </w:r>
      <w:r w:rsidR="00CF0D2B" w:rsidRPr="00EB4728">
        <w:rPr>
          <w:rFonts w:ascii="Palatino Linotype" w:eastAsia="Calibri" w:hAnsi="Palatino Linotype" w:cs="Arial"/>
        </w:rPr>
        <w:t>e</w:t>
      </w:r>
      <w:r w:rsidRPr="00EB4728">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F60EE" w:rsidRPr="00EB4728" w:rsidRDefault="00FF60EE" w:rsidP="00FF60EE">
      <w:pPr>
        <w:pStyle w:val="Prrafodelista"/>
        <w:rPr>
          <w:rFonts w:ascii="Palatino Linotype" w:hAnsi="Palatino Linotype"/>
        </w:rPr>
      </w:pPr>
    </w:p>
    <w:p w:rsidR="009F09BC" w:rsidRPr="00EB4728" w:rsidRDefault="00FF73DB" w:rsidP="00CF0D2B">
      <w:pPr>
        <w:pStyle w:val="Ttulo1"/>
        <w:spacing w:before="0" w:line="360" w:lineRule="auto"/>
        <w:rPr>
          <w:rFonts w:ascii="Palatino Linotype" w:hAnsi="Palatino Linotype"/>
          <w:b/>
          <w:color w:val="000000" w:themeColor="text1"/>
          <w:sz w:val="24"/>
          <w:szCs w:val="24"/>
        </w:rPr>
      </w:pPr>
      <w:bookmarkStart w:id="139" w:name="_Toc87274189"/>
      <w:r w:rsidRPr="00EB4728">
        <w:rPr>
          <w:rFonts w:ascii="Palatino Linotype" w:hAnsi="Palatino Linotype" w:cs="Arial"/>
          <w:b/>
          <w:color w:val="000000" w:themeColor="text1"/>
          <w:sz w:val="24"/>
          <w:szCs w:val="24"/>
        </w:rPr>
        <w:t xml:space="preserve">TERCERO. </w:t>
      </w:r>
      <w:bookmarkStart w:id="140" w:name="_Toc34246179"/>
      <w:bookmarkStart w:id="141" w:name="_Toc50033991"/>
      <w:bookmarkStart w:id="142" w:name="_Toc51259588"/>
      <w:bookmarkStart w:id="143" w:name="_Toc83128581"/>
      <w:bookmarkStart w:id="144" w:name="_Toc501021589"/>
      <w:bookmarkEnd w:id="139"/>
      <w:r w:rsidR="009F09BC" w:rsidRPr="00EB4728">
        <w:rPr>
          <w:rFonts w:ascii="Palatino Linotype" w:hAnsi="Palatino Linotype"/>
          <w:b/>
          <w:color w:val="000000" w:themeColor="text1"/>
          <w:sz w:val="24"/>
          <w:szCs w:val="24"/>
        </w:rPr>
        <w:t>De</w:t>
      </w:r>
      <w:r w:rsidRPr="00EB4728">
        <w:rPr>
          <w:rFonts w:ascii="Palatino Linotype" w:hAnsi="Palatino Linotype"/>
          <w:b/>
          <w:color w:val="000000" w:themeColor="text1"/>
          <w:sz w:val="24"/>
          <w:szCs w:val="24"/>
        </w:rPr>
        <w:t xml:space="preserve">l planteamiento de la </w:t>
      </w:r>
      <w:r w:rsidRPr="00EB4728">
        <w:rPr>
          <w:rFonts w:ascii="Palatino Linotype" w:hAnsi="Palatino Linotype"/>
          <w:b/>
          <w:i/>
          <w:color w:val="000000" w:themeColor="text1"/>
          <w:sz w:val="24"/>
          <w:szCs w:val="24"/>
        </w:rPr>
        <w:t>Litis</w:t>
      </w:r>
      <w:r w:rsidR="009F09BC" w:rsidRPr="00EB4728">
        <w:rPr>
          <w:rFonts w:ascii="Palatino Linotype" w:hAnsi="Palatino Linotype"/>
          <w:b/>
          <w:color w:val="000000" w:themeColor="text1"/>
          <w:sz w:val="24"/>
          <w:szCs w:val="24"/>
        </w:rPr>
        <w:t>.</w:t>
      </w:r>
      <w:bookmarkEnd w:id="140"/>
      <w:bookmarkEnd w:id="141"/>
      <w:bookmarkEnd w:id="142"/>
      <w:bookmarkEnd w:id="143"/>
      <w:bookmarkEnd w:id="144"/>
    </w:p>
    <w:p w:rsidR="009F09BC" w:rsidRPr="00EB4728" w:rsidRDefault="009F09BC" w:rsidP="009F09BC">
      <w:pPr>
        <w:rPr>
          <w:rFonts w:ascii="Palatino Linotype" w:hAnsi="Palatino Linotype"/>
          <w:lang w:val="es-MX" w:eastAsia="en-US"/>
        </w:rPr>
      </w:pPr>
    </w:p>
    <w:p w:rsidR="009F09BC" w:rsidRPr="00EB4728" w:rsidRDefault="009F09BC" w:rsidP="00EF0A0B">
      <w:pPr>
        <w:pStyle w:val="Prrafodelista"/>
        <w:numPr>
          <w:ilvl w:val="0"/>
          <w:numId w:val="1"/>
        </w:numPr>
        <w:spacing w:line="360" w:lineRule="auto"/>
        <w:ind w:left="0" w:firstLine="0"/>
        <w:jc w:val="both"/>
        <w:rPr>
          <w:rFonts w:ascii="Palatino Linotype" w:hAnsi="Palatino Linotype" w:cs="Arial"/>
        </w:rPr>
      </w:pPr>
      <w:r w:rsidRPr="00EB4728">
        <w:rPr>
          <w:rFonts w:ascii="Palatino Linotype" w:hAnsi="Palatino Linotype" w:cs="Arial"/>
        </w:rPr>
        <w:t xml:space="preserve">Se </w:t>
      </w:r>
      <w:r w:rsidRPr="00EB4728">
        <w:rPr>
          <w:rFonts w:ascii="Palatino Linotype" w:eastAsia="Calibri" w:hAnsi="Palatino Linotype" w:cs="Arial"/>
        </w:rPr>
        <w:t>solicitó</w:t>
      </w:r>
      <w:r w:rsidRPr="00EB4728">
        <w:rPr>
          <w:rFonts w:ascii="Palatino Linotype" w:hAnsi="Palatino Linotype" w:cs="Arial"/>
        </w:rPr>
        <w:t xml:space="preserve"> </w:t>
      </w:r>
      <w:r w:rsidR="00AD63B4" w:rsidRPr="00EB4728">
        <w:rPr>
          <w:rFonts w:ascii="Palatino Linotype" w:hAnsi="Palatino Linotype" w:cs="Arial"/>
        </w:rPr>
        <w:t xml:space="preserve">tener acceso, a la </w:t>
      </w:r>
      <w:r w:rsidRPr="00EB4728">
        <w:rPr>
          <w:rFonts w:ascii="Palatino Linotype" w:hAnsi="Palatino Linotype" w:cs="Arial"/>
        </w:rPr>
        <w:t>información que</w:t>
      </w:r>
      <w:r w:rsidR="00E55966" w:rsidRPr="00EB4728">
        <w:rPr>
          <w:rFonts w:ascii="Palatino Linotype" w:hAnsi="Palatino Linotype" w:cs="Arial"/>
        </w:rPr>
        <w:t xml:space="preserve"> se ha tenido a bien transcribir en el párrafo 1 de la presente resolución, a la que el </w:t>
      </w:r>
      <w:r w:rsidR="00E55966" w:rsidRPr="00EB4728">
        <w:rPr>
          <w:rFonts w:ascii="Palatino Linotype" w:hAnsi="Palatino Linotype" w:cs="Arial"/>
          <w:b/>
        </w:rPr>
        <w:t>SUJETO OBLIGADO</w:t>
      </w:r>
      <w:r w:rsidR="00E55966" w:rsidRPr="00EB4728">
        <w:rPr>
          <w:rFonts w:ascii="Palatino Linotype" w:hAnsi="Palatino Linotype" w:cs="Arial"/>
        </w:rPr>
        <w:t xml:space="preserve"> dio contestación </w:t>
      </w:r>
      <w:r w:rsidR="0024187E" w:rsidRPr="00EB4728">
        <w:rPr>
          <w:rFonts w:ascii="Palatino Linotype" w:hAnsi="Palatino Linotype" w:cs="Arial"/>
        </w:rPr>
        <w:t>señalando que se ponía en consulta directa lo requerido</w:t>
      </w:r>
      <w:r w:rsidR="00B04B63" w:rsidRPr="00EB4728">
        <w:rPr>
          <w:rFonts w:ascii="Palatino Linotype" w:hAnsi="Palatino Linotype" w:cs="Arial"/>
        </w:rPr>
        <w:t xml:space="preserve">, </w:t>
      </w:r>
      <w:r w:rsidR="00A02E71" w:rsidRPr="00EB4728">
        <w:rPr>
          <w:rFonts w:ascii="Palatino Linotype" w:hAnsi="Palatino Linotype" w:cs="Arial"/>
        </w:rPr>
        <w:t xml:space="preserve">inconforme con la respuesta </w:t>
      </w:r>
      <w:r w:rsidR="002B59F0" w:rsidRPr="00EB4728">
        <w:rPr>
          <w:rFonts w:ascii="Palatino Linotype" w:hAnsi="Palatino Linotype" w:cs="Arial"/>
          <w:b/>
        </w:rPr>
        <w:t>EL PARTICULAR</w:t>
      </w:r>
      <w:r w:rsidRPr="00EB4728">
        <w:rPr>
          <w:rFonts w:ascii="Palatino Linotype" w:hAnsi="Palatino Linotype" w:cs="Arial"/>
        </w:rPr>
        <w:t xml:space="preserve">, expuso </w:t>
      </w:r>
      <w:r w:rsidR="00CF0D2B" w:rsidRPr="00EB4728">
        <w:rPr>
          <w:rFonts w:ascii="Palatino Linotype" w:hAnsi="Palatino Linotype" w:cs="Arial"/>
          <w:i/>
        </w:rPr>
        <w:t>grosso modo</w:t>
      </w:r>
      <w:r w:rsidR="00CF0D2B" w:rsidRPr="00EB4728">
        <w:rPr>
          <w:rFonts w:ascii="Palatino Linotype" w:hAnsi="Palatino Linotype" w:cs="Arial"/>
        </w:rPr>
        <w:t xml:space="preserve"> </w:t>
      </w:r>
      <w:r w:rsidRPr="00EB4728">
        <w:rPr>
          <w:rFonts w:ascii="Palatino Linotype" w:hAnsi="Palatino Linotype" w:cs="Arial"/>
        </w:rPr>
        <w:t xml:space="preserve">su </w:t>
      </w:r>
      <w:r w:rsidR="00403D64" w:rsidRPr="00EB4728">
        <w:rPr>
          <w:rFonts w:ascii="Palatino Linotype" w:hAnsi="Palatino Linotype" w:cs="Arial"/>
        </w:rPr>
        <w:t xml:space="preserve">inconformidad </w:t>
      </w:r>
      <w:r w:rsidR="009D0241" w:rsidRPr="00EB4728">
        <w:rPr>
          <w:rFonts w:ascii="Palatino Linotype" w:hAnsi="Palatino Linotype" w:cs="Arial"/>
        </w:rPr>
        <w:t xml:space="preserve">por </w:t>
      </w:r>
      <w:r w:rsidR="00CE7423" w:rsidRPr="00EB4728">
        <w:rPr>
          <w:rFonts w:ascii="Palatino Linotype" w:hAnsi="Palatino Linotype" w:cs="Arial"/>
        </w:rPr>
        <w:t>declinación de incompetencia del órgano de control interno para atender las solicitudes de información</w:t>
      </w:r>
      <w:r w:rsidR="00403D64" w:rsidRPr="00EB4728">
        <w:rPr>
          <w:rFonts w:ascii="Palatino Linotype" w:hAnsi="Palatino Linotype" w:cs="Arial"/>
        </w:rPr>
        <w:t>.</w:t>
      </w:r>
    </w:p>
    <w:p w:rsidR="0074110E" w:rsidRPr="00EB4728" w:rsidRDefault="0074110E" w:rsidP="0074110E">
      <w:pPr>
        <w:spacing w:line="360" w:lineRule="auto"/>
        <w:contextualSpacing/>
        <w:jc w:val="both"/>
        <w:rPr>
          <w:rFonts w:ascii="Palatino Linotype" w:hAnsi="Palatino Linotype" w:cs="Arial"/>
        </w:rPr>
      </w:pPr>
    </w:p>
    <w:p w:rsidR="009F09BC" w:rsidRPr="00EB4728" w:rsidRDefault="009F09BC" w:rsidP="00CE7423">
      <w:pPr>
        <w:pStyle w:val="Prrafodelista"/>
        <w:numPr>
          <w:ilvl w:val="0"/>
          <w:numId w:val="1"/>
        </w:numPr>
        <w:spacing w:line="360" w:lineRule="auto"/>
        <w:ind w:left="0" w:firstLine="0"/>
        <w:jc w:val="both"/>
        <w:rPr>
          <w:rFonts w:ascii="Palatino Linotype" w:eastAsia="MS Mincho" w:hAnsi="Palatino Linotype" w:cs="Arial"/>
        </w:rPr>
      </w:pPr>
      <w:r w:rsidRPr="00EB4728">
        <w:rPr>
          <w:rFonts w:ascii="Palatino Linotype" w:eastAsia="MS Mincho" w:hAnsi="Palatino Linotype" w:cs="Arial"/>
        </w:rPr>
        <w:t xml:space="preserve">En </w:t>
      </w:r>
      <w:r w:rsidRPr="00EB4728">
        <w:rPr>
          <w:rFonts w:ascii="Palatino Linotype" w:hAnsi="Palatino Linotype" w:cs="Arial"/>
          <w:lang w:eastAsia="es-MX"/>
        </w:rPr>
        <w:t>dichas</w:t>
      </w:r>
      <w:r w:rsidRPr="00EB4728">
        <w:rPr>
          <w:rFonts w:ascii="Palatino Linotype" w:eastAsia="Times New Roman" w:hAnsi="Palatino Linotype" w:cs="Arial"/>
        </w:rPr>
        <w:t xml:space="preserve"> condiciones, la </w:t>
      </w:r>
      <w:r w:rsidRPr="00EB4728">
        <w:rPr>
          <w:rFonts w:ascii="Palatino Linotype" w:eastAsia="Times New Roman" w:hAnsi="Palatino Linotype" w:cs="Arial"/>
          <w:i/>
        </w:rPr>
        <w:t>Litis</w:t>
      </w:r>
      <w:r w:rsidRPr="00EB4728">
        <w:rPr>
          <w:rFonts w:ascii="Palatino Linotype" w:eastAsia="Times New Roman" w:hAnsi="Palatino Linotype" w:cs="Arial"/>
        </w:rPr>
        <w:t xml:space="preserve"> a resolver en este recurso se circunscribe a determinar si </w:t>
      </w:r>
      <w:r w:rsidR="007142AB" w:rsidRPr="00EB4728">
        <w:rPr>
          <w:rFonts w:ascii="Palatino Linotype" w:eastAsia="MS Mincho" w:hAnsi="Palatino Linotype" w:cs="Arial"/>
        </w:rPr>
        <w:t>se actualiza</w:t>
      </w:r>
      <w:r w:rsidRPr="00EB4728">
        <w:rPr>
          <w:rFonts w:ascii="Palatino Linotype" w:eastAsia="MS Mincho" w:hAnsi="Palatino Linotype" w:cs="Arial"/>
        </w:rPr>
        <w:t xml:space="preserve"> la causal de procedencia prevista en el artículo 179, </w:t>
      </w:r>
      <w:r w:rsidR="0024187E" w:rsidRPr="00EB4728">
        <w:rPr>
          <w:rFonts w:ascii="Palatino Linotype" w:eastAsia="MS Mincho" w:hAnsi="Palatino Linotype" w:cs="Arial"/>
          <w:b/>
        </w:rPr>
        <w:t>fracciones</w:t>
      </w:r>
      <w:r w:rsidRPr="00EB4728">
        <w:rPr>
          <w:rFonts w:ascii="Palatino Linotype" w:eastAsia="MS Mincho" w:hAnsi="Palatino Linotype" w:cs="Arial"/>
          <w:b/>
        </w:rPr>
        <w:t xml:space="preserve"> </w:t>
      </w:r>
      <w:r w:rsidR="00CE7423" w:rsidRPr="00EB4728">
        <w:rPr>
          <w:rFonts w:ascii="Palatino Linotype" w:eastAsia="MS Mincho" w:hAnsi="Palatino Linotype" w:cs="Arial"/>
          <w:b/>
        </w:rPr>
        <w:t>I</w:t>
      </w:r>
      <w:r w:rsidR="0024187E" w:rsidRPr="00EB4728">
        <w:rPr>
          <w:rFonts w:ascii="Palatino Linotype" w:eastAsia="MS Mincho" w:hAnsi="Palatino Linotype" w:cs="Arial"/>
          <w:b/>
        </w:rPr>
        <w:t>V</w:t>
      </w:r>
      <w:r w:rsidRPr="00EB4728">
        <w:rPr>
          <w:rFonts w:ascii="Palatino Linotype" w:eastAsia="MS Mincho" w:hAnsi="Palatino Linotype" w:cs="Arial"/>
        </w:rPr>
        <w:t xml:space="preserve"> de la </w:t>
      </w:r>
      <w:r w:rsidRPr="00EB4728">
        <w:rPr>
          <w:rFonts w:ascii="Palatino Linotype" w:eastAsia="MS Mincho" w:hAnsi="Palatino Linotype" w:cs="Arial"/>
          <w:b/>
        </w:rPr>
        <w:t>Ley de Transparencia y Acceso a la Información Pública del Estado de México y Municipios</w:t>
      </w:r>
      <w:r w:rsidRPr="00EB4728">
        <w:rPr>
          <w:rFonts w:ascii="Palatino Linotype" w:eastAsia="MS Mincho" w:hAnsi="Palatino Linotype" w:cs="Arial"/>
        </w:rPr>
        <w:t xml:space="preserve">; </w:t>
      </w:r>
      <w:r w:rsidR="00CE7423" w:rsidRPr="00EB4728">
        <w:rPr>
          <w:rFonts w:ascii="Palatino Linotype" w:eastAsia="Times New Roman" w:hAnsi="Palatino Linotype" w:cs="Arial"/>
          <w:color w:val="000000" w:themeColor="text1"/>
          <w:lang w:val="es-ES" w:eastAsia="es-MX"/>
        </w:rPr>
        <w:t>fracción</w:t>
      </w:r>
      <w:r w:rsidRPr="00EB4728">
        <w:rPr>
          <w:rFonts w:ascii="Palatino Linotype" w:eastAsia="Times New Roman" w:hAnsi="Palatino Linotype" w:cs="Arial"/>
          <w:color w:val="000000" w:themeColor="text1"/>
          <w:lang w:val="es-ES" w:eastAsia="es-MX"/>
        </w:rPr>
        <w:t xml:space="preserve"> que determina </w:t>
      </w:r>
      <w:r w:rsidR="005B6702" w:rsidRPr="00EB4728">
        <w:rPr>
          <w:rFonts w:ascii="Palatino Linotype" w:eastAsia="Times New Roman" w:hAnsi="Palatino Linotype" w:cs="Arial"/>
          <w:color w:val="000000" w:themeColor="text1"/>
          <w:lang w:val="es-ES" w:eastAsia="es-MX"/>
        </w:rPr>
        <w:t>la</w:t>
      </w:r>
      <w:r w:rsidR="0024187E" w:rsidRPr="00EB4728">
        <w:rPr>
          <w:rFonts w:ascii="Palatino Linotype" w:eastAsia="Times New Roman" w:hAnsi="Palatino Linotype" w:cs="Arial"/>
          <w:color w:val="000000" w:themeColor="text1"/>
          <w:lang w:val="es-ES" w:eastAsia="es-MX"/>
        </w:rPr>
        <w:t>s</w:t>
      </w:r>
      <w:r w:rsidR="005B6702" w:rsidRPr="00EB4728">
        <w:rPr>
          <w:rFonts w:ascii="Palatino Linotype" w:eastAsia="Times New Roman" w:hAnsi="Palatino Linotype" w:cs="Arial"/>
          <w:color w:val="000000" w:themeColor="text1"/>
          <w:lang w:val="es-ES" w:eastAsia="es-MX"/>
        </w:rPr>
        <w:t xml:space="preserve"> hipótesis jurídica</w:t>
      </w:r>
      <w:r w:rsidR="0024187E" w:rsidRPr="00EB4728">
        <w:rPr>
          <w:rFonts w:ascii="Palatino Linotype" w:eastAsia="Times New Roman" w:hAnsi="Palatino Linotype" w:cs="Arial"/>
          <w:color w:val="000000" w:themeColor="text1"/>
          <w:lang w:val="es-ES" w:eastAsia="es-MX"/>
        </w:rPr>
        <w:t>s</w:t>
      </w:r>
      <w:r w:rsidRPr="00EB4728">
        <w:rPr>
          <w:rFonts w:ascii="Palatino Linotype" w:eastAsia="Times New Roman" w:hAnsi="Palatino Linotype" w:cs="Arial"/>
          <w:color w:val="000000" w:themeColor="text1"/>
          <w:lang w:val="es-ES" w:eastAsia="es-MX"/>
        </w:rPr>
        <w:t xml:space="preserve"> relativa </w:t>
      </w:r>
      <w:r w:rsidR="005B6702" w:rsidRPr="00EB4728">
        <w:rPr>
          <w:rFonts w:ascii="Palatino Linotype" w:eastAsia="Times New Roman" w:hAnsi="Palatino Linotype" w:cs="Arial"/>
          <w:color w:val="000000" w:themeColor="text1"/>
          <w:lang w:val="es-ES" w:eastAsia="es-MX"/>
        </w:rPr>
        <w:t xml:space="preserve">a </w:t>
      </w:r>
      <w:r w:rsidR="0024187E" w:rsidRPr="00EB4728">
        <w:rPr>
          <w:rFonts w:ascii="Palatino Linotype" w:eastAsia="Times New Roman" w:hAnsi="Palatino Linotype" w:cs="Arial"/>
          <w:color w:val="000000" w:themeColor="text1"/>
          <w:lang w:val="es-ES" w:eastAsia="es-MX"/>
        </w:rPr>
        <w:t xml:space="preserve">la </w:t>
      </w:r>
      <w:r w:rsidR="00CE7423" w:rsidRPr="00EB4728">
        <w:rPr>
          <w:rFonts w:ascii="Palatino Linotype" w:eastAsia="Times New Roman" w:hAnsi="Palatino Linotype" w:cs="Arial"/>
          <w:color w:val="000000" w:themeColor="text1"/>
          <w:lang w:val="es-ES" w:eastAsia="es-MX"/>
        </w:rPr>
        <w:t>a declaración de incompetencia por el sujeto obligado</w:t>
      </w:r>
      <w:r w:rsidRPr="00EB4728">
        <w:rPr>
          <w:rFonts w:ascii="Palatino Linotype" w:eastAsia="Times New Roman" w:hAnsi="Palatino Linotype" w:cs="Arial"/>
          <w:color w:val="000000" w:themeColor="text1"/>
          <w:lang w:val="es-ES" w:eastAsia="es-MX"/>
        </w:rPr>
        <w:t xml:space="preserve">; </w:t>
      </w:r>
      <w:r w:rsidRPr="00EB4728">
        <w:rPr>
          <w:rFonts w:ascii="Palatino Linotype" w:eastAsia="MS Mincho" w:hAnsi="Palatino Linotype" w:cs="Arial"/>
        </w:rPr>
        <w:t xml:space="preserve">contexto del cual se dolió </w:t>
      </w:r>
      <w:r w:rsidR="00FF73DB" w:rsidRPr="00EB4728">
        <w:rPr>
          <w:rFonts w:ascii="Palatino Linotype" w:eastAsia="MS Mincho" w:hAnsi="Palatino Linotype" w:cs="Arial"/>
          <w:b/>
        </w:rPr>
        <w:t>EL RECURRENTE</w:t>
      </w:r>
      <w:r w:rsidRPr="00EB4728">
        <w:rPr>
          <w:rFonts w:ascii="Palatino Linotype" w:eastAsia="MS Mincho" w:hAnsi="Palatino Linotype" w:cs="Arial"/>
          <w:b/>
        </w:rPr>
        <w:t xml:space="preserve"> </w:t>
      </w:r>
      <w:r w:rsidRPr="00EB4728">
        <w:rPr>
          <w:rFonts w:ascii="Palatino Linotype" w:eastAsia="MS Mincho" w:hAnsi="Palatino Linotype" w:cs="Arial"/>
        </w:rPr>
        <w:t>al momento de interponer su</w:t>
      </w:r>
      <w:r w:rsidR="0024187E" w:rsidRPr="00EB4728">
        <w:rPr>
          <w:rFonts w:ascii="Palatino Linotype" w:eastAsia="MS Mincho" w:hAnsi="Palatino Linotype" w:cs="Arial"/>
        </w:rPr>
        <w:t>s</w:t>
      </w:r>
      <w:r w:rsidRPr="00EB4728">
        <w:rPr>
          <w:rFonts w:ascii="Palatino Linotype" w:eastAsia="MS Mincho" w:hAnsi="Palatino Linotype" w:cs="Arial"/>
        </w:rPr>
        <w:t xml:space="preserve"> inconformidad</w:t>
      </w:r>
      <w:r w:rsidR="0024187E" w:rsidRPr="00EB4728">
        <w:rPr>
          <w:rFonts w:ascii="Palatino Linotype" w:eastAsia="MS Mincho" w:hAnsi="Palatino Linotype" w:cs="Arial"/>
        </w:rPr>
        <w:t>es</w:t>
      </w:r>
      <w:r w:rsidRPr="00EB4728">
        <w:rPr>
          <w:rFonts w:ascii="Palatino Linotype" w:eastAsia="MS Mincho" w:hAnsi="Palatino Linotype" w:cs="Arial"/>
        </w:rPr>
        <w:t>.</w:t>
      </w:r>
      <w:r w:rsidRPr="00EB4728">
        <w:rPr>
          <w:rFonts w:ascii="Palatino Linotype" w:eastAsia="Times New Roman" w:hAnsi="Palatino Linotype" w:cs="Arial"/>
          <w:color w:val="000000" w:themeColor="text1"/>
          <w:lang w:val="es-ES" w:eastAsia="es-MX"/>
        </w:rPr>
        <w:t xml:space="preserve"> De modo tal </w:t>
      </w:r>
      <w:r w:rsidRPr="00EB4728">
        <w:rPr>
          <w:rFonts w:ascii="Palatino Linotype" w:hAnsi="Palatino Linotype" w:cs="Arial"/>
          <w:color w:val="000000" w:themeColor="text1"/>
        </w:rPr>
        <w:t xml:space="preserve">que el presente recurso de revisión se abocara en determinar si el </w:t>
      </w:r>
      <w:r w:rsidRPr="00EB4728">
        <w:rPr>
          <w:rFonts w:ascii="Palatino Linotype" w:hAnsi="Palatino Linotype" w:cs="Arial"/>
          <w:b/>
          <w:color w:val="000000" w:themeColor="text1"/>
        </w:rPr>
        <w:t>SUJETO</w:t>
      </w:r>
      <w:r w:rsidRPr="00EB4728">
        <w:rPr>
          <w:rFonts w:ascii="Palatino Linotype" w:hAnsi="Palatino Linotype" w:cs="Arial"/>
          <w:color w:val="000000" w:themeColor="text1"/>
        </w:rPr>
        <w:t xml:space="preserve"> </w:t>
      </w:r>
      <w:r w:rsidRPr="00EB4728">
        <w:rPr>
          <w:rFonts w:ascii="Palatino Linotype" w:hAnsi="Palatino Linotype" w:cs="Arial"/>
          <w:b/>
          <w:color w:val="000000" w:themeColor="text1"/>
        </w:rPr>
        <w:t>OBLIGADO</w:t>
      </w:r>
      <w:r w:rsidRPr="00EB4728">
        <w:rPr>
          <w:rFonts w:ascii="Palatino Linotype" w:hAnsi="Palatino Linotype" w:cs="Arial"/>
          <w:color w:val="000000" w:themeColor="text1"/>
        </w:rPr>
        <w:t xml:space="preserve"> con su respuesta ciertamente </w:t>
      </w:r>
      <w:r w:rsidRPr="00EB4728">
        <w:rPr>
          <w:rFonts w:ascii="Palatino Linotype" w:eastAsia="Times New Roman" w:hAnsi="Palatino Linotype"/>
          <w:color w:val="000000" w:themeColor="text1"/>
        </w:rPr>
        <w:t>actualiza la causal de procedencia</w:t>
      </w:r>
      <w:r w:rsidRPr="00EB4728">
        <w:rPr>
          <w:rFonts w:ascii="Palatino Linotype" w:eastAsia="Times New Roman" w:hAnsi="Palatino Linotype"/>
          <w:b/>
          <w:color w:val="000000" w:themeColor="text1"/>
        </w:rPr>
        <w:t xml:space="preserve"> </w:t>
      </w:r>
      <w:r w:rsidRPr="00EB4728">
        <w:rPr>
          <w:rFonts w:ascii="Palatino Linotype" w:eastAsia="Times New Roman" w:hAnsi="Palatino Linotype" w:cs="Arial"/>
          <w:color w:val="000000" w:themeColor="text1"/>
          <w:lang w:eastAsia="es-MX"/>
        </w:rPr>
        <w:t xml:space="preserve">antes </w:t>
      </w:r>
      <w:r w:rsidRPr="00EB4728">
        <w:rPr>
          <w:rFonts w:ascii="Palatino Linotype" w:eastAsia="Times New Roman" w:hAnsi="Palatino Linotype" w:cs="Arial"/>
          <w:color w:val="000000" w:themeColor="text1"/>
          <w:lang w:eastAsia="es-MX"/>
        </w:rPr>
        <w:lastRenderedPageBreak/>
        <w:t>señalada. Así como comprobar si la</w:t>
      </w:r>
      <w:r w:rsidR="0024187E" w:rsidRPr="00EB4728">
        <w:rPr>
          <w:rFonts w:ascii="Palatino Linotype" w:eastAsia="Times New Roman" w:hAnsi="Palatino Linotype" w:cs="Arial"/>
          <w:color w:val="000000" w:themeColor="text1"/>
          <w:lang w:eastAsia="es-MX"/>
        </w:rPr>
        <w:t>s</w:t>
      </w:r>
      <w:r w:rsidRPr="00EB4728">
        <w:rPr>
          <w:rFonts w:ascii="Palatino Linotype" w:eastAsia="Times New Roman" w:hAnsi="Palatino Linotype" w:cs="Arial"/>
          <w:color w:val="000000" w:themeColor="text1"/>
          <w:lang w:eastAsia="es-MX"/>
        </w:rPr>
        <w:t xml:space="preserve"> respuesta</w:t>
      </w:r>
      <w:r w:rsidR="0024187E" w:rsidRPr="00EB4728">
        <w:rPr>
          <w:rFonts w:ascii="Palatino Linotype" w:eastAsia="Times New Roman" w:hAnsi="Palatino Linotype" w:cs="Arial"/>
          <w:color w:val="000000" w:themeColor="text1"/>
          <w:lang w:eastAsia="es-MX"/>
        </w:rPr>
        <w:t>s</w:t>
      </w:r>
      <w:r w:rsidRPr="00EB4728">
        <w:rPr>
          <w:rFonts w:ascii="Palatino Linotype" w:eastAsia="Times New Roman" w:hAnsi="Palatino Linotype" w:cs="Arial"/>
          <w:color w:val="000000" w:themeColor="text1"/>
          <w:lang w:eastAsia="es-MX"/>
        </w:rPr>
        <w:t xml:space="preserve"> emitida</w:t>
      </w:r>
      <w:r w:rsidR="0024187E" w:rsidRPr="00EB4728">
        <w:rPr>
          <w:rFonts w:ascii="Palatino Linotype" w:eastAsia="Times New Roman" w:hAnsi="Palatino Linotype" w:cs="Arial"/>
          <w:color w:val="000000" w:themeColor="text1"/>
          <w:lang w:eastAsia="es-MX"/>
        </w:rPr>
        <w:t>s</w:t>
      </w:r>
      <w:r w:rsidRPr="00EB4728">
        <w:rPr>
          <w:rFonts w:ascii="Palatino Linotype" w:eastAsia="Times New Roman" w:hAnsi="Palatino Linotype" w:cs="Arial"/>
          <w:color w:val="000000" w:themeColor="text1"/>
          <w:lang w:eastAsia="es-MX"/>
        </w:rPr>
        <w:t xml:space="preserve"> resulta</w:t>
      </w:r>
      <w:r w:rsidR="0024187E" w:rsidRPr="00EB4728">
        <w:rPr>
          <w:rFonts w:ascii="Palatino Linotype" w:eastAsia="Times New Roman" w:hAnsi="Palatino Linotype" w:cs="Arial"/>
          <w:color w:val="000000" w:themeColor="text1"/>
          <w:lang w:eastAsia="es-MX"/>
        </w:rPr>
        <w:t>n</w:t>
      </w:r>
      <w:r w:rsidRPr="00EB4728">
        <w:rPr>
          <w:rFonts w:ascii="Palatino Linotype" w:eastAsia="Times New Roman" w:hAnsi="Palatino Linotype" w:cs="Arial"/>
          <w:color w:val="000000" w:themeColor="text1"/>
          <w:lang w:eastAsia="es-MX"/>
        </w:rPr>
        <w:t xml:space="preserve"> congruente</w:t>
      </w:r>
      <w:r w:rsidR="0024187E" w:rsidRPr="00EB4728">
        <w:rPr>
          <w:rFonts w:ascii="Palatino Linotype" w:eastAsia="Times New Roman" w:hAnsi="Palatino Linotype" w:cs="Arial"/>
          <w:color w:val="000000" w:themeColor="text1"/>
          <w:lang w:eastAsia="es-MX"/>
        </w:rPr>
        <w:t>s</w:t>
      </w:r>
      <w:r w:rsidRPr="00EB4728">
        <w:rPr>
          <w:rFonts w:ascii="Palatino Linotype" w:eastAsia="Times New Roman" w:hAnsi="Palatino Linotype" w:cs="Arial"/>
          <w:color w:val="000000" w:themeColor="text1"/>
          <w:lang w:eastAsia="es-MX"/>
        </w:rPr>
        <w:t xml:space="preserve"> e integral</w:t>
      </w:r>
      <w:r w:rsidR="0024187E" w:rsidRPr="00EB4728">
        <w:rPr>
          <w:rFonts w:ascii="Palatino Linotype" w:eastAsia="Times New Roman" w:hAnsi="Palatino Linotype" w:cs="Arial"/>
          <w:color w:val="000000" w:themeColor="text1"/>
          <w:lang w:eastAsia="es-MX"/>
        </w:rPr>
        <w:t>es</w:t>
      </w:r>
      <w:r w:rsidRPr="00EB4728">
        <w:rPr>
          <w:rFonts w:ascii="Palatino Linotype" w:eastAsia="Times New Roman" w:hAnsi="Palatino Linotype" w:cs="Arial"/>
          <w:color w:val="000000" w:themeColor="text1"/>
          <w:lang w:eastAsia="es-MX"/>
        </w:rPr>
        <w:t xml:space="preserve"> en términos del artículo 11 de la ley de la materia.</w:t>
      </w:r>
    </w:p>
    <w:p w:rsidR="00FF73DB" w:rsidRPr="00EB4728" w:rsidRDefault="00FF73DB" w:rsidP="00FF73DB">
      <w:pPr>
        <w:pStyle w:val="Ttulo1"/>
        <w:spacing w:before="0" w:line="360" w:lineRule="auto"/>
        <w:rPr>
          <w:rFonts w:ascii="Palatino Linotype" w:hAnsi="Palatino Linotype"/>
          <w:b/>
          <w:color w:val="000000" w:themeColor="text1"/>
          <w:sz w:val="24"/>
          <w:szCs w:val="24"/>
        </w:rPr>
      </w:pPr>
    </w:p>
    <w:p w:rsidR="00FF73DB" w:rsidRPr="00EB4728" w:rsidRDefault="00906BB0" w:rsidP="00FF73DB">
      <w:pPr>
        <w:pStyle w:val="Ttulo1"/>
        <w:spacing w:before="0" w:line="360" w:lineRule="auto"/>
        <w:rPr>
          <w:rFonts w:ascii="Palatino Linotype" w:hAnsi="Palatino Linotype"/>
          <w:b/>
          <w:color w:val="000000" w:themeColor="text1"/>
          <w:sz w:val="24"/>
          <w:szCs w:val="24"/>
        </w:rPr>
      </w:pPr>
      <w:r w:rsidRPr="00EB4728">
        <w:rPr>
          <w:rFonts w:ascii="Palatino Linotype" w:hAnsi="Palatino Linotype"/>
          <w:b/>
          <w:color w:val="000000" w:themeColor="text1"/>
          <w:sz w:val="24"/>
          <w:szCs w:val="24"/>
        </w:rPr>
        <w:t>CUAR</w:t>
      </w:r>
      <w:r w:rsidR="00FF73DB" w:rsidRPr="00EB4728">
        <w:rPr>
          <w:rFonts w:ascii="Palatino Linotype" w:hAnsi="Palatino Linotype"/>
          <w:b/>
          <w:color w:val="000000" w:themeColor="text1"/>
          <w:sz w:val="24"/>
          <w:szCs w:val="24"/>
        </w:rPr>
        <w:t>TO. Del estudio y resolución del asunto.</w:t>
      </w:r>
    </w:p>
    <w:p w:rsidR="00A02E71" w:rsidRPr="00EB4728" w:rsidRDefault="00A02E71" w:rsidP="003C6804">
      <w:pPr>
        <w:rPr>
          <w:rFonts w:ascii="Palatino Linotype" w:eastAsia="MS Mincho" w:hAnsi="Palatino Linotype" w:cs="Arial"/>
        </w:rPr>
      </w:pPr>
    </w:p>
    <w:p w:rsidR="00302775" w:rsidRPr="00EB4728" w:rsidRDefault="00302775" w:rsidP="00302775">
      <w:pPr>
        <w:numPr>
          <w:ilvl w:val="0"/>
          <w:numId w:val="1"/>
        </w:numPr>
        <w:spacing w:line="360" w:lineRule="auto"/>
        <w:ind w:left="0" w:firstLine="0"/>
        <w:contextualSpacing/>
        <w:jc w:val="both"/>
        <w:rPr>
          <w:rFonts w:ascii="Palatino Linotype" w:eastAsia="MS Mincho" w:hAnsi="Palatino Linotype" w:cs="Arial"/>
        </w:rPr>
      </w:pPr>
      <w:r w:rsidRPr="00EB4728">
        <w:rPr>
          <w:rFonts w:ascii="Palatino Linotype" w:eastAsia="MS Mincho" w:hAnsi="Palatino Linotype" w:cs="Arial"/>
        </w:rPr>
        <w:t xml:space="preserve">Acotado la </w:t>
      </w:r>
      <w:r w:rsidRPr="00EB4728">
        <w:rPr>
          <w:rFonts w:ascii="Palatino Linotype" w:eastAsia="MS Mincho" w:hAnsi="Palatino Linotype" w:cs="Arial"/>
          <w:i/>
        </w:rPr>
        <w:t>Litis</w:t>
      </w:r>
      <w:r w:rsidRPr="00EB4728">
        <w:rPr>
          <w:rFonts w:ascii="Palatino Linotype" w:eastAsia="MS Mincho" w:hAnsi="Palatino Linotype" w:cs="Arial"/>
        </w:rPr>
        <w:t xml:space="preserve">, es necesario primeramente mencionar que de las constancias que obran en el expediente electrónico de la solicitud de información </w:t>
      </w:r>
      <w:r w:rsidRPr="00EB4728">
        <w:rPr>
          <w:rFonts w:ascii="Palatino Linotype" w:eastAsia="MS Mincho" w:hAnsi="Palatino Linotype" w:cs="Arial"/>
          <w:b/>
        </w:rPr>
        <w:t>14933/INFOEM/IP/RR/2022</w:t>
      </w:r>
      <w:r w:rsidRPr="00EB4728">
        <w:rPr>
          <w:rFonts w:ascii="Palatino Linotype" w:eastAsia="MS Mincho" w:hAnsi="Palatino Linotype" w:cs="Arial"/>
        </w:rPr>
        <w:t xml:space="preserve"> se desprende que el particular no se inconformó por la totalidad de los rubros expuestos en la solicitud de información inicial al referir textualmente lo siguiente: </w:t>
      </w:r>
      <w:r w:rsidRPr="00EB4728">
        <w:rPr>
          <w:rFonts w:ascii="Palatino Linotype" w:eastAsia="MS Mincho" w:hAnsi="Palatino Linotype" w:cs="Arial"/>
          <w:i/>
        </w:rPr>
        <w:t>“El organo interno de control del hraez debe contar con la información solicitada, ya que ellos dan trámite a las quejas que presenta personal del hospital, no así la Secretaría de la Contraloria.”</w:t>
      </w:r>
      <w:r w:rsidRPr="00EB4728">
        <w:rPr>
          <w:rFonts w:ascii="Palatino Linotype" w:eastAsia="MS Mincho" w:hAnsi="Palatino Linotype" w:cs="Arial"/>
        </w:rPr>
        <w:t xml:space="preserve"> (Sic)</w:t>
      </w:r>
    </w:p>
    <w:p w:rsidR="00302775" w:rsidRPr="00EB4728" w:rsidRDefault="00302775" w:rsidP="00302775">
      <w:pPr>
        <w:pStyle w:val="Prrafodelista"/>
        <w:rPr>
          <w:rFonts w:ascii="Palatino Linotype" w:eastAsia="MS Mincho" w:hAnsi="Palatino Linotype" w:cs="Arial"/>
        </w:rPr>
      </w:pPr>
    </w:p>
    <w:p w:rsidR="00302775" w:rsidRPr="00EB4728" w:rsidRDefault="00302775" w:rsidP="00302775">
      <w:pPr>
        <w:numPr>
          <w:ilvl w:val="0"/>
          <w:numId w:val="1"/>
        </w:numPr>
        <w:spacing w:line="360" w:lineRule="auto"/>
        <w:ind w:left="0" w:firstLine="0"/>
        <w:contextualSpacing/>
        <w:jc w:val="both"/>
        <w:rPr>
          <w:rFonts w:ascii="Palatino Linotype" w:eastAsia="MS Mincho" w:hAnsi="Palatino Linotype" w:cs="Arial"/>
        </w:rPr>
      </w:pPr>
      <w:r w:rsidRPr="00EB4728">
        <w:rPr>
          <w:rFonts w:ascii="Palatino Linotype" w:eastAsia="MS Mincho" w:hAnsi="Palatino Linotype" w:cs="Arial"/>
        </w:rPr>
        <w:t xml:space="preserve">Luego entonces, al no existir inconformidad del resto de información entregada, es que se tiene por </w:t>
      </w:r>
      <w:r w:rsidRPr="00EB4728">
        <w:rPr>
          <w:rFonts w:ascii="Palatino Linotype" w:hAnsi="Palatino Linotype"/>
          <w:color w:val="000000" w:themeColor="text1"/>
        </w:rPr>
        <w:t>consentida</w:t>
      </w:r>
      <w:r w:rsidRPr="00EB4728">
        <w:rPr>
          <w:rFonts w:ascii="Palatino Linotype" w:eastAsia="MS Mincho" w:hAnsi="Palatino Linotype" w:cs="Arial"/>
        </w:rPr>
        <w:t>, ya</w:t>
      </w:r>
      <w:r w:rsidRPr="00EB4728">
        <w:rPr>
          <w:rFonts w:ascii="Palatino Linotype" w:hAnsi="Palatino Linotype" w:cs="Arial"/>
          <w:b/>
        </w:rPr>
        <w:t xml:space="preserve"> </w:t>
      </w:r>
      <w:r w:rsidRPr="00EB4728">
        <w:rPr>
          <w:rFonts w:ascii="Palatino Linotype" w:hAnsi="Palatino Linotype" w:cs="Arial"/>
        </w:rPr>
        <w:t xml:space="preserve">que la falta de impugnación respecto de los requerimientos que no fueron manifestados en el recurso de revisión, debe entenderse como </w:t>
      </w:r>
      <w:r w:rsidRPr="00EB4728">
        <w:rPr>
          <w:rFonts w:ascii="Palatino Linotype" w:hAnsi="Palatino Linotype" w:cs="Arial"/>
          <w:b/>
        </w:rPr>
        <w:t>actos consentidos</w:t>
      </w:r>
      <w:r w:rsidRPr="00EB4728">
        <w:rPr>
          <w:rFonts w:ascii="Palatino Linotype" w:hAnsi="Palatino Linotype" w:cs="Arial"/>
        </w:rPr>
        <w:t>.</w:t>
      </w:r>
    </w:p>
    <w:p w:rsidR="00302775" w:rsidRPr="00EB4728" w:rsidRDefault="00302775" w:rsidP="00302775">
      <w:pPr>
        <w:pStyle w:val="Prrafodelista"/>
        <w:ind w:left="0"/>
        <w:rPr>
          <w:rFonts w:ascii="Palatino Linotype" w:eastAsia="MS Mincho" w:hAnsi="Palatino Linotype" w:cs="Arial"/>
        </w:rPr>
      </w:pPr>
    </w:p>
    <w:p w:rsidR="00302775" w:rsidRPr="00EB4728" w:rsidRDefault="00302775" w:rsidP="00302775">
      <w:pPr>
        <w:numPr>
          <w:ilvl w:val="0"/>
          <w:numId w:val="1"/>
        </w:numPr>
        <w:spacing w:line="360" w:lineRule="auto"/>
        <w:ind w:left="0" w:firstLine="0"/>
        <w:contextualSpacing/>
        <w:jc w:val="both"/>
        <w:rPr>
          <w:rFonts w:ascii="Palatino Linotype" w:hAnsi="Palatino Linotype" w:cs="Arial"/>
        </w:rPr>
      </w:pPr>
      <w:r w:rsidRPr="00EB4728">
        <w:rPr>
          <w:rFonts w:ascii="Palatino Linotype" w:eastAsia="MS Mincho" w:hAnsi="Palatino Linotype" w:cs="Arial"/>
        </w:rPr>
        <w:t>Esto</w:t>
      </w:r>
      <w:r w:rsidRPr="00EB4728">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302775" w:rsidRPr="00EB4728" w:rsidRDefault="00302775" w:rsidP="00302775">
      <w:pPr>
        <w:pStyle w:val="Prrafodelista"/>
        <w:ind w:left="426" w:right="425"/>
        <w:jc w:val="both"/>
        <w:rPr>
          <w:rFonts w:ascii="Palatino Linotype" w:hAnsi="Palatino Linotype" w:cs="Arial"/>
          <w:i/>
        </w:rPr>
      </w:pPr>
      <w:r w:rsidRPr="00EB4728">
        <w:rPr>
          <w:rFonts w:ascii="Palatino Linotype" w:hAnsi="Palatino Linotype" w:cs="Arial"/>
          <w:b/>
          <w:bCs/>
          <w:i/>
          <w:iCs/>
        </w:rPr>
        <w:lastRenderedPageBreak/>
        <w:t>“REVISIÓN EN AMPARO. LOS RESOLUTIVOS NO COMBATIDOS DEBEN DECLARARSE FIRMES. </w:t>
      </w:r>
      <w:r w:rsidRPr="00EB4728">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EB4728">
        <w:rPr>
          <w:rFonts w:ascii="Palatino Linotype" w:hAnsi="Palatino Linotype" w:cs="Arial"/>
          <w:i/>
          <w:iCs/>
        </w:rPr>
        <w:t> Esto es, en el caso referido, no obstante que la materia de la revisión comprende a todos los resolutivos que afectan a EL RECURRENTE, </w:t>
      </w:r>
      <w:r w:rsidRPr="00EB4728">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EB4728">
        <w:rPr>
          <w:rFonts w:ascii="Palatino Linotype" w:hAnsi="Palatino Linotype" w:cs="Arial"/>
          <w:i/>
          <w:iCs/>
        </w:rPr>
        <w:t>.”</w:t>
      </w:r>
    </w:p>
    <w:p w:rsidR="00302775" w:rsidRPr="00EB4728" w:rsidRDefault="00302775" w:rsidP="00302775">
      <w:pPr>
        <w:pStyle w:val="Prrafodelista"/>
        <w:spacing w:line="360" w:lineRule="auto"/>
        <w:ind w:left="426" w:right="426"/>
        <w:jc w:val="both"/>
        <w:rPr>
          <w:rFonts w:ascii="Palatino Linotype" w:hAnsi="Palatino Linotype" w:cs="Arial"/>
        </w:rPr>
      </w:pPr>
      <w:r w:rsidRPr="00EB4728">
        <w:rPr>
          <w:rFonts w:ascii="Palatino Linotype" w:hAnsi="Palatino Linotype" w:cs="Arial"/>
        </w:rPr>
        <w:t>(Énfasis añadido)</w:t>
      </w:r>
    </w:p>
    <w:p w:rsidR="00302775" w:rsidRPr="00EB4728" w:rsidRDefault="00302775" w:rsidP="00302775">
      <w:pPr>
        <w:pStyle w:val="Prrafodelista"/>
        <w:spacing w:line="360" w:lineRule="auto"/>
        <w:ind w:left="426" w:right="426"/>
        <w:jc w:val="both"/>
        <w:rPr>
          <w:rFonts w:ascii="Palatino Linotype" w:hAnsi="Palatino Linotype" w:cs="Arial"/>
        </w:rPr>
      </w:pPr>
    </w:p>
    <w:p w:rsidR="00302775" w:rsidRPr="00EB4728" w:rsidRDefault="00302775" w:rsidP="00302775">
      <w:pPr>
        <w:numPr>
          <w:ilvl w:val="0"/>
          <w:numId w:val="1"/>
        </w:numPr>
        <w:spacing w:line="360" w:lineRule="auto"/>
        <w:ind w:left="0" w:firstLine="0"/>
        <w:contextualSpacing/>
        <w:jc w:val="both"/>
        <w:rPr>
          <w:rFonts w:ascii="Palatino Linotype" w:hAnsi="Palatino Linotype" w:cs="Arial"/>
        </w:rPr>
      </w:pPr>
      <w:r w:rsidRPr="00EB4728">
        <w:rPr>
          <w:rFonts w:ascii="Palatino Linotype" w:hAnsi="Palatino Linotype" w:cs="Arial"/>
        </w:rPr>
        <w:t xml:space="preserve">Consecuentemente, </w:t>
      </w:r>
      <w:r w:rsidRPr="00EB4728">
        <w:rPr>
          <w:rFonts w:ascii="Palatino Linotype" w:hAnsi="Palatino Linotype" w:cs="Arial"/>
          <w:b/>
        </w:rPr>
        <w:t xml:space="preserve">la parte de la respuesta que no fue impugnada debe declararse consentida por el recurrente, toda vez que no realizó </w:t>
      </w:r>
      <w:r w:rsidRPr="00EB4728">
        <w:rPr>
          <w:rFonts w:ascii="Palatino Linotype" w:eastAsia="MS Mincho" w:hAnsi="Palatino Linotype" w:cs="Arial"/>
        </w:rPr>
        <w:t>manifestaciones</w:t>
      </w:r>
      <w:r w:rsidRPr="00EB4728">
        <w:rPr>
          <w:rFonts w:ascii="Palatino Linotype" w:hAnsi="Palatino Linotype" w:cs="Arial"/>
          <w:b/>
        </w:rPr>
        <w:t xml:space="preserve"> de inconformidad</w:t>
      </w:r>
      <w:r w:rsidRPr="00EB4728">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302775" w:rsidRPr="00EB4728" w:rsidRDefault="00302775" w:rsidP="00302775">
      <w:pPr>
        <w:pStyle w:val="Prrafodelista"/>
        <w:spacing w:line="360" w:lineRule="auto"/>
        <w:ind w:left="0"/>
        <w:jc w:val="both"/>
        <w:rPr>
          <w:rFonts w:ascii="Palatino Linotype" w:hAnsi="Palatino Linotype" w:cs="Arial"/>
        </w:rPr>
      </w:pPr>
    </w:p>
    <w:p w:rsidR="00302775" w:rsidRPr="00EB4728" w:rsidRDefault="00302775" w:rsidP="00302775">
      <w:pPr>
        <w:pStyle w:val="Prrafodelista"/>
        <w:ind w:left="426" w:right="425"/>
        <w:jc w:val="both"/>
        <w:rPr>
          <w:rFonts w:ascii="Palatino Linotype" w:hAnsi="Palatino Linotype" w:cs="Arial"/>
          <w:i/>
          <w:iCs/>
        </w:rPr>
      </w:pPr>
      <w:r w:rsidRPr="00EB4728">
        <w:rPr>
          <w:rFonts w:ascii="Palatino Linotype" w:hAnsi="Palatino Linotype" w:cs="Arial"/>
          <w:b/>
          <w:bCs/>
          <w:i/>
          <w:iCs/>
        </w:rPr>
        <w:t>“ACTOS CONSENTIDOS. SON LOS QUE NO SE IMPUGNAN MEDIANTE EL RECURSO IDÓNEO. </w:t>
      </w:r>
      <w:r w:rsidRPr="00EB4728">
        <w:rPr>
          <w:rFonts w:ascii="Palatino Linotype" w:hAnsi="Palatino Linotype" w:cs="Arial"/>
          <w:i/>
          <w:iCs/>
          <w:u w:val="single"/>
        </w:rPr>
        <w:t>Debe reputarse como consentido el acto que no se impugnó por el medio establecido por la ley</w:t>
      </w:r>
      <w:r w:rsidRPr="00EB4728">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02775" w:rsidRPr="00EB4728" w:rsidRDefault="00302775" w:rsidP="00302775">
      <w:pPr>
        <w:pStyle w:val="Prrafodelista"/>
        <w:ind w:left="426" w:right="425"/>
        <w:jc w:val="both"/>
        <w:rPr>
          <w:rFonts w:ascii="Palatino Linotype" w:hAnsi="Palatino Linotype" w:cs="Arial"/>
          <w:i/>
        </w:rPr>
      </w:pPr>
    </w:p>
    <w:p w:rsidR="00302775" w:rsidRPr="00EB4728" w:rsidRDefault="00302775" w:rsidP="00302775">
      <w:pPr>
        <w:pStyle w:val="Prrafodelista"/>
        <w:spacing w:line="360" w:lineRule="auto"/>
        <w:ind w:left="426" w:right="426"/>
        <w:jc w:val="both"/>
        <w:rPr>
          <w:rFonts w:ascii="Palatino Linotype" w:hAnsi="Palatino Linotype" w:cs="Arial"/>
        </w:rPr>
      </w:pPr>
      <w:r w:rsidRPr="00EB4728">
        <w:rPr>
          <w:rFonts w:ascii="Palatino Linotype" w:hAnsi="Palatino Linotype" w:cs="Arial"/>
        </w:rPr>
        <w:t>(Énfasis añadido)</w:t>
      </w:r>
    </w:p>
    <w:p w:rsidR="00302775" w:rsidRPr="00EB4728" w:rsidRDefault="00302775" w:rsidP="00302775">
      <w:pPr>
        <w:pStyle w:val="Prrafodelista"/>
        <w:spacing w:line="360" w:lineRule="auto"/>
        <w:ind w:left="426" w:right="426"/>
        <w:jc w:val="both"/>
        <w:rPr>
          <w:rFonts w:ascii="Palatino Linotype" w:hAnsi="Palatino Linotype" w:cs="Arial"/>
        </w:rPr>
      </w:pPr>
    </w:p>
    <w:p w:rsidR="00302775" w:rsidRPr="00EB4728" w:rsidRDefault="00302775" w:rsidP="00302775">
      <w:pPr>
        <w:numPr>
          <w:ilvl w:val="0"/>
          <w:numId w:val="1"/>
        </w:numPr>
        <w:spacing w:line="360" w:lineRule="auto"/>
        <w:ind w:left="0" w:firstLine="0"/>
        <w:contextualSpacing/>
        <w:jc w:val="both"/>
        <w:rPr>
          <w:rFonts w:ascii="Palatino Linotype" w:eastAsia="MS Mincho" w:hAnsi="Palatino Linotype" w:cs="Arial"/>
        </w:rPr>
      </w:pPr>
      <w:r w:rsidRPr="00EB4728">
        <w:rPr>
          <w:rFonts w:ascii="Palatino Linotype" w:eastAsia="MS Mincho" w:hAnsi="Palatino Linotype" w:cs="Arial"/>
        </w:rPr>
        <w:lastRenderedPageBreak/>
        <w:t xml:space="preserve">Así las cosas, al no pronunciarse respecto de las respuestas que allí se vertieron se </w:t>
      </w:r>
      <w:r w:rsidRPr="00EB4728">
        <w:rPr>
          <w:rFonts w:ascii="Palatino Linotype" w:hAnsi="Palatino Linotype" w:cs="Arial"/>
        </w:rPr>
        <w:t>considera</w:t>
      </w:r>
      <w:r w:rsidRPr="00EB4728">
        <w:rPr>
          <w:rFonts w:ascii="Palatino Linotype" w:eastAsia="MS Mincho" w:hAnsi="Palatino Linotype" w:cs="Arial"/>
        </w:rPr>
        <w:t xml:space="preserve"> que se encuentra conforme con ellas, pues se insiste su inconformidad radicó en </w:t>
      </w:r>
      <w:r w:rsidRPr="00EB4728">
        <w:rPr>
          <w:rFonts w:ascii="Palatino Linotype" w:eastAsia="MS Mincho" w:hAnsi="Palatino Linotype" w:cs="Arial"/>
          <w:b/>
        </w:rPr>
        <w:t>la falta de pronunciamiento de toda la información entregada</w:t>
      </w:r>
      <w:r w:rsidRPr="00EB4728">
        <w:rPr>
          <w:rFonts w:ascii="Palatino Linotype" w:eastAsia="MS Mincho" w:hAnsi="Palatino Linotype" w:cs="Arial"/>
        </w:rPr>
        <w:t>.</w:t>
      </w:r>
    </w:p>
    <w:p w:rsidR="00302775" w:rsidRPr="00EB4728" w:rsidRDefault="00302775" w:rsidP="00302775"/>
    <w:p w:rsidR="00B80FCC" w:rsidRPr="00EB4728" w:rsidRDefault="00302775" w:rsidP="009B34E9">
      <w:pPr>
        <w:numPr>
          <w:ilvl w:val="0"/>
          <w:numId w:val="1"/>
        </w:numPr>
        <w:spacing w:line="360" w:lineRule="auto"/>
        <w:ind w:left="0" w:firstLine="0"/>
        <w:contextualSpacing/>
        <w:jc w:val="both"/>
        <w:rPr>
          <w:rFonts w:ascii="Palatino Linotype" w:hAnsi="Palatino Linotype"/>
          <w:color w:val="000000" w:themeColor="text1"/>
        </w:rPr>
      </w:pPr>
      <w:r w:rsidRPr="00EB4728">
        <w:rPr>
          <w:rFonts w:ascii="Palatino Linotype" w:hAnsi="Palatino Linotype"/>
          <w:color w:val="000000" w:themeColor="text1"/>
        </w:rPr>
        <w:t xml:space="preserve"> Por lo </w:t>
      </w:r>
      <w:r w:rsidRPr="00EB4728">
        <w:rPr>
          <w:rFonts w:ascii="Palatino Linotype" w:eastAsia="MS Mincho" w:hAnsi="Palatino Linotype" w:cs="Arial"/>
        </w:rPr>
        <w:t>q</w:t>
      </w:r>
      <w:r w:rsidRPr="00EB4728">
        <w:rPr>
          <w:rFonts w:ascii="Palatino Linotype" w:hAnsi="Palatino Linotype"/>
          <w:color w:val="000000" w:themeColor="text1"/>
        </w:rPr>
        <w:t xml:space="preserve">ue hace al Recurso de </w:t>
      </w:r>
      <w:r w:rsidRPr="00EB4728">
        <w:rPr>
          <w:rFonts w:ascii="Palatino Linotype" w:eastAsia="MS Mincho" w:hAnsi="Palatino Linotype" w:cs="Arial"/>
        </w:rPr>
        <w:t>Revisión</w:t>
      </w:r>
      <w:r w:rsidRPr="00EB4728">
        <w:rPr>
          <w:rFonts w:ascii="Palatino Linotype" w:hAnsi="Palatino Linotype"/>
          <w:color w:val="000000" w:themeColor="text1"/>
        </w:rPr>
        <w:t xml:space="preserve"> 14934/INFOEM/IP/RR/2022, </w:t>
      </w:r>
      <w:r w:rsidR="009B34E9" w:rsidRPr="00EB4728">
        <w:rPr>
          <w:rFonts w:ascii="Palatino Linotype" w:hAnsi="Palatino Linotype"/>
          <w:color w:val="000000" w:themeColor="text1"/>
        </w:rPr>
        <w:t xml:space="preserve">de igual </w:t>
      </w:r>
      <w:r w:rsidR="009B34E9" w:rsidRPr="00EB4728">
        <w:rPr>
          <w:rFonts w:ascii="Palatino Linotype" w:eastAsia="MS Mincho" w:hAnsi="Palatino Linotype" w:cs="Arial"/>
        </w:rPr>
        <w:t>manera</w:t>
      </w:r>
      <w:r w:rsidR="009B34E9" w:rsidRPr="00EB4728">
        <w:rPr>
          <w:rFonts w:ascii="Palatino Linotype" w:hAnsi="Palatino Linotype"/>
          <w:color w:val="000000" w:themeColor="text1"/>
        </w:rPr>
        <w:t xml:space="preserve"> existieron actos consentido tácitamente al manifestar lo siguiente: </w:t>
      </w:r>
      <w:r w:rsidR="009B34E9" w:rsidRPr="00EB4728">
        <w:rPr>
          <w:rFonts w:ascii="Palatino Linotype" w:hAnsi="Palatino Linotype"/>
          <w:i/>
          <w:color w:val="000000" w:themeColor="text1"/>
        </w:rPr>
        <w:t xml:space="preserve">“El organo interno de control debe contar con la información solicitada, no la secretaria de la contraloría.” </w:t>
      </w:r>
      <w:r w:rsidR="009B34E9" w:rsidRPr="00EB4728">
        <w:rPr>
          <w:rFonts w:ascii="Palatino Linotype" w:hAnsi="Palatino Linotype"/>
          <w:color w:val="000000" w:themeColor="text1"/>
        </w:rPr>
        <w:t>(Sic)</w:t>
      </w:r>
    </w:p>
    <w:p w:rsidR="009B34E9" w:rsidRPr="00EB4728" w:rsidRDefault="009B34E9" w:rsidP="009B34E9">
      <w:pPr>
        <w:rPr>
          <w:rFonts w:ascii="Palatino Linotype" w:hAnsi="Palatino Linotype"/>
          <w:color w:val="000000" w:themeColor="text1"/>
        </w:rPr>
      </w:pPr>
    </w:p>
    <w:p w:rsidR="009B34E9" w:rsidRPr="00EB4728" w:rsidRDefault="000A4025" w:rsidP="00E16445">
      <w:pPr>
        <w:numPr>
          <w:ilvl w:val="0"/>
          <w:numId w:val="1"/>
        </w:numPr>
        <w:spacing w:line="360" w:lineRule="auto"/>
        <w:ind w:left="0" w:firstLine="0"/>
        <w:contextualSpacing/>
        <w:jc w:val="both"/>
        <w:rPr>
          <w:rFonts w:ascii="Palatino Linotype" w:hAnsi="Palatino Linotype"/>
          <w:color w:val="000000" w:themeColor="text1"/>
        </w:rPr>
      </w:pPr>
      <w:r w:rsidRPr="00EB4728">
        <w:rPr>
          <w:rFonts w:ascii="Palatino Linotype" w:hAnsi="Palatino Linotype"/>
          <w:color w:val="000000" w:themeColor="text1"/>
        </w:rPr>
        <w:t xml:space="preserve">Ello resulta así, ya que si bien es cierto, a diferencia del anterior supuesto no fue especifico al señalar la solicitud que impugna como lo fueron las denuncias y quejas, al señalar que debe contar con la información solicitada y no la Secretaria de la Contraloría, se deduce que esta impugnando lo relativo a: </w:t>
      </w:r>
      <w:r w:rsidRPr="00EB4728">
        <w:rPr>
          <w:rFonts w:ascii="Palatino Linotype" w:hAnsi="Palatino Linotype"/>
          <w:i/>
          <w:color w:val="000000" w:themeColor="text1"/>
        </w:rPr>
        <w:t>"Copia integra y completa de los informes que ha emitido respecto de la presunta responsabilidad de servidores públicos de los años 2020, 2021 y 2022, por faltas graves y no grave..."</w:t>
      </w:r>
      <w:r w:rsidRPr="00EB4728">
        <w:rPr>
          <w:rFonts w:ascii="Palatino Linotype" w:hAnsi="Palatino Linotype"/>
          <w:color w:val="000000" w:themeColor="text1"/>
        </w:rPr>
        <w:t xml:space="preserve"> y </w:t>
      </w:r>
      <w:r w:rsidRPr="00EB4728">
        <w:rPr>
          <w:rFonts w:ascii="Palatino Linotype" w:hAnsi="Palatino Linotype"/>
          <w:i/>
          <w:color w:val="000000" w:themeColor="text1"/>
        </w:rPr>
        <w:t>"...copia de las carpetas de entrega y recepción de los procesos atendidos de los mismos años y sus respectivas actas de entrega...",</w:t>
      </w:r>
      <w:r w:rsidRPr="00EB4728">
        <w:rPr>
          <w:rFonts w:ascii="Palatino Linotype" w:hAnsi="Palatino Linotype"/>
          <w:color w:val="000000" w:themeColor="text1"/>
        </w:rPr>
        <w:t xml:space="preserve"> en virtud que fueron las solicitudes de información a las que el </w:t>
      </w:r>
      <w:r w:rsidRPr="00EB4728">
        <w:rPr>
          <w:rFonts w:ascii="Palatino Linotype" w:hAnsi="Palatino Linotype"/>
          <w:b/>
          <w:color w:val="000000" w:themeColor="text1"/>
        </w:rPr>
        <w:t>SUJETO OBLIGADO</w:t>
      </w:r>
      <w:r w:rsidRPr="00EB4728">
        <w:rPr>
          <w:rFonts w:ascii="Palatino Linotype" w:hAnsi="Palatino Linotype"/>
          <w:color w:val="000000" w:themeColor="text1"/>
        </w:rPr>
        <w:t xml:space="preserve"> manifestó que no es competente para entregar la información su órgano de control interno por depender jerárquica y funcionalmente de la Secretaría de la Contraloría</w:t>
      </w:r>
      <w:r w:rsidR="00E16445" w:rsidRPr="00EB4728">
        <w:rPr>
          <w:rFonts w:ascii="Palatino Linotype" w:hAnsi="Palatino Linotype"/>
          <w:color w:val="000000" w:themeColor="text1"/>
        </w:rPr>
        <w:t xml:space="preserve">; y siendo que de </w:t>
      </w:r>
      <w:r w:rsidR="00CE7423" w:rsidRPr="00EB4728">
        <w:rPr>
          <w:rFonts w:ascii="Palatino Linotype" w:hAnsi="Palatino Linotype"/>
          <w:color w:val="000000" w:themeColor="text1"/>
        </w:rPr>
        <w:t>las a</w:t>
      </w:r>
      <w:r w:rsidR="00E16445" w:rsidRPr="00EB4728">
        <w:rPr>
          <w:rFonts w:ascii="Palatino Linotype" w:hAnsi="Palatino Linotype"/>
          <w:color w:val="000000" w:themeColor="text1"/>
        </w:rPr>
        <w:t>ctas del Comité de Adquisiciones y Servicios se remitió soporte documental y en ningún momento se declinó alguna incompetencia, es que se llega a esa conclusión.</w:t>
      </w:r>
    </w:p>
    <w:p w:rsidR="00E16445" w:rsidRPr="00EB4728" w:rsidRDefault="00E16445" w:rsidP="00E16445">
      <w:pPr>
        <w:pStyle w:val="Prrafodelista"/>
        <w:rPr>
          <w:rFonts w:ascii="Palatino Linotype" w:hAnsi="Palatino Linotype"/>
          <w:color w:val="000000" w:themeColor="text1"/>
        </w:rPr>
      </w:pPr>
    </w:p>
    <w:p w:rsidR="00E16445" w:rsidRPr="00EB4728" w:rsidRDefault="00E16445" w:rsidP="00E16445">
      <w:pPr>
        <w:numPr>
          <w:ilvl w:val="0"/>
          <w:numId w:val="1"/>
        </w:numPr>
        <w:spacing w:line="360" w:lineRule="auto"/>
        <w:ind w:left="0" w:firstLine="0"/>
        <w:contextualSpacing/>
        <w:jc w:val="both"/>
        <w:rPr>
          <w:rFonts w:ascii="Palatino Linotype" w:hAnsi="Palatino Linotype"/>
          <w:color w:val="000000" w:themeColor="text1"/>
        </w:rPr>
      </w:pPr>
      <w:r w:rsidRPr="00EB4728">
        <w:rPr>
          <w:rFonts w:ascii="Palatino Linotype" w:hAnsi="Palatino Linotype"/>
          <w:color w:val="000000" w:themeColor="text1"/>
        </w:rPr>
        <w:lastRenderedPageBreak/>
        <w:t xml:space="preserve">Resulta aplicable el criterio sostenido por el Poder Judicial de la Federación de rubro </w:t>
      </w:r>
      <w:r w:rsidRPr="00EB4728">
        <w:rPr>
          <w:rFonts w:ascii="Palatino Linotype" w:hAnsi="Palatino Linotype"/>
          <w:b/>
          <w:color w:val="000000" w:themeColor="text1"/>
        </w:rPr>
        <w:t>ACTOS CONSENTIDOS TÁCITAMENTE</w:t>
      </w:r>
      <w:r w:rsidRPr="00EB4728">
        <w:rPr>
          <w:rFonts w:ascii="Palatino Linotype" w:hAnsi="Palatino Linotype"/>
          <w:color w:val="000000" w:themeColor="text1"/>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CE7423" w:rsidRPr="00EB4728" w:rsidRDefault="00CE7423" w:rsidP="00CE7423">
      <w:pPr>
        <w:pStyle w:val="Prrafodelista"/>
        <w:rPr>
          <w:rFonts w:ascii="Palatino Linotype" w:hAnsi="Palatino Linotype"/>
          <w:color w:val="000000" w:themeColor="text1"/>
        </w:rPr>
      </w:pPr>
    </w:p>
    <w:p w:rsidR="00E16445" w:rsidRPr="00EB4728" w:rsidRDefault="00E16445" w:rsidP="00E16445">
      <w:pPr>
        <w:numPr>
          <w:ilvl w:val="0"/>
          <w:numId w:val="1"/>
        </w:numPr>
        <w:spacing w:line="360" w:lineRule="auto"/>
        <w:ind w:left="0" w:firstLine="0"/>
        <w:contextualSpacing/>
        <w:jc w:val="both"/>
        <w:rPr>
          <w:rFonts w:ascii="Palatino Linotype" w:hAnsi="Palatino Linotype"/>
          <w:color w:val="000000" w:themeColor="text1"/>
        </w:rPr>
      </w:pPr>
      <w:r w:rsidRPr="00EB4728">
        <w:rPr>
          <w:rFonts w:ascii="Palatino Linotype" w:hAnsi="Palatino Linotype"/>
          <w:color w:val="000000" w:themeColor="text1"/>
        </w:rPr>
        <w:t>De acuerdo con el criterio en comento, en el caso de que el solicitante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rsidR="00E16445" w:rsidRPr="00EB4728" w:rsidRDefault="00E16445" w:rsidP="00E16445">
      <w:pPr>
        <w:spacing w:line="360" w:lineRule="auto"/>
        <w:contextualSpacing/>
        <w:jc w:val="both"/>
        <w:rPr>
          <w:rFonts w:ascii="Palatino Linotype" w:hAnsi="Palatino Linotype"/>
          <w:color w:val="000000" w:themeColor="text1"/>
        </w:rPr>
      </w:pPr>
    </w:p>
    <w:p w:rsidR="00E16445" w:rsidRPr="00EB4728" w:rsidRDefault="00E16445" w:rsidP="00E16445">
      <w:pPr>
        <w:numPr>
          <w:ilvl w:val="0"/>
          <w:numId w:val="1"/>
        </w:numPr>
        <w:spacing w:line="360" w:lineRule="auto"/>
        <w:ind w:left="0" w:firstLine="0"/>
        <w:contextualSpacing/>
        <w:jc w:val="both"/>
        <w:rPr>
          <w:rFonts w:ascii="Palatino Linotype" w:hAnsi="Palatino Linotype"/>
          <w:color w:val="000000" w:themeColor="text1"/>
        </w:rPr>
      </w:pPr>
      <w:r w:rsidRPr="00EB4728">
        <w:rPr>
          <w:rFonts w:ascii="Palatino Linotype" w:hAnsi="Palatino Linotype"/>
          <w:color w:val="000000" w:themeColor="text1"/>
        </w:rPr>
        <w:t>Acotado lo anterior, se procede al análisis de los rubros impugnado y que son los siguientes:</w:t>
      </w:r>
    </w:p>
    <w:p w:rsidR="00B80FCC" w:rsidRPr="00EB4728" w:rsidRDefault="00B80FCC" w:rsidP="00B80FCC">
      <w:pPr>
        <w:spacing w:line="360" w:lineRule="auto"/>
        <w:contextualSpacing/>
        <w:jc w:val="both"/>
        <w:rPr>
          <w:rFonts w:ascii="Palatino Linotype" w:hAnsi="Palatino Linotype"/>
          <w:color w:val="000000" w:themeColor="text1"/>
        </w:rPr>
      </w:pPr>
    </w:p>
    <w:p w:rsidR="00CE7423" w:rsidRPr="00EB4728" w:rsidRDefault="00CE7423" w:rsidP="00CE7423">
      <w:pPr>
        <w:spacing w:line="360" w:lineRule="auto"/>
        <w:contextualSpacing/>
        <w:jc w:val="both"/>
        <w:rPr>
          <w:rFonts w:ascii="Palatino Linotype" w:hAnsi="Palatino Linotype"/>
          <w:b/>
          <w:color w:val="000000" w:themeColor="text1"/>
        </w:rPr>
      </w:pPr>
      <w:r w:rsidRPr="00EB4728">
        <w:rPr>
          <w:rFonts w:ascii="Palatino Linotype" w:hAnsi="Palatino Linotype"/>
          <w:b/>
          <w:color w:val="000000" w:themeColor="text1"/>
        </w:rPr>
        <w:t>Del Órgano Interno de Control del Hospital Regional de Alta Especialidad de Zumpango:</w:t>
      </w:r>
    </w:p>
    <w:p w:rsidR="002A74CD" w:rsidRPr="00EB4728" w:rsidRDefault="002A74CD" w:rsidP="00CE7423">
      <w:pPr>
        <w:spacing w:line="360" w:lineRule="auto"/>
        <w:contextualSpacing/>
        <w:jc w:val="both"/>
        <w:rPr>
          <w:rFonts w:ascii="Palatino Linotype" w:hAnsi="Palatino Linotype"/>
          <w:b/>
          <w:color w:val="000000" w:themeColor="text1"/>
        </w:rPr>
      </w:pPr>
    </w:p>
    <w:p w:rsidR="00CE7423" w:rsidRPr="00EB4728" w:rsidRDefault="00CE7423" w:rsidP="002A74CD">
      <w:pPr>
        <w:pStyle w:val="Prrafodelista"/>
        <w:numPr>
          <w:ilvl w:val="0"/>
          <w:numId w:val="28"/>
        </w:numPr>
        <w:spacing w:line="360" w:lineRule="auto"/>
        <w:jc w:val="both"/>
        <w:rPr>
          <w:rFonts w:ascii="Palatino Linotype" w:hAnsi="Palatino Linotype"/>
          <w:color w:val="000000" w:themeColor="text1"/>
        </w:rPr>
      </w:pPr>
      <w:r w:rsidRPr="00EB4728">
        <w:rPr>
          <w:rFonts w:ascii="Palatino Linotype" w:hAnsi="Palatino Linotype"/>
          <w:color w:val="000000" w:themeColor="text1"/>
        </w:rPr>
        <w:t>Descripción pormenorizada de quejas y denuncias recibidas en los años 2020, 2021 y 2022;</w:t>
      </w:r>
    </w:p>
    <w:p w:rsidR="00CE7423" w:rsidRPr="00EB4728" w:rsidRDefault="00CE7423" w:rsidP="002A74CD">
      <w:pPr>
        <w:pStyle w:val="Prrafodelista"/>
        <w:numPr>
          <w:ilvl w:val="0"/>
          <w:numId w:val="28"/>
        </w:numPr>
        <w:spacing w:line="360" w:lineRule="auto"/>
        <w:jc w:val="both"/>
        <w:rPr>
          <w:rFonts w:ascii="Palatino Linotype" w:hAnsi="Palatino Linotype"/>
          <w:color w:val="000000" w:themeColor="text1"/>
        </w:rPr>
      </w:pPr>
      <w:r w:rsidRPr="00EB4728">
        <w:rPr>
          <w:rFonts w:ascii="Palatino Linotype" w:hAnsi="Palatino Linotype"/>
          <w:color w:val="000000" w:themeColor="text1"/>
        </w:rPr>
        <w:lastRenderedPageBreak/>
        <w:t>Número de quejas y</w:t>
      </w:r>
      <w:r w:rsidR="002A74CD" w:rsidRPr="00EB4728">
        <w:rPr>
          <w:rFonts w:ascii="Palatino Linotype" w:hAnsi="Palatino Linotype"/>
          <w:color w:val="000000" w:themeColor="text1"/>
        </w:rPr>
        <w:t xml:space="preserve"> </w:t>
      </w:r>
      <w:r w:rsidRPr="00EB4728">
        <w:rPr>
          <w:rFonts w:ascii="Palatino Linotype" w:hAnsi="Palatino Linotype"/>
          <w:color w:val="000000" w:themeColor="text1"/>
        </w:rPr>
        <w:t>denuncias por mes, motivo, y nombre de probable responsable, así como el resultado de las que ya hayan finalizado;</w:t>
      </w:r>
    </w:p>
    <w:p w:rsidR="00CE7423" w:rsidRPr="00EB4728" w:rsidRDefault="00CE7423" w:rsidP="002A74CD">
      <w:pPr>
        <w:pStyle w:val="Prrafodelista"/>
        <w:numPr>
          <w:ilvl w:val="0"/>
          <w:numId w:val="28"/>
        </w:numPr>
        <w:spacing w:line="360" w:lineRule="auto"/>
        <w:jc w:val="both"/>
        <w:rPr>
          <w:rFonts w:ascii="Palatino Linotype" w:hAnsi="Palatino Linotype"/>
          <w:color w:val="000000" w:themeColor="text1"/>
        </w:rPr>
      </w:pPr>
      <w:r w:rsidRPr="00EB4728">
        <w:rPr>
          <w:rFonts w:ascii="Palatino Linotype" w:hAnsi="Palatino Linotype"/>
          <w:color w:val="000000" w:themeColor="text1"/>
        </w:rPr>
        <w:t>Expedientes de investigación archivados por falta de elementos;</w:t>
      </w:r>
    </w:p>
    <w:p w:rsidR="002A74CD" w:rsidRPr="00EB4728" w:rsidRDefault="00CE7423" w:rsidP="00012B2E">
      <w:pPr>
        <w:pStyle w:val="Prrafodelista"/>
        <w:numPr>
          <w:ilvl w:val="0"/>
          <w:numId w:val="28"/>
        </w:numPr>
        <w:spacing w:line="360" w:lineRule="auto"/>
        <w:jc w:val="both"/>
        <w:rPr>
          <w:rFonts w:ascii="Palatino Linotype" w:hAnsi="Palatino Linotype"/>
          <w:color w:val="000000" w:themeColor="text1"/>
        </w:rPr>
      </w:pPr>
      <w:r w:rsidRPr="00EB4728">
        <w:rPr>
          <w:rFonts w:ascii="Palatino Linotype" w:hAnsi="Palatino Linotype"/>
          <w:color w:val="000000" w:themeColor="text1"/>
        </w:rPr>
        <w:t>Expedientes de investigación que ya no cuenten con actividad procesal administrativa, o hayan finalizado de los años 2020 a 2022, especificando el tipo de r</w:t>
      </w:r>
      <w:r w:rsidR="002A74CD" w:rsidRPr="00EB4728">
        <w:rPr>
          <w:rFonts w:ascii="Palatino Linotype" w:hAnsi="Palatino Linotype"/>
          <w:color w:val="000000" w:themeColor="text1"/>
        </w:rPr>
        <w:t>esponsabilidad que se determinó</w:t>
      </w:r>
      <w:r w:rsidR="00AD3CD3" w:rsidRPr="00EB4728">
        <w:rPr>
          <w:rFonts w:ascii="Palatino Linotype" w:hAnsi="Palatino Linotype"/>
          <w:color w:val="000000" w:themeColor="text1"/>
        </w:rPr>
        <w:t xml:space="preserve">; </w:t>
      </w:r>
    </w:p>
    <w:p w:rsidR="002A74CD" w:rsidRPr="00EB4728" w:rsidRDefault="002A74CD" w:rsidP="00012B2E">
      <w:pPr>
        <w:pStyle w:val="Prrafodelista"/>
        <w:numPr>
          <w:ilvl w:val="0"/>
          <w:numId w:val="28"/>
        </w:numPr>
        <w:spacing w:line="360" w:lineRule="auto"/>
        <w:jc w:val="both"/>
        <w:rPr>
          <w:rFonts w:ascii="Palatino Linotype" w:hAnsi="Palatino Linotype"/>
          <w:color w:val="000000" w:themeColor="text1"/>
        </w:rPr>
      </w:pPr>
      <w:r w:rsidRPr="00EB4728">
        <w:rPr>
          <w:rFonts w:ascii="Palatino Linotype" w:hAnsi="Palatino Linotype"/>
          <w:color w:val="000000" w:themeColor="text1"/>
        </w:rPr>
        <w:t>I</w:t>
      </w:r>
      <w:r w:rsidR="00CE7423" w:rsidRPr="00EB4728">
        <w:rPr>
          <w:rFonts w:ascii="Palatino Linotype" w:hAnsi="Palatino Linotype"/>
          <w:color w:val="000000" w:themeColor="text1"/>
        </w:rPr>
        <w:t>nformes emitido</w:t>
      </w:r>
      <w:r w:rsidRPr="00EB4728">
        <w:rPr>
          <w:rFonts w:ascii="Palatino Linotype" w:hAnsi="Palatino Linotype"/>
          <w:color w:val="000000" w:themeColor="text1"/>
        </w:rPr>
        <w:t>s</w:t>
      </w:r>
      <w:r w:rsidR="00CE7423" w:rsidRPr="00EB4728">
        <w:rPr>
          <w:rFonts w:ascii="Palatino Linotype" w:hAnsi="Palatino Linotype"/>
          <w:color w:val="000000" w:themeColor="text1"/>
        </w:rPr>
        <w:t xml:space="preserve"> </w:t>
      </w:r>
      <w:r w:rsidRPr="00EB4728">
        <w:rPr>
          <w:rFonts w:ascii="Palatino Linotype" w:hAnsi="Palatino Linotype"/>
          <w:color w:val="000000" w:themeColor="text1"/>
        </w:rPr>
        <w:t>de</w:t>
      </w:r>
      <w:r w:rsidR="00CE7423" w:rsidRPr="00EB4728">
        <w:rPr>
          <w:rFonts w:ascii="Palatino Linotype" w:hAnsi="Palatino Linotype"/>
          <w:color w:val="000000" w:themeColor="text1"/>
        </w:rPr>
        <w:t xml:space="preserve"> presunta responsabilidad de servidores públicos de los años 2020, 2021 y 2022,</w:t>
      </w:r>
      <w:r w:rsidR="00AD3CD3" w:rsidRPr="00EB4728">
        <w:rPr>
          <w:rFonts w:ascii="Palatino Linotype" w:hAnsi="Palatino Linotype"/>
          <w:color w:val="000000" w:themeColor="text1"/>
        </w:rPr>
        <w:t xml:space="preserve"> por faltas graves y no graves; y</w:t>
      </w:r>
    </w:p>
    <w:p w:rsidR="00AD3CD3" w:rsidRPr="00EB4728" w:rsidRDefault="00AD3CD3" w:rsidP="00012B2E">
      <w:pPr>
        <w:pStyle w:val="Prrafodelista"/>
        <w:numPr>
          <w:ilvl w:val="0"/>
          <w:numId w:val="28"/>
        </w:numPr>
        <w:spacing w:line="360" w:lineRule="auto"/>
        <w:jc w:val="both"/>
        <w:rPr>
          <w:rFonts w:ascii="Palatino Linotype" w:hAnsi="Palatino Linotype"/>
          <w:color w:val="000000" w:themeColor="text1"/>
        </w:rPr>
      </w:pPr>
      <w:r w:rsidRPr="00EB4728">
        <w:rPr>
          <w:rFonts w:ascii="Palatino Linotype" w:hAnsi="Palatino Linotype"/>
          <w:color w:val="000000" w:themeColor="text1"/>
        </w:rPr>
        <w:t>Actas de entrega - recepción</w:t>
      </w:r>
    </w:p>
    <w:p w:rsidR="00CE7423" w:rsidRPr="00EB4728" w:rsidRDefault="00CE7423" w:rsidP="00B80FCC">
      <w:pPr>
        <w:spacing w:line="360" w:lineRule="auto"/>
        <w:contextualSpacing/>
        <w:jc w:val="both"/>
        <w:rPr>
          <w:rFonts w:ascii="Palatino Linotype" w:hAnsi="Palatino Linotype"/>
          <w:color w:val="000000" w:themeColor="text1"/>
        </w:rPr>
      </w:pPr>
    </w:p>
    <w:p w:rsidR="001B27E4" w:rsidRPr="00EB4728" w:rsidRDefault="006D7B34" w:rsidP="00FB476B">
      <w:pPr>
        <w:numPr>
          <w:ilvl w:val="0"/>
          <w:numId w:val="1"/>
        </w:numPr>
        <w:spacing w:line="360" w:lineRule="auto"/>
        <w:ind w:left="0" w:firstLine="0"/>
        <w:contextualSpacing/>
        <w:jc w:val="both"/>
        <w:rPr>
          <w:rFonts w:ascii="Palatino Linotype" w:hAnsi="Palatino Linotype"/>
          <w:color w:val="000000" w:themeColor="text1"/>
        </w:rPr>
      </w:pPr>
      <w:r w:rsidRPr="00EB4728">
        <w:rPr>
          <w:rFonts w:ascii="Palatino Linotype" w:hAnsi="Palatino Linotype"/>
          <w:noProof/>
          <w:color w:val="000000" w:themeColor="text1"/>
          <w:lang w:val="es-MX" w:eastAsia="es-MX"/>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1682357</wp:posOffset>
                </wp:positionV>
                <wp:extent cx="5592111" cy="2558955"/>
                <wp:effectExtent l="0" t="0" r="27940" b="32385"/>
                <wp:wrapNone/>
                <wp:docPr id="10" name="Conector recto 10"/>
                <wp:cNvGraphicFramePr/>
                <a:graphic xmlns:a="http://schemas.openxmlformats.org/drawingml/2006/main">
                  <a:graphicData uri="http://schemas.microsoft.com/office/word/2010/wordprocessingShape">
                    <wps:wsp>
                      <wps:cNvCnPr/>
                      <wps:spPr>
                        <a:xfrm>
                          <a:off x="0" y="0"/>
                          <a:ext cx="5592111" cy="25589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6F4F8" id="Conector recto 10"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1pt,132.45pt" to="829.4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" strokecolor="black [3200]" strokeweight="1.5pt">
                <v:stroke joinstyle="miter"/>
                <w10:wrap anchorx="margin"/>
              </v:line>
            </w:pict>
          </mc:Fallback>
        </mc:AlternateContent>
      </w:r>
      <w:r w:rsidR="00B80FCC" w:rsidRPr="00EB4728">
        <w:rPr>
          <w:rFonts w:ascii="Palatino Linotype" w:hAnsi="Palatino Linotype"/>
          <w:color w:val="000000" w:themeColor="text1"/>
        </w:rPr>
        <w:t xml:space="preserve">Como se hizo constar en el apartado de antecedentes, el </w:t>
      </w:r>
      <w:r w:rsidR="00B80FCC" w:rsidRPr="00EB4728">
        <w:rPr>
          <w:rFonts w:ascii="Palatino Linotype" w:hAnsi="Palatino Linotype"/>
          <w:b/>
          <w:color w:val="000000" w:themeColor="text1"/>
        </w:rPr>
        <w:t xml:space="preserve">SUJETO OBLIGADO </w:t>
      </w:r>
      <w:r w:rsidR="008210A1" w:rsidRPr="00EB4728">
        <w:rPr>
          <w:rFonts w:ascii="Palatino Linotype" w:hAnsi="Palatino Linotype"/>
          <w:b/>
          <w:color w:val="000000" w:themeColor="text1"/>
        </w:rPr>
        <w:t xml:space="preserve"> </w:t>
      </w:r>
      <w:r w:rsidR="00D34F1E" w:rsidRPr="00EB4728">
        <w:rPr>
          <w:rFonts w:ascii="Palatino Linotype" w:hAnsi="Palatino Linotype"/>
          <w:color w:val="000000" w:themeColor="text1"/>
        </w:rPr>
        <w:t>adujo que no podía dar atención a las solicitudes de información, toda vez que el carácter de sujeto obligado del Órgano Interno de Control debe otorgar observancia a lo estableció en el artículo 38 bis, fracción XIV de la Ley Orgánica de la Administración Pública</w:t>
      </w:r>
      <w:r w:rsidR="00FB476B" w:rsidRPr="00EB4728">
        <w:rPr>
          <w:rFonts w:ascii="Palatino Linotype" w:hAnsi="Palatino Linotype"/>
          <w:color w:val="000000" w:themeColor="text1"/>
        </w:rPr>
        <w:t xml:space="preserve"> del Estado de México, </w:t>
      </w:r>
      <w:r w:rsidR="001B27E4" w:rsidRPr="00EB4728">
        <w:rPr>
          <w:rFonts w:ascii="Palatino Linotype" w:hAnsi="Palatino Linotype"/>
          <w:color w:val="000000" w:themeColor="text1"/>
        </w:rPr>
        <w:t>a saber:</w:t>
      </w:r>
    </w:p>
    <w:p w:rsidR="001B27E4" w:rsidRPr="00EB4728" w:rsidRDefault="006D7B34" w:rsidP="001B27E4">
      <w:pPr>
        <w:spacing w:line="360" w:lineRule="auto"/>
        <w:contextualSpacing/>
        <w:jc w:val="center"/>
        <w:rPr>
          <w:rFonts w:ascii="Palatino Linotype" w:hAnsi="Palatino Linotype"/>
          <w:color w:val="000000" w:themeColor="text1"/>
        </w:rPr>
      </w:pPr>
      <w:r w:rsidRPr="00EB4728">
        <w:rPr>
          <w:rFonts w:ascii="Palatino Linotype" w:hAnsi="Palatino Linotype"/>
          <w:noProof/>
          <w:color w:val="000000" w:themeColor="text1"/>
          <w:lang w:val="es-MX" w:eastAsia="es-MX"/>
        </w:rPr>
        <w:lastRenderedPageBreak/>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5922260</wp:posOffset>
                </wp:positionV>
                <wp:extent cx="5586825" cy="1405956"/>
                <wp:effectExtent l="0" t="0" r="33020" b="22860"/>
                <wp:wrapNone/>
                <wp:docPr id="12" name="Conector recto 12"/>
                <wp:cNvGraphicFramePr/>
                <a:graphic xmlns:a="http://schemas.openxmlformats.org/drawingml/2006/main">
                  <a:graphicData uri="http://schemas.microsoft.com/office/word/2010/wordprocessingShape">
                    <wps:wsp>
                      <wps:cNvCnPr/>
                      <wps:spPr>
                        <a:xfrm>
                          <a:off x="0" y="0"/>
                          <a:ext cx="5586825" cy="140595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8FDF9" id="Conector recto 12"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pt,466.3pt" to="828.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" strokecolor="black [3200]" strokeweight="1.5pt">
                <v:stroke joinstyle="miter"/>
                <w10:wrap anchorx="margin"/>
              </v:line>
            </w:pict>
          </mc:Fallback>
        </mc:AlternateContent>
      </w:r>
      <w:r w:rsidR="001B27E4" w:rsidRPr="00EB4728">
        <w:rPr>
          <w:rFonts w:ascii="Palatino Linotype" w:hAnsi="Palatino Linotype"/>
          <w:noProof/>
          <w:color w:val="000000" w:themeColor="text1"/>
          <w:lang w:val="es-MX" w:eastAsia="es-MX"/>
        </w:rPr>
        <w:drawing>
          <wp:inline distT="0" distB="0" distL="0" distR="0" wp14:anchorId="3503B697" wp14:editId="2DA82039">
            <wp:extent cx="4454633" cy="5496971"/>
            <wp:effectExtent l="19050" t="19050" r="22225"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2040" cy="5518452"/>
                    </a:xfrm>
                    <a:prstGeom prst="rect">
                      <a:avLst/>
                    </a:prstGeom>
                    <a:ln>
                      <a:solidFill>
                        <a:schemeClr val="tx1"/>
                      </a:solidFill>
                    </a:ln>
                  </pic:spPr>
                </pic:pic>
              </a:graphicData>
            </a:graphic>
          </wp:inline>
        </w:drawing>
      </w:r>
    </w:p>
    <w:p w:rsidR="001B27E4" w:rsidRPr="00EB4728" w:rsidRDefault="001B27E4" w:rsidP="001B27E4">
      <w:pPr>
        <w:spacing w:line="360" w:lineRule="auto"/>
        <w:contextualSpacing/>
        <w:jc w:val="center"/>
        <w:rPr>
          <w:rFonts w:ascii="Palatino Linotype" w:hAnsi="Palatino Linotype"/>
          <w:color w:val="000000" w:themeColor="text1"/>
        </w:rPr>
      </w:pPr>
      <w:r w:rsidRPr="00EB4728">
        <w:rPr>
          <w:rFonts w:ascii="Palatino Linotype" w:hAnsi="Palatino Linotype"/>
          <w:noProof/>
          <w:color w:val="000000" w:themeColor="text1"/>
          <w:lang w:val="es-MX" w:eastAsia="es-MX"/>
        </w:rPr>
        <w:lastRenderedPageBreak/>
        <w:drawing>
          <wp:inline distT="0" distB="0" distL="0" distR="0" wp14:anchorId="7C33648B" wp14:editId="7F9235C9">
            <wp:extent cx="4915561" cy="6186443"/>
            <wp:effectExtent l="19050" t="19050" r="1841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6556" cy="6187695"/>
                    </a:xfrm>
                    <a:prstGeom prst="rect">
                      <a:avLst/>
                    </a:prstGeom>
                    <a:ln>
                      <a:solidFill>
                        <a:schemeClr val="tx1"/>
                      </a:solidFill>
                    </a:ln>
                  </pic:spPr>
                </pic:pic>
              </a:graphicData>
            </a:graphic>
          </wp:inline>
        </w:drawing>
      </w:r>
    </w:p>
    <w:p w:rsidR="001B27E4" w:rsidRPr="00EB4728" w:rsidRDefault="00BA5B7C" w:rsidP="001B27E4">
      <w:pPr>
        <w:spacing w:line="360" w:lineRule="auto"/>
        <w:contextualSpacing/>
        <w:jc w:val="center"/>
        <w:rPr>
          <w:rFonts w:ascii="Palatino Linotype" w:hAnsi="Palatino Linotype"/>
          <w:color w:val="000000" w:themeColor="text1"/>
        </w:rPr>
      </w:pPr>
      <w:r w:rsidRPr="00EB4728">
        <w:rPr>
          <w:rFonts w:ascii="Palatino Linotype" w:hAnsi="Palatino Linotype"/>
          <w:noProof/>
          <w:color w:val="000000" w:themeColor="text1"/>
          <w:lang w:val="es-MX" w:eastAsia="es-MX"/>
        </w:rPr>
        <w:t>(…)</w:t>
      </w:r>
    </w:p>
    <w:p w:rsidR="001B27E4" w:rsidRPr="00EB4728" w:rsidRDefault="001B27E4" w:rsidP="001B27E4">
      <w:pPr>
        <w:spacing w:line="360" w:lineRule="auto"/>
        <w:contextualSpacing/>
        <w:jc w:val="both"/>
        <w:rPr>
          <w:rFonts w:ascii="Palatino Linotype" w:hAnsi="Palatino Linotype"/>
          <w:color w:val="000000" w:themeColor="text1"/>
        </w:rPr>
      </w:pPr>
    </w:p>
    <w:p w:rsidR="00D34F1E" w:rsidRPr="00EB4728" w:rsidRDefault="001B27E4" w:rsidP="00FB476B">
      <w:pPr>
        <w:numPr>
          <w:ilvl w:val="0"/>
          <w:numId w:val="1"/>
        </w:numPr>
        <w:spacing w:line="360" w:lineRule="auto"/>
        <w:ind w:left="0" w:firstLine="0"/>
        <w:contextualSpacing/>
        <w:jc w:val="both"/>
        <w:rPr>
          <w:rFonts w:ascii="Palatino Linotype" w:hAnsi="Palatino Linotype"/>
          <w:color w:val="000000" w:themeColor="text1"/>
        </w:rPr>
      </w:pPr>
      <w:r w:rsidRPr="00EB4728">
        <w:rPr>
          <w:rFonts w:ascii="Palatino Linotype" w:hAnsi="Palatino Linotype"/>
          <w:color w:val="000000" w:themeColor="text1"/>
        </w:rPr>
        <w:lastRenderedPageBreak/>
        <w:t>E</w:t>
      </w:r>
      <w:r w:rsidR="00FB476B" w:rsidRPr="00EB4728">
        <w:rPr>
          <w:rFonts w:ascii="Palatino Linotype" w:hAnsi="Palatino Linotype"/>
          <w:color w:val="000000" w:themeColor="text1"/>
        </w:rPr>
        <w:t xml:space="preserve">n relación con los artículos </w:t>
      </w:r>
      <w:r w:rsidR="00806C6B" w:rsidRPr="00EB4728">
        <w:rPr>
          <w:rFonts w:ascii="Palatino Linotype" w:hAnsi="Palatino Linotype"/>
          <w:color w:val="000000" w:themeColor="text1"/>
        </w:rPr>
        <w:t>2 fracción X, 4, 35 y 36 del R</w:t>
      </w:r>
      <w:r w:rsidR="00FB476B" w:rsidRPr="00EB4728">
        <w:rPr>
          <w:rFonts w:ascii="Palatino Linotype" w:hAnsi="Palatino Linotype"/>
          <w:color w:val="000000" w:themeColor="text1"/>
        </w:rPr>
        <w:t xml:space="preserve">eglamento Interior de la Secretaria de la Contraloría, </w:t>
      </w:r>
      <w:r w:rsidR="00BA5B7C" w:rsidRPr="00EB4728">
        <w:rPr>
          <w:rFonts w:ascii="Palatino Linotype" w:hAnsi="Palatino Linotype"/>
          <w:color w:val="000000" w:themeColor="text1"/>
        </w:rPr>
        <w:t>y que son</w:t>
      </w:r>
      <w:r w:rsidR="00FB476B" w:rsidRPr="00EB4728">
        <w:rPr>
          <w:rFonts w:ascii="Palatino Linotype" w:hAnsi="Palatino Linotype"/>
          <w:color w:val="000000" w:themeColor="text1"/>
        </w:rPr>
        <w:t>:</w:t>
      </w:r>
    </w:p>
    <w:p w:rsidR="00BA5B7C" w:rsidRPr="00EB4728" w:rsidRDefault="00BA5B7C" w:rsidP="00BA5B7C">
      <w:pPr>
        <w:spacing w:line="360" w:lineRule="auto"/>
        <w:contextualSpacing/>
        <w:jc w:val="both"/>
        <w:rPr>
          <w:rFonts w:ascii="Palatino Linotype" w:hAnsi="Palatino Linotype"/>
          <w:color w:val="000000" w:themeColor="text1"/>
        </w:rPr>
      </w:pPr>
    </w:p>
    <w:p w:rsidR="00FB476B" w:rsidRPr="00EB4728" w:rsidRDefault="00FB476B" w:rsidP="00FB476B">
      <w:pPr>
        <w:ind w:left="284" w:right="335"/>
        <w:contextualSpacing/>
        <w:jc w:val="both"/>
        <w:rPr>
          <w:rFonts w:ascii="Palatino Linotype" w:hAnsi="Palatino Linotype"/>
          <w:i/>
          <w:color w:val="000000" w:themeColor="text1"/>
        </w:rPr>
      </w:pPr>
      <w:r w:rsidRPr="00EB4728">
        <w:rPr>
          <w:rFonts w:ascii="Palatino Linotype" w:hAnsi="Palatino Linotype"/>
          <w:i/>
          <w:color w:val="000000" w:themeColor="text1"/>
        </w:rPr>
        <w:t>“Artículo 4. La Secretaría, además de las unidades administrativas básicas, contará con los órganos internos de control, las Áreas de Auditoría, de Quejas y de Responsabilidades de dichos órganos, así como con los Delegados Regionales de Contraloría Social y Atención Ciudadana y Comisarios, quienes tendrán las atribuciones establecidas en este Reglamento.”</w:t>
      </w:r>
    </w:p>
    <w:p w:rsidR="00FB476B" w:rsidRPr="00EB4728" w:rsidRDefault="00FB476B" w:rsidP="00FB476B">
      <w:pPr>
        <w:ind w:left="284" w:right="335"/>
        <w:contextualSpacing/>
        <w:jc w:val="both"/>
        <w:rPr>
          <w:rFonts w:ascii="Palatino Linotype" w:hAnsi="Palatino Linotype"/>
          <w:i/>
          <w:color w:val="000000" w:themeColor="text1"/>
        </w:rPr>
      </w:pPr>
    </w:p>
    <w:p w:rsidR="00FB476B" w:rsidRPr="00EB4728" w:rsidRDefault="00FB476B" w:rsidP="00FB476B">
      <w:pPr>
        <w:ind w:left="284" w:right="335"/>
        <w:contextualSpacing/>
        <w:jc w:val="both"/>
        <w:rPr>
          <w:rFonts w:ascii="Palatino Linotype" w:hAnsi="Palatino Linotype"/>
          <w:i/>
          <w:color w:val="000000" w:themeColor="text1"/>
        </w:rPr>
      </w:pPr>
      <w:r w:rsidRPr="00EB4728">
        <w:rPr>
          <w:rFonts w:ascii="Palatino Linotype" w:hAnsi="Palatino Linotype"/>
          <w:i/>
          <w:color w:val="000000" w:themeColor="text1"/>
        </w:rPr>
        <w:t>“Artículo 35. Los órganos internos de control, así como las Áreas de Auditoría, de Quejas y de Responsabilidades, o en su caso los servidores públicos que realicen las funciones que correspondan a dichas áreas, de las dependencias y organismos auxiliares, serán coordinados y dependerán jerárquica y funcionalmente de la Secretaría, quienes observarán las políticas, normas, lineamientos, procedimientos y demás disposiciones aplicables, así como los programas de trabajo de la Secretaría.”</w:t>
      </w:r>
    </w:p>
    <w:p w:rsidR="00FB476B" w:rsidRPr="00EB4728" w:rsidRDefault="00FB476B" w:rsidP="00FB476B">
      <w:pPr>
        <w:ind w:left="284" w:right="335"/>
        <w:contextualSpacing/>
        <w:jc w:val="both"/>
        <w:rPr>
          <w:rFonts w:ascii="Palatino Linotype" w:hAnsi="Palatino Linotype"/>
          <w:i/>
          <w:color w:val="000000" w:themeColor="text1"/>
        </w:rPr>
      </w:pPr>
    </w:p>
    <w:p w:rsidR="00FB476B" w:rsidRPr="00EB4728" w:rsidRDefault="00FB476B" w:rsidP="00FB476B">
      <w:pPr>
        <w:ind w:left="284" w:right="335"/>
        <w:contextualSpacing/>
        <w:jc w:val="both"/>
        <w:rPr>
          <w:rFonts w:ascii="Palatino Linotype" w:hAnsi="Palatino Linotype"/>
          <w:i/>
          <w:color w:val="000000" w:themeColor="text1"/>
        </w:rPr>
      </w:pPr>
      <w:r w:rsidRPr="00EB4728">
        <w:rPr>
          <w:rFonts w:ascii="Palatino Linotype" w:hAnsi="Palatino Linotype"/>
          <w:i/>
          <w:color w:val="000000" w:themeColor="text1"/>
        </w:rPr>
        <w:t>“Artículo 36. Los órganos internos de control constituyen unidades administrativas dentro de la estructura orgánica de la Dependencia y Organismo Auxiliar en que se encuentren adscritos.</w:t>
      </w:r>
    </w:p>
    <w:p w:rsidR="00FB476B" w:rsidRPr="00EB4728" w:rsidRDefault="00FB476B" w:rsidP="00FB476B">
      <w:pPr>
        <w:ind w:left="284" w:right="335"/>
        <w:contextualSpacing/>
        <w:jc w:val="both"/>
        <w:rPr>
          <w:rFonts w:ascii="Palatino Linotype" w:hAnsi="Palatino Linotype"/>
          <w:i/>
          <w:color w:val="000000" w:themeColor="text1"/>
        </w:rPr>
      </w:pPr>
      <w:r w:rsidRPr="00EB4728">
        <w:rPr>
          <w:rFonts w:ascii="Palatino Linotype" w:hAnsi="Palatino Linotype"/>
          <w:i/>
          <w:color w:val="000000" w:themeColor="text1"/>
        </w:rPr>
        <w:t>Las dependencias y organismos auxiliares proveerán, en sus respectivos ámbitos de competencia, y con cargo a sus presupuestos, los recursos que requieran los órganos internos de control para el cumplimiento de sus funciones.”</w:t>
      </w:r>
    </w:p>
    <w:p w:rsidR="00806C6B" w:rsidRPr="00EB4728" w:rsidRDefault="00806C6B" w:rsidP="00FB476B">
      <w:pPr>
        <w:ind w:left="284" w:right="335"/>
        <w:contextualSpacing/>
        <w:jc w:val="both"/>
        <w:rPr>
          <w:rFonts w:ascii="Palatino Linotype" w:hAnsi="Palatino Linotype"/>
          <w:i/>
          <w:color w:val="000000" w:themeColor="text1"/>
        </w:rPr>
      </w:pPr>
    </w:p>
    <w:p w:rsidR="00D34F1E" w:rsidRPr="00EB4728" w:rsidRDefault="00FB476B" w:rsidP="00FB476B">
      <w:pPr>
        <w:numPr>
          <w:ilvl w:val="0"/>
          <w:numId w:val="1"/>
        </w:numPr>
        <w:spacing w:line="360" w:lineRule="auto"/>
        <w:ind w:left="0" w:firstLine="0"/>
        <w:contextualSpacing/>
        <w:jc w:val="both"/>
        <w:rPr>
          <w:rFonts w:ascii="Palatino Linotype" w:hAnsi="Palatino Linotype"/>
          <w:color w:val="000000" w:themeColor="text1"/>
        </w:rPr>
      </w:pPr>
      <w:r w:rsidRPr="00EB4728">
        <w:rPr>
          <w:rFonts w:ascii="Palatino Linotype" w:hAnsi="Palatino Linotype"/>
          <w:color w:val="000000" w:themeColor="text1"/>
        </w:rPr>
        <w:t xml:space="preserve">Derivado de lo anterior, es que el </w:t>
      </w:r>
      <w:r w:rsidRPr="00EB4728">
        <w:rPr>
          <w:rFonts w:ascii="Palatino Linotype" w:hAnsi="Palatino Linotype"/>
          <w:b/>
          <w:color w:val="000000" w:themeColor="text1"/>
        </w:rPr>
        <w:t>SUJETO OBLIGADO</w:t>
      </w:r>
      <w:r w:rsidRPr="00EB4728">
        <w:rPr>
          <w:rFonts w:ascii="Palatino Linotype" w:hAnsi="Palatino Linotype"/>
          <w:color w:val="000000" w:themeColor="text1"/>
        </w:rPr>
        <w:t xml:space="preserve"> concluyó que los Órganos Internos de Control constituyen Unidades Administrativas que se encuentran </w:t>
      </w:r>
      <w:r w:rsidR="00806C6B" w:rsidRPr="00EB4728">
        <w:rPr>
          <w:rFonts w:ascii="Palatino Linotype" w:hAnsi="Palatino Linotype"/>
          <w:color w:val="000000" w:themeColor="text1"/>
        </w:rPr>
        <w:t>anexas</w:t>
      </w:r>
      <w:r w:rsidRPr="00EB4728">
        <w:rPr>
          <w:rFonts w:ascii="Palatino Linotype" w:hAnsi="Palatino Linotype"/>
          <w:color w:val="000000" w:themeColor="text1"/>
        </w:rPr>
        <w:t xml:space="preserve"> a la dependencia u organismo al que se encuentran adscritos, con el objetivo de proveer los recursos financieros y materiales necesarios para su funcionamiento, pero, dichos órganos internos de control dependen jerárquicamente y funcionalmente de la Secretaria de la Contraloría, desempeñando sus atribuciones con estricto apego a todo aquel documento, instrumento o producto </w:t>
      </w:r>
      <w:r w:rsidRPr="00EB4728">
        <w:rPr>
          <w:rFonts w:ascii="Palatino Linotype" w:hAnsi="Palatino Linotype"/>
          <w:color w:val="000000" w:themeColor="text1"/>
        </w:rPr>
        <w:lastRenderedPageBreak/>
        <w:t>se realiza en cumplimiento a las funciones que la Secretaria de la Contraloría encomienda y, no por aquellas que le instruya la dependencia u organismo auxiliar.</w:t>
      </w:r>
    </w:p>
    <w:p w:rsidR="00BA5B7C" w:rsidRPr="00EB4728" w:rsidRDefault="00BA5B7C" w:rsidP="00BA5B7C">
      <w:pPr>
        <w:spacing w:line="360" w:lineRule="auto"/>
        <w:contextualSpacing/>
        <w:jc w:val="both"/>
        <w:rPr>
          <w:rFonts w:ascii="Palatino Linotype" w:hAnsi="Palatino Linotype"/>
          <w:color w:val="000000" w:themeColor="text1"/>
        </w:rPr>
      </w:pPr>
    </w:p>
    <w:p w:rsidR="00806C6B" w:rsidRPr="00EB4728" w:rsidRDefault="00806C6B" w:rsidP="00806C6B">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En esa tesitura se estima conveniente partir de lo establecido en el citado </w:t>
      </w:r>
      <w:r w:rsidRPr="00EB4728">
        <w:rPr>
          <w:rFonts w:ascii="Palatino Linotype" w:hAnsi="Palatino Linotype"/>
          <w:b/>
        </w:rPr>
        <w:t>Reglamento Interior de la Secretaría de la Contraloría</w:t>
      </w:r>
      <w:r w:rsidRPr="00EB4728">
        <w:rPr>
          <w:rFonts w:ascii="Palatino Linotype" w:hAnsi="Palatino Linotype"/>
        </w:rPr>
        <w:t>, ya que en sus artículos, a continuación insertos, se refiere lo siguiente:</w:t>
      </w:r>
    </w:p>
    <w:p w:rsidR="00806C6B" w:rsidRPr="00EB4728" w:rsidRDefault="00806C6B" w:rsidP="00806C6B">
      <w:pPr>
        <w:pStyle w:val="Prrafodelista"/>
        <w:spacing w:line="360" w:lineRule="auto"/>
        <w:ind w:left="360"/>
        <w:jc w:val="both"/>
        <w:rPr>
          <w:rFonts w:ascii="Palatino Linotype" w:hAnsi="Palatino Linotype"/>
        </w:rPr>
      </w:pP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w:t>
      </w:r>
      <w:r w:rsidRPr="00EB4728">
        <w:rPr>
          <w:rFonts w:ascii="Palatino Linotype" w:eastAsia="Arial Unicode MS" w:hAnsi="Palatino Linotype" w:cs="Arial"/>
          <w:b/>
          <w:i/>
        </w:rPr>
        <w:t>Artículo 2</w:t>
      </w:r>
      <w:r w:rsidRPr="00EB4728">
        <w:rPr>
          <w:rFonts w:ascii="Palatino Linotype" w:eastAsia="Arial Unicode MS" w:hAnsi="Palatino Linotype" w:cs="Arial"/>
          <w:i/>
        </w:rPr>
        <w:t>. Para los efectos de este Reglamento, además de las definiciones establecidas en la Ley de Responsabilidades Administrativas del Estado de México y Municipios y en la Ley del Sistema Anticorrupción del Estado de México y Municipios, se entiende por:</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b/>
          <w:i/>
          <w:u w:val="single"/>
        </w:rPr>
        <w:t>X. Órganos internos de control</w:t>
      </w:r>
      <w:r w:rsidRPr="00EB4728">
        <w:rPr>
          <w:rFonts w:ascii="Palatino Linotype" w:eastAsia="Arial Unicode MS" w:hAnsi="Palatino Linotype" w:cs="Arial"/>
          <w:i/>
        </w:rPr>
        <w:t xml:space="preserve">: A las unidades administrativas en las dependencias y organismos auxiliares, encargadas de promover, evaluar y fortalecer el buen funcionamiento del control interno, competentes para aplicar las leyes en materia de responsabilidades de los servidores públicos, y </w:t>
      </w:r>
      <w:r w:rsidRPr="00EB4728">
        <w:rPr>
          <w:rFonts w:ascii="Palatino Linotype" w:eastAsia="Arial Unicode MS" w:hAnsi="Palatino Linotype" w:cs="Arial"/>
          <w:b/>
          <w:i/>
          <w:u w:val="single"/>
        </w:rPr>
        <w:t>que dependen jerárquica y funcionalmente de la Secretaría de la Contraloría</w:t>
      </w:r>
      <w:r w:rsidRPr="00EB4728">
        <w:rPr>
          <w:rFonts w:ascii="Palatino Linotype" w:eastAsia="Arial Unicode MS" w:hAnsi="Palatino Linotype" w:cs="Arial"/>
          <w:i/>
        </w:rPr>
        <w:t>;</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 xml:space="preserve">XVI. </w:t>
      </w:r>
      <w:r w:rsidRPr="00EB4728">
        <w:rPr>
          <w:rFonts w:ascii="Palatino Linotype" w:eastAsia="Arial Unicode MS" w:hAnsi="Palatino Linotype" w:cs="Arial"/>
          <w:b/>
          <w:i/>
          <w:u w:val="single"/>
        </w:rPr>
        <w:t>Titular del Órgano Interno de Control</w:t>
      </w:r>
      <w:r w:rsidRPr="00EB4728">
        <w:rPr>
          <w:rFonts w:ascii="Palatino Linotype" w:eastAsia="Arial Unicode MS" w:hAnsi="Palatino Linotype" w:cs="Arial"/>
          <w:i/>
        </w:rPr>
        <w:t>: A la o el Titular de la Unidad Administrativa en las dependencias y organismos auxiliares, encargadas de promover, evaluar y fortalecer el buen funcionamiento del control interno, competentes para aplicar las leyes en materia de responsabilidades de los servidores públicos.</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w:t>
      </w:r>
    </w:p>
    <w:p w:rsidR="00806C6B" w:rsidRPr="00EB4728" w:rsidRDefault="00806C6B" w:rsidP="00806C6B">
      <w:pPr>
        <w:pStyle w:val="Prrafodelista"/>
        <w:ind w:left="360" w:right="848"/>
        <w:jc w:val="both"/>
        <w:rPr>
          <w:rFonts w:ascii="Palatino Linotype" w:eastAsia="Arial Unicode MS" w:hAnsi="Palatino Linotype" w:cs="Arial"/>
          <w:i/>
        </w:rPr>
      </w:pP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b/>
          <w:i/>
        </w:rPr>
        <w:t>Artículo 8</w:t>
      </w:r>
      <w:r w:rsidRPr="00EB4728">
        <w:rPr>
          <w:rFonts w:ascii="Palatino Linotype" w:eastAsia="Arial Unicode MS" w:hAnsi="Palatino Linotype" w:cs="Arial"/>
          <w:i/>
        </w:rPr>
        <w:t xml:space="preserve">. Para efectos de las facultades que la Ley de Responsabilidades </w:t>
      </w:r>
      <w:r w:rsidRPr="00EB4728">
        <w:rPr>
          <w:rFonts w:ascii="Palatino Linotype" w:eastAsia="Arial Unicode MS" w:hAnsi="Palatino Linotype" w:cs="Arial"/>
          <w:b/>
          <w:i/>
          <w:u w:val="single"/>
        </w:rPr>
        <w:t>le confiere a la Secretaría</w:t>
      </w:r>
      <w:r w:rsidRPr="00EB4728">
        <w:rPr>
          <w:rFonts w:ascii="Palatino Linotype" w:eastAsia="Arial Unicode MS" w:hAnsi="Palatino Linotype" w:cs="Arial"/>
          <w:i/>
        </w:rPr>
        <w:t>, serán consideradas como autoridades investigadoras, substanciadoras y resolutoras, las unidades administrativas siguientes:</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I. Autoridades Investigadoras:</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 xml:space="preserve">g) </w:t>
      </w:r>
      <w:r w:rsidRPr="00EB4728">
        <w:rPr>
          <w:rFonts w:ascii="Palatino Linotype" w:eastAsia="Arial Unicode MS" w:hAnsi="Palatino Linotype" w:cs="Arial"/>
          <w:b/>
          <w:i/>
        </w:rPr>
        <w:t xml:space="preserve">Área de Quejas de los órganos internos de control </w:t>
      </w:r>
      <w:r w:rsidRPr="00EB4728">
        <w:rPr>
          <w:rFonts w:ascii="Palatino Linotype" w:eastAsia="Arial Unicode MS" w:hAnsi="Palatino Linotype" w:cs="Arial"/>
          <w:i/>
        </w:rPr>
        <w:t>de las dependencias y organismos auxiliares.</w:t>
      </w:r>
    </w:p>
    <w:p w:rsidR="00806C6B" w:rsidRPr="00EB4728" w:rsidRDefault="00806C6B" w:rsidP="00806C6B">
      <w:pPr>
        <w:pStyle w:val="Prrafodelista"/>
        <w:ind w:left="360" w:right="848"/>
        <w:jc w:val="both"/>
        <w:rPr>
          <w:rFonts w:ascii="Palatino Linotype" w:eastAsia="Arial Unicode MS" w:hAnsi="Palatino Linotype" w:cs="Arial"/>
          <w:i/>
        </w:rPr>
      </w:pP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II. Autoridades Substanciadoras:</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 xml:space="preserve">d) Área de Responsabilidades </w:t>
      </w:r>
      <w:r w:rsidRPr="00EB4728">
        <w:rPr>
          <w:rFonts w:ascii="Palatino Linotype" w:eastAsia="Arial Unicode MS" w:hAnsi="Palatino Linotype" w:cs="Arial"/>
          <w:b/>
          <w:i/>
          <w:u w:val="single"/>
        </w:rPr>
        <w:t>de los órganos internos de control</w:t>
      </w:r>
      <w:r w:rsidRPr="00EB4728">
        <w:rPr>
          <w:rFonts w:ascii="Palatino Linotype" w:eastAsia="Arial Unicode MS" w:hAnsi="Palatino Linotype" w:cs="Arial"/>
          <w:i/>
        </w:rPr>
        <w:t xml:space="preserve"> de las dependencias y organismos Auxiliares, y</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III. Autoridades Resolutoras:</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 xml:space="preserve">c) Titulares </w:t>
      </w:r>
      <w:r w:rsidRPr="00EB4728">
        <w:rPr>
          <w:rFonts w:ascii="Palatino Linotype" w:eastAsia="Arial Unicode MS" w:hAnsi="Palatino Linotype" w:cs="Arial"/>
          <w:b/>
          <w:i/>
          <w:u w:val="single"/>
        </w:rPr>
        <w:t>de los órganos internos de control</w:t>
      </w:r>
      <w:r w:rsidRPr="00EB4728">
        <w:rPr>
          <w:rFonts w:ascii="Palatino Linotype" w:eastAsia="Arial Unicode MS" w:hAnsi="Palatino Linotype" w:cs="Arial"/>
          <w:i/>
        </w:rPr>
        <w:t xml:space="preserve"> de las dependencias y organismos auxiliares.</w:t>
      </w: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i/>
        </w:rPr>
        <w:t>…</w:t>
      </w:r>
    </w:p>
    <w:p w:rsidR="00806C6B" w:rsidRPr="00EB4728" w:rsidRDefault="00806C6B" w:rsidP="00806C6B">
      <w:pPr>
        <w:pStyle w:val="Prrafodelista"/>
        <w:ind w:left="360" w:right="848"/>
        <w:jc w:val="both"/>
        <w:rPr>
          <w:rFonts w:ascii="Palatino Linotype" w:eastAsia="Arial Unicode MS" w:hAnsi="Palatino Linotype" w:cs="Arial"/>
          <w:i/>
        </w:rPr>
      </w:pPr>
    </w:p>
    <w:p w:rsidR="00806C6B" w:rsidRPr="00EB4728" w:rsidRDefault="00806C6B" w:rsidP="00806C6B">
      <w:pPr>
        <w:pStyle w:val="Prrafodelista"/>
        <w:ind w:left="360" w:right="848"/>
        <w:jc w:val="both"/>
        <w:rPr>
          <w:rFonts w:ascii="Palatino Linotype" w:eastAsia="Arial Unicode MS" w:hAnsi="Palatino Linotype" w:cs="Arial"/>
          <w:i/>
        </w:rPr>
      </w:pPr>
      <w:r w:rsidRPr="00EB4728">
        <w:rPr>
          <w:rFonts w:ascii="Palatino Linotype" w:eastAsia="Arial Unicode MS" w:hAnsi="Palatino Linotype" w:cs="Arial"/>
          <w:b/>
          <w:i/>
        </w:rPr>
        <w:t>Artículo 35</w:t>
      </w:r>
      <w:r w:rsidRPr="00EB4728">
        <w:rPr>
          <w:rFonts w:ascii="Palatino Linotype" w:eastAsia="Arial Unicode MS" w:hAnsi="Palatino Linotype" w:cs="Arial"/>
          <w:i/>
        </w:rPr>
        <w:t xml:space="preserve">. Los órganos internos de control, así como las Áreas de Auditoría, </w:t>
      </w:r>
      <w:r w:rsidRPr="00EB4728">
        <w:rPr>
          <w:rFonts w:ascii="Palatino Linotype" w:eastAsia="Arial Unicode MS" w:hAnsi="Palatino Linotype" w:cs="Arial"/>
          <w:b/>
          <w:i/>
          <w:u w:val="single"/>
        </w:rPr>
        <w:t>de Quejas y de Responsabilidades</w:t>
      </w:r>
      <w:r w:rsidRPr="00EB4728">
        <w:rPr>
          <w:rFonts w:ascii="Palatino Linotype" w:eastAsia="Arial Unicode MS" w:hAnsi="Palatino Linotype" w:cs="Arial"/>
          <w:i/>
        </w:rPr>
        <w:t xml:space="preserve">, o en su caso los servidores públicos que realicen las funciones que correspondan a dichas áreas, de las dependencias y organismos auxiliares, </w:t>
      </w:r>
      <w:r w:rsidRPr="00EB4728">
        <w:rPr>
          <w:rFonts w:ascii="Palatino Linotype" w:eastAsia="Arial Unicode MS" w:hAnsi="Palatino Linotype" w:cs="Arial"/>
          <w:b/>
          <w:i/>
          <w:u w:val="single"/>
        </w:rPr>
        <w:t>serán coordinados y dependerán jerárquica y funcionalmente de la Secretaría</w:t>
      </w:r>
      <w:r w:rsidRPr="00EB4728">
        <w:rPr>
          <w:rFonts w:ascii="Palatino Linotype" w:eastAsia="Arial Unicode MS" w:hAnsi="Palatino Linotype" w:cs="Arial"/>
          <w:i/>
        </w:rPr>
        <w:t xml:space="preserve">, quienes observarán las políticas, normas, lineamientos, procedimientos y demás disposiciones aplicables, </w:t>
      </w:r>
      <w:r w:rsidRPr="00EB4728">
        <w:rPr>
          <w:rFonts w:ascii="Palatino Linotype" w:eastAsia="Arial Unicode MS" w:hAnsi="Palatino Linotype" w:cs="Arial"/>
          <w:b/>
          <w:i/>
          <w:u w:val="single"/>
        </w:rPr>
        <w:t>así como los programas de trabajo de la Secretaría</w:t>
      </w:r>
      <w:r w:rsidRPr="00EB4728">
        <w:rPr>
          <w:rFonts w:ascii="Palatino Linotype" w:eastAsia="Arial Unicode MS" w:hAnsi="Palatino Linotype" w:cs="Arial"/>
          <w:i/>
        </w:rPr>
        <w:t>.”</w:t>
      </w:r>
    </w:p>
    <w:p w:rsidR="00806C6B" w:rsidRPr="00EB4728" w:rsidRDefault="00806C6B" w:rsidP="00806C6B">
      <w:pPr>
        <w:pStyle w:val="Prrafodelista"/>
        <w:spacing w:line="360" w:lineRule="auto"/>
        <w:ind w:left="360"/>
        <w:jc w:val="both"/>
        <w:rPr>
          <w:rFonts w:ascii="Palatino Linotype" w:hAnsi="Palatino Linotype"/>
        </w:rPr>
      </w:pPr>
    </w:p>
    <w:p w:rsidR="00806C6B" w:rsidRPr="00EB4728" w:rsidRDefault="00806C6B" w:rsidP="00806C6B">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Como podemos apreciar, se puede decir de forma muy resuelta </w:t>
      </w:r>
      <w:r w:rsidR="00360E1F" w:rsidRPr="00EB4728">
        <w:rPr>
          <w:rFonts w:ascii="Palatino Linotype" w:hAnsi="Palatino Linotype"/>
        </w:rPr>
        <w:t xml:space="preserve">a lo vertido por el </w:t>
      </w:r>
      <w:r w:rsidR="00360E1F" w:rsidRPr="00EB4728">
        <w:rPr>
          <w:rFonts w:ascii="Palatino Linotype" w:hAnsi="Palatino Linotype"/>
          <w:b/>
        </w:rPr>
        <w:t xml:space="preserve">SUJETO OBLIGADO </w:t>
      </w:r>
      <w:r w:rsidR="00360E1F" w:rsidRPr="00EB4728">
        <w:rPr>
          <w:rFonts w:ascii="Palatino Linotype" w:hAnsi="Palatino Linotype"/>
        </w:rPr>
        <w:t xml:space="preserve">en respuesta, </w:t>
      </w:r>
      <w:r w:rsidRPr="00EB4728">
        <w:rPr>
          <w:rFonts w:ascii="Palatino Linotype" w:hAnsi="Palatino Linotype"/>
        </w:rPr>
        <w:t>que los Órganos Internos de Control en las dependencias del Poder Ejecutivo Estatal</w:t>
      </w:r>
      <w:r w:rsidR="00360E1F" w:rsidRPr="00EB4728">
        <w:rPr>
          <w:rFonts w:ascii="Palatino Linotype" w:hAnsi="Palatino Linotype"/>
        </w:rPr>
        <w:t xml:space="preserve"> ciertamente</w:t>
      </w:r>
      <w:r w:rsidRPr="00EB4728">
        <w:rPr>
          <w:rFonts w:ascii="Palatino Linotype" w:hAnsi="Palatino Linotype"/>
        </w:rPr>
        <w:t xml:space="preserve"> </w:t>
      </w:r>
      <w:r w:rsidRPr="00EB4728">
        <w:rPr>
          <w:rFonts w:ascii="Palatino Linotype" w:hAnsi="Palatino Linotype"/>
          <w:b/>
          <w:u w:val="single"/>
        </w:rPr>
        <w:t>son</w:t>
      </w:r>
      <w:r w:rsidRPr="00EB4728">
        <w:rPr>
          <w:rFonts w:ascii="Palatino Linotype" w:hAnsi="Palatino Linotype"/>
        </w:rPr>
        <w:t xml:space="preserve"> coordinados y dependen jerárquica y funcionalmente de la Secretaría de la Contraloría, a </w:t>
      </w:r>
      <w:r w:rsidRPr="00EB4728">
        <w:rPr>
          <w:rFonts w:ascii="Palatino Linotype" w:hAnsi="Palatino Linotype"/>
          <w:i/>
        </w:rPr>
        <w:t>contrario sensu,</w:t>
      </w:r>
      <w:r w:rsidRPr="00EB4728">
        <w:rPr>
          <w:rFonts w:ascii="Palatino Linotype" w:hAnsi="Palatino Linotype"/>
        </w:rPr>
        <w:t xml:space="preserve"> se entiende que los Órganos Internos de Control </w:t>
      </w:r>
      <w:r w:rsidRPr="00EB4728">
        <w:rPr>
          <w:rFonts w:ascii="Palatino Linotype" w:hAnsi="Palatino Linotype"/>
          <w:b/>
          <w:u w:val="single"/>
        </w:rPr>
        <w:t>no</w:t>
      </w:r>
      <w:r w:rsidRPr="00EB4728">
        <w:rPr>
          <w:rFonts w:ascii="Palatino Linotype" w:hAnsi="Palatino Linotype"/>
        </w:rPr>
        <w:t xml:space="preserve"> dependen ni funcional ni jerárquicamente de las unidades administrativas y organismos auxiliares de la Administración Pública Estatal en las que estén adscritos, y es que el texto legal citado es muy claro en ello, pues dice: “…</w:t>
      </w:r>
      <w:r w:rsidRPr="00EB4728">
        <w:rPr>
          <w:rFonts w:ascii="Palatino Linotype" w:hAnsi="Palatino Linotype"/>
          <w:i/>
        </w:rPr>
        <w:t>Los órganos internos de control (…) serán coordinados y dependerán jerárquica y funcionalmente de la Secretaría (…) observarán (…) los programas de trabajo de la Secretaría</w:t>
      </w:r>
      <w:r w:rsidRPr="00EB4728">
        <w:rPr>
          <w:rFonts w:ascii="Palatino Linotype" w:hAnsi="Palatino Linotype"/>
        </w:rPr>
        <w:t xml:space="preserve">.” No queda lugar a dudas la línea de mando </w:t>
      </w:r>
      <w:r w:rsidRPr="00EB4728">
        <w:rPr>
          <w:rFonts w:ascii="Palatino Linotype" w:hAnsi="Palatino Linotype"/>
        </w:rPr>
        <w:lastRenderedPageBreak/>
        <w:t>que existe entre la Secretaría de la Contraloría con sus Órganos Internos de Control dispersos en las diversas dependencias del Ejecutivo Estatal.</w:t>
      </w:r>
    </w:p>
    <w:p w:rsidR="00BA5B7C" w:rsidRPr="00EB4728" w:rsidRDefault="00BA5B7C" w:rsidP="00BA5B7C">
      <w:pPr>
        <w:spacing w:line="360" w:lineRule="auto"/>
        <w:contextualSpacing/>
        <w:jc w:val="both"/>
        <w:rPr>
          <w:rFonts w:ascii="Palatino Linotype" w:hAnsi="Palatino Linotype"/>
        </w:rPr>
      </w:pPr>
    </w:p>
    <w:p w:rsidR="00806C6B" w:rsidRPr="00EB4728" w:rsidRDefault="00806C6B" w:rsidP="00360E1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Es decir, los Órganos Internos de Control </w:t>
      </w:r>
      <w:r w:rsidR="00BA5B7C" w:rsidRPr="00EB4728">
        <w:rPr>
          <w:rFonts w:ascii="Palatino Linotype" w:hAnsi="Palatino Linotype"/>
        </w:rPr>
        <w:t>dependen jerárquica y funcionalmente</w:t>
      </w:r>
      <w:r w:rsidRPr="00EB4728">
        <w:rPr>
          <w:rFonts w:ascii="Palatino Linotype" w:hAnsi="Palatino Linotype"/>
        </w:rPr>
        <w:t xml:space="preserve"> de </w:t>
      </w:r>
      <w:r w:rsidR="00BA5B7C" w:rsidRPr="00EB4728">
        <w:rPr>
          <w:rFonts w:ascii="Palatino Linotype" w:hAnsi="Palatino Linotype"/>
        </w:rPr>
        <w:t xml:space="preserve">la Secretaría de la Contraloría; no obstante en materia de transparencia no implica que la información, que genere, posea o administre esa unidad administrativa, sea motivo de una incompetencia, en virtud que </w:t>
      </w:r>
      <w:r w:rsidR="00BA5B7C" w:rsidRPr="00EB4728">
        <w:rPr>
          <w:rFonts w:ascii="Palatino Linotype" w:hAnsi="Palatino Linotype"/>
          <w:color w:val="000000" w:themeColor="text1"/>
        </w:rPr>
        <w:t xml:space="preserve">orgánicamente se encuentra adscrita al </w:t>
      </w:r>
      <w:r w:rsidR="00BA5B7C" w:rsidRPr="00EB4728">
        <w:rPr>
          <w:rFonts w:ascii="Palatino Linotype" w:hAnsi="Palatino Linotype"/>
          <w:bCs/>
          <w:color w:val="000000"/>
        </w:rPr>
        <w:t xml:space="preserve">Hospital Regional de Alta Especialidad de Zumpango, no siendo necesario que para acceder al soporte documental que obre en sus archivos derivado de sus funciones y atribuciones, deba necesariamente requerirse a un </w:t>
      </w:r>
      <w:r w:rsidR="00BA5B7C" w:rsidRPr="00EB4728">
        <w:rPr>
          <w:rFonts w:ascii="Palatino Linotype" w:hAnsi="Palatino Linotype"/>
          <w:b/>
          <w:bCs/>
          <w:color w:val="000000"/>
        </w:rPr>
        <w:t>SUJETO OBLIGADO</w:t>
      </w:r>
      <w:r w:rsidR="00BA5B7C" w:rsidRPr="00EB4728">
        <w:rPr>
          <w:rFonts w:ascii="Palatino Linotype" w:hAnsi="Palatino Linotype"/>
          <w:bCs/>
          <w:color w:val="000000"/>
        </w:rPr>
        <w:t xml:space="preserve"> diverso, de tal manera que se desestima la pretendida declinación de incompetencia.</w:t>
      </w:r>
    </w:p>
    <w:p w:rsidR="00806C6B" w:rsidRPr="00EB4728" w:rsidRDefault="00806C6B" w:rsidP="00360E1F">
      <w:pPr>
        <w:pStyle w:val="Prrafodelista"/>
        <w:spacing w:line="360" w:lineRule="auto"/>
        <w:ind w:left="360"/>
        <w:jc w:val="both"/>
        <w:rPr>
          <w:rFonts w:ascii="Palatino Linotype" w:hAnsi="Palatino Linotype"/>
        </w:rPr>
      </w:pPr>
    </w:p>
    <w:p w:rsidR="00806C6B" w:rsidRPr="00EB4728" w:rsidRDefault="00BA5B7C" w:rsidP="00360E1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Ahora bien,</w:t>
      </w:r>
      <w:r w:rsidR="00806C6B" w:rsidRPr="00EB4728">
        <w:rPr>
          <w:rFonts w:ascii="Palatino Linotype" w:hAnsi="Palatino Linotype"/>
        </w:rPr>
        <w:t xml:space="preserve"> es necesario referir que los Órganos Internos de Control se componen por tres Áreas sustantivas, a saber: Área de Auditoría, Área de Quejas y Área de Responsabilidades; las dos últimas son las que tramitan las quejas y denuncias (en sus correspondientes momentos procesales), que se interponen y resuelven en contra de los servidores públicos de las dependencias del Ejecutivo Estatal, de forma muy clara se establece en el artículo </w:t>
      </w:r>
      <w:r w:rsidR="00806C6B" w:rsidRPr="00EB4728">
        <w:rPr>
          <w:rFonts w:ascii="Palatino Linotype" w:hAnsi="Palatino Linotype"/>
          <w:b/>
          <w:u w:val="single"/>
        </w:rPr>
        <w:t>8 del Reglamento</w:t>
      </w:r>
      <w:r w:rsidR="00806C6B" w:rsidRPr="00EB4728">
        <w:rPr>
          <w:rFonts w:ascii="Palatino Linotype" w:hAnsi="Palatino Linotype"/>
        </w:rPr>
        <w:t xml:space="preserve"> citado, arriba transcrito.</w:t>
      </w:r>
    </w:p>
    <w:p w:rsidR="00806C6B" w:rsidRPr="00EB4728" w:rsidRDefault="00806C6B" w:rsidP="00360E1F">
      <w:pPr>
        <w:pStyle w:val="Prrafodelista"/>
        <w:spacing w:line="360" w:lineRule="auto"/>
        <w:ind w:left="360"/>
        <w:jc w:val="both"/>
        <w:rPr>
          <w:rFonts w:ascii="Palatino Linotype" w:hAnsi="Palatino Linotype"/>
        </w:rPr>
      </w:pPr>
    </w:p>
    <w:p w:rsidR="00806C6B" w:rsidRPr="00EB4728" w:rsidRDefault="00BA5B7C" w:rsidP="00360E1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Así</w:t>
      </w:r>
      <w:r w:rsidR="00806C6B" w:rsidRPr="00EB4728">
        <w:rPr>
          <w:rFonts w:ascii="Palatino Linotype" w:hAnsi="Palatino Linotype"/>
        </w:rPr>
        <w:t xml:space="preserve">, resulta que el recurrente solicitó al </w:t>
      </w:r>
      <w:r w:rsidR="00360E1F" w:rsidRPr="00EB4728">
        <w:rPr>
          <w:rFonts w:ascii="Palatino Linotype" w:hAnsi="Palatino Linotype"/>
          <w:b/>
          <w:bCs/>
          <w:color w:val="000000"/>
        </w:rPr>
        <w:t>Hospital Regional de Alta Especialidad de Zumpango</w:t>
      </w:r>
      <w:r w:rsidR="00806C6B" w:rsidRPr="00EB4728">
        <w:rPr>
          <w:rFonts w:ascii="Palatino Linotype" w:hAnsi="Palatino Linotype"/>
        </w:rPr>
        <w:t xml:space="preserve">, las quejas, denuncias, procedimientos administrativos y sanciones interpuestas en contra de </w:t>
      </w:r>
      <w:r w:rsidR="00360E1F" w:rsidRPr="00EB4728">
        <w:rPr>
          <w:rFonts w:ascii="Palatino Linotype" w:hAnsi="Palatino Linotype"/>
        </w:rPr>
        <w:t xml:space="preserve">servidores públicos adscritos al Hospital de </w:t>
      </w:r>
      <w:r w:rsidR="00360E1F" w:rsidRPr="00EB4728">
        <w:rPr>
          <w:rFonts w:ascii="Palatino Linotype" w:hAnsi="Palatino Linotype"/>
        </w:rPr>
        <w:lastRenderedPageBreak/>
        <w:t>referencia</w:t>
      </w:r>
      <w:r w:rsidR="00806C6B" w:rsidRPr="00EB4728">
        <w:rPr>
          <w:rFonts w:ascii="Palatino Linotype" w:hAnsi="Palatino Linotype"/>
        </w:rPr>
        <w:t>, pero resulta que dicha información la actúa, dependiendo del estado en que se encuentre el asunto, el Área de Quejas o el Área de Responsabilidades del Órgano Interno de Control, el cual como hemos visto depende de la Secretaría de la Contraloría, por</w:t>
      </w:r>
      <w:r w:rsidRPr="00EB4728">
        <w:rPr>
          <w:rFonts w:ascii="Palatino Linotype" w:hAnsi="Palatino Linotype"/>
        </w:rPr>
        <w:t>o forma parte de la estructura orgánica</w:t>
      </w:r>
      <w:r w:rsidR="00806C6B" w:rsidRPr="00EB4728">
        <w:rPr>
          <w:rFonts w:ascii="Palatino Linotype" w:hAnsi="Palatino Linotype"/>
        </w:rPr>
        <w:t xml:space="preserve"> </w:t>
      </w:r>
      <w:r w:rsidRPr="00EB4728">
        <w:rPr>
          <w:rFonts w:ascii="Palatino Linotype" w:hAnsi="Palatino Linotype"/>
        </w:rPr>
        <w:t>d</w:t>
      </w:r>
      <w:r w:rsidR="00806C6B" w:rsidRPr="00EB4728">
        <w:rPr>
          <w:rFonts w:ascii="Palatino Linotype" w:hAnsi="Palatino Linotype"/>
        </w:rPr>
        <w:t xml:space="preserve">el </w:t>
      </w:r>
      <w:r w:rsidR="00360E1F" w:rsidRPr="00EB4728">
        <w:rPr>
          <w:rFonts w:ascii="Palatino Linotype" w:hAnsi="Palatino Linotype"/>
        </w:rPr>
        <w:t>Hospital</w:t>
      </w:r>
      <w:r w:rsidR="00806C6B" w:rsidRPr="00EB4728">
        <w:rPr>
          <w:rFonts w:ascii="Palatino Linotype" w:hAnsi="Palatino Linotype"/>
        </w:rPr>
        <w:t xml:space="preserve">, </w:t>
      </w:r>
      <w:r w:rsidRPr="00EB4728">
        <w:rPr>
          <w:rFonts w:ascii="Palatino Linotype" w:hAnsi="Palatino Linotype"/>
        </w:rPr>
        <w:t>por lo que ciertamente se le pude turnar la solicitud de información en su calidad de servidor público habilitado</w:t>
      </w:r>
      <w:r w:rsidR="00806C6B" w:rsidRPr="00EB4728">
        <w:rPr>
          <w:rFonts w:ascii="Palatino Linotype" w:hAnsi="Palatino Linotype"/>
        </w:rPr>
        <w:t>.</w:t>
      </w:r>
    </w:p>
    <w:p w:rsidR="00806C6B" w:rsidRPr="00EB4728" w:rsidRDefault="00806C6B" w:rsidP="00360E1F">
      <w:pPr>
        <w:pStyle w:val="Prrafodelista"/>
        <w:spacing w:line="360" w:lineRule="auto"/>
        <w:ind w:left="360"/>
        <w:jc w:val="both"/>
        <w:rPr>
          <w:rFonts w:ascii="Palatino Linotype" w:hAnsi="Palatino Linotype"/>
        </w:rPr>
      </w:pPr>
    </w:p>
    <w:p w:rsidR="00806C6B" w:rsidRPr="00EB4728" w:rsidRDefault="00806C6B" w:rsidP="00360E1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Corolario a lo anterior, respecto del tema del que se trata, la Ley de Responsabilidades de los Servidores Públicos del Estado de México y Municipios, establece lo siguiente:</w:t>
      </w:r>
    </w:p>
    <w:p w:rsidR="00806C6B" w:rsidRPr="00EB4728" w:rsidRDefault="00806C6B" w:rsidP="00360E1F">
      <w:pPr>
        <w:pStyle w:val="Prrafodelista"/>
        <w:spacing w:line="360" w:lineRule="auto"/>
        <w:ind w:left="360"/>
        <w:jc w:val="both"/>
        <w:rPr>
          <w:rFonts w:ascii="Palatino Linotype" w:hAnsi="Palatino Linotype"/>
        </w:rPr>
      </w:pPr>
    </w:p>
    <w:p w:rsidR="00806C6B" w:rsidRPr="00EB4728" w:rsidRDefault="00806C6B" w:rsidP="00360E1F">
      <w:pPr>
        <w:pStyle w:val="Prrafodelista"/>
        <w:ind w:left="360" w:right="333"/>
        <w:jc w:val="both"/>
        <w:rPr>
          <w:rFonts w:ascii="Palatino Linotype" w:eastAsia="Arial Unicode MS" w:hAnsi="Palatino Linotype" w:cs="Arial"/>
          <w:i/>
        </w:rPr>
      </w:pPr>
      <w:r w:rsidRPr="00EB4728">
        <w:rPr>
          <w:rFonts w:ascii="Palatino Linotype" w:eastAsia="Arial Unicode MS" w:hAnsi="Palatino Linotype" w:cs="Arial"/>
          <w:b/>
          <w:i/>
        </w:rPr>
        <w:t>“Artículo 3</w:t>
      </w:r>
      <w:r w:rsidRPr="00EB4728">
        <w:rPr>
          <w:rFonts w:ascii="Palatino Linotype" w:eastAsia="Arial Unicode MS" w:hAnsi="Palatino Linotype" w:cs="Arial"/>
          <w:i/>
        </w:rPr>
        <w:t xml:space="preserve">. Para los efectos de la presente Ley, se entenderá por: </w:t>
      </w:r>
    </w:p>
    <w:p w:rsidR="00360E1F" w:rsidRPr="00EB4728" w:rsidRDefault="00360E1F" w:rsidP="00360E1F">
      <w:pPr>
        <w:pStyle w:val="Prrafodelista"/>
        <w:ind w:left="360" w:right="333"/>
        <w:jc w:val="both"/>
        <w:rPr>
          <w:rFonts w:ascii="Palatino Linotype" w:eastAsia="Arial Unicode MS" w:hAnsi="Palatino Linotype" w:cs="Arial"/>
          <w:i/>
        </w:rPr>
      </w:pPr>
    </w:p>
    <w:p w:rsidR="00806C6B" w:rsidRPr="00EB4728" w:rsidRDefault="00806C6B" w:rsidP="00360E1F">
      <w:pPr>
        <w:pStyle w:val="Prrafodelista"/>
        <w:ind w:left="360" w:right="333"/>
        <w:jc w:val="both"/>
        <w:rPr>
          <w:rFonts w:ascii="Palatino Linotype" w:eastAsia="Arial Unicode MS" w:hAnsi="Palatino Linotype" w:cs="Arial"/>
          <w:i/>
        </w:rPr>
      </w:pPr>
      <w:r w:rsidRPr="00EB4728">
        <w:rPr>
          <w:rFonts w:ascii="Palatino Linotype" w:eastAsia="Arial Unicode MS" w:hAnsi="Palatino Linotype" w:cs="Arial"/>
          <w:i/>
        </w:rPr>
        <w:t xml:space="preserve">I. </w:t>
      </w:r>
      <w:r w:rsidRPr="00EB4728">
        <w:rPr>
          <w:rFonts w:ascii="Palatino Linotype" w:eastAsia="Arial Unicode MS" w:hAnsi="Palatino Linotype" w:cs="Arial"/>
          <w:b/>
          <w:i/>
        </w:rPr>
        <w:t>Autoridad investigadora:</w:t>
      </w:r>
      <w:r w:rsidRPr="00EB4728">
        <w:rPr>
          <w:rFonts w:ascii="Palatino Linotype" w:eastAsia="Arial Unicode MS" w:hAnsi="Palatino Linotype" w:cs="Arial"/>
          <w:i/>
        </w:rPr>
        <w:t xml:space="preserve"> A la autoridad adscrita a la Secretaría de la Contraloría, </w:t>
      </w:r>
      <w:r w:rsidRPr="00EB4728">
        <w:rPr>
          <w:rFonts w:ascii="Palatino Linotype" w:eastAsia="Arial Unicode MS" w:hAnsi="Palatino Linotype" w:cs="Arial"/>
          <w:b/>
          <w:i/>
          <w:u w:val="single"/>
        </w:rPr>
        <w:t>a los órganos internos de control</w:t>
      </w:r>
      <w:r w:rsidRPr="00EB4728">
        <w:rPr>
          <w:rFonts w:ascii="Palatino Linotype" w:eastAsia="Arial Unicode MS" w:hAnsi="Palatino Linotype" w:cs="Arial"/>
          <w:i/>
        </w:rPr>
        <w:t>, al Órgano Superior, así como a las unidades de responsabilidades de las empresas de participación estatal o municipal, encargadas de la investigación de las faltas administrativas.</w:t>
      </w:r>
    </w:p>
    <w:p w:rsidR="00806C6B" w:rsidRPr="00EB4728" w:rsidRDefault="00806C6B" w:rsidP="00360E1F">
      <w:pPr>
        <w:pStyle w:val="Prrafodelista"/>
        <w:ind w:left="360" w:right="333"/>
        <w:jc w:val="both"/>
        <w:rPr>
          <w:rFonts w:ascii="Palatino Linotype" w:eastAsia="Arial Unicode MS" w:hAnsi="Palatino Linotype" w:cs="Arial"/>
          <w:i/>
        </w:rPr>
      </w:pPr>
      <w:r w:rsidRPr="00EB4728">
        <w:rPr>
          <w:rFonts w:ascii="Palatino Linotype" w:eastAsia="Arial Unicode MS" w:hAnsi="Palatino Linotype" w:cs="Arial"/>
          <w:i/>
        </w:rPr>
        <w:t xml:space="preserve">II. </w:t>
      </w:r>
      <w:r w:rsidRPr="00EB4728">
        <w:rPr>
          <w:rFonts w:ascii="Palatino Linotype" w:eastAsia="Arial Unicode MS" w:hAnsi="Palatino Linotype" w:cs="Arial"/>
          <w:b/>
          <w:i/>
        </w:rPr>
        <w:t>Autoridad substanciadora</w:t>
      </w:r>
      <w:r w:rsidRPr="00EB4728">
        <w:rPr>
          <w:rFonts w:ascii="Palatino Linotype" w:eastAsia="Arial Unicode MS" w:hAnsi="Palatino Linotype" w:cs="Arial"/>
          <w:i/>
        </w:rPr>
        <w:t xml:space="preserve">: A la autoridad adscrita a la Secretaría de la Contraloría, </w:t>
      </w:r>
      <w:r w:rsidRPr="00EB4728">
        <w:rPr>
          <w:rFonts w:ascii="Palatino Linotype" w:eastAsia="Arial Unicode MS" w:hAnsi="Palatino Linotype" w:cs="Arial"/>
          <w:b/>
          <w:i/>
          <w:u w:val="single"/>
        </w:rPr>
        <w:t>a los órganos internos de control</w:t>
      </w:r>
      <w:r w:rsidRPr="00EB4728">
        <w:rPr>
          <w:rFonts w:ascii="Palatino Linotype" w:eastAsia="Arial Unicode MS" w:hAnsi="Palatino Linotype" w:cs="Arial"/>
          <w:i/>
        </w:rPr>
        <w:t xml:space="preserve">,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rsidR="00806C6B" w:rsidRPr="00EB4728" w:rsidRDefault="00806C6B" w:rsidP="00360E1F">
      <w:pPr>
        <w:pStyle w:val="Prrafodelista"/>
        <w:ind w:left="360" w:right="333"/>
        <w:jc w:val="both"/>
        <w:rPr>
          <w:rFonts w:ascii="Palatino Linotype" w:eastAsia="Arial Unicode MS" w:hAnsi="Palatino Linotype" w:cs="Arial"/>
          <w:i/>
        </w:rPr>
      </w:pPr>
      <w:r w:rsidRPr="00EB4728">
        <w:rPr>
          <w:rFonts w:ascii="Palatino Linotype" w:eastAsia="Arial Unicode MS" w:hAnsi="Palatino Linotype" w:cs="Arial"/>
          <w:i/>
        </w:rPr>
        <w:t>III</w:t>
      </w:r>
      <w:r w:rsidRPr="00EB4728">
        <w:rPr>
          <w:rFonts w:ascii="Palatino Linotype" w:eastAsia="Arial Unicode MS" w:hAnsi="Palatino Linotype" w:cs="Arial"/>
          <w:b/>
          <w:i/>
        </w:rPr>
        <w:t>. Autoridad resolutora</w:t>
      </w:r>
      <w:r w:rsidRPr="00EB4728">
        <w:rPr>
          <w:rFonts w:ascii="Palatino Linotype" w:eastAsia="Arial Unicode MS" w:hAnsi="Palatino Linotype" w:cs="Arial"/>
          <w:i/>
        </w:rPr>
        <w:t xml:space="preserve">: A la unidad de responsabilidades administrativas adscrita a la Secretaría de la Contraloría y a </w:t>
      </w:r>
      <w:r w:rsidRPr="00EB4728">
        <w:rPr>
          <w:rFonts w:ascii="Palatino Linotype" w:eastAsia="Arial Unicode MS" w:hAnsi="Palatino Linotype" w:cs="Arial"/>
          <w:b/>
          <w:i/>
          <w:u w:val="single"/>
        </w:rPr>
        <w:t>los órganos internos de control</w:t>
      </w:r>
      <w:r w:rsidRPr="00EB4728">
        <w:rPr>
          <w:rFonts w:ascii="Palatino Linotype" w:eastAsia="Arial Unicode MS" w:hAnsi="Palatino Linotype" w:cs="Arial"/>
          <w:i/>
        </w:rPr>
        <w:t xml:space="preserve"> o al servidor público que éstos últimos asignen, así como la de las empresas de participación estatal y municipal, tratándose de faltas administrativas no graves.”</w:t>
      </w:r>
    </w:p>
    <w:p w:rsidR="00806C6B" w:rsidRPr="00EB4728" w:rsidRDefault="00806C6B" w:rsidP="00360E1F">
      <w:pPr>
        <w:pStyle w:val="Prrafodelista"/>
        <w:ind w:left="360" w:right="333"/>
        <w:jc w:val="both"/>
        <w:rPr>
          <w:rFonts w:ascii="Palatino Linotype" w:eastAsia="Arial Unicode MS" w:hAnsi="Palatino Linotype" w:cs="Arial"/>
          <w:i/>
        </w:rPr>
      </w:pPr>
      <w:r w:rsidRPr="00EB4728">
        <w:rPr>
          <w:rFonts w:ascii="Palatino Linotype" w:eastAsia="Arial Unicode MS" w:hAnsi="Palatino Linotype" w:cs="Arial"/>
          <w:i/>
        </w:rPr>
        <w:t>…</w:t>
      </w:r>
    </w:p>
    <w:p w:rsidR="00806C6B" w:rsidRPr="00EB4728" w:rsidRDefault="00360E1F" w:rsidP="00360E1F">
      <w:pPr>
        <w:pStyle w:val="Prrafodelista"/>
        <w:ind w:left="360" w:right="333"/>
        <w:jc w:val="both"/>
        <w:rPr>
          <w:rFonts w:ascii="Palatino Linotype" w:eastAsia="Arial Unicode MS" w:hAnsi="Palatino Linotype" w:cs="Arial"/>
          <w:i/>
        </w:rPr>
      </w:pPr>
      <w:r w:rsidRPr="00EB4728">
        <w:rPr>
          <w:rFonts w:ascii="Palatino Linotype" w:eastAsia="Arial Unicode MS" w:hAnsi="Palatino Linotype" w:cs="Arial"/>
          <w:i/>
        </w:rPr>
        <w:lastRenderedPageBreak/>
        <w:t xml:space="preserve">XXII. Órganos internos de control: A las unidades administrativas en los entes públicos y organismos autónomos encargadas de promover, evaluar y fortalecer el buen funcionamiento </w:t>
      </w:r>
      <w:r w:rsidRPr="00EB4728">
        <w:rPr>
          <w:rFonts w:ascii="Palatino Linotype" w:eastAsia="Arial Unicode MS" w:hAnsi="Palatino Linotype" w:cs="Arial"/>
          <w:b/>
          <w:i/>
          <w:u w:val="single"/>
        </w:rPr>
        <w:t>del control interno de los entes públicos</w:t>
      </w:r>
      <w:r w:rsidRPr="00EB4728">
        <w:rPr>
          <w:rFonts w:ascii="Palatino Linotype" w:eastAsia="Arial Unicode MS" w:hAnsi="Palatino Linotype" w:cs="Arial"/>
          <w:i/>
        </w:rPr>
        <w:t>, competentes para aplicar las leyes en materia de responsabilidades de los servidores públicos.</w:t>
      </w:r>
      <w:r w:rsidR="00806C6B" w:rsidRPr="00EB4728">
        <w:rPr>
          <w:rFonts w:ascii="Palatino Linotype" w:eastAsia="Arial Unicode MS" w:hAnsi="Palatino Linotype" w:cs="Arial"/>
          <w:i/>
        </w:rPr>
        <w:t>”</w:t>
      </w:r>
    </w:p>
    <w:p w:rsidR="00806C6B" w:rsidRPr="00EB4728" w:rsidRDefault="00806C6B" w:rsidP="00360E1F">
      <w:pPr>
        <w:pStyle w:val="Prrafodelista"/>
        <w:ind w:left="360" w:right="333"/>
        <w:jc w:val="both"/>
        <w:rPr>
          <w:rFonts w:ascii="Palatino Linotype" w:eastAsia="Arial Unicode MS" w:hAnsi="Palatino Linotype" w:cs="Arial"/>
          <w:i/>
        </w:rPr>
      </w:pPr>
      <w:r w:rsidRPr="00EB4728">
        <w:rPr>
          <w:rFonts w:ascii="Palatino Linotype" w:eastAsia="Arial Unicode MS" w:hAnsi="Palatino Linotype" w:cs="Arial"/>
          <w:i/>
        </w:rPr>
        <w:t>…</w:t>
      </w:r>
    </w:p>
    <w:p w:rsidR="00360E1F" w:rsidRPr="00EB4728" w:rsidRDefault="00360E1F" w:rsidP="00360E1F">
      <w:pPr>
        <w:pStyle w:val="Prrafodelista"/>
        <w:ind w:left="360" w:right="333"/>
        <w:jc w:val="both"/>
        <w:rPr>
          <w:rFonts w:ascii="Palatino Linotype" w:eastAsia="Arial Unicode MS" w:hAnsi="Palatino Linotype" w:cs="Arial"/>
          <w:i/>
        </w:rPr>
      </w:pPr>
    </w:p>
    <w:p w:rsidR="00806C6B" w:rsidRPr="00EB4728" w:rsidRDefault="00806C6B" w:rsidP="00360E1F">
      <w:pPr>
        <w:pStyle w:val="Prrafodelista"/>
        <w:ind w:left="360" w:right="333"/>
        <w:jc w:val="both"/>
        <w:rPr>
          <w:rFonts w:ascii="Palatino Linotype" w:eastAsia="Arial Unicode MS" w:hAnsi="Palatino Linotype" w:cs="Arial"/>
          <w:i/>
        </w:rPr>
      </w:pPr>
      <w:r w:rsidRPr="00EB4728">
        <w:rPr>
          <w:rFonts w:ascii="Palatino Linotype" w:eastAsia="Arial Unicode MS" w:hAnsi="Palatino Linotype" w:cs="Arial"/>
          <w:b/>
          <w:i/>
        </w:rPr>
        <w:t>Artículo 9.</w:t>
      </w:r>
      <w:r w:rsidRPr="00EB4728">
        <w:rPr>
          <w:rFonts w:ascii="Palatino Linotype" w:eastAsia="Arial Unicode MS" w:hAnsi="Palatino Linotype" w:cs="Arial"/>
          <w:i/>
        </w:rPr>
        <w:t xml:space="preserve"> En el ámbito de su competencia, son </w:t>
      </w:r>
      <w:r w:rsidRPr="00EB4728">
        <w:rPr>
          <w:rFonts w:ascii="Palatino Linotype" w:eastAsia="Arial Unicode MS" w:hAnsi="Palatino Linotype" w:cs="Arial"/>
          <w:b/>
          <w:i/>
          <w:u w:val="single"/>
        </w:rPr>
        <w:t>autoridades facultadas para aplicar la presente Ley</w:t>
      </w:r>
      <w:r w:rsidRPr="00EB4728">
        <w:rPr>
          <w:rFonts w:ascii="Palatino Linotype" w:eastAsia="Arial Unicode MS" w:hAnsi="Palatino Linotype" w:cs="Arial"/>
          <w:i/>
        </w:rPr>
        <w:t>:</w:t>
      </w:r>
    </w:p>
    <w:p w:rsidR="00806C6B" w:rsidRPr="00EB4728" w:rsidRDefault="00806C6B" w:rsidP="00360E1F">
      <w:pPr>
        <w:pStyle w:val="Prrafodelista"/>
        <w:ind w:left="360" w:right="333"/>
        <w:jc w:val="both"/>
        <w:rPr>
          <w:rFonts w:ascii="Palatino Linotype" w:eastAsia="Arial Unicode MS" w:hAnsi="Palatino Linotype" w:cs="Arial"/>
          <w:b/>
          <w:i/>
        </w:rPr>
      </w:pPr>
      <w:r w:rsidRPr="00EB4728">
        <w:rPr>
          <w:rFonts w:ascii="Palatino Linotype" w:eastAsia="Arial Unicode MS" w:hAnsi="Palatino Linotype" w:cs="Arial"/>
          <w:b/>
          <w:i/>
        </w:rPr>
        <w:t>I. La Secretaría de la Contraloría.</w:t>
      </w:r>
    </w:p>
    <w:p w:rsidR="00806C6B" w:rsidRPr="00EB4728" w:rsidRDefault="00806C6B" w:rsidP="00360E1F">
      <w:pPr>
        <w:pStyle w:val="Prrafodelista"/>
        <w:ind w:left="360" w:right="333"/>
        <w:jc w:val="both"/>
        <w:rPr>
          <w:rFonts w:ascii="Palatino Linotype" w:eastAsia="Arial Unicode MS" w:hAnsi="Palatino Linotype" w:cs="Arial"/>
          <w:b/>
          <w:i/>
        </w:rPr>
      </w:pPr>
      <w:r w:rsidRPr="00EB4728">
        <w:rPr>
          <w:rFonts w:ascii="Palatino Linotype" w:eastAsia="Arial Unicode MS" w:hAnsi="Palatino Linotype" w:cs="Arial"/>
          <w:b/>
          <w:i/>
        </w:rPr>
        <w:t>…</w:t>
      </w:r>
    </w:p>
    <w:p w:rsidR="00806C6B" w:rsidRPr="00EB4728" w:rsidRDefault="00806C6B" w:rsidP="00360E1F">
      <w:pPr>
        <w:pStyle w:val="Prrafodelista"/>
        <w:ind w:left="360" w:right="333"/>
        <w:jc w:val="both"/>
        <w:rPr>
          <w:rFonts w:ascii="Palatino Linotype" w:eastAsia="Arial Unicode MS" w:hAnsi="Palatino Linotype" w:cs="Arial"/>
          <w:b/>
          <w:i/>
        </w:rPr>
      </w:pPr>
      <w:r w:rsidRPr="00EB4728">
        <w:rPr>
          <w:rFonts w:ascii="Palatino Linotype" w:eastAsia="Arial Unicode MS" w:hAnsi="Palatino Linotype" w:cs="Arial"/>
          <w:b/>
          <w:i/>
        </w:rPr>
        <w:t>VIII. Los órganos internos de control.</w:t>
      </w:r>
      <w:r w:rsidR="00360E1F" w:rsidRPr="00EB4728">
        <w:rPr>
          <w:rFonts w:ascii="Palatino Linotype" w:eastAsia="Arial Unicode MS" w:hAnsi="Palatino Linotype" w:cs="Arial"/>
          <w:b/>
          <w:i/>
        </w:rPr>
        <w:t>”</w:t>
      </w:r>
    </w:p>
    <w:p w:rsidR="00806C6B" w:rsidRPr="00EB4728" w:rsidRDefault="00806C6B" w:rsidP="00360E1F">
      <w:pPr>
        <w:pStyle w:val="Prrafodelista"/>
        <w:spacing w:line="360" w:lineRule="auto"/>
        <w:ind w:left="360"/>
        <w:jc w:val="both"/>
        <w:rPr>
          <w:rFonts w:ascii="Palatino Linotype" w:hAnsi="Palatino Linotype"/>
        </w:rPr>
      </w:pPr>
    </w:p>
    <w:p w:rsidR="00806C6B" w:rsidRPr="00EB4728" w:rsidRDefault="00806C6B" w:rsidP="00360E1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La dependencia jerárquica y funcional de los Órganos Internos de Control respecto de la Secretaría de la Contraloría,</w:t>
      </w:r>
      <w:r w:rsidR="00BA5B7C" w:rsidRPr="00EB4728">
        <w:rPr>
          <w:rFonts w:ascii="Palatino Linotype" w:hAnsi="Palatino Linotype"/>
        </w:rPr>
        <w:t xml:space="preserve"> ciertamente</w:t>
      </w:r>
      <w:r w:rsidRPr="00EB4728">
        <w:rPr>
          <w:rFonts w:ascii="Palatino Linotype" w:hAnsi="Palatino Linotype"/>
        </w:rPr>
        <w:t xml:space="preserve"> no es algo que pueda pasarse por alto, ya que obedece al hecho que las unidades administrativas u organismos descentralizados no tengan acceso a los procedimientos del Órgano Interno de Control, ya que son susceptibles de ser auditados o que se investigue sobre hechos de corrupción o irregularidades administrativas, al interior de dichas dependencias.</w:t>
      </w:r>
    </w:p>
    <w:p w:rsidR="00806C6B" w:rsidRPr="00EB4728" w:rsidRDefault="00806C6B" w:rsidP="00360E1F">
      <w:pPr>
        <w:pStyle w:val="Prrafodelista"/>
        <w:spacing w:line="360" w:lineRule="auto"/>
        <w:ind w:left="360"/>
        <w:jc w:val="both"/>
        <w:rPr>
          <w:rFonts w:ascii="Palatino Linotype" w:hAnsi="Palatino Linotype"/>
        </w:rPr>
      </w:pPr>
    </w:p>
    <w:p w:rsidR="00806C6B" w:rsidRPr="00EB4728" w:rsidRDefault="00806C6B" w:rsidP="00360E1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En otra palabras, el ente auditado no puede requerir del Órgano Interno de Control documento alguno, ni por competencia, ni por secrecía del contralor, y mucho menos de las investigaciones radicadas en el Área de Quejas actuando como autoridad investigadora.</w:t>
      </w:r>
    </w:p>
    <w:p w:rsidR="00806C6B" w:rsidRPr="00EB4728" w:rsidRDefault="00806C6B" w:rsidP="00360E1F">
      <w:pPr>
        <w:pStyle w:val="Prrafodelista"/>
        <w:spacing w:line="360" w:lineRule="auto"/>
        <w:ind w:left="360"/>
        <w:jc w:val="both"/>
        <w:rPr>
          <w:rFonts w:ascii="Palatino Linotype" w:hAnsi="Palatino Linotype"/>
        </w:rPr>
      </w:pPr>
    </w:p>
    <w:p w:rsidR="00806C6B" w:rsidRPr="00EB4728" w:rsidRDefault="00806C6B" w:rsidP="00360E1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Ahora, si bien es cierto que la Titular de la Unidad de Transparencia es la encargada de dar atención a las solicitudes de información con fundamento en los </w:t>
      </w:r>
      <w:r w:rsidRPr="00EB4728">
        <w:rPr>
          <w:rFonts w:ascii="Palatino Linotype" w:hAnsi="Palatino Linotype"/>
        </w:rPr>
        <w:lastRenderedPageBreak/>
        <w:t>artículos 50 y 53 fracciones II, V y VI de la Ley de Transparencia y Acceso a la Información Pública del Estado de México y Municipios, que refieren:</w:t>
      </w:r>
    </w:p>
    <w:p w:rsidR="00806C6B" w:rsidRPr="00EB4728" w:rsidRDefault="00806C6B" w:rsidP="00360E1F">
      <w:pPr>
        <w:pStyle w:val="Prrafodelista"/>
        <w:spacing w:line="360" w:lineRule="auto"/>
        <w:ind w:left="360"/>
        <w:jc w:val="both"/>
        <w:rPr>
          <w:rFonts w:ascii="Palatino Linotype" w:hAnsi="Palatino Linotype"/>
        </w:rPr>
      </w:pPr>
    </w:p>
    <w:p w:rsidR="00806C6B" w:rsidRPr="00EB4728" w:rsidRDefault="00360E1F" w:rsidP="00360E1F">
      <w:pPr>
        <w:pStyle w:val="Prrafodelista"/>
        <w:tabs>
          <w:tab w:val="left" w:pos="709"/>
        </w:tabs>
        <w:ind w:left="360" w:right="760"/>
        <w:rPr>
          <w:rFonts w:ascii="Palatino Linotype" w:hAnsi="Palatino Linotype" w:cs="Arial"/>
          <w:b/>
          <w:i/>
          <w:lang w:eastAsia="es-MX"/>
        </w:rPr>
      </w:pPr>
      <w:r w:rsidRPr="00EB4728">
        <w:rPr>
          <w:rFonts w:ascii="Palatino Linotype" w:hAnsi="Palatino Linotype" w:cs="Arial"/>
          <w:b/>
        </w:rPr>
        <w:t>“</w:t>
      </w:r>
      <w:r w:rsidR="00806C6B" w:rsidRPr="00EB4728">
        <w:rPr>
          <w:rFonts w:ascii="Palatino Linotype" w:hAnsi="Palatino Linotype" w:cs="Arial"/>
          <w:b/>
        </w:rPr>
        <w:t>Ley de Transparencia y Acceso a la Información Pública del Estado de México y Municipios</w:t>
      </w: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r w:rsidRPr="00EB4728">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r w:rsidRPr="00EB4728">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EB4728">
        <w:rPr>
          <w:rFonts w:ascii="Palatino Linotype" w:hAnsi="Palatino Linotype" w:cs="Arial"/>
          <w:b/>
          <w:i/>
          <w:u w:val="single"/>
          <w:lang w:eastAsia="es-MX"/>
        </w:rPr>
        <w:t>Dicha Unidad será la encargada de tramitar internamente la solicitud de información</w:t>
      </w:r>
      <w:r w:rsidRPr="00EB4728">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r w:rsidRPr="00EB4728">
        <w:rPr>
          <w:rFonts w:ascii="Palatino Linotype" w:hAnsi="Palatino Linotype" w:cs="Arial"/>
          <w:i/>
          <w:lang w:eastAsia="es-MX"/>
        </w:rPr>
        <w:t>…</w:t>
      </w: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r w:rsidRPr="00EB4728">
        <w:rPr>
          <w:rFonts w:ascii="Palatino Linotype" w:hAnsi="Palatino Linotype" w:cs="Arial"/>
          <w:i/>
          <w:lang w:eastAsia="es-MX"/>
        </w:rPr>
        <w:t>Artículo 53. Las Unidades de Transparencia tendrán las siguientes funciones:</w:t>
      </w: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r w:rsidRPr="00EB4728">
        <w:rPr>
          <w:rFonts w:ascii="Palatino Linotype" w:hAnsi="Palatino Linotype" w:cs="Arial"/>
          <w:i/>
          <w:lang w:eastAsia="es-MX"/>
        </w:rPr>
        <w:t>…</w:t>
      </w: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r w:rsidRPr="00EB4728">
        <w:rPr>
          <w:rFonts w:ascii="Palatino Linotype" w:hAnsi="Palatino Linotype" w:cs="Arial"/>
          <w:i/>
          <w:lang w:eastAsia="es-MX"/>
        </w:rPr>
        <w:t xml:space="preserve">II. Recibir, tramitar y dar respuesta a las solicitudes de acceso a la información; </w:t>
      </w: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r w:rsidRPr="00EB4728">
        <w:rPr>
          <w:rFonts w:ascii="Palatino Linotype" w:hAnsi="Palatino Linotype" w:cs="Arial"/>
          <w:i/>
          <w:lang w:eastAsia="es-MX"/>
        </w:rPr>
        <w:t>…</w:t>
      </w:r>
    </w:p>
    <w:p w:rsidR="00806C6B" w:rsidRPr="00EB4728" w:rsidRDefault="00806C6B" w:rsidP="00360E1F">
      <w:pPr>
        <w:pStyle w:val="Prrafodelista"/>
        <w:tabs>
          <w:tab w:val="left" w:pos="709"/>
        </w:tabs>
        <w:ind w:left="360" w:right="760"/>
        <w:jc w:val="both"/>
        <w:rPr>
          <w:rFonts w:ascii="Palatino Linotype" w:hAnsi="Palatino Linotype" w:cs="Arial"/>
          <w:b/>
          <w:i/>
          <w:u w:val="single"/>
          <w:lang w:eastAsia="es-MX"/>
        </w:rPr>
      </w:pPr>
      <w:r w:rsidRPr="00EB4728">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r w:rsidRPr="00EB4728">
        <w:rPr>
          <w:rFonts w:ascii="Palatino Linotype" w:hAnsi="Palatino Linotype" w:cs="Arial"/>
          <w:i/>
          <w:lang w:eastAsia="es-MX"/>
        </w:rPr>
        <w:t xml:space="preserve">V. Entregar, en su caso, a los particulares la información solicitada; </w:t>
      </w:r>
    </w:p>
    <w:p w:rsidR="00806C6B" w:rsidRPr="00EB4728" w:rsidRDefault="00806C6B" w:rsidP="00360E1F">
      <w:pPr>
        <w:pStyle w:val="Prrafodelista"/>
        <w:tabs>
          <w:tab w:val="left" w:pos="709"/>
        </w:tabs>
        <w:ind w:left="360" w:right="760"/>
        <w:jc w:val="both"/>
        <w:rPr>
          <w:rFonts w:ascii="Palatino Linotype" w:hAnsi="Palatino Linotype" w:cs="Arial"/>
          <w:i/>
          <w:lang w:eastAsia="es-MX"/>
        </w:rPr>
      </w:pPr>
      <w:r w:rsidRPr="00EB4728">
        <w:rPr>
          <w:rFonts w:ascii="Palatino Linotype" w:hAnsi="Palatino Linotype" w:cs="Arial"/>
          <w:i/>
          <w:lang w:eastAsia="es-MX"/>
        </w:rPr>
        <w:t>VI. Efectuar las notificaciones a los solicitantes;”</w:t>
      </w:r>
    </w:p>
    <w:p w:rsidR="00806C6B" w:rsidRPr="00EB4728" w:rsidRDefault="00806C6B" w:rsidP="00360E1F">
      <w:pPr>
        <w:pStyle w:val="Prrafodelista"/>
        <w:spacing w:line="360" w:lineRule="auto"/>
        <w:ind w:left="360"/>
        <w:jc w:val="both"/>
        <w:rPr>
          <w:rFonts w:ascii="Palatino Linotype" w:hAnsi="Palatino Linotype"/>
        </w:rPr>
      </w:pPr>
    </w:p>
    <w:p w:rsidR="00806C6B" w:rsidRPr="00EB4728" w:rsidRDefault="00806C6B" w:rsidP="00360E1F">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Y que por ello debe turnar la solicitud a todas las Áreas que por su competen</w:t>
      </w:r>
      <w:r w:rsidR="006C5952" w:rsidRPr="00EB4728">
        <w:rPr>
          <w:rFonts w:ascii="Palatino Linotype" w:hAnsi="Palatino Linotype"/>
        </w:rPr>
        <w:t>cia pueden generar, administrar</w:t>
      </w:r>
      <w:r w:rsidRPr="00EB4728">
        <w:rPr>
          <w:rFonts w:ascii="Palatino Linotype" w:hAnsi="Palatino Linotype"/>
        </w:rPr>
        <w:t xml:space="preserve"> o poseer la información solicitada, aplica sólo para las áreas del sujeto obligado, </w:t>
      </w:r>
      <w:r w:rsidR="00F9040F" w:rsidRPr="00EB4728">
        <w:rPr>
          <w:rFonts w:ascii="Palatino Linotype" w:hAnsi="Palatino Linotype"/>
        </w:rPr>
        <w:t>por tanto se incluye al</w:t>
      </w:r>
      <w:r w:rsidRPr="00EB4728">
        <w:rPr>
          <w:rFonts w:ascii="Palatino Linotype" w:hAnsi="Palatino Linotype"/>
        </w:rPr>
        <w:t xml:space="preserve"> Órgano Interno de Control pues como ya se ha analizado ésta unidad administrativa </w:t>
      </w:r>
      <w:r w:rsidR="00F9040F" w:rsidRPr="00EB4728">
        <w:rPr>
          <w:rFonts w:ascii="Palatino Linotype" w:hAnsi="Palatino Linotype"/>
        </w:rPr>
        <w:t xml:space="preserve">forma parte de la estructura del </w:t>
      </w:r>
      <w:r w:rsidR="00F9040F" w:rsidRPr="00EB4728">
        <w:rPr>
          <w:rFonts w:ascii="Palatino Linotype" w:hAnsi="Palatino Linotype"/>
          <w:b/>
        </w:rPr>
        <w:t>SUEJTO OBLIGADO</w:t>
      </w:r>
      <w:r w:rsidRPr="00EB4728">
        <w:rPr>
          <w:rFonts w:ascii="Palatino Linotype" w:hAnsi="Palatino Linotype"/>
        </w:rPr>
        <w:t>.</w:t>
      </w:r>
    </w:p>
    <w:p w:rsidR="00806C6B" w:rsidRPr="00EB4728" w:rsidRDefault="00806C6B" w:rsidP="00360E1F">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lastRenderedPageBreak/>
        <w:t>Aunado a lo anterior, es de referir que las quejas y denuncias que se tramitan ante los Órganos Internos de Control del Poder Ejecutivo Estatal son mediante el Sistema de Atención Mexiquense (SAM), el cual administra la Secretaría de la Contraloría, en el Manual de Operación del Sistema de Atención Mexiquense, publicado en la Gaceta de Gobierno en fecha veintisiete de noviembre de dos mil siete se establece entre otros temas los siguientes:</w:t>
      </w:r>
    </w:p>
    <w:p w:rsidR="00806C6B" w:rsidRPr="00EB4728" w:rsidRDefault="00F9040F" w:rsidP="00360E1F">
      <w:pPr>
        <w:spacing w:line="360" w:lineRule="auto"/>
        <w:jc w:val="center"/>
        <w:rPr>
          <w:rFonts w:ascii="Palatino Linotype" w:hAnsi="Palatino Linotype"/>
        </w:rPr>
      </w:pPr>
      <w:r w:rsidRPr="00EB4728">
        <w:rPr>
          <w:noProof/>
          <w:lang w:val="es-MX" w:eastAsia="es-MX"/>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2285467</wp:posOffset>
                </wp:positionV>
                <wp:extent cx="5470543" cy="3081475"/>
                <wp:effectExtent l="0" t="0" r="34925" b="24130"/>
                <wp:wrapNone/>
                <wp:docPr id="13" name="Conector recto 13"/>
                <wp:cNvGraphicFramePr/>
                <a:graphic xmlns:a="http://schemas.openxmlformats.org/drawingml/2006/main">
                  <a:graphicData uri="http://schemas.microsoft.com/office/word/2010/wordprocessingShape">
                    <wps:wsp>
                      <wps:cNvCnPr/>
                      <wps:spPr>
                        <a:xfrm>
                          <a:off x="0" y="0"/>
                          <a:ext cx="5470543" cy="308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FBC77" id="Conector recto 13"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9.95pt" to="430.75pt,4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" strokecolor="black [3200]" strokeweight="1.5pt">
                <v:stroke joinstyle="miter"/>
                <w10:wrap anchorx="margin"/>
              </v:line>
            </w:pict>
          </mc:Fallback>
        </mc:AlternateContent>
      </w:r>
      <w:r w:rsidR="00806C6B" w:rsidRPr="00EB4728">
        <w:rPr>
          <w:noProof/>
          <w:lang w:val="es-MX" w:eastAsia="es-MX"/>
        </w:rPr>
        <w:drawing>
          <wp:inline distT="0" distB="0" distL="0" distR="0" wp14:anchorId="07C72E5B" wp14:editId="7F4A03C4">
            <wp:extent cx="5422973" cy="2011268"/>
            <wp:effectExtent l="19050" t="19050" r="2540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59" t="11644" r="18493" b="47561"/>
                    <a:stretch/>
                  </pic:blipFill>
                  <pic:spPr bwMode="auto">
                    <a:xfrm>
                      <a:off x="0" y="0"/>
                      <a:ext cx="5505405" cy="2041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06C6B" w:rsidRPr="00EB4728" w:rsidRDefault="00806C6B" w:rsidP="00360E1F">
      <w:pPr>
        <w:spacing w:line="360" w:lineRule="auto"/>
        <w:jc w:val="center"/>
        <w:rPr>
          <w:rFonts w:ascii="Palatino Linotype" w:hAnsi="Palatino Linotype"/>
        </w:rPr>
      </w:pPr>
      <w:r w:rsidRPr="00EB4728">
        <w:rPr>
          <w:noProof/>
          <w:lang w:val="es-MX" w:eastAsia="es-MX"/>
        </w:rPr>
        <w:lastRenderedPageBreak/>
        <w:drawing>
          <wp:inline distT="0" distB="0" distL="0" distR="0" wp14:anchorId="557F6492" wp14:editId="13422450">
            <wp:extent cx="5438830" cy="3343851"/>
            <wp:effectExtent l="19050" t="19050" r="952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00" t="20268" r="18956" b="20439"/>
                    <a:stretch/>
                  </pic:blipFill>
                  <pic:spPr bwMode="auto">
                    <a:xfrm>
                      <a:off x="0" y="0"/>
                      <a:ext cx="5500523" cy="33817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60E1F" w:rsidRPr="00EB4728" w:rsidRDefault="00360E1F" w:rsidP="00360E1F">
      <w:pPr>
        <w:spacing w:line="360" w:lineRule="auto"/>
        <w:jc w:val="center"/>
        <w:rPr>
          <w:rFonts w:ascii="Palatino Linotype" w:hAnsi="Palatino Linotype"/>
        </w:rPr>
      </w:pPr>
    </w:p>
    <w:p w:rsidR="00806C6B" w:rsidRPr="00EB4728" w:rsidRDefault="00806C6B" w:rsidP="008831F7">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Como se puede apreciar al recibirse una queja debe subirse al SAM a efecto de que se radique y en términos del artículo 114 del Código de Procedimientos Administrativos del Estado de México se abra un periodo de información previa, información sobre la cual el </w:t>
      </w:r>
      <w:r w:rsidR="008831F7" w:rsidRPr="00EB4728">
        <w:rPr>
          <w:rFonts w:ascii="Palatino Linotype" w:hAnsi="Palatino Linotype"/>
        </w:rPr>
        <w:t>Hospital Regional de Alta Especialidad de Zumpango</w:t>
      </w:r>
      <w:r w:rsidRPr="00EB4728">
        <w:rPr>
          <w:rFonts w:ascii="Palatino Linotype" w:hAnsi="Palatino Linotype"/>
        </w:rPr>
        <w:t xml:space="preserve"> no tiene injerencia a efecto de conocer el estado en el que se encuentra la queja</w:t>
      </w:r>
      <w:r w:rsidR="00F9040F" w:rsidRPr="00EB4728">
        <w:rPr>
          <w:rFonts w:ascii="Palatino Linotype" w:hAnsi="Palatino Linotype"/>
        </w:rPr>
        <w:t>, pero si el Órgano Interno de Control</w:t>
      </w:r>
      <w:r w:rsidRPr="00EB4728">
        <w:rPr>
          <w:rFonts w:ascii="Palatino Linotype" w:hAnsi="Palatino Linotype"/>
        </w:rPr>
        <w:t>.</w:t>
      </w:r>
    </w:p>
    <w:p w:rsidR="00806C6B" w:rsidRPr="00EB4728" w:rsidRDefault="00806C6B" w:rsidP="008831F7">
      <w:pPr>
        <w:pStyle w:val="Prrafodelista"/>
        <w:spacing w:line="360" w:lineRule="auto"/>
        <w:ind w:left="360"/>
        <w:jc w:val="both"/>
        <w:rPr>
          <w:rFonts w:ascii="Palatino Linotype" w:hAnsi="Palatino Linotype"/>
        </w:rPr>
      </w:pPr>
    </w:p>
    <w:p w:rsidR="00806C6B" w:rsidRPr="00EB4728" w:rsidRDefault="00806C6B" w:rsidP="008831F7">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Por otro lado es necesario referir que en caso de existir una responsabilidad administrativa y el expediente de queja se haya turnado al Área de Responsabilidades, tampoco es materia de conocimiento del </w:t>
      </w:r>
      <w:r w:rsidR="008831F7" w:rsidRPr="00EB4728">
        <w:rPr>
          <w:rFonts w:ascii="Palatino Linotype" w:hAnsi="Palatino Linotype"/>
          <w:b/>
        </w:rPr>
        <w:t xml:space="preserve">SUJETO OBLIGADO </w:t>
      </w:r>
      <w:r w:rsidRPr="00EB4728">
        <w:rPr>
          <w:rFonts w:ascii="Palatino Linotype" w:hAnsi="Palatino Linotype"/>
        </w:rPr>
        <w:t xml:space="preserve">ya que en el procedimiento administrativo seguido en forma de juicio ante el Órgano </w:t>
      </w:r>
      <w:r w:rsidRPr="00EB4728">
        <w:rPr>
          <w:rFonts w:ascii="Palatino Linotype" w:hAnsi="Palatino Linotype"/>
        </w:rPr>
        <w:lastRenderedPageBreak/>
        <w:t>Interno de Control, no sería posible que las áreas del sujeto obligado conocieran los procedimientos administrativos instaurados en contra de serv</w:t>
      </w:r>
      <w:r w:rsidR="00802DDE" w:rsidRPr="00EB4728">
        <w:rPr>
          <w:rFonts w:ascii="Palatino Linotype" w:hAnsi="Palatino Linotype"/>
        </w:rPr>
        <w:t>idores públicos, en el presente</w:t>
      </w:r>
      <w:r w:rsidRPr="00EB4728">
        <w:rPr>
          <w:rFonts w:ascii="Palatino Linotype" w:hAnsi="Palatino Linotype"/>
        </w:rPr>
        <w:t xml:space="preserve"> caso del mismo </w:t>
      </w:r>
      <w:r w:rsidR="008831F7" w:rsidRPr="00EB4728">
        <w:rPr>
          <w:rFonts w:ascii="Palatino Linotype" w:hAnsi="Palatino Linotype"/>
        </w:rPr>
        <w:t>Hospital Regional de Alta Especialidad de Zumpango</w:t>
      </w:r>
      <w:r w:rsidR="00F9040F" w:rsidRPr="00EB4728">
        <w:rPr>
          <w:rFonts w:ascii="Palatino Linotype" w:hAnsi="Palatino Linotype"/>
        </w:rPr>
        <w:t>, pero –se insiste– obra en los archivos del órgano interno de control, porque allí se genera, posee y administra.</w:t>
      </w:r>
    </w:p>
    <w:p w:rsidR="002A07F9" w:rsidRPr="00EB4728" w:rsidRDefault="002A07F9" w:rsidP="002A07F9">
      <w:pPr>
        <w:pStyle w:val="Prrafodelista"/>
        <w:rPr>
          <w:rFonts w:ascii="Palatino Linotype" w:hAnsi="Palatino Linotype"/>
        </w:rPr>
      </w:pPr>
    </w:p>
    <w:p w:rsidR="002A07F9" w:rsidRPr="00EB4728" w:rsidRDefault="002A07F9" w:rsidP="002A07F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Cabe resaltar a este punto que aquella información que se encuentre en trámite tocante a los informes de presunta responsabilidad </w:t>
      </w:r>
      <w:r w:rsidR="00802DDE" w:rsidRPr="00EB4728">
        <w:rPr>
          <w:rFonts w:ascii="Palatino Linotype" w:hAnsi="Palatino Linotype"/>
        </w:rPr>
        <w:t xml:space="preserve">así como las quejas y denuncias </w:t>
      </w:r>
      <w:r w:rsidRPr="00EB4728">
        <w:rPr>
          <w:rFonts w:ascii="Palatino Linotype" w:hAnsi="Palatino Linotype"/>
        </w:rPr>
        <w:t xml:space="preserve">por faltas graves </w:t>
      </w:r>
      <w:r w:rsidR="00703A77" w:rsidRPr="00EB4728">
        <w:rPr>
          <w:rFonts w:ascii="Palatino Linotype" w:hAnsi="Palatino Linotype"/>
        </w:rPr>
        <w:t xml:space="preserve">que han causado estado </w:t>
      </w:r>
      <w:r w:rsidRPr="00EB4728">
        <w:rPr>
          <w:rFonts w:ascii="Palatino Linotype" w:hAnsi="Palatino Linotype"/>
        </w:rPr>
        <w:t xml:space="preserve">o </w:t>
      </w:r>
      <w:r w:rsidR="00703A77" w:rsidRPr="00EB4728">
        <w:rPr>
          <w:rFonts w:ascii="Palatino Linotype" w:hAnsi="Palatino Linotype"/>
        </w:rPr>
        <w:t xml:space="preserve">en trámite </w:t>
      </w:r>
      <w:r w:rsidRPr="00EB4728">
        <w:rPr>
          <w:rFonts w:ascii="Palatino Linotype" w:hAnsi="Palatino Linotype"/>
        </w:rPr>
        <w:t xml:space="preserve">relacionados con actos de corrupción no es procedente clasificar, </w:t>
      </w:r>
      <w:r w:rsidR="00703A77" w:rsidRPr="00EB4728">
        <w:rPr>
          <w:rFonts w:ascii="Palatino Linotype" w:hAnsi="Palatino Linotype"/>
        </w:rPr>
        <w:t>toda vez</w:t>
      </w:r>
      <w:r w:rsidRPr="00EB4728">
        <w:rPr>
          <w:rFonts w:ascii="Palatino Linotype" w:hAnsi="Palatino Linotype"/>
        </w:rPr>
        <w:t xml:space="preserve"> que </w:t>
      </w:r>
      <w:r w:rsidR="00703A77" w:rsidRPr="00EB4728">
        <w:rPr>
          <w:rFonts w:ascii="Palatino Linotype" w:hAnsi="Palatino Linotype"/>
        </w:rPr>
        <w:t xml:space="preserve">al haber causado estado ya no afectan el procedimiento y de ser el caso que se encuentre en trámite pero estén relacionadas con actos de corrupción </w:t>
      </w:r>
      <w:r w:rsidRPr="00EB4728">
        <w:rPr>
          <w:rFonts w:ascii="Palatino Linotype" w:hAnsi="Palatino Linotype"/>
        </w:rPr>
        <w:t xml:space="preserve">graves </w:t>
      </w:r>
      <w:r w:rsidR="00703A77" w:rsidRPr="00EB4728">
        <w:rPr>
          <w:rFonts w:ascii="Palatino Linotype" w:hAnsi="Palatino Linotype"/>
        </w:rPr>
        <w:t>de acuerdo con</w:t>
      </w:r>
      <w:r w:rsidRPr="00EB4728">
        <w:rPr>
          <w:rFonts w:ascii="Palatino Linotype" w:hAnsi="Palatino Linotype"/>
        </w:rPr>
        <w:t xml:space="preserve"> ley de Ley de Transparencia y Acceso a la Información Pública del Estado de México y Municipios, </w:t>
      </w:r>
      <w:r w:rsidR="00703A77" w:rsidRPr="00EB4728">
        <w:rPr>
          <w:rFonts w:ascii="Palatino Linotype" w:hAnsi="Palatino Linotype"/>
        </w:rPr>
        <w:t>no se puede invocar una pretendida clasificación como se aprecia:</w:t>
      </w:r>
    </w:p>
    <w:p w:rsidR="00703A77" w:rsidRPr="00EB4728" w:rsidRDefault="00703A77" w:rsidP="00703A77">
      <w:pPr>
        <w:pStyle w:val="Prrafodelista"/>
        <w:rPr>
          <w:rFonts w:ascii="Palatino Linotype" w:hAnsi="Palatino Linotype"/>
        </w:rPr>
      </w:pPr>
    </w:p>
    <w:p w:rsidR="00703A77" w:rsidRPr="00EB4728" w:rsidRDefault="00703A77" w:rsidP="00703A77">
      <w:pPr>
        <w:ind w:left="284" w:right="474"/>
        <w:jc w:val="both"/>
        <w:rPr>
          <w:rFonts w:ascii="Palatino Linotype" w:hAnsi="Palatino Linotype"/>
          <w:i/>
        </w:rPr>
      </w:pPr>
      <w:r w:rsidRPr="00EB4728">
        <w:rPr>
          <w:rFonts w:ascii="Palatino Linotype" w:hAnsi="Palatino Linotype"/>
          <w:i/>
        </w:rPr>
        <w:t xml:space="preserve">Artículo 142. </w:t>
      </w:r>
      <w:r w:rsidRPr="00EB4728">
        <w:rPr>
          <w:rFonts w:ascii="Palatino Linotype" w:hAnsi="Palatino Linotype"/>
          <w:b/>
          <w:i/>
        </w:rPr>
        <w:t>Bajo ninguna circunstancia podrá invocarse el carácter de reservado</w:t>
      </w:r>
      <w:r w:rsidRPr="00EB4728">
        <w:rPr>
          <w:rFonts w:ascii="Palatino Linotype" w:hAnsi="Palatino Linotype"/>
          <w:i/>
        </w:rPr>
        <w:t xml:space="preserve"> cuando:</w:t>
      </w:r>
    </w:p>
    <w:p w:rsidR="00703A77" w:rsidRPr="00EB4728" w:rsidRDefault="00703A77" w:rsidP="00703A77">
      <w:pPr>
        <w:ind w:left="284" w:right="474"/>
        <w:jc w:val="both"/>
        <w:rPr>
          <w:rFonts w:ascii="Palatino Linotype" w:hAnsi="Palatino Linotype"/>
          <w:i/>
        </w:rPr>
      </w:pPr>
      <w:r w:rsidRPr="00EB4728">
        <w:rPr>
          <w:rFonts w:ascii="Palatino Linotype" w:hAnsi="Palatino Linotype"/>
          <w:i/>
        </w:rPr>
        <w:t>...</w:t>
      </w:r>
    </w:p>
    <w:p w:rsidR="00703A77" w:rsidRPr="00EB4728" w:rsidRDefault="00703A77" w:rsidP="00703A77">
      <w:pPr>
        <w:ind w:left="284" w:right="474"/>
        <w:jc w:val="both"/>
        <w:rPr>
          <w:rFonts w:ascii="Palatino Linotype" w:hAnsi="Palatino Linotype"/>
          <w:i/>
        </w:rPr>
      </w:pPr>
      <w:r w:rsidRPr="00EB4728">
        <w:rPr>
          <w:rFonts w:ascii="Palatino Linotype" w:hAnsi="Palatino Linotype"/>
          <w:i/>
        </w:rPr>
        <w:t xml:space="preserve">IV. Se trate de información relacionada </w:t>
      </w:r>
      <w:r w:rsidRPr="00EB4728">
        <w:rPr>
          <w:rFonts w:ascii="Palatino Linotype" w:hAnsi="Palatino Linotype"/>
          <w:b/>
          <w:i/>
        </w:rPr>
        <w:t>con actos de corrupción</w:t>
      </w:r>
      <w:r w:rsidRPr="00EB4728">
        <w:rPr>
          <w:rFonts w:ascii="Palatino Linotype" w:hAnsi="Palatino Linotype"/>
          <w:i/>
        </w:rPr>
        <w:t xml:space="preserve"> de conformidad con las disposiciones jurídicas aplicables.”</w:t>
      </w:r>
    </w:p>
    <w:p w:rsidR="00703A77" w:rsidRPr="00EB4728" w:rsidRDefault="00703A77" w:rsidP="00703A77">
      <w:pPr>
        <w:ind w:left="284" w:right="474"/>
        <w:jc w:val="both"/>
        <w:rPr>
          <w:rFonts w:ascii="Palatino Linotype" w:hAnsi="Palatino Linotype"/>
        </w:rPr>
      </w:pPr>
      <w:r w:rsidRPr="00EB4728">
        <w:rPr>
          <w:rFonts w:ascii="Palatino Linotype" w:hAnsi="Palatino Linotype"/>
        </w:rPr>
        <w:t>Énfasis añadido</w:t>
      </w:r>
    </w:p>
    <w:p w:rsidR="002A07F9" w:rsidRPr="00EB4728" w:rsidRDefault="002A07F9" w:rsidP="00703A77">
      <w:pPr>
        <w:pStyle w:val="Prrafodelista"/>
        <w:spacing w:line="360" w:lineRule="auto"/>
        <w:rPr>
          <w:rFonts w:ascii="Palatino Linotype" w:hAnsi="Palatino Linotype"/>
        </w:rPr>
      </w:pPr>
    </w:p>
    <w:p w:rsidR="00703A77" w:rsidRPr="00EB4728" w:rsidRDefault="00703A77" w:rsidP="008831F7">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Por el contrario, si se trata de soporte documental relacionado con faltas no graves, puede tener acceso en versión pública protegiendo en todo momento los datos de servidores públicos sancionadas; no obstante si estos se encontraran en trámite,</w:t>
      </w:r>
      <w:r w:rsidR="003E4972" w:rsidRPr="00EB4728">
        <w:rPr>
          <w:rFonts w:ascii="Palatino Linotype" w:hAnsi="Palatino Linotype"/>
        </w:rPr>
        <w:t xml:space="preserve"> tanto para graves como no graves,</w:t>
      </w:r>
      <w:r w:rsidRPr="00EB4728">
        <w:rPr>
          <w:rFonts w:ascii="Palatino Linotype" w:hAnsi="Palatino Linotype"/>
        </w:rPr>
        <w:t xml:space="preserve"> ciertamente se actualiza una causal de </w:t>
      </w:r>
      <w:r w:rsidRPr="00EB4728">
        <w:rPr>
          <w:rFonts w:ascii="Palatino Linotype" w:hAnsi="Palatino Linotype"/>
        </w:rPr>
        <w:lastRenderedPageBreak/>
        <w:t xml:space="preserve">reserva, toda vez que eventualmente se puede vulnerar la conducción del expediente, de conformidad con el </w:t>
      </w:r>
      <w:r w:rsidR="00802DDE" w:rsidRPr="00EB4728">
        <w:rPr>
          <w:rFonts w:ascii="Palatino Linotype" w:hAnsi="Palatino Linotype"/>
        </w:rPr>
        <w:t>artículo</w:t>
      </w:r>
      <w:r w:rsidRPr="00EB4728">
        <w:rPr>
          <w:rFonts w:ascii="Palatino Linotype" w:hAnsi="Palatino Linotype"/>
        </w:rPr>
        <w:t xml:space="preserve"> 140 fracción VIII, a saber:</w:t>
      </w:r>
    </w:p>
    <w:p w:rsidR="00703A77" w:rsidRPr="00EB4728" w:rsidRDefault="00703A77" w:rsidP="00703A77">
      <w:pPr>
        <w:pStyle w:val="Prrafodelista"/>
        <w:spacing w:line="360" w:lineRule="auto"/>
        <w:ind w:left="0"/>
        <w:jc w:val="both"/>
        <w:rPr>
          <w:rFonts w:ascii="Palatino Linotype" w:hAnsi="Palatino Linotype"/>
        </w:rPr>
      </w:pPr>
    </w:p>
    <w:p w:rsidR="00703A77" w:rsidRPr="00EB4728" w:rsidRDefault="00703A77" w:rsidP="00703A77">
      <w:pPr>
        <w:pStyle w:val="Prrafodelista"/>
        <w:ind w:left="284" w:right="335"/>
        <w:jc w:val="both"/>
        <w:rPr>
          <w:rFonts w:ascii="Palatino Linotype" w:hAnsi="Palatino Linotype"/>
          <w:i/>
        </w:rPr>
      </w:pPr>
      <w:r w:rsidRPr="00EB4728">
        <w:rPr>
          <w:rFonts w:ascii="Palatino Linotype" w:hAnsi="Palatino Linotype"/>
          <w:i/>
        </w:rPr>
        <w:t>“Artículo 140. El acceso a la información pública será restringido excepcionalmente, cuando por razones de interés público, ésta sea clasificada como reservada, conforme a los criterios siguientes:</w:t>
      </w:r>
    </w:p>
    <w:p w:rsidR="00703A77" w:rsidRPr="00EB4728" w:rsidRDefault="00703A77" w:rsidP="00703A77">
      <w:pPr>
        <w:pStyle w:val="Prrafodelista"/>
        <w:ind w:left="284" w:right="335"/>
        <w:jc w:val="both"/>
        <w:rPr>
          <w:rFonts w:ascii="Palatino Linotype" w:hAnsi="Palatino Linotype"/>
          <w:i/>
        </w:rPr>
      </w:pPr>
      <w:r w:rsidRPr="00EB4728">
        <w:rPr>
          <w:rFonts w:ascii="Palatino Linotype" w:hAnsi="Palatino Linotype"/>
          <w:i/>
        </w:rPr>
        <w:t>...</w:t>
      </w:r>
    </w:p>
    <w:p w:rsidR="00703A77" w:rsidRPr="00EB4728" w:rsidRDefault="00703A77" w:rsidP="00703A77">
      <w:pPr>
        <w:pStyle w:val="Prrafodelista"/>
        <w:ind w:left="284" w:right="335"/>
        <w:jc w:val="both"/>
        <w:rPr>
          <w:rFonts w:ascii="Palatino Linotype" w:hAnsi="Palatino Linotype"/>
          <w:i/>
        </w:rPr>
      </w:pPr>
      <w:r w:rsidRPr="00EB4728">
        <w:rPr>
          <w:rFonts w:ascii="Palatino Linotype" w:hAnsi="Palatino Linotype"/>
          <w:i/>
        </w:rPr>
        <w:t xml:space="preserve">VIII. </w:t>
      </w:r>
      <w:r w:rsidRPr="00EB4728">
        <w:rPr>
          <w:rFonts w:ascii="Palatino Linotype" w:hAnsi="Palatino Linotype"/>
          <w:b/>
          <w:i/>
        </w:rPr>
        <w:t>Vulnere la conducción de los expedientes judiciales o de los procedimientos administrativos seguidos en forma de juicio, en tanto no hayan quedado firmes</w:t>
      </w:r>
      <w:r w:rsidRPr="00EB4728">
        <w:rPr>
          <w:rFonts w:ascii="Palatino Linotype" w:hAnsi="Palatino Linotype"/>
          <w:i/>
        </w:rPr>
        <w:t>;</w:t>
      </w:r>
    </w:p>
    <w:p w:rsidR="00703A77" w:rsidRPr="00EB4728" w:rsidRDefault="00703A77" w:rsidP="00703A77">
      <w:pPr>
        <w:pStyle w:val="Prrafodelista"/>
        <w:ind w:left="284" w:right="335"/>
        <w:jc w:val="both"/>
        <w:rPr>
          <w:rFonts w:ascii="Palatino Linotype" w:hAnsi="Palatino Linotype"/>
          <w:i/>
        </w:rPr>
      </w:pPr>
      <w:r w:rsidRPr="00EB4728">
        <w:rPr>
          <w:rFonts w:ascii="Palatino Linotype" w:hAnsi="Palatino Linotype"/>
          <w:i/>
        </w:rPr>
        <w:t>..."</w:t>
      </w:r>
    </w:p>
    <w:p w:rsidR="00703A77" w:rsidRPr="00EB4728" w:rsidRDefault="00703A77" w:rsidP="00703A77">
      <w:pPr>
        <w:pStyle w:val="Prrafodelista"/>
        <w:spacing w:line="360" w:lineRule="auto"/>
        <w:ind w:left="0"/>
        <w:jc w:val="both"/>
        <w:rPr>
          <w:rFonts w:ascii="Palatino Linotype" w:hAnsi="Palatino Linotype"/>
        </w:rPr>
      </w:pPr>
    </w:p>
    <w:p w:rsidR="008831F7" w:rsidRPr="00EB4728" w:rsidRDefault="003E4972" w:rsidP="003E4972">
      <w:pPr>
        <w:pStyle w:val="Prrafodelista"/>
        <w:numPr>
          <w:ilvl w:val="0"/>
          <w:numId w:val="1"/>
        </w:numPr>
        <w:spacing w:line="360" w:lineRule="auto"/>
        <w:ind w:left="0" w:firstLine="0"/>
        <w:jc w:val="both"/>
        <w:rPr>
          <w:rFonts w:ascii="Palatino Linotype" w:hAnsi="Palatino Linotype"/>
          <w:b/>
          <w:color w:val="000000" w:themeColor="text1"/>
        </w:rPr>
      </w:pPr>
      <w:r w:rsidRPr="00EB4728">
        <w:rPr>
          <w:rFonts w:ascii="Palatino Linotype" w:hAnsi="Palatino Linotype"/>
        </w:rPr>
        <w:t>Por tanto es que de encontrarse en trámite y corresponder a un soporte documental no relacionado con actos de corrupción, no se puede tener acceso a él y debe clasificarse como información reservada, mediante le aplicación de la prueba de daño, contexto similar ocurre con la quejas y denuncias</w:t>
      </w:r>
      <w:r w:rsidR="008831F7" w:rsidRPr="00EB4728">
        <w:rPr>
          <w:rFonts w:ascii="Palatino Linotype" w:hAnsi="Palatino Linotype"/>
        </w:rPr>
        <w:t xml:space="preserve">, </w:t>
      </w:r>
      <w:r w:rsidRPr="00EB4728">
        <w:rPr>
          <w:rFonts w:ascii="Palatino Linotype" w:hAnsi="Palatino Linotype"/>
        </w:rPr>
        <w:t xml:space="preserve">de las que además, </w:t>
      </w:r>
      <w:r w:rsidR="00F9040F" w:rsidRPr="00EB4728">
        <w:rPr>
          <w:rFonts w:ascii="Palatino Linotype" w:hAnsi="Palatino Linotype"/>
        </w:rPr>
        <w:t>tampoco</w:t>
      </w:r>
      <w:r w:rsidR="008831F7" w:rsidRPr="00EB4728">
        <w:rPr>
          <w:rFonts w:ascii="Palatino Linotype" w:hAnsi="Palatino Linotype"/>
        </w:rPr>
        <w:t xml:space="preserve"> es impedimento para que el </w:t>
      </w:r>
      <w:r w:rsidR="008831F7" w:rsidRPr="00EB4728">
        <w:rPr>
          <w:rFonts w:ascii="Palatino Linotype" w:hAnsi="Palatino Linotype"/>
          <w:b/>
        </w:rPr>
        <w:t>SUJETO OBLIGADO</w:t>
      </w:r>
      <w:r w:rsidR="00806C6B" w:rsidRPr="00EB4728">
        <w:rPr>
          <w:rFonts w:ascii="Palatino Linotype" w:hAnsi="Palatino Linotype"/>
        </w:rPr>
        <w:t xml:space="preserve"> </w:t>
      </w:r>
      <w:r w:rsidR="008831F7" w:rsidRPr="00EB4728">
        <w:rPr>
          <w:rFonts w:ascii="Palatino Linotype" w:hAnsi="Palatino Linotype"/>
        </w:rPr>
        <w:t xml:space="preserve">pueda </w:t>
      </w:r>
      <w:r w:rsidRPr="00EB4728">
        <w:rPr>
          <w:rFonts w:ascii="Palatino Linotype" w:hAnsi="Palatino Linotype"/>
        </w:rPr>
        <w:t>entregar el soporte documental que obre en sus archivos, así como d</w:t>
      </w:r>
      <w:r w:rsidR="004A5214" w:rsidRPr="00EB4728">
        <w:rPr>
          <w:rFonts w:ascii="Palatino Linotype" w:hAnsi="Palatino Linotype"/>
          <w:color w:val="000000" w:themeColor="text1"/>
        </w:rPr>
        <w:t>e los e</w:t>
      </w:r>
      <w:r w:rsidR="008831F7" w:rsidRPr="00EB4728">
        <w:rPr>
          <w:rFonts w:ascii="Palatino Linotype" w:hAnsi="Palatino Linotype"/>
          <w:color w:val="000000" w:themeColor="text1"/>
        </w:rPr>
        <w:t>xpedientes de investigación concluidos</w:t>
      </w:r>
      <w:r w:rsidR="008831F7" w:rsidRPr="00EB4728">
        <w:rPr>
          <w:rFonts w:ascii="Palatino Linotype" w:hAnsi="Palatino Linotype"/>
          <w:b/>
          <w:color w:val="000000" w:themeColor="text1"/>
        </w:rPr>
        <w:t xml:space="preserve"> de los años 2020 a 2022, </w:t>
      </w:r>
      <w:r w:rsidR="008831F7" w:rsidRPr="00EB4728">
        <w:rPr>
          <w:rFonts w:ascii="Palatino Linotype" w:hAnsi="Palatino Linotype"/>
          <w:b/>
          <w:color w:val="000000" w:themeColor="text1"/>
          <w:u w:val="single"/>
        </w:rPr>
        <w:t>especificando el tipo de responsabilidad que se determinó.</w:t>
      </w:r>
    </w:p>
    <w:p w:rsidR="008831F7" w:rsidRPr="00EB4728" w:rsidRDefault="008831F7" w:rsidP="008831F7">
      <w:pPr>
        <w:pStyle w:val="Prrafodelista"/>
        <w:spacing w:line="360" w:lineRule="auto"/>
        <w:ind w:left="360"/>
        <w:jc w:val="both"/>
        <w:rPr>
          <w:rFonts w:ascii="Palatino Linotype" w:hAnsi="Palatino Linotype"/>
        </w:rPr>
      </w:pPr>
    </w:p>
    <w:p w:rsidR="00806C6B" w:rsidRPr="00EB4728" w:rsidRDefault="00806C6B" w:rsidP="008831F7">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 xml:space="preserve">Lo anterior es así ya que en caso de que haya </w:t>
      </w:r>
      <w:r w:rsidR="00697C09" w:rsidRPr="00EB4728">
        <w:rPr>
          <w:rFonts w:ascii="Palatino Linotype" w:hAnsi="Palatino Linotype"/>
        </w:rPr>
        <w:t>existido</w:t>
      </w:r>
      <w:r w:rsidRPr="00EB4728">
        <w:rPr>
          <w:rFonts w:ascii="Palatino Linotype" w:hAnsi="Palatino Linotype"/>
        </w:rPr>
        <w:t xml:space="preserve"> una responsabilidad administrativa, esta se notifica a través del superior jerárquico, como a continuación se puede apreciar en la Ley de Responsabilidades de los Servidores Públicos del Estado de México y Municipios:</w:t>
      </w:r>
    </w:p>
    <w:p w:rsidR="00F9040F" w:rsidRPr="00EB4728" w:rsidRDefault="00F9040F" w:rsidP="00F9040F">
      <w:pPr>
        <w:pStyle w:val="Prrafodelista"/>
        <w:spacing w:line="360" w:lineRule="auto"/>
        <w:ind w:left="0"/>
        <w:jc w:val="both"/>
        <w:rPr>
          <w:rFonts w:ascii="Palatino Linotype" w:hAnsi="Palatino Linotype"/>
        </w:rPr>
      </w:pP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r w:rsidRPr="00EB4728">
        <w:rPr>
          <w:rFonts w:ascii="Palatino Linotype" w:hAnsi="Palatino Linotype"/>
          <w:i/>
          <w:iCs/>
          <w:color w:val="222222"/>
          <w:shd w:val="clear" w:color="auto" w:fill="FFFFFF"/>
        </w:rPr>
        <w:lastRenderedPageBreak/>
        <w:t xml:space="preserve">Artículo 88. </w:t>
      </w:r>
      <w:r w:rsidRPr="00EB4728">
        <w:rPr>
          <w:rFonts w:ascii="Palatino Linotype" w:hAnsi="Palatino Linotype"/>
          <w:b/>
          <w:i/>
          <w:iCs/>
          <w:color w:val="222222"/>
          <w:shd w:val="clear" w:color="auto" w:fill="FFFFFF"/>
        </w:rPr>
        <w:t>Para la imposición de las sanciones por faltas administrativas graves</w:t>
      </w:r>
      <w:r w:rsidRPr="00EB4728">
        <w:rPr>
          <w:rFonts w:ascii="Palatino Linotype" w:hAnsi="Palatino Linotype"/>
          <w:i/>
          <w:iCs/>
          <w:color w:val="222222"/>
          <w:shd w:val="clear" w:color="auto" w:fill="FFFFFF"/>
        </w:rPr>
        <w:t xml:space="preserve"> y faltas de particulares, se observarán las siguientes reglas: </w:t>
      </w: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r w:rsidRPr="00EB4728">
        <w:rPr>
          <w:rFonts w:ascii="Palatino Linotype" w:hAnsi="Palatino Linotype"/>
          <w:i/>
          <w:iCs/>
          <w:color w:val="222222"/>
          <w:shd w:val="clear" w:color="auto" w:fill="FFFFFF"/>
        </w:rPr>
        <w:t xml:space="preserve">I. La suspensión o la destitución del puesto de los servidores públicos, serán impuestas por el Tribunal de Justicia Administrativa </w:t>
      </w:r>
      <w:r w:rsidRPr="00EB4728">
        <w:rPr>
          <w:rFonts w:ascii="Palatino Linotype" w:hAnsi="Palatino Linotype"/>
          <w:b/>
          <w:i/>
          <w:iCs/>
          <w:color w:val="222222"/>
          <w:u w:val="single"/>
          <w:shd w:val="clear" w:color="auto" w:fill="FFFFFF"/>
        </w:rPr>
        <w:t>y ejecutadas por el titular o servidor público competente del ente público correspondiente</w:t>
      </w:r>
      <w:r w:rsidRPr="00EB4728">
        <w:rPr>
          <w:rFonts w:ascii="Palatino Linotype" w:hAnsi="Palatino Linotype"/>
          <w:i/>
          <w:iCs/>
          <w:color w:val="222222"/>
          <w:shd w:val="clear" w:color="auto" w:fill="FFFFFF"/>
        </w:rPr>
        <w:t xml:space="preserve">. </w:t>
      </w: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r w:rsidRPr="00EB4728">
        <w:rPr>
          <w:rFonts w:ascii="Palatino Linotype" w:hAnsi="Palatino Linotype"/>
          <w:i/>
          <w:iCs/>
          <w:color w:val="222222"/>
          <w:shd w:val="clear" w:color="auto" w:fill="FFFFFF"/>
        </w:rPr>
        <w:t>…</w:t>
      </w:r>
    </w:p>
    <w:p w:rsidR="00697C09" w:rsidRPr="00EB4728" w:rsidRDefault="00697C09" w:rsidP="00697C09">
      <w:pPr>
        <w:pStyle w:val="Prrafodelista"/>
        <w:ind w:left="360" w:right="848"/>
        <w:jc w:val="both"/>
        <w:rPr>
          <w:rFonts w:ascii="Palatino Linotype" w:hAnsi="Palatino Linotype"/>
          <w:i/>
          <w:iCs/>
          <w:color w:val="222222"/>
          <w:shd w:val="clear" w:color="auto" w:fill="FFFFFF"/>
        </w:rPr>
      </w:pP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r w:rsidRPr="00EB4728">
        <w:rPr>
          <w:rFonts w:ascii="Palatino Linotype" w:hAnsi="Palatino Linotype"/>
          <w:i/>
          <w:iCs/>
          <w:color w:val="222222"/>
          <w:shd w:val="clear" w:color="auto" w:fill="FFFFFF"/>
        </w:rPr>
        <w:t>Artículo 206. La ejecución de las sanciones impuestas por la comisión de faltas administrativas no graves, se llevará a cabo de manera inmediata, una vez determinadas por la Secretaría de la Contraloría o los Órganos internos de control y en los términos que disponga la resolución respectiva.</w:t>
      </w: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r w:rsidRPr="00EB4728">
        <w:rPr>
          <w:rFonts w:ascii="Palatino Linotype" w:hAnsi="Palatino Linotype"/>
          <w:b/>
          <w:i/>
          <w:iCs/>
          <w:color w:val="222222"/>
          <w:u w:val="single"/>
          <w:shd w:val="clear" w:color="auto" w:fill="FFFFFF"/>
        </w:rPr>
        <w:t>Tratándose de servidores públicos de base, la suspensión y la destitución se ejecutarán por el titular del ente público que corresponda</w:t>
      </w:r>
      <w:r w:rsidRPr="00EB4728">
        <w:rPr>
          <w:rFonts w:ascii="Palatino Linotype" w:hAnsi="Palatino Linotype"/>
          <w:i/>
          <w:iCs/>
          <w:color w:val="222222"/>
          <w:shd w:val="clear" w:color="auto" w:fill="FFFFFF"/>
        </w:rPr>
        <w:t>.</w:t>
      </w: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r w:rsidRPr="00EB4728">
        <w:rPr>
          <w:rFonts w:ascii="Palatino Linotype" w:hAnsi="Palatino Linotype"/>
          <w:i/>
          <w:iCs/>
          <w:color w:val="222222"/>
          <w:shd w:val="clear" w:color="auto" w:fill="FFFFFF"/>
        </w:rPr>
        <w:t>…</w:t>
      </w:r>
    </w:p>
    <w:p w:rsidR="00697C09" w:rsidRPr="00EB4728" w:rsidRDefault="00697C09" w:rsidP="00697C09">
      <w:pPr>
        <w:pStyle w:val="Prrafodelista"/>
        <w:ind w:left="360" w:right="848"/>
        <w:jc w:val="both"/>
        <w:rPr>
          <w:rFonts w:ascii="Palatino Linotype" w:hAnsi="Palatino Linotype"/>
          <w:i/>
          <w:iCs/>
          <w:color w:val="222222"/>
          <w:shd w:val="clear" w:color="auto" w:fill="FFFFFF"/>
        </w:rPr>
      </w:pP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r w:rsidRPr="00EB4728">
        <w:rPr>
          <w:rFonts w:ascii="Palatino Linotype" w:hAnsi="Palatino Linotype"/>
          <w:i/>
          <w:iCs/>
          <w:color w:val="222222"/>
          <w:shd w:val="clear" w:color="auto" w:fill="FFFFFF"/>
        </w:rPr>
        <w:t xml:space="preserve">Artículo 208. Una vez que haya causado ejecutoria la sentencia que determina la plena responsabilidad de un servidor público </w:t>
      </w:r>
      <w:r w:rsidRPr="00EB4728">
        <w:rPr>
          <w:rFonts w:ascii="Palatino Linotype" w:hAnsi="Palatino Linotype"/>
          <w:b/>
          <w:i/>
          <w:iCs/>
          <w:color w:val="222222"/>
          <w:shd w:val="clear" w:color="auto" w:fill="FFFFFF"/>
        </w:rPr>
        <w:t>por faltas administrativas graves</w:t>
      </w:r>
      <w:r w:rsidRPr="00EB4728">
        <w:rPr>
          <w:rFonts w:ascii="Palatino Linotype" w:hAnsi="Palatino Linotype"/>
          <w:i/>
          <w:iCs/>
          <w:color w:val="222222"/>
          <w:shd w:val="clear" w:color="auto" w:fill="FFFFFF"/>
        </w:rPr>
        <w:t xml:space="preserve">, el Tribunal de Justicia Administrativa, de oficio y sin demora alguna, girará oficio por el que </w:t>
      </w:r>
      <w:r w:rsidRPr="00EB4728">
        <w:rPr>
          <w:rFonts w:ascii="Palatino Linotype" w:hAnsi="Palatino Linotype"/>
          <w:b/>
          <w:i/>
          <w:iCs/>
          <w:color w:val="222222"/>
          <w:shd w:val="clear" w:color="auto" w:fill="FFFFFF"/>
        </w:rPr>
        <w:t>notificará la sentencia respectiva, así como sus puntos resolutivos</w:t>
      </w:r>
      <w:r w:rsidRPr="00EB4728">
        <w:rPr>
          <w:rFonts w:ascii="Palatino Linotype" w:hAnsi="Palatino Linotype"/>
          <w:i/>
          <w:iCs/>
          <w:color w:val="222222"/>
          <w:shd w:val="clear" w:color="auto" w:fill="FFFFFF"/>
        </w:rPr>
        <w:t xml:space="preserve"> para su cumplimiento, de conformidad con las siguientes reglas: </w:t>
      </w: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p>
    <w:p w:rsidR="00806C6B" w:rsidRPr="00EB4728" w:rsidRDefault="00806C6B" w:rsidP="00697C09">
      <w:pPr>
        <w:pStyle w:val="Prrafodelista"/>
        <w:ind w:left="360" w:right="848"/>
        <w:jc w:val="both"/>
        <w:rPr>
          <w:rFonts w:ascii="Palatino Linotype" w:hAnsi="Palatino Linotype"/>
          <w:i/>
          <w:iCs/>
          <w:color w:val="222222"/>
          <w:shd w:val="clear" w:color="auto" w:fill="FFFFFF"/>
        </w:rPr>
      </w:pPr>
      <w:r w:rsidRPr="00EB4728">
        <w:rPr>
          <w:rFonts w:ascii="Palatino Linotype" w:hAnsi="Palatino Linotype"/>
          <w:b/>
          <w:i/>
          <w:iCs/>
          <w:color w:val="222222"/>
          <w:u w:val="single"/>
          <w:shd w:val="clear" w:color="auto" w:fill="FFFFFF"/>
        </w:rPr>
        <w:t>I. Cuando el servidor público haya sido suspendido, destituido o inhabilitado, se dará vista a su superior jerárquico y a la Secretaría de la Contraloría</w:t>
      </w:r>
      <w:r w:rsidRPr="00EB4728">
        <w:rPr>
          <w:rFonts w:ascii="Palatino Linotype" w:hAnsi="Palatino Linotype"/>
          <w:i/>
          <w:iCs/>
          <w:color w:val="222222"/>
          <w:shd w:val="clear" w:color="auto" w:fill="FFFFFF"/>
        </w:rPr>
        <w:t xml:space="preserve">.” </w:t>
      </w:r>
    </w:p>
    <w:p w:rsidR="00806C6B" w:rsidRPr="00EB4728" w:rsidRDefault="00806C6B" w:rsidP="00697C09">
      <w:pPr>
        <w:pStyle w:val="Prrafodelista"/>
        <w:spacing w:line="360" w:lineRule="auto"/>
        <w:ind w:left="360"/>
        <w:jc w:val="both"/>
        <w:rPr>
          <w:rFonts w:ascii="Palatino Linotype" w:hAnsi="Palatino Linotype"/>
        </w:rPr>
      </w:pPr>
    </w:p>
    <w:p w:rsidR="00697C09" w:rsidRPr="00EB4728" w:rsidRDefault="00806C6B" w:rsidP="00697C09">
      <w:pPr>
        <w:pStyle w:val="Prrafodelista"/>
        <w:numPr>
          <w:ilvl w:val="0"/>
          <w:numId w:val="1"/>
        </w:numPr>
        <w:spacing w:line="360" w:lineRule="auto"/>
        <w:ind w:left="0" w:firstLine="0"/>
        <w:jc w:val="both"/>
        <w:rPr>
          <w:rFonts w:ascii="Palatino Linotype" w:hAnsi="Palatino Linotype" w:cs="Arial"/>
        </w:rPr>
      </w:pPr>
      <w:r w:rsidRPr="00EB4728">
        <w:rPr>
          <w:rFonts w:ascii="Palatino Linotype" w:hAnsi="Palatino Linotype" w:cs="Arial"/>
        </w:rPr>
        <w:t xml:space="preserve">Como se puede apreciar cuando el servidor público ha sido suspendido, destituido o </w:t>
      </w:r>
      <w:r w:rsidRPr="00EB4728">
        <w:rPr>
          <w:rFonts w:ascii="Palatino Linotype" w:hAnsi="Palatino Linotype"/>
        </w:rPr>
        <w:t>inhabilitado</w:t>
      </w:r>
      <w:r w:rsidRPr="00EB4728">
        <w:rPr>
          <w:rFonts w:ascii="Palatino Linotype" w:hAnsi="Palatino Linotype" w:cs="Arial"/>
        </w:rPr>
        <w:t>,</w:t>
      </w:r>
      <w:r w:rsidRPr="00EB4728">
        <w:rPr>
          <w:rFonts w:ascii="Palatino Linotype" w:hAnsi="Palatino Linotype" w:cs="Arial"/>
          <w:b/>
        </w:rPr>
        <w:t xml:space="preserve"> </w:t>
      </w:r>
      <w:r w:rsidRPr="00EB4728">
        <w:rPr>
          <w:rFonts w:ascii="Palatino Linotype" w:hAnsi="Palatino Linotype" w:cs="Arial"/>
          <w:b/>
          <w:u w:val="single"/>
        </w:rPr>
        <w:t>se dará vista a su superior jerárquico</w:t>
      </w:r>
      <w:r w:rsidRPr="00EB4728">
        <w:rPr>
          <w:rFonts w:ascii="Palatino Linotype" w:hAnsi="Palatino Linotype" w:cs="Arial"/>
        </w:rPr>
        <w:t xml:space="preserve"> y a la Secretaría de la Contraloría, en el presente caso, de haber ocurrido una sanción </w:t>
      </w:r>
      <w:r w:rsidR="00697C09" w:rsidRPr="00EB4728">
        <w:rPr>
          <w:rFonts w:ascii="Palatino Linotype" w:hAnsi="Palatino Linotype" w:cs="Arial"/>
        </w:rPr>
        <w:t xml:space="preserve">grave </w:t>
      </w:r>
      <w:r w:rsidRPr="00EB4728">
        <w:rPr>
          <w:rFonts w:ascii="Palatino Linotype" w:hAnsi="Palatino Linotype" w:cs="Arial"/>
        </w:rPr>
        <w:t xml:space="preserve">en contra de quien se solicita la información, el sujeto obligado lo tendrá en su poder por así </w:t>
      </w:r>
      <w:r w:rsidRPr="00EB4728">
        <w:rPr>
          <w:rFonts w:ascii="Palatino Linotype" w:hAnsi="Palatino Linotype" w:cs="Arial"/>
        </w:rPr>
        <w:lastRenderedPageBreak/>
        <w:t>establecerlo el ordenamiento jurídico antes citado y será dable entregar dicha información en versión pública</w:t>
      </w:r>
      <w:r w:rsidR="00697C09" w:rsidRPr="00EB4728">
        <w:rPr>
          <w:rFonts w:ascii="Palatino Linotype" w:hAnsi="Palatino Linotype" w:cs="Arial"/>
        </w:rPr>
        <w:t>.</w:t>
      </w:r>
    </w:p>
    <w:p w:rsidR="00806C6B" w:rsidRPr="00EB4728" w:rsidRDefault="00806C6B" w:rsidP="00697C09">
      <w:pPr>
        <w:pStyle w:val="Prrafodelista"/>
        <w:spacing w:line="360" w:lineRule="auto"/>
        <w:ind w:left="0"/>
        <w:jc w:val="both"/>
        <w:rPr>
          <w:rFonts w:ascii="Palatino Linotype" w:hAnsi="Palatino Linotype" w:cs="Arial"/>
        </w:rPr>
      </w:pPr>
    </w:p>
    <w:p w:rsidR="00697C09" w:rsidRPr="00EB4728" w:rsidRDefault="00697C09" w:rsidP="00697C0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Ahora bien,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rsidR="00697C09" w:rsidRPr="00EB4728" w:rsidRDefault="00697C09" w:rsidP="00697C09">
      <w:pPr>
        <w:pStyle w:val="Prrafodelista"/>
        <w:rPr>
          <w:rFonts w:ascii="Palatino Linotype" w:hAnsi="Palatino Linotype"/>
        </w:rPr>
      </w:pPr>
    </w:p>
    <w:p w:rsidR="00697C09" w:rsidRPr="00EB4728" w:rsidRDefault="00697C09" w:rsidP="00697C0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rsidR="00697C09" w:rsidRPr="00EB4728" w:rsidRDefault="00697C09" w:rsidP="00697C09">
      <w:pPr>
        <w:pStyle w:val="Prrafodelista"/>
        <w:rPr>
          <w:rFonts w:ascii="Palatino Linotype" w:hAnsi="Palatino Linotype"/>
        </w:rPr>
      </w:pPr>
    </w:p>
    <w:p w:rsidR="00697C09" w:rsidRPr="00EB4728" w:rsidRDefault="00697C09" w:rsidP="00697C0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Así, se puede advertir que dichas faltas, no tienen una trascendencia social, pues no existe un daño externo, sino que únicamente la atañe al servidor público en cuestión.</w:t>
      </w:r>
    </w:p>
    <w:p w:rsidR="00697C09" w:rsidRPr="00EB4728" w:rsidRDefault="00697C09" w:rsidP="00697C09">
      <w:pPr>
        <w:pStyle w:val="Prrafodelista"/>
        <w:rPr>
          <w:rFonts w:ascii="Palatino Linotype" w:hAnsi="Palatino Linotype" w:cs="Arial"/>
          <w:color w:val="222222"/>
          <w:lang w:eastAsia="es-MX"/>
        </w:rPr>
      </w:pPr>
    </w:p>
    <w:p w:rsidR="00697C09" w:rsidRPr="00EB4728" w:rsidRDefault="00697C09" w:rsidP="00697C09">
      <w:pPr>
        <w:pStyle w:val="Prrafodelista"/>
        <w:numPr>
          <w:ilvl w:val="0"/>
          <w:numId w:val="1"/>
        </w:numPr>
        <w:spacing w:line="360" w:lineRule="auto"/>
        <w:ind w:left="0" w:firstLine="0"/>
        <w:jc w:val="both"/>
        <w:rPr>
          <w:rFonts w:ascii="Palatino Linotype" w:hAnsi="Palatino Linotype"/>
        </w:rPr>
      </w:pPr>
      <w:r w:rsidRPr="00EB4728">
        <w:rPr>
          <w:rFonts w:ascii="Palatino Linotype" w:hAnsi="Palatino Linotype"/>
        </w:rPr>
        <w:t>En esa tesitura, si bien es cierto las sanciones administrativas corresponden a obligaciones de transparencia común, como se desprende del artículo 92 fracción XXII de la Ley de Transparencia y Acceso a la Información Pública del Estado de México y Municipios, como se observa:</w:t>
      </w:r>
    </w:p>
    <w:p w:rsidR="00697C09" w:rsidRPr="00EB4728" w:rsidRDefault="00697C09" w:rsidP="00697C09">
      <w:pPr>
        <w:pStyle w:val="Prrafodelista"/>
        <w:rPr>
          <w:rFonts w:ascii="Palatino Linotype" w:hAnsi="Palatino Linotype"/>
        </w:rPr>
      </w:pPr>
    </w:p>
    <w:p w:rsidR="00697C09" w:rsidRPr="00EB4728" w:rsidRDefault="00697C09" w:rsidP="00697C09">
      <w:pPr>
        <w:pStyle w:val="Prrafodelista"/>
        <w:ind w:left="426" w:right="333"/>
        <w:jc w:val="both"/>
        <w:rPr>
          <w:rFonts w:ascii="Palatino Linotype" w:eastAsia="Calibri" w:hAnsi="Palatino Linotype" w:cs="Arial"/>
          <w:i/>
          <w:color w:val="000000" w:themeColor="text1"/>
        </w:rPr>
      </w:pPr>
      <w:r w:rsidRPr="00EB4728">
        <w:rPr>
          <w:rFonts w:ascii="Palatino Linotype" w:eastAsia="Calibri" w:hAnsi="Palatino Linotype" w:cs="Arial"/>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97C09" w:rsidRPr="00EB4728" w:rsidRDefault="00697C09" w:rsidP="00697C09">
      <w:pPr>
        <w:pStyle w:val="Prrafodelista"/>
        <w:ind w:left="426" w:right="333"/>
        <w:jc w:val="both"/>
        <w:rPr>
          <w:rFonts w:ascii="Palatino Linotype" w:eastAsia="Calibri" w:hAnsi="Palatino Linotype" w:cs="Arial"/>
          <w:i/>
          <w:color w:val="000000" w:themeColor="text1"/>
        </w:rPr>
      </w:pPr>
      <w:r w:rsidRPr="00EB4728">
        <w:rPr>
          <w:rFonts w:ascii="Palatino Linotype" w:eastAsia="Calibri" w:hAnsi="Palatino Linotype" w:cs="Arial"/>
          <w:i/>
          <w:color w:val="000000" w:themeColor="text1"/>
        </w:rPr>
        <w:t>...</w:t>
      </w:r>
    </w:p>
    <w:p w:rsidR="00697C09" w:rsidRPr="00EB4728" w:rsidRDefault="00697C09" w:rsidP="00697C09">
      <w:pPr>
        <w:pStyle w:val="Prrafodelista"/>
        <w:ind w:left="426" w:right="333"/>
        <w:jc w:val="both"/>
        <w:rPr>
          <w:rFonts w:ascii="Palatino Linotype" w:eastAsia="Calibri" w:hAnsi="Palatino Linotype" w:cs="Arial"/>
          <w:b/>
          <w:i/>
          <w:color w:val="000000" w:themeColor="text1"/>
        </w:rPr>
      </w:pPr>
      <w:r w:rsidRPr="00EB4728">
        <w:rPr>
          <w:rFonts w:ascii="Palatino Linotype" w:eastAsia="Calibri" w:hAnsi="Palatino Linotype" w:cs="Arial"/>
          <w:i/>
          <w:color w:val="000000" w:themeColor="text1"/>
        </w:rPr>
        <w:t xml:space="preserve">XXII. </w:t>
      </w:r>
      <w:r w:rsidRPr="00EB4728">
        <w:rPr>
          <w:rFonts w:ascii="Palatino Linotype" w:eastAsia="Calibri" w:hAnsi="Palatino Linotype" w:cs="Arial"/>
          <w:b/>
          <w:i/>
          <w:color w:val="000000" w:themeColor="text1"/>
        </w:rPr>
        <w:t>El listado de Servidores Públicos con sanciones administrativas definitivas, especificando la causa de sanción y la disposición;"</w:t>
      </w:r>
    </w:p>
    <w:p w:rsidR="00697C09" w:rsidRPr="00EB4728" w:rsidRDefault="00697C09" w:rsidP="00697C09">
      <w:pPr>
        <w:pStyle w:val="Prrafodelista"/>
        <w:ind w:left="426" w:right="333"/>
        <w:jc w:val="both"/>
        <w:rPr>
          <w:rFonts w:ascii="Palatino Linotype" w:eastAsia="Calibri" w:hAnsi="Palatino Linotype" w:cs="Arial"/>
          <w:color w:val="000000" w:themeColor="text1"/>
        </w:rPr>
      </w:pPr>
    </w:p>
    <w:p w:rsidR="00697C09" w:rsidRPr="00EB4728" w:rsidRDefault="00697C09" w:rsidP="00697C09">
      <w:pPr>
        <w:pStyle w:val="Prrafodelista"/>
        <w:ind w:left="426" w:right="333"/>
        <w:jc w:val="both"/>
        <w:rPr>
          <w:rFonts w:ascii="Palatino Linotype" w:eastAsia="Calibri" w:hAnsi="Palatino Linotype" w:cs="Arial"/>
          <w:color w:val="000000" w:themeColor="text1"/>
        </w:rPr>
      </w:pPr>
      <w:r w:rsidRPr="00EB4728">
        <w:rPr>
          <w:rFonts w:ascii="Palatino Linotype" w:eastAsia="Calibri" w:hAnsi="Palatino Linotype" w:cs="Arial"/>
          <w:color w:val="000000" w:themeColor="text1"/>
        </w:rPr>
        <w:t>Énfasis añadido</w:t>
      </w:r>
    </w:p>
    <w:p w:rsidR="003E4972" w:rsidRPr="00EB4728" w:rsidRDefault="003E4972" w:rsidP="00697C09">
      <w:pPr>
        <w:pStyle w:val="Prrafodelista"/>
        <w:ind w:left="426" w:right="333"/>
        <w:jc w:val="both"/>
        <w:rPr>
          <w:rFonts w:ascii="Palatino Linotype" w:eastAsia="Calibri" w:hAnsi="Palatino Linotype" w:cs="Arial"/>
          <w:color w:val="000000" w:themeColor="text1"/>
        </w:rPr>
      </w:pPr>
    </w:p>
    <w:p w:rsidR="00697C09" w:rsidRPr="00EB4728" w:rsidRDefault="00697C09" w:rsidP="00012B2E">
      <w:pPr>
        <w:pStyle w:val="Prrafodelista"/>
        <w:numPr>
          <w:ilvl w:val="0"/>
          <w:numId w:val="1"/>
        </w:numPr>
        <w:spacing w:line="360" w:lineRule="auto"/>
        <w:ind w:left="0" w:firstLine="0"/>
        <w:jc w:val="both"/>
        <w:rPr>
          <w:rFonts w:ascii="Palatino Linotype" w:hAnsi="Palatino Linotype"/>
          <w:color w:val="000000" w:themeColor="text1"/>
        </w:rPr>
      </w:pPr>
      <w:r w:rsidRPr="00EB4728">
        <w:rPr>
          <w:rFonts w:ascii="Palatino Linotype" w:hAnsi="Palatino Linotype" w:cs="Arial"/>
        </w:rPr>
        <w:t>También</w:t>
      </w:r>
      <w:r w:rsidRPr="00EB4728">
        <w:rPr>
          <w:rFonts w:ascii="Palatino Linotype" w:hAnsi="Palatino Linotype"/>
          <w:color w:val="000000" w:themeColor="text1"/>
        </w:rPr>
        <w:t xml:space="preserve"> lo </w:t>
      </w:r>
      <w:r w:rsidRPr="00EB4728">
        <w:rPr>
          <w:rFonts w:ascii="Palatino Linotype" w:hAnsi="Palatino Linotype"/>
        </w:rPr>
        <w:t>es</w:t>
      </w:r>
      <w:r w:rsidRPr="00EB4728">
        <w:rPr>
          <w:rFonts w:ascii="Palatino Linotype" w:hAnsi="Palatino Linotype"/>
          <w:color w:val="000000" w:themeColor="text1"/>
        </w:rPr>
        <w:t xml:space="preserve"> que estos solo pueden ser dados a conocer cuando correspondan a </w:t>
      </w:r>
      <w:r w:rsidRPr="00EB4728">
        <w:rPr>
          <w:rFonts w:ascii="Palatino Linotype" w:hAnsi="Palatino Linotype"/>
          <w:b/>
          <w:color w:val="000000" w:themeColor="text1"/>
        </w:rPr>
        <w:t>sanciones graves</w:t>
      </w:r>
      <w:r w:rsidR="005A34D2" w:rsidRPr="00EB4728">
        <w:rPr>
          <w:rFonts w:ascii="Palatino Linotype" w:hAnsi="Palatino Linotype"/>
          <w:color w:val="000000" w:themeColor="text1"/>
        </w:rPr>
        <w:t xml:space="preserve">. </w:t>
      </w:r>
      <w:r w:rsidRPr="00EB4728">
        <w:rPr>
          <w:rFonts w:ascii="Palatino Linotype" w:hAnsi="Palatino Linotype"/>
          <w:color w:val="000000" w:themeColor="text1"/>
        </w:rPr>
        <w:t xml:space="preserve">Lo anterior con motivo de la entrada en vigor de la </w:t>
      </w:r>
      <w:r w:rsidRPr="00EB4728">
        <w:rPr>
          <w:rFonts w:ascii="Palatino Linotype" w:hAnsi="Palatino Linotype"/>
          <w:b/>
          <w:color w:val="000000" w:themeColor="text1"/>
        </w:rPr>
        <w:t>Ley del Sistema Anticorrupción del Estado de México y Municipios</w:t>
      </w:r>
      <w:r w:rsidRPr="00EB4728">
        <w:rPr>
          <w:rFonts w:ascii="Palatino Linotype" w:hAnsi="Palatino Linotype"/>
          <w:color w:val="000000" w:themeColor="text1"/>
        </w:rPr>
        <w:t xml:space="preserve"> publicada en el periódico oficial "Gace</w:t>
      </w:r>
      <w:r w:rsidR="005A34D2" w:rsidRPr="00EB4728">
        <w:rPr>
          <w:rFonts w:ascii="Palatino Linotype" w:hAnsi="Palatino Linotype"/>
          <w:color w:val="000000" w:themeColor="text1"/>
        </w:rPr>
        <w:t>ta del Gobierno" el treinta</w:t>
      </w:r>
      <w:r w:rsidRPr="00EB4728">
        <w:rPr>
          <w:rFonts w:ascii="Palatino Linotype" w:hAnsi="Palatino Linotype"/>
          <w:color w:val="000000" w:themeColor="text1"/>
        </w:rPr>
        <w:t xml:space="preserve"> de mayo de 2017, que establece que las sanciones no graves </w:t>
      </w:r>
      <w:r w:rsidRPr="00EB4728">
        <w:rPr>
          <w:rFonts w:ascii="Palatino Linotype" w:hAnsi="Palatino Linotype"/>
          <w:b/>
          <w:color w:val="000000" w:themeColor="text1"/>
        </w:rPr>
        <w:t>NO SERÁN PÚBLICAS</w:t>
      </w:r>
      <w:r w:rsidRPr="00EB4728">
        <w:rPr>
          <w:rFonts w:ascii="Palatino Linotype" w:hAnsi="Palatino Linotype"/>
          <w:color w:val="000000" w:themeColor="text1"/>
        </w:rPr>
        <w:t xml:space="preserve">, toda vez que únicamente es de interés para los </w:t>
      </w:r>
      <w:r w:rsidRPr="00EB4728">
        <w:rPr>
          <w:rFonts w:ascii="Palatino Linotype" w:hAnsi="Palatino Linotype"/>
          <w:b/>
          <w:color w:val="000000" w:themeColor="text1"/>
        </w:rPr>
        <w:t>Poderes Ejecutivo</w:t>
      </w:r>
      <w:r w:rsidRPr="00EB4728">
        <w:rPr>
          <w:rFonts w:ascii="Palatino Linotype" w:hAnsi="Palatino Linotype"/>
          <w:color w:val="000000" w:themeColor="text1"/>
        </w:rPr>
        <w:t xml:space="preserve">, Legislativo y Judicial, los Ayuntamiento, </w:t>
      </w:r>
      <w:r w:rsidRPr="00EB4728">
        <w:rPr>
          <w:rFonts w:ascii="Palatino Linotype" w:hAnsi="Palatino Linotype"/>
          <w:b/>
          <w:color w:val="000000" w:themeColor="text1"/>
        </w:rPr>
        <w:t>Organismos Auxiliares</w:t>
      </w:r>
      <w:r w:rsidRPr="00EB4728">
        <w:rPr>
          <w:rFonts w:ascii="Palatino Linotype" w:hAnsi="Palatino Linotype"/>
          <w:color w:val="000000" w:themeColor="text1"/>
        </w:rPr>
        <w:t>,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697C09" w:rsidRPr="00EB4728" w:rsidRDefault="00697C09" w:rsidP="00697C09">
      <w:pPr>
        <w:pStyle w:val="Prrafodelista"/>
        <w:spacing w:line="360" w:lineRule="auto"/>
        <w:ind w:left="0"/>
        <w:jc w:val="both"/>
        <w:rPr>
          <w:rFonts w:ascii="Palatino Linotype" w:hAnsi="Palatino Linotype"/>
          <w:color w:val="000000" w:themeColor="text1"/>
        </w:rPr>
      </w:pPr>
    </w:p>
    <w:p w:rsidR="00697C09" w:rsidRPr="00EB4728" w:rsidRDefault="00697C09" w:rsidP="005A34D2">
      <w:pPr>
        <w:ind w:left="567" w:right="618"/>
        <w:contextualSpacing/>
        <w:jc w:val="both"/>
        <w:rPr>
          <w:rFonts w:ascii="Palatino Linotype" w:hAnsi="Palatino Linotype"/>
          <w:i/>
          <w:color w:val="000000" w:themeColor="text1"/>
        </w:rPr>
      </w:pPr>
      <w:r w:rsidRPr="00EB4728">
        <w:rPr>
          <w:rFonts w:ascii="Palatino Linotype" w:hAnsi="Palatino Linotype"/>
          <w:i/>
          <w:color w:val="000000" w:themeColor="text1"/>
        </w:rPr>
        <w:t xml:space="preserve">“Artículo 53. </w:t>
      </w:r>
      <w:r w:rsidRPr="00EB4728">
        <w:rPr>
          <w:rFonts w:ascii="Palatino Linotype" w:hAnsi="Palatino Linotype"/>
          <w:b/>
          <w:i/>
          <w:color w:val="000000" w:themeColor="text1"/>
          <w:u w:val="single"/>
        </w:rPr>
        <w:t>Las sanciones impuestas por faltas administrativas graves serán del conocimiento público</w:t>
      </w:r>
      <w:r w:rsidRPr="00EB4728">
        <w:rPr>
          <w:rFonts w:ascii="Palatino Linotype" w:hAnsi="Palatino Linotype"/>
          <w:i/>
          <w:color w:val="000000" w:themeColor="text1"/>
        </w:rPr>
        <w:t xml:space="preserve"> cuando éstas contengan impedimentos o inhabilitaciones para ser contratados como servidores públicos o como prestadores de servicios o contratistas del sector público, en términos de la Ley de Responsabilidades Administrativas del Estado de México y Municipios.</w:t>
      </w:r>
    </w:p>
    <w:p w:rsidR="00697C09" w:rsidRPr="00EB4728" w:rsidRDefault="00697C09" w:rsidP="005A34D2">
      <w:pPr>
        <w:ind w:left="567" w:right="618"/>
        <w:contextualSpacing/>
        <w:jc w:val="both"/>
        <w:rPr>
          <w:rFonts w:ascii="Palatino Linotype" w:hAnsi="Palatino Linotype"/>
          <w:i/>
          <w:color w:val="000000" w:themeColor="text1"/>
        </w:rPr>
      </w:pPr>
    </w:p>
    <w:p w:rsidR="00697C09" w:rsidRPr="00EB4728" w:rsidRDefault="00697C09" w:rsidP="005A34D2">
      <w:pPr>
        <w:ind w:left="567" w:right="618"/>
        <w:contextualSpacing/>
        <w:jc w:val="both"/>
        <w:rPr>
          <w:rFonts w:ascii="Palatino Linotype" w:hAnsi="Palatino Linotype"/>
          <w:b/>
          <w:i/>
          <w:color w:val="000000" w:themeColor="text1"/>
        </w:rPr>
      </w:pPr>
      <w:r w:rsidRPr="00EB4728">
        <w:rPr>
          <w:rFonts w:ascii="Palatino Linotype" w:hAnsi="Palatino Linotype"/>
          <w:b/>
          <w:i/>
          <w:color w:val="000000" w:themeColor="text1"/>
        </w:rPr>
        <w:t xml:space="preserve">Los registros de las sanciones relativas a responsabilidades administrativas no graves, quedarán registradas para efectos de eventual reincidencia, </w:t>
      </w:r>
      <w:r w:rsidRPr="00EB4728">
        <w:rPr>
          <w:rFonts w:ascii="Palatino Linotype" w:hAnsi="Palatino Linotype"/>
          <w:b/>
          <w:i/>
          <w:color w:val="000000" w:themeColor="text1"/>
          <w:u w:val="single"/>
        </w:rPr>
        <w:t>pero no serán públicas</w:t>
      </w:r>
      <w:r w:rsidRPr="00EB4728">
        <w:rPr>
          <w:rFonts w:ascii="Palatino Linotype" w:hAnsi="Palatino Linotype"/>
          <w:b/>
          <w:i/>
          <w:color w:val="000000" w:themeColor="text1"/>
        </w:rPr>
        <w:t>.”</w:t>
      </w:r>
    </w:p>
    <w:p w:rsidR="00906F4E" w:rsidRPr="00EB4728" w:rsidRDefault="00906F4E" w:rsidP="005A34D2">
      <w:pPr>
        <w:ind w:left="567" w:right="618"/>
        <w:contextualSpacing/>
        <w:jc w:val="both"/>
        <w:rPr>
          <w:rFonts w:ascii="Palatino Linotype" w:hAnsi="Palatino Linotype"/>
          <w:b/>
          <w:i/>
          <w:color w:val="000000" w:themeColor="text1"/>
        </w:rPr>
      </w:pPr>
    </w:p>
    <w:p w:rsidR="00697C09" w:rsidRPr="00EB4728" w:rsidRDefault="00697C09" w:rsidP="00697C09">
      <w:pPr>
        <w:pStyle w:val="Prrafodelista"/>
        <w:numPr>
          <w:ilvl w:val="0"/>
          <w:numId w:val="1"/>
        </w:numPr>
        <w:spacing w:line="360" w:lineRule="auto"/>
        <w:ind w:left="0" w:firstLine="0"/>
        <w:jc w:val="both"/>
      </w:pPr>
      <w:r w:rsidRPr="00EB4728">
        <w:rPr>
          <w:rFonts w:ascii="Palatino Linotype" w:hAnsi="Palatino Linotype"/>
          <w:color w:val="000000" w:themeColor="text1"/>
        </w:rPr>
        <w:t xml:space="preserve">En ese sentido es importante, referir aquellas faltas que constituyan faltas administrativas </w:t>
      </w:r>
      <w:r w:rsidRPr="00EB4728">
        <w:rPr>
          <w:rFonts w:ascii="Palatino Linotype" w:hAnsi="Palatino Linotype" w:cs="Arial"/>
        </w:rPr>
        <w:t>graves</w:t>
      </w:r>
      <w:r w:rsidRPr="00EB4728">
        <w:rPr>
          <w:rFonts w:ascii="Palatino Linotype" w:hAnsi="Palatino Linotype"/>
          <w:color w:val="000000" w:themeColor="text1"/>
        </w:rPr>
        <w:t xml:space="preserve"> y no graves, como lo estipula la </w:t>
      </w:r>
      <w:r w:rsidRPr="00EB4728">
        <w:rPr>
          <w:rFonts w:ascii="Palatino Linotype" w:hAnsi="Palatino Linotype"/>
          <w:b/>
          <w:color w:val="000000" w:themeColor="text1"/>
        </w:rPr>
        <w:t>Ley de Responsabilidades Administrativas del Estado de México y Municipios</w:t>
      </w:r>
      <w:r w:rsidRPr="00EB4728">
        <w:rPr>
          <w:rFonts w:ascii="Palatino Linotype" w:hAnsi="Palatino Linotype"/>
          <w:color w:val="000000" w:themeColor="text1"/>
        </w:rPr>
        <w:t>, en el siguiente articulado:</w:t>
      </w:r>
    </w:p>
    <w:p w:rsidR="00697C09" w:rsidRPr="00EB4728" w:rsidRDefault="00697C09" w:rsidP="00697C09">
      <w:pPr>
        <w:tabs>
          <w:tab w:val="left" w:pos="0"/>
        </w:tabs>
        <w:spacing w:line="360" w:lineRule="auto"/>
        <w:ind w:right="49"/>
        <w:contextualSpacing/>
        <w:jc w:val="both"/>
        <w:rPr>
          <w:rFonts w:ascii="Palatino Linotype" w:hAnsi="Palatino Linotype"/>
          <w:color w:val="000000" w:themeColor="text1"/>
        </w:rPr>
      </w:pP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“Artículo 3. Para los efectos de la presente Ley, se entenderá por:</w:t>
      </w:r>
      <w:r w:rsidRPr="00EB4728">
        <w:rPr>
          <w:rFonts w:ascii="Palatino Linotype" w:hAnsi="Palatino Linotype"/>
          <w:i/>
        </w:rPr>
        <w:cr/>
        <w:t>...</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 xml:space="preserve">XIII. </w:t>
      </w:r>
      <w:r w:rsidRPr="00EB4728">
        <w:rPr>
          <w:rFonts w:ascii="Palatino Linotype" w:hAnsi="Palatino Linotype"/>
          <w:b/>
          <w:i/>
        </w:rPr>
        <w:t>Falta administrativa no grave</w:t>
      </w:r>
      <w:r w:rsidRPr="00EB4728">
        <w:rPr>
          <w:rFonts w:ascii="Palatino Linotype" w:hAnsi="Palatino Linotype"/>
          <w:i/>
        </w:rPr>
        <w:t>: A las faltas administrativas de los servidores públicos en los términos de la presente Ley, cuya imposición de la sanción corresponde a la Secretaría de la Contraloría del Estado de México y a los órganos internos de control.</w:t>
      </w:r>
    </w:p>
    <w:p w:rsidR="00697C09" w:rsidRPr="00EB4728" w:rsidRDefault="00697C09" w:rsidP="005A34D2">
      <w:pPr>
        <w:ind w:left="567" w:right="425"/>
        <w:contextualSpacing/>
        <w:jc w:val="both"/>
        <w:rPr>
          <w:rFonts w:ascii="Palatino Linotype" w:hAnsi="Palatino Linotype"/>
          <w:i/>
        </w:rPr>
      </w:pP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 xml:space="preserve">XIV. </w:t>
      </w:r>
      <w:r w:rsidRPr="00EB4728">
        <w:rPr>
          <w:rFonts w:ascii="Palatino Linotype" w:hAnsi="Palatino Linotype"/>
          <w:b/>
          <w:i/>
        </w:rPr>
        <w:t>Falta administrativa grave</w:t>
      </w:r>
      <w:r w:rsidRPr="00EB4728">
        <w:rPr>
          <w:rFonts w:ascii="Palatino Linotype" w:hAnsi="Palatino Linotype"/>
          <w:i/>
        </w:rPr>
        <w:t xml:space="preserve">: </w:t>
      </w:r>
      <w:r w:rsidRPr="00EB4728">
        <w:rPr>
          <w:rFonts w:ascii="Palatino Linotype" w:hAnsi="Palatino Linotype"/>
          <w:b/>
          <w:i/>
        </w:rPr>
        <w:t>A las faltas administrativas de los servidores públicos catalogadas como graves en los términos de la presente Ley, cuya sanción corresponde al Tribunal de Justicia Administrativa del Estado de México.</w:t>
      </w:r>
      <w:r w:rsidRPr="00EB4728">
        <w:rPr>
          <w:rFonts w:ascii="Palatino Linotype" w:hAnsi="Palatino Linotype"/>
          <w:b/>
          <w:i/>
        </w:rPr>
        <w:cr/>
      </w:r>
      <w:r w:rsidRPr="00EB4728">
        <w:rPr>
          <w:rFonts w:ascii="Palatino Linotype" w:hAnsi="Palatino Linotype"/>
          <w:i/>
        </w:rPr>
        <w:t>..."</w:t>
      </w:r>
    </w:p>
    <w:p w:rsidR="00697C09" w:rsidRPr="00EB4728" w:rsidRDefault="00697C09" w:rsidP="00697C09">
      <w:pPr>
        <w:spacing w:line="360" w:lineRule="auto"/>
        <w:ind w:left="567" w:right="425"/>
        <w:contextualSpacing/>
        <w:jc w:val="both"/>
        <w:rPr>
          <w:rFonts w:ascii="Palatino Linotype" w:hAnsi="Palatino Linotype"/>
          <w:i/>
        </w:rPr>
      </w:pP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 xml:space="preserve">Artículo 52. Para efectos de la presente Ley, </w:t>
      </w:r>
      <w:r w:rsidRPr="00EB4728">
        <w:rPr>
          <w:rFonts w:ascii="Palatino Linotype" w:hAnsi="Palatino Linotype"/>
          <w:b/>
          <w:i/>
        </w:rPr>
        <w:t>se consideran faltas administrativas graves de los servidores públicos</w:t>
      </w:r>
      <w:r w:rsidRPr="00EB4728">
        <w:rPr>
          <w:rFonts w:ascii="Palatino Linotype" w:hAnsi="Palatino Linotype"/>
          <w:i/>
        </w:rPr>
        <w:t>, mediante cualquier acto u omisión, las siguientes:</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I. El cohecho.</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II. El peculado.</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III. El desvío de recursos públicos.</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IV. La utilización indebida de información.</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V. El abuso de funciones.</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VI. Cometer o tolerar conductas de hostigamiento y acoso sexual.</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VII. El actuar bajo conflicto de interés.</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VIII. La contratación indebida.</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lastRenderedPageBreak/>
        <w:t>IX. El enriquecimiento oculto u ocultamiento de conflicto de interés.</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X. El tráfico de influencias.</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XI. El encubrimiento.</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XII. El desacato.</w:t>
      </w:r>
    </w:p>
    <w:p w:rsidR="00697C09" w:rsidRPr="00EB4728" w:rsidRDefault="00697C09" w:rsidP="005A34D2">
      <w:pPr>
        <w:ind w:left="567" w:right="425"/>
        <w:contextualSpacing/>
        <w:jc w:val="both"/>
        <w:rPr>
          <w:rFonts w:ascii="Palatino Linotype" w:hAnsi="Palatino Linotype"/>
          <w:i/>
        </w:rPr>
      </w:pPr>
      <w:r w:rsidRPr="00EB4728">
        <w:rPr>
          <w:rFonts w:ascii="Palatino Linotype" w:hAnsi="Palatino Linotype"/>
          <w:i/>
        </w:rPr>
        <w:t>XIII. La obstrucción de la Justicia.”</w:t>
      </w:r>
    </w:p>
    <w:p w:rsidR="00697C09" w:rsidRPr="00EB4728" w:rsidRDefault="00697C09" w:rsidP="00697C09">
      <w:pPr>
        <w:spacing w:line="360" w:lineRule="auto"/>
        <w:ind w:left="567" w:right="425"/>
        <w:contextualSpacing/>
        <w:jc w:val="both"/>
        <w:rPr>
          <w:rFonts w:ascii="Palatino Linotype" w:hAnsi="Palatino Linotype"/>
        </w:rPr>
      </w:pPr>
      <w:r w:rsidRPr="00EB4728">
        <w:rPr>
          <w:rFonts w:ascii="Palatino Linotype" w:hAnsi="Palatino Linotype"/>
        </w:rPr>
        <w:t>Énfasis añadido</w:t>
      </w:r>
    </w:p>
    <w:p w:rsidR="00697C09" w:rsidRPr="00EB4728" w:rsidRDefault="00697C09" w:rsidP="00697C09">
      <w:pPr>
        <w:spacing w:line="360" w:lineRule="auto"/>
        <w:ind w:left="567" w:right="425"/>
        <w:contextualSpacing/>
        <w:jc w:val="both"/>
        <w:rPr>
          <w:rFonts w:ascii="Palatino Linotype" w:hAnsi="Palatino Linotype"/>
        </w:rPr>
      </w:pPr>
    </w:p>
    <w:p w:rsidR="00806C6B" w:rsidRPr="00EB4728" w:rsidRDefault="00697C09" w:rsidP="00697C09">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En ese sentido la ley es clara al hablar de </w:t>
      </w:r>
      <w:r w:rsidRPr="00EB4728">
        <w:rPr>
          <w:rFonts w:ascii="Palatino Linotype" w:hAnsi="Palatino Linotype"/>
          <w:b/>
          <w:u w:val="single"/>
        </w:rPr>
        <w:t>sanciones impuestas</w:t>
      </w:r>
      <w:r w:rsidRPr="00EB4728">
        <w:rPr>
          <w:rFonts w:ascii="Palatino Linotype" w:hAnsi="Palatino Linotype"/>
        </w:rPr>
        <w:t xml:space="preserve">, por lo que, de ser el caso de que aún no haya sido impuesta una sanción por encontrarse en trámite resulta indudable que </w:t>
      </w:r>
      <w:r w:rsidR="005A34D2" w:rsidRPr="00EB4728">
        <w:rPr>
          <w:rFonts w:ascii="Palatino Linotype" w:hAnsi="Palatino Linotype"/>
        </w:rPr>
        <w:t xml:space="preserve">no se actualiza el supuesto planteado y el </w:t>
      </w:r>
      <w:r w:rsidR="005A34D2" w:rsidRPr="00EB4728">
        <w:rPr>
          <w:rFonts w:ascii="Palatino Linotype" w:hAnsi="Palatino Linotype"/>
          <w:b/>
        </w:rPr>
        <w:t>SUEJTO OBLIGADO</w:t>
      </w:r>
      <w:r w:rsidR="005A34D2" w:rsidRPr="00EB4728">
        <w:rPr>
          <w:rFonts w:ascii="Palatino Linotype" w:hAnsi="Palatino Linotype"/>
        </w:rPr>
        <w:t xml:space="preserve"> continua siendo incompetente para emitir un pronunciamiento al respecto.</w:t>
      </w:r>
    </w:p>
    <w:p w:rsidR="00806C6B" w:rsidRPr="00EB4728" w:rsidRDefault="00806C6B" w:rsidP="00697C09">
      <w:pPr>
        <w:spacing w:line="360" w:lineRule="auto"/>
        <w:contextualSpacing/>
        <w:jc w:val="both"/>
        <w:rPr>
          <w:rFonts w:ascii="Palatino Linotype" w:hAnsi="Palatino Linotype"/>
        </w:rPr>
      </w:pPr>
    </w:p>
    <w:p w:rsidR="00012B2E" w:rsidRPr="00EB4728" w:rsidRDefault="005A34D2" w:rsidP="00FE5065">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Por lo anteriormente expuesto y fundado, se concluye dable </w:t>
      </w:r>
      <w:r w:rsidR="000C6D4A" w:rsidRPr="00EB4728">
        <w:rPr>
          <w:rFonts w:ascii="Palatino Linotype" w:hAnsi="Palatino Linotype"/>
        </w:rPr>
        <w:t>modificar la respuesta recaída a la</w:t>
      </w:r>
      <w:r w:rsidR="00FE5065" w:rsidRPr="00EB4728">
        <w:rPr>
          <w:rFonts w:ascii="Palatino Linotype" w:hAnsi="Palatino Linotype"/>
        </w:rPr>
        <w:t>s</w:t>
      </w:r>
      <w:r w:rsidR="000C6D4A" w:rsidRPr="00EB4728">
        <w:rPr>
          <w:rFonts w:ascii="Palatino Linotype" w:hAnsi="Palatino Linotype"/>
        </w:rPr>
        <w:t xml:space="preserve"> solicitud</w:t>
      </w:r>
      <w:r w:rsidR="00FE5065" w:rsidRPr="00EB4728">
        <w:rPr>
          <w:rFonts w:ascii="Palatino Linotype" w:hAnsi="Palatino Linotype"/>
        </w:rPr>
        <w:t>es</w:t>
      </w:r>
      <w:r w:rsidR="000C6D4A" w:rsidRPr="00EB4728">
        <w:rPr>
          <w:rFonts w:ascii="Palatino Linotype" w:hAnsi="Palatino Linotype"/>
        </w:rPr>
        <w:t xml:space="preserve"> de información </w:t>
      </w:r>
      <w:r w:rsidR="00FE5065" w:rsidRPr="00EB4728">
        <w:rPr>
          <w:rFonts w:ascii="Palatino Linotype" w:hAnsi="Palatino Linotype"/>
        </w:rPr>
        <w:t xml:space="preserve">de referencia y </w:t>
      </w:r>
      <w:r w:rsidRPr="00EB4728">
        <w:rPr>
          <w:rFonts w:ascii="Palatino Linotype" w:hAnsi="Palatino Linotype"/>
        </w:rPr>
        <w:t xml:space="preserve">ordenar al </w:t>
      </w:r>
      <w:r w:rsidRPr="00EB4728">
        <w:rPr>
          <w:rFonts w:ascii="Palatino Linotype" w:hAnsi="Palatino Linotype"/>
          <w:b/>
        </w:rPr>
        <w:t>SUJETO OBLIGADO</w:t>
      </w:r>
      <w:r w:rsidRPr="00EB4728">
        <w:rPr>
          <w:rFonts w:ascii="Palatino Linotype" w:hAnsi="Palatino Linotype"/>
        </w:rPr>
        <w:t xml:space="preserve"> a que entregue el siguiente soporte documental</w:t>
      </w:r>
      <w:r w:rsidR="00FE5065" w:rsidRPr="00EB4728">
        <w:rPr>
          <w:rFonts w:ascii="Palatino Linotype" w:hAnsi="Palatino Linotype"/>
        </w:rPr>
        <w:t xml:space="preserve"> requerido</w:t>
      </w:r>
      <w:r w:rsidRPr="00EB4728">
        <w:rPr>
          <w:rFonts w:ascii="Palatino Linotype" w:hAnsi="Palatino Linotype"/>
        </w:rPr>
        <w:t>, de ser el caso en versión pública.</w:t>
      </w:r>
      <w:r w:rsidR="00FE5065" w:rsidRPr="00EB4728">
        <w:rPr>
          <w:rFonts w:ascii="Palatino Linotype" w:hAnsi="Palatino Linotype"/>
        </w:rPr>
        <w:t xml:space="preserve"> </w:t>
      </w:r>
    </w:p>
    <w:p w:rsidR="00FE5065" w:rsidRPr="00EB4728" w:rsidRDefault="00FE5065" w:rsidP="00FE5065">
      <w:pPr>
        <w:pStyle w:val="Prrafodelista"/>
        <w:rPr>
          <w:rFonts w:ascii="Palatino Linotype" w:hAnsi="Palatino Linotype"/>
        </w:rPr>
      </w:pPr>
    </w:p>
    <w:p w:rsidR="00EE1AF3" w:rsidRPr="00EB4728" w:rsidRDefault="00EE1AF3" w:rsidP="00EE1AF3">
      <w:pPr>
        <w:numPr>
          <w:ilvl w:val="0"/>
          <w:numId w:val="1"/>
        </w:numPr>
        <w:spacing w:line="360" w:lineRule="auto"/>
        <w:ind w:left="0" w:firstLine="0"/>
        <w:contextualSpacing/>
        <w:jc w:val="both"/>
        <w:rPr>
          <w:rFonts w:ascii="Palatino Linotype" w:eastAsia="Calibri" w:hAnsi="Palatino Linotype"/>
        </w:rPr>
      </w:pPr>
      <w:r w:rsidRPr="00EB4728">
        <w:rPr>
          <w:rFonts w:ascii="Palatino Linotype" w:eastAsia="Calibri" w:hAnsi="Palatino Linotype"/>
        </w:rPr>
        <w:t xml:space="preserve">Por otro lado, no sobra mencionar que las faltas de carácter grave los artículos 3 y 4 de la Ley Orgánica del Tribunal de Justicia Administrativa del Estado de México, establecen a ese organismo jurisdiccional en un órgano autónomo e independiente de cualquier autoridad y dotado de plena jurisdicción para emitir y hacer cumplir sus resoluciones; y como el competente para dirimir las controversias de carácter administrativo y fiscal que se susciten entre la Administración Pública del Estado, municipios, </w:t>
      </w:r>
      <w:r w:rsidRPr="00EB4728">
        <w:rPr>
          <w:rFonts w:ascii="Palatino Linotype" w:eastAsia="Calibri" w:hAnsi="Palatino Linotype"/>
          <w:b/>
        </w:rPr>
        <w:t>organismos auxiliares</w:t>
      </w:r>
      <w:r w:rsidRPr="00EB4728">
        <w:rPr>
          <w:rFonts w:ascii="Palatino Linotype" w:eastAsia="Calibri" w:hAnsi="Palatino Linotype"/>
        </w:rPr>
        <w:t xml:space="preserve"> con funciones de autoridad y los particulares; </w:t>
      </w:r>
      <w:r w:rsidRPr="00EB4728">
        <w:rPr>
          <w:rFonts w:ascii="Palatino Linotype" w:eastAsia="Calibri" w:hAnsi="Palatino Linotype"/>
          <w:b/>
        </w:rPr>
        <w:t xml:space="preserve">así como para resolver los procedimientos por responsabilidades </w:t>
      </w:r>
      <w:r w:rsidRPr="00EB4728">
        <w:rPr>
          <w:rFonts w:ascii="Palatino Linotype" w:eastAsia="Calibri" w:hAnsi="Palatino Linotype"/>
          <w:b/>
        </w:rPr>
        <w:lastRenderedPageBreak/>
        <w:t>administrativas graves de servidores públicos</w:t>
      </w:r>
      <w:r w:rsidRPr="00EB4728">
        <w:rPr>
          <w:rFonts w:ascii="Palatino Linotype" w:eastAsia="Calibri" w:hAnsi="Palatino Linotype"/>
        </w:rPr>
        <w:t xml:space="preserve"> y particulares en términos de la Ley de Responsabilidades Administrativas de</w:t>
      </w:r>
      <w:r w:rsidR="00FE5065" w:rsidRPr="00EB4728">
        <w:rPr>
          <w:rFonts w:ascii="Palatino Linotype" w:eastAsia="Calibri" w:hAnsi="Palatino Linotype"/>
        </w:rPr>
        <w:t>l Estado de México y Municipios.</w:t>
      </w:r>
    </w:p>
    <w:p w:rsidR="00F9040F" w:rsidRPr="00EB4728" w:rsidRDefault="00F9040F" w:rsidP="00F9040F">
      <w:pPr>
        <w:pStyle w:val="Prrafodelista"/>
        <w:rPr>
          <w:rFonts w:ascii="Palatino Linotype" w:eastAsia="Calibri" w:hAnsi="Palatino Linotype"/>
        </w:rPr>
      </w:pPr>
    </w:p>
    <w:p w:rsidR="00F9040F" w:rsidRPr="00EB4728" w:rsidRDefault="00F9040F" w:rsidP="00F9040F">
      <w:pPr>
        <w:numPr>
          <w:ilvl w:val="0"/>
          <w:numId w:val="1"/>
        </w:numPr>
        <w:spacing w:line="360" w:lineRule="auto"/>
        <w:ind w:left="0" w:firstLine="0"/>
        <w:contextualSpacing/>
        <w:jc w:val="both"/>
        <w:rPr>
          <w:rFonts w:ascii="Palatino Linotype" w:hAnsi="Palatino Linotype"/>
        </w:rPr>
      </w:pPr>
      <w:r w:rsidRPr="00EB4728">
        <w:rPr>
          <w:rFonts w:ascii="Palatino Linotype" w:eastAsia="Calibri" w:hAnsi="Palatino Linotype"/>
        </w:rPr>
        <w:t xml:space="preserve">Mención aparte, merece también las resoluciones absolutorias, </w:t>
      </w:r>
      <w:r w:rsidRPr="00EB4728">
        <w:rPr>
          <w:rFonts w:ascii="Palatino Linotype" w:hAnsi="Palatino Linotype"/>
        </w:rPr>
        <w:t xml:space="preserve">toda vez que las determinaciones en donde la conducta investigada no fue contraria en derecho; en las que se logra apreciar los elementos y las circunstancias que llevaron a concluir que a los servidores públicos, no le eran imputables las conductas que se le atribuían, permite la rendición de cuentas del servidor público, pues se podría observar, que dicho servidor público, ha cumplido con sus obligaciones y no ha cometido actos irregulares y ha actuado conforme a las normatividad aplicable. </w:t>
      </w:r>
    </w:p>
    <w:p w:rsidR="00F9040F" w:rsidRPr="00EB4728" w:rsidRDefault="00F9040F" w:rsidP="00F9040F">
      <w:pPr>
        <w:pStyle w:val="NormalWeb"/>
        <w:spacing w:before="0" w:beforeAutospacing="0" w:after="0" w:afterAutospacing="0" w:line="360" w:lineRule="auto"/>
        <w:ind w:left="567"/>
        <w:jc w:val="both"/>
        <w:rPr>
          <w:rFonts w:ascii="Palatino Linotype" w:hAnsi="Palatino Linotype"/>
        </w:rPr>
      </w:pPr>
    </w:p>
    <w:p w:rsidR="00F9040F" w:rsidRPr="00EB4728" w:rsidRDefault="00F9040F" w:rsidP="00F9040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Además, proporcionar dicha información, no genera una afectación a su honor, intimidad o </w:t>
      </w:r>
      <w:r w:rsidRPr="00EB4728">
        <w:rPr>
          <w:rFonts w:ascii="Palatino Linotype" w:eastAsia="Calibri" w:hAnsi="Palatino Linotype"/>
        </w:rPr>
        <w:t>buena</w:t>
      </w:r>
      <w:r w:rsidRPr="00EB4728">
        <w:rPr>
          <w:rFonts w:ascii="Palatino Linotype" w:hAnsi="Palatino Linotype"/>
        </w:rPr>
        <w:t xml:space="preserve"> imagen, pues contrario a esto, a través de la resolución, es posible conocer que la actuación del  servidor público, fue apegada a la normatividad aplicable, esto es, que ha ejercido su cargo, de manera honesta, responsable y conforme a lo establecido en las diversas disposiciones. </w:t>
      </w:r>
    </w:p>
    <w:p w:rsidR="00F9040F" w:rsidRPr="00EB4728" w:rsidRDefault="00F9040F" w:rsidP="00F9040F">
      <w:pPr>
        <w:pStyle w:val="NormalWeb"/>
        <w:spacing w:before="0" w:beforeAutospacing="0" w:after="0" w:afterAutospacing="0" w:line="360" w:lineRule="auto"/>
        <w:ind w:left="567"/>
        <w:jc w:val="both"/>
        <w:rPr>
          <w:rFonts w:ascii="Palatino Linotype" w:hAnsi="Palatino Linotype"/>
        </w:rPr>
      </w:pPr>
    </w:p>
    <w:p w:rsidR="00F9040F" w:rsidRPr="00EB4728" w:rsidRDefault="00F9040F" w:rsidP="00F9040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En ese orden de ideas, dar a conocer la información relativa a las resoluciones absolutorias por responsabilidades administrativas graves, esto es, </w:t>
      </w:r>
      <w:r w:rsidRPr="00EB4728">
        <w:rPr>
          <w:rFonts w:ascii="Palatino Linotype" w:hAnsi="Palatino Linotype"/>
          <w:b/>
        </w:rPr>
        <w:t>que no hayan decretado alguna responsabilidad o culpabilidad</w:t>
      </w:r>
      <w:r w:rsidRPr="00EB4728">
        <w:rPr>
          <w:rFonts w:ascii="Palatino Linotype" w:hAnsi="Palatino Linotype"/>
        </w:rPr>
        <w:t xml:space="preserve">, en caso de su existencia, en relación con un servidor público no implica una vulneración a su honor o intimidad, ya que dichos procedimientos determinan la falta de elementos para sancionarlo. </w:t>
      </w:r>
    </w:p>
    <w:p w:rsidR="00F9040F" w:rsidRPr="00EB4728" w:rsidRDefault="00F9040F" w:rsidP="00F9040F">
      <w:pPr>
        <w:pStyle w:val="NormalWeb"/>
        <w:spacing w:before="0" w:beforeAutospacing="0" w:after="0" w:afterAutospacing="0" w:line="360" w:lineRule="auto"/>
        <w:ind w:left="567"/>
        <w:jc w:val="both"/>
        <w:rPr>
          <w:rFonts w:ascii="Palatino Linotype" w:hAnsi="Palatino Linotype"/>
        </w:rPr>
      </w:pPr>
    </w:p>
    <w:p w:rsidR="00F9040F" w:rsidRPr="00EB4728" w:rsidRDefault="00F9040F" w:rsidP="00F9040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lastRenderedPageBreak/>
        <w:t xml:space="preserve">Lo anterior de conformidad con la jurisprudencia con el rubro </w:t>
      </w:r>
      <w:r w:rsidRPr="00EB4728">
        <w:rPr>
          <w:rFonts w:ascii="Palatino Linotype" w:hAnsi="Palatino Linotype"/>
          <w:b/>
        </w:rPr>
        <w:t xml:space="preserve">LIBERTAD DE </w:t>
      </w:r>
      <w:r w:rsidRPr="00EB4728">
        <w:rPr>
          <w:rFonts w:ascii="Palatino Linotype" w:hAnsi="Palatino Linotype"/>
        </w:rPr>
        <w:t>EXPRESIÓN</w:t>
      </w:r>
      <w:r w:rsidRPr="00EB4728">
        <w:rPr>
          <w:rFonts w:ascii="Palatino Linotype" w:hAnsi="Palatino Linotype"/>
          <w:b/>
        </w:rPr>
        <w:t xml:space="preserve"> Y DERECHO AL HONOR. EXPRESIONES QUE SE ENCUENTRAN PROTEGIDAS CONSTITUCIONALMENTE</w:t>
      </w:r>
      <w:r w:rsidRPr="00EB4728">
        <w:rPr>
          <w:rFonts w:ascii="Palatino Linotype" w:hAnsi="Palatino Linotype"/>
        </w:rPr>
        <w:t xml:space="preserve">, de la que se desprende que la Suprema Corte de Justicia de la Nación, considera que existe una presunción general de cobertura constitucional de todo discurso expresivo cuando las ideas expresadas tienen por objeto exteriorizar un sentir positivo o favorable hacia una persona, por lo que resulta indiscutible que no habría una intromisión al derecho al honor de la persona sobre la cual se vierten ideas u opiniones cuando son de esa naturaleza. Asimismo, prevé que el estándar de constitucionalidad de las opiniones emitidas en ejercicio de la libertad de expresión es el de relevancia pública, el cual depende del interés general por la materia y por las personas que en ella intervienen, cuando las noticias comunicadas o las expresiones proferidas redunden en descrédito del afectado, pues en caso contrario ni siquiera existiría un conflicto entre derechos fundamentales, al no observarse una intromisión al derecho al honor. </w:t>
      </w:r>
    </w:p>
    <w:p w:rsidR="00F9040F" w:rsidRPr="00EB4728" w:rsidRDefault="00F9040F" w:rsidP="00F9040F">
      <w:pPr>
        <w:pStyle w:val="NormalWeb"/>
        <w:spacing w:before="0" w:beforeAutospacing="0" w:after="0" w:afterAutospacing="0" w:line="360" w:lineRule="auto"/>
        <w:ind w:left="357"/>
        <w:jc w:val="both"/>
        <w:rPr>
          <w:rFonts w:ascii="Palatino Linotype" w:hAnsi="Palatino Linotype"/>
        </w:rPr>
      </w:pPr>
    </w:p>
    <w:p w:rsidR="00F9040F" w:rsidRPr="00EB4728" w:rsidRDefault="00F9040F" w:rsidP="00F9040F">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Por otro lado, en la tesis aislada con el rubro </w:t>
      </w:r>
      <w:r w:rsidRPr="00EB4728">
        <w:rPr>
          <w:rFonts w:ascii="Palatino Linotype" w:hAnsi="Palatino Linotype"/>
          <w:b/>
        </w:rPr>
        <w:t>DERECHO A SER INFORMADO Y DERECHO AL HONOR. ESTÁNDAR PARA DETERMINAR SU PREVALENCIA</w:t>
      </w:r>
      <w:r w:rsidRPr="00EB4728">
        <w:rPr>
          <w:rFonts w:ascii="Palatino Linotype" w:hAnsi="Palatino Linotype"/>
        </w:rPr>
        <w:t xml:space="preserve">, la Suprema Corte de Justicia de la Nación ha señalado que el derecho a la información no es absoluto, pues si bien el Estado tiene la obligación de informar a la población sobre temas de relevancia pública, también debe proteger y garantizar el derecho al honor a la reputación de las personas; por lo que, para que la autoridad pueda difundir ciertos datos, debe cerciorarse que los mismos sean de relevancia pública o interés general, o bien, versen sobre personas con un impacto público o social. Además, la información debe constituir una certera aproximación </w:t>
      </w:r>
      <w:r w:rsidRPr="00EB4728">
        <w:rPr>
          <w:rFonts w:ascii="Palatino Linotype" w:hAnsi="Palatino Linotype"/>
        </w:rPr>
        <w:lastRenderedPageBreak/>
        <w:t xml:space="preserve">a la realidad, lo cual puede derivar de que la autoridad emisora de la información la obtenga de investigaciones, informes o estadísticas propios o de otras autoridades, así como, de hechos notorios para la sociedad. Finalmente, debe carecer de toda intervención de juicios o valoraciones subjetivas que no tengan como fin informar a la sociedad, sino que pretendan establecer una postura, opinión o crítica hacia la persona. </w:t>
      </w:r>
    </w:p>
    <w:p w:rsidR="00F9040F" w:rsidRPr="00EB4728" w:rsidRDefault="00F9040F" w:rsidP="00F9040F">
      <w:pPr>
        <w:pStyle w:val="NormalWeb"/>
        <w:spacing w:before="0" w:beforeAutospacing="0" w:after="0" w:afterAutospacing="0" w:line="360" w:lineRule="auto"/>
        <w:jc w:val="both"/>
        <w:rPr>
          <w:rFonts w:ascii="Palatino Linotype" w:hAnsi="Palatino Linotype"/>
        </w:rPr>
      </w:pPr>
    </w:p>
    <w:p w:rsidR="00F9040F" w:rsidRPr="00EB4728" w:rsidRDefault="00F9040F" w:rsidP="00F9040F">
      <w:pPr>
        <w:numPr>
          <w:ilvl w:val="0"/>
          <w:numId w:val="1"/>
        </w:numPr>
        <w:spacing w:line="360" w:lineRule="auto"/>
        <w:ind w:left="0" w:firstLine="0"/>
        <w:contextualSpacing/>
        <w:jc w:val="both"/>
        <w:rPr>
          <w:rFonts w:ascii="Palatino Linotype" w:eastAsia="Calibri" w:hAnsi="Palatino Linotype" w:cs="Arial"/>
        </w:rPr>
      </w:pPr>
      <w:r w:rsidRPr="00EB4728">
        <w:rPr>
          <w:rFonts w:ascii="Palatino Linotype" w:hAnsi="Palatino Linotype"/>
        </w:rPr>
        <w:t xml:space="preserve">Así, la información, trata sobre las actuaciones realizadas por un servidor público en ejercicio de sus funciones, las cuales no derivaron en alguna responsabilidad, además que transparenta la gestión pública y la rendición de cuentas de este, pues da a conocer que se ha conducido conforme a Derecho, es decir, de conformidad a sus objetivos, atribuciones y obligaciones. </w:t>
      </w:r>
    </w:p>
    <w:p w:rsidR="00F9040F" w:rsidRPr="00EB4728" w:rsidRDefault="00F9040F" w:rsidP="00F9040F">
      <w:pPr>
        <w:pStyle w:val="Prrafodelista"/>
        <w:spacing w:line="360" w:lineRule="auto"/>
        <w:ind w:left="567"/>
        <w:jc w:val="both"/>
        <w:rPr>
          <w:rFonts w:ascii="Palatino Linotype" w:eastAsia="Calibri" w:hAnsi="Palatino Linotype" w:cs="Arial"/>
        </w:rPr>
      </w:pPr>
    </w:p>
    <w:p w:rsidR="00802DDE" w:rsidRPr="00EB4728" w:rsidRDefault="00F9040F" w:rsidP="006D5738">
      <w:pPr>
        <w:numPr>
          <w:ilvl w:val="0"/>
          <w:numId w:val="1"/>
        </w:numPr>
        <w:spacing w:line="360" w:lineRule="auto"/>
        <w:ind w:left="0" w:firstLine="0"/>
        <w:contextualSpacing/>
        <w:jc w:val="both"/>
        <w:rPr>
          <w:rFonts w:ascii="Palatino Linotype" w:hAnsi="Palatino Linotype"/>
        </w:rPr>
      </w:pPr>
      <w:r w:rsidRPr="00EB4728">
        <w:rPr>
          <w:rFonts w:ascii="Palatino Linotype" w:hAnsi="Palatino Linotype"/>
        </w:rPr>
        <w:t xml:space="preserve">Por lo anterior, dar a conocer las resoluciones absolutorias,  derivadas de procedimientos de responsabilidades administrativas graves, no actualiza la causal de clasificación prevista en el artículo 143, fracción I de la Ley de Transparencia y Acceso a la Información Pública del Estado de México y Municipios, pues como se precisó dicha información no afecta, su </w:t>
      </w:r>
      <w:r w:rsidR="003E4972" w:rsidRPr="00EB4728">
        <w:rPr>
          <w:rFonts w:ascii="Palatino Linotype" w:hAnsi="Palatino Linotype"/>
        </w:rPr>
        <w:t>intimidad, honor y buen nombre, c</w:t>
      </w:r>
      <w:r w:rsidR="00802DDE" w:rsidRPr="00EB4728">
        <w:rPr>
          <w:rFonts w:ascii="Palatino Linotype" w:hAnsi="Palatino Linotype"/>
        </w:rPr>
        <w:t xml:space="preserve">aso contrario ocurre con aquellos que se encuentren en </w:t>
      </w:r>
      <w:r w:rsidR="003E4972" w:rsidRPr="00EB4728">
        <w:rPr>
          <w:rFonts w:ascii="Palatino Linotype" w:hAnsi="Palatino Linotype"/>
        </w:rPr>
        <w:t>trámite, como anteriormente se señaló.</w:t>
      </w:r>
    </w:p>
    <w:p w:rsidR="00F9040F" w:rsidRPr="00EB4728" w:rsidRDefault="00F9040F" w:rsidP="00F9040F">
      <w:pPr>
        <w:spacing w:line="360" w:lineRule="auto"/>
        <w:contextualSpacing/>
        <w:jc w:val="both"/>
        <w:rPr>
          <w:rFonts w:ascii="Palatino Linotype" w:eastAsia="Calibri" w:hAnsi="Palatino Linotype"/>
        </w:rPr>
      </w:pPr>
    </w:p>
    <w:p w:rsidR="004441D3" w:rsidRPr="00EB4728" w:rsidRDefault="004441D3" w:rsidP="00CC56DC">
      <w:pPr>
        <w:numPr>
          <w:ilvl w:val="0"/>
          <w:numId w:val="1"/>
        </w:numPr>
        <w:spacing w:line="360" w:lineRule="auto"/>
        <w:ind w:left="0" w:firstLine="0"/>
        <w:contextualSpacing/>
        <w:jc w:val="both"/>
        <w:rPr>
          <w:rFonts w:ascii="Palatino Linotype" w:eastAsia="Calibri" w:hAnsi="Palatino Linotype"/>
        </w:rPr>
      </w:pPr>
      <w:r w:rsidRPr="00EB4728">
        <w:rPr>
          <w:rFonts w:ascii="Palatino Linotype" w:eastAsia="Calibri" w:hAnsi="Palatino Linotype"/>
        </w:rPr>
        <w:t>Otro rubro que se declinó fue lo relativo a las carpetas y actas de entrega-recepción que haya participado el Titula</w:t>
      </w:r>
      <w:r w:rsidR="00CC56DC" w:rsidRPr="00EB4728">
        <w:rPr>
          <w:rFonts w:ascii="Palatino Linotype" w:eastAsia="Calibri" w:hAnsi="Palatino Linotype"/>
        </w:rPr>
        <w:t xml:space="preserve">r del Órgano Interno de Control, si bien dicha solicitud resulta ambigua pues de su lectura literal pareciera que se refiere al </w:t>
      </w:r>
      <w:r w:rsidR="00CC56DC" w:rsidRPr="00EB4728">
        <w:rPr>
          <w:rFonts w:ascii="Palatino Linotype" w:eastAsia="Calibri" w:hAnsi="Palatino Linotype"/>
        </w:rPr>
        <w:lastRenderedPageBreak/>
        <w:t xml:space="preserve">Comité de Adquisiciones, como se observa: </w:t>
      </w:r>
      <w:r w:rsidR="00CC56DC" w:rsidRPr="00EB4728">
        <w:rPr>
          <w:rFonts w:ascii="Palatino Linotype" w:eastAsia="Calibri" w:hAnsi="Palatino Linotype"/>
          <w:i/>
        </w:rPr>
        <w:t>“Copia completa e íntegra de las actas del Comité de Adquisiciones y Servicios en los que haya participado el titular del órgano interno de control en el año 2020, 2021 y 2022, así como copia de las carpetas de entrega y recepción de los procesos atendidos de los mismos años y sus respectivas actas de entrega."</w:t>
      </w:r>
    </w:p>
    <w:p w:rsidR="00CC56DC" w:rsidRPr="00EB4728" w:rsidRDefault="00CC56DC" w:rsidP="00CC56DC">
      <w:pPr>
        <w:pStyle w:val="Prrafodelista"/>
        <w:rPr>
          <w:rFonts w:ascii="Palatino Linotype" w:eastAsia="Calibri" w:hAnsi="Palatino Linotype"/>
        </w:rPr>
      </w:pPr>
    </w:p>
    <w:p w:rsidR="00CC56DC" w:rsidRPr="00EB4728" w:rsidRDefault="00CC56DC" w:rsidP="00CC56DC">
      <w:pPr>
        <w:numPr>
          <w:ilvl w:val="0"/>
          <w:numId w:val="1"/>
        </w:numPr>
        <w:spacing w:line="360" w:lineRule="auto"/>
        <w:ind w:left="0" w:firstLine="0"/>
        <w:contextualSpacing/>
        <w:jc w:val="both"/>
        <w:rPr>
          <w:rFonts w:ascii="Palatino Linotype" w:eastAsia="Calibri" w:hAnsi="Palatino Linotype"/>
        </w:rPr>
      </w:pPr>
      <w:r w:rsidRPr="00EB4728">
        <w:rPr>
          <w:rFonts w:ascii="Palatino Linotype" w:eastAsia="Calibri" w:hAnsi="Palatino Linotype"/>
        </w:rPr>
        <w:t>No obstante, ciertamente se logra concluir que las actas de entrega-recepción solicitadas son diversas del primer requerimiento</w:t>
      </w:r>
      <w:r w:rsidR="00513224" w:rsidRPr="00EB4728">
        <w:rPr>
          <w:rFonts w:ascii="Palatino Linotype" w:eastAsia="Calibri" w:hAnsi="Palatino Linotype"/>
        </w:rPr>
        <w:t xml:space="preserve"> de las Actas del Comité de Adquisiciones</w:t>
      </w:r>
      <w:r w:rsidRPr="00EB4728">
        <w:rPr>
          <w:rFonts w:ascii="Palatino Linotype" w:eastAsia="Calibri" w:hAnsi="Palatino Linotype"/>
        </w:rPr>
        <w:t xml:space="preserve">, mismo que no declinó el </w:t>
      </w:r>
      <w:r w:rsidRPr="00EB4728">
        <w:rPr>
          <w:rFonts w:ascii="Palatino Linotype" w:eastAsia="Calibri" w:hAnsi="Palatino Linotype"/>
          <w:b/>
        </w:rPr>
        <w:t>SUJETO OBLIGADO</w:t>
      </w:r>
      <w:r w:rsidRPr="00EB4728">
        <w:rPr>
          <w:rFonts w:ascii="Palatino Linotype" w:eastAsia="Calibri" w:hAnsi="Palatino Linotype"/>
        </w:rPr>
        <w:t xml:space="preserve"> y del cual entregó información por lo que esa parte se tuvo</w:t>
      </w:r>
      <w:r w:rsidR="00513224" w:rsidRPr="00EB4728">
        <w:rPr>
          <w:rFonts w:ascii="Palatino Linotype" w:eastAsia="Calibri" w:hAnsi="Palatino Linotype"/>
        </w:rPr>
        <w:t xml:space="preserve"> como un acto consentido.</w:t>
      </w:r>
    </w:p>
    <w:p w:rsidR="00C843B8" w:rsidRPr="00EB4728" w:rsidRDefault="00C843B8" w:rsidP="00C843B8">
      <w:pPr>
        <w:pStyle w:val="Prrafodelista"/>
        <w:rPr>
          <w:rFonts w:ascii="Palatino Linotype" w:eastAsia="Calibri" w:hAnsi="Palatino Linotype"/>
        </w:rPr>
      </w:pPr>
    </w:p>
    <w:p w:rsidR="00C843B8" w:rsidRPr="00EB4728" w:rsidRDefault="00802DDE" w:rsidP="00C843B8">
      <w:pPr>
        <w:pStyle w:val="Prrafodelista"/>
        <w:numPr>
          <w:ilvl w:val="0"/>
          <w:numId w:val="1"/>
        </w:numPr>
        <w:spacing w:line="360" w:lineRule="auto"/>
        <w:ind w:left="0" w:firstLine="0"/>
        <w:jc w:val="both"/>
        <w:rPr>
          <w:rFonts w:ascii="Palatino Linotype" w:eastAsia="Calibri" w:hAnsi="Palatino Linotype" w:cs="Arial"/>
          <w:lang w:eastAsia="es-MX"/>
        </w:rPr>
      </w:pPr>
      <w:r w:rsidRPr="00EB4728">
        <w:rPr>
          <w:rFonts w:ascii="Palatino Linotype" w:eastAsia="Calibri" w:hAnsi="Palatino Linotype" w:cs="Arial"/>
          <w:lang w:eastAsia="es-MX"/>
        </w:rPr>
        <w:t xml:space="preserve">Acotado lo anterior es dable mencionar, </w:t>
      </w:r>
      <w:r w:rsidR="00C843B8" w:rsidRPr="00EB4728">
        <w:rPr>
          <w:rFonts w:ascii="Palatino Linotype" w:eastAsia="Calibri" w:hAnsi="Palatino Linotype" w:cs="Arial"/>
          <w:lang w:eastAsia="es-MX"/>
        </w:rPr>
        <w:t>lo establecido por análoga en los artículos 3, 4, 10, 11,15 y 16 del Reglamento para la Entrega y Recepción de las Unidades Administrativas de la Administración Pública del Estado de México los cuales se transcriben a continuación:</w:t>
      </w:r>
    </w:p>
    <w:p w:rsidR="00C843B8" w:rsidRPr="00EB4728" w:rsidRDefault="00C843B8" w:rsidP="00C843B8">
      <w:pPr>
        <w:pStyle w:val="Prrafodelista"/>
        <w:spacing w:line="360" w:lineRule="auto"/>
        <w:ind w:left="0"/>
        <w:jc w:val="both"/>
        <w:rPr>
          <w:rFonts w:ascii="Palatino Linotype" w:eastAsia="Calibri" w:hAnsi="Palatino Linotype" w:cs="Arial"/>
          <w:lang w:eastAsia="es-MX"/>
        </w:rPr>
      </w:pPr>
    </w:p>
    <w:p w:rsidR="00C843B8" w:rsidRPr="00EB4728" w:rsidRDefault="00C843B8" w:rsidP="00C843B8">
      <w:pPr>
        <w:ind w:left="567" w:right="567"/>
        <w:jc w:val="both"/>
        <w:rPr>
          <w:rFonts w:ascii="Palatino Linotype" w:hAnsi="Palatino Linotype"/>
          <w:i/>
        </w:rPr>
      </w:pPr>
      <w:r w:rsidRPr="00EB4728">
        <w:rPr>
          <w:rFonts w:ascii="Palatino Linotype" w:hAnsi="Palatino Linotype"/>
          <w:b/>
          <w:i/>
        </w:rPr>
        <w:t>“Artículo 3.-</w:t>
      </w:r>
      <w:r w:rsidRPr="00EB4728">
        <w:rPr>
          <w:rFonts w:ascii="Palatino Linotype" w:hAnsi="Palatino Linotype"/>
          <w:i/>
        </w:rPr>
        <w:t xml:space="preserve"> </w:t>
      </w:r>
      <w:r w:rsidRPr="00EB4728">
        <w:rPr>
          <w:rFonts w:ascii="Palatino Linotype" w:hAnsi="Palatino Linotype"/>
          <w:i/>
          <w:u w:val="single"/>
        </w:rPr>
        <w:t>La Entrega y Recepción se realizará cuando un servidor público se separe de su empleo, cargo o comisión, por cualquier motivo, incluyendo licencias, suplencias, encargos o Término del Periodo Constitucional</w:t>
      </w:r>
      <w:r w:rsidRPr="00EB4728">
        <w:rPr>
          <w:rFonts w:ascii="Palatino Linotype" w:hAnsi="Palatino Linotype"/>
          <w:i/>
        </w:rPr>
        <w:t xml:space="preserve">.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rsidR="00C843B8" w:rsidRPr="00EB4728" w:rsidRDefault="00C843B8" w:rsidP="00C843B8">
      <w:pPr>
        <w:ind w:left="567" w:right="567"/>
        <w:jc w:val="both"/>
        <w:rPr>
          <w:rFonts w:ascii="Palatino Linotype" w:hAnsi="Palatino Linotype" w:cs="Arial"/>
          <w:i/>
        </w:rPr>
      </w:pPr>
    </w:p>
    <w:p w:rsidR="00C843B8" w:rsidRPr="00EB4728" w:rsidRDefault="00C843B8" w:rsidP="00C843B8">
      <w:pPr>
        <w:ind w:left="567" w:right="567"/>
        <w:jc w:val="both"/>
        <w:rPr>
          <w:rFonts w:ascii="Palatino Linotype" w:hAnsi="Palatino Linotype" w:cs="Arial"/>
          <w:i/>
          <w:u w:val="single"/>
        </w:rPr>
      </w:pPr>
      <w:r w:rsidRPr="00EB4728">
        <w:rPr>
          <w:rFonts w:ascii="Palatino Linotype" w:hAnsi="Palatino Linotype" w:cs="Arial"/>
          <w:b/>
          <w:i/>
        </w:rPr>
        <w:t>Artículo 4.</w:t>
      </w:r>
      <w:r w:rsidRPr="00EB4728">
        <w:rPr>
          <w:rFonts w:ascii="Palatino Linotype" w:hAnsi="Palatino Linotype" w:cs="Arial"/>
          <w:i/>
        </w:rPr>
        <w:t xml:space="preserve"> </w:t>
      </w:r>
      <w:r w:rsidRPr="00EB4728">
        <w:rPr>
          <w:rFonts w:ascii="Palatino Linotype" w:hAnsi="Palatino Linotype" w:cs="Arial"/>
          <w:i/>
          <w:u w:val="single"/>
        </w:rPr>
        <w:t>Son sujetos obligados a la Entrega y Recepción, los servidores públicos desde el Gobernador del Estado hasta Jefes de Departamento, así como sus equivalentes en los Organismos Auxiliares.</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lastRenderedPageBreak/>
        <w:t xml:space="preserve">Los titulares, suplentes o encargados de las Unidades Administrativas, desde el Gobernador hasta Jefes de Departamento, así como sus equivalentes en los Organismos Auxiliares, deberán entregar su oficina y las Unidades Administrativas a su cargo, conforme a lo establecido en el Manual. </w:t>
      </w:r>
    </w:p>
    <w:p w:rsidR="00C843B8" w:rsidRPr="00EB4728" w:rsidRDefault="00C843B8" w:rsidP="00C843B8">
      <w:pPr>
        <w:pStyle w:val="Prrafodelista"/>
        <w:ind w:left="567" w:right="567"/>
        <w:jc w:val="both"/>
        <w:rPr>
          <w:rFonts w:ascii="Palatino Linotype" w:hAnsi="Palatino Linotype"/>
          <w:i/>
        </w:rPr>
      </w:pPr>
      <w:r w:rsidRPr="00EB4728">
        <w:rPr>
          <w:rFonts w:ascii="Palatino Linotype" w:hAnsi="Palatino Linotype"/>
          <w:i/>
        </w:rPr>
        <w:t>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que considere de importancia, como sujetos obligados a la Entrega y Recepción, informando de ello, mediante oficio, a la Contraloría.</w:t>
      </w:r>
    </w:p>
    <w:p w:rsidR="00C843B8" w:rsidRPr="00EB4728" w:rsidRDefault="00C843B8" w:rsidP="00C843B8">
      <w:pPr>
        <w:pStyle w:val="Prrafodelista"/>
        <w:ind w:left="567" w:right="567"/>
        <w:jc w:val="both"/>
        <w:rPr>
          <w:rFonts w:ascii="Palatino Linotype" w:hAnsi="Palatino Linotype"/>
          <w:i/>
        </w:rPr>
      </w:pPr>
    </w:p>
    <w:p w:rsidR="00C843B8" w:rsidRPr="00EB4728" w:rsidRDefault="00C843B8" w:rsidP="00C843B8">
      <w:pPr>
        <w:ind w:left="567" w:right="567"/>
        <w:jc w:val="both"/>
        <w:rPr>
          <w:rFonts w:ascii="Palatino Linotype" w:hAnsi="Palatino Linotype"/>
          <w:i/>
        </w:rPr>
      </w:pPr>
      <w:r w:rsidRPr="00EB4728">
        <w:rPr>
          <w:rFonts w:ascii="Palatino Linotype" w:hAnsi="Palatino Linotype"/>
          <w:b/>
          <w:i/>
        </w:rPr>
        <w:t>Artículo 10</w:t>
      </w:r>
      <w:r w:rsidRPr="00EB4728">
        <w:rPr>
          <w:rFonts w:ascii="Palatino Linotype" w:hAnsi="Palatino Linotype"/>
          <w:i/>
        </w:rPr>
        <w:t xml:space="preserve">. La Entrega y Recepción deberá documentarse en un acta administrativa y sus anexos, en la que intervendrán los sujetos obligados, los testigos correspondientes, el representante del Órgano de Control Interno y, a falta de éste, el de la Contraloría.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El acta se firmará de manera autógrafa dentro de los cinco días hábiles siguientes, al día en que se presentó el supuesto conforme al artículo 3 del presente Reglamento.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Los anexos del acta serán firmados por quienes los elaboren y por el servidor público que entregue la Unidad Administrativa correspondiente.</w:t>
      </w:r>
    </w:p>
    <w:p w:rsidR="00C843B8" w:rsidRPr="00EB4728" w:rsidRDefault="00C843B8" w:rsidP="00C843B8">
      <w:pPr>
        <w:ind w:left="567" w:right="567"/>
        <w:jc w:val="both"/>
        <w:rPr>
          <w:rFonts w:ascii="Palatino Linotype" w:hAnsi="Palatino Linotype"/>
          <w:i/>
        </w:rPr>
      </w:pPr>
      <w:r w:rsidRPr="00EB4728">
        <w:rPr>
          <w:rFonts w:ascii="Palatino Linotype" w:hAnsi="Palatino Linotype"/>
          <w:b/>
          <w:i/>
        </w:rPr>
        <w:t>Artículo 11.</w:t>
      </w:r>
      <w:r w:rsidRPr="00EB4728">
        <w:rPr>
          <w:rFonts w:ascii="Palatino Linotype" w:hAnsi="Palatino Linotype"/>
          <w:i/>
        </w:rPr>
        <w:t xml:space="preserve"> El acta y sus anexos se elaborarán en original y dos copias; el original quedará bajo resguardo del servidor público que recibe; una copia será para quien entrega; y otra para el Órgano de Control Interno, y a falta de éste a la Contraloría.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Cuando el Órgano de Control Interno o la Contraloría no hubieren intervenido, la copia respectiva le será enviada por el servidor público que recibe, dentro de los cinco días hábiles siguientes al acto de Entrega y Recepción.</w:t>
      </w:r>
    </w:p>
    <w:p w:rsidR="00C843B8" w:rsidRPr="00EB4728" w:rsidRDefault="00C843B8" w:rsidP="00C843B8">
      <w:pPr>
        <w:ind w:left="567" w:right="567"/>
        <w:jc w:val="both"/>
        <w:rPr>
          <w:rFonts w:ascii="Palatino Linotype" w:hAnsi="Palatino Linotype"/>
          <w:i/>
        </w:rPr>
      </w:pPr>
      <w:r w:rsidRPr="00EB4728">
        <w:rPr>
          <w:rFonts w:ascii="Palatino Linotype" w:hAnsi="Palatino Linotype"/>
          <w:b/>
          <w:i/>
        </w:rPr>
        <w:t>Artículo 15</w:t>
      </w:r>
      <w:r w:rsidRPr="00EB4728">
        <w:rPr>
          <w:rFonts w:ascii="Palatino Linotype" w:hAnsi="Palatino Linotype"/>
          <w:i/>
        </w:rPr>
        <w:t xml:space="preserve">. El servidor público que recibe podrá solicitar por escrito aclaraciones o precisiones a quien le entregó, dentro de los treinta días hábiles siguientes al de la firma del acta. El servidor público que entregó tendrá la obligación de dar respuesta a las mismas en un plazo igual, contado a partir del requerimiento.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El servidor público que recibe debe proporcionar y permitir el acceso al servidor público que entregó, a los archivos que estuvieron a su cargo, cuando se le </w:t>
      </w:r>
      <w:r w:rsidRPr="00EB4728">
        <w:rPr>
          <w:rFonts w:ascii="Palatino Linotype" w:hAnsi="Palatino Linotype"/>
          <w:i/>
        </w:rPr>
        <w:lastRenderedPageBreak/>
        <w:t xml:space="preserve">requiera alguna aclaración o precisión sobre el contenido del acta, informes, anexos o demás Documentos de la Entrega y Recepción.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Lo dispuesto en este artículo, es sin perjuicio de la responsabilidad administrativa en que pudieron haber incurrido los servidores públicos.</w:t>
      </w:r>
    </w:p>
    <w:p w:rsidR="00C843B8" w:rsidRPr="00EB4728" w:rsidRDefault="00C843B8" w:rsidP="00C843B8">
      <w:pPr>
        <w:ind w:left="567" w:right="567"/>
        <w:jc w:val="both"/>
        <w:rPr>
          <w:rFonts w:ascii="Palatino Linotype" w:hAnsi="Palatino Linotype"/>
          <w:i/>
        </w:rPr>
      </w:pPr>
      <w:r w:rsidRPr="00EB4728">
        <w:rPr>
          <w:rFonts w:ascii="Palatino Linotype" w:hAnsi="Palatino Linotype"/>
          <w:b/>
          <w:i/>
        </w:rPr>
        <w:t>Artículo 16.</w:t>
      </w:r>
      <w:r w:rsidRPr="00EB4728">
        <w:rPr>
          <w:rFonts w:ascii="Palatino Linotype" w:hAnsi="Palatino Linotype"/>
          <w:i/>
        </w:rPr>
        <w:t xml:space="preserve"> El acta de Entrega y Recepción, y sus anexos, deberán elaborarse utilizando los criterios y formatos establecidos en el Manual y en el Sistema, en los cuales se requerirán los Documentos vinculados con la actuación de la Unidad Administrativa que corresponda, cuando menos, a los apartados siguientes:</w:t>
      </w:r>
    </w:p>
    <w:p w:rsidR="00C843B8" w:rsidRPr="00EB4728" w:rsidRDefault="00C843B8" w:rsidP="00C843B8">
      <w:pPr>
        <w:ind w:left="567" w:right="567"/>
        <w:jc w:val="both"/>
        <w:rPr>
          <w:rFonts w:ascii="Palatino Linotype" w:hAnsi="Palatino Linotype"/>
          <w:i/>
        </w:rPr>
      </w:pPr>
      <w:r w:rsidRPr="00EB4728">
        <w:rPr>
          <w:rFonts w:ascii="Palatino Linotype" w:hAnsi="Palatino Linotype"/>
          <w:b/>
          <w:i/>
        </w:rPr>
        <w:t>I.</w:t>
      </w:r>
      <w:r w:rsidRPr="00EB4728">
        <w:rPr>
          <w:rFonts w:ascii="Palatino Linotype" w:hAnsi="Palatino Linotype"/>
          <w:i/>
        </w:rPr>
        <w:t xml:space="preserve"> Marco Jurídico: Relación de leyes, reglamentos, decretos, acuerdos y demás disposiciones vigentes.</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II. Planeación: Plan de Desarrollo del Estado de México, programas sectoriales, regionales, especiales, y anual de metas por proyecto y unidad ejecutora.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III. Derechos y Obligaciones: Relación de instrumentos jurídicos que generen derechos u obligaciones que deba cumplir o exigir la Unidad Administrativa, como contratos, convenios, acuerdos, y anexos, suscritos por los Titulares del Ejecutivo Estatal, de las Dependencias, Organismos Auxiliares o de las Unidades Administrativas, con la federación, entidades federativas, municipios, sindicatos o sectores social o privado; concesiones; fideicomisos; condiciones generales de trabajo; seguros; fianzas; procesos jurisdiccionales, entre otros.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IV. Organización: Reglamento Interior; estructura orgánica autorizada; manuales generales de organización, de procedimientos, y de trámites y servicios.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V. Recursos Humanos: Plantilla de personal actualizada y, en su caso, la relación de personal contratado por honorarios asimilables al salario, por tiempo u obra determinada, comisionado, por lista de raya; y tabuladores de sueldos.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VI. Recursos Materiales: Inventarios de bienes muebles, inmuebles, semovientes, bienes incautados y existencias en almacenes; resguardo de bienes bajo custodia del titular. También se incluyen los sistemas de información, software, adquisiciones pendientes y en proceso; así como el programa anual de adquisiciones.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VII. Recursos Presupuestales y Financieros: Documentos relativos al presupuesto autorizado, ejercido, comprometido, disponible y metas relacionadas;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arqueos de caja, entre otros.</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lastRenderedPageBreak/>
        <w:t>VIII. Obra Pública: Programa anual; relación de obra pública y servicios relacionados con la misma, por fuente de recursos, y documentos de adjudicación.</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IX. Archivos: Relación de documentos no convencionales, históricos, de trámite, de concentración, biblio-hemerográficos, así como el listado de información reservada y confidencial.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X. Control y Fiscalización: Relación de observaciones o salvedades en proceso de atención, determinadas por las autoridades federales o estatales competentes, y por los auditores externos; así como de procedimientos administrativos de responsabilidades.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XI. Informe de Gestión: Reportes sobre el cumplimiento de obligaciones derivadas de los instrumentos jurídicos referidos en el apartado de derechos y obligaciones; sobre el avance del presupuesto, programas y proyectos a su cargo; y uno ejecutivo que describa el estado en que se recibió y en el que se entrega la Unidad Administrativa.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Asimismo, los resultados alcanzados; la relación de compromisos y actividades prioritarios dentro de los noventa días naturales siguientes, a cargo de la Unidad Administrativa, así como de aquellas que dependan de ésta; y, en su caso, las recomendaciones que se consideren pertinentes.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En materia de transparencia las solicitudes de información en proceso de atención y, en su caso, los recursos de revisión pendientes de resolver.</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El servidor público que entrega, deberá presentar los Certificados de No Adeudo expedidos por la Secretaría, tratándose de Dependencias; y por el área competente en el caso de Organismos Auxiliares.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XII. Generales: Los bienes muebles que se encuentren bajo custodia del servidor público que no cuenten con el respectivo resguardo.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También se deberán entregar, en su caso, credenciales, gafetes, claves de acceso, combinaciones de cajas fuertes y llaves, entre otros.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El servidor público que entrega debe llenar los formatos e incorporar los Documentos de acuerdo a los apartados que le resulten aplicables.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Además, debe manifestar en el acta que conoce su contenido y el de sus anexos; y, cuando corresponda adjuntará copia del acuse de recibo de su renuncia. </w:t>
      </w:r>
    </w:p>
    <w:p w:rsidR="00C843B8" w:rsidRPr="00EB4728" w:rsidRDefault="00C843B8" w:rsidP="00C843B8">
      <w:pPr>
        <w:pStyle w:val="Prrafodelista"/>
        <w:ind w:left="567" w:right="567"/>
        <w:jc w:val="both"/>
        <w:rPr>
          <w:rFonts w:ascii="Palatino Linotype" w:hAnsi="Palatino Linotype"/>
          <w:i/>
        </w:rPr>
      </w:pPr>
      <w:r w:rsidRPr="00EB4728">
        <w:rPr>
          <w:rFonts w:ascii="Palatino Linotype" w:hAnsi="Palatino Linotype"/>
          <w:i/>
        </w:rPr>
        <w:t>Los documentos publicados en la página oficial del Gobierno del Estado de México, podrán entregarse señalando su dirección electrónica, siempre y cuando no se contravenga lo dispuesto en el Manual.”</w:t>
      </w:r>
    </w:p>
    <w:p w:rsidR="00C843B8" w:rsidRPr="00EB4728" w:rsidRDefault="00C843B8" w:rsidP="00C843B8">
      <w:pPr>
        <w:pStyle w:val="Prrafodelista"/>
        <w:ind w:left="567" w:right="567"/>
        <w:jc w:val="both"/>
        <w:rPr>
          <w:rFonts w:ascii="Palatino Linotype" w:hAnsi="Palatino Linotype"/>
          <w:i/>
        </w:rPr>
      </w:pPr>
    </w:p>
    <w:p w:rsidR="00C843B8" w:rsidRPr="00EB4728" w:rsidRDefault="00C843B8" w:rsidP="00C843B8">
      <w:pPr>
        <w:ind w:left="567" w:right="567"/>
        <w:jc w:val="both"/>
        <w:rPr>
          <w:rFonts w:ascii="Palatino Linotype" w:hAnsi="Palatino Linotype"/>
          <w:i/>
        </w:rPr>
      </w:pPr>
      <w:r w:rsidRPr="00EB4728">
        <w:rPr>
          <w:rFonts w:ascii="Palatino Linotype" w:hAnsi="Palatino Linotype"/>
          <w:b/>
          <w:i/>
        </w:rPr>
        <w:lastRenderedPageBreak/>
        <w:t>Artículo 29</w:t>
      </w:r>
      <w:r w:rsidRPr="00EB4728">
        <w:rPr>
          <w:rFonts w:ascii="Palatino Linotype" w:hAnsi="Palatino Linotype"/>
          <w:i/>
        </w:rPr>
        <w:t xml:space="preserve">. El acta y la información derivada del acto de entrega-recepción se deberán generar obligatoriamente en el sistema implementado para tal efecto.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En el acto intervendrán: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a) El servidor público entrante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b) El servidor público saliente o servidor público que presenta la información para la entrega-recepción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c) El testigo del servidor público entrante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d) El testigo del servidor público saliente o testigo del servidor público que presenta la información para la entrega-recepción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e) El titular del órgano de control interno o el síndico en su caso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f) El representante del Órgano Superior, cuando corresponda.</w:t>
      </w:r>
    </w:p>
    <w:p w:rsidR="00C843B8" w:rsidRPr="00EB4728" w:rsidRDefault="00C843B8" w:rsidP="00C843B8">
      <w:pPr>
        <w:ind w:left="567" w:right="567"/>
        <w:jc w:val="both"/>
        <w:rPr>
          <w:rFonts w:ascii="Palatino Linotype" w:hAnsi="Palatino Linotype"/>
          <w:i/>
        </w:rPr>
      </w:pPr>
    </w:p>
    <w:p w:rsidR="00C843B8" w:rsidRPr="00EB4728" w:rsidRDefault="00C843B8" w:rsidP="00C843B8">
      <w:pPr>
        <w:ind w:left="567" w:right="567"/>
        <w:jc w:val="both"/>
        <w:rPr>
          <w:rFonts w:ascii="Palatino Linotype" w:hAnsi="Palatino Linotype"/>
          <w:i/>
        </w:rPr>
      </w:pPr>
      <w:r w:rsidRPr="00EB4728">
        <w:rPr>
          <w:rFonts w:ascii="Palatino Linotype" w:hAnsi="Palatino Linotype"/>
          <w:b/>
          <w:i/>
        </w:rPr>
        <w:t>Artículo 37</w:t>
      </w:r>
      <w:r w:rsidRPr="00EB4728">
        <w:rPr>
          <w:rFonts w:ascii="Palatino Linotype" w:hAnsi="Palatino Linotype"/>
          <w:i/>
        </w:rPr>
        <w:t>. El acta original de la entrega-recepción y el paquete generado por el sistema se distribuirán, según el caso de la manera siguiente:</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 a) </w:t>
      </w:r>
      <w:r w:rsidRPr="00EB4728">
        <w:rPr>
          <w:rFonts w:ascii="Palatino Linotype" w:hAnsi="Palatino Linotype"/>
          <w:b/>
          <w:bCs/>
          <w:i/>
        </w:rPr>
        <w:t>Al servidor público entrante:</w:t>
      </w:r>
      <w:r w:rsidRPr="00EB4728">
        <w:rPr>
          <w:rFonts w:ascii="Palatino Linotype" w:hAnsi="Palatino Linotype"/>
          <w:i/>
        </w:rPr>
        <w:t xml:space="preserve"> Acta original y el paquete generado por el sistema en disco versátil digital (DVD) o disco compacto (CD).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b) </w:t>
      </w:r>
      <w:r w:rsidRPr="00EB4728">
        <w:rPr>
          <w:rFonts w:ascii="Palatino Linotype" w:hAnsi="Palatino Linotype"/>
          <w:b/>
          <w:bCs/>
          <w:i/>
        </w:rPr>
        <w:t>Al servidor público saliente o servidor público que presenta la información para la entrega-recepción:</w:t>
      </w:r>
      <w:r w:rsidRPr="00EB4728">
        <w:rPr>
          <w:rFonts w:ascii="Palatino Linotype" w:hAnsi="Palatino Linotype"/>
          <w:i/>
        </w:rPr>
        <w:t xml:space="preserve"> Acta original y el paquete generado por el sistema en disco versátil digital (DVD) o disco compacto (CD). </w:t>
      </w:r>
    </w:p>
    <w:p w:rsidR="00C843B8" w:rsidRPr="00EB4728" w:rsidRDefault="00C843B8" w:rsidP="00C843B8">
      <w:pPr>
        <w:ind w:left="567" w:right="567"/>
        <w:jc w:val="both"/>
        <w:rPr>
          <w:rFonts w:ascii="Palatino Linotype" w:hAnsi="Palatino Linotype"/>
          <w:i/>
        </w:rPr>
      </w:pPr>
      <w:r w:rsidRPr="00EB4728">
        <w:rPr>
          <w:rFonts w:ascii="Palatino Linotype" w:hAnsi="Palatino Linotype"/>
          <w:i/>
        </w:rPr>
        <w:t xml:space="preserve">c) </w:t>
      </w:r>
      <w:r w:rsidRPr="00EB4728">
        <w:rPr>
          <w:rFonts w:ascii="Palatino Linotype" w:hAnsi="Palatino Linotype"/>
          <w:b/>
          <w:bCs/>
          <w:i/>
        </w:rPr>
        <w:t>Al titular del órgano de control interno o al síndico en su caso:</w:t>
      </w:r>
      <w:r w:rsidRPr="00EB4728">
        <w:rPr>
          <w:rFonts w:ascii="Palatino Linotype" w:hAnsi="Palatino Linotype"/>
          <w:i/>
        </w:rPr>
        <w:t xml:space="preserve"> Acta original y el paquete generado por el sistema en disco versátil digital (DVD) o disco compacto (CD). </w:t>
      </w:r>
    </w:p>
    <w:p w:rsidR="00C843B8" w:rsidRPr="00EB4728" w:rsidRDefault="00C843B8" w:rsidP="00C843B8">
      <w:pPr>
        <w:ind w:left="567" w:right="567"/>
        <w:jc w:val="both"/>
        <w:rPr>
          <w:rFonts w:ascii="Palatino Linotype" w:hAnsi="Palatino Linotype" w:cs="Arial"/>
          <w:i/>
        </w:rPr>
      </w:pPr>
      <w:r w:rsidRPr="00EB4728">
        <w:rPr>
          <w:rFonts w:ascii="Palatino Linotype" w:hAnsi="Palatino Linotype"/>
          <w:i/>
        </w:rPr>
        <w:t xml:space="preserve">d) </w:t>
      </w:r>
      <w:r w:rsidRPr="00EB4728">
        <w:rPr>
          <w:rFonts w:ascii="Palatino Linotype" w:hAnsi="Palatino Linotype"/>
          <w:b/>
          <w:bCs/>
          <w:i/>
        </w:rPr>
        <w:t>Al Órgano Superior:</w:t>
      </w:r>
      <w:r w:rsidRPr="00EB4728">
        <w:rPr>
          <w:rFonts w:ascii="Palatino Linotype" w:hAnsi="Palatino Linotype"/>
          <w:i/>
        </w:rPr>
        <w:t xml:space="preserve"> Acta original y el paquete generado por el sistema en disco versátil digital (DVD) o disco compacto (CD</w:t>
      </w:r>
      <w:r w:rsidRPr="00EB4728">
        <w:rPr>
          <w:rFonts w:ascii="Palatino Linotype" w:hAnsi="Palatino Linotype"/>
        </w:rPr>
        <w:t>).</w:t>
      </w:r>
    </w:p>
    <w:p w:rsidR="00C843B8" w:rsidRPr="00EB4728" w:rsidRDefault="00C843B8" w:rsidP="00C843B8">
      <w:pPr>
        <w:pStyle w:val="Prrafodelista"/>
        <w:ind w:left="567" w:right="567"/>
        <w:jc w:val="both"/>
        <w:rPr>
          <w:rFonts w:ascii="Palatino Linotype" w:eastAsia="Calibri" w:hAnsi="Palatino Linotype" w:cs="Arial"/>
          <w:lang w:eastAsia="es-MX"/>
        </w:rPr>
      </w:pPr>
    </w:p>
    <w:p w:rsidR="00C843B8" w:rsidRPr="00EB4728" w:rsidRDefault="00C843B8" w:rsidP="00C843B8">
      <w:pPr>
        <w:numPr>
          <w:ilvl w:val="0"/>
          <w:numId w:val="1"/>
        </w:numPr>
        <w:spacing w:line="360" w:lineRule="auto"/>
        <w:ind w:left="0" w:right="34" w:firstLine="0"/>
        <w:contextualSpacing/>
        <w:jc w:val="both"/>
        <w:rPr>
          <w:rFonts w:ascii="Palatino Linotype" w:eastAsia="MS Mincho" w:hAnsi="Palatino Linotype" w:cs="Times New Roman"/>
        </w:rPr>
      </w:pPr>
      <w:r w:rsidRPr="00EB4728">
        <w:rPr>
          <w:rFonts w:ascii="Palatino Linotype" w:eastAsia="MS Mincho" w:hAnsi="Palatino Linotype" w:cs="Times New Roman"/>
        </w:rPr>
        <w:t xml:space="preserve">En este sentido, </w:t>
      </w:r>
      <w:r w:rsidRPr="00EB4728">
        <w:rPr>
          <w:rFonts w:ascii="Palatino Linotype" w:hAnsi="Palatino Linotype" w:cs="Arial"/>
        </w:rPr>
        <w:t xml:space="preserve">de los preceptos en cita se advierte que, </w:t>
      </w:r>
      <w:r w:rsidRPr="00EB4728">
        <w:rPr>
          <w:rFonts w:ascii="Palatino Linotype" w:hAnsi="Palatino Linotype" w:cs="Arial"/>
          <w:u w:val="single"/>
        </w:rPr>
        <w:t xml:space="preserve">los servidores públicos tienen la obligación de hacer la entrega del área de la que son Titulares cuando se separen de su empleo, cargo o comisión, </w:t>
      </w:r>
      <w:r w:rsidRPr="00EB4728">
        <w:rPr>
          <w:rFonts w:ascii="Palatino Linotype" w:hAnsi="Palatino Linotype" w:cs="Arial"/>
          <w:b/>
          <w:bCs/>
          <w:u w:val="single"/>
        </w:rPr>
        <w:t>por cualquier motivo, incluyendo las licencias, suplencias, encargos o término del periodo constitucional, en los términos de la legislación aplicable</w:t>
      </w:r>
      <w:r w:rsidRPr="00EB4728">
        <w:rPr>
          <w:rFonts w:ascii="Palatino Linotype" w:hAnsi="Palatino Linotype" w:cs="Arial"/>
        </w:rPr>
        <w:t xml:space="preserve">; asimismo, </w:t>
      </w:r>
      <w:r w:rsidRPr="00EB4728">
        <w:rPr>
          <w:rFonts w:ascii="Palatino Linotype" w:hAnsi="Palatino Linotype" w:cs="Arial"/>
          <w:b/>
          <w:bCs/>
          <w:u w:val="single"/>
        </w:rPr>
        <w:t xml:space="preserve">los documentos de entrega-recepción deberán constar en un acta administrativa y sus anexos en la que intervendrán los sujetos obligados entrante y saliente, los </w:t>
      </w:r>
      <w:r w:rsidRPr="00EB4728">
        <w:rPr>
          <w:rFonts w:ascii="Palatino Linotype" w:hAnsi="Palatino Linotype" w:cs="Arial"/>
          <w:b/>
          <w:bCs/>
          <w:u w:val="single"/>
        </w:rPr>
        <w:lastRenderedPageBreak/>
        <w:t>testigos correspondientes, el representante del Órgano de Control Interno</w:t>
      </w:r>
      <w:r w:rsidRPr="00EB4728">
        <w:rPr>
          <w:rFonts w:ascii="Palatino Linotype" w:hAnsi="Palatino Linotype" w:cs="Arial"/>
          <w:b/>
          <w:u w:val="single"/>
        </w:rPr>
        <w:t xml:space="preserve"> y a falta de éste un representante de la Secretaría de la Contraloría</w:t>
      </w:r>
      <w:r w:rsidRPr="00EB4728">
        <w:rPr>
          <w:rFonts w:ascii="Palatino Linotype" w:hAnsi="Palatino Linotype" w:cs="Arial"/>
          <w:b/>
        </w:rPr>
        <w:t>.</w:t>
      </w:r>
    </w:p>
    <w:p w:rsidR="00C843B8" w:rsidRPr="00EB4728" w:rsidRDefault="00C843B8" w:rsidP="00C843B8">
      <w:pPr>
        <w:spacing w:line="360" w:lineRule="auto"/>
        <w:ind w:right="34"/>
        <w:contextualSpacing/>
        <w:jc w:val="both"/>
        <w:rPr>
          <w:rFonts w:ascii="Palatino Linotype" w:eastAsia="MS Mincho" w:hAnsi="Palatino Linotype" w:cs="Times New Roman"/>
        </w:rPr>
      </w:pPr>
    </w:p>
    <w:p w:rsidR="00C843B8" w:rsidRPr="00EB4728" w:rsidRDefault="00C843B8" w:rsidP="00C843B8">
      <w:pPr>
        <w:numPr>
          <w:ilvl w:val="0"/>
          <w:numId w:val="1"/>
        </w:numPr>
        <w:spacing w:line="360" w:lineRule="auto"/>
        <w:ind w:left="0" w:right="34" w:firstLine="0"/>
        <w:contextualSpacing/>
        <w:jc w:val="both"/>
        <w:rPr>
          <w:rFonts w:ascii="Palatino Linotype" w:eastAsia="MS Mincho" w:hAnsi="Palatino Linotype" w:cs="Times New Roman"/>
        </w:rPr>
      </w:pPr>
      <w:r w:rsidRPr="00EB4728">
        <w:rPr>
          <w:rFonts w:ascii="Palatino Linotype" w:eastAsia="MS Mincho" w:hAnsi="Palatino Linotype" w:cs="Times New Roman"/>
        </w:rPr>
        <w:t xml:space="preserve">Una vez precisado lo anterior, el </w:t>
      </w:r>
      <w:r w:rsidRPr="00EB4728">
        <w:rPr>
          <w:rFonts w:ascii="Palatino Linotype" w:hAnsi="Palatino Linotype" w:cs="Arial"/>
          <w:b/>
        </w:rPr>
        <w:t>SUJETO OBLIGADO</w:t>
      </w:r>
      <w:r w:rsidRPr="00EB4728">
        <w:rPr>
          <w:rFonts w:ascii="Palatino Linotype" w:hAnsi="Palatino Linotype" w:cs="Arial"/>
        </w:rPr>
        <w:t xml:space="preserve"> acorde a sus atribuciones, funciones, facultades o competencias se encuentra en posibilidad de facilitar las actas administrativas</w:t>
      </w:r>
      <w:r w:rsidR="00B972ED" w:rsidRPr="00EB4728">
        <w:rPr>
          <w:rFonts w:ascii="Palatino Linotype" w:hAnsi="Palatino Linotype" w:cs="Arial"/>
        </w:rPr>
        <w:t xml:space="preserve"> de entrega-</w:t>
      </w:r>
      <w:r w:rsidRPr="00EB4728">
        <w:rPr>
          <w:rFonts w:ascii="Palatino Linotype" w:hAnsi="Palatino Linotype" w:cs="Arial"/>
        </w:rPr>
        <w:t>recepción</w:t>
      </w:r>
      <w:r w:rsidR="00B972ED" w:rsidRPr="00EB4728">
        <w:rPr>
          <w:rFonts w:ascii="Palatino Linotype" w:hAnsi="Palatino Linotype" w:cs="Arial"/>
        </w:rPr>
        <w:t>,</w:t>
      </w:r>
      <w:r w:rsidRPr="00EB4728">
        <w:rPr>
          <w:rFonts w:ascii="Palatino Linotype" w:hAnsi="Palatino Linotype" w:cs="Arial"/>
        </w:rPr>
        <w:t xml:space="preserve"> requeridas mediante solicitud de acceso a la información pública por parte del </w:t>
      </w:r>
      <w:r w:rsidRPr="00EB4728">
        <w:rPr>
          <w:rFonts w:ascii="Palatino Linotype" w:hAnsi="Palatino Linotype" w:cs="Arial"/>
          <w:b/>
        </w:rPr>
        <w:t>RECURRENTE.</w:t>
      </w:r>
    </w:p>
    <w:p w:rsidR="00C843B8" w:rsidRPr="00EB4728" w:rsidRDefault="00C843B8" w:rsidP="00C843B8">
      <w:pPr>
        <w:spacing w:line="360" w:lineRule="auto"/>
        <w:ind w:right="34"/>
        <w:contextualSpacing/>
        <w:jc w:val="both"/>
        <w:rPr>
          <w:rFonts w:ascii="Palatino Linotype" w:eastAsia="MS Mincho" w:hAnsi="Palatino Linotype" w:cs="Times New Roman"/>
        </w:rPr>
      </w:pPr>
    </w:p>
    <w:p w:rsidR="00F970B6" w:rsidRPr="00EB4728" w:rsidRDefault="00F970B6" w:rsidP="00C843B8">
      <w:pPr>
        <w:numPr>
          <w:ilvl w:val="0"/>
          <w:numId w:val="1"/>
        </w:numPr>
        <w:spacing w:line="360" w:lineRule="auto"/>
        <w:ind w:left="0" w:right="34" w:firstLine="0"/>
        <w:contextualSpacing/>
        <w:jc w:val="both"/>
        <w:rPr>
          <w:rFonts w:ascii="Palatino Linotype" w:eastAsia="MS Mincho" w:hAnsi="Palatino Linotype" w:cs="Times New Roman"/>
        </w:rPr>
      </w:pPr>
      <w:r w:rsidRPr="00EB4728">
        <w:rPr>
          <w:rFonts w:ascii="Palatino Linotype" w:eastAsia="MS Mincho" w:hAnsi="Palatino Linotype" w:cs="Times New Roman"/>
        </w:rPr>
        <w:t>No pasa desapercibido que en dentro de los expedientes eventualmente obren observaciones, misma</w:t>
      </w:r>
      <w:r w:rsidR="00B972ED" w:rsidRPr="00EB4728">
        <w:rPr>
          <w:rFonts w:ascii="Palatino Linotype" w:eastAsia="MS Mincho" w:hAnsi="Palatino Linotype" w:cs="Times New Roman"/>
        </w:rPr>
        <w:t>s</w:t>
      </w:r>
      <w:r w:rsidRPr="00EB4728">
        <w:rPr>
          <w:rFonts w:ascii="Palatino Linotype" w:eastAsia="MS Mincho" w:hAnsi="Palatino Linotype" w:cs="Times New Roman"/>
        </w:rPr>
        <w:t xml:space="preserve"> que </w:t>
      </w:r>
      <w:r w:rsidR="00B972ED" w:rsidRPr="00EB4728">
        <w:rPr>
          <w:rFonts w:ascii="Palatino Linotype" w:eastAsia="MS Mincho" w:hAnsi="Palatino Linotype" w:cs="Times New Roman"/>
        </w:rPr>
        <w:t>si bien son</w:t>
      </w:r>
      <w:r w:rsidRPr="00EB4728">
        <w:rPr>
          <w:rFonts w:ascii="Palatino Linotype" w:eastAsia="MS Mincho" w:hAnsi="Palatino Linotype" w:cs="Times New Roman"/>
        </w:rPr>
        <w:t xml:space="preserve"> anexos, </w:t>
      </w:r>
      <w:r w:rsidR="00B972ED" w:rsidRPr="00EB4728">
        <w:rPr>
          <w:rFonts w:ascii="Palatino Linotype" w:eastAsia="MS Mincho" w:hAnsi="Palatino Linotype" w:cs="Times New Roman"/>
        </w:rPr>
        <w:t xml:space="preserve">y </w:t>
      </w:r>
      <w:r w:rsidRPr="00EB4728">
        <w:rPr>
          <w:rFonts w:ascii="Palatino Linotype" w:eastAsia="MS Mincho" w:hAnsi="Palatino Linotype" w:cs="Times New Roman"/>
        </w:rPr>
        <w:t xml:space="preserve">de acuerdo con el Criterio </w:t>
      </w:r>
      <w:r w:rsidRPr="00EB4728">
        <w:t xml:space="preserve">17/17, </w:t>
      </w:r>
      <w:r w:rsidRPr="00EB4728">
        <w:rPr>
          <w:rFonts w:ascii="Palatino Linotype" w:eastAsia="MS Mincho" w:hAnsi="Palatino Linotype" w:cs="Times New Roman"/>
        </w:rPr>
        <w:t xml:space="preserve">emitido por el </w:t>
      </w:r>
      <w:r w:rsidR="00B972ED" w:rsidRPr="00EB4728">
        <w:rPr>
          <w:rFonts w:ascii="Palatino Linotype" w:eastAsia="MS Mincho" w:hAnsi="Palatino Linotype" w:cs="Times New Roman"/>
        </w:rPr>
        <w:t>Órgano</w:t>
      </w:r>
      <w:r w:rsidRPr="00EB4728">
        <w:rPr>
          <w:rFonts w:ascii="Palatino Linotype" w:eastAsia="MS Mincho" w:hAnsi="Palatino Linotype" w:cs="Times New Roman"/>
        </w:rPr>
        <w:t xml:space="preserve"> Garante Nacional</w:t>
      </w:r>
      <w:r w:rsidR="00B972ED" w:rsidRPr="00EB4728">
        <w:rPr>
          <w:rFonts w:ascii="Palatino Linotype" w:eastAsia="MS Mincho" w:hAnsi="Palatino Linotype" w:cs="Times New Roman"/>
        </w:rPr>
        <w:t xml:space="preserve"> deben ser entregados todos los anexos que formen parte integral del documento principal, del caso concreto no procede su entrega en caso de existir por actualizar una </w:t>
      </w:r>
      <w:r w:rsidR="00172B67" w:rsidRPr="00EB4728">
        <w:rPr>
          <w:rFonts w:ascii="Palatino Linotype" w:eastAsia="MS Mincho" w:hAnsi="Palatino Linotype" w:cs="Times New Roman"/>
        </w:rPr>
        <w:t>causal</w:t>
      </w:r>
      <w:r w:rsidR="00B972ED" w:rsidRPr="00EB4728">
        <w:rPr>
          <w:rFonts w:ascii="Palatino Linotype" w:eastAsia="MS Mincho" w:hAnsi="Palatino Linotype" w:cs="Times New Roman"/>
        </w:rPr>
        <w:t xml:space="preserve"> de reserva que deberá analizar el </w:t>
      </w:r>
      <w:r w:rsidR="00B972ED" w:rsidRPr="00EB4728">
        <w:rPr>
          <w:rFonts w:ascii="Palatino Linotype" w:eastAsia="MS Mincho" w:hAnsi="Palatino Linotype" w:cs="Times New Roman"/>
          <w:b/>
        </w:rPr>
        <w:t xml:space="preserve">SUJETO OBLIGADO </w:t>
      </w:r>
      <w:r w:rsidR="00B972ED" w:rsidRPr="00EB4728">
        <w:rPr>
          <w:rFonts w:ascii="Palatino Linotype" w:eastAsia="MS Mincho" w:hAnsi="Palatino Linotype" w:cs="Times New Roman"/>
        </w:rPr>
        <w:t>y que de manera enunciativa mas no limitativa pudieran ser:</w:t>
      </w:r>
    </w:p>
    <w:p w:rsidR="00F970B6" w:rsidRPr="00EB4728" w:rsidRDefault="00F970B6" w:rsidP="00F970B6">
      <w:pPr>
        <w:pStyle w:val="Prrafodelista"/>
        <w:rPr>
          <w:rFonts w:ascii="Palatino Linotype" w:eastAsia="MS Mincho" w:hAnsi="Palatino Linotype" w:cs="Times New Roman"/>
        </w:rPr>
      </w:pPr>
    </w:p>
    <w:p w:rsidR="00F970B6" w:rsidRPr="00EB4728" w:rsidRDefault="00B972ED" w:rsidP="00B972ED">
      <w:pPr>
        <w:ind w:left="426" w:right="333"/>
        <w:contextualSpacing/>
        <w:jc w:val="both"/>
        <w:rPr>
          <w:rFonts w:ascii="Palatino Linotype" w:eastAsia="MS Mincho" w:hAnsi="Palatino Linotype" w:cs="Times New Roman"/>
          <w:i/>
        </w:rPr>
      </w:pPr>
      <w:r w:rsidRPr="00EB4728">
        <w:rPr>
          <w:rFonts w:ascii="Palatino Linotype" w:eastAsia="MS Mincho" w:hAnsi="Palatino Linotype" w:cs="Times New Roman"/>
          <w:i/>
        </w:rPr>
        <w:t>“</w:t>
      </w:r>
      <w:r w:rsidR="00F970B6" w:rsidRPr="00EB4728">
        <w:rPr>
          <w:rFonts w:ascii="Palatino Linotype" w:eastAsia="MS Mincho" w:hAnsi="Palatino Linotype" w:cs="Times New Roman"/>
          <w:i/>
        </w:rPr>
        <w:t>Artículo 140. El acceso a la información pública será restringido excepcionalmente, cuando por razones de interés público, ésta sea clasificada como reservada, conforme a los criterios siguientes:</w:t>
      </w:r>
    </w:p>
    <w:p w:rsidR="00F970B6" w:rsidRPr="00EB4728" w:rsidRDefault="00F970B6" w:rsidP="00B972ED">
      <w:pPr>
        <w:ind w:left="426" w:right="333"/>
        <w:contextualSpacing/>
        <w:jc w:val="both"/>
        <w:rPr>
          <w:rFonts w:ascii="Palatino Linotype" w:eastAsia="MS Mincho" w:hAnsi="Palatino Linotype" w:cs="Times New Roman"/>
          <w:i/>
        </w:rPr>
      </w:pPr>
      <w:r w:rsidRPr="00EB4728">
        <w:rPr>
          <w:rFonts w:ascii="Palatino Linotype" w:eastAsia="MS Mincho" w:hAnsi="Palatino Linotype" w:cs="Times New Roman"/>
          <w:i/>
        </w:rPr>
        <w:t>...</w:t>
      </w:r>
    </w:p>
    <w:p w:rsidR="00F970B6" w:rsidRPr="00EB4728" w:rsidRDefault="00F970B6" w:rsidP="00B972ED">
      <w:pPr>
        <w:ind w:left="426" w:right="333"/>
        <w:contextualSpacing/>
        <w:jc w:val="both"/>
        <w:rPr>
          <w:rFonts w:ascii="Palatino Linotype" w:eastAsia="MS Mincho" w:hAnsi="Palatino Linotype" w:cs="Times New Roman"/>
          <w:i/>
        </w:rPr>
      </w:pPr>
      <w:r w:rsidRPr="00EB4728">
        <w:rPr>
          <w:rFonts w:ascii="Palatino Linotype" w:eastAsia="MS Mincho" w:hAnsi="Palatino Linotype" w:cs="Times New Roman"/>
          <w:i/>
        </w:rPr>
        <w:t>V. Aquella cuya divulgación obstruya o pueda causar un serio perjuicio a:</w:t>
      </w:r>
    </w:p>
    <w:p w:rsidR="00F970B6" w:rsidRPr="00EB4728" w:rsidRDefault="00F970B6" w:rsidP="00B972ED">
      <w:pPr>
        <w:ind w:left="426" w:right="333"/>
        <w:contextualSpacing/>
        <w:jc w:val="both"/>
        <w:rPr>
          <w:rFonts w:ascii="Palatino Linotype" w:eastAsia="MS Mincho" w:hAnsi="Palatino Linotype" w:cs="Times New Roman"/>
          <w:i/>
        </w:rPr>
      </w:pPr>
      <w:r w:rsidRPr="00EB4728">
        <w:rPr>
          <w:rFonts w:ascii="Palatino Linotype" w:eastAsia="MS Mincho" w:hAnsi="Palatino Linotype" w:cs="Times New Roman"/>
          <w:i/>
        </w:rPr>
        <w:t>1. Las actividades de fiscalización, verificación, inspección, comprobación y auditoría sobre el cumplimiento de las Leyes; o</w:t>
      </w:r>
    </w:p>
    <w:p w:rsidR="00F970B6" w:rsidRPr="00EB4728" w:rsidRDefault="00F970B6" w:rsidP="00B972ED">
      <w:pPr>
        <w:ind w:left="426" w:right="333"/>
        <w:contextualSpacing/>
        <w:jc w:val="both"/>
        <w:rPr>
          <w:rFonts w:ascii="Palatino Linotype" w:eastAsia="MS Mincho" w:hAnsi="Palatino Linotype" w:cs="Times New Roman"/>
          <w:i/>
        </w:rPr>
      </w:pPr>
      <w:r w:rsidRPr="00EB4728">
        <w:rPr>
          <w:rFonts w:ascii="Palatino Linotype" w:eastAsia="MS Mincho" w:hAnsi="Palatino Linotype" w:cs="Times New Roman"/>
          <w:i/>
        </w:rPr>
        <w:t>...</w:t>
      </w:r>
    </w:p>
    <w:p w:rsidR="00F970B6" w:rsidRPr="00EB4728" w:rsidRDefault="00F970B6" w:rsidP="00B972ED">
      <w:pPr>
        <w:ind w:left="426" w:right="333"/>
        <w:contextualSpacing/>
        <w:jc w:val="both"/>
        <w:rPr>
          <w:rFonts w:ascii="Palatino Linotype" w:eastAsia="MS Mincho" w:hAnsi="Palatino Linotype" w:cs="Times New Roman"/>
          <w:i/>
        </w:rPr>
      </w:pPr>
    </w:p>
    <w:p w:rsidR="00F970B6" w:rsidRPr="00EB4728" w:rsidRDefault="00F970B6" w:rsidP="00B972ED">
      <w:pPr>
        <w:ind w:left="426" w:right="333"/>
        <w:contextualSpacing/>
        <w:jc w:val="both"/>
        <w:rPr>
          <w:rFonts w:ascii="Palatino Linotype" w:eastAsia="MS Mincho" w:hAnsi="Palatino Linotype" w:cs="Times New Roman"/>
          <w:i/>
        </w:rPr>
      </w:pPr>
      <w:r w:rsidRPr="00EB4728">
        <w:rPr>
          <w:rFonts w:ascii="Palatino Linotype" w:eastAsia="MS Mincho" w:hAnsi="Palatino Linotype" w:cs="Times New Roman"/>
          <w:i/>
        </w:rPr>
        <w:t xml:space="preserve">VI. Pueda causar daño u obstruya la prevención o persecución de los delitos, altere el proceso de investigación de las carpetas de investigación, afecte o vulnere la conducción o los derechos del debido proceso en los procedimientos judiciales o </w:t>
      </w:r>
      <w:r w:rsidRPr="00EB4728">
        <w:rPr>
          <w:rFonts w:ascii="Palatino Linotype" w:eastAsia="MS Mincho" w:hAnsi="Palatino Linotype" w:cs="Times New Roman"/>
          <w:i/>
        </w:rPr>
        <w:lastRenderedPageBreak/>
        <w:t>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F970B6" w:rsidRPr="00EB4728" w:rsidRDefault="00F970B6" w:rsidP="00B972ED">
      <w:pPr>
        <w:ind w:left="426" w:right="333"/>
        <w:contextualSpacing/>
        <w:jc w:val="both"/>
        <w:rPr>
          <w:rFonts w:ascii="Palatino Linotype" w:eastAsia="MS Mincho" w:hAnsi="Palatino Linotype" w:cs="Times New Roman"/>
          <w:i/>
        </w:rPr>
      </w:pPr>
      <w:r w:rsidRPr="00EB4728">
        <w:rPr>
          <w:rFonts w:ascii="Palatino Linotype" w:eastAsia="MS Mincho" w:hAnsi="Palatino Linotype" w:cs="Times New Roman"/>
          <w:i/>
        </w:rPr>
        <w:t>VII. La que contengan las opiniones, recomendaciones o puntos de vista que formen parte del proceso deliberativo de los servidores públicos, hasta en tanto sea adoptada la decisión definitiva, la cual deberá estar documentada;</w:t>
      </w:r>
    </w:p>
    <w:p w:rsidR="00F970B6" w:rsidRPr="00EB4728" w:rsidRDefault="00F970B6" w:rsidP="00B972ED">
      <w:pPr>
        <w:ind w:left="426" w:right="333"/>
        <w:contextualSpacing/>
        <w:jc w:val="both"/>
        <w:rPr>
          <w:rFonts w:ascii="Palatino Linotype" w:eastAsia="MS Mincho" w:hAnsi="Palatino Linotype" w:cs="Times New Roman"/>
          <w:i/>
        </w:rPr>
      </w:pPr>
      <w:r w:rsidRPr="00EB4728">
        <w:rPr>
          <w:rFonts w:ascii="Palatino Linotype" w:eastAsia="MS Mincho" w:hAnsi="Palatino Linotype" w:cs="Times New Roman"/>
          <w:i/>
        </w:rPr>
        <w:t>VIII. Vulnere la conducción de los expedientes judiciales o de los procedimientos administrativos seguidos en forma de juicio, en tanto no hayan quedado firmes;</w:t>
      </w:r>
    </w:p>
    <w:p w:rsidR="00F970B6" w:rsidRPr="00EB4728" w:rsidRDefault="00F970B6" w:rsidP="00B972ED">
      <w:pPr>
        <w:ind w:left="426" w:right="333"/>
        <w:contextualSpacing/>
        <w:jc w:val="both"/>
        <w:rPr>
          <w:rFonts w:ascii="Palatino Linotype" w:eastAsia="MS Mincho" w:hAnsi="Palatino Linotype" w:cs="Times New Roman"/>
          <w:i/>
        </w:rPr>
      </w:pPr>
    </w:p>
    <w:p w:rsidR="00C843B8" w:rsidRPr="00EB4728" w:rsidRDefault="00F970B6" w:rsidP="00B972ED">
      <w:pPr>
        <w:ind w:left="426" w:right="333"/>
        <w:contextualSpacing/>
        <w:jc w:val="both"/>
        <w:rPr>
          <w:rFonts w:ascii="Palatino Linotype" w:eastAsia="MS Mincho" w:hAnsi="Palatino Linotype" w:cs="Times New Roman"/>
          <w:i/>
        </w:rPr>
      </w:pPr>
      <w:r w:rsidRPr="00EB4728">
        <w:rPr>
          <w:rFonts w:ascii="Palatino Linotype" w:eastAsia="MS Mincho" w:hAnsi="Palatino Linotype" w:cs="Times New Roman"/>
          <w:i/>
        </w:rPr>
        <w:t>Artículo 141. Las causales de reserva previstas en este Capítulo se deberán fundar y motivar, a través de la aplicación de la prueba de daño a la que se hace referencia en el presente Título.</w:t>
      </w:r>
      <w:r w:rsidR="00B972ED" w:rsidRPr="00EB4728">
        <w:rPr>
          <w:rFonts w:ascii="Palatino Linotype" w:eastAsia="MS Mincho" w:hAnsi="Palatino Linotype" w:cs="Times New Roman"/>
          <w:i/>
        </w:rPr>
        <w:t>”</w:t>
      </w:r>
    </w:p>
    <w:p w:rsidR="00C843B8" w:rsidRPr="00EB4728" w:rsidRDefault="00C843B8" w:rsidP="00C843B8">
      <w:pPr>
        <w:spacing w:line="360" w:lineRule="auto"/>
        <w:contextualSpacing/>
        <w:jc w:val="both"/>
        <w:rPr>
          <w:rFonts w:ascii="Palatino Linotype" w:eastAsia="Calibri" w:hAnsi="Palatino Linotype"/>
        </w:rPr>
      </w:pPr>
    </w:p>
    <w:p w:rsidR="00172B67" w:rsidRPr="00EB4728" w:rsidRDefault="00B972ED" w:rsidP="00172B67">
      <w:pPr>
        <w:pStyle w:val="Prrafodelista"/>
        <w:numPr>
          <w:ilvl w:val="0"/>
          <w:numId w:val="1"/>
        </w:numPr>
        <w:tabs>
          <w:tab w:val="left" w:pos="284"/>
        </w:tabs>
        <w:spacing w:line="360" w:lineRule="auto"/>
        <w:ind w:left="0" w:right="49" w:firstLine="0"/>
        <w:jc w:val="both"/>
        <w:rPr>
          <w:rFonts w:ascii="Palatino Linotype" w:eastAsia="Calibri" w:hAnsi="Palatino Linotype"/>
        </w:rPr>
      </w:pPr>
      <w:r w:rsidRPr="00EB4728">
        <w:rPr>
          <w:rFonts w:ascii="Palatino Linotype" w:hAnsi="Palatino Linotype" w:cs="Arial"/>
          <w:color w:val="000000"/>
        </w:rPr>
        <w:t>Luego entonces, de ser el caso que se actualizara ese supuesto deberá emitirse el Acuerdo del Comité de Transparencia que sustente la reserva de la información, conforme al Considerando siguiente.</w:t>
      </w:r>
    </w:p>
    <w:p w:rsidR="00172B67" w:rsidRPr="00EB4728" w:rsidRDefault="00172B67" w:rsidP="00172B67">
      <w:pPr>
        <w:pStyle w:val="Prrafodelista"/>
        <w:tabs>
          <w:tab w:val="left" w:pos="284"/>
        </w:tabs>
        <w:spacing w:line="360" w:lineRule="auto"/>
        <w:ind w:left="0" w:right="49"/>
        <w:jc w:val="both"/>
        <w:rPr>
          <w:rFonts w:ascii="Palatino Linotype" w:eastAsia="Calibri" w:hAnsi="Palatino Linotype"/>
        </w:rPr>
      </w:pPr>
    </w:p>
    <w:p w:rsidR="00172B67" w:rsidRPr="00EB4728" w:rsidRDefault="00172B67" w:rsidP="00172B67">
      <w:pPr>
        <w:pStyle w:val="Prrafodelista"/>
        <w:numPr>
          <w:ilvl w:val="0"/>
          <w:numId w:val="1"/>
        </w:numPr>
        <w:tabs>
          <w:tab w:val="left" w:pos="284"/>
        </w:tabs>
        <w:spacing w:line="360" w:lineRule="auto"/>
        <w:ind w:left="0" w:right="49" w:firstLine="0"/>
        <w:jc w:val="both"/>
        <w:rPr>
          <w:rFonts w:ascii="Palatino Linotype" w:eastAsia="Calibri" w:hAnsi="Palatino Linotype"/>
        </w:rPr>
      </w:pPr>
      <w:r w:rsidRPr="00EB4728">
        <w:rPr>
          <w:rFonts w:ascii="Palatino Linotype" w:hAnsi="Palatino Linotype"/>
        </w:rPr>
        <w:t>Respecto de la información que se ordena, en caso de que las observaciones</w:t>
      </w:r>
    </w:p>
    <w:p w:rsidR="00806C6B" w:rsidRPr="00EB4728" w:rsidRDefault="00172B67" w:rsidP="00172B67">
      <w:pPr>
        <w:spacing w:line="360" w:lineRule="auto"/>
        <w:contextualSpacing/>
        <w:jc w:val="both"/>
        <w:rPr>
          <w:rFonts w:ascii="Palatino Linotype" w:hAnsi="Palatino Linotype"/>
        </w:rPr>
      </w:pPr>
      <w:r w:rsidRPr="00EB4728">
        <w:rPr>
          <w:rFonts w:ascii="Palatino Linotype" w:hAnsi="Palatino Linotype"/>
        </w:rPr>
        <w:t xml:space="preserve">señaladas en el Acta Entrega Recepción deriven en un procedimiento administrativo en trámite, el Sujeto deberá de hacerlo del conocimiento de la particular, remitiendo el Acta de Comité de Transparencia donde funde y motive la reserva de la información, ello en términos de los artículos 49, fracciones II y VIII, 140, fracción VIII y 141 de la Ley de Transparencia y Acceso a la Información Pública del Estado de México y Municipios, reiterando que el supuesto anterior atañe únicamente al soporte documental de las observaciones; no así a las actas. </w:t>
      </w:r>
    </w:p>
    <w:p w:rsidR="00172B67" w:rsidRPr="00EB4728" w:rsidRDefault="00172B67" w:rsidP="00172B67">
      <w:pPr>
        <w:spacing w:line="360" w:lineRule="auto"/>
        <w:contextualSpacing/>
        <w:jc w:val="both"/>
        <w:rPr>
          <w:rFonts w:ascii="Palatino Linotype" w:hAnsi="Palatino Linotype"/>
        </w:rPr>
      </w:pPr>
    </w:p>
    <w:p w:rsidR="00EF33AE" w:rsidRPr="00EB4728" w:rsidRDefault="0065769F" w:rsidP="00EF33AE">
      <w:pPr>
        <w:pStyle w:val="Ttulo2"/>
        <w:rPr>
          <w:rFonts w:ascii="Palatino Linotype" w:hAnsi="Palatino Linotype"/>
          <w:b/>
          <w:color w:val="auto"/>
          <w:sz w:val="24"/>
          <w:szCs w:val="24"/>
        </w:rPr>
      </w:pPr>
      <w:bookmarkStart w:id="145" w:name="_Toc2871952"/>
      <w:bookmarkStart w:id="146" w:name="_Toc531859120"/>
      <w:bookmarkStart w:id="147" w:name="_Toc38560292"/>
      <w:bookmarkStart w:id="148" w:name="_Toc36732268"/>
      <w:bookmarkStart w:id="149" w:name="_Toc36648201"/>
      <w:bookmarkStart w:id="150" w:name="_Toc29481474"/>
      <w:bookmarkStart w:id="151" w:name="_Toc26461369"/>
      <w:bookmarkStart w:id="152" w:name="_Toc24023250"/>
      <w:bookmarkStart w:id="153" w:name="_Toc20246253"/>
      <w:bookmarkStart w:id="154" w:name="_Toc86848768"/>
      <w:bookmarkStart w:id="155" w:name="_Toc524000321"/>
      <w:bookmarkStart w:id="156" w:name="_Toc499201876"/>
      <w:bookmarkStart w:id="157" w:name="_Toc498503756"/>
      <w:bookmarkStart w:id="158" w:name="_Toc497297048"/>
      <w:bookmarkStart w:id="159" w:name="_Toc495606558"/>
      <w:bookmarkStart w:id="160" w:name="_Toc493790438"/>
      <w:bookmarkStart w:id="161" w:name="_Toc487025370"/>
      <w:bookmarkStart w:id="162" w:name="_Toc473799824"/>
      <w:r w:rsidRPr="00EB4728">
        <w:rPr>
          <w:rFonts w:ascii="Palatino Linotype" w:hAnsi="Palatino Linotype"/>
          <w:b/>
          <w:color w:val="auto"/>
          <w:sz w:val="24"/>
          <w:szCs w:val="24"/>
        </w:rPr>
        <w:lastRenderedPageBreak/>
        <w:t>QUIN</w:t>
      </w:r>
      <w:r w:rsidR="00EF33AE" w:rsidRPr="00EB4728">
        <w:rPr>
          <w:rFonts w:ascii="Palatino Linotype" w:hAnsi="Palatino Linotype"/>
          <w:b/>
          <w:color w:val="auto"/>
          <w:sz w:val="24"/>
          <w:szCs w:val="24"/>
        </w:rPr>
        <w:t xml:space="preserve">TO. De la </w:t>
      </w:r>
      <w:bookmarkEnd w:id="145"/>
      <w:bookmarkEnd w:id="146"/>
      <w:r w:rsidR="00EF33AE" w:rsidRPr="00EB4728">
        <w:rPr>
          <w:rFonts w:ascii="Palatino Linotype" w:hAnsi="Palatino Linotype"/>
          <w:b/>
          <w:color w:val="auto"/>
          <w:sz w:val="24"/>
          <w:szCs w:val="24"/>
        </w:rPr>
        <w:t>versión pública</w:t>
      </w:r>
      <w:bookmarkEnd w:id="147"/>
      <w:bookmarkEnd w:id="148"/>
      <w:bookmarkEnd w:id="149"/>
      <w:bookmarkEnd w:id="150"/>
      <w:bookmarkEnd w:id="151"/>
      <w:bookmarkEnd w:id="152"/>
      <w:bookmarkEnd w:id="153"/>
      <w:bookmarkEnd w:id="154"/>
      <w:r w:rsidR="003E4972" w:rsidRPr="00EB4728">
        <w:rPr>
          <w:rFonts w:ascii="Palatino Linotype" w:hAnsi="Palatino Linotype"/>
          <w:b/>
          <w:color w:val="auto"/>
          <w:sz w:val="24"/>
          <w:szCs w:val="24"/>
        </w:rPr>
        <w:t xml:space="preserve"> y </w:t>
      </w:r>
      <w:r w:rsidR="00B972ED" w:rsidRPr="00EB4728">
        <w:rPr>
          <w:rFonts w:ascii="Palatino Linotype" w:hAnsi="Palatino Linotype"/>
          <w:b/>
          <w:color w:val="auto"/>
          <w:sz w:val="24"/>
          <w:szCs w:val="24"/>
        </w:rPr>
        <w:t>clasificación</w:t>
      </w:r>
      <w:r w:rsidR="003E4972" w:rsidRPr="00EB4728">
        <w:rPr>
          <w:rFonts w:ascii="Palatino Linotype" w:hAnsi="Palatino Linotype"/>
          <w:b/>
          <w:color w:val="auto"/>
          <w:sz w:val="24"/>
          <w:szCs w:val="24"/>
        </w:rPr>
        <w:t xml:space="preserve"> de la información</w:t>
      </w:r>
      <w:r w:rsidR="00B972ED" w:rsidRPr="00EB4728">
        <w:rPr>
          <w:rFonts w:ascii="Palatino Linotype" w:hAnsi="Palatino Linotype"/>
          <w:b/>
          <w:color w:val="auto"/>
          <w:sz w:val="24"/>
          <w:szCs w:val="24"/>
        </w:rPr>
        <w:t>.</w:t>
      </w:r>
    </w:p>
    <w:p w:rsidR="00EF33AE" w:rsidRPr="00EB4728" w:rsidRDefault="00EF33AE" w:rsidP="00EF33AE">
      <w:pPr>
        <w:rPr>
          <w:rFonts w:ascii="Palatino Linotype" w:hAnsi="Palatino Linotype"/>
          <w:lang w:eastAsia="en-US"/>
        </w:rPr>
      </w:pPr>
    </w:p>
    <w:bookmarkEnd w:id="155"/>
    <w:bookmarkEnd w:id="156"/>
    <w:bookmarkEnd w:id="157"/>
    <w:bookmarkEnd w:id="158"/>
    <w:bookmarkEnd w:id="159"/>
    <w:bookmarkEnd w:id="160"/>
    <w:bookmarkEnd w:id="161"/>
    <w:bookmarkEnd w:id="162"/>
    <w:p w:rsidR="00B972ED" w:rsidRPr="00EB4728" w:rsidRDefault="00B972ED" w:rsidP="00B972ED">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Debe</w:t>
      </w:r>
      <w:r w:rsidRPr="00EB4728">
        <w:rPr>
          <w:rFonts w:ascii="Palatino Linotype" w:eastAsia="MS Gothic" w:hAnsi="Palatino Linotype"/>
        </w:rPr>
        <w:t xml:space="preserve"> destacarse que, debido a la naturaleza de la información solicitada</w:t>
      </w:r>
      <w:r w:rsidRPr="00EB4728">
        <w:rPr>
          <w:rFonts w:ascii="Palatino Linotype" w:eastAsia="MS Gothic" w:hAnsi="Palatino Linotype"/>
          <w:b/>
        </w:rPr>
        <w:t xml:space="preserve">, </w:t>
      </w:r>
      <w:r w:rsidRPr="00EB4728">
        <w:rPr>
          <w:rFonts w:ascii="Palatino Linotype" w:eastAsia="MS Gothic" w:hAnsi="Palatino Linotype"/>
        </w:rPr>
        <w:t xml:space="preserve">eventualmente pudieran obrar datos personales susceptibles de protegerse, y toda vez que este </w:t>
      </w:r>
      <w:r w:rsidRPr="00EB4728">
        <w:rPr>
          <w:rFonts w:ascii="Palatino Linotype" w:hAnsi="Palatino Linotype" w:cs="Arial"/>
          <w:color w:val="000000"/>
        </w:rPr>
        <w:t>Instituto</w:t>
      </w:r>
      <w:r w:rsidRPr="00EB4728">
        <w:rPr>
          <w:rFonts w:ascii="Palatino Linotype" w:eastAsia="MS Gothic" w:hAnsi="Palatino Linotype"/>
        </w:rPr>
        <w:t xml:space="preserve"> de Transparencia, Acceso a la Información Pública y Protección de Datos Personales del Estado de México tiene el deber de velar por la protección de los datos personales aun tratándose de servidores públicos y en su caso generar la </w:t>
      </w:r>
      <w:r w:rsidRPr="00EB4728">
        <w:rPr>
          <w:rFonts w:ascii="Palatino Linotype" w:eastAsia="MS Gothic" w:hAnsi="Palatino Linotype"/>
          <w:b/>
          <w:u w:val="single"/>
        </w:rPr>
        <w:t>versión pública</w:t>
      </w:r>
      <w:r w:rsidRPr="00EB4728">
        <w:rPr>
          <w:rFonts w:ascii="Palatino Linotype" w:eastAsia="MS Gothic" w:hAnsi="Palatino Linotype"/>
        </w:rPr>
        <w:t xml:space="preserve"> de los documentos por las consideraciones que se estimen pertinentes.</w:t>
      </w:r>
    </w:p>
    <w:p w:rsidR="00B972ED" w:rsidRPr="00EB4728" w:rsidRDefault="00B972ED" w:rsidP="00B972ED">
      <w:pPr>
        <w:pStyle w:val="Prrafodelista"/>
        <w:tabs>
          <w:tab w:val="left" w:pos="0"/>
          <w:tab w:val="left" w:pos="142"/>
        </w:tabs>
        <w:spacing w:line="360" w:lineRule="auto"/>
        <w:ind w:left="0"/>
        <w:jc w:val="both"/>
        <w:rPr>
          <w:rFonts w:ascii="Palatino Linotype" w:hAnsi="Palatino Linotype" w:cs="Arial"/>
        </w:rPr>
      </w:pPr>
    </w:p>
    <w:p w:rsidR="00B972ED" w:rsidRPr="00EB4728" w:rsidRDefault="00B972ED" w:rsidP="00B972ED">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eastAsia="MS Gothic" w:hAnsi="Palatino Linotype"/>
        </w:rPr>
        <w:t xml:space="preserve">La </w:t>
      </w:r>
      <w:r w:rsidRPr="00EB4728">
        <w:rPr>
          <w:rFonts w:ascii="Palatino Linotype" w:hAnsi="Palatino Linotype" w:cs="Arial"/>
        </w:rPr>
        <w:t>clasificación</w:t>
      </w:r>
      <w:r w:rsidRPr="00EB4728">
        <w:rPr>
          <w:rFonts w:ascii="Palatino Linotype" w:eastAsia="MS Gothic" w:hAnsi="Palatino Linotype"/>
        </w:rPr>
        <w:t xml:space="preserve"> total o parcial de la información requerida, mediante solicitud de acceso a la información pública, constituye una restricción al derecho humano de acceso a la </w:t>
      </w:r>
      <w:r w:rsidRPr="00EB4728">
        <w:rPr>
          <w:rFonts w:ascii="Palatino Linotype" w:hAnsi="Palatino Linotype" w:cs="Arial"/>
        </w:rPr>
        <w:t>información</w:t>
      </w:r>
      <w:r w:rsidRPr="00EB4728">
        <w:rPr>
          <w:rFonts w:ascii="Palatino Linotype" w:eastAsia="MS Gothic" w:hAnsi="Palatino Linotype"/>
        </w:rPr>
        <w:t>. Como reiteradamente han dicho, diversos órganos jurisdiccionales, ningún derecho es absoluto</w:t>
      </w:r>
      <w:r w:rsidRPr="00EB4728">
        <w:rPr>
          <w:rFonts w:ascii="Palatino Linotype" w:eastAsia="MS Gothic" w:hAnsi="Palatino Linotype"/>
          <w:vertAlign w:val="superscript"/>
        </w:rPr>
        <w:footnoteReference w:id="2"/>
      </w:r>
      <w:r w:rsidRPr="00EB4728">
        <w:rPr>
          <w:rFonts w:ascii="Palatino Linotype" w:eastAsia="MS Gothic" w:hAnsi="Palatino Linotype"/>
        </w:rPr>
        <w:t xml:space="preserve">, aunque cualquier límite o restricción, para ser legítimo, debe reunir con tres requisitos: primero, debe de estar establecida en un ordenamiento legal, antes de su aplicación; debe de corresponder </w:t>
      </w:r>
      <w:r w:rsidRPr="00EB4728">
        <w:rPr>
          <w:rFonts w:ascii="Palatino Linotype" w:eastAsia="MS Gothic" w:hAnsi="Palatino Linotype"/>
        </w:rPr>
        <w:lastRenderedPageBreak/>
        <w:t>a un fin legítimo y ser estrictamente proporcional con el principio o valor que se pretende preservar.</w:t>
      </w:r>
      <w:r w:rsidRPr="00EB4728">
        <w:rPr>
          <w:rFonts w:ascii="Palatino Linotype" w:eastAsia="MS Gothic" w:hAnsi="Palatino Linotype"/>
          <w:vertAlign w:val="superscript"/>
        </w:rPr>
        <w:footnoteReference w:id="3"/>
      </w:r>
      <w:r w:rsidRPr="00EB4728">
        <w:rPr>
          <w:rFonts w:ascii="Palatino Linotype" w:eastAsia="MS Gothic"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E4972" w:rsidRPr="00EB4728" w:rsidRDefault="003E4972" w:rsidP="003E4972">
      <w:pPr>
        <w:pStyle w:val="Prrafodelista"/>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 xml:space="preserve">El </w:t>
      </w:r>
      <w:r w:rsidRPr="00EB4728">
        <w:rPr>
          <w:rFonts w:ascii="Palatino Linotype" w:eastAsia="MS Gothic"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B972ED" w:rsidRPr="00EB4728" w:rsidRDefault="00B972ED" w:rsidP="00B972ED">
      <w:pPr>
        <w:pStyle w:val="Prrafodelista"/>
        <w:spacing w:line="360" w:lineRule="auto"/>
        <w:rPr>
          <w:rFonts w:ascii="Palatino Linotype" w:hAnsi="Palatino Linotype" w:cs="Arial"/>
        </w:rPr>
      </w:pPr>
    </w:p>
    <w:p w:rsidR="00B972ED" w:rsidRPr="00EB4728" w:rsidRDefault="00B972ED" w:rsidP="00B972ED">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63" w:name="_Toc83901404"/>
      <w:r w:rsidRPr="00EB4728">
        <w:rPr>
          <w:rFonts w:ascii="Palatino Linotype" w:hAnsi="Palatino Linotype" w:cs="Arial"/>
          <w:b/>
        </w:rPr>
        <w:t>I. Requisitos previos.</w:t>
      </w:r>
      <w:bookmarkEnd w:id="163"/>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 xml:space="preserve">Los </w:t>
      </w:r>
      <w:r w:rsidRPr="00EB4728">
        <w:rPr>
          <w:rFonts w:ascii="Palatino Linotype" w:eastAsia="MS Gothic" w:hAnsi="Palatino Linotype"/>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EB4728">
        <w:rPr>
          <w:rFonts w:ascii="Palatino Linotype" w:eastAsia="MS Gothic" w:hAnsi="Palatino Linotype"/>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rsidR="00B972ED" w:rsidRPr="00EB4728" w:rsidRDefault="00B972ED" w:rsidP="00B972ED">
      <w:pPr>
        <w:pStyle w:val="Prrafodelista"/>
        <w:tabs>
          <w:tab w:val="left" w:pos="0"/>
          <w:tab w:val="left" w:pos="142"/>
        </w:tabs>
        <w:spacing w:line="360" w:lineRule="auto"/>
        <w:ind w:left="0"/>
        <w:jc w:val="both"/>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Además</w:t>
      </w:r>
      <w:r w:rsidRPr="00EB4728">
        <w:rPr>
          <w:rFonts w:ascii="Palatino Linotype" w:eastAsia="MS Gothic" w:hAnsi="Palatino Linotype"/>
        </w:rPr>
        <w:t xml:space="preserve">, se debe señalar el procedimiento, de los tres que establecen los artículos 132 y 106 de la Ley Estatal y General, respectivamente, por el que se realiza dicha </w:t>
      </w:r>
      <w:r w:rsidRPr="00EB4728">
        <w:rPr>
          <w:rFonts w:ascii="Palatino Linotype" w:hAnsi="Palatino Linotype" w:cs="Arial"/>
        </w:rPr>
        <w:t>clasificación</w:t>
      </w:r>
      <w:r w:rsidRPr="00EB4728">
        <w:rPr>
          <w:rFonts w:ascii="Palatino Linotype" w:eastAsia="MS Gothic" w:hAnsi="Palatino Linotype"/>
        </w:rPr>
        <w:t>, a saber, cuando se atiende una solicitud de acceso a la información, porque lo determina una autoridad competente o porque se va a generar una versión pública para cumplir con sus obligaciones.</w:t>
      </w:r>
    </w:p>
    <w:p w:rsidR="00B972ED" w:rsidRPr="00EB4728" w:rsidRDefault="00B972ED" w:rsidP="00B972ED">
      <w:pPr>
        <w:pStyle w:val="Prrafodelista"/>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El último</w:t>
      </w:r>
      <w:r w:rsidRPr="00EB4728">
        <w:rPr>
          <w:rFonts w:ascii="Palatino Linotype" w:eastAsia="MS Gothic" w:hAnsi="Palatino Linotype"/>
        </w:rPr>
        <w:t xml:space="preserve"> de estos requisitos previos consiste en que no se pueden emitir acuerdos de carácter general ni particular, según lo disponen los artículos 134 y 108 de la Ley Estatal y de la Ley General, respectivamente, esto es, </w:t>
      </w:r>
      <w:r w:rsidRPr="00EB4728">
        <w:rPr>
          <w:rFonts w:ascii="Palatino Linotype" w:eastAsia="MS Gothic" w:hAnsi="Palatino Linotype"/>
          <w:b/>
          <w:u w:val="single"/>
        </w:rPr>
        <w:t xml:space="preserve">no se puede hacer </w:t>
      </w:r>
      <w:r w:rsidRPr="00EB4728">
        <w:rPr>
          <w:rFonts w:ascii="Palatino Linotype" w:hAnsi="Palatino Linotype" w:cs="Arial"/>
        </w:rPr>
        <w:t>un</w:t>
      </w:r>
      <w:r w:rsidRPr="00EB4728">
        <w:rPr>
          <w:rFonts w:ascii="Palatino Linotype" w:eastAsia="MS Gothic" w:hAnsi="Palatino Linotype"/>
          <w:b/>
          <w:u w:val="single"/>
        </w:rPr>
        <w:t xml:space="preserve"> acuerdo para clasificar de manera general todos los documentos de un expediente o área</w:t>
      </w:r>
      <w:r w:rsidRPr="00EB4728">
        <w:rPr>
          <w:rFonts w:ascii="Palatino Linotype" w:eastAsia="MS Gothic" w:hAnsi="Palatino Linotype"/>
          <w:b/>
        </w:rPr>
        <w:t xml:space="preserve">,  </w:t>
      </w:r>
      <w:r w:rsidRPr="00EB4728">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p>
    <w:p w:rsidR="00B972ED" w:rsidRPr="00EB4728" w:rsidRDefault="00B972ED" w:rsidP="00B972ED">
      <w:pPr>
        <w:pStyle w:val="Prrafodelista"/>
        <w:rPr>
          <w:rFonts w:ascii="Palatino Linotype" w:hAnsi="Palatino Linotype" w:cs="Arial"/>
        </w:rPr>
      </w:pPr>
    </w:p>
    <w:p w:rsidR="00B972ED" w:rsidRPr="00EB4728" w:rsidRDefault="00B972ED" w:rsidP="00B972ED">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64" w:name="_Toc83901405"/>
      <w:r w:rsidRPr="00EB4728">
        <w:rPr>
          <w:rFonts w:ascii="Palatino Linotype" w:hAnsi="Palatino Linotype" w:cs="Arial"/>
          <w:b/>
        </w:rPr>
        <w:t>II. Supuestos de clasificación.</w:t>
      </w:r>
      <w:bookmarkEnd w:id="164"/>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Las</w:t>
      </w:r>
      <w:r w:rsidRPr="00EB4728">
        <w:rPr>
          <w:rFonts w:ascii="Palatino Linotype" w:eastAsia="MS Gothic" w:hAnsi="Palatino Linotype"/>
        </w:rPr>
        <w:t xml:space="preserve"> </w:t>
      </w:r>
      <w:r w:rsidRPr="00EB4728">
        <w:rPr>
          <w:rFonts w:ascii="Palatino Linotype" w:hAnsi="Palatino Linotype" w:cs="Arial"/>
        </w:rPr>
        <w:t>disposiciones</w:t>
      </w:r>
      <w:r w:rsidRPr="00EB4728">
        <w:rPr>
          <w:rFonts w:ascii="Palatino Linotype" w:eastAsia="MS Gothic" w:hAnsi="Palatino Linotype"/>
        </w:rPr>
        <w:t xml:space="preserve"> constitucionales y legales en la materia establecen los dos supuestos generales para clasificar la información: por reserva y por confidencialidad.</w:t>
      </w:r>
    </w:p>
    <w:p w:rsidR="00B32509" w:rsidRPr="00EB4728" w:rsidRDefault="00B32509" w:rsidP="00B32509">
      <w:pPr>
        <w:pStyle w:val="Prrafodelista"/>
        <w:tabs>
          <w:tab w:val="left" w:pos="284"/>
        </w:tabs>
        <w:spacing w:line="360" w:lineRule="auto"/>
        <w:ind w:left="0" w:right="49"/>
        <w:jc w:val="both"/>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eastAsia="MS Gothic" w:hAnsi="Palatino Linotype"/>
        </w:rPr>
        <w:lastRenderedPageBreak/>
        <w:t>Los artículos</w:t>
      </w:r>
      <w:r w:rsidRPr="00EB4728">
        <w:rPr>
          <w:rFonts w:ascii="Palatino Linotype" w:hAnsi="Palatino Linotype" w:cs="Arial"/>
        </w:rPr>
        <w:t xml:space="preserve"> </w:t>
      </w:r>
      <w:r w:rsidRPr="00EB4728">
        <w:rPr>
          <w:rFonts w:ascii="Palatino Linotype" w:eastAsia="MS Gothic" w:hAnsi="Palatino Linotype"/>
        </w:rPr>
        <w:t xml:space="preserve">143 y 116 de la Ley Estatal y de la Ley General, respectivamente, señalan </w:t>
      </w:r>
      <w:r w:rsidRPr="00EB4728">
        <w:rPr>
          <w:rFonts w:ascii="Palatino Linotype" w:hAnsi="Palatino Linotype" w:cs="Arial"/>
        </w:rPr>
        <w:t>los</w:t>
      </w:r>
      <w:r w:rsidRPr="00EB4728">
        <w:rPr>
          <w:rFonts w:ascii="Palatino Linotype" w:eastAsia="MS Gothic" w:hAnsi="Palatino Linotype"/>
        </w:rPr>
        <w:t xml:space="preserve"> supuestos para que la información pueda ser clasificada como confidencial:</w:t>
      </w:r>
    </w:p>
    <w:p w:rsidR="00B972ED" w:rsidRPr="00EB4728" w:rsidRDefault="00B972ED" w:rsidP="00B972ED">
      <w:pPr>
        <w:pStyle w:val="Prrafodelista"/>
        <w:rPr>
          <w:rFonts w:ascii="Palatino Linotype" w:hAnsi="Palatino Linotype" w:cs="Arial"/>
        </w:rPr>
      </w:pPr>
    </w:p>
    <w:p w:rsidR="00B972ED" w:rsidRPr="00EB4728" w:rsidRDefault="00B972ED" w:rsidP="00B972ED">
      <w:pPr>
        <w:widowControl w:val="0"/>
        <w:tabs>
          <w:tab w:val="left" w:pos="8222"/>
        </w:tabs>
        <w:autoSpaceDE w:val="0"/>
        <w:autoSpaceDN w:val="0"/>
        <w:adjustRightInd w:val="0"/>
        <w:ind w:left="567" w:right="567"/>
        <w:jc w:val="both"/>
        <w:rPr>
          <w:rFonts w:ascii="Palatino Linotype" w:hAnsi="Palatino Linotype" w:cs="Times"/>
          <w:i/>
          <w:color w:val="000000"/>
        </w:rPr>
      </w:pPr>
      <w:r w:rsidRPr="00EB4728">
        <w:rPr>
          <w:rFonts w:ascii="Palatino Linotype" w:hAnsi="Palatino Linotype" w:cs="Bookman Old Style"/>
          <w:bCs/>
          <w:i/>
          <w:color w:val="000000"/>
        </w:rPr>
        <w:t xml:space="preserve">“I. </w:t>
      </w:r>
      <w:r w:rsidRPr="00EB4728">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B972ED" w:rsidRPr="00EB4728" w:rsidRDefault="00B972ED" w:rsidP="00B972ED">
      <w:pPr>
        <w:widowControl w:val="0"/>
        <w:tabs>
          <w:tab w:val="left" w:pos="8222"/>
        </w:tabs>
        <w:autoSpaceDE w:val="0"/>
        <w:autoSpaceDN w:val="0"/>
        <w:adjustRightInd w:val="0"/>
        <w:ind w:left="567" w:right="567"/>
        <w:jc w:val="both"/>
        <w:rPr>
          <w:rFonts w:ascii="Palatino Linotype" w:hAnsi="Palatino Linotype" w:cs="Times"/>
          <w:i/>
          <w:color w:val="000000"/>
        </w:rPr>
      </w:pPr>
      <w:r w:rsidRPr="00EB4728">
        <w:rPr>
          <w:rFonts w:ascii="Palatino Linotype" w:hAnsi="Palatino Linotype" w:cs="Bookman Old Style"/>
          <w:bCs/>
          <w:i/>
          <w:color w:val="000000"/>
        </w:rPr>
        <w:t xml:space="preserve">II. </w:t>
      </w:r>
      <w:r w:rsidRPr="00EB4728">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B972ED" w:rsidRPr="00EB4728" w:rsidRDefault="00B972ED" w:rsidP="00B972ED">
      <w:pPr>
        <w:widowControl w:val="0"/>
        <w:tabs>
          <w:tab w:val="left" w:pos="8222"/>
        </w:tabs>
        <w:autoSpaceDE w:val="0"/>
        <w:autoSpaceDN w:val="0"/>
        <w:adjustRightInd w:val="0"/>
        <w:ind w:left="567" w:right="567"/>
        <w:jc w:val="both"/>
        <w:rPr>
          <w:rFonts w:ascii="Palatino Linotype" w:hAnsi="Palatino Linotype" w:cs="Times"/>
          <w:i/>
          <w:color w:val="000000"/>
        </w:rPr>
      </w:pPr>
      <w:r w:rsidRPr="00EB4728">
        <w:rPr>
          <w:rFonts w:ascii="Palatino Linotype" w:hAnsi="Palatino Linotype" w:cs="Bookman Old Style"/>
          <w:bCs/>
          <w:i/>
          <w:color w:val="000000"/>
        </w:rPr>
        <w:t xml:space="preserve">III. </w:t>
      </w:r>
      <w:r w:rsidRPr="00EB4728">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B972ED" w:rsidRPr="00EB4728" w:rsidRDefault="00B972ED" w:rsidP="00B972ED">
      <w:pPr>
        <w:widowControl w:val="0"/>
        <w:tabs>
          <w:tab w:val="left" w:pos="8222"/>
        </w:tabs>
        <w:autoSpaceDE w:val="0"/>
        <w:autoSpaceDN w:val="0"/>
        <w:adjustRightInd w:val="0"/>
        <w:ind w:left="567" w:right="567"/>
        <w:jc w:val="both"/>
        <w:rPr>
          <w:rFonts w:ascii="Palatino Linotype" w:hAnsi="Palatino Linotype" w:cs="Times"/>
          <w:i/>
          <w:color w:val="000000"/>
        </w:rPr>
      </w:pPr>
      <w:r w:rsidRPr="00EB4728">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B972ED" w:rsidRPr="00EB4728" w:rsidRDefault="00B972ED" w:rsidP="00B972ED">
      <w:pPr>
        <w:widowControl w:val="0"/>
        <w:tabs>
          <w:tab w:val="left" w:pos="8222"/>
        </w:tabs>
        <w:autoSpaceDE w:val="0"/>
        <w:autoSpaceDN w:val="0"/>
        <w:adjustRightInd w:val="0"/>
        <w:ind w:left="567" w:right="567"/>
        <w:jc w:val="both"/>
        <w:rPr>
          <w:rFonts w:ascii="Palatino Linotype" w:hAnsi="Palatino Linotype" w:cs="Bookman Old Style"/>
          <w:i/>
          <w:color w:val="000000"/>
        </w:rPr>
      </w:pPr>
      <w:r w:rsidRPr="00EB4728">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B972ED" w:rsidRPr="00EB4728" w:rsidRDefault="00B972ED" w:rsidP="00B972ED">
      <w:pPr>
        <w:pStyle w:val="Prrafodelista"/>
        <w:tabs>
          <w:tab w:val="left" w:pos="0"/>
          <w:tab w:val="left" w:pos="142"/>
        </w:tabs>
        <w:spacing w:line="360" w:lineRule="auto"/>
        <w:ind w:left="0"/>
        <w:jc w:val="both"/>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 xml:space="preserve">Mientras </w:t>
      </w:r>
      <w:r w:rsidRPr="00EB4728">
        <w:rPr>
          <w:rFonts w:ascii="Palatino Linotype" w:eastAsia="MS Gothic"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B972ED" w:rsidRPr="00EB4728" w:rsidRDefault="00B972ED" w:rsidP="00B972ED">
      <w:pPr>
        <w:pStyle w:val="Prrafodelista"/>
        <w:tabs>
          <w:tab w:val="left" w:pos="0"/>
          <w:tab w:val="left" w:pos="142"/>
        </w:tabs>
        <w:spacing w:line="360" w:lineRule="auto"/>
        <w:ind w:left="0"/>
        <w:jc w:val="both"/>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Como</w:t>
      </w:r>
      <w:r w:rsidRPr="00EB4728">
        <w:rPr>
          <w:rFonts w:ascii="Palatino Linotype" w:eastAsia="MS Gothic" w:hAnsi="Palatino Linotype"/>
        </w:rPr>
        <w:t xml:space="preserve"> </w:t>
      </w:r>
      <w:r w:rsidRPr="00EB4728">
        <w:rPr>
          <w:rFonts w:ascii="Palatino Linotype" w:hAnsi="Palatino Linotype" w:cs="Arial"/>
        </w:rPr>
        <w:t>c</w:t>
      </w:r>
      <w:r w:rsidRPr="00EB4728">
        <w:rPr>
          <w:rFonts w:ascii="Palatino Linotype" w:eastAsia="MS Gothic" w:hAnsi="Palatino Linotype"/>
        </w:rPr>
        <w:t xml:space="preserve">onsecuencia de lo anterior, el </w:t>
      </w:r>
      <w:r w:rsidRPr="00EB4728">
        <w:rPr>
          <w:rFonts w:ascii="Palatino Linotype" w:eastAsia="MS Gothic" w:hAnsi="Palatino Linotype"/>
          <w:b/>
        </w:rPr>
        <w:t>SUJETO OBLIGADO</w:t>
      </w:r>
      <w:r w:rsidRPr="00EB4728">
        <w:rPr>
          <w:rFonts w:ascii="Palatino Linotype" w:eastAsia="MS Gothic" w:hAnsi="Palatino Linotype"/>
        </w:rPr>
        <w:t xml:space="preserve"> debe identificar </w:t>
      </w:r>
      <w:r w:rsidRPr="00EB4728">
        <w:rPr>
          <w:rFonts w:ascii="Palatino Linotype" w:hAnsi="Palatino Linotype" w:cs="Arial"/>
        </w:rPr>
        <w:t>claramente</w:t>
      </w:r>
      <w:r w:rsidRPr="00EB4728">
        <w:rPr>
          <w:rFonts w:ascii="Palatino Linotype" w:eastAsia="MS Gothic" w:hAnsi="Palatino Linotype"/>
        </w:rPr>
        <w:t xml:space="preserve"> el tipo de información y hacer un juicio de subsunción o encaje</w:t>
      </w:r>
      <w:r w:rsidRPr="00EB4728">
        <w:rPr>
          <w:rFonts w:ascii="Palatino Linotype" w:eastAsia="MS Gothic" w:hAnsi="Palatino Linotype"/>
          <w:vertAlign w:val="superscript"/>
        </w:rPr>
        <w:footnoteReference w:id="4"/>
      </w:r>
      <w:r w:rsidRPr="00EB4728">
        <w:rPr>
          <w:rFonts w:ascii="Palatino Linotype" w:eastAsia="MS Gothic" w:hAnsi="Palatino Linotype"/>
        </w:rPr>
        <w:t xml:space="preserve"> para </w:t>
      </w:r>
      <w:r w:rsidRPr="00EB4728">
        <w:rPr>
          <w:rFonts w:ascii="Palatino Linotype" w:eastAsia="MS Gothic" w:hAnsi="Palatino Linotype"/>
        </w:rPr>
        <w:lastRenderedPageBreak/>
        <w:t>acreditar que el supuesto de hecho corresponde estrictamente con la hipótesis jurídica. Esto también lo debe de realizar el servidor público habilitado y el titular del área que administra la información.</w:t>
      </w:r>
    </w:p>
    <w:p w:rsidR="00B972ED" w:rsidRPr="00EB4728" w:rsidRDefault="00B972ED" w:rsidP="00B972ED">
      <w:pPr>
        <w:pStyle w:val="Prrafodelista"/>
        <w:spacing w:line="360" w:lineRule="auto"/>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Al respecto,</w:t>
      </w:r>
      <w:r w:rsidRPr="00EB4728">
        <w:rPr>
          <w:rFonts w:ascii="Palatino Linotype" w:eastAsia="MS Gothic" w:hAnsi="Palatino Linotype"/>
        </w:rPr>
        <w:t xml:space="preserve"> los Lineamientos Generales en Materia de Clasificación y </w:t>
      </w:r>
      <w:r w:rsidRPr="00EB4728">
        <w:rPr>
          <w:rFonts w:ascii="Palatino Linotype" w:hAnsi="Palatino Linotype" w:cs="Arial"/>
        </w:rPr>
        <w:t>Desclasificación</w:t>
      </w:r>
      <w:r w:rsidRPr="00EB4728">
        <w:rPr>
          <w:rFonts w:ascii="Palatino Linotype" w:eastAsia="MS Gothic" w:hAnsi="Palatino Linotype"/>
        </w:rPr>
        <w:t xml:space="preserve"> de la Información, así Como para la Elaboración de Versiones Públicas, por cuanto hace a la clasificación de la información, señalan lo siguiente:</w:t>
      </w:r>
    </w:p>
    <w:p w:rsidR="00B972ED" w:rsidRPr="00EB4728" w:rsidRDefault="00B972ED" w:rsidP="00B972ED">
      <w:pPr>
        <w:pStyle w:val="Prrafodelista"/>
        <w:rPr>
          <w:rFonts w:ascii="Palatino Linotype" w:hAnsi="Palatino Linotype" w:cs="Arial"/>
        </w:rPr>
      </w:pP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i/>
        </w:rPr>
        <w:t>“</w:t>
      </w:r>
      <w:r w:rsidRPr="00EB4728">
        <w:rPr>
          <w:rFonts w:ascii="Palatino Linotype" w:hAnsi="Palatino Linotype" w:cs="Arial"/>
          <w:b/>
          <w:i/>
        </w:rPr>
        <w:t>Quincuagésimo.</w:t>
      </w:r>
      <w:r w:rsidRPr="00EB4728">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b/>
          <w:i/>
        </w:rPr>
        <w:t>Quincuagésimo primero.</w:t>
      </w:r>
      <w:r w:rsidRPr="00EB4728">
        <w:rPr>
          <w:rFonts w:ascii="Palatino Linotype" w:hAnsi="Palatino Linotype" w:cs="Arial"/>
          <w:i/>
        </w:rPr>
        <w:t xml:space="preserve"> La leyenda en los documentos clasificados indicará:</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i/>
        </w:rPr>
        <w:t>I. La fecha de sesión del Comité de Transparencia en donde se confirmó la clasificación, en su caso;</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i/>
        </w:rPr>
        <w:t>II. El nombre del área;</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i/>
        </w:rPr>
        <w:t>III. La palabra reservado o confidencial;</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i/>
        </w:rPr>
        <w:t>IV. Las partes o secciones reservadas o confidenciales, en su caso;</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i/>
        </w:rPr>
        <w:t>V. El fundamento legal;</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i/>
        </w:rPr>
        <w:t>VI. El periodo de reserva, y</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i/>
        </w:rPr>
        <w:lastRenderedPageBreak/>
        <w:t>VII. La rúbrica del titular del área.</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b/>
          <w:i/>
        </w:rPr>
        <w:t>Quincuagésimo segundo.</w:t>
      </w:r>
      <w:r w:rsidRPr="00EB4728">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r w:rsidRPr="00EB4728">
        <w:rPr>
          <w:rFonts w:ascii="Palatino Linotype" w:hAnsi="Palatino Linotype" w:cs="Arial"/>
          <w:b/>
          <w:i/>
        </w:rPr>
        <w:t>Quincuagésimo tercero.</w:t>
      </w:r>
      <w:r w:rsidRPr="00EB4728">
        <w:rPr>
          <w:rFonts w:ascii="Palatino Linotype" w:hAnsi="Palatino Linotype" w:cs="Arial"/>
          <w:i/>
        </w:rPr>
        <w:t xml:space="preserve"> El formato para señalar la clasificación parcial de un documento, es el siguiente: </w:t>
      </w:r>
    </w:p>
    <w:p w:rsidR="00B972ED" w:rsidRPr="00EB4728" w:rsidRDefault="00B972ED" w:rsidP="00B972ED">
      <w:pPr>
        <w:pStyle w:val="Prrafodelista"/>
        <w:tabs>
          <w:tab w:val="left" w:pos="142"/>
          <w:tab w:val="left" w:pos="284"/>
          <w:tab w:val="left" w:pos="426"/>
        </w:tabs>
        <w:ind w:left="567" w:right="567"/>
        <w:jc w:val="both"/>
        <w:rPr>
          <w:rFonts w:ascii="Palatino Linotype" w:hAnsi="Palatino Linotype" w:cs="Arial"/>
          <w:i/>
        </w:rPr>
      </w:pPr>
    </w:p>
    <w:p w:rsidR="00B972ED" w:rsidRPr="00EB4728" w:rsidRDefault="00B972ED" w:rsidP="00B972ED">
      <w:pPr>
        <w:pStyle w:val="Prrafodelista"/>
        <w:tabs>
          <w:tab w:val="left" w:pos="0"/>
          <w:tab w:val="left" w:pos="142"/>
        </w:tabs>
        <w:spacing w:line="360" w:lineRule="auto"/>
        <w:ind w:left="0"/>
        <w:jc w:val="center"/>
        <w:rPr>
          <w:rFonts w:ascii="Palatino Linotype" w:hAnsi="Palatino Linotype" w:cs="Arial"/>
        </w:rPr>
      </w:pPr>
      <w:r w:rsidRPr="00EB4728">
        <w:rPr>
          <w:rFonts w:ascii="Palatino Linotype" w:hAnsi="Palatino Linotype" w:cs="Arial"/>
          <w:i/>
          <w:noProof/>
          <w:lang w:val="es-MX" w:eastAsia="es-MX"/>
        </w:rPr>
        <w:drawing>
          <wp:inline distT="0" distB="0" distL="0" distR="0" wp14:anchorId="20141D54" wp14:editId="3EB5E593">
            <wp:extent cx="3697793" cy="3577213"/>
            <wp:effectExtent l="57150" t="57150" r="112395" b="11874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0680" cy="35413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72ED" w:rsidRPr="00EB4728" w:rsidRDefault="00B972ED" w:rsidP="00B972ED">
      <w:pPr>
        <w:pStyle w:val="Prrafodelista"/>
        <w:tabs>
          <w:tab w:val="left" w:pos="0"/>
          <w:tab w:val="left" w:pos="142"/>
        </w:tabs>
        <w:spacing w:line="360" w:lineRule="auto"/>
        <w:ind w:left="0"/>
        <w:jc w:val="center"/>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lastRenderedPageBreak/>
        <w:t xml:space="preserve">Una vez </w:t>
      </w:r>
      <w:r w:rsidRPr="00EB4728">
        <w:rPr>
          <w:rFonts w:ascii="Palatino Linotype" w:eastAsia="MS Gothic" w:hAnsi="Palatino Linotype"/>
        </w:rPr>
        <w:t xml:space="preserve">hecho lo anterior, se remite la información al Titular de la Unidad de </w:t>
      </w:r>
      <w:r w:rsidRPr="00EB4728">
        <w:rPr>
          <w:rFonts w:ascii="Palatino Linotype" w:hAnsi="Palatino Linotype" w:cs="Arial"/>
        </w:rPr>
        <w:t>Transparencia</w:t>
      </w:r>
      <w:r w:rsidRPr="00EB4728">
        <w:rPr>
          <w:rFonts w:ascii="Palatino Linotype" w:eastAsia="MS Gothic" w:hAnsi="Palatino Linotype"/>
        </w:rPr>
        <w:t>, con el acuerdo de clasificación correspondiente, para que sea sometido al conocimiento del Comité de Transparencia.</w:t>
      </w:r>
    </w:p>
    <w:p w:rsidR="00B972ED" w:rsidRPr="00EB4728" w:rsidRDefault="00B972ED" w:rsidP="00B972ED">
      <w:pPr>
        <w:pStyle w:val="Prrafodelista"/>
        <w:tabs>
          <w:tab w:val="left" w:pos="0"/>
          <w:tab w:val="left" w:pos="142"/>
        </w:tabs>
        <w:spacing w:line="360" w:lineRule="auto"/>
        <w:ind w:left="0"/>
        <w:jc w:val="both"/>
        <w:rPr>
          <w:rFonts w:ascii="Palatino Linotype" w:eastAsia="MS Gothic" w:hAnsi="Palatino Linotype"/>
        </w:rPr>
      </w:pPr>
    </w:p>
    <w:p w:rsidR="00B972ED" w:rsidRPr="00EB4728" w:rsidRDefault="00B972ED" w:rsidP="00B972ED">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65" w:name="_Toc51863317"/>
      <w:bookmarkStart w:id="166" w:name="_Toc52444651"/>
      <w:bookmarkStart w:id="167" w:name="_Toc57154370"/>
      <w:bookmarkStart w:id="168" w:name="_Toc65170176"/>
      <w:bookmarkStart w:id="169" w:name="_Toc66371802"/>
      <w:bookmarkStart w:id="170" w:name="_Toc67584837"/>
      <w:bookmarkStart w:id="171" w:name="_Toc70070913"/>
      <w:bookmarkStart w:id="172" w:name="_Toc70417474"/>
      <w:bookmarkStart w:id="173" w:name="_Toc71234389"/>
      <w:bookmarkStart w:id="174" w:name="_Toc83901406"/>
      <w:r w:rsidRPr="00EB4728">
        <w:rPr>
          <w:rFonts w:ascii="Palatino Linotype" w:hAnsi="Palatino Linotype" w:cs="Arial"/>
          <w:b/>
        </w:rPr>
        <w:t>III. La intervención del Comité de Transparencia.</w:t>
      </w:r>
      <w:bookmarkEnd w:id="165"/>
      <w:bookmarkEnd w:id="166"/>
      <w:bookmarkEnd w:id="167"/>
      <w:bookmarkEnd w:id="168"/>
      <w:bookmarkEnd w:id="169"/>
      <w:bookmarkEnd w:id="170"/>
      <w:bookmarkEnd w:id="171"/>
      <w:bookmarkEnd w:id="172"/>
      <w:bookmarkEnd w:id="173"/>
      <w:bookmarkEnd w:id="174"/>
    </w:p>
    <w:p w:rsidR="00B972ED" w:rsidRPr="00EB4728" w:rsidRDefault="00B972ED" w:rsidP="00B972ED">
      <w:pPr>
        <w:pStyle w:val="Prrafodelista"/>
        <w:tabs>
          <w:tab w:val="left" w:pos="142"/>
          <w:tab w:val="left" w:pos="284"/>
          <w:tab w:val="left" w:pos="426"/>
        </w:tabs>
        <w:spacing w:line="360" w:lineRule="auto"/>
        <w:ind w:left="0"/>
        <w:jc w:val="both"/>
        <w:rPr>
          <w:rFonts w:ascii="Palatino Linotype" w:hAnsi="Palatino Linotype" w:cs="Arial"/>
          <w:b/>
        </w:rPr>
      </w:pPr>
      <w:r w:rsidRPr="00EB4728">
        <w:rPr>
          <w:rFonts w:ascii="Palatino Linotype" w:hAnsi="Palatino Linotype" w:cs="Arial"/>
          <w:b/>
        </w:rPr>
        <w:t>a) Formalidades para emitir el Acuerdo de Clasificación.</w:t>
      </w: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eastAsia="MS Gothic" w:hAnsi="Palatino Linotype"/>
        </w:rPr>
        <w:t>El Comité</w:t>
      </w:r>
      <w:r w:rsidRPr="00EB4728">
        <w:rPr>
          <w:rFonts w:ascii="Palatino Linotype" w:hAnsi="Palatino Linotype" w:cs="Arial"/>
        </w:rPr>
        <w:t xml:space="preserve"> </w:t>
      </w:r>
      <w:r w:rsidRPr="00EB4728">
        <w:rPr>
          <w:rFonts w:ascii="Palatino Linotype" w:eastAsia="MS Gothic" w:hAnsi="Palatino Linotype"/>
        </w:rPr>
        <w:t xml:space="preserve">de Transparencia, según lo dispuesto en los artículos 128 y 103 de la Ley </w:t>
      </w:r>
      <w:r w:rsidRPr="00EB4728">
        <w:rPr>
          <w:rFonts w:ascii="Palatino Linotype" w:hAnsi="Palatino Linotype" w:cs="Arial"/>
        </w:rPr>
        <w:t>Estatal</w:t>
      </w:r>
      <w:r w:rsidRPr="00EB4728">
        <w:rPr>
          <w:rFonts w:ascii="Palatino Linotype" w:eastAsia="MS Gothic" w:hAnsi="Palatino Linotype"/>
        </w:rPr>
        <w:t xml:space="preserve">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EB4728">
        <w:rPr>
          <w:rFonts w:ascii="Palatino Linotype" w:eastAsia="MS Gothic" w:hAnsi="Palatino Linotype"/>
          <w:b/>
          <w:u w:val="single"/>
        </w:rPr>
        <w:t>confirmar, modificar o revocar</w:t>
      </w:r>
      <w:r w:rsidRPr="00EB4728">
        <w:rPr>
          <w:rFonts w:ascii="Palatino Linotype" w:eastAsia="MS Gothic" w:hAnsi="Palatino Linotype"/>
        </w:rPr>
        <w:t xml:space="preserve"> la clasificación de la información que ha hecho el titular del área que administra la información. Por lo tanto, el Comité </w:t>
      </w:r>
      <w:r w:rsidRPr="00EB4728">
        <w:rPr>
          <w:rFonts w:ascii="Palatino Linotype" w:eastAsia="MS Gothic" w:hAnsi="Palatino Linotype"/>
          <w:b/>
          <w:u w:val="single"/>
        </w:rPr>
        <w:t>no aprueba</w:t>
      </w:r>
      <w:r w:rsidRPr="00EB4728">
        <w:rPr>
          <w:rFonts w:ascii="Palatino Linotype" w:eastAsia="MS Gothic" w:hAnsi="Palatino Linotype"/>
        </w:rPr>
        <w:t xml:space="preserve"> la clasificación, sino que revisa lo que ha hecho el titular del área y confirma, modifica o revoca la decisión a través de un acuerdo.</w:t>
      </w:r>
    </w:p>
    <w:p w:rsidR="00B972ED" w:rsidRPr="00EB4728" w:rsidRDefault="00B972ED" w:rsidP="00B972ED">
      <w:pPr>
        <w:pStyle w:val="Prrafodelista"/>
        <w:tabs>
          <w:tab w:val="left" w:pos="0"/>
          <w:tab w:val="left" w:pos="142"/>
        </w:tabs>
        <w:spacing w:line="360" w:lineRule="auto"/>
        <w:ind w:left="0"/>
        <w:jc w:val="both"/>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eastAsia="MS Gothic" w:hAnsi="Palatino Linotype"/>
        </w:rPr>
        <w:t xml:space="preserve">Evidentemente, esta decisión implica una restricción a un derecho humano, por lo tanto, puede generar un agravio al particular y, en consecuencia, es necesario que </w:t>
      </w:r>
      <w:r w:rsidRPr="00EB4728">
        <w:rPr>
          <w:rFonts w:ascii="Palatino Linotype" w:eastAsia="MS Gothic" w:hAnsi="Palatino Linotype"/>
          <w:b/>
          <w:u w:val="single"/>
        </w:rPr>
        <w:t>el acto reúna con los requisitos elementales</w:t>
      </w:r>
      <w:r w:rsidRPr="00EB4728">
        <w:rPr>
          <w:rFonts w:ascii="Palatino Linotype" w:eastAsia="MS Gothic" w:hAnsi="Palatino Linotype"/>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EB4728">
        <w:rPr>
          <w:rFonts w:ascii="Palatino Linotype" w:eastAsia="MS Gothic" w:hAnsi="Palatino Linotype"/>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B972ED" w:rsidRPr="00EB4728" w:rsidRDefault="00B972ED" w:rsidP="00B972ED">
      <w:pPr>
        <w:pStyle w:val="Prrafodelista"/>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 xml:space="preserve">La decisión </w:t>
      </w:r>
      <w:r w:rsidRPr="00EB4728">
        <w:rPr>
          <w:rFonts w:ascii="Palatino Linotype" w:eastAsia="MS Gothic" w:hAnsi="Palatino Linotype"/>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B972ED" w:rsidRPr="00EB4728" w:rsidRDefault="00B972ED" w:rsidP="00B972ED">
      <w:pPr>
        <w:pStyle w:val="Prrafodelista"/>
        <w:tabs>
          <w:tab w:val="left" w:pos="142"/>
          <w:tab w:val="left" w:pos="284"/>
          <w:tab w:val="left" w:pos="426"/>
        </w:tabs>
        <w:spacing w:line="360" w:lineRule="auto"/>
        <w:ind w:left="0"/>
        <w:jc w:val="both"/>
        <w:rPr>
          <w:rFonts w:ascii="Palatino Linotype" w:hAnsi="Palatino Linotype" w:cs="Arial"/>
        </w:rPr>
      </w:pPr>
    </w:p>
    <w:p w:rsidR="00B972ED" w:rsidRPr="00EB4728" w:rsidRDefault="00B972ED" w:rsidP="00B972ED">
      <w:pPr>
        <w:pStyle w:val="Prrafodelista"/>
        <w:tabs>
          <w:tab w:val="left" w:pos="142"/>
          <w:tab w:val="left" w:pos="284"/>
          <w:tab w:val="left" w:pos="426"/>
        </w:tabs>
        <w:spacing w:line="360" w:lineRule="auto"/>
        <w:ind w:left="0"/>
        <w:jc w:val="both"/>
        <w:rPr>
          <w:rFonts w:ascii="Palatino Linotype" w:hAnsi="Palatino Linotype" w:cs="Arial"/>
          <w:b/>
        </w:rPr>
      </w:pPr>
      <w:r w:rsidRPr="00EB4728">
        <w:rPr>
          <w:rFonts w:ascii="Palatino Linotype" w:hAnsi="Palatino Linotype" w:cs="Arial"/>
          <w:b/>
        </w:rPr>
        <w:t>b) Requisitos de fondo del Acuerdo de Clasificación.</w:t>
      </w: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 xml:space="preserve">Como </w:t>
      </w:r>
      <w:r w:rsidRPr="00EB4728">
        <w:rPr>
          <w:rFonts w:ascii="Palatino Linotype" w:eastAsia="MS Gothic" w:hAnsi="Palatino Linotype"/>
        </w:rPr>
        <w:t xml:space="preserve">se ha señalado antes, al hacer el juicio de subsunción o encaje entre el supuesto </w:t>
      </w:r>
      <w:r w:rsidRPr="00EB4728">
        <w:rPr>
          <w:rFonts w:ascii="Palatino Linotype" w:hAnsi="Palatino Linotype" w:cs="Arial"/>
        </w:rPr>
        <w:t>de</w:t>
      </w:r>
      <w:r w:rsidRPr="00EB4728">
        <w:rPr>
          <w:rFonts w:ascii="Palatino Linotype" w:eastAsia="MS Gothic" w:hAnsi="Palatino Linotype"/>
        </w:rPr>
        <w:t xml:space="preserve"> hecho y la hipótesis jurídica, se debe acreditar la estricta </w:t>
      </w:r>
      <w:r w:rsidRPr="00EB4728">
        <w:rPr>
          <w:rFonts w:ascii="Palatino Linotype" w:hAnsi="Palatino Linotype" w:cs="Arial"/>
        </w:rPr>
        <w:t>correspondencia</w:t>
      </w:r>
      <w:r w:rsidRPr="00EB4728">
        <w:rPr>
          <w:rFonts w:ascii="Palatino Linotype" w:eastAsia="MS Gothic" w:hAnsi="Palatino Linotype"/>
        </w:rPr>
        <w:t xml:space="preserve">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B32509" w:rsidRPr="00EB4728" w:rsidRDefault="00B32509" w:rsidP="00B32509">
      <w:pPr>
        <w:pStyle w:val="Prrafodelista"/>
        <w:tabs>
          <w:tab w:val="left" w:pos="284"/>
        </w:tabs>
        <w:spacing w:line="360" w:lineRule="auto"/>
        <w:ind w:left="0" w:right="49"/>
        <w:jc w:val="both"/>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eastAsia="MS Gothic" w:hAnsi="Palatino Linotype"/>
        </w:rPr>
        <w:lastRenderedPageBreak/>
        <w:t xml:space="preserve">De lo anterior, se desprende que, para una correcta clasificación total o parcial, esto es determinar los datos que se suprimen en las versiones públicas, es necesario fundar y motivar, de manera correcta, la clasificación; considerando que todo acto </w:t>
      </w:r>
      <w:r w:rsidRPr="00EB4728">
        <w:rPr>
          <w:rFonts w:ascii="Palatino Linotype" w:hAnsi="Palatino Linotype" w:cs="Arial"/>
        </w:rPr>
        <w:t>que</w:t>
      </w:r>
      <w:r w:rsidRPr="00EB4728">
        <w:rPr>
          <w:rFonts w:ascii="Palatino Linotype" w:eastAsia="MS Gothic" w:hAnsi="Palatino Linotype"/>
        </w:rPr>
        <w:t xml:space="preserve"> la autoridad pronuncie en el ejercicio de sus atribuciones, debe expresar los fundamentos legales que le dieron origen y las razones por las que se deben aplicar al caso concreto.</w:t>
      </w:r>
    </w:p>
    <w:p w:rsidR="00B972ED" w:rsidRPr="00EB4728" w:rsidRDefault="00B972ED" w:rsidP="00B972ED">
      <w:pPr>
        <w:pStyle w:val="Prrafodelista"/>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 xml:space="preserve">Han </w:t>
      </w:r>
      <w:r w:rsidRPr="00EB4728">
        <w:rPr>
          <w:rFonts w:ascii="Palatino Linotype" w:eastAsia="MS Gothic" w:hAnsi="Palatino Linotype"/>
        </w:rPr>
        <w:t>sido vastos los estudios doctrinarios relativos a estos derechos fundamentales y al principio de legalidad en ellos contenidos; como ejemplo, el procesalista José Ovalle Fabela, en su obra “Garantías Constitucionales del Proceso”, refiere que “...</w:t>
      </w:r>
      <w:r w:rsidRPr="00EB4728">
        <w:rPr>
          <w:rFonts w:ascii="Palatino Linotype" w:eastAsia="MS Gothic" w:hAnsi="Palatino Linotype"/>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B4728">
        <w:rPr>
          <w:rFonts w:ascii="Palatino Linotype" w:eastAsia="MS Gothic" w:hAnsi="Palatino Linotype"/>
        </w:rPr>
        <w:t>...”</w:t>
      </w:r>
      <w:r w:rsidRPr="00EB4728">
        <w:rPr>
          <w:rFonts w:ascii="Palatino Linotype" w:eastAsia="MS Gothic" w:hAnsi="Palatino Linotype"/>
          <w:vertAlign w:val="superscript"/>
        </w:rPr>
        <w:footnoteReference w:id="5"/>
      </w:r>
    </w:p>
    <w:p w:rsidR="00B972ED" w:rsidRPr="00EB4728" w:rsidRDefault="00B972ED" w:rsidP="00B972ED">
      <w:pPr>
        <w:pStyle w:val="Prrafodelista"/>
        <w:tabs>
          <w:tab w:val="left" w:pos="0"/>
          <w:tab w:val="left" w:pos="142"/>
        </w:tabs>
        <w:spacing w:line="360" w:lineRule="auto"/>
        <w:ind w:left="0"/>
        <w:jc w:val="both"/>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Por su parte, el intérprete judicial del país ha establecido una jurisprudencia respecto a qué debe entenderse por fundamentación y motivación, en los siguientes términos:</w:t>
      </w:r>
    </w:p>
    <w:p w:rsidR="00B972ED" w:rsidRPr="00EB4728" w:rsidRDefault="00B972ED" w:rsidP="00B972ED">
      <w:pPr>
        <w:pStyle w:val="Prrafodelista"/>
        <w:spacing w:line="360" w:lineRule="auto"/>
        <w:rPr>
          <w:rFonts w:ascii="Palatino Linotype" w:hAnsi="Palatino Linotype" w:cs="Arial"/>
        </w:rPr>
      </w:pPr>
    </w:p>
    <w:p w:rsidR="00B972ED" w:rsidRPr="00EB4728" w:rsidRDefault="00B972ED" w:rsidP="00B972ED">
      <w:pPr>
        <w:ind w:left="567" w:right="567"/>
        <w:contextualSpacing/>
        <w:jc w:val="both"/>
        <w:rPr>
          <w:rFonts w:ascii="Palatino Linotype" w:hAnsi="Palatino Linotype" w:cs="Arial"/>
          <w:i/>
          <w:color w:val="000000"/>
        </w:rPr>
      </w:pPr>
      <w:r w:rsidRPr="00EB4728">
        <w:rPr>
          <w:rFonts w:ascii="Palatino Linotype" w:hAnsi="Palatino Linotype" w:cs="Arial"/>
          <w:b/>
          <w:i/>
          <w:color w:val="000000"/>
        </w:rPr>
        <w:t>FUNDAMENTACIÓN Y MOTIVACIÓN.</w:t>
      </w:r>
      <w:r w:rsidRPr="00EB4728">
        <w:rPr>
          <w:rFonts w:ascii="Palatino Linotype" w:hAnsi="Palatino Linotype" w:cs="Arial"/>
          <w:i/>
          <w:color w:val="000000"/>
        </w:rPr>
        <w:t xml:space="preserve"> “La </w:t>
      </w:r>
      <w:r w:rsidRPr="00EB4728">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B4728">
        <w:rPr>
          <w:rFonts w:ascii="Palatino Linotype" w:hAnsi="Palatino Linotype" w:cs="Arial"/>
          <w:i/>
          <w:color w:val="000000"/>
        </w:rPr>
        <w:t>.”</w:t>
      </w:r>
    </w:p>
    <w:p w:rsidR="00B972ED" w:rsidRPr="00EB4728" w:rsidRDefault="00B972ED" w:rsidP="00B972ED">
      <w:pPr>
        <w:pStyle w:val="Prrafodelista"/>
        <w:spacing w:line="360" w:lineRule="auto"/>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 xml:space="preserve">Así, </w:t>
      </w:r>
      <w:r w:rsidRPr="00EB4728">
        <w:rPr>
          <w:rFonts w:ascii="Palatino Linotype" w:eastAsia="MS Gothic" w:hAnsi="Palatino Linotype"/>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E4972" w:rsidRPr="00EB4728" w:rsidRDefault="003E4972" w:rsidP="003E4972">
      <w:pPr>
        <w:pStyle w:val="Prrafodelista"/>
        <w:tabs>
          <w:tab w:val="left" w:pos="284"/>
        </w:tabs>
        <w:spacing w:line="360" w:lineRule="auto"/>
        <w:ind w:left="0" w:right="49"/>
        <w:jc w:val="both"/>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eastAsia="MS Gothic" w:hAnsi="Palatino Linotype"/>
        </w:rPr>
        <w:t xml:space="preserve">En consecuencia, la fundamentación y motivación implica que, en el acto de autoridad, </w:t>
      </w:r>
      <w:r w:rsidRPr="00EB4728">
        <w:rPr>
          <w:rFonts w:ascii="Palatino Linotype" w:hAnsi="Palatino Linotype" w:cs="Arial"/>
        </w:rPr>
        <w:t>además</w:t>
      </w:r>
      <w:r w:rsidRPr="00EB4728">
        <w:rPr>
          <w:rFonts w:ascii="Palatino Linotype" w:eastAsia="MS Gothic" w:hAnsi="Palatino Linotype"/>
        </w:rPr>
        <w:t xml:space="preserve"> de contenerse los supuestos jurídicos aplicables se expliquen claramente por qué a través de la utilización de la norma se emitió el acto. De este modo, la </w:t>
      </w:r>
      <w:r w:rsidRPr="00EB4728">
        <w:rPr>
          <w:rFonts w:ascii="Palatino Linotype" w:hAnsi="Palatino Linotype" w:cs="Arial"/>
        </w:rPr>
        <w:t>persona</w:t>
      </w:r>
      <w:r w:rsidRPr="00EB4728">
        <w:rPr>
          <w:rFonts w:ascii="Palatino Linotype" w:eastAsia="MS Gothic" w:hAnsi="Palatino Linotype"/>
        </w:rPr>
        <w:t xml:space="preserve"> que se sienta afectada pueda impugnar la decisión, permitiéndole una real y auténtica defensa.</w:t>
      </w:r>
    </w:p>
    <w:p w:rsidR="00B972ED" w:rsidRPr="00EB4728" w:rsidRDefault="00B972ED" w:rsidP="00B972ED">
      <w:pPr>
        <w:pStyle w:val="Prrafodelista"/>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 xml:space="preserve">En </w:t>
      </w:r>
      <w:r w:rsidRPr="00EB4728">
        <w:rPr>
          <w:rFonts w:ascii="Palatino Linotype" w:eastAsia="MS Gothic" w:hAnsi="Palatino Linotype"/>
        </w:rPr>
        <w:t>ese</w:t>
      </w:r>
      <w:r w:rsidRPr="00EB4728">
        <w:rPr>
          <w:rFonts w:ascii="Palatino Linotype" w:hAnsi="Palatino Linotype" w:cs="Arial"/>
        </w:rPr>
        <w:t xml:space="preserve"> </w:t>
      </w:r>
      <w:r w:rsidRPr="00EB4728">
        <w:rPr>
          <w:rFonts w:ascii="Palatino Linotype" w:eastAsia="MS Gothic" w:hAnsi="Palatino Linotype"/>
        </w:rPr>
        <w:t>mismo sentido, el numeral trigésimo tercero fracción V de los Lineamientos Generales, precisa que para motivar la clasificación se deben acreditar las circunstancias de tiempo, modo y lugar.</w:t>
      </w:r>
    </w:p>
    <w:p w:rsidR="00B972ED" w:rsidRPr="00EB4728" w:rsidRDefault="00B972ED" w:rsidP="00B972ED">
      <w:pPr>
        <w:pStyle w:val="Prrafodelista"/>
        <w:rPr>
          <w:rFonts w:ascii="Palatino Linotype" w:hAnsi="Palatino Linotype" w:cs="Arial"/>
        </w:rPr>
      </w:pPr>
    </w:p>
    <w:p w:rsidR="00B972ED" w:rsidRPr="00EB4728" w:rsidRDefault="00B972ED" w:rsidP="00B32509">
      <w:pPr>
        <w:pStyle w:val="Prrafodelista"/>
        <w:numPr>
          <w:ilvl w:val="0"/>
          <w:numId w:val="1"/>
        </w:numPr>
        <w:tabs>
          <w:tab w:val="left" w:pos="284"/>
        </w:tabs>
        <w:spacing w:line="360" w:lineRule="auto"/>
        <w:ind w:left="0" w:right="49" w:firstLine="0"/>
        <w:jc w:val="both"/>
        <w:rPr>
          <w:rFonts w:ascii="Palatino Linotype" w:hAnsi="Palatino Linotype" w:cs="Arial"/>
        </w:rPr>
      </w:pPr>
      <w:r w:rsidRPr="00EB4728">
        <w:rPr>
          <w:rFonts w:ascii="Palatino Linotype" w:hAnsi="Palatino Linotype" w:cs="Arial"/>
        </w:rPr>
        <w:t xml:space="preserve">Ahora bien, </w:t>
      </w:r>
      <w:r w:rsidRPr="00EB4728">
        <w:rPr>
          <w:rFonts w:ascii="Palatino Linotype" w:eastAsia="MS Gothic" w:hAnsi="Palatino Linotype"/>
          <w:b/>
          <w:u w:val="single"/>
        </w:rPr>
        <w:t>para cada caso además de fundar y motivar</w:t>
      </w:r>
      <w:r w:rsidRPr="00EB4728">
        <w:rPr>
          <w:rFonts w:ascii="Palatino Linotype" w:eastAsia="MS Gothic" w:hAnsi="Palatino Linotype"/>
        </w:rPr>
        <w:t xml:space="preserve">, se debe identificar con </w:t>
      </w:r>
      <w:r w:rsidRPr="00EB4728">
        <w:rPr>
          <w:rFonts w:ascii="Palatino Linotype" w:hAnsi="Palatino Linotype" w:cs="Arial"/>
        </w:rPr>
        <w:t>claridad</w:t>
      </w:r>
      <w:r w:rsidRPr="00EB4728">
        <w:rPr>
          <w:rFonts w:ascii="Palatino Linotype" w:eastAsia="MS Gothic" w:hAnsi="Palatino Linotype"/>
        </w:rPr>
        <w:t xml:space="preserve"> que datos contenidos en las documentales que son susceptibles de suprimirse, por ejemplo, si una documental de naturaleza pública como lo es la nómina general, si bien el dato de sus remuneraciones es eminentemente público, </w:t>
      </w:r>
      <w:r w:rsidRPr="00EB4728">
        <w:rPr>
          <w:rFonts w:ascii="Palatino Linotype" w:eastAsia="MS Gothic" w:hAnsi="Palatino Linotype"/>
        </w:rPr>
        <w:lastRenderedPageBreak/>
        <w:t>no así todos los datos contenidos en dicho documento que son datos personales</w:t>
      </w:r>
      <w:r w:rsidRPr="00EB4728">
        <w:rPr>
          <w:rFonts w:ascii="Palatino Linotype" w:eastAsia="MS Gothic" w:hAnsi="Palatino Linotype"/>
          <w:vertAlign w:val="superscript"/>
        </w:rPr>
        <w:footnoteReference w:id="6"/>
      </w:r>
      <w:r w:rsidRPr="00EB4728">
        <w:rPr>
          <w:rFonts w:ascii="Palatino Linotype" w:eastAsia="MS Gothic" w:hAnsi="Palatino Linotype"/>
        </w:rPr>
        <w:t xml:space="preserve"> del servidor público que no tienen ninguna injerencia en el tema de la transparencia y la rendición de cuentas.</w:t>
      </w:r>
    </w:p>
    <w:p w:rsidR="00FA5561" w:rsidRPr="00EB4728" w:rsidRDefault="00FA5561" w:rsidP="00FA5561">
      <w:pPr>
        <w:pStyle w:val="Prrafodelista"/>
        <w:tabs>
          <w:tab w:val="left" w:pos="284"/>
        </w:tabs>
        <w:spacing w:line="360" w:lineRule="auto"/>
        <w:ind w:left="0"/>
        <w:jc w:val="both"/>
        <w:rPr>
          <w:rFonts w:ascii="Palatino Linotype" w:hAnsi="Palatino Linotype" w:cs="Arial"/>
          <w:color w:val="000000"/>
        </w:rPr>
      </w:pPr>
    </w:p>
    <w:p w:rsidR="00FA5561" w:rsidRPr="00EB4728" w:rsidRDefault="00FA5561" w:rsidP="00B32509">
      <w:pPr>
        <w:pStyle w:val="Prrafodelista"/>
        <w:numPr>
          <w:ilvl w:val="0"/>
          <w:numId w:val="1"/>
        </w:numPr>
        <w:tabs>
          <w:tab w:val="left" w:pos="284"/>
        </w:tabs>
        <w:spacing w:line="360" w:lineRule="auto"/>
        <w:ind w:left="0" w:right="49" w:firstLine="0"/>
        <w:jc w:val="both"/>
        <w:rPr>
          <w:rFonts w:ascii="Palatino Linotype" w:hAnsi="Palatino Linotype"/>
          <w:color w:val="000000" w:themeColor="text1"/>
        </w:rPr>
      </w:pPr>
      <w:r w:rsidRPr="00EB4728">
        <w:rPr>
          <w:rFonts w:ascii="Palatino Linotype" w:hAnsi="Palatino Linotype" w:cs="Arial"/>
          <w:color w:val="000000" w:themeColor="text1"/>
          <w:lang w:eastAsia="es-MX"/>
        </w:rPr>
        <w:t xml:space="preserve">Por lo anteriormente expuesto y fundado, este </w:t>
      </w:r>
      <w:r w:rsidRPr="00EB4728">
        <w:rPr>
          <w:rFonts w:ascii="Palatino Linotype" w:hAnsi="Palatino Linotype" w:cs="Arial"/>
          <w:b/>
          <w:bCs/>
          <w:color w:val="000000" w:themeColor="text1"/>
          <w:lang w:eastAsia="es-MX"/>
        </w:rPr>
        <w:t>ÓRGANO GARANTE</w:t>
      </w:r>
      <w:r w:rsidRPr="00EB4728">
        <w:rPr>
          <w:rFonts w:ascii="Palatino Linotype" w:hAnsi="Palatino Linotype" w:cs="Arial"/>
          <w:color w:val="000000" w:themeColor="text1"/>
          <w:lang w:eastAsia="es-MX"/>
        </w:rPr>
        <w:t xml:space="preserve"> emite los siguientes:</w:t>
      </w:r>
    </w:p>
    <w:p w:rsidR="006D2F3F" w:rsidRPr="00EB4728" w:rsidRDefault="006D2F3F" w:rsidP="006D2F3F">
      <w:pPr>
        <w:pStyle w:val="Prrafodelista"/>
        <w:rPr>
          <w:rFonts w:ascii="Palatino Linotype" w:eastAsia="Calibri" w:hAnsi="Palatino Linotype" w:cs="Tahoma"/>
          <w:bCs/>
          <w:lang w:eastAsia="en-US"/>
        </w:rPr>
      </w:pPr>
    </w:p>
    <w:p w:rsidR="009F09BC" w:rsidRPr="00EB4728"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175" w:name="_Toc504500693"/>
      <w:bookmarkStart w:id="176" w:name="_Toc534742545"/>
      <w:bookmarkStart w:id="177" w:name="_Toc2248738"/>
      <w:bookmarkStart w:id="178" w:name="_Toc34819440"/>
      <w:bookmarkStart w:id="179" w:name="_Toc51259595"/>
      <w:bookmarkStart w:id="180" w:name="_Toc83128595"/>
      <w:r w:rsidRPr="00EB4728">
        <w:rPr>
          <w:rFonts w:ascii="Palatino Linotype" w:eastAsia="Calibri" w:hAnsi="Palatino Linotype"/>
          <w:b/>
          <w:color w:val="000000" w:themeColor="text1"/>
          <w:sz w:val="24"/>
          <w:szCs w:val="24"/>
          <w:lang w:val="es-ES"/>
        </w:rPr>
        <w:t>R E S O L U T I V O S</w:t>
      </w:r>
      <w:bookmarkEnd w:id="175"/>
      <w:bookmarkEnd w:id="176"/>
      <w:bookmarkEnd w:id="177"/>
      <w:bookmarkEnd w:id="178"/>
      <w:bookmarkEnd w:id="179"/>
      <w:bookmarkEnd w:id="180"/>
    </w:p>
    <w:p w:rsidR="00CE7B83" w:rsidRPr="00EB4728" w:rsidRDefault="00CE7B83" w:rsidP="00CE7B83">
      <w:pPr>
        <w:rPr>
          <w:rFonts w:ascii="Palatino Linotype" w:hAnsi="Palatino Linotype"/>
          <w:lang w:val="es-ES"/>
        </w:rPr>
      </w:pPr>
    </w:p>
    <w:p w:rsidR="004461CD" w:rsidRPr="00EB4728" w:rsidRDefault="004461CD" w:rsidP="004461CD">
      <w:pPr>
        <w:spacing w:line="360" w:lineRule="auto"/>
        <w:jc w:val="both"/>
        <w:rPr>
          <w:rFonts w:ascii="Palatino Linotype" w:hAnsi="Palatino Linotype" w:cs="Arial"/>
          <w:bCs/>
        </w:rPr>
      </w:pPr>
      <w:r w:rsidRPr="00EB4728">
        <w:rPr>
          <w:rFonts w:ascii="Palatino Linotype" w:hAnsi="Palatino Linotype" w:cs="Arial"/>
          <w:b/>
          <w:bCs/>
        </w:rPr>
        <w:t>PRIMERO</w:t>
      </w:r>
      <w:r w:rsidR="00E77284" w:rsidRPr="00EB4728">
        <w:rPr>
          <w:rFonts w:ascii="Palatino Linotype" w:hAnsi="Palatino Linotype" w:cs="Arial"/>
        </w:rPr>
        <w:t xml:space="preserve">. Resultan </w:t>
      </w:r>
      <w:r w:rsidRPr="00EB4728">
        <w:rPr>
          <w:rFonts w:ascii="Palatino Linotype" w:hAnsi="Palatino Linotype" w:cs="Arial"/>
        </w:rPr>
        <w:t>fundadas las</w:t>
      </w:r>
      <w:r w:rsidRPr="00EB4728">
        <w:rPr>
          <w:rFonts w:ascii="Palatino Linotype" w:hAnsi="Palatino Linotype" w:cs="Arial"/>
          <w:b/>
        </w:rPr>
        <w:t xml:space="preserve"> </w:t>
      </w:r>
      <w:r w:rsidRPr="00EB4728">
        <w:rPr>
          <w:rFonts w:ascii="Palatino Linotype" w:hAnsi="Palatino Linotype" w:cs="Arial"/>
          <w:lang w:val="es-ES"/>
        </w:rPr>
        <w:t xml:space="preserve">razones o motivos de inconformidad hechos valer </w:t>
      </w:r>
      <w:r w:rsidRPr="00EB4728">
        <w:rPr>
          <w:rFonts w:ascii="Palatino Linotype" w:eastAsia="Calibri" w:hAnsi="Palatino Linotype" w:cs="Arial"/>
          <w:lang w:val="es-ES"/>
        </w:rPr>
        <w:t>en l</w:t>
      </w:r>
      <w:r w:rsidR="00F9040F" w:rsidRPr="00EB4728">
        <w:rPr>
          <w:rFonts w:ascii="Palatino Linotype" w:eastAsia="Calibri" w:hAnsi="Palatino Linotype" w:cs="Arial"/>
          <w:lang w:val="es-ES"/>
        </w:rPr>
        <w:t>os</w:t>
      </w:r>
      <w:r w:rsidRPr="00EB4728">
        <w:rPr>
          <w:rFonts w:ascii="Palatino Linotype" w:eastAsia="Calibri" w:hAnsi="Palatino Linotype" w:cs="Arial"/>
          <w:lang w:val="es-ES"/>
        </w:rPr>
        <w:t xml:space="preserve"> </w:t>
      </w:r>
      <w:r w:rsidR="00FF4254" w:rsidRPr="00EB4728">
        <w:rPr>
          <w:rFonts w:ascii="Palatino Linotype" w:eastAsia="Calibri" w:hAnsi="Palatino Linotype" w:cs="Arial"/>
          <w:lang w:val="es-ES"/>
        </w:rPr>
        <w:t>r</w:t>
      </w:r>
      <w:r w:rsidRPr="00EB4728">
        <w:rPr>
          <w:rFonts w:ascii="Palatino Linotype" w:eastAsia="Calibri" w:hAnsi="Palatino Linotype" w:cs="Arial"/>
          <w:lang w:val="es-ES"/>
        </w:rPr>
        <w:t>ecurso</w:t>
      </w:r>
      <w:r w:rsidR="00F9040F" w:rsidRPr="00EB4728">
        <w:rPr>
          <w:rFonts w:ascii="Palatino Linotype" w:eastAsia="Calibri" w:hAnsi="Palatino Linotype" w:cs="Arial"/>
          <w:lang w:val="es-ES"/>
        </w:rPr>
        <w:t>s</w:t>
      </w:r>
      <w:r w:rsidR="00FF4254" w:rsidRPr="00EB4728">
        <w:rPr>
          <w:rFonts w:ascii="Palatino Linotype" w:eastAsia="Calibri" w:hAnsi="Palatino Linotype" w:cs="Arial"/>
          <w:lang w:val="es-ES"/>
        </w:rPr>
        <w:t xml:space="preserve"> de r</w:t>
      </w:r>
      <w:r w:rsidRPr="00EB4728">
        <w:rPr>
          <w:rFonts w:ascii="Palatino Linotype" w:eastAsia="Calibri" w:hAnsi="Palatino Linotype" w:cs="Arial"/>
          <w:lang w:val="es-ES"/>
        </w:rPr>
        <w:t xml:space="preserve">evisión </w:t>
      </w:r>
      <w:r w:rsidR="00207A04" w:rsidRPr="00EB4728">
        <w:rPr>
          <w:rFonts w:ascii="Palatino Linotype" w:hAnsi="Palatino Linotype"/>
          <w:b/>
        </w:rPr>
        <w:t>14933/INFOEM/IP/RR/2022</w:t>
      </w:r>
      <w:r w:rsidR="004A5214" w:rsidRPr="00EB4728">
        <w:rPr>
          <w:rFonts w:ascii="Palatino Linotype" w:hAnsi="Palatino Linotype"/>
          <w:b/>
        </w:rPr>
        <w:t xml:space="preserve"> </w:t>
      </w:r>
      <w:r w:rsidR="00F9040F" w:rsidRPr="00EB4728">
        <w:rPr>
          <w:rFonts w:ascii="Palatino Linotype" w:hAnsi="Palatino Linotype"/>
        </w:rPr>
        <w:t>y</w:t>
      </w:r>
      <w:r w:rsidR="004A5214" w:rsidRPr="00EB4728">
        <w:rPr>
          <w:rFonts w:ascii="Palatino Linotype" w:hAnsi="Palatino Linotype"/>
          <w:b/>
        </w:rPr>
        <w:t xml:space="preserve"> 14934/INFOEM/IP/RR/2022</w:t>
      </w:r>
      <w:r w:rsidR="00F9040F" w:rsidRPr="00EB4728">
        <w:rPr>
          <w:rFonts w:ascii="Palatino Linotype" w:hAnsi="Palatino Linotype"/>
          <w:b/>
        </w:rPr>
        <w:t xml:space="preserve"> </w:t>
      </w:r>
      <w:r w:rsidR="00F9040F" w:rsidRPr="00EB4728">
        <w:rPr>
          <w:rFonts w:ascii="Palatino Linotype" w:hAnsi="Palatino Linotype"/>
        </w:rPr>
        <w:t>acumulados</w:t>
      </w:r>
      <w:r w:rsidR="00237CAF" w:rsidRPr="00EB4728">
        <w:rPr>
          <w:rFonts w:ascii="Palatino Linotype" w:hAnsi="Palatino Linotype" w:cs="Arial"/>
          <w:bCs/>
        </w:rPr>
        <w:t>,</w:t>
      </w:r>
      <w:r w:rsidRPr="00EB4728">
        <w:rPr>
          <w:rFonts w:ascii="Palatino Linotype" w:hAnsi="Palatino Linotype" w:cs="Arial"/>
          <w:bCs/>
        </w:rPr>
        <w:t xml:space="preserve"> en términos de</w:t>
      </w:r>
      <w:r w:rsidR="00E77284" w:rsidRPr="00EB4728">
        <w:rPr>
          <w:rFonts w:ascii="Palatino Linotype" w:hAnsi="Palatino Linotype" w:cs="Arial"/>
          <w:bCs/>
        </w:rPr>
        <w:t xml:space="preserve"> </w:t>
      </w:r>
      <w:r w:rsidRPr="00EB4728">
        <w:rPr>
          <w:rFonts w:ascii="Palatino Linotype" w:hAnsi="Palatino Linotype" w:cs="Arial"/>
          <w:bCs/>
        </w:rPr>
        <w:t>l</w:t>
      </w:r>
      <w:r w:rsidR="00E77284" w:rsidRPr="00EB4728">
        <w:rPr>
          <w:rFonts w:ascii="Palatino Linotype" w:hAnsi="Palatino Linotype" w:cs="Arial"/>
          <w:bCs/>
        </w:rPr>
        <w:t>os</w:t>
      </w:r>
      <w:r w:rsidRPr="00EB4728">
        <w:rPr>
          <w:rFonts w:ascii="Palatino Linotype" w:hAnsi="Palatino Linotype" w:cs="Arial"/>
          <w:bCs/>
        </w:rPr>
        <w:t xml:space="preserve"> </w:t>
      </w:r>
      <w:r w:rsidRPr="00EB4728">
        <w:rPr>
          <w:rFonts w:ascii="Palatino Linotype" w:hAnsi="Palatino Linotype" w:cs="Arial"/>
          <w:b/>
          <w:bCs/>
        </w:rPr>
        <w:t>Considerando</w:t>
      </w:r>
      <w:r w:rsidR="00E77284" w:rsidRPr="00EB4728">
        <w:rPr>
          <w:rFonts w:ascii="Palatino Linotype" w:hAnsi="Palatino Linotype" w:cs="Arial"/>
          <w:b/>
          <w:bCs/>
        </w:rPr>
        <w:t>s</w:t>
      </w:r>
      <w:r w:rsidRPr="00EB4728">
        <w:rPr>
          <w:rFonts w:ascii="Palatino Linotype" w:hAnsi="Palatino Linotype" w:cs="Arial"/>
          <w:bCs/>
        </w:rPr>
        <w:t xml:space="preserve"> </w:t>
      </w:r>
      <w:r w:rsidR="007F2F6F" w:rsidRPr="00EB4728">
        <w:rPr>
          <w:rFonts w:ascii="Palatino Linotype" w:hAnsi="Palatino Linotype" w:cs="Arial"/>
          <w:b/>
          <w:bCs/>
        </w:rPr>
        <w:t>Cuarto</w:t>
      </w:r>
      <w:r w:rsidR="004E17FA" w:rsidRPr="00EB4728">
        <w:rPr>
          <w:rFonts w:ascii="Palatino Linotype" w:hAnsi="Palatino Linotype" w:cs="Arial"/>
          <w:b/>
          <w:bCs/>
        </w:rPr>
        <w:t xml:space="preserve"> y </w:t>
      </w:r>
      <w:r w:rsidR="007F2F6F" w:rsidRPr="00EB4728">
        <w:rPr>
          <w:rFonts w:ascii="Palatino Linotype" w:hAnsi="Palatino Linotype" w:cs="Arial"/>
          <w:b/>
          <w:bCs/>
        </w:rPr>
        <w:t>Quin</w:t>
      </w:r>
      <w:r w:rsidR="004E17FA" w:rsidRPr="00EB4728">
        <w:rPr>
          <w:rFonts w:ascii="Palatino Linotype" w:hAnsi="Palatino Linotype" w:cs="Arial"/>
          <w:b/>
          <w:bCs/>
        </w:rPr>
        <w:t>to</w:t>
      </w:r>
      <w:r w:rsidRPr="00EB4728">
        <w:rPr>
          <w:rFonts w:ascii="Palatino Linotype" w:hAnsi="Palatino Linotype" w:cs="Arial"/>
          <w:bCs/>
        </w:rPr>
        <w:t xml:space="preserve"> de la presente resolución.</w:t>
      </w:r>
    </w:p>
    <w:p w:rsidR="00207A04" w:rsidRPr="00EB4728" w:rsidRDefault="00207A04" w:rsidP="004461CD">
      <w:pPr>
        <w:spacing w:line="360" w:lineRule="auto"/>
        <w:jc w:val="both"/>
        <w:rPr>
          <w:rFonts w:ascii="Palatino Linotype" w:hAnsi="Palatino Linotype" w:cs="Arial"/>
          <w:bCs/>
        </w:rPr>
      </w:pPr>
    </w:p>
    <w:p w:rsidR="00342501" w:rsidRPr="00EB4728" w:rsidRDefault="004461CD" w:rsidP="00342501">
      <w:pPr>
        <w:spacing w:line="360" w:lineRule="auto"/>
        <w:jc w:val="both"/>
        <w:rPr>
          <w:rFonts w:ascii="Palatino Linotype" w:eastAsia="MS Mincho" w:hAnsi="Palatino Linotype" w:cs="Arial"/>
          <w:color w:val="000000" w:themeColor="text1"/>
        </w:rPr>
      </w:pPr>
      <w:r w:rsidRPr="00EB4728">
        <w:rPr>
          <w:rFonts w:ascii="Palatino Linotype" w:hAnsi="Palatino Linotype"/>
          <w:b/>
        </w:rPr>
        <w:t>SEGUNDO.</w:t>
      </w:r>
      <w:r w:rsidRPr="00EB4728">
        <w:rPr>
          <w:rStyle w:val="Ttulo2Car"/>
          <w:rFonts w:ascii="Palatino Linotype" w:hAnsi="Palatino Linotype"/>
          <w:sz w:val="24"/>
          <w:szCs w:val="24"/>
        </w:rPr>
        <w:t xml:space="preserve"> </w:t>
      </w:r>
      <w:r w:rsidR="00342501" w:rsidRPr="00EB4728">
        <w:rPr>
          <w:rFonts w:ascii="Palatino Linotype" w:eastAsia="Calibri" w:hAnsi="Palatino Linotype" w:cs="Arial"/>
        </w:rPr>
        <w:t>Se</w:t>
      </w:r>
      <w:r w:rsidR="00342501" w:rsidRPr="00EB4728">
        <w:rPr>
          <w:rFonts w:ascii="Palatino Linotype" w:eastAsia="Calibri" w:hAnsi="Palatino Linotype" w:cs="Arial"/>
          <w:b/>
        </w:rPr>
        <w:t xml:space="preserve"> </w:t>
      </w:r>
      <w:r w:rsidR="00207A04" w:rsidRPr="00EB4728">
        <w:rPr>
          <w:rFonts w:ascii="Palatino Linotype" w:eastAsia="Calibri" w:hAnsi="Palatino Linotype" w:cs="Arial"/>
          <w:b/>
        </w:rPr>
        <w:t>MODIFICA</w:t>
      </w:r>
      <w:r w:rsidR="004A5214" w:rsidRPr="00EB4728">
        <w:rPr>
          <w:rFonts w:ascii="Palatino Linotype" w:eastAsia="Calibri" w:hAnsi="Palatino Linotype" w:cs="Arial"/>
          <w:b/>
        </w:rPr>
        <w:t>N</w:t>
      </w:r>
      <w:r w:rsidR="00342501" w:rsidRPr="00EB4728">
        <w:rPr>
          <w:rFonts w:ascii="Palatino Linotype" w:eastAsia="Calibri" w:hAnsi="Palatino Linotype" w:cs="Arial"/>
          <w:b/>
        </w:rPr>
        <w:t xml:space="preserve"> </w:t>
      </w:r>
      <w:r w:rsidR="00207A04" w:rsidRPr="00EB4728">
        <w:rPr>
          <w:rFonts w:ascii="Palatino Linotype" w:eastAsia="Calibri" w:hAnsi="Palatino Linotype" w:cs="Arial"/>
        </w:rPr>
        <w:t>la</w:t>
      </w:r>
      <w:r w:rsidR="004A5214" w:rsidRPr="00EB4728">
        <w:rPr>
          <w:rFonts w:ascii="Palatino Linotype" w:eastAsia="Calibri" w:hAnsi="Palatino Linotype" w:cs="Arial"/>
        </w:rPr>
        <w:t>s</w:t>
      </w:r>
      <w:r w:rsidR="00207A04" w:rsidRPr="00EB4728">
        <w:rPr>
          <w:rFonts w:ascii="Palatino Linotype" w:eastAsia="Calibri" w:hAnsi="Palatino Linotype" w:cs="Arial"/>
        </w:rPr>
        <w:t xml:space="preserve"> respuesta</w:t>
      </w:r>
      <w:r w:rsidR="004A5214" w:rsidRPr="00EB4728">
        <w:rPr>
          <w:rFonts w:ascii="Palatino Linotype" w:eastAsia="Calibri" w:hAnsi="Palatino Linotype" w:cs="Arial"/>
        </w:rPr>
        <w:t>s</w:t>
      </w:r>
      <w:r w:rsidR="00342501" w:rsidRPr="00EB4728">
        <w:rPr>
          <w:rFonts w:ascii="Palatino Linotype" w:eastAsia="Calibri" w:hAnsi="Palatino Linotype" w:cs="Arial"/>
        </w:rPr>
        <w:t xml:space="preserve"> emitida</w:t>
      </w:r>
      <w:r w:rsidR="004A5214" w:rsidRPr="00EB4728">
        <w:rPr>
          <w:rFonts w:ascii="Palatino Linotype" w:eastAsia="Calibri" w:hAnsi="Palatino Linotype" w:cs="Arial"/>
        </w:rPr>
        <w:t>s</w:t>
      </w:r>
      <w:r w:rsidR="00342501" w:rsidRPr="00EB4728">
        <w:rPr>
          <w:rFonts w:ascii="Palatino Linotype" w:eastAsia="Calibri" w:hAnsi="Palatino Linotype" w:cs="Arial"/>
        </w:rPr>
        <w:t xml:space="preserve"> por el </w:t>
      </w:r>
      <w:r w:rsidR="00653A01" w:rsidRPr="00EB4728">
        <w:rPr>
          <w:rFonts w:ascii="Palatino Linotype" w:eastAsia="Calibri" w:hAnsi="Palatino Linotype" w:cs="Arial"/>
          <w:b/>
        </w:rPr>
        <w:t>Hospital Regional de Alta Especialidad de Zumpango</w:t>
      </w:r>
      <w:r w:rsidR="00342501" w:rsidRPr="00EB4728">
        <w:rPr>
          <w:rFonts w:ascii="Palatino Linotype" w:eastAsia="Calibri" w:hAnsi="Palatino Linotype" w:cs="Arial"/>
          <w:b/>
        </w:rPr>
        <w:t xml:space="preserve"> </w:t>
      </w:r>
      <w:r w:rsidR="00342501" w:rsidRPr="00EB4728">
        <w:rPr>
          <w:rFonts w:ascii="Palatino Linotype" w:eastAsia="Calibri" w:hAnsi="Palatino Linotype" w:cs="Arial"/>
        </w:rPr>
        <w:t>y se</w:t>
      </w:r>
      <w:r w:rsidR="00342501" w:rsidRPr="00EB4728">
        <w:rPr>
          <w:rFonts w:ascii="Palatino Linotype" w:eastAsia="Calibri" w:hAnsi="Palatino Linotype" w:cs="Arial"/>
          <w:b/>
        </w:rPr>
        <w:t xml:space="preserve"> ORDENA </w:t>
      </w:r>
      <w:r w:rsidR="00342501" w:rsidRPr="00EB4728">
        <w:rPr>
          <w:rFonts w:ascii="Palatino Linotype" w:hAnsi="Palatino Linotype" w:cs="Arial"/>
        </w:rPr>
        <w:t>entregar vía Sistema de Acceso a la Información Mexiquense (SAIMEX)</w:t>
      </w:r>
      <w:r w:rsidR="007F2F6F" w:rsidRPr="00EB4728">
        <w:rPr>
          <w:rFonts w:ascii="Palatino Linotype" w:hAnsi="Palatino Linotype" w:cs="Arial"/>
        </w:rPr>
        <w:t>,</w:t>
      </w:r>
      <w:r w:rsidR="00E77284" w:rsidRPr="00EB4728">
        <w:rPr>
          <w:rFonts w:ascii="Palatino Linotype" w:hAnsi="Palatino Linotype" w:cs="Arial"/>
        </w:rPr>
        <w:t xml:space="preserve"> </w:t>
      </w:r>
      <w:r w:rsidR="00906BB0" w:rsidRPr="00EB4728">
        <w:rPr>
          <w:rFonts w:ascii="Palatino Linotype" w:hAnsi="Palatino Linotype" w:cs="Arial"/>
        </w:rPr>
        <w:t xml:space="preserve">de ser el caso </w:t>
      </w:r>
      <w:r w:rsidR="00E77284" w:rsidRPr="00EB4728">
        <w:rPr>
          <w:rFonts w:ascii="Palatino Linotype" w:hAnsi="Palatino Linotype" w:cs="Arial"/>
        </w:rPr>
        <w:t xml:space="preserve">en versión pública, </w:t>
      </w:r>
      <w:r w:rsidR="00342501" w:rsidRPr="00EB4728">
        <w:rPr>
          <w:rFonts w:ascii="Palatino Linotype" w:eastAsia="MS Mincho" w:hAnsi="Palatino Linotype" w:cs="Arial"/>
          <w:color w:val="000000" w:themeColor="text1"/>
        </w:rPr>
        <w:t>la siguiente información</w:t>
      </w:r>
      <w:r w:rsidR="000334B7" w:rsidRPr="00EB4728">
        <w:rPr>
          <w:rFonts w:ascii="Palatino Linotype" w:eastAsia="MS Mincho" w:hAnsi="Palatino Linotype" w:cs="Arial"/>
          <w:color w:val="000000" w:themeColor="text1"/>
        </w:rPr>
        <w:t xml:space="preserve">, </w:t>
      </w:r>
      <w:r w:rsidR="000334B7" w:rsidRPr="00EB4728">
        <w:rPr>
          <w:rFonts w:ascii="Palatino Linotype" w:hAnsi="Palatino Linotype"/>
          <w:b/>
          <w:color w:val="000000" w:themeColor="text1"/>
        </w:rPr>
        <w:t>del 1 de enero de 2020 al 29 de agosto de 2022</w:t>
      </w:r>
      <w:r w:rsidR="00342501" w:rsidRPr="00EB4728">
        <w:rPr>
          <w:rFonts w:ascii="Palatino Linotype" w:eastAsia="MS Mincho" w:hAnsi="Palatino Linotype" w:cs="Arial"/>
          <w:color w:val="000000" w:themeColor="text1"/>
        </w:rPr>
        <w:t>:</w:t>
      </w:r>
    </w:p>
    <w:p w:rsidR="004A5214" w:rsidRPr="00EB4728" w:rsidRDefault="004A5214" w:rsidP="00342501">
      <w:pPr>
        <w:spacing w:line="360" w:lineRule="auto"/>
        <w:jc w:val="both"/>
        <w:rPr>
          <w:rFonts w:ascii="Palatino Linotype" w:eastAsia="MS Mincho" w:hAnsi="Palatino Linotype" w:cs="Arial"/>
          <w:color w:val="000000" w:themeColor="text1"/>
        </w:rPr>
      </w:pPr>
    </w:p>
    <w:p w:rsidR="006C5952" w:rsidRPr="00EB4728" w:rsidRDefault="006C5952" w:rsidP="006C5952">
      <w:pPr>
        <w:pStyle w:val="Prrafodelista"/>
        <w:numPr>
          <w:ilvl w:val="0"/>
          <w:numId w:val="32"/>
        </w:numPr>
        <w:spacing w:line="360" w:lineRule="auto"/>
        <w:ind w:left="993"/>
        <w:jc w:val="both"/>
        <w:rPr>
          <w:rFonts w:ascii="Palatino Linotype" w:hAnsi="Palatino Linotype"/>
          <w:b/>
          <w:color w:val="000000" w:themeColor="text1"/>
        </w:rPr>
      </w:pPr>
      <w:r w:rsidRPr="00EB4728">
        <w:rPr>
          <w:rFonts w:ascii="Palatino Linotype" w:hAnsi="Palatino Linotype"/>
          <w:b/>
          <w:color w:val="000000" w:themeColor="text1"/>
        </w:rPr>
        <w:t xml:space="preserve">Quejas y denuncias por faltas graves concluidas o en trámite si están relacionadas con actos de corrupción, de las que se advierta el mes de </w:t>
      </w:r>
      <w:r w:rsidRPr="00EB4728">
        <w:rPr>
          <w:rFonts w:ascii="Palatino Linotype" w:hAnsi="Palatino Linotype"/>
          <w:b/>
          <w:color w:val="000000" w:themeColor="text1"/>
        </w:rPr>
        <w:lastRenderedPageBreak/>
        <w:t>interposición, motivo, nombre del probable responsable y su resolución o resultado;</w:t>
      </w:r>
    </w:p>
    <w:p w:rsidR="006C5952" w:rsidRPr="00EB4728" w:rsidRDefault="006C5952" w:rsidP="006C5952">
      <w:pPr>
        <w:pStyle w:val="Prrafodelista"/>
        <w:spacing w:line="360" w:lineRule="auto"/>
        <w:ind w:left="993"/>
        <w:jc w:val="both"/>
        <w:rPr>
          <w:rFonts w:ascii="Palatino Linotype" w:hAnsi="Palatino Linotype"/>
          <w:b/>
          <w:color w:val="000000" w:themeColor="text1"/>
        </w:rPr>
      </w:pPr>
    </w:p>
    <w:p w:rsidR="006C5952" w:rsidRPr="00EB4728" w:rsidRDefault="006C5952" w:rsidP="006C5952">
      <w:pPr>
        <w:pStyle w:val="Prrafodelista"/>
        <w:numPr>
          <w:ilvl w:val="0"/>
          <w:numId w:val="32"/>
        </w:numPr>
        <w:spacing w:line="360" w:lineRule="auto"/>
        <w:ind w:left="993"/>
        <w:jc w:val="both"/>
        <w:rPr>
          <w:rFonts w:ascii="Palatino Linotype" w:hAnsi="Palatino Linotype"/>
          <w:b/>
          <w:color w:val="000000" w:themeColor="text1"/>
        </w:rPr>
      </w:pPr>
      <w:r w:rsidRPr="00EB4728">
        <w:rPr>
          <w:rFonts w:ascii="Palatino Linotype" w:hAnsi="Palatino Linotype"/>
          <w:b/>
          <w:color w:val="000000" w:themeColor="text1"/>
        </w:rPr>
        <w:t>Quejas y denuncias por faltas no graves concluidas, de las que se advierta el mes de interposición, motivo, y su resolución o resultado, en versión pública;</w:t>
      </w:r>
    </w:p>
    <w:p w:rsidR="006C5952" w:rsidRPr="00EB4728" w:rsidRDefault="006C5952" w:rsidP="006C5952">
      <w:pPr>
        <w:pStyle w:val="Prrafodelista"/>
        <w:spacing w:line="360" w:lineRule="auto"/>
        <w:ind w:left="993"/>
        <w:jc w:val="both"/>
        <w:rPr>
          <w:rFonts w:ascii="Palatino Linotype" w:hAnsi="Palatino Linotype"/>
          <w:b/>
          <w:color w:val="000000" w:themeColor="text1"/>
        </w:rPr>
      </w:pPr>
    </w:p>
    <w:p w:rsidR="000334B7" w:rsidRPr="00EB4728" w:rsidRDefault="001F5025" w:rsidP="00FE5065">
      <w:pPr>
        <w:pStyle w:val="Prrafodelista"/>
        <w:numPr>
          <w:ilvl w:val="0"/>
          <w:numId w:val="32"/>
        </w:numPr>
        <w:spacing w:line="360" w:lineRule="auto"/>
        <w:ind w:left="993"/>
        <w:jc w:val="both"/>
        <w:rPr>
          <w:rFonts w:ascii="Palatino Linotype" w:hAnsi="Palatino Linotype"/>
          <w:b/>
          <w:color w:val="000000" w:themeColor="text1"/>
        </w:rPr>
      </w:pPr>
      <w:r w:rsidRPr="00EB4728">
        <w:rPr>
          <w:rFonts w:ascii="Palatino Linotype" w:hAnsi="Palatino Linotype"/>
          <w:b/>
          <w:color w:val="000000" w:themeColor="text1"/>
        </w:rPr>
        <w:t xml:space="preserve">Resoluciones </w:t>
      </w:r>
      <w:r w:rsidR="003D6115" w:rsidRPr="00EB4728">
        <w:rPr>
          <w:rFonts w:ascii="Palatino Linotype" w:hAnsi="Palatino Linotype"/>
          <w:b/>
          <w:color w:val="000000" w:themeColor="text1"/>
        </w:rPr>
        <w:t xml:space="preserve">condenatorias </w:t>
      </w:r>
      <w:r w:rsidRPr="00EB4728">
        <w:rPr>
          <w:rFonts w:ascii="Palatino Linotype" w:hAnsi="Palatino Linotype"/>
          <w:b/>
          <w:color w:val="000000" w:themeColor="text1"/>
        </w:rPr>
        <w:t xml:space="preserve">por faltas </w:t>
      </w:r>
      <w:r w:rsidR="00FE5065" w:rsidRPr="00EB4728">
        <w:rPr>
          <w:rFonts w:ascii="Palatino Linotype" w:hAnsi="Palatino Linotype"/>
          <w:b/>
          <w:color w:val="000000" w:themeColor="text1"/>
        </w:rPr>
        <w:t xml:space="preserve">graves que han causado estado, </w:t>
      </w:r>
      <w:r w:rsidR="00A23A32" w:rsidRPr="00EB4728">
        <w:rPr>
          <w:rFonts w:ascii="Palatino Linotype" w:hAnsi="Palatino Linotype"/>
          <w:b/>
          <w:color w:val="000000" w:themeColor="text1"/>
        </w:rPr>
        <w:t xml:space="preserve">o condenatorias </w:t>
      </w:r>
      <w:r w:rsidR="003A3028" w:rsidRPr="00EB4728">
        <w:rPr>
          <w:rFonts w:ascii="Palatino Linotype" w:hAnsi="Palatino Linotype"/>
          <w:b/>
          <w:color w:val="000000" w:themeColor="text1"/>
        </w:rPr>
        <w:t>que no han causado estado</w:t>
      </w:r>
      <w:r w:rsidR="00FE5065" w:rsidRPr="00EB4728">
        <w:rPr>
          <w:rFonts w:ascii="Palatino Linotype" w:hAnsi="Palatino Linotype"/>
          <w:b/>
          <w:color w:val="000000" w:themeColor="text1"/>
        </w:rPr>
        <w:t xml:space="preserve"> si están relacionadas con actos de corrupción</w:t>
      </w:r>
      <w:r w:rsidR="006C5952" w:rsidRPr="00EB4728">
        <w:rPr>
          <w:rFonts w:ascii="Palatino Linotype" w:hAnsi="Palatino Linotype"/>
          <w:b/>
          <w:color w:val="000000" w:themeColor="text1"/>
        </w:rPr>
        <w:t xml:space="preserve">, así como las no graves </w:t>
      </w:r>
      <w:r w:rsidR="003D6115" w:rsidRPr="00EB4728">
        <w:rPr>
          <w:rFonts w:ascii="Palatino Linotype" w:hAnsi="Palatino Linotype"/>
          <w:b/>
          <w:color w:val="000000" w:themeColor="text1"/>
        </w:rPr>
        <w:t xml:space="preserve">y absolutorias derivadas de faltas graves y no graves </w:t>
      </w:r>
      <w:r w:rsidR="006C5952" w:rsidRPr="00EB4728">
        <w:rPr>
          <w:rFonts w:ascii="Palatino Linotype" w:hAnsi="Palatino Linotype"/>
          <w:b/>
          <w:color w:val="000000" w:themeColor="text1"/>
        </w:rPr>
        <w:t>en versión pública</w:t>
      </w:r>
      <w:r w:rsidR="00FE5065" w:rsidRPr="00EB4728">
        <w:rPr>
          <w:rFonts w:ascii="Palatino Linotype" w:hAnsi="Palatino Linotype"/>
          <w:b/>
          <w:color w:val="000000" w:themeColor="text1"/>
        </w:rPr>
        <w:t>;</w:t>
      </w:r>
    </w:p>
    <w:p w:rsidR="00337BA4" w:rsidRPr="00EB4728" w:rsidRDefault="00337BA4" w:rsidP="00337BA4">
      <w:pPr>
        <w:pStyle w:val="Prrafodelista"/>
        <w:rPr>
          <w:rFonts w:ascii="Palatino Linotype" w:hAnsi="Palatino Linotype"/>
          <w:b/>
          <w:color w:val="000000" w:themeColor="text1"/>
        </w:rPr>
      </w:pPr>
    </w:p>
    <w:p w:rsidR="003A3028" w:rsidRPr="00EB4728" w:rsidRDefault="000334B7" w:rsidP="00FE5065">
      <w:pPr>
        <w:pStyle w:val="Prrafodelista"/>
        <w:numPr>
          <w:ilvl w:val="0"/>
          <w:numId w:val="32"/>
        </w:numPr>
        <w:spacing w:line="360" w:lineRule="auto"/>
        <w:ind w:left="993"/>
        <w:jc w:val="both"/>
        <w:rPr>
          <w:rFonts w:ascii="Palatino Linotype" w:hAnsi="Palatino Linotype"/>
          <w:b/>
          <w:color w:val="000000" w:themeColor="text1"/>
        </w:rPr>
      </w:pPr>
      <w:r w:rsidRPr="00EB4728">
        <w:rPr>
          <w:rFonts w:ascii="Palatino Linotype" w:hAnsi="Palatino Linotype"/>
          <w:b/>
          <w:color w:val="000000" w:themeColor="text1"/>
        </w:rPr>
        <w:t>E</w:t>
      </w:r>
      <w:r w:rsidR="001F5025" w:rsidRPr="00EB4728">
        <w:rPr>
          <w:rFonts w:ascii="Palatino Linotype" w:hAnsi="Palatino Linotype"/>
          <w:b/>
          <w:color w:val="000000" w:themeColor="text1"/>
        </w:rPr>
        <w:t xml:space="preserve">xpedientes de investigación </w:t>
      </w:r>
      <w:r w:rsidR="00F96309" w:rsidRPr="00EB4728">
        <w:rPr>
          <w:rFonts w:ascii="Palatino Linotype" w:hAnsi="Palatino Linotype"/>
          <w:b/>
          <w:color w:val="000000" w:themeColor="text1"/>
        </w:rPr>
        <w:t xml:space="preserve">archivados por falta de elementos, iniciados </w:t>
      </w:r>
      <w:r w:rsidR="006C5952" w:rsidRPr="00EB4728">
        <w:rPr>
          <w:rFonts w:ascii="Palatino Linotype" w:hAnsi="Palatino Linotype"/>
          <w:b/>
          <w:color w:val="000000" w:themeColor="text1"/>
        </w:rPr>
        <w:t>por faltas graves</w:t>
      </w:r>
      <w:r w:rsidR="00F96309" w:rsidRPr="00EB4728">
        <w:rPr>
          <w:rFonts w:ascii="Palatino Linotype" w:hAnsi="Palatino Linotype"/>
          <w:b/>
          <w:color w:val="000000" w:themeColor="text1"/>
        </w:rPr>
        <w:t xml:space="preserve"> y no graves</w:t>
      </w:r>
      <w:r w:rsidR="006C5952" w:rsidRPr="00EB4728">
        <w:rPr>
          <w:rFonts w:ascii="Palatino Linotype" w:hAnsi="Palatino Linotype"/>
          <w:b/>
          <w:color w:val="000000" w:themeColor="text1"/>
        </w:rPr>
        <w:t xml:space="preserve"> en versión pública, protegiendo en todo momento los datos que puedan hacer identificables a los </w:t>
      </w:r>
      <w:r w:rsidR="006D5738" w:rsidRPr="00EB4728">
        <w:rPr>
          <w:rFonts w:ascii="Palatino Linotype" w:hAnsi="Palatino Linotype"/>
          <w:b/>
          <w:color w:val="000000" w:themeColor="text1"/>
        </w:rPr>
        <w:t>servidores públicos</w:t>
      </w:r>
      <w:r w:rsidR="00FE5065" w:rsidRPr="00EB4728">
        <w:rPr>
          <w:rFonts w:ascii="Palatino Linotype" w:hAnsi="Palatino Linotype"/>
          <w:b/>
          <w:color w:val="000000" w:themeColor="text1"/>
        </w:rPr>
        <w:t>;</w:t>
      </w:r>
    </w:p>
    <w:p w:rsidR="006C5952" w:rsidRPr="00EB4728" w:rsidRDefault="006C5952" w:rsidP="006C5952">
      <w:pPr>
        <w:pStyle w:val="Prrafodelista"/>
        <w:rPr>
          <w:rFonts w:ascii="Palatino Linotype" w:hAnsi="Palatino Linotype"/>
          <w:b/>
          <w:color w:val="000000" w:themeColor="text1"/>
        </w:rPr>
      </w:pPr>
    </w:p>
    <w:p w:rsidR="00EF6E69" w:rsidRPr="00EB4728" w:rsidRDefault="00FE5065" w:rsidP="00EF6E69">
      <w:pPr>
        <w:pStyle w:val="Prrafodelista"/>
        <w:numPr>
          <w:ilvl w:val="0"/>
          <w:numId w:val="32"/>
        </w:numPr>
        <w:spacing w:line="360" w:lineRule="auto"/>
        <w:ind w:left="993"/>
        <w:jc w:val="both"/>
        <w:rPr>
          <w:rFonts w:ascii="Palatino Linotype" w:hAnsi="Palatino Linotype"/>
          <w:b/>
          <w:color w:val="000000" w:themeColor="text1"/>
        </w:rPr>
      </w:pPr>
      <w:r w:rsidRPr="00EB4728">
        <w:rPr>
          <w:rFonts w:ascii="Palatino Linotype" w:hAnsi="Palatino Linotype"/>
          <w:b/>
          <w:color w:val="000000" w:themeColor="text1"/>
        </w:rPr>
        <w:t xml:space="preserve">Informes de presunta responsabilidad administrativa por faltas graves </w:t>
      </w:r>
      <w:r w:rsidR="00A23A32" w:rsidRPr="00EB4728">
        <w:rPr>
          <w:rFonts w:ascii="Palatino Linotype" w:hAnsi="Palatino Linotype"/>
          <w:b/>
          <w:color w:val="000000" w:themeColor="text1"/>
        </w:rPr>
        <w:t xml:space="preserve">relacionados con expedientes </w:t>
      </w:r>
      <w:r w:rsidRPr="00EB4728">
        <w:rPr>
          <w:rFonts w:ascii="Palatino Linotype" w:hAnsi="Palatino Linotype"/>
          <w:b/>
          <w:color w:val="000000" w:themeColor="text1"/>
        </w:rPr>
        <w:t>que han causado estado</w:t>
      </w:r>
      <w:r w:rsidR="00F96309" w:rsidRPr="00EB4728">
        <w:rPr>
          <w:rFonts w:ascii="Palatino Linotype" w:hAnsi="Palatino Linotype"/>
          <w:b/>
          <w:color w:val="000000" w:themeColor="text1"/>
        </w:rPr>
        <w:t>, así como</w:t>
      </w:r>
      <w:r w:rsidR="00906F4E" w:rsidRPr="00EB4728">
        <w:rPr>
          <w:rFonts w:ascii="Palatino Linotype" w:hAnsi="Palatino Linotype"/>
          <w:b/>
          <w:color w:val="000000" w:themeColor="text1"/>
        </w:rPr>
        <w:t xml:space="preserve"> por faltas no graves relacionados con expedientes que han causado estado, en versión pública, protegiendo en todo momento los datos que puedan hacer identificables a los servidores públicos que hayan sido sancionados</w:t>
      </w:r>
      <w:r w:rsidR="00F96309" w:rsidRPr="00EB4728">
        <w:rPr>
          <w:rFonts w:ascii="Palatino Linotype" w:hAnsi="Palatino Linotype"/>
          <w:b/>
          <w:color w:val="000000" w:themeColor="text1"/>
        </w:rPr>
        <w:t xml:space="preserve"> por faltas no graves</w:t>
      </w:r>
      <w:r w:rsidR="003D6115" w:rsidRPr="00EB4728">
        <w:rPr>
          <w:rFonts w:ascii="Palatino Linotype" w:hAnsi="Palatino Linotype"/>
          <w:b/>
          <w:color w:val="000000" w:themeColor="text1"/>
        </w:rPr>
        <w:t xml:space="preserve"> y absolutorias derivadas de faltas graves y no graves en versión pública</w:t>
      </w:r>
      <w:r w:rsidR="004441D3" w:rsidRPr="00EB4728">
        <w:rPr>
          <w:rFonts w:ascii="Palatino Linotype" w:hAnsi="Palatino Linotype"/>
          <w:b/>
          <w:color w:val="000000" w:themeColor="text1"/>
        </w:rPr>
        <w:t>;</w:t>
      </w:r>
    </w:p>
    <w:p w:rsidR="00EF6E69" w:rsidRPr="00EB4728" w:rsidRDefault="00EF6E69" w:rsidP="00EF6E69">
      <w:pPr>
        <w:pStyle w:val="Prrafodelista"/>
        <w:rPr>
          <w:rFonts w:ascii="Palatino Linotype" w:hAnsi="Palatino Linotype"/>
          <w:b/>
          <w:color w:val="000000" w:themeColor="text1"/>
        </w:rPr>
      </w:pPr>
    </w:p>
    <w:p w:rsidR="00EF6E69" w:rsidRPr="00EB4728" w:rsidRDefault="00EF6E69" w:rsidP="00EF6E69">
      <w:pPr>
        <w:pStyle w:val="Prrafodelista"/>
        <w:numPr>
          <w:ilvl w:val="0"/>
          <w:numId w:val="32"/>
        </w:numPr>
        <w:spacing w:line="360" w:lineRule="auto"/>
        <w:ind w:left="993"/>
        <w:jc w:val="both"/>
        <w:rPr>
          <w:rFonts w:ascii="Palatino Linotype" w:hAnsi="Palatino Linotype"/>
          <w:b/>
          <w:color w:val="000000" w:themeColor="text1"/>
        </w:rPr>
      </w:pPr>
      <w:r w:rsidRPr="00EB4728">
        <w:rPr>
          <w:rFonts w:ascii="Palatino Linotype" w:hAnsi="Palatino Linotype"/>
          <w:b/>
          <w:color w:val="000000" w:themeColor="text1"/>
        </w:rPr>
        <w:t>Carpetas de entrega- recepción y sus respectivas actas de entrega.</w:t>
      </w:r>
    </w:p>
    <w:p w:rsidR="00EF6E69" w:rsidRPr="00EB4728" w:rsidRDefault="00EF6E69" w:rsidP="00EF6E69">
      <w:pPr>
        <w:pStyle w:val="Prrafodelista"/>
        <w:spacing w:line="360" w:lineRule="auto"/>
        <w:ind w:left="993"/>
        <w:jc w:val="both"/>
        <w:rPr>
          <w:rFonts w:ascii="Palatino Linotype" w:hAnsi="Palatino Linotype"/>
          <w:b/>
          <w:color w:val="000000" w:themeColor="text1"/>
        </w:rPr>
      </w:pPr>
    </w:p>
    <w:p w:rsidR="004A5214" w:rsidRPr="00EB4728" w:rsidRDefault="0037589A" w:rsidP="006D5738">
      <w:pPr>
        <w:pStyle w:val="Prrafodelista"/>
        <w:numPr>
          <w:ilvl w:val="0"/>
          <w:numId w:val="32"/>
        </w:numPr>
        <w:spacing w:line="360" w:lineRule="auto"/>
        <w:ind w:left="720" w:firstLine="0"/>
        <w:jc w:val="both"/>
        <w:rPr>
          <w:rFonts w:ascii="Palatino Linotype" w:hAnsi="Palatino Linotype"/>
          <w:color w:val="000000" w:themeColor="text1"/>
        </w:rPr>
      </w:pPr>
      <w:r w:rsidRPr="00EB4728">
        <w:rPr>
          <w:rFonts w:ascii="Palatino Linotype" w:hAnsi="Palatino Linotype"/>
          <w:b/>
          <w:bCs/>
          <w:color w:val="000000" w:themeColor="text1"/>
        </w:rPr>
        <w:t xml:space="preserve">Acuerdo del Comité de Transparencia, en donde, de manera fundada y </w:t>
      </w:r>
      <w:r w:rsidRPr="00EB4728">
        <w:rPr>
          <w:rFonts w:ascii="Palatino Linotype" w:hAnsi="Palatino Linotype"/>
          <w:b/>
          <w:color w:val="000000" w:themeColor="text1"/>
        </w:rPr>
        <w:t>motivada, clasifique como reservados los informes de presunta</w:t>
      </w:r>
      <w:r w:rsidR="0097478D" w:rsidRPr="00EB4728">
        <w:rPr>
          <w:rFonts w:ascii="Palatino Linotype" w:hAnsi="Palatino Linotype"/>
          <w:b/>
          <w:color w:val="000000" w:themeColor="text1"/>
        </w:rPr>
        <w:t xml:space="preserve"> responsabilidad administrativa, </w:t>
      </w:r>
      <w:r w:rsidR="00754E5A" w:rsidRPr="00EB4728">
        <w:rPr>
          <w:rFonts w:ascii="Palatino Linotype" w:hAnsi="Palatino Linotype"/>
          <w:b/>
          <w:color w:val="000000" w:themeColor="text1"/>
        </w:rPr>
        <w:t>en caso de tratarse de procedimientos que aún se encuentren  en trámit</w:t>
      </w:r>
      <w:r w:rsidR="006C5952" w:rsidRPr="00EB4728">
        <w:rPr>
          <w:rFonts w:ascii="Palatino Linotype" w:hAnsi="Palatino Linotype"/>
          <w:b/>
          <w:color w:val="000000" w:themeColor="text1"/>
        </w:rPr>
        <w:t xml:space="preserve">e; </w:t>
      </w:r>
      <w:r w:rsidR="0097478D" w:rsidRPr="00EB4728">
        <w:rPr>
          <w:rFonts w:ascii="Palatino Linotype" w:hAnsi="Palatino Linotype"/>
          <w:b/>
          <w:color w:val="000000" w:themeColor="text1"/>
        </w:rPr>
        <w:t>salvo que el acto se relacione con actos de corrupción, delitos de lesa humanidad o posibles violaciones graves a derechos humanos se deberá entregar en versión pública.</w:t>
      </w:r>
    </w:p>
    <w:p w:rsidR="0097478D" w:rsidRPr="00EB4728" w:rsidRDefault="0097478D" w:rsidP="0097478D">
      <w:pPr>
        <w:pStyle w:val="Prrafodelista"/>
        <w:spacing w:line="360" w:lineRule="auto"/>
        <w:jc w:val="both"/>
        <w:rPr>
          <w:rFonts w:ascii="Palatino Linotype" w:hAnsi="Palatino Linotype"/>
          <w:color w:val="000000" w:themeColor="text1"/>
        </w:rPr>
      </w:pPr>
    </w:p>
    <w:p w:rsidR="006D744D" w:rsidRPr="00EB4728" w:rsidRDefault="006D744D" w:rsidP="006D744D">
      <w:pPr>
        <w:spacing w:line="360" w:lineRule="auto"/>
        <w:jc w:val="both"/>
        <w:rPr>
          <w:rFonts w:ascii="Palatino Linotype" w:eastAsia="Calibri" w:hAnsi="Palatino Linotype" w:cs="Arial"/>
          <w:b/>
          <w:color w:val="000000" w:themeColor="text1"/>
        </w:rPr>
      </w:pPr>
      <w:r w:rsidRPr="00EB4728">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EB4728">
        <w:rPr>
          <w:rFonts w:ascii="Palatino Linotype" w:eastAsia="Calibri" w:hAnsi="Palatino Linotype" w:cs="Arial"/>
          <w:b/>
          <w:color w:val="000000" w:themeColor="text1"/>
        </w:rPr>
        <w:t>EL RECURRENTE.</w:t>
      </w:r>
    </w:p>
    <w:p w:rsidR="00BC77D3" w:rsidRPr="00EB4728" w:rsidRDefault="00BC77D3" w:rsidP="006D744D">
      <w:pPr>
        <w:spacing w:line="360" w:lineRule="auto"/>
        <w:jc w:val="both"/>
        <w:rPr>
          <w:rFonts w:ascii="Palatino Linotype" w:eastAsia="Calibri" w:hAnsi="Palatino Linotype" w:cs="Arial"/>
          <w:b/>
        </w:rPr>
      </w:pPr>
    </w:p>
    <w:p w:rsidR="006F5B7B" w:rsidRPr="00EB4728" w:rsidRDefault="00EF6E69" w:rsidP="00EF6E69">
      <w:pPr>
        <w:autoSpaceDE w:val="0"/>
        <w:autoSpaceDN w:val="0"/>
        <w:adjustRightInd w:val="0"/>
        <w:spacing w:line="360" w:lineRule="auto"/>
        <w:ind w:right="51"/>
        <w:jc w:val="both"/>
        <w:rPr>
          <w:rFonts w:ascii="Palatino Linotype" w:eastAsia="Calibri" w:hAnsi="Palatino Linotype" w:cs="Arial"/>
          <w:color w:val="000000" w:themeColor="text1"/>
        </w:rPr>
      </w:pPr>
      <w:r w:rsidRPr="00EB4728">
        <w:rPr>
          <w:rFonts w:ascii="Palatino Linotype" w:eastAsia="Calibri" w:hAnsi="Palatino Linotype" w:cs="Arial"/>
          <w:color w:val="000000" w:themeColor="text1"/>
        </w:rPr>
        <w:t>Asimismo, en caso de que las observaciones señaladas en el Acta Entrega Recepción deriven en un procedimiento administrativo en trámite, el Sujeto deberá de hacerlo del conocimiento de la particular, remitiendo el Acta de Comité de Transparencia donde funde y motive la reserva de la información.</w:t>
      </w:r>
    </w:p>
    <w:p w:rsidR="00EF6E69" w:rsidRPr="00EB4728" w:rsidRDefault="00EF6E69" w:rsidP="00EF6E69">
      <w:pPr>
        <w:autoSpaceDE w:val="0"/>
        <w:autoSpaceDN w:val="0"/>
        <w:adjustRightInd w:val="0"/>
        <w:spacing w:line="360" w:lineRule="auto"/>
        <w:ind w:right="51"/>
        <w:jc w:val="both"/>
        <w:rPr>
          <w:rFonts w:ascii="Palatino Linotype" w:eastAsia="Calibri" w:hAnsi="Palatino Linotype" w:cs="Arial"/>
          <w:color w:val="000000" w:themeColor="text1"/>
        </w:rPr>
      </w:pPr>
    </w:p>
    <w:p w:rsidR="004E17FA" w:rsidRPr="00EB4728" w:rsidRDefault="004A5214" w:rsidP="00E927AB">
      <w:pPr>
        <w:autoSpaceDE w:val="0"/>
        <w:autoSpaceDN w:val="0"/>
        <w:adjustRightInd w:val="0"/>
        <w:spacing w:line="360" w:lineRule="auto"/>
        <w:ind w:right="51"/>
        <w:jc w:val="both"/>
        <w:rPr>
          <w:rFonts w:ascii="Palatino Linotype" w:hAnsi="Palatino Linotype"/>
          <w:color w:val="222222"/>
          <w:shd w:val="clear" w:color="auto" w:fill="FFFFFF"/>
        </w:rPr>
      </w:pPr>
      <w:r w:rsidRPr="00EB4728">
        <w:rPr>
          <w:rFonts w:ascii="Palatino Linotype" w:eastAsia="Palatino Linotype" w:hAnsi="Palatino Linotype" w:cs="Palatino Linotype"/>
          <w:b/>
        </w:rPr>
        <w:t>TERCER</w:t>
      </w:r>
      <w:r w:rsidR="004E17FA" w:rsidRPr="00EB4728">
        <w:rPr>
          <w:rFonts w:ascii="Palatino Linotype" w:eastAsia="Palatino Linotype" w:hAnsi="Palatino Linotype" w:cs="Palatino Linotype"/>
          <w:b/>
        </w:rPr>
        <w:t xml:space="preserve">O. </w:t>
      </w:r>
      <w:r w:rsidR="006F5B7B" w:rsidRPr="00EB4728">
        <w:rPr>
          <w:rFonts w:ascii="Palatino Linotype" w:hAnsi="Palatino Linotype"/>
          <w:b/>
        </w:rPr>
        <w:t xml:space="preserve">Notifíquese </w:t>
      </w:r>
      <w:r w:rsidR="006F5B7B" w:rsidRPr="00EB4728">
        <w:rPr>
          <w:rFonts w:ascii="Palatino Linotype" w:hAnsi="Palatino Linotype"/>
        </w:rPr>
        <w:t xml:space="preserve">la presente resolución al Titular de la Unidad de Transparencia del Sujeto Obligado, para que conforme al artículo 186 último </w:t>
      </w:r>
      <w:r w:rsidR="006F5B7B" w:rsidRPr="00EB4728">
        <w:rPr>
          <w:rFonts w:ascii="Palatino Linotype" w:hAnsi="Palatino Linotype"/>
        </w:rPr>
        <w:lastRenderedPageBreak/>
        <w:t xml:space="preserve">párrafo, 189 segundo párrafo y 194 de la Ley de Transparencia y Acceso a la Información Pública del Estado de México y Municipios; dé cumplimiento a lo ordenado dentro del </w:t>
      </w:r>
      <w:r w:rsidR="006F5B7B" w:rsidRPr="00EB4728">
        <w:rPr>
          <w:rFonts w:ascii="Palatino Linotype" w:hAnsi="Palatino Linotype"/>
          <w:b/>
        </w:rPr>
        <w:t>plazo de diez días hábiles,</w:t>
      </w:r>
      <w:r w:rsidR="006F5B7B" w:rsidRPr="00EB4728">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E17FA" w:rsidRPr="00EB4728" w:rsidRDefault="004E17FA" w:rsidP="004E17FA">
      <w:pPr>
        <w:autoSpaceDE w:val="0"/>
        <w:autoSpaceDN w:val="0"/>
        <w:adjustRightInd w:val="0"/>
        <w:spacing w:line="360" w:lineRule="auto"/>
        <w:ind w:right="49"/>
        <w:jc w:val="both"/>
        <w:rPr>
          <w:rFonts w:ascii="Palatino Linotype" w:hAnsi="Palatino Linotype"/>
          <w:color w:val="222222"/>
          <w:shd w:val="clear" w:color="auto" w:fill="FFFFFF"/>
        </w:rPr>
      </w:pPr>
    </w:p>
    <w:p w:rsidR="004E17FA" w:rsidRPr="00EB4728" w:rsidRDefault="004A5214" w:rsidP="004E17FA">
      <w:pPr>
        <w:spacing w:line="360" w:lineRule="auto"/>
        <w:jc w:val="both"/>
        <w:rPr>
          <w:rFonts w:ascii="Palatino Linotype" w:eastAsia="Calibri" w:hAnsi="Palatino Linotype" w:cs="Arial"/>
          <w:bCs/>
        </w:rPr>
      </w:pPr>
      <w:r w:rsidRPr="00EB4728">
        <w:rPr>
          <w:rFonts w:ascii="Palatino Linotype" w:hAnsi="Palatino Linotype" w:cs="Arial"/>
          <w:b/>
        </w:rPr>
        <w:t>CUAR</w:t>
      </w:r>
      <w:r w:rsidR="004E17FA" w:rsidRPr="00EB4728">
        <w:rPr>
          <w:rFonts w:ascii="Palatino Linotype" w:hAnsi="Palatino Linotype" w:cs="Arial"/>
          <w:b/>
        </w:rPr>
        <w:t xml:space="preserve">TO. </w:t>
      </w:r>
      <w:r w:rsidR="004E17FA" w:rsidRPr="00EB4728">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23A32" w:rsidRPr="00EB4728" w:rsidRDefault="00A23A32" w:rsidP="004E17FA">
      <w:pPr>
        <w:spacing w:line="360" w:lineRule="auto"/>
        <w:jc w:val="both"/>
        <w:rPr>
          <w:rFonts w:ascii="Palatino Linotype" w:eastAsia="Calibri" w:hAnsi="Palatino Linotype" w:cs="Arial"/>
          <w:bCs/>
        </w:rPr>
      </w:pPr>
    </w:p>
    <w:p w:rsidR="004E17FA" w:rsidRPr="00EB4728" w:rsidRDefault="004A5214" w:rsidP="004E17FA">
      <w:pPr>
        <w:autoSpaceDE w:val="0"/>
        <w:autoSpaceDN w:val="0"/>
        <w:adjustRightInd w:val="0"/>
        <w:spacing w:line="360" w:lineRule="auto"/>
        <w:ind w:right="49"/>
        <w:jc w:val="both"/>
        <w:rPr>
          <w:rFonts w:ascii="Palatino Linotype" w:hAnsi="Palatino Linotype"/>
        </w:rPr>
      </w:pPr>
      <w:r w:rsidRPr="00EB4728">
        <w:rPr>
          <w:rFonts w:ascii="Palatino Linotype" w:hAnsi="Palatino Linotype" w:cs="Arial"/>
          <w:b/>
        </w:rPr>
        <w:t>QUINT</w:t>
      </w:r>
      <w:r w:rsidR="006F5B7B" w:rsidRPr="00EB4728">
        <w:rPr>
          <w:rFonts w:ascii="Palatino Linotype" w:hAnsi="Palatino Linotype" w:cs="Arial"/>
          <w:b/>
        </w:rPr>
        <w:t>O</w:t>
      </w:r>
      <w:r w:rsidR="004E17FA" w:rsidRPr="00EB4728">
        <w:rPr>
          <w:rFonts w:ascii="Palatino Linotype" w:hAnsi="Palatino Linotype" w:cs="Arial"/>
          <w:b/>
        </w:rPr>
        <w:t xml:space="preserve">. </w:t>
      </w:r>
      <w:r w:rsidR="004E17FA" w:rsidRPr="00EB4728">
        <w:rPr>
          <w:rFonts w:ascii="Palatino Linotype" w:hAnsi="Palatino Linotype"/>
          <w:b/>
          <w:bCs/>
          <w:color w:val="222222"/>
        </w:rPr>
        <w:t xml:space="preserve">Notifíquese </w:t>
      </w:r>
      <w:r w:rsidR="004E17FA" w:rsidRPr="00EB4728">
        <w:rPr>
          <w:rFonts w:ascii="Palatino Linotype" w:hAnsi="Palatino Linotype"/>
          <w:bCs/>
          <w:color w:val="222222"/>
        </w:rPr>
        <w:t>a</w:t>
      </w:r>
      <w:r w:rsidR="006C3BA9" w:rsidRPr="00EB4728">
        <w:rPr>
          <w:rFonts w:ascii="Palatino Linotype" w:hAnsi="Palatino Linotype"/>
        </w:rPr>
        <w:t>l</w:t>
      </w:r>
      <w:r w:rsidR="004E17FA" w:rsidRPr="00EB4728">
        <w:rPr>
          <w:rFonts w:ascii="Palatino Linotype" w:eastAsia="Calibri" w:hAnsi="Palatino Linotype" w:cs="Arial"/>
          <w:b/>
        </w:rPr>
        <w:t xml:space="preserve"> RECURRENTE</w:t>
      </w:r>
      <w:r w:rsidR="004E17FA" w:rsidRPr="00EB4728">
        <w:rPr>
          <w:rFonts w:ascii="Palatino Linotype" w:hAnsi="Palatino Linotype"/>
        </w:rPr>
        <w:t xml:space="preserve"> la presente resolución, vía SAIMEX.</w:t>
      </w:r>
    </w:p>
    <w:p w:rsidR="00906BB0" w:rsidRPr="00EB4728" w:rsidRDefault="00906BB0" w:rsidP="004E17FA">
      <w:pPr>
        <w:autoSpaceDE w:val="0"/>
        <w:autoSpaceDN w:val="0"/>
        <w:adjustRightInd w:val="0"/>
        <w:spacing w:line="360" w:lineRule="auto"/>
        <w:ind w:right="49"/>
        <w:jc w:val="both"/>
        <w:rPr>
          <w:rFonts w:ascii="Palatino Linotype" w:hAnsi="Palatino Linotype"/>
        </w:rPr>
      </w:pPr>
    </w:p>
    <w:p w:rsidR="0097478D" w:rsidRPr="00EB4728" w:rsidRDefault="004A5214" w:rsidP="0097478D">
      <w:pPr>
        <w:autoSpaceDE w:val="0"/>
        <w:autoSpaceDN w:val="0"/>
        <w:adjustRightInd w:val="0"/>
        <w:spacing w:line="360" w:lineRule="auto"/>
        <w:ind w:right="49"/>
        <w:jc w:val="both"/>
        <w:rPr>
          <w:rFonts w:ascii="Palatino Linotype" w:eastAsia="MS Mincho" w:hAnsi="Palatino Linotype"/>
        </w:rPr>
      </w:pPr>
      <w:r w:rsidRPr="00EB4728">
        <w:rPr>
          <w:rFonts w:ascii="Palatino Linotype" w:eastAsia="MS Mincho" w:hAnsi="Palatino Linotype"/>
          <w:b/>
        </w:rPr>
        <w:t>SEXT</w:t>
      </w:r>
      <w:r w:rsidR="006F5B7B" w:rsidRPr="00EB4728">
        <w:rPr>
          <w:rFonts w:ascii="Palatino Linotype" w:eastAsia="MS Mincho" w:hAnsi="Palatino Linotype"/>
          <w:b/>
        </w:rPr>
        <w:t>O</w:t>
      </w:r>
      <w:r w:rsidR="004E17FA" w:rsidRPr="00EB4728">
        <w:rPr>
          <w:rFonts w:ascii="Palatino Linotype" w:eastAsia="MS Mincho" w:hAnsi="Palatino Linotype"/>
          <w:b/>
        </w:rPr>
        <w:t>.</w:t>
      </w:r>
      <w:r w:rsidR="004E17FA" w:rsidRPr="00EB4728">
        <w:rPr>
          <w:rFonts w:ascii="Palatino Linotype" w:eastAsia="MS Mincho" w:hAnsi="Palatino Linotype"/>
        </w:rPr>
        <w:t xml:space="preserve"> Se hace del conocimiento de</w:t>
      </w:r>
      <w:r w:rsidR="006C3BA9" w:rsidRPr="00EB4728">
        <w:rPr>
          <w:rFonts w:ascii="Palatino Linotype" w:eastAsia="MS Mincho" w:hAnsi="Palatino Linotype"/>
        </w:rPr>
        <w:t xml:space="preserve">l </w:t>
      </w:r>
      <w:r w:rsidR="004E17FA" w:rsidRPr="00EB4728">
        <w:rPr>
          <w:rFonts w:ascii="Palatino Linotype" w:eastAsia="Calibri" w:hAnsi="Palatino Linotype" w:cs="Arial"/>
          <w:b/>
        </w:rPr>
        <w:t>RECURRENTE</w:t>
      </w:r>
      <w:r w:rsidR="004E17FA" w:rsidRPr="00EB4728">
        <w:rPr>
          <w:rFonts w:ascii="Palatino Linotype" w:hAnsi="Palatino Linotype"/>
        </w:rPr>
        <w:t xml:space="preserve"> </w:t>
      </w:r>
      <w:r w:rsidR="004E17FA" w:rsidRPr="00EB4728">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4E17FA" w:rsidRPr="00EB4728">
        <w:rPr>
          <w:rFonts w:ascii="Palatino Linotype" w:eastAsia="MS Mincho" w:hAnsi="Palatino Linotype"/>
          <w:bCs/>
        </w:rPr>
        <w:t>vía juicio de amparo</w:t>
      </w:r>
      <w:r w:rsidR="004E17FA" w:rsidRPr="00EB4728">
        <w:rPr>
          <w:rFonts w:ascii="Palatino Linotype" w:eastAsia="MS Mincho" w:hAnsi="Palatino Linotype"/>
        </w:rPr>
        <w:t> en los términos de las leyes aplicables</w:t>
      </w:r>
      <w:r w:rsidR="0097478D" w:rsidRPr="00EB4728">
        <w:rPr>
          <w:rFonts w:ascii="Palatino Linotype" w:eastAsia="MS Mincho" w:hAnsi="Palatino Linotype"/>
        </w:rPr>
        <w:t>, o en su caso, interponer recurso de inconformidad</w:t>
      </w:r>
    </w:p>
    <w:p w:rsidR="0097478D" w:rsidRPr="00EB4728" w:rsidRDefault="0097478D" w:rsidP="0097478D">
      <w:pPr>
        <w:autoSpaceDE w:val="0"/>
        <w:autoSpaceDN w:val="0"/>
        <w:adjustRightInd w:val="0"/>
        <w:spacing w:line="360" w:lineRule="auto"/>
        <w:ind w:right="49"/>
        <w:jc w:val="both"/>
        <w:rPr>
          <w:rFonts w:ascii="Palatino Linotype" w:eastAsia="MS Mincho" w:hAnsi="Palatino Linotype"/>
        </w:rPr>
      </w:pPr>
      <w:r w:rsidRPr="00EB4728">
        <w:rPr>
          <w:rFonts w:ascii="Palatino Linotype" w:eastAsia="MS Mincho" w:hAnsi="Palatino Linotype"/>
        </w:rPr>
        <w:t>con fundamento en el artículo 159 y 160, de la Ley General de Transparencia y Acceso a la Información Pública.</w:t>
      </w:r>
    </w:p>
    <w:p w:rsidR="004E17FA" w:rsidRPr="00EB4728" w:rsidRDefault="004E17FA" w:rsidP="004E17FA">
      <w:pPr>
        <w:autoSpaceDE w:val="0"/>
        <w:autoSpaceDN w:val="0"/>
        <w:adjustRightInd w:val="0"/>
        <w:spacing w:line="360" w:lineRule="auto"/>
        <w:ind w:right="49"/>
        <w:jc w:val="both"/>
        <w:rPr>
          <w:rFonts w:ascii="Palatino Linotype" w:eastAsia="MS Mincho" w:hAnsi="Palatino Linotype"/>
        </w:rPr>
      </w:pPr>
    </w:p>
    <w:p w:rsidR="00703A77" w:rsidRPr="00EB4728" w:rsidRDefault="00703A77" w:rsidP="004E17FA">
      <w:pPr>
        <w:autoSpaceDE w:val="0"/>
        <w:autoSpaceDN w:val="0"/>
        <w:adjustRightInd w:val="0"/>
        <w:spacing w:line="360" w:lineRule="auto"/>
        <w:ind w:right="49"/>
        <w:jc w:val="both"/>
        <w:rPr>
          <w:rFonts w:ascii="Palatino Linotype" w:eastAsia="MS Mincho" w:hAnsi="Palatino Linotype"/>
        </w:rPr>
      </w:pPr>
    </w:p>
    <w:p w:rsidR="00EB176A" w:rsidRPr="00EB176A" w:rsidRDefault="00EB176A" w:rsidP="00EB176A">
      <w:pPr>
        <w:spacing w:before="240" w:after="240" w:line="360" w:lineRule="auto"/>
        <w:ind w:firstLine="1"/>
        <w:jc w:val="both"/>
        <w:rPr>
          <w:rFonts w:ascii="Palatino Linotype" w:hAnsi="Palatino Linotype"/>
          <w:smallCaps/>
        </w:rPr>
      </w:pPr>
      <w:bookmarkStart w:id="181" w:name="_Hlk129792997"/>
      <w:r w:rsidRPr="00EB4728">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AE12D1" w:rsidRPr="00EB4728">
        <w:rPr>
          <w:rStyle w:val="Referenciasutil"/>
          <w:rFonts w:ascii="Palatino Linotype" w:hAnsi="Palatino Linotype"/>
          <w:color w:val="auto"/>
        </w:rPr>
        <w:t>, EMITIENDO VOTO PARTICULAR</w:t>
      </w:r>
      <w:r w:rsidRPr="00EB4728">
        <w:rPr>
          <w:rStyle w:val="Referenciasutil"/>
          <w:rFonts w:ascii="Palatino Linotype" w:hAnsi="Palatino Linotype"/>
          <w:color w:val="auto"/>
        </w:rPr>
        <w:t>; SHARON CRISTINA MORALES MARTÍNEZ; LUIS GUSTAVO PARRA NORIEGA</w:t>
      </w:r>
      <w:r w:rsidR="00AE12D1" w:rsidRPr="00EB4728">
        <w:rPr>
          <w:rStyle w:val="Referenciasutil"/>
          <w:rFonts w:ascii="Palatino Linotype" w:hAnsi="Palatino Linotype"/>
          <w:color w:val="auto"/>
        </w:rPr>
        <w:t>, EMITIENDO VOTO PARTICULAR</w:t>
      </w:r>
      <w:r w:rsidRPr="00EB4728">
        <w:rPr>
          <w:rStyle w:val="Referenciasutil"/>
          <w:rFonts w:ascii="Palatino Linotype" w:hAnsi="Palatino Linotype"/>
          <w:color w:val="auto"/>
        </w:rPr>
        <w:t xml:space="preserve"> Y GUADALUPE RAMÍREZ PEÑA, EN LA DÉCIMA NOVENA  SESIÓN ORDINARIA CELEBRADA EL VEINTICUATRO (24) DE MAYO DE DOS MIL VEINTITRÉS, ANTE EL SECRETARIO TÉCNICO DEL PLENO ALEXIS TAPIA RAMÍREZ.</w:t>
      </w:r>
      <w:bookmarkStart w:id="182" w:name="_GoBack"/>
      <w:bookmarkEnd w:id="182"/>
      <w:r w:rsidRPr="00EB176A">
        <w:rPr>
          <w:rStyle w:val="Referenciasutil"/>
          <w:rFonts w:ascii="Palatino Linotype" w:hAnsi="Palatino Linotype"/>
          <w:color w:val="auto"/>
        </w:rPr>
        <w:t xml:space="preserve"> </w:t>
      </w:r>
      <w:bookmarkEnd w:id="181"/>
    </w:p>
    <w:p w:rsidR="009F09BC" w:rsidRPr="008A249A" w:rsidRDefault="009F09BC" w:rsidP="009F09BC">
      <w:pPr>
        <w:spacing w:line="360" w:lineRule="auto"/>
        <w:jc w:val="both"/>
        <w:rPr>
          <w:rFonts w:ascii="Palatino Linotype" w:hAnsi="Palatino Linotype"/>
        </w:rPr>
      </w:pPr>
    </w:p>
    <w:p w:rsidR="009F09BC" w:rsidRPr="008A249A" w:rsidRDefault="009F09BC" w:rsidP="009F09BC">
      <w:pPr>
        <w:spacing w:line="360" w:lineRule="auto"/>
        <w:jc w:val="both"/>
        <w:rPr>
          <w:rFonts w:ascii="Palatino Linotype" w:hAnsi="Palatino Linotype"/>
        </w:rPr>
      </w:pPr>
    </w:p>
    <w:p w:rsidR="009F09BC" w:rsidRPr="008A249A" w:rsidRDefault="009F09BC" w:rsidP="009F09BC">
      <w:pPr>
        <w:spacing w:line="360" w:lineRule="auto"/>
        <w:jc w:val="both"/>
        <w:rPr>
          <w:rFonts w:ascii="Palatino Linotype" w:hAnsi="Palatino Linotype"/>
        </w:rPr>
      </w:pPr>
    </w:p>
    <w:p w:rsidR="009F09BC" w:rsidRPr="008A249A" w:rsidRDefault="009F09BC" w:rsidP="009F09BC">
      <w:pPr>
        <w:spacing w:line="360" w:lineRule="auto"/>
        <w:jc w:val="both"/>
        <w:rPr>
          <w:rFonts w:ascii="Palatino Linotype" w:hAnsi="Palatino Linotype"/>
        </w:rPr>
      </w:pPr>
    </w:p>
    <w:p w:rsidR="009F09BC" w:rsidRPr="008A249A" w:rsidRDefault="009F09BC" w:rsidP="009F09BC">
      <w:pPr>
        <w:spacing w:line="360" w:lineRule="auto"/>
        <w:jc w:val="both"/>
        <w:rPr>
          <w:rFonts w:ascii="Palatino Linotype" w:hAnsi="Palatino Linotype"/>
        </w:rPr>
      </w:pPr>
    </w:p>
    <w:p w:rsidR="009F09BC" w:rsidRPr="008A249A" w:rsidRDefault="009F09BC" w:rsidP="009F09BC">
      <w:pPr>
        <w:spacing w:line="360" w:lineRule="auto"/>
        <w:jc w:val="both"/>
        <w:rPr>
          <w:rFonts w:ascii="Palatino Linotype" w:hAnsi="Palatino Linotype"/>
        </w:rPr>
      </w:pPr>
    </w:p>
    <w:p w:rsidR="009F09BC" w:rsidRPr="008A249A" w:rsidRDefault="009F09BC" w:rsidP="009F09BC">
      <w:pPr>
        <w:spacing w:line="360" w:lineRule="auto"/>
        <w:jc w:val="both"/>
        <w:rPr>
          <w:rFonts w:ascii="Palatino Linotype" w:hAnsi="Palatino Linotype"/>
        </w:rPr>
      </w:pPr>
    </w:p>
    <w:p w:rsidR="009F09BC" w:rsidRPr="008A249A" w:rsidRDefault="009F09BC" w:rsidP="009F09BC">
      <w:pPr>
        <w:spacing w:line="360" w:lineRule="auto"/>
        <w:jc w:val="both"/>
        <w:rPr>
          <w:rFonts w:ascii="Palatino Linotype" w:hAnsi="Palatino Linotype"/>
        </w:rPr>
      </w:pPr>
    </w:p>
    <w:p w:rsidR="009F09BC" w:rsidRPr="008A249A" w:rsidRDefault="009F09BC" w:rsidP="009F09BC">
      <w:pPr>
        <w:spacing w:line="360" w:lineRule="auto"/>
        <w:jc w:val="both"/>
        <w:rPr>
          <w:rFonts w:ascii="Palatino Linotype" w:hAnsi="Palatino Linotype"/>
        </w:rPr>
      </w:pPr>
    </w:p>
    <w:p w:rsidR="009F09BC" w:rsidRPr="008A249A" w:rsidRDefault="009F09BC" w:rsidP="009F09BC">
      <w:pPr>
        <w:rPr>
          <w:rFonts w:ascii="Palatino Linotype" w:hAnsi="Palatino Linotype"/>
        </w:rPr>
      </w:pPr>
    </w:p>
    <w:p w:rsidR="009F09BC" w:rsidRPr="008A249A" w:rsidRDefault="009F09BC" w:rsidP="009F09BC">
      <w:pPr>
        <w:rPr>
          <w:rFonts w:ascii="Palatino Linotype" w:hAnsi="Palatino Linotype"/>
        </w:rPr>
      </w:pPr>
    </w:p>
    <w:p w:rsidR="009F09BC" w:rsidRPr="008A249A" w:rsidRDefault="009F09BC" w:rsidP="009F09BC">
      <w:pPr>
        <w:rPr>
          <w:rFonts w:ascii="Palatino Linotype" w:hAnsi="Palatino Linotype"/>
        </w:rPr>
      </w:pPr>
    </w:p>
    <w:p w:rsidR="009F09BC" w:rsidRPr="008A249A" w:rsidRDefault="009F09BC" w:rsidP="009F09BC">
      <w:pPr>
        <w:rPr>
          <w:rFonts w:ascii="Palatino Linotype" w:hAnsi="Palatino Linotype"/>
        </w:rPr>
      </w:pPr>
    </w:p>
    <w:p w:rsidR="009F09BC" w:rsidRPr="008A249A" w:rsidRDefault="009F09BC" w:rsidP="009F09BC">
      <w:pPr>
        <w:rPr>
          <w:rFonts w:ascii="Palatino Linotype" w:hAnsi="Palatino Linotype"/>
        </w:rPr>
      </w:pPr>
    </w:p>
    <w:p w:rsidR="009F09BC" w:rsidRPr="008A249A" w:rsidRDefault="009F09BC" w:rsidP="009F09BC">
      <w:pPr>
        <w:rPr>
          <w:rFonts w:ascii="Palatino Linotype" w:hAnsi="Palatino Linotype"/>
        </w:rPr>
      </w:pPr>
    </w:p>
    <w:p w:rsidR="009F09BC" w:rsidRPr="008A249A" w:rsidRDefault="009F09BC" w:rsidP="009F09BC">
      <w:pPr>
        <w:rPr>
          <w:rFonts w:ascii="Palatino Linotype" w:hAnsi="Palatino Linotype"/>
        </w:rPr>
      </w:pPr>
    </w:p>
    <w:p w:rsidR="009F09BC" w:rsidRPr="008A249A" w:rsidRDefault="009F09BC" w:rsidP="009F09BC">
      <w:pPr>
        <w:tabs>
          <w:tab w:val="left" w:pos="3374"/>
        </w:tabs>
        <w:rPr>
          <w:rFonts w:ascii="Palatino Linotype" w:hAnsi="Palatino Linotype"/>
        </w:rPr>
      </w:pPr>
      <w:r w:rsidRPr="008A249A">
        <w:rPr>
          <w:rFonts w:ascii="Palatino Linotype" w:hAnsi="Palatino Linotype"/>
        </w:rPr>
        <w:tab/>
      </w:r>
    </w:p>
    <w:p w:rsidR="0074110E" w:rsidRPr="008A249A" w:rsidRDefault="0074110E" w:rsidP="009F09BC">
      <w:pPr>
        <w:tabs>
          <w:tab w:val="left" w:pos="3374"/>
        </w:tabs>
        <w:rPr>
          <w:rFonts w:ascii="Palatino Linotype" w:hAnsi="Palatino Linotype"/>
        </w:rPr>
      </w:pPr>
    </w:p>
    <w:p w:rsidR="0074110E" w:rsidRPr="008A249A" w:rsidRDefault="0074110E" w:rsidP="009F09BC">
      <w:pPr>
        <w:tabs>
          <w:tab w:val="left" w:pos="3374"/>
        </w:tabs>
        <w:rPr>
          <w:rFonts w:ascii="Palatino Linotype" w:hAnsi="Palatino Linotype"/>
        </w:rPr>
      </w:pPr>
    </w:p>
    <w:p w:rsidR="0074110E" w:rsidRPr="008A249A" w:rsidRDefault="0074110E" w:rsidP="009F09BC">
      <w:pPr>
        <w:tabs>
          <w:tab w:val="left" w:pos="3374"/>
        </w:tabs>
        <w:rPr>
          <w:rFonts w:ascii="Palatino Linotype" w:hAnsi="Palatino Linotype"/>
        </w:rPr>
      </w:pPr>
    </w:p>
    <w:p w:rsidR="0074110E" w:rsidRPr="008A249A" w:rsidRDefault="0074110E" w:rsidP="009F09BC">
      <w:pPr>
        <w:tabs>
          <w:tab w:val="left" w:pos="3374"/>
        </w:tabs>
        <w:rPr>
          <w:rFonts w:ascii="Palatino Linotype" w:hAnsi="Palatino Linotype"/>
        </w:rPr>
      </w:pPr>
    </w:p>
    <w:p w:rsidR="0074110E" w:rsidRPr="008A249A" w:rsidRDefault="0074110E" w:rsidP="009F09BC">
      <w:pPr>
        <w:tabs>
          <w:tab w:val="left" w:pos="3374"/>
        </w:tabs>
        <w:rPr>
          <w:rFonts w:ascii="Palatino Linotype" w:hAnsi="Palatino Linotype"/>
        </w:rPr>
      </w:pPr>
    </w:p>
    <w:p w:rsidR="0074110E" w:rsidRPr="008A249A" w:rsidRDefault="0074110E" w:rsidP="009F09BC">
      <w:pPr>
        <w:tabs>
          <w:tab w:val="left" w:pos="3374"/>
        </w:tabs>
        <w:rPr>
          <w:rFonts w:ascii="Palatino Linotype" w:hAnsi="Palatino Linotype"/>
        </w:rPr>
      </w:pPr>
    </w:p>
    <w:p w:rsidR="0074110E" w:rsidRPr="008A249A" w:rsidRDefault="0074110E" w:rsidP="009F09BC">
      <w:pPr>
        <w:tabs>
          <w:tab w:val="left" w:pos="3374"/>
        </w:tabs>
        <w:rPr>
          <w:rFonts w:ascii="Palatino Linotype" w:hAnsi="Palatino Linotype"/>
        </w:rPr>
      </w:pPr>
    </w:p>
    <w:p w:rsidR="0074110E" w:rsidRPr="008A249A" w:rsidRDefault="0074110E"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p w:rsidR="00053FB7" w:rsidRPr="008A249A" w:rsidRDefault="00053FB7" w:rsidP="009F09BC">
      <w:pPr>
        <w:tabs>
          <w:tab w:val="left" w:pos="3374"/>
        </w:tabs>
        <w:rPr>
          <w:rFonts w:ascii="Palatino Linotype" w:hAnsi="Palatino Linotype"/>
        </w:rPr>
      </w:pPr>
    </w:p>
    <w:sectPr w:rsidR="00053FB7" w:rsidRPr="008A249A" w:rsidSect="00792D6A">
      <w:headerReference w:type="even" r:id="rId17"/>
      <w:headerReference w:type="default" r:id="rId18"/>
      <w:footerReference w:type="default" r:id="rId19"/>
      <w:headerReference w:type="first" r:id="rId20"/>
      <w:footerReference w:type="first" r:id="rId21"/>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CE8" w:rsidRDefault="00FB5CE8" w:rsidP="003B7751">
      <w:r>
        <w:separator/>
      </w:r>
    </w:p>
  </w:endnote>
  <w:endnote w:type="continuationSeparator" w:id="0">
    <w:p w:rsidR="00FB5CE8" w:rsidRDefault="00FB5CE8"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6D5738" w:rsidRPr="002D6DD8" w:rsidRDefault="006D5738"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4728">
              <w:rPr>
                <w:rFonts w:ascii="Palatino Linotype" w:hAnsi="Palatino Linotype"/>
                <w:bCs/>
                <w:noProof/>
                <w:sz w:val="20"/>
              </w:rPr>
              <w:t>65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B4728">
              <w:rPr>
                <w:rFonts w:ascii="Palatino Linotype" w:hAnsi="Palatino Linotype"/>
                <w:bCs/>
                <w:noProof/>
                <w:sz w:val="20"/>
              </w:rPr>
              <w:t>65</w:t>
            </w:r>
            <w:r>
              <w:rPr>
                <w:rFonts w:ascii="Palatino Linotype" w:hAnsi="Palatino Linotype"/>
                <w:bCs/>
                <w:noProof/>
                <w:sz w:val="20"/>
              </w:rPr>
              <w:fldChar w:fldCharType="end"/>
            </w:r>
          </w:p>
        </w:sdtContent>
      </w:sdt>
    </w:sdtContent>
  </w:sdt>
  <w:p w:rsidR="006D5738" w:rsidRDefault="006D57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738" w:rsidRPr="000B69FA" w:rsidRDefault="006D5738"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B47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B4728">
      <w:rPr>
        <w:rFonts w:ascii="Palatino Linotype" w:hAnsi="Palatino Linotype"/>
        <w:bCs/>
        <w:noProof/>
        <w:sz w:val="20"/>
      </w:rPr>
      <w:t>65</w:t>
    </w:r>
    <w:r>
      <w:rPr>
        <w:rFonts w:ascii="Palatino Linotype" w:hAnsi="Palatino Linotype"/>
        <w:bCs/>
        <w:noProof/>
        <w:sz w:val="20"/>
      </w:rPr>
      <w:fldChar w:fldCharType="end"/>
    </w:r>
  </w:p>
  <w:p w:rsidR="006D5738" w:rsidRDefault="006D57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CE8" w:rsidRDefault="00FB5CE8" w:rsidP="003B7751">
      <w:r>
        <w:separator/>
      </w:r>
    </w:p>
  </w:footnote>
  <w:footnote w:type="continuationSeparator" w:id="0">
    <w:p w:rsidR="00FB5CE8" w:rsidRDefault="00FB5CE8" w:rsidP="003B7751">
      <w:r>
        <w:continuationSeparator/>
      </w:r>
    </w:p>
  </w:footnote>
  <w:footnote w:id="1">
    <w:p w:rsidR="006D5738" w:rsidRPr="00F75272" w:rsidRDefault="006D5738"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6D5738" w:rsidRDefault="006D5738" w:rsidP="00B972E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6D5738" w:rsidRDefault="006D5738" w:rsidP="00B972ED">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3">
    <w:p w:rsidR="006D5738" w:rsidRDefault="006D5738" w:rsidP="00B972E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rsidR="006D5738" w:rsidRDefault="006D5738" w:rsidP="00B972E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D5738" w:rsidRDefault="006D5738" w:rsidP="00B972E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D5738" w:rsidRDefault="006D5738" w:rsidP="00B972E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rsidR="006D5738" w:rsidRDefault="006D5738" w:rsidP="00B972E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rsidR="006D5738" w:rsidRDefault="006D5738" w:rsidP="00B972ED">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6D5738" w:rsidRDefault="006D5738" w:rsidP="00B972ED">
      <w:pPr>
        <w:pStyle w:val="Textonotapie"/>
        <w:jc w:val="both"/>
        <w:rPr>
          <w:rFonts w:ascii="Palatino Linotype" w:hAnsi="Palatino Linotype"/>
          <w:sz w:val="18"/>
        </w:rPr>
      </w:pPr>
      <w:r>
        <w:rPr>
          <w:rFonts w:ascii="Palatino Linotype" w:hAnsi="Palatino Linotype"/>
          <w:sz w:val="18"/>
        </w:rPr>
        <w:t xml:space="preserve"> (…)</w:t>
      </w:r>
    </w:p>
    <w:p w:rsidR="006D5738" w:rsidRDefault="006D5738" w:rsidP="00B972ED">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738" w:rsidRDefault="00FB5CE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6D5738" w:rsidTr="006A04B6">
      <w:trPr>
        <w:trHeight w:val="227"/>
      </w:trPr>
      <w:tc>
        <w:tcPr>
          <w:tcW w:w="2976" w:type="dxa"/>
          <w:vAlign w:val="center"/>
          <w:hideMark/>
        </w:tcPr>
        <w:p w:rsidR="006D5738" w:rsidRPr="00674A46" w:rsidRDefault="006D5738"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6D5738" w:rsidRPr="00485ED8" w:rsidRDefault="006D5738" w:rsidP="00653A01">
          <w:pPr>
            <w:pStyle w:val="Encabezado"/>
            <w:rPr>
              <w:rFonts w:ascii="Palatino Linotype" w:hAnsi="Palatino Linotype"/>
              <w:b/>
              <w:sz w:val="22"/>
              <w:szCs w:val="22"/>
            </w:rPr>
          </w:pPr>
          <w:r>
            <w:rPr>
              <w:rFonts w:ascii="Palatino Linotype" w:hAnsi="Palatino Linotype" w:cs="Arial"/>
              <w:b/>
              <w:bCs/>
              <w:sz w:val="22"/>
              <w:szCs w:val="22"/>
              <w:lang w:eastAsia="es-MX"/>
            </w:rPr>
            <w:t>14933</w:t>
          </w:r>
          <w:r w:rsidRPr="008010F6">
            <w:rPr>
              <w:rFonts w:ascii="Palatino Linotype" w:hAnsi="Palatino Linotype" w:cs="Arial"/>
              <w:b/>
              <w:bCs/>
              <w:sz w:val="22"/>
              <w:szCs w:val="22"/>
              <w:lang w:eastAsia="es-MX"/>
            </w:rPr>
            <w:t>/INFOEM/IP/RR/2022</w:t>
          </w:r>
          <w:r>
            <w:rPr>
              <w:rFonts w:ascii="Palatino Linotype" w:hAnsi="Palatino Linotype" w:cs="Arial"/>
              <w:b/>
              <w:bCs/>
              <w:sz w:val="22"/>
              <w:szCs w:val="22"/>
              <w:lang w:eastAsia="es-MX"/>
            </w:rPr>
            <w:t xml:space="preserve"> y Acumulados</w:t>
          </w:r>
        </w:p>
      </w:tc>
    </w:tr>
    <w:tr w:rsidR="006D5738" w:rsidTr="006A04B6">
      <w:trPr>
        <w:trHeight w:val="242"/>
      </w:trPr>
      <w:tc>
        <w:tcPr>
          <w:tcW w:w="2976" w:type="dxa"/>
          <w:vAlign w:val="center"/>
          <w:hideMark/>
        </w:tcPr>
        <w:p w:rsidR="006D5738" w:rsidRPr="00674A46" w:rsidRDefault="006D5738"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6D5738" w:rsidRPr="00485ED8" w:rsidRDefault="006D5738" w:rsidP="009F09BC">
          <w:pPr>
            <w:pStyle w:val="Encabezado"/>
            <w:jc w:val="both"/>
            <w:rPr>
              <w:rFonts w:ascii="Palatino Linotype" w:hAnsi="Palatino Linotype"/>
              <w:b/>
              <w:sz w:val="22"/>
              <w:szCs w:val="22"/>
            </w:rPr>
          </w:pPr>
          <w:r w:rsidRPr="00653A01">
            <w:rPr>
              <w:rFonts w:ascii="Palatino Linotype" w:hAnsi="Palatino Linotype"/>
              <w:b/>
              <w:bCs/>
              <w:color w:val="000000"/>
              <w:sz w:val="22"/>
              <w:szCs w:val="22"/>
            </w:rPr>
            <w:t>Hospital Regional de Alta Especialidad de Zumpango</w:t>
          </w:r>
        </w:p>
      </w:tc>
    </w:tr>
    <w:tr w:rsidR="006D5738" w:rsidTr="006A04B6">
      <w:trPr>
        <w:trHeight w:val="342"/>
      </w:trPr>
      <w:tc>
        <w:tcPr>
          <w:tcW w:w="2976" w:type="dxa"/>
          <w:vAlign w:val="center"/>
          <w:hideMark/>
        </w:tcPr>
        <w:p w:rsidR="006D5738" w:rsidRPr="00674A46" w:rsidRDefault="006D5738"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6D5738" w:rsidRPr="00485ED8" w:rsidRDefault="006D5738"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6D5738" w:rsidRPr="00AE046A" w:rsidRDefault="00FB5CE8"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6D5738" w:rsidTr="006A04B6">
      <w:trPr>
        <w:trHeight w:val="227"/>
      </w:trPr>
      <w:tc>
        <w:tcPr>
          <w:tcW w:w="2977" w:type="dxa"/>
          <w:vAlign w:val="center"/>
          <w:hideMark/>
        </w:tcPr>
        <w:p w:rsidR="006D5738" w:rsidRPr="00674A46" w:rsidRDefault="006D5738"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6D5738" w:rsidRPr="00485ED8" w:rsidRDefault="006D5738" w:rsidP="00653A01">
          <w:pPr>
            <w:pStyle w:val="Encabezado"/>
            <w:rPr>
              <w:rFonts w:ascii="Palatino Linotype" w:hAnsi="Palatino Linotype"/>
              <w:b/>
              <w:sz w:val="22"/>
              <w:szCs w:val="22"/>
            </w:rPr>
          </w:pPr>
          <w:r w:rsidRPr="008010F6">
            <w:rPr>
              <w:rFonts w:ascii="Palatino Linotype" w:hAnsi="Palatino Linotype" w:cs="Arial"/>
              <w:b/>
              <w:bCs/>
              <w:sz w:val="22"/>
              <w:szCs w:val="22"/>
              <w:lang w:eastAsia="es-MX"/>
            </w:rPr>
            <w:t>1</w:t>
          </w:r>
          <w:r>
            <w:rPr>
              <w:rFonts w:ascii="Palatino Linotype" w:hAnsi="Palatino Linotype" w:cs="Arial"/>
              <w:b/>
              <w:bCs/>
              <w:sz w:val="22"/>
              <w:szCs w:val="22"/>
              <w:lang w:eastAsia="es-MX"/>
            </w:rPr>
            <w:t>4933</w:t>
          </w:r>
          <w:r w:rsidRPr="008010F6">
            <w:rPr>
              <w:rFonts w:ascii="Palatino Linotype" w:hAnsi="Palatino Linotype" w:cs="Arial"/>
              <w:b/>
              <w:bCs/>
              <w:sz w:val="22"/>
              <w:szCs w:val="22"/>
              <w:lang w:eastAsia="es-MX"/>
            </w:rPr>
            <w:t>/INFOEM/IP/RR/2022</w:t>
          </w:r>
          <w:r>
            <w:rPr>
              <w:rFonts w:ascii="Palatino Linotype" w:hAnsi="Palatino Linotype" w:cs="Arial"/>
              <w:b/>
              <w:bCs/>
              <w:sz w:val="22"/>
              <w:szCs w:val="22"/>
              <w:lang w:eastAsia="es-MX"/>
            </w:rPr>
            <w:t xml:space="preserve"> y Acumulado</w:t>
          </w:r>
          <w:r w:rsidR="00FF4254">
            <w:rPr>
              <w:rFonts w:ascii="Palatino Linotype" w:hAnsi="Palatino Linotype" w:cs="Arial"/>
              <w:b/>
              <w:bCs/>
              <w:sz w:val="22"/>
              <w:szCs w:val="22"/>
              <w:lang w:eastAsia="es-MX"/>
            </w:rPr>
            <w:t>s</w:t>
          </w:r>
        </w:p>
      </w:tc>
    </w:tr>
    <w:tr w:rsidR="006D5738" w:rsidTr="006A04B6">
      <w:trPr>
        <w:trHeight w:val="242"/>
      </w:trPr>
      <w:tc>
        <w:tcPr>
          <w:tcW w:w="2977" w:type="dxa"/>
          <w:vAlign w:val="center"/>
          <w:hideMark/>
        </w:tcPr>
        <w:p w:rsidR="006D5738" w:rsidRPr="00674A46" w:rsidRDefault="006D5738"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6D5738" w:rsidRPr="00B75F20" w:rsidRDefault="006D5738" w:rsidP="009F09BC">
          <w:pPr>
            <w:pStyle w:val="Encabezado"/>
            <w:tabs>
              <w:tab w:val="left" w:pos="521"/>
            </w:tabs>
            <w:rPr>
              <w:rFonts w:ascii="Palatino Linotype" w:hAnsi="Palatino Linotype"/>
              <w:b/>
              <w:sz w:val="22"/>
              <w:szCs w:val="22"/>
            </w:rPr>
          </w:pPr>
        </w:p>
      </w:tc>
    </w:tr>
    <w:tr w:rsidR="006D5738" w:rsidTr="006A04B6">
      <w:trPr>
        <w:trHeight w:val="342"/>
      </w:trPr>
      <w:tc>
        <w:tcPr>
          <w:tcW w:w="2977" w:type="dxa"/>
          <w:vAlign w:val="center"/>
        </w:tcPr>
        <w:p w:rsidR="006D5738" w:rsidRPr="00674A46" w:rsidRDefault="006D5738"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6D5738" w:rsidRPr="00674A46" w:rsidRDefault="006D5738" w:rsidP="009F09BC">
          <w:pPr>
            <w:pStyle w:val="Encabezado"/>
            <w:jc w:val="both"/>
            <w:rPr>
              <w:rFonts w:ascii="Palatino Linotype" w:hAnsi="Palatino Linotype"/>
              <w:b/>
              <w:sz w:val="22"/>
              <w:szCs w:val="22"/>
            </w:rPr>
          </w:pPr>
          <w:r w:rsidRPr="00653A01">
            <w:rPr>
              <w:rFonts w:ascii="Palatino Linotype" w:hAnsi="Palatino Linotype"/>
              <w:b/>
              <w:bCs/>
              <w:color w:val="000000"/>
              <w:sz w:val="22"/>
              <w:szCs w:val="22"/>
            </w:rPr>
            <w:t>Hospital Regional de Alta Especialidad de Zumpango</w:t>
          </w:r>
        </w:p>
      </w:tc>
    </w:tr>
    <w:tr w:rsidR="006D5738" w:rsidTr="006A04B6">
      <w:trPr>
        <w:trHeight w:val="342"/>
      </w:trPr>
      <w:tc>
        <w:tcPr>
          <w:tcW w:w="2977" w:type="dxa"/>
          <w:vAlign w:val="center"/>
        </w:tcPr>
        <w:p w:rsidR="006D5738" w:rsidRPr="00674A46" w:rsidRDefault="006D5738"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6D5738" w:rsidRPr="00674A46" w:rsidRDefault="006D5738" w:rsidP="009F09BC">
          <w:pPr>
            <w:pStyle w:val="Encabezado"/>
            <w:rPr>
              <w:rFonts w:ascii="Palatino Linotype" w:hAnsi="Palatino Linotype"/>
              <w:b/>
              <w:sz w:val="22"/>
              <w:szCs w:val="22"/>
            </w:rPr>
          </w:pPr>
          <w:r w:rsidRPr="0098487B">
            <w:rPr>
              <w:rFonts w:ascii="Palatino Linotype" w:hAnsi="Palatino Linotype"/>
              <w:b/>
              <w:sz w:val="22"/>
              <w:szCs w:val="21"/>
            </w:rPr>
            <w:t>María del Rosario Mejía Ayala</w:t>
          </w:r>
        </w:p>
      </w:tc>
    </w:tr>
  </w:tbl>
  <w:p w:rsidR="006D5738" w:rsidRPr="00C222C0" w:rsidRDefault="00FB5CE8">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E1017C"/>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4563B5E"/>
    <w:multiLevelType w:val="hybridMultilevel"/>
    <w:tmpl w:val="6E22AD6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5">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3074EB0"/>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1">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E616099"/>
    <w:multiLevelType w:val="hybridMultilevel"/>
    <w:tmpl w:val="B134C85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28"/>
  </w:num>
  <w:num w:numId="3">
    <w:abstractNumId w:val="2"/>
  </w:num>
  <w:num w:numId="4">
    <w:abstractNumId w:val="27"/>
  </w:num>
  <w:num w:numId="5">
    <w:abstractNumId w:val="23"/>
  </w:num>
  <w:num w:numId="6">
    <w:abstractNumId w:val="29"/>
  </w:num>
  <w:num w:numId="7">
    <w:abstractNumId w:val="22"/>
  </w:num>
  <w:num w:numId="8">
    <w:abstractNumId w:val="4"/>
  </w:num>
  <w:num w:numId="9">
    <w:abstractNumId w:val="20"/>
  </w:num>
  <w:num w:numId="10">
    <w:abstractNumId w:val="14"/>
  </w:num>
  <w:num w:numId="11">
    <w:abstractNumId w:val="13"/>
  </w:num>
  <w:num w:numId="12">
    <w:abstractNumId w:val="11"/>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7"/>
  </w:num>
  <w:num w:numId="19">
    <w:abstractNumId w:val="18"/>
  </w:num>
  <w:num w:numId="20">
    <w:abstractNumId w:val="1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5"/>
  </w:num>
  <w:num w:numId="26">
    <w:abstractNumId w:val="15"/>
  </w:num>
  <w:num w:numId="27">
    <w:abstractNumId w:val="0"/>
  </w:num>
  <w:num w:numId="28">
    <w:abstractNumId w:val="3"/>
  </w:num>
  <w:num w:numId="29">
    <w:abstractNumId w:val="17"/>
  </w:num>
  <w:num w:numId="30">
    <w:abstractNumId w:val="1"/>
  </w:num>
  <w:num w:numId="31">
    <w:abstractNumId w:val="6"/>
  </w:num>
  <w:num w:numId="32">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2B2E"/>
    <w:rsid w:val="0001674C"/>
    <w:rsid w:val="00020780"/>
    <w:rsid w:val="000219E6"/>
    <w:rsid w:val="00025C53"/>
    <w:rsid w:val="00030FBC"/>
    <w:rsid w:val="000334B7"/>
    <w:rsid w:val="000373F6"/>
    <w:rsid w:val="00040F7A"/>
    <w:rsid w:val="00042814"/>
    <w:rsid w:val="000504E5"/>
    <w:rsid w:val="00051287"/>
    <w:rsid w:val="000537B5"/>
    <w:rsid w:val="00053FB7"/>
    <w:rsid w:val="00081191"/>
    <w:rsid w:val="0008243D"/>
    <w:rsid w:val="00090954"/>
    <w:rsid w:val="000A1DA0"/>
    <w:rsid w:val="000A286E"/>
    <w:rsid w:val="000A4025"/>
    <w:rsid w:val="000A48C3"/>
    <w:rsid w:val="000A6153"/>
    <w:rsid w:val="000C6D4A"/>
    <w:rsid w:val="000D1604"/>
    <w:rsid w:val="000E0A54"/>
    <w:rsid w:val="000E1A02"/>
    <w:rsid w:val="000E4891"/>
    <w:rsid w:val="000F2D42"/>
    <w:rsid w:val="00114502"/>
    <w:rsid w:val="00115555"/>
    <w:rsid w:val="001310C6"/>
    <w:rsid w:val="001352F5"/>
    <w:rsid w:val="00155019"/>
    <w:rsid w:val="00172B67"/>
    <w:rsid w:val="00182C3C"/>
    <w:rsid w:val="00190A91"/>
    <w:rsid w:val="00195954"/>
    <w:rsid w:val="001A18E7"/>
    <w:rsid w:val="001B27E4"/>
    <w:rsid w:val="001B2B5B"/>
    <w:rsid w:val="001C1F09"/>
    <w:rsid w:val="001C341B"/>
    <w:rsid w:val="001C4164"/>
    <w:rsid w:val="001C4290"/>
    <w:rsid w:val="001C4F09"/>
    <w:rsid w:val="001D23C1"/>
    <w:rsid w:val="001D373F"/>
    <w:rsid w:val="001D5404"/>
    <w:rsid w:val="001D630C"/>
    <w:rsid w:val="001E755B"/>
    <w:rsid w:val="001F5025"/>
    <w:rsid w:val="00207A04"/>
    <w:rsid w:val="00223C06"/>
    <w:rsid w:val="00237CAF"/>
    <w:rsid w:val="00237FA4"/>
    <w:rsid w:val="0024187E"/>
    <w:rsid w:val="002649F6"/>
    <w:rsid w:val="00264C9A"/>
    <w:rsid w:val="002650A0"/>
    <w:rsid w:val="00266EC4"/>
    <w:rsid w:val="00267A08"/>
    <w:rsid w:val="00272CA2"/>
    <w:rsid w:val="00277FAC"/>
    <w:rsid w:val="0028630D"/>
    <w:rsid w:val="002901F4"/>
    <w:rsid w:val="00291500"/>
    <w:rsid w:val="002A07F9"/>
    <w:rsid w:val="002A3B71"/>
    <w:rsid w:val="002A74CD"/>
    <w:rsid w:val="002B1A7D"/>
    <w:rsid w:val="002B59F0"/>
    <w:rsid w:val="002C0D3C"/>
    <w:rsid w:val="002C2AA6"/>
    <w:rsid w:val="002C4997"/>
    <w:rsid w:val="002C66AD"/>
    <w:rsid w:val="002C77D6"/>
    <w:rsid w:val="002D294C"/>
    <w:rsid w:val="0030094A"/>
    <w:rsid w:val="00302775"/>
    <w:rsid w:val="00312281"/>
    <w:rsid w:val="00323FFD"/>
    <w:rsid w:val="00337BA4"/>
    <w:rsid w:val="00342501"/>
    <w:rsid w:val="003437D9"/>
    <w:rsid w:val="00351250"/>
    <w:rsid w:val="00353F1D"/>
    <w:rsid w:val="00360E1F"/>
    <w:rsid w:val="003620EA"/>
    <w:rsid w:val="0037157C"/>
    <w:rsid w:val="0037589A"/>
    <w:rsid w:val="003833B3"/>
    <w:rsid w:val="003933C4"/>
    <w:rsid w:val="003A15C8"/>
    <w:rsid w:val="003A3028"/>
    <w:rsid w:val="003A668E"/>
    <w:rsid w:val="003A6852"/>
    <w:rsid w:val="003B7751"/>
    <w:rsid w:val="003C13F1"/>
    <w:rsid w:val="003C6804"/>
    <w:rsid w:val="003D6115"/>
    <w:rsid w:val="003D6B14"/>
    <w:rsid w:val="003E4972"/>
    <w:rsid w:val="003E66D2"/>
    <w:rsid w:val="003F0D93"/>
    <w:rsid w:val="00403D64"/>
    <w:rsid w:val="004043ED"/>
    <w:rsid w:val="004049DA"/>
    <w:rsid w:val="00407FDA"/>
    <w:rsid w:val="004118FA"/>
    <w:rsid w:val="004128A8"/>
    <w:rsid w:val="00413E0F"/>
    <w:rsid w:val="00425842"/>
    <w:rsid w:val="00426227"/>
    <w:rsid w:val="00427038"/>
    <w:rsid w:val="0043755D"/>
    <w:rsid w:val="00437672"/>
    <w:rsid w:val="004441D3"/>
    <w:rsid w:val="004461CD"/>
    <w:rsid w:val="00456048"/>
    <w:rsid w:val="00456CFF"/>
    <w:rsid w:val="00472C8E"/>
    <w:rsid w:val="00480CB7"/>
    <w:rsid w:val="004A5214"/>
    <w:rsid w:val="004E17FA"/>
    <w:rsid w:val="004E4EE6"/>
    <w:rsid w:val="004E6CE4"/>
    <w:rsid w:val="004F094F"/>
    <w:rsid w:val="004F1D4C"/>
    <w:rsid w:val="004F34D1"/>
    <w:rsid w:val="00500BD7"/>
    <w:rsid w:val="0050141C"/>
    <w:rsid w:val="00507539"/>
    <w:rsid w:val="00507B30"/>
    <w:rsid w:val="00513224"/>
    <w:rsid w:val="005331D8"/>
    <w:rsid w:val="00541549"/>
    <w:rsid w:val="005432D0"/>
    <w:rsid w:val="00543EE5"/>
    <w:rsid w:val="00546076"/>
    <w:rsid w:val="00547ACE"/>
    <w:rsid w:val="005507B0"/>
    <w:rsid w:val="00554A21"/>
    <w:rsid w:val="00555DFC"/>
    <w:rsid w:val="00556E0A"/>
    <w:rsid w:val="00563F2E"/>
    <w:rsid w:val="0057514F"/>
    <w:rsid w:val="00575E75"/>
    <w:rsid w:val="00575FDD"/>
    <w:rsid w:val="00583A39"/>
    <w:rsid w:val="005A34D2"/>
    <w:rsid w:val="005B0088"/>
    <w:rsid w:val="005B076D"/>
    <w:rsid w:val="005B6702"/>
    <w:rsid w:val="005C5021"/>
    <w:rsid w:val="005D049A"/>
    <w:rsid w:val="005D2F1C"/>
    <w:rsid w:val="005D4C57"/>
    <w:rsid w:val="005D7F75"/>
    <w:rsid w:val="005E342B"/>
    <w:rsid w:val="00600CDC"/>
    <w:rsid w:val="00612BED"/>
    <w:rsid w:val="006132F8"/>
    <w:rsid w:val="0062406B"/>
    <w:rsid w:val="00647F7C"/>
    <w:rsid w:val="00651B10"/>
    <w:rsid w:val="00653A01"/>
    <w:rsid w:val="00657639"/>
    <w:rsid w:val="0065769F"/>
    <w:rsid w:val="006672E1"/>
    <w:rsid w:val="00680C93"/>
    <w:rsid w:val="0069487D"/>
    <w:rsid w:val="00697C09"/>
    <w:rsid w:val="006A04B6"/>
    <w:rsid w:val="006A5CB8"/>
    <w:rsid w:val="006A6390"/>
    <w:rsid w:val="006C3BA9"/>
    <w:rsid w:val="006C5952"/>
    <w:rsid w:val="006D15D0"/>
    <w:rsid w:val="006D2F3F"/>
    <w:rsid w:val="006D5738"/>
    <w:rsid w:val="006D6CC1"/>
    <w:rsid w:val="006D744D"/>
    <w:rsid w:val="006D7B34"/>
    <w:rsid w:val="006E7397"/>
    <w:rsid w:val="006E7C94"/>
    <w:rsid w:val="006F5B7B"/>
    <w:rsid w:val="00701315"/>
    <w:rsid w:val="00703A77"/>
    <w:rsid w:val="007072E1"/>
    <w:rsid w:val="00711062"/>
    <w:rsid w:val="007142AB"/>
    <w:rsid w:val="007142D6"/>
    <w:rsid w:val="007169D8"/>
    <w:rsid w:val="00716BCA"/>
    <w:rsid w:val="00720371"/>
    <w:rsid w:val="007249DB"/>
    <w:rsid w:val="0074110E"/>
    <w:rsid w:val="00742823"/>
    <w:rsid w:val="00745DB7"/>
    <w:rsid w:val="00754BB3"/>
    <w:rsid w:val="00754E5A"/>
    <w:rsid w:val="0076036C"/>
    <w:rsid w:val="00775EB2"/>
    <w:rsid w:val="00782A12"/>
    <w:rsid w:val="007851DB"/>
    <w:rsid w:val="00792D6A"/>
    <w:rsid w:val="007A460E"/>
    <w:rsid w:val="007A6A1A"/>
    <w:rsid w:val="007E56E1"/>
    <w:rsid w:val="007F2F6F"/>
    <w:rsid w:val="008010F6"/>
    <w:rsid w:val="00802DDE"/>
    <w:rsid w:val="00804DAA"/>
    <w:rsid w:val="00806C6B"/>
    <w:rsid w:val="00807626"/>
    <w:rsid w:val="00812FB4"/>
    <w:rsid w:val="008210A1"/>
    <w:rsid w:val="0082142B"/>
    <w:rsid w:val="008227A9"/>
    <w:rsid w:val="0084594C"/>
    <w:rsid w:val="0085118E"/>
    <w:rsid w:val="008526F4"/>
    <w:rsid w:val="008563C8"/>
    <w:rsid w:val="008573BF"/>
    <w:rsid w:val="0086792A"/>
    <w:rsid w:val="00873EB6"/>
    <w:rsid w:val="008831F7"/>
    <w:rsid w:val="00883DE4"/>
    <w:rsid w:val="008A06F8"/>
    <w:rsid w:val="008A249A"/>
    <w:rsid w:val="008A699B"/>
    <w:rsid w:val="008A73AA"/>
    <w:rsid w:val="008B0637"/>
    <w:rsid w:val="008C1ED7"/>
    <w:rsid w:val="008E12E3"/>
    <w:rsid w:val="008E330F"/>
    <w:rsid w:val="008E6574"/>
    <w:rsid w:val="008F6D18"/>
    <w:rsid w:val="008F749A"/>
    <w:rsid w:val="00906BB0"/>
    <w:rsid w:val="00906F4E"/>
    <w:rsid w:val="00911A75"/>
    <w:rsid w:val="009126F1"/>
    <w:rsid w:val="00920CB4"/>
    <w:rsid w:val="009335F9"/>
    <w:rsid w:val="00942258"/>
    <w:rsid w:val="00945135"/>
    <w:rsid w:val="009506C9"/>
    <w:rsid w:val="009521BE"/>
    <w:rsid w:val="0095341F"/>
    <w:rsid w:val="00954CD6"/>
    <w:rsid w:val="00957E2D"/>
    <w:rsid w:val="0097478D"/>
    <w:rsid w:val="0098487B"/>
    <w:rsid w:val="009972BB"/>
    <w:rsid w:val="009A2251"/>
    <w:rsid w:val="009A4135"/>
    <w:rsid w:val="009B2AC6"/>
    <w:rsid w:val="009B34E9"/>
    <w:rsid w:val="009C3553"/>
    <w:rsid w:val="009D0241"/>
    <w:rsid w:val="009D5A32"/>
    <w:rsid w:val="009D5B88"/>
    <w:rsid w:val="009F09BC"/>
    <w:rsid w:val="009F453B"/>
    <w:rsid w:val="00A02E71"/>
    <w:rsid w:val="00A23A32"/>
    <w:rsid w:val="00A23E82"/>
    <w:rsid w:val="00A30291"/>
    <w:rsid w:val="00A429D6"/>
    <w:rsid w:val="00A626EB"/>
    <w:rsid w:val="00AB1DDE"/>
    <w:rsid w:val="00AD316E"/>
    <w:rsid w:val="00AD3CD3"/>
    <w:rsid w:val="00AD63B4"/>
    <w:rsid w:val="00AE12D1"/>
    <w:rsid w:val="00AF4BBC"/>
    <w:rsid w:val="00AF62C8"/>
    <w:rsid w:val="00AF6490"/>
    <w:rsid w:val="00B04B63"/>
    <w:rsid w:val="00B07BF8"/>
    <w:rsid w:val="00B11CDD"/>
    <w:rsid w:val="00B32509"/>
    <w:rsid w:val="00B5225F"/>
    <w:rsid w:val="00B530E8"/>
    <w:rsid w:val="00B709AF"/>
    <w:rsid w:val="00B80FCC"/>
    <w:rsid w:val="00B86242"/>
    <w:rsid w:val="00B972ED"/>
    <w:rsid w:val="00BA5B7C"/>
    <w:rsid w:val="00BB1728"/>
    <w:rsid w:val="00BB5D7F"/>
    <w:rsid w:val="00BC7255"/>
    <w:rsid w:val="00BC77D3"/>
    <w:rsid w:val="00BD475D"/>
    <w:rsid w:val="00BE221B"/>
    <w:rsid w:val="00BF07B4"/>
    <w:rsid w:val="00BF3FB5"/>
    <w:rsid w:val="00C03BA3"/>
    <w:rsid w:val="00C0715F"/>
    <w:rsid w:val="00C105CC"/>
    <w:rsid w:val="00C1074F"/>
    <w:rsid w:val="00C14F2A"/>
    <w:rsid w:val="00C21FAE"/>
    <w:rsid w:val="00C242A7"/>
    <w:rsid w:val="00C35712"/>
    <w:rsid w:val="00C41B2B"/>
    <w:rsid w:val="00C47C3D"/>
    <w:rsid w:val="00C54D99"/>
    <w:rsid w:val="00C57591"/>
    <w:rsid w:val="00C651DA"/>
    <w:rsid w:val="00C843B8"/>
    <w:rsid w:val="00C85059"/>
    <w:rsid w:val="00C85E64"/>
    <w:rsid w:val="00C87396"/>
    <w:rsid w:val="00C90814"/>
    <w:rsid w:val="00C91BCE"/>
    <w:rsid w:val="00C91F0F"/>
    <w:rsid w:val="00CA1063"/>
    <w:rsid w:val="00CB757D"/>
    <w:rsid w:val="00CC56DC"/>
    <w:rsid w:val="00CC5B2F"/>
    <w:rsid w:val="00CD654D"/>
    <w:rsid w:val="00CE7423"/>
    <w:rsid w:val="00CE7B83"/>
    <w:rsid w:val="00CF0D2B"/>
    <w:rsid w:val="00D021A5"/>
    <w:rsid w:val="00D0226D"/>
    <w:rsid w:val="00D14581"/>
    <w:rsid w:val="00D16FC7"/>
    <w:rsid w:val="00D24F8C"/>
    <w:rsid w:val="00D31125"/>
    <w:rsid w:val="00D34F1E"/>
    <w:rsid w:val="00D3512D"/>
    <w:rsid w:val="00D46375"/>
    <w:rsid w:val="00D47231"/>
    <w:rsid w:val="00D50382"/>
    <w:rsid w:val="00D6224B"/>
    <w:rsid w:val="00D81329"/>
    <w:rsid w:val="00D90F91"/>
    <w:rsid w:val="00D96104"/>
    <w:rsid w:val="00DA6D37"/>
    <w:rsid w:val="00DB753F"/>
    <w:rsid w:val="00DD7914"/>
    <w:rsid w:val="00DE2F5A"/>
    <w:rsid w:val="00DF03A5"/>
    <w:rsid w:val="00E118BA"/>
    <w:rsid w:val="00E16445"/>
    <w:rsid w:val="00E17429"/>
    <w:rsid w:val="00E364B6"/>
    <w:rsid w:val="00E55966"/>
    <w:rsid w:val="00E56172"/>
    <w:rsid w:val="00E5636B"/>
    <w:rsid w:val="00E566C9"/>
    <w:rsid w:val="00E579A7"/>
    <w:rsid w:val="00E61C13"/>
    <w:rsid w:val="00E61DA9"/>
    <w:rsid w:val="00E77284"/>
    <w:rsid w:val="00E80491"/>
    <w:rsid w:val="00E83081"/>
    <w:rsid w:val="00E90454"/>
    <w:rsid w:val="00E927AB"/>
    <w:rsid w:val="00E92E04"/>
    <w:rsid w:val="00EA650E"/>
    <w:rsid w:val="00EA660A"/>
    <w:rsid w:val="00EB176A"/>
    <w:rsid w:val="00EB4728"/>
    <w:rsid w:val="00EC70F3"/>
    <w:rsid w:val="00ED1392"/>
    <w:rsid w:val="00ED1D6B"/>
    <w:rsid w:val="00ED262F"/>
    <w:rsid w:val="00ED3A35"/>
    <w:rsid w:val="00ED6E75"/>
    <w:rsid w:val="00EE1AF3"/>
    <w:rsid w:val="00EF0A0B"/>
    <w:rsid w:val="00EF33AE"/>
    <w:rsid w:val="00EF6E69"/>
    <w:rsid w:val="00F019BE"/>
    <w:rsid w:val="00F07536"/>
    <w:rsid w:val="00F12DA9"/>
    <w:rsid w:val="00F14830"/>
    <w:rsid w:val="00F15A1C"/>
    <w:rsid w:val="00F24A04"/>
    <w:rsid w:val="00F27CBE"/>
    <w:rsid w:val="00F30761"/>
    <w:rsid w:val="00F347DB"/>
    <w:rsid w:val="00F35B0C"/>
    <w:rsid w:val="00F42ADB"/>
    <w:rsid w:val="00F52D0F"/>
    <w:rsid w:val="00F55AE5"/>
    <w:rsid w:val="00F72588"/>
    <w:rsid w:val="00F7371C"/>
    <w:rsid w:val="00F9040F"/>
    <w:rsid w:val="00F907AD"/>
    <w:rsid w:val="00F91C56"/>
    <w:rsid w:val="00F946B5"/>
    <w:rsid w:val="00F95AFE"/>
    <w:rsid w:val="00F96309"/>
    <w:rsid w:val="00F970B6"/>
    <w:rsid w:val="00FA0364"/>
    <w:rsid w:val="00FA5561"/>
    <w:rsid w:val="00FB476B"/>
    <w:rsid w:val="00FB5CE8"/>
    <w:rsid w:val="00FB6D42"/>
    <w:rsid w:val="00FD2FA4"/>
    <w:rsid w:val="00FE3FBE"/>
    <w:rsid w:val="00FE5065"/>
    <w:rsid w:val="00FE6761"/>
    <w:rsid w:val="00FF1F09"/>
    <w:rsid w:val="00FF4254"/>
    <w:rsid w:val="00FF60EE"/>
    <w:rsid w:val="00FF6609"/>
    <w:rsid w:val="00FF7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EB176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02862">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84774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8F060-8527-4800-9CB3-97E5835EB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13466</Words>
  <Characters>74067</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dcterms:created xsi:type="dcterms:W3CDTF">2023-05-24T18:27:00Z</dcterms:created>
  <dcterms:modified xsi:type="dcterms:W3CDTF">2023-05-30T17:30:00Z</dcterms:modified>
</cp:coreProperties>
</file>