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013FA"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14:paraId="50FB4EBD" w14:textId="2D142CEA"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00454/INFOEM/IP/RR/2023</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D45BA9">
        <w:rPr>
          <w:rFonts w:ascii="Palatino Linotype" w:eastAsia="Palatino Linotype" w:hAnsi="Palatino Linotype" w:cs="Palatino Linotype"/>
          <w:b/>
        </w:rPr>
        <w:t>XXXXXXXXX XX XXXXXX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San Mateo Atenco,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408784F" w14:textId="77777777" w:rsidR="00341E16" w:rsidRDefault="00701007">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63FC4BC2"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dieciséis de noviembre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00314/MATEOATE/IP/2022, </w:t>
      </w:r>
      <w:r>
        <w:rPr>
          <w:rFonts w:ascii="Palatino Linotype" w:eastAsia="Palatino Linotype" w:hAnsi="Palatino Linotype" w:cs="Palatino Linotype"/>
        </w:rPr>
        <w:t xml:space="preserve">mediante la cual requirió la información siguiente: </w:t>
      </w:r>
    </w:p>
    <w:p w14:paraId="60F3423E" w14:textId="77777777" w:rsidR="00341E16" w:rsidRDefault="00701007">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 “Listado de los inmuebles recibidos por la sindicatura municipal y el uso o los fines para los que fueron adquiridos reportados al 31 de diciembre de 2022. y se aclare por parte de la sindicatura si cada uno de ellos </w:t>
      </w:r>
      <w:proofErr w:type="spellStart"/>
      <w:r>
        <w:rPr>
          <w:rFonts w:ascii="Palatino Linotype" w:eastAsia="Palatino Linotype" w:hAnsi="Palatino Linotype" w:cs="Palatino Linotype"/>
          <w:i/>
          <w:sz w:val="22"/>
          <w:szCs w:val="22"/>
        </w:rPr>
        <w:t>continuan</w:t>
      </w:r>
      <w:proofErr w:type="spellEnd"/>
      <w:r>
        <w:rPr>
          <w:rFonts w:ascii="Palatino Linotype" w:eastAsia="Palatino Linotype" w:hAnsi="Palatino Linotype" w:cs="Palatino Linotype"/>
          <w:i/>
          <w:sz w:val="22"/>
          <w:szCs w:val="22"/>
        </w:rPr>
        <w:t xml:space="preserve"> con el mismo uso o fin y si este cambio se proporcione la sindicatura copia del acta de cabildo de </w:t>
      </w:r>
      <w:proofErr w:type="spellStart"/>
      <w:r>
        <w:rPr>
          <w:rFonts w:ascii="Palatino Linotype" w:eastAsia="Palatino Linotype" w:hAnsi="Palatino Linotype" w:cs="Palatino Linotype"/>
          <w:i/>
          <w:sz w:val="22"/>
          <w:szCs w:val="22"/>
        </w:rPr>
        <w:t>caulquier</w:t>
      </w:r>
      <w:proofErr w:type="spellEnd"/>
      <w:r>
        <w:rPr>
          <w:rFonts w:ascii="Palatino Linotype" w:eastAsia="Palatino Linotype" w:hAnsi="Palatino Linotype" w:cs="Palatino Linotype"/>
          <w:i/>
          <w:sz w:val="22"/>
          <w:szCs w:val="22"/>
        </w:rPr>
        <w:t xml:space="preserve"> movimiento o cambio de uso de </w:t>
      </w:r>
      <w:proofErr w:type="spellStart"/>
      <w:r>
        <w:rPr>
          <w:rFonts w:ascii="Palatino Linotype" w:eastAsia="Palatino Linotype" w:hAnsi="Palatino Linotype" w:cs="Palatino Linotype"/>
          <w:i/>
          <w:sz w:val="22"/>
          <w:szCs w:val="22"/>
        </w:rPr>
        <w:t>algun</w:t>
      </w:r>
      <w:proofErr w:type="spellEnd"/>
      <w:r>
        <w:rPr>
          <w:rFonts w:ascii="Palatino Linotype" w:eastAsia="Palatino Linotype" w:hAnsi="Palatino Linotype" w:cs="Palatino Linotype"/>
          <w:i/>
          <w:sz w:val="22"/>
          <w:szCs w:val="22"/>
        </w:rPr>
        <w:t xml:space="preserve"> inmueble propiedad del municipio del 1 de enero al 16 de noviembre de 2022. La sindicatura como encargada de la </w:t>
      </w:r>
      <w:proofErr w:type="spellStart"/>
      <w:r>
        <w:rPr>
          <w:rFonts w:ascii="Palatino Linotype" w:eastAsia="Palatino Linotype" w:hAnsi="Palatino Linotype" w:cs="Palatino Linotype"/>
          <w:i/>
          <w:sz w:val="22"/>
          <w:szCs w:val="22"/>
        </w:rPr>
        <w:t>regularizacion</w:t>
      </w:r>
      <w:proofErr w:type="spellEnd"/>
      <w:r>
        <w:rPr>
          <w:rFonts w:ascii="Palatino Linotype" w:eastAsia="Palatino Linotype" w:hAnsi="Palatino Linotype" w:cs="Palatino Linotype"/>
          <w:i/>
          <w:sz w:val="22"/>
          <w:szCs w:val="22"/>
        </w:rPr>
        <w:t xml:space="preserve"> de los bienes inmuebles informe el </w:t>
      </w:r>
      <w:proofErr w:type="spellStart"/>
      <w:r>
        <w:rPr>
          <w:rFonts w:ascii="Palatino Linotype" w:eastAsia="Palatino Linotype" w:hAnsi="Palatino Linotype" w:cs="Palatino Linotype"/>
          <w:i/>
          <w:sz w:val="22"/>
          <w:szCs w:val="22"/>
        </w:rPr>
        <w:t>estadoi</w:t>
      </w:r>
      <w:proofErr w:type="spellEnd"/>
      <w:r>
        <w:rPr>
          <w:rFonts w:ascii="Palatino Linotype" w:eastAsia="Palatino Linotype" w:hAnsi="Palatino Linotype" w:cs="Palatino Linotype"/>
          <w:i/>
          <w:sz w:val="22"/>
          <w:szCs w:val="22"/>
        </w:rPr>
        <w:t xml:space="preserve"> que guarda cada uno de ellos y para </w:t>
      </w:r>
      <w:proofErr w:type="spellStart"/>
      <w:r>
        <w:rPr>
          <w:rFonts w:ascii="Palatino Linotype" w:eastAsia="Palatino Linotype" w:hAnsi="Palatino Linotype" w:cs="Palatino Linotype"/>
          <w:i/>
          <w:sz w:val="22"/>
          <w:szCs w:val="22"/>
        </w:rPr>
        <w:t>que</w:t>
      </w:r>
      <w:proofErr w:type="spellEnd"/>
      <w:r>
        <w:rPr>
          <w:rFonts w:ascii="Palatino Linotype" w:eastAsia="Palatino Linotype" w:hAnsi="Palatino Linotype" w:cs="Palatino Linotype"/>
          <w:i/>
          <w:sz w:val="22"/>
          <w:szCs w:val="22"/>
        </w:rPr>
        <w:t xml:space="preserve"> fin o uso se </w:t>
      </w:r>
      <w:proofErr w:type="spellStart"/>
      <w:r>
        <w:rPr>
          <w:rFonts w:ascii="Palatino Linotype" w:eastAsia="Palatino Linotype" w:hAnsi="Palatino Linotype" w:cs="Palatino Linotype"/>
          <w:i/>
          <w:sz w:val="22"/>
          <w:szCs w:val="22"/>
        </w:rPr>
        <w:t>estan</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utlizando</w:t>
      </w:r>
      <w:proofErr w:type="spellEnd"/>
      <w:r>
        <w:rPr>
          <w:rFonts w:ascii="Palatino Linotype" w:eastAsia="Palatino Linotype" w:hAnsi="Palatino Linotype" w:cs="Palatino Linotype"/>
          <w:i/>
          <w:sz w:val="22"/>
          <w:szCs w:val="22"/>
        </w:rPr>
        <w:t xml:space="preserve">. Que informe la sindicatura en su calidad de vigilante de la hacienda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si todos los bienes inmuebles </w:t>
      </w:r>
      <w:proofErr w:type="spellStart"/>
      <w:r>
        <w:rPr>
          <w:rFonts w:ascii="Palatino Linotype" w:eastAsia="Palatino Linotype" w:hAnsi="Palatino Linotype" w:cs="Palatino Linotype"/>
          <w:i/>
          <w:sz w:val="22"/>
          <w:szCs w:val="22"/>
        </w:rPr>
        <w:t>estan</w:t>
      </w:r>
      <w:proofErr w:type="spellEnd"/>
      <w:r>
        <w:rPr>
          <w:rFonts w:ascii="Palatino Linotype" w:eastAsia="Palatino Linotype" w:hAnsi="Palatino Linotype" w:cs="Palatino Linotype"/>
          <w:i/>
          <w:sz w:val="22"/>
          <w:szCs w:val="22"/>
        </w:rPr>
        <w:t xml:space="preserve"> registrados en la contabilidad municipal y si superviso que esto </w:t>
      </w:r>
      <w:r>
        <w:rPr>
          <w:rFonts w:ascii="Palatino Linotype" w:eastAsia="Palatino Linotype" w:hAnsi="Palatino Linotype" w:cs="Palatino Linotype"/>
          <w:i/>
          <w:sz w:val="22"/>
          <w:szCs w:val="22"/>
        </w:rPr>
        <w:lastRenderedPageBreak/>
        <w:t xml:space="preserve">fuera </w:t>
      </w:r>
      <w:proofErr w:type="spellStart"/>
      <w:r>
        <w:rPr>
          <w:rFonts w:ascii="Palatino Linotype" w:eastAsia="Palatino Linotype" w:hAnsi="Palatino Linotype" w:cs="Palatino Linotype"/>
          <w:i/>
          <w:sz w:val="22"/>
          <w:szCs w:val="22"/>
        </w:rPr>
        <w:t>asi</w:t>
      </w:r>
      <w:proofErr w:type="spellEnd"/>
      <w:r>
        <w:rPr>
          <w:rFonts w:ascii="Palatino Linotype" w:eastAsia="Palatino Linotype" w:hAnsi="Palatino Linotype" w:cs="Palatino Linotype"/>
          <w:i/>
          <w:sz w:val="22"/>
          <w:szCs w:val="22"/>
        </w:rPr>
        <w:t xml:space="preserve"> que </w:t>
      </w:r>
      <w:proofErr w:type="spellStart"/>
      <w:r>
        <w:rPr>
          <w:rFonts w:ascii="Palatino Linotype" w:eastAsia="Palatino Linotype" w:hAnsi="Palatino Linotype" w:cs="Palatino Linotype"/>
          <w:i/>
          <w:sz w:val="22"/>
          <w:szCs w:val="22"/>
        </w:rPr>
        <w:t>qguregue</w:t>
      </w:r>
      <w:proofErr w:type="spellEnd"/>
      <w:r>
        <w:rPr>
          <w:rFonts w:ascii="Palatino Linotype" w:eastAsia="Palatino Linotype" w:hAnsi="Palatino Linotype" w:cs="Palatino Linotype"/>
          <w:i/>
          <w:sz w:val="22"/>
          <w:szCs w:val="22"/>
        </w:rPr>
        <w:t xml:space="preserve"> copia de las actas con las que compruebe el cumplimiento de estas funciones. Que la sindicatura proporcione copia de las actas de cabildo que refieren a la </w:t>
      </w:r>
      <w:proofErr w:type="spellStart"/>
      <w:r>
        <w:rPr>
          <w:rFonts w:ascii="Palatino Linotype" w:eastAsia="Palatino Linotype" w:hAnsi="Palatino Linotype" w:cs="Palatino Linotype"/>
          <w:i/>
          <w:sz w:val="22"/>
          <w:szCs w:val="22"/>
        </w:rPr>
        <w:t>adquisicion</w:t>
      </w:r>
      <w:proofErr w:type="spellEnd"/>
      <w:r>
        <w:rPr>
          <w:rFonts w:ascii="Palatino Linotype" w:eastAsia="Palatino Linotype" w:hAnsi="Palatino Linotype" w:cs="Palatino Linotype"/>
          <w:i/>
          <w:sz w:val="22"/>
          <w:szCs w:val="22"/>
        </w:rPr>
        <w:t xml:space="preserve"> de cada uno de los bienes inmuebles que son propiedad del municipio y cuantos ha regularizado. Solicito copia de las escrituras de cada terreno y edificio propiedad del municipio que la sindicatura debe tener en el </w:t>
      </w:r>
      <w:proofErr w:type="spellStart"/>
      <w:r>
        <w:rPr>
          <w:rFonts w:ascii="Palatino Linotype" w:eastAsia="Palatino Linotype" w:hAnsi="Palatino Linotype" w:cs="Palatino Linotype"/>
          <w:i/>
          <w:sz w:val="22"/>
          <w:szCs w:val="22"/>
        </w:rPr>
        <w:t>expedinte</w:t>
      </w:r>
      <w:proofErr w:type="spellEnd"/>
      <w:r>
        <w:rPr>
          <w:rFonts w:ascii="Palatino Linotype" w:eastAsia="Palatino Linotype" w:hAnsi="Palatino Linotype" w:cs="Palatino Linotype"/>
          <w:i/>
          <w:sz w:val="22"/>
          <w:szCs w:val="22"/>
        </w:rPr>
        <w:t xml:space="preserve"> de cada inmueble. Se </w:t>
      </w:r>
      <w:proofErr w:type="spellStart"/>
      <w:r>
        <w:rPr>
          <w:rFonts w:ascii="Palatino Linotype" w:eastAsia="Palatino Linotype" w:hAnsi="Palatino Linotype" w:cs="Palatino Linotype"/>
          <w:i/>
          <w:sz w:val="22"/>
          <w:szCs w:val="22"/>
        </w:rPr>
        <w:t>solicta</w:t>
      </w:r>
      <w:proofErr w:type="spellEnd"/>
      <w:r>
        <w:rPr>
          <w:rFonts w:ascii="Palatino Linotype" w:eastAsia="Palatino Linotype" w:hAnsi="Palatino Linotype" w:cs="Palatino Linotype"/>
          <w:i/>
          <w:sz w:val="22"/>
          <w:szCs w:val="22"/>
        </w:rPr>
        <w:t xml:space="preserve"> todo a la sindicatura por ser la encargada por la ley, y si otra </w:t>
      </w:r>
      <w:proofErr w:type="spellStart"/>
      <w:r>
        <w:rPr>
          <w:rFonts w:ascii="Palatino Linotype" w:eastAsia="Palatino Linotype" w:hAnsi="Palatino Linotype" w:cs="Palatino Linotype"/>
          <w:i/>
          <w:sz w:val="22"/>
          <w:szCs w:val="22"/>
        </w:rPr>
        <w:t>area</w:t>
      </w:r>
      <w:proofErr w:type="spellEnd"/>
      <w:r>
        <w:rPr>
          <w:rFonts w:ascii="Palatino Linotype" w:eastAsia="Palatino Linotype" w:hAnsi="Palatino Linotype" w:cs="Palatino Linotype"/>
          <w:i/>
          <w:sz w:val="22"/>
          <w:szCs w:val="22"/>
        </w:rPr>
        <w:t xml:space="preserve"> tuviera las funciones que sea la que corresponda la que entregue copia de toda la </w:t>
      </w:r>
      <w:proofErr w:type="spellStart"/>
      <w:r>
        <w:rPr>
          <w:rFonts w:ascii="Palatino Linotype" w:eastAsia="Palatino Linotype" w:hAnsi="Palatino Linotype" w:cs="Palatino Linotype"/>
          <w:i/>
          <w:sz w:val="22"/>
          <w:szCs w:val="22"/>
        </w:rPr>
        <w:t>informacion</w:t>
      </w:r>
      <w:proofErr w:type="spellEnd"/>
      <w:r>
        <w:rPr>
          <w:rFonts w:ascii="Palatino Linotype" w:eastAsia="Palatino Linotype" w:hAnsi="Palatino Linotype" w:cs="Palatino Linotype"/>
          <w:i/>
          <w:sz w:val="22"/>
          <w:szCs w:val="22"/>
        </w:rPr>
        <w:t xml:space="preserve"> solicitada.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(sic) </w:t>
      </w:r>
    </w:p>
    <w:p w14:paraId="6F412C85" w14:textId="77777777" w:rsidR="00341E16" w:rsidRDefault="00701007">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w:t>
      </w:r>
      <w:r>
        <w:rPr>
          <w:rFonts w:ascii="Palatino Linotype" w:eastAsia="Palatino Linotype" w:hAnsi="Palatino Linotype" w:cs="Palatino Linotype"/>
          <w:b/>
        </w:rPr>
        <w:t xml:space="preserve"> SAIMEX</w:t>
      </w:r>
    </w:p>
    <w:p w14:paraId="3255EF04" w14:textId="77777777" w:rsidR="00341E16" w:rsidRDefault="0070100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Prorroga.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ocho de diciembre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solicitó prórroga mediante </w:t>
      </w:r>
      <w:r>
        <w:rPr>
          <w:rFonts w:ascii="Palatino Linotype" w:eastAsia="Palatino Linotype" w:hAnsi="Palatino Linotype" w:cs="Palatino Linotype"/>
          <w:b/>
        </w:rPr>
        <w:t xml:space="preserve">SAIMEX, </w:t>
      </w:r>
      <w:r>
        <w:rPr>
          <w:rFonts w:ascii="Palatino Linotype" w:eastAsia="Palatino Linotype" w:hAnsi="Palatino Linotype" w:cs="Palatino Linotype"/>
        </w:rPr>
        <w:t>argumentando lo siguiente:</w:t>
      </w:r>
    </w:p>
    <w:p w14:paraId="25BF3A4E" w14:textId="77777777" w:rsidR="00341E16" w:rsidRDefault="0070100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42C919C" w14:textId="77777777" w:rsidR="00341E16" w:rsidRDefault="0070100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aprueba la ampliación del término para la carga de la información solicitada, a fin de dar cabal cumplimiento al requerimiento del solicitante...”</w:t>
      </w:r>
    </w:p>
    <w:p w14:paraId="2CDAEE42" w14:textId="77777777" w:rsidR="00341E16" w:rsidRDefault="0070100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refiere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w:t>
      </w:r>
      <w:r>
        <w:rPr>
          <w:rFonts w:ascii="Palatino Linotype" w:eastAsia="Palatino Linotype" w:hAnsi="Palatino Linotype" w:cs="Palatino Linotype"/>
        </w:rPr>
        <w:lastRenderedPageBreak/>
        <w:t>establece la Ley de la materia, pues no se anexó la resolución mediante la cual el Comité de Transparencia aprobó la ampliación del plazo.</w:t>
      </w:r>
    </w:p>
    <w:p w14:paraId="65F3129F" w14:textId="77777777" w:rsidR="00341E16" w:rsidRDefault="0070100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diecinueve de diciembre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91E43E4" w14:textId="77777777" w:rsidR="00341E16" w:rsidRDefault="00701007">
      <w:pPr>
        <w:spacing w:before="240" w:after="24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“…SE DA RESPUESTA A LA SOLICITUD DE FOLIO 00314/MATEOATE/IP/2022 A TRAVÉS DEL OFICIO SMA/UIPPET/UT/1227/2022…” (sic)</w:t>
      </w:r>
    </w:p>
    <w:p w14:paraId="591F4B68" w14:textId="77777777" w:rsidR="00341E16" w:rsidRDefault="0070100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 siguiente: </w:t>
      </w:r>
    </w:p>
    <w:p w14:paraId="209CBCDC" w14:textId="77777777" w:rsidR="00341E16" w:rsidRDefault="0070100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Oficio número SMA/UIPPET/UT/01227/2022, de fecha diecinueve de diciembre de dos mil veintidós, signado por la Titular de la Unidad de Transparencia, mediante el cual notifica a la persona solicitante la respuesta emitida por el área competente.</w:t>
      </w:r>
    </w:p>
    <w:p w14:paraId="380602DD" w14:textId="77777777" w:rsidR="00341E16" w:rsidRDefault="0070100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Oficio número SMA/SIN/295/2022, de fecha veinticuatro de noviembre de dos mil veintidós, signado por el Síndico Municipal, mediante el cual da respuesta a la solicitud en los siguientes términos: </w:t>
      </w:r>
    </w:p>
    <w:p w14:paraId="59A8A1F0" w14:textId="77777777" w:rsidR="00341E16" w:rsidRDefault="00701007">
      <w:pPr>
        <w:spacing w:before="240" w:after="240" w:line="360" w:lineRule="auto"/>
        <w:ind w:right="49"/>
        <w:jc w:val="center"/>
        <w:rPr>
          <w:rFonts w:ascii="Palatino Linotype" w:eastAsia="Palatino Linotype" w:hAnsi="Palatino Linotype" w:cs="Palatino Linotype"/>
        </w:rPr>
      </w:pPr>
      <w:r>
        <w:rPr>
          <w:noProof/>
        </w:rPr>
        <w:drawing>
          <wp:inline distT="0" distB="0" distL="0" distR="0" wp14:anchorId="7A8DE3DD" wp14:editId="306B8DB2">
            <wp:extent cx="5040000" cy="2172709"/>
            <wp:effectExtent l="0" t="0" r="0" b="0"/>
            <wp:docPr id="11322239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1" b="24598"/>
                    <a:stretch>
                      <a:fillRect/>
                    </a:stretch>
                  </pic:blipFill>
                  <pic:spPr>
                    <a:xfrm>
                      <a:off x="0" y="0"/>
                      <a:ext cx="5040000" cy="2172709"/>
                    </a:xfrm>
                    <a:prstGeom prst="rect">
                      <a:avLst/>
                    </a:prstGeom>
                    <a:ln/>
                  </pic:spPr>
                </pic:pic>
              </a:graphicData>
            </a:graphic>
          </wp:inline>
        </w:drawing>
      </w:r>
    </w:p>
    <w:p w14:paraId="3559633B" w14:textId="77777777" w:rsidR="00341E16" w:rsidRDefault="00701007">
      <w:pPr>
        <w:spacing w:before="240" w:after="240" w:line="360" w:lineRule="auto"/>
        <w:ind w:right="49"/>
        <w:jc w:val="center"/>
        <w:rPr>
          <w:rFonts w:ascii="Palatino Linotype" w:eastAsia="Palatino Linotype" w:hAnsi="Palatino Linotype" w:cs="Palatino Linotype"/>
        </w:rPr>
      </w:pPr>
      <w:r>
        <w:rPr>
          <w:noProof/>
        </w:rPr>
        <w:lastRenderedPageBreak/>
        <w:drawing>
          <wp:inline distT="0" distB="0" distL="0" distR="0" wp14:anchorId="2927BB9C" wp14:editId="74551042">
            <wp:extent cx="5040000" cy="604636"/>
            <wp:effectExtent l="0" t="0" r="0" b="0"/>
            <wp:docPr id="11322239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79016"/>
                    <a:stretch>
                      <a:fillRect/>
                    </a:stretch>
                  </pic:blipFill>
                  <pic:spPr>
                    <a:xfrm>
                      <a:off x="0" y="0"/>
                      <a:ext cx="5040000" cy="604636"/>
                    </a:xfrm>
                    <a:prstGeom prst="rect">
                      <a:avLst/>
                    </a:prstGeom>
                    <a:ln/>
                  </pic:spPr>
                </pic:pic>
              </a:graphicData>
            </a:graphic>
          </wp:inline>
        </w:drawing>
      </w:r>
    </w:p>
    <w:p w14:paraId="4140AF9E" w14:textId="77777777" w:rsidR="00341E16" w:rsidRDefault="0070100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Relación de inmuebles constante de cuatro hojas, que contiene los datos: Inmueble, Ubicación, Medidas y colindancias, Superficie, Fecha de adquisición y Actualización, como se ilustra a continuación:</w:t>
      </w:r>
    </w:p>
    <w:p w14:paraId="699E0A6D" w14:textId="77777777" w:rsidR="00341E16" w:rsidRDefault="00701007">
      <w:pPr>
        <w:spacing w:before="240" w:after="240" w:line="360" w:lineRule="auto"/>
        <w:ind w:right="49"/>
        <w:jc w:val="both"/>
        <w:rPr>
          <w:rFonts w:ascii="Palatino Linotype" w:eastAsia="Palatino Linotype" w:hAnsi="Palatino Linotype" w:cs="Palatino Linotype"/>
        </w:rPr>
      </w:pPr>
      <w:r>
        <w:rPr>
          <w:noProof/>
        </w:rPr>
        <w:drawing>
          <wp:inline distT="0" distB="0" distL="0" distR="0" wp14:anchorId="7E5DA3D7" wp14:editId="696376A6">
            <wp:extent cx="5612130" cy="222250"/>
            <wp:effectExtent l="0" t="0" r="0" b="0"/>
            <wp:docPr id="11322239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130" cy="222250"/>
                    </a:xfrm>
                    <a:prstGeom prst="rect">
                      <a:avLst/>
                    </a:prstGeom>
                    <a:ln/>
                  </pic:spPr>
                </pic:pic>
              </a:graphicData>
            </a:graphic>
          </wp:inline>
        </w:drawing>
      </w:r>
      <w:r>
        <w:rPr>
          <w:noProof/>
        </w:rPr>
        <w:drawing>
          <wp:inline distT="0" distB="0" distL="0" distR="0" wp14:anchorId="27CBAEC6" wp14:editId="4BFCAE0E">
            <wp:extent cx="5612130" cy="377825"/>
            <wp:effectExtent l="0" t="0" r="0" b="0"/>
            <wp:docPr id="11322239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377825"/>
                    </a:xfrm>
                    <a:prstGeom prst="rect">
                      <a:avLst/>
                    </a:prstGeom>
                    <a:ln/>
                  </pic:spPr>
                </pic:pic>
              </a:graphicData>
            </a:graphic>
          </wp:inline>
        </w:drawing>
      </w:r>
    </w:p>
    <w:p w14:paraId="6F02E31E" w14:textId="77777777" w:rsidR="00341E16" w:rsidRDefault="0070100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Inventario de Bienes Inmuebles que es remitido al Órgano Superior de Fiscalización del Estado de México, OSFEM, constante de tres hojas, con los datos: Numero Progresivo, Cuenta, Subcuenta, Nombre de la Cuenta, Nombre del Inmueble, Ubicación, Localidad, Medidas y colindancias, Superficie, Superficie construida, Fecha de adquisición, Valor de adquisición, Uso, Documento que acredita la posesión, Número de escritura y/o fecha del contrato, Número del Registro Público de la Propiedad, Clave Catastral, Modalidad de adquisición, Pólizas, Fecha de alta, Depreciación y Comentarios, como se ilustra a continuación:</w:t>
      </w:r>
    </w:p>
    <w:p w14:paraId="5CCFE8D6" w14:textId="77777777" w:rsidR="00341E16" w:rsidRDefault="00701007">
      <w:pPr>
        <w:spacing w:before="240" w:after="240" w:line="360" w:lineRule="auto"/>
        <w:ind w:right="49"/>
        <w:jc w:val="both"/>
        <w:rPr>
          <w:rFonts w:ascii="Palatino Linotype" w:eastAsia="Palatino Linotype" w:hAnsi="Palatino Linotype" w:cs="Palatino Linotype"/>
        </w:rPr>
      </w:pPr>
      <w:r>
        <w:rPr>
          <w:noProof/>
        </w:rPr>
        <w:drawing>
          <wp:inline distT="0" distB="0" distL="0" distR="0" wp14:anchorId="37AE3DE8" wp14:editId="3289B98F">
            <wp:extent cx="5612130" cy="591185"/>
            <wp:effectExtent l="0" t="0" r="0" b="0"/>
            <wp:docPr id="11322239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591185"/>
                    </a:xfrm>
                    <a:prstGeom prst="rect">
                      <a:avLst/>
                    </a:prstGeom>
                    <a:ln/>
                  </pic:spPr>
                </pic:pic>
              </a:graphicData>
            </a:graphic>
          </wp:inline>
        </w:drawing>
      </w:r>
      <w:r>
        <w:rPr>
          <w:noProof/>
        </w:rPr>
        <w:drawing>
          <wp:inline distT="0" distB="0" distL="0" distR="0" wp14:anchorId="68A07957" wp14:editId="6F5BE900">
            <wp:extent cx="5612130" cy="253365"/>
            <wp:effectExtent l="0" t="0" r="0" b="0"/>
            <wp:docPr id="11322239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12130" cy="253365"/>
                    </a:xfrm>
                    <a:prstGeom prst="rect">
                      <a:avLst/>
                    </a:prstGeom>
                    <a:ln/>
                  </pic:spPr>
                </pic:pic>
              </a:graphicData>
            </a:graphic>
          </wp:inline>
        </w:drawing>
      </w:r>
    </w:p>
    <w:p w14:paraId="2F244C29" w14:textId="77777777" w:rsidR="00341E16" w:rsidRDefault="0070100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veinticinco de enero de dos </w:t>
      </w:r>
      <w:r>
        <w:rPr>
          <w:rFonts w:ascii="Palatino Linotype" w:eastAsia="Palatino Linotype" w:hAnsi="Palatino Linotype" w:cs="Palatino Linotype"/>
          <w:b/>
        </w:rPr>
        <w:lastRenderedPageBreak/>
        <w:t>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1E8A8262" w14:textId="77777777" w:rsidR="00341E16" w:rsidRDefault="00701007">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42B8BA00" w14:textId="77777777" w:rsidR="00341E16" w:rsidRDefault="00701007">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“Listado de los inmuebles recibidos por la sindicatura municipal y el uso o los fines para los que fueron adquiridos reportados al 31 de diciembre de 2022. y se aclare por parte de la sindicatura si cada uno de ellos </w:t>
      </w:r>
      <w:proofErr w:type="spellStart"/>
      <w:r>
        <w:rPr>
          <w:rFonts w:ascii="Palatino Linotype" w:eastAsia="Palatino Linotype" w:hAnsi="Palatino Linotype" w:cs="Palatino Linotype"/>
          <w:i/>
          <w:sz w:val="22"/>
          <w:szCs w:val="22"/>
        </w:rPr>
        <w:t>continuan</w:t>
      </w:r>
      <w:proofErr w:type="spellEnd"/>
      <w:r>
        <w:rPr>
          <w:rFonts w:ascii="Palatino Linotype" w:eastAsia="Palatino Linotype" w:hAnsi="Palatino Linotype" w:cs="Palatino Linotype"/>
          <w:i/>
          <w:sz w:val="22"/>
          <w:szCs w:val="22"/>
        </w:rPr>
        <w:t xml:space="preserve"> con el mismo uso o fin y si este cambio se proporcione la sindicatura copia del acta de cabildo de </w:t>
      </w:r>
      <w:proofErr w:type="spellStart"/>
      <w:r>
        <w:rPr>
          <w:rFonts w:ascii="Palatino Linotype" w:eastAsia="Palatino Linotype" w:hAnsi="Palatino Linotype" w:cs="Palatino Linotype"/>
          <w:i/>
          <w:sz w:val="22"/>
          <w:szCs w:val="22"/>
        </w:rPr>
        <w:t>caulquier</w:t>
      </w:r>
      <w:proofErr w:type="spellEnd"/>
      <w:r>
        <w:rPr>
          <w:rFonts w:ascii="Palatino Linotype" w:eastAsia="Palatino Linotype" w:hAnsi="Palatino Linotype" w:cs="Palatino Linotype"/>
          <w:i/>
          <w:sz w:val="22"/>
          <w:szCs w:val="22"/>
        </w:rPr>
        <w:t xml:space="preserve"> movimiento o cambio de uso de </w:t>
      </w:r>
      <w:proofErr w:type="spellStart"/>
      <w:r>
        <w:rPr>
          <w:rFonts w:ascii="Palatino Linotype" w:eastAsia="Palatino Linotype" w:hAnsi="Palatino Linotype" w:cs="Palatino Linotype"/>
          <w:i/>
          <w:sz w:val="22"/>
          <w:szCs w:val="22"/>
        </w:rPr>
        <w:t>algun</w:t>
      </w:r>
      <w:proofErr w:type="spellEnd"/>
      <w:r>
        <w:rPr>
          <w:rFonts w:ascii="Palatino Linotype" w:eastAsia="Palatino Linotype" w:hAnsi="Palatino Linotype" w:cs="Palatino Linotype"/>
          <w:i/>
          <w:sz w:val="22"/>
          <w:szCs w:val="22"/>
        </w:rPr>
        <w:t xml:space="preserve"> inmueble propiedad del municipio del 1 de enero al 16 de noviembre de 2022. La sindicatura como encargada de la </w:t>
      </w:r>
      <w:proofErr w:type="spellStart"/>
      <w:r>
        <w:rPr>
          <w:rFonts w:ascii="Palatino Linotype" w:eastAsia="Palatino Linotype" w:hAnsi="Palatino Linotype" w:cs="Palatino Linotype"/>
          <w:i/>
          <w:sz w:val="22"/>
          <w:szCs w:val="22"/>
        </w:rPr>
        <w:t>regularizacion</w:t>
      </w:r>
      <w:proofErr w:type="spellEnd"/>
      <w:r>
        <w:rPr>
          <w:rFonts w:ascii="Palatino Linotype" w:eastAsia="Palatino Linotype" w:hAnsi="Palatino Linotype" w:cs="Palatino Linotype"/>
          <w:i/>
          <w:sz w:val="22"/>
          <w:szCs w:val="22"/>
        </w:rPr>
        <w:t xml:space="preserve"> de los bienes inmuebles informe el </w:t>
      </w:r>
      <w:proofErr w:type="spellStart"/>
      <w:r>
        <w:rPr>
          <w:rFonts w:ascii="Palatino Linotype" w:eastAsia="Palatino Linotype" w:hAnsi="Palatino Linotype" w:cs="Palatino Linotype"/>
          <w:i/>
          <w:sz w:val="22"/>
          <w:szCs w:val="22"/>
        </w:rPr>
        <w:t>estadoi</w:t>
      </w:r>
      <w:proofErr w:type="spellEnd"/>
      <w:r>
        <w:rPr>
          <w:rFonts w:ascii="Palatino Linotype" w:eastAsia="Palatino Linotype" w:hAnsi="Palatino Linotype" w:cs="Palatino Linotype"/>
          <w:i/>
          <w:sz w:val="22"/>
          <w:szCs w:val="22"/>
        </w:rPr>
        <w:t xml:space="preserve"> que guarda cada uno de ellos y para </w:t>
      </w:r>
      <w:proofErr w:type="spellStart"/>
      <w:r>
        <w:rPr>
          <w:rFonts w:ascii="Palatino Linotype" w:eastAsia="Palatino Linotype" w:hAnsi="Palatino Linotype" w:cs="Palatino Linotype"/>
          <w:i/>
          <w:sz w:val="22"/>
          <w:szCs w:val="22"/>
        </w:rPr>
        <w:t>que</w:t>
      </w:r>
      <w:proofErr w:type="spellEnd"/>
      <w:r>
        <w:rPr>
          <w:rFonts w:ascii="Palatino Linotype" w:eastAsia="Palatino Linotype" w:hAnsi="Palatino Linotype" w:cs="Palatino Linotype"/>
          <w:i/>
          <w:sz w:val="22"/>
          <w:szCs w:val="22"/>
        </w:rPr>
        <w:t xml:space="preserve"> fin o uso se </w:t>
      </w:r>
      <w:proofErr w:type="spellStart"/>
      <w:r>
        <w:rPr>
          <w:rFonts w:ascii="Palatino Linotype" w:eastAsia="Palatino Linotype" w:hAnsi="Palatino Linotype" w:cs="Palatino Linotype"/>
          <w:i/>
          <w:sz w:val="22"/>
          <w:szCs w:val="22"/>
        </w:rPr>
        <w:t>estan</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utlizando</w:t>
      </w:r>
      <w:proofErr w:type="spellEnd"/>
      <w:r>
        <w:rPr>
          <w:rFonts w:ascii="Palatino Linotype" w:eastAsia="Palatino Linotype" w:hAnsi="Palatino Linotype" w:cs="Palatino Linotype"/>
          <w:i/>
          <w:sz w:val="22"/>
          <w:szCs w:val="22"/>
        </w:rPr>
        <w:t xml:space="preserve">. Que informe la sindicatura en su calidad de vigilante de la hacienda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si todos los bienes inmuebles </w:t>
      </w:r>
      <w:proofErr w:type="spellStart"/>
      <w:r>
        <w:rPr>
          <w:rFonts w:ascii="Palatino Linotype" w:eastAsia="Palatino Linotype" w:hAnsi="Palatino Linotype" w:cs="Palatino Linotype"/>
          <w:i/>
          <w:sz w:val="22"/>
          <w:szCs w:val="22"/>
        </w:rPr>
        <w:t>estan</w:t>
      </w:r>
      <w:proofErr w:type="spellEnd"/>
      <w:r>
        <w:rPr>
          <w:rFonts w:ascii="Palatino Linotype" w:eastAsia="Palatino Linotype" w:hAnsi="Palatino Linotype" w:cs="Palatino Linotype"/>
          <w:i/>
          <w:sz w:val="22"/>
          <w:szCs w:val="22"/>
        </w:rPr>
        <w:t xml:space="preserve"> registrados en la contabilidad municipal y si superviso que esto fuera </w:t>
      </w:r>
      <w:proofErr w:type="spellStart"/>
      <w:r>
        <w:rPr>
          <w:rFonts w:ascii="Palatino Linotype" w:eastAsia="Palatino Linotype" w:hAnsi="Palatino Linotype" w:cs="Palatino Linotype"/>
          <w:i/>
          <w:sz w:val="22"/>
          <w:szCs w:val="22"/>
        </w:rPr>
        <w:t>asi</w:t>
      </w:r>
      <w:proofErr w:type="spellEnd"/>
      <w:r>
        <w:rPr>
          <w:rFonts w:ascii="Palatino Linotype" w:eastAsia="Palatino Linotype" w:hAnsi="Palatino Linotype" w:cs="Palatino Linotype"/>
          <w:i/>
          <w:sz w:val="22"/>
          <w:szCs w:val="22"/>
        </w:rPr>
        <w:t xml:space="preserve"> que </w:t>
      </w:r>
      <w:proofErr w:type="spellStart"/>
      <w:r>
        <w:rPr>
          <w:rFonts w:ascii="Palatino Linotype" w:eastAsia="Palatino Linotype" w:hAnsi="Palatino Linotype" w:cs="Palatino Linotype"/>
          <w:i/>
          <w:sz w:val="22"/>
          <w:szCs w:val="22"/>
        </w:rPr>
        <w:t>qguregue</w:t>
      </w:r>
      <w:proofErr w:type="spellEnd"/>
      <w:r>
        <w:rPr>
          <w:rFonts w:ascii="Palatino Linotype" w:eastAsia="Palatino Linotype" w:hAnsi="Palatino Linotype" w:cs="Palatino Linotype"/>
          <w:i/>
          <w:sz w:val="22"/>
          <w:szCs w:val="22"/>
        </w:rPr>
        <w:t xml:space="preserve"> copia de las actas con las que compruebe el cumplimiento de estas funciones. Que la sindicatura proporcione copia de las actas de cabildo que refieren a la </w:t>
      </w:r>
      <w:proofErr w:type="spellStart"/>
      <w:r>
        <w:rPr>
          <w:rFonts w:ascii="Palatino Linotype" w:eastAsia="Palatino Linotype" w:hAnsi="Palatino Linotype" w:cs="Palatino Linotype"/>
          <w:i/>
          <w:sz w:val="22"/>
          <w:szCs w:val="22"/>
        </w:rPr>
        <w:t>adquisicion</w:t>
      </w:r>
      <w:proofErr w:type="spellEnd"/>
      <w:r>
        <w:rPr>
          <w:rFonts w:ascii="Palatino Linotype" w:eastAsia="Palatino Linotype" w:hAnsi="Palatino Linotype" w:cs="Palatino Linotype"/>
          <w:i/>
          <w:sz w:val="22"/>
          <w:szCs w:val="22"/>
        </w:rPr>
        <w:t xml:space="preserve"> de cada uno de los bienes inmuebles que son propiedad del municipio y cuantos ha regularizado. Solicito copia de las escrituras de cada terreno y edificio propiedad del municipio que la sindicatura debe tener en el </w:t>
      </w:r>
      <w:proofErr w:type="spellStart"/>
      <w:r>
        <w:rPr>
          <w:rFonts w:ascii="Palatino Linotype" w:eastAsia="Palatino Linotype" w:hAnsi="Palatino Linotype" w:cs="Palatino Linotype"/>
          <w:i/>
          <w:sz w:val="22"/>
          <w:szCs w:val="22"/>
        </w:rPr>
        <w:t>expedinte</w:t>
      </w:r>
      <w:proofErr w:type="spellEnd"/>
      <w:r>
        <w:rPr>
          <w:rFonts w:ascii="Palatino Linotype" w:eastAsia="Palatino Linotype" w:hAnsi="Palatino Linotype" w:cs="Palatino Linotype"/>
          <w:i/>
          <w:sz w:val="22"/>
          <w:szCs w:val="22"/>
        </w:rPr>
        <w:t xml:space="preserve"> de cada inmueble. Se </w:t>
      </w:r>
      <w:proofErr w:type="spellStart"/>
      <w:r>
        <w:rPr>
          <w:rFonts w:ascii="Palatino Linotype" w:eastAsia="Palatino Linotype" w:hAnsi="Palatino Linotype" w:cs="Palatino Linotype"/>
          <w:i/>
          <w:sz w:val="22"/>
          <w:szCs w:val="22"/>
        </w:rPr>
        <w:t>solicta</w:t>
      </w:r>
      <w:proofErr w:type="spellEnd"/>
      <w:r>
        <w:rPr>
          <w:rFonts w:ascii="Palatino Linotype" w:eastAsia="Palatino Linotype" w:hAnsi="Palatino Linotype" w:cs="Palatino Linotype"/>
          <w:i/>
          <w:sz w:val="22"/>
          <w:szCs w:val="22"/>
        </w:rPr>
        <w:t xml:space="preserve"> todo a la sindicatura por ser la encargada por la ley, y si otra </w:t>
      </w:r>
      <w:proofErr w:type="spellStart"/>
      <w:r>
        <w:rPr>
          <w:rFonts w:ascii="Palatino Linotype" w:eastAsia="Palatino Linotype" w:hAnsi="Palatino Linotype" w:cs="Palatino Linotype"/>
          <w:i/>
          <w:sz w:val="22"/>
          <w:szCs w:val="22"/>
        </w:rPr>
        <w:t>area</w:t>
      </w:r>
      <w:proofErr w:type="spellEnd"/>
      <w:r>
        <w:rPr>
          <w:rFonts w:ascii="Palatino Linotype" w:eastAsia="Palatino Linotype" w:hAnsi="Palatino Linotype" w:cs="Palatino Linotype"/>
          <w:i/>
          <w:sz w:val="22"/>
          <w:szCs w:val="22"/>
        </w:rPr>
        <w:t xml:space="preserve"> tuviera las funciones que sea la que corresponda la que entregue copia de toda la </w:t>
      </w:r>
      <w:proofErr w:type="spellStart"/>
      <w:r>
        <w:rPr>
          <w:rFonts w:ascii="Palatino Linotype" w:eastAsia="Palatino Linotype" w:hAnsi="Palatino Linotype" w:cs="Palatino Linotype"/>
          <w:i/>
          <w:sz w:val="22"/>
          <w:szCs w:val="22"/>
        </w:rPr>
        <w:t>informacion</w:t>
      </w:r>
      <w:proofErr w:type="spellEnd"/>
      <w:r>
        <w:rPr>
          <w:rFonts w:ascii="Palatino Linotype" w:eastAsia="Palatino Linotype" w:hAnsi="Palatino Linotype" w:cs="Palatino Linotype"/>
          <w:i/>
          <w:sz w:val="22"/>
          <w:szCs w:val="22"/>
        </w:rPr>
        <w:t xml:space="preserve"> solicitada.” (sic)</w:t>
      </w:r>
    </w:p>
    <w:p w14:paraId="43C46805" w14:textId="77777777" w:rsidR="00341E16" w:rsidRDefault="00701007">
      <w:pPr>
        <w:spacing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60D74F5F" w14:textId="77777777" w:rsidR="00341E16" w:rsidRDefault="00701007">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LINEAMIENTOS PARA EL REGISTRO Y CONTROL DEL INVENTARIO Y LA CONCILIACION Y DESINCORPORACION DE BIENES MUEBLES E INMUEBLES PARA LAS ENTIDADES FISCALIZABLES MUNICIPALES DEL ESTADO DE MEXICO. Establecen la </w:t>
      </w:r>
      <w:proofErr w:type="spellStart"/>
      <w:r>
        <w:rPr>
          <w:rFonts w:ascii="Palatino Linotype" w:eastAsia="Palatino Linotype" w:hAnsi="Palatino Linotype" w:cs="Palatino Linotype"/>
          <w:i/>
          <w:sz w:val="22"/>
          <w:szCs w:val="22"/>
        </w:rPr>
        <w:t>obligacion</w:t>
      </w:r>
      <w:proofErr w:type="spellEnd"/>
      <w:r>
        <w:rPr>
          <w:rFonts w:ascii="Palatino Linotype" w:eastAsia="Palatino Linotype" w:hAnsi="Palatino Linotype" w:cs="Palatino Linotype"/>
          <w:i/>
          <w:sz w:val="22"/>
          <w:szCs w:val="22"/>
        </w:rPr>
        <w:t xml:space="preserve"> de llevar un expediente </w:t>
      </w:r>
      <w:proofErr w:type="spellStart"/>
      <w:r>
        <w:rPr>
          <w:rFonts w:ascii="Palatino Linotype" w:eastAsia="Palatino Linotype" w:hAnsi="Palatino Linotype" w:cs="Palatino Linotype"/>
          <w:i/>
          <w:sz w:val="22"/>
          <w:szCs w:val="22"/>
        </w:rPr>
        <w:t>unico</w:t>
      </w:r>
      <w:proofErr w:type="spellEnd"/>
      <w:r>
        <w:rPr>
          <w:rFonts w:ascii="Palatino Linotype" w:eastAsia="Palatino Linotype" w:hAnsi="Palatino Linotype" w:cs="Palatino Linotype"/>
          <w:i/>
          <w:sz w:val="22"/>
          <w:szCs w:val="22"/>
        </w:rPr>
        <w:t xml:space="preserve"> por bien y lo definen como tal: EXPEDIENTE INDIVIDUAL POR BIEN: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En el caso de los bienes inmuebles: póliza contable, </w:t>
      </w:r>
      <w:r>
        <w:rPr>
          <w:rFonts w:ascii="Palatino Linotype" w:eastAsia="Palatino Linotype" w:hAnsi="Palatino Linotype" w:cs="Palatino Linotype"/>
          <w:i/>
          <w:sz w:val="22"/>
          <w:szCs w:val="22"/>
        </w:rPr>
        <w:lastRenderedPageBreak/>
        <w:t xml:space="preserve">formato individual de inventario de bienes inmuebles, los documentos relativos a la adquisición, escritura pública a favor de la entidad fiscalizable (en caso de estar en proceso de regularización presentar documentación que acredite los tramites), clave catastral, y plano del inmueble; </w:t>
      </w:r>
      <w:r>
        <w:rPr>
          <w:rFonts w:ascii="Palatino Linotype" w:eastAsia="Palatino Linotype" w:hAnsi="Palatino Linotype" w:cs="Palatino Linotype"/>
          <w:b/>
          <w:i/>
          <w:sz w:val="22"/>
          <w:szCs w:val="22"/>
        </w:rPr>
        <w:t>Decir que no se cuenta con el acta de cabildo como el mismo sindico reconoce es doloso cuando hay lineamientos que lo establecen</w:t>
      </w:r>
      <w:r>
        <w:rPr>
          <w:rFonts w:ascii="Palatino Linotype" w:eastAsia="Palatino Linotype" w:hAnsi="Palatino Linotype" w:cs="Palatino Linotype"/>
          <w:i/>
          <w:sz w:val="22"/>
          <w:szCs w:val="22"/>
        </w:rPr>
        <w:t xml:space="preserve"> que el </w:t>
      </w:r>
      <w:proofErr w:type="spellStart"/>
      <w:r>
        <w:rPr>
          <w:rFonts w:ascii="Palatino Linotype" w:eastAsia="Palatino Linotype" w:hAnsi="Palatino Linotype" w:cs="Palatino Linotype"/>
          <w:i/>
          <w:sz w:val="22"/>
          <w:szCs w:val="22"/>
        </w:rPr>
        <w:t>deberia</w:t>
      </w:r>
      <w:proofErr w:type="spellEnd"/>
      <w:r>
        <w:rPr>
          <w:rFonts w:ascii="Palatino Linotype" w:eastAsia="Palatino Linotype" w:hAnsi="Palatino Linotype" w:cs="Palatino Linotype"/>
          <w:i/>
          <w:sz w:val="22"/>
          <w:szCs w:val="22"/>
        </w:rPr>
        <w:t xml:space="preserve"> de conocer y aplicar por ser el vigilante de la hacienda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y de los intereses municipales como lo establece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53 de la ley </w:t>
      </w:r>
      <w:proofErr w:type="spellStart"/>
      <w:r>
        <w:rPr>
          <w:rFonts w:ascii="Palatino Linotype" w:eastAsia="Palatino Linotype" w:hAnsi="Palatino Linotype" w:cs="Palatino Linotype"/>
          <w:i/>
          <w:sz w:val="22"/>
          <w:szCs w:val="22"/>
        </w:rPr>
        <w:t>organica</w:t>
      </w:r>
      <w:proofErr w:type="spellEnd"/>
      <w:r>
        <w:rPr>
          <w:rFonts w:ascii="Palatino Linotype" w:eastAsia="Palatino Linotype" w:hAnsi="Palatino Linotype" w:cs="Palatino Linotype"/>
          <w:i/>
          <w:sz w:val="22"/>
          <w:szCs w:val="22"/>
        </w:rPr>
        <w:t xml:space="preserve"> municipal del estado de </w:t>
      </w:r>
      <w:proofErr w:type="spellStart"/>
      <w:r>
        <w:rPr>
          <w:rFonts w:ascii="Palatino Linotype" w:eastAsia="Palatino Linotype" w:hAnsi="Palatino Linotype" w:cs="Palatino Linotype"/>
          <w:i/>
          <w:sz w:val="22"/>
          <w:szCs w:val="22"/>
        </w:rPr>
        <w:t>méxico</w:t>
      </w:r>
      <w:proofErr w:type="spellEnd"/>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El acta de cabildo es parte importante de la </w:t>
      </w:r>
      <w:proofErr w:type="spellStart"/>
      <w:r>
        <w:rPr>
          <w:rFonts w:ascii="Palatino Linotype" w:eastAsia="Palatino Linotype" w:hAnsi="Palatino Linotype" w:cs="Palatino Linotype"/>
          <w:b/>
          <w:i/>
          <w:sz w:val="22"/>
          <w:szCs w:val="22"/>
        </w:rPr>
        <w:t>adquisicion</w:t>
      </w:r>
      <w:proofErr w:type="spellEnd"/>
      <w:r>
        <w:rPr>
          <w:rFonts w:ascii="Palatino Linotype" w:eastAsia="Palatino Linotype" w:hAnsi="Palatino Linotype" w:cs="Palatino Linotype"/>
          <w:b/>
          <w:i/>
          <w:sz w:val="22"/>
          <w:szCs w:val="22"/>
        </w:rPr>
        <w:t xml:space="preserve"> de un inmueble y del cambio de su destino o uso para el que fue adquirido</w:t>
      </w:r>
      <w:r>
        <w:rPr>
          <w:rFonts w:ascii="Palatino Linotype" w:eastAsia="Palatino Linotype" w:hAnsi="Palatino Linotype" w:cs="Palatino Linotype"/>
          <w:i/>
          <w:sz w:val="22"/>
          <w:szCs w:val="22"/>
        </w:rPr>
        <w:t xml:space="preserve">. Artículo 179. El recurso de revisión es un medio de protección que la Ley otorga a los particulares, para hacer valer su derecho de acceso a la información pública, y procederá en contra de las siguientes causas: I. La negativa a la información solicitada; II. La clasificación de la información; III. La declaración de inexistencia de la información; IV. La declaración de incompetencia por el sujeto obligado; V. La entrega de información incompleta; VI. La entrega de información que no corresponda con lo solicitado; VII. La falta de respuesta a una solicitud de acceso a la información; VIII. La notificación, entrega o puesta a disposición de información en una modalidad o formato distinto al solicitado; IX. La entrega o puesta a disposición de información en un formato incomprensible y/o no accesible para el solicitante; X. Los costos o tiempos de entrega de la información; XI. La falta de trámite a una solicitud; XII. La negativa a permitir la consulta directa de la información; XIII. La falta, deficiencia o insuficiencia de la fundamentación y/o motivación en la respuesta; y XIV. La orientación a un trámite específico. La respuesta que den los sujetos obligados derivada de la resolución a un recurso de revisión que proceda por las causales señaladas en las fracciones IV, VII, IX, X, XI y XII es susceptible de ser impugnada de nueva cuenta, mediante recurso de revisión, ante el Instituto. la ley </w:t>
      </w:r>
      <w:proofErr w:type="spellStart"/>
      <w:r>
        <w:rPr>
          <w:rFonts w:ascii="Palatino Linotype" w:eastAsia="Palatino Linotype" w:hAnsi="Palatino Linotype" w:cs="Palatino Linotype"/>
          <w:i/>
          <w:sz w:val="22"/>
          <w:szCs w:val="22"/>
        </w:rPr>
        <w:t>organica</w:t>
      </w:r>
      <w:proofErr w:type="spellEnd"/>
      <w:r>
        <w:rPr>
          <w:rFonts w:ascii="Palatino Linotype" w:eastAsia="Palatino Linotype" w:hAnsi="Palatino Linotype" w:cs="Palatino Linotype"/>
          <w:i/>
          <w:sz w:val="22"/>
          <w:szCs w:val="22"/>
        </w:rPr>
        <w:t xml:space="preserve"> estable en su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53 que </w:t>
      </w:r>
      <w:r>
        <w:rPr>
          <w:rFonts w:ascii="Palatino Linotype" w:eastAsia="Palatino Linotype" w:hAnsi="Palatino Linotype" w:cs="Palatino Linotype"/>
          <w:b/>
          <w:i/>
          <w:sz w:val="22"/>
          <w:szCs w:val="22"/>
        </w:rPr>
        <w:t xml:space="preserve">el </w:t>
      </w:r>
      <w:proofErr w:type="spellStart"/>
      <w:r>
        <w:rPr>
          <w:rFonts w:ascii="Palatino Linotype" w:eastAsia="Palatino Linotype" w:hAnsi="Palatino Linotype" w:cs="Palatino Linotype"/>
          <w:b/>
          <w:i/>
          <w:sz w:val="22"/>
          <w:szCs w:val="22"/>
        </w:rPr>
        <w:t>sindico</w:t>
      </w:r>
      <w:proofErr w:type="spellEnd"/>
      <w:r>
        <w:rPr>
          <w:rFonts w:ascii="Palatino Linotype" w:eastAsia="Palatino Linotype" w:hAnsi="Palatino Linotype" w:cs="Palatino Linotype"/>
          <w:b/>
          <w:i/>
          <w:sz w:val="22"/>
          <w:szCs w:val="22"/>
        </w:rPr>
        <w:t xml:space="preserve"> es encargado de vigilar y registrar los inmuebles, para hacerlo </w:t>
      </w:r>
      <w:proofErr w:type="spellStart"/>
      <w:r>
        <w:rPr>
          <w:rFonts w:ascii="Palatino Linotype" w:eastAsia="Palatino Linotype" w:hAnsi="Palatino Linotype" w:cs="Palatino Linotype"/>
          <w:b/>
          <w:i/>
          <w:sz w:val="22"/>
          <w:szCs w:val="22"/>
          <w:u w:val="single"/>
        </w:rPr>
        <w:t>tendra</w:t>
      </w:r>
      <w:proofErr w:type="spellEnd"/>
      <w:r>
        <w:rPr>
          <w:rFonts w:ascii="Palatino Linotype" w:eastAsia="Palatino Linotype" w:hAnsi="Palatino Linotype" w:cs="Palatino Linotype"/>
          <w:b/>
          <w:i/>
          <w:sz w:val="22"/>
          <w:szCs w:val="22"/>
          <w:u w:val="single"/>
        </w:rPr>
        <w:t xml:space="preserve"> que tener copia de las actas de cabildo que afecten a los inmuebles en los expedientes que por normativa exige el </w:t>
      </w:r>
      <w:proofErr w:type="spellStart"/>
      <w:r>
        <w:rPr>
          <w:rFonts w:ascii="Palatino Linotype" w:eastAsia="Palatino Linotype" w:hAnsi="Palatino Linotype" w:cs="Palatino Linotype"/>
          <w:b/>
          <w:i/>
          <w:sz w:val="22"/>
          <w:szCs w:val="22"/>
          <w:u w:val="single"/>
        </w:rPr>
        <w:t>organo</w:t>
      </w:r>
      <w:proofErr w:type="spellEnd"/>
      <w:r>
        <w:rPr>
          <w:rFonts w:ascii="Palatino Linotype" w:eastAsia="Palatino Linotype" w:hAnsi="Palatino Linotype" w:cs="Palatino Linotype"/>
          <w:b/>
          <w:i/>
          <w:sz w:val="22"/>
          <w:szCs w:val="22"/>
          <w:u w:val="single"/>
        </w:rPr>
        <w:t xml:space="preserve"> fiscalizador en sus lineamientos</w:t>
      </w:r>
      <w:r>
        <w:rPr>
          <w:rFonts w:ascii="Palatino Linotype" w:eastAsia="Palatino Linotype" w:hAnsi="Palatino Linotype" w:cs="Palatino Linotype"/>
          <w:b/>
          <w:i/>
          <w:sz w:val="22"/>
          <w:szCs w:val="22"/>
        </w:rPr>
        <w:t xml:space="preserve">, decir que no se tiene </w:t>
      </w:r>
      <w:proofErr w:type="gramStart"/>
      <w:r>
        <w:rPr>
          <w:rFonts w:ascii="Palatino Linotype" w:eastAsia="Palatino Linotype" w:hAnsi="Palatino Linotype" w:cs="Palatino Linotype"/>
          <w:b/>
          <w:i/>
          <w:sz w:val="22"/>
          <w:szCs w:val="22"/>
        </w:rPr>
        <w:t>un documentos</w:t>
      </w:r>
      <w:proofErr w:type="gramEnd"/>
      <w:r>
        <w:rPr>
          <w:rFonts w:ascii="Palatino Linotype" w:eastAsia="Palatino Linotype" w:hAnsi="Palatino Linotype" w:cs="Palatino Linotype"/>
          <w:b/>
          <w:i/>
          <w:sz w:val="22"/>
          <w:szCs w:val="22"/>
        </w:rPr>
        <w:t xml:space="preserve"> legal y </w:t>
      </w:r>
      <w:proofErr w:type="spellStart"/>
      <w:r>
        <w:rPr>
          <w:rFonts w:ascii="Palatino Linotype" w:eastAsia="Palatino Linotype" w:hAnsi="Palatino Linotype" w:cs="Palatino Linotype"/>
          <w:b/>
          <w:i/>
          <w:sz w:val="22"/>
          <w:szCs w:val="22"/>
        </w:rPr>
        <w:t>basico</w:t>
      </w:r>
      <w:proofErr w:type="spellEnd"/>
      <w:r>
        <w:rPr>
          <w:rFonts w:ascii="Palatino Linotype" w:eastAsia="Palatino Linotype" w:hAnsi="Palatino Linotype" w:cs="Palatino Linotype"/>
          <w:b/>
          <w:i/>
          <w:sz w:val="22"/>
          <w:szCs w:val="22"/>
        </w:rPr>
        <w:t xml:space="preserve">, es actuar con dolo, </w:t>
      </w:r>
      <w:proofErr w:type="spellStart"/>
      <w:r>
        <w:rPr>
          <w:rFonts w:ascii="Palatino Linotype" w:eastAsia="Palatino Linotype" w:hAnsi="Palatino Linotype" w:cs="Palatino Linotype"/>
          <w:b/>
          <w:i/>
          <w:sz w:val="22"/>
          <w:szCs w:val="22"/>
        </w:rPr>
        <w:t>pq</w:t>
      </w:r>
      <w:proofErr w:type="spellEnd"/>
      <w:r>
        <w:rPr>
          <w:rFonts w:ascii="Palatino Linotype" w:eastAsia="Palatino Linotype" w:hAnsi="Palatino Linotype" w:cs="Palatino Linotype"/>
          <w:b/>
          <w:i/>
          <w:sz w:val="22"/>
          <w:szCs w:val="22"/>
        </w:rPr>
        <w:t xml:space="preserve"> lo que se pide es el acta que refiere a los inmuebles no las actas del ayuntamiento en sus funciones de </w:t>
      </w:r>
      <w:proofErr w:type="spellStart"/>
      <w:r>
        <w:rPr>
          <w:rFonts w:ascii="Palatino Linotype" w:eastAsia="Palatino Linotype" w:hAnsi="Palatino Linotype" w:cs="Palatino Linotype"/>
          <w:b/>
          <w:i/>
          <w:sz w:val="22"/>
          <w:szCs w:val="22"/>
        </w:rPr>
        <w:t>oprgano</w:t>
      </w:r>
      <w:proofErr w:type="spellEnd"/>
      <w:r>
        <w:rPr>
          <w:rFonts w:ascii="Palatino Linotype" w:eastAsia="Palatino Linotype" w:hAnsi="Palatino Linotype" w:cs="Palatino Linotype"/>
          <w:b/>
          <w:i/>
          <w:sz w:val="22"/>
          <w:szCs w:val="22"/>
        </w:rPr>
        <w:t xml:space="preserve"> colegiado. Se piden las actas </w:t>
      </w:r>
      <w:proofErr w:type="spellStart"/>
      <w:r>
        <w:rPr>
          <w:rFonts w:ascii="Palatino Linotype" w:eastAsia="Palatino Linotype" w:hAnsi="Palatino Linotype" w:cs="Palatino Linotype"/>
          <w:b/>
          <w:i/>
          <w:sz w:val="22"/>
          <w:szCs w:val="22"/>
        </w:rPr>
        <w:t>especificas</w:t>
      </w:r>
      <w:proofErr w:type="spellEnd"/>
      <w:r>
        <w:rPr>
          <w:rFonts w:ascii="Palatino Linotype" w:eastAsia="Palatino Linotype" w:hAnsi="Palatino Linotype" w:cs="Palatino Linotype"/>
          <w:b/>
          <w:i/>
          <w:sz w:val="22"/>
          <w:szCs w:val="22"/>
        </w:rPr>
        <w:t xml:space="preserve"> de inmuebles</w:t>
      </w:r>
      <w:r>
        <w:rPr>
          <w:rFonts w:ascii="Palatino Linotype" w:eastAsia="Palatino Linotype" w:hAnsi="Palatino Linotype" w:cs="Palatino Linotype"/>
          <w:i/>
          <w:sz w:val="22"/>
          <w:szCs w:val="22"/>
        </w:rPr>
        <w:t xml:space="preserve">. En los sistemas de información inmobiliaria se deberán recopilar y mantener actualizados, los avalúos, datos, documentos e informes necesarios para la plena identificación de los inmuebles de propiedad municipal Los lineamientos </w:t>
      </w:r>
      <w:proofErr w:type="spellStart"/>
      <w:r>
        <w:rPr>
          <w:rFonts w:ascii="Palatino Linotype" w:eastAsia="Palatino Linotype" w:hAnsi="Palatino Linotype" w:cs="Palatino Linotype"/>
          <w:i/>
          <w:sz w:val="22"/>
          <w:szCs w:val="22"/>
        </w:rPr>
        <w:t>minimos</w:t>
      </w:r>
      <w:proofErr w:type="spellEnd"/>
      <w:r>
        <w:rPr>
          <w:rFonts w:ascii="Palatino Linotype" w:eastAsia="Palatino Linotype" w:hAnsi="Palatino Linotype" w:cs="Palatino Linotype"/>
          <w:i/>
          <w:sz w:val="22"/>
          <w:szCs w:val="22"/>
        </w:rPr>
        <w:t xml:space="preserve"> que emiten las autoridades de fiscalización establecen el llevar un libro especial de registro, y es por </w:t>
      </w:r>
      <w:proofErr w:type="spellStart"/>
      <w:r>
        <w:rPr>
          <w:rFonts w:ascii="Palatino Linotype" w:eastAsia="Palatino Linotype" w:hAnsi="Palatino Linotype" w:cs="Palatino Linotype"/>
          <w:i/>
          <w:sz w:val="22"/>
          <w:szCs w:val="22"/>
        </w:rPr>
        <w:t>demas</w:t>
      </w:r>
      <w:proofErr w:type="spellEnd"/>
      <w:r>
        <w:rPr>
          <w:rFonts w:ascii="Palatino Linotype" w:eastAsia="Palatino Linotype" w:hAnsi="Palatino Linotype" w:cs="Palatino Linotype"/>
          <w:i/>
          <w:sz w:val="22"/>
          <w:szCs w:val="22"/>
        </w:rPr>
        <w:t xml:space="preserve"> decir que cada registro debe tener </w:t>
      </w:r>
      <w:proofErr w:type="spellStart"/>
      <w:r>
        <w:rPr>
          <w:rFonts w:ascii="Palatino Linotype" w:eastAsia="Palatino Linotype" w:hAnsi="Palatino Linotype" w:cs="Palatino Linotype"/>
          <w:i/>
          <w:sz w:val="22"/>
          <w:szCs w:val="22"/>
        </w:rPr>
        <w:lastRenderedPageBreak/>
        <w:t>documentacion</w:t>
      </w:r>
      <w:proofErr w:type="spellEnd"/>
      <w:r>
        <w:rPr>
          <w:rFonts w:ascii="Palatino Linotype" w:eastAsia="Palatino Linotype" w:hAnsi="Palatino Linotype" w:cs="Palatino Linotype"/>
          <w:i/>
          <w:sz w:val="22"/>
          <w:szCs w:val="22"/>
        </w:rPr>
        <w:t xml:space="preserve"> que soporte cada movimiento: CAPÍTULO X DEL LIBRO ESPECIAL DÉCIMO OCTAVO: El libro especial, es el documento que contiene el registro histórico de los movimientos de bienes muebles e inmuebles propiedad de las entidades fiscalizables, con la expresión de sus valores, características de identificación, uso y destino de los mismos. Los datos de identificación de los bienes muebles son: número de inventario, nombre del bien, marca, modelo, número de serie, estado de uso, destino, utilidad, número de factura, fecha de adquisición, costo y observaciones. Los datos de identificación de los bienes inmuebles son: nombre del bien, calle y número, localidad, colindancias, tipo de inmueble, destino, superficie, medio de adquisición, valor, situación legal, régimen de propiedad y observaciones. DÉCIMO NOVENO: El órgano máximo de gobierno aprobará los movimientos en el libro especial y el síndico o en su caso el director general o su equivalente hará que se inscriban en el mismo. Por lo </w:t>
      </w:r>
      <w:proofErr w:type="gramStart"/>
      <w:r>
        <w:rPr>
          <w:rFonts w:ascii="Palatino Linotype" w:eastAsia="Palatino Linotype" w:hAnsi="Palatino Linotype" w:cs="Palatino Linotype"/>
          <w:i/>
          <w:sz w:val="22"/>
          <w:szCs w:val="22"/>
        </w:rPr>
        <w:t>tanto</w:t>
      </w:r>
      <w:proofErr w:type="gramEnd"/>
      <w:r>
        <w:rPr>
          <w:rFonts w:ascii="Palatino Linotype" w:eastAsia="Palatino Linotype" w:hAnsi="Palatino Linotype" w:cs="Palatino Linotype"/>
          <w:i/>
          <w:sz w:val="22"/>
          <w:szCs w:val="22"/>
        </w:rPr>
        <w:t xml:space="preserve"> el </w:t>
      </w:r>
      <w:proofErr w:type="spellStart"/>
      <w:r>
        <w:rPr>
          <w:rFonts w:ascii="Palatino Linotype" w:eastAsia="Palatino Linotype" w:hAnsi="Palatino Linotype" w:cs="Palatino Linotype"/>
          <w:i/>
          <w:sz w:val="22"/>
          <w:szCs w:val="22"/>
        </w:rPr>
        <w:t>sindico</w:t>
      </w:r>
      <w:proofErr w:type="spellEnd"/>
      <w:r>
        <w:rPr>
          <w:rFonts w:ascii="Palatino Linotype" w:eastAsia="Palatino Linotype" w:hAnsi="Palatino Linotype" w:cs="Palatino Linotype"/>
          <w:i/>
          <w:sz w:val="22"/>
          <w:szCs w:val="22"/>
        </w:rPr>
        <w:t xml:space="preserve"> niega la </w:t>
      </w:r>
      <w:proofErr w:type="spellStart"/>
      <w:r>
        <w:rPr>
          <w:rFonts w:ascii="Palatino Linotype" w:eastAsia="Palatino Linotype" w:hAnsi="Palatino Linotype" w:cs="Palatino Linotype"/>
          <w:i/>
          <w:sz w:val="22"/>
          <w:szCs w:val="22"/>
        </w:rPr>
        <w:t>informacion</w:t>
      </w:r>
      <w:proofErr w:type="spellEnd"/>
      <w:r>
        <w:rPr>
          <w:rFonts w:ascii="Palatino Linotype" w:eastAsia="Palatino Linotype" w:hAnsi="Palatino Linotype" w:cs="Palatino Linotype"/>
          <w:i/>
          <w:sz w:val="22"/>
          <w:szCs w:val="22"/>
        </w:rPr>
        <w:t xml:space="preserve"> y la titular de transparencia por igual desconoce la normativa vigente invocando en su respuesta </w:t>
      </w:r>
      <w:proofErr w:type="spellStart"/>
      <w:r>
        <w:rPr>
          <w:rFonts w:ascii="Palatino Linotype" w:eastAsia="Palatino Linotype" w:hAnsi="Palatino Linotype" w:cs="Palatino Linotype"/>
          <w:i/>
          <w:sz w:val="22"/>
          <w:szCs w:val="22"/>
        </w:rPr>
        <w:t>articulos</w:t>
      </w:r>
      <w:proofErr w:type="spellEnd"/>
      <w:r>
        <w:rPr>
          <w:rFonts w:ascii="Palatino Linotype" w:eastAsia="Palatino Linotype" w:hAnsi="Palatino Linotype" w:cs="Palatino Linotype"/>
          <w:i/>
          <w:sz w:val="22"/>
          <w:szCs w:val="22"/>
        </w:rPr>
        <w:t xml:space="preserve"> que no son aplicables. Existe dolo y negatividad a la respuesta a mi solicitud.</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14:paraId="3F0CDB42" w14:textId="77777777" w:rsidR="00341E16" w:rsidRDefault="0070100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6B445475"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treinta de enero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3768F268" w14:textId="77777777" w:rsidR="00341E16" w:rsidRDefault="00701007">
      <w:pPr>
        <w:spacing w:before="240"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lastRenderedPageBreak/>
        <w:t>7.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como se observa a continuación:</w:t>
      </w:r>
    </w:p>
    <w:p w14:paraId="50285AD2" w14:textId="77777777" w:rsidR="00341E16" w:rsidRDefault="00701007">
      <w:pPr>
        <w:spacing w:before="240" w:after="240" w:line="360" w:lineRule="auto"/>
        <w:jc w:val="both"/>
        <w:rPr>
          <w:rFonts w:ascii="Palatino Linotype" w:eastAsia="Palatino Linotype" w:hAnsi="Palatino Linotype" w:cs="Palatino Linotype"/>
        </w:rPr>
      </w:pPr>
      <w:r>
        <w:rPr>
          <w:noProof/>
        </w:rPr>
        <w:drawing>
          <wp:inline distT="0" distB="0" distL="0" distR="0" wp14:anchorId="3406A282" wp14:editId="7D95124A">
            <wp:extent cx="5612130" cy="2002790"/>
            <wp:effectExtent l="0" t="0" r="0" b="0"/>
            <wp:docPr id="11322239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612130" cy="2002790"/>
                    </a:xfrm>
                    <a:prstGeom prst="rect">
                      <a:avLst/>
                    </a:prstGeom>
                    <a:ln/>
                  </pic:spPr>
                </pic:pic>
              </a:graphicData>
            </a:graphic>
          </wp:inline>
        </w:drawing>
      </w:r>
    </w:p>
    <w:p w14:paraId="3730F85D"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 xml:space="preserve">trece de febrero de dos mil veintitrés, </w:t>
      </w:r>
      <w:r>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6CB4EBF6" w14:textId="77777777" w:rsidR="00341E16" w:rsidRDefault="0070100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mayo de dos mil veintitrés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3CD36F2"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rPr>
        <w:lastRenderedPageBreak/>
        <w:t>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22C1E86A"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FDDFC9"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7EDB1E"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A8D11C" w14:textId="77777777" w:rsidR="00341E16" w:rsidRDefault="00701007">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56AF663" w14:textId="77777777" w:rsidR="00341E16" w:rsidRDefault="00701007">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037B1E4B" w14:textId="77777777" w:rsidR="00341E16" w:rsidRDefault="00701007">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2545CD0F" w14:textId="77777777" w:rsidR="00341E16" w:rsidRDefault="00701007">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01D87991" w14:textId="77777777" w:rsidR="00341E16" w:rsidRDefault="00701007">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68BC5D3B"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518B10" w14:textId="77777777" w:rsidR="00341E16" w:rsidRDefault="0070100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C509B22"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5C5BA5"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13478D2" w14:textId="77777777" w:rsidR="00341E16" w:rsidRDefault="00701007">
      <w:pPr>
        <w:spacing w:before="240" w:after="24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150BECC1" w14:textId="77777777" w:rsidR="00341E16" w:rsidRDefault="00701007">
      <w:pPr>
        <w:spacing w:before="240" w:after="24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visible en el Seminario Judicial de la Federación y su gaceta, con el registro digital 2002350.</w:t>
      </w:r>
    </w:p>
    <w:p w14:paraId="05866123"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F4937F6"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06F48D58" w14:textId="77777777" w:rsidR="00341E16" w:rsidRDefault="00701007">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6EDF2C8D"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BD1749" w14:textId="77777777" w:rsidR="00341E16" w:rsidRDefault="00701007">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B32FAF3"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Pr>
          <w:rFonts w:ascii="Palatino Linotype" w:eastAsia="Palatino Linotype" w:hAnsi="Palatino Linotype" w:cs="Palatino Linotype"/>
        </w:rPr>
        <w:lastRenderedPageBreak/>
        <w:t xml:space="preserve">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diecinueve de diciembre de dos mil veintitrés,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veinticinco de enero de dos mil veintitrés</w:t>
      </w:r>
      <w:r>
        <w:rPr>
          <w:rFonts w:ascii="Palatino Linotype" w:eastAsia="Palatino Linotype" w:hAnsi="Palatino Linotype" w:cs="Palatino Linotype"/>
        </w:rPr>
        <w:t>, esto es al décimo quinto día hábil posterior en que tuvo conocimiento de la respuesta impugnada. En este sentido, se concluye que el presente recurso de revisión se encuentra dentro de los márgenes temporales previstos en las disposiciones legales referidas.</w:t>
      </w:r>
    </w:p>
    <w:p w14:paraId="5DD2154B" w14:textId="77777777" w:rsidR="00341E16" w:rsidRDefault="00701007">
      <w:pPr>
        <w:spacing w:before="240" w:after="240" w:line="360" w:lineRule="auto"/>
        <w:jc w:val="both"/>
        <w:rPr>
          <w:rFonts w:ascii="Palatino Linotype" w:eastAsia="Palatino Linotype" w:hAnsi="Palatino Linotype" w:cs="Palatino Linotype"/>
        </w:rPr>
      </w:pPr>
      <w:bookmarkStart w:id="5" w:name="_heading=h.3znysh7" w:colFirst="0" w:colLast="0"/>
      <w:bookmarkEnd w:id="5"/>
      <w:r>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F87C6FF"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la persona solicitante </w:t>
      </w:r>
      <w:r>
        <w:rPr>
          <w:rFonts w:ascii="Palatino Linotype" w:eastAsia="Palatino Linotype" w:hAnsi="Palatino Linotype" w:cs="Palatino Linotype"/>
          <w:b/>
        </w:rPr>
        <w:t xml:space="preserve">no proporcionó nombre completo </w:t>
      </w:r>
      <w:r>
        <w:rPr>
          <w:rFonts w:ascii="Palatino Linotype" w:eastAsia="Palatino Linotype" w:hAnsi="Palatino Linotype" w:cs="Palatino Linotype"/>
        </w:rPr>
        <w:t>como se advierte en el detalle de seguimiento del SAIMEX,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E9FBED" w14:textId="77777777" w:rsidR="00341E16" w:rsidRDefault="00701007">
      <w:pPr>
        <w:spacing w:before="120" w:after="120"/>
        <w:ind w:left="851" w:right="902"/>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Las solicitudes </w:t>
      </w:r>
      <w:r>
        <w:rPr>
          <w:rFonts w:ascii="Palatino Linotype" w:eastAsia="Palatino Linotype" w:hAnsi="Palatino Linotype" w:cs="Palatino Linotype"/>
          <w:i/>
          <w:sz w:val="22"/>
          <w:szCs w:val="22"/>
        </w:rPr>
        <w:t xml:space="preserve">anónimas, </w:t>
      </w:r>
      <w:r>
        <w:rPr>
          <w:rFonts w:ascii="Palatino Linotype" w:eastAsia="Palatino Linotype" w:hAnsi="Palatino Linotype" w:cs="Palatino Linotype"/>
          <w:b/>
          <w:i/>
          <w:sz w:val="22"/>
          <w:szCs w:val="22"/>
        </w:rPr>
        <w:t>con nombre incompleto</w:t>
      </w:r>
      <w:r>
        <w:rPr>
          <w:rFonts w:ascii="Palatino Linotype" w:eastAsia="Palatino Linotype" w:hAnsi="Palatino Linotype" w:cs="Palatino Linotype"/>
          <w:i/>
          <w:sz w:val="22"/>
          <w:szCs w:val="22"/>
        </w:rPr>
        <w:t xml:space="preserve"> o seudónimo </w:t>
      </w:r>
      <w:r>
        <w:rPr>
          <w:rFonts w:ascii="Palatino Linotype" w:eastAsia="Palatino Linotype" w:hAnsi="Palatino Linotype" w:cs="Palatino Linotype"/>
          <w:b/>
          <w:i/>
          <w:sz w:val="22"/>
          <w:szCs w:val="22"/>
        </w:rPr>
        <w:t xml:space="preserve">serán procedentes para su trámite por parte del sujeto obligado ante quien se </w:t>
      </w:r>
      <w:r>
        <w:rPr>
          <w:rFonts w:ascii="Palatino Linotype" w:eastAsia="Palatino Linotype" w:hAnsi="Palatino Linotype" w:cs="Palatino Linotype"/>
          <w:b/>
          <w:i/>
          <w:sz w:val="22"/>
          <w:szCs w:val="22"/>
        </w:rPr>
        <w:lastRenderedPageBreak/>
        <w:t>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0972A465"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Pr>
          <w:rFonts w:ascii="Palatino Linotype" w:eastAsia="Palatino Linotype" w:hAnsi="Palatino Linotype" w:cs="Palatino Linotype"/>
          <w:b/>
        </w:rPr>
        <w:t>Recurrente</w:t>
      </w:r>
      <w:r>
        <w:rPr>
          <w:rFonts w:ascii="Palatino Linotype" w:eastAsia="Palatino Linotype" w:hAnsi="Palatino Linotype" w:cs="Palatino Linotype"/>
        </w:rPr>
        <w:t>, por lo que, en el presente caso, al haber sido presentado el recurso de revisión vía SAIMEX, dicho requisito resulta innecesario.</w:t>
      </w:r>
    </w:p>
    <w:p w14:paraId="0E195C62"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14:paraId="7DF9DD16" w14:textId="77777777" w:rsidR="00341E16" w:rsidRDefault="0070100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5A38BC0" w14:textId="77777777" w:rsidR="00341E16" w:rsidRDefault="00701007">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E354135"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La entrega de información incompleta</w:t>
      </w:r>
      <w:r>
        <w:rPr>
          <w:rFonts w:ascii="Palatino Linotype" w:eastAsia="Palatino Linotype" w:hAnsi="Palatino Linotype" w:cs="Palatino Linotype"/>
          <w:b/>
          <w:i/>
          <w:sz w:val="22"/>
          <w:szCs w:val="22"/>
        </w:rPr>
        <w:t>;</w:t>
      </w:r>
    </w:p>
    <w:p w14:paraId="7C135CDA" w14:textId="77777777" w:rsidR="00341E16" w:rsidRDefault="0070100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0DDE05CB" w14:textId="77777777" w:rsidR="00341E16" w:rsidRDefault="00701007">
      <w:pPr>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lastRenderedPageBreak/>
        <w:t xml:space="preserve">Cuarto. Estudio del asunto. </w:t>
      </w:r>
      <w:r>
        <w:rPr>
          <w:rFonts w:ascii="Palatino Linotype" w:eastAsia="Palatino Linotype" w:hAnsi="Palatino Linotype" w:cs="Palatino Linotype"/>
        </w:rPr>
        <w:t xml:space="preserve">Del análisis de la solicitud de información,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14:paraId="1990F41F"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1. Listado de los inmuebles recibidos por la Sindicatura Municipal y el uso o los fines para los que fueron adquiridos reportados al 31 de diciembre de 2022.</w:t>
      </w:r>
    </w:p>
    <w:p w14:paraId="68F205A7"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xml:space="preserve">2. Se aclare, por parte de la Sindicatura Municipal si cada uno de los bienes inmuebles continúa con el mismo uso o fin y, si </w:t>
      </w:r>
      <w:proofErr w:type="gramStart"/>
      <w:r>
        <w:rPr>
          <w:rFonts w:ascii="Palatino Linotype" w:eastAsia="Palatino Linotype" w:hAnsi="Palatino Linotype" w:cs="Palatino Linotype"/>
        </w:rPr>
        <w:t>éste</w:t>
      </w:r>
      <w:proofErr w:type="gramEnd"/>
      <w:r>
        <w:rPr>
          <w:rFonts w:ascii="Palatino Linotype" w:eastAsia="Palatino Linotype" w:hAnsi="Palatino Linotype" w:cs="Palatino Linotype"/>
        </w:rPr>
        <w:t xml:space="preserve"> cambio, que proporcione la Sindicatura Municipal copia del </w:t>
      </w:r>
      <w:r>
        <w:rPr>
          <w:rFonts w:ascii="Palatino Linotype" w:eastAsia="Palatino Linotype" w:hAnsi="Palatino Linotype" w:cs="Palatino Linotype"/>
          <w:b/>
        </w:rPr>
        <w:t>acta de cabildo de cualquier movimiento o cambio de uso de algún inmueble</w:t>
      </w:r>
      <w:r>
        <w:rPr>
          <w:rFonts w:ascii="Palatino Linotype" w:eastAsia="Palatino Linotype" w:hAnsi="Palatino Linotype" w:cs="Palatino Linotype"/>
        </w:rPr>
        <w:t xml:space="preserve"> propiedad del municipio, del 1 de enero al 16 de noviembre de 2022. </w:t>
      </w:r>
    </w:p>
    <w:p w14:paraId="27CFC0F2"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3. La Sindicatura Municipal como encargada de la regularización de los bienes inmuebles informe el estado que guarda cada uno de ellos y para qué fin o uso se están utilizando.</w:t>
      </w:r>
    </w:p>
    <w:p w14:paraId="6829BF41"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xml:space="preserve">4. Que informe la Sindicatura Municipal en su calidad de vigilante de la hacienda pública, si todos los bienes inmuebles están registrados en la contabilidad municipal, y, si superviso que esto fuera así, que agregue copia de las actas con las que compruebe el cumplimiento de estas funciones. </w:t>
      </w:r>
    </w:p>
    <w:p w14:paraId="249B1B6C"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xml:space="preserve">5. Que la Sindicatura Municipal proporcione copia de las </w:t>
      </w:r>
      <w:r>
        <w:rPr>
          <w:rFonts w:ascii="Palatino Linotype" w:eastAsia="Palatino Linotype" w:hAnsi="Palatino Linotype" w:cs="Palatino Linotype"/>
          <w:b/>
        </w:rPr>
        <w:t xml:space="preserve">actas de cabildo que refieren a la adquisición de cada uno de los bienes inmuebles que son propiedad del municipio </w:t>
      </w:r>
      <w:r>
        <w:rPr>
          <w:rFonts w:ascii="Palatino Linotype" w:eastAsia="Palatino Linotype" w:hAnsi="Palatino Linotype" w:cs="Palatino Linotype"/>
        </w:rPr>
        <w:t xml:space="preserve">y cuantos ha regularizado. </w:t>
      </w:r>
    </w:p>
    <w:p w14:paraId="6D77CCE8"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6. Solicito copia de las escrituras de cada terreno y edificio propiedad del municipio que la Sindicatura Municipal debe tener en el expediente de cada inmueble. </w:t>
      </w:r>
    </w:p>
    <w:p w14:paraId="27FCD5D8" w14:textId="77777777" w:rsidR="00341E16" w:rsidRDefault="0070100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la persona solicitante precisó que </w:t>
      </w:r>
      <w:proofErr w:type="gramStart"/>
      <w:r>
        <w:rPr>
          <w:rFonts w:ascii="Palatino Linotype" w:eastAsia="Palatino Linotype" w:hAnsi="Palatino Linotype" w:cs="Palatino Linotype"/>
        </w:rPr>
        <w:t>la  información</w:t>
      </w:r>
      <w:proofErr w:type="gramEnd"/>
      <w:r>
        <w:rPr>
          <w:rFonts w:ascii="Palatino Linotype" w:eastAsia="Palatino Linotype" w:hAnsi="Palatino Linotype" w:cs="Palatino Linotype"/>
        </w:rPr>
        <w:t xml:space="preserve"> se solicitada a la Sindicatura Municipal, al considerar que es el área encargada por Ley, sin embargo, si otra área tuviera las funciones, señaló que fuera dicha área la que entregara copia de toda la información solicitada.</w:t>
      </w:r>
    </w:p>
    <w:p w14:paraId="29A49929" w14:textId="77777777" w:rsidR="00341E16" w:rsidRDefault="0070100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hizo del conocimiento de la persona solicitante el pronunciamiento emitido por el Síndico Municipal, quien, en atención a la solicitud refirió lo siguiente:</w:t>
      </w:r>
    </w:p>
    <w:p w14:paraId="2A947DA2"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Remitió la lista de inmuebles recibidos por la Sindicatura al treinta y uno de diciembre de dos mil veintiuno, misma que incluye el uso al cual son destinados con excepción del destinado a la construcción de Universidad, mismo que ha sido destinado actualmente para la construcción de Ciudad Mujer por parte del Gobierno del Estado de México, y cuyo acuerdo de cabildo se encuentra en el acta respectiva a resguardo de la Secretaría del Ayuntamiento, motivo por el cual, de así requerirlo, es a la Secretaría la instancia a la que debe solicitarse el acuerdo respectivo.</w:t>
      </w:r>
    </w:p>
    <w:p w14:paraId="1DA46B1F"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Que los inmuebles referidos en la lista que se anexa, se encuentran en el inventario de bienes inmuebles registrados en la Contabilidad Municipal.</w:t>
      </w:r>
    </w:p>
    <w:p w14:paraId="47AE51BD"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Respecto a las actas de cabildo que refieren la adquisición de cada uno de los bienes inmuebles que son propiedad del municipio, señala que se encuentran a resguardo de la Secretaría del Ayuntamiento, por lo que, de así requerirlo, dicha Secretaría es la instancia a la que debe solicitarse la información.</w:t>
      </w:r>
    </w:p>
    <w:p w14:paraId="05829276"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Respecto a las escrituras de cada terreno y edificio propiedad del municipio, refirió que por seguridad se encuentran en la caja fuerte de la Tesorería Municipal, por lo que deben solicitarse ante la misma.</w:t>
      </w:r>
    </w:p>
    <w:p w14:paraId="7D396153" w14:textId="77777777" w:rsidR="00341E16" w:rsidRDefault="00701007">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Adjuntó la relación de inmuebles que contiene los datos: Inmueble, Ubicación, Medidas y colindancias, Superficie, Fecha de adquisición y Actualización; así como el Inventario de Bienes Inmuebles que es remitido al Órgano Superior de Fiscalización del Estado de México, OSFEM, como se ilustro en la página 4 de la presente resolución.</w:t>
      </w:r>
    </w:p>
    <w:p w14:paraId="1D57B0A7"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Conocida la respuesta por la persona solicitante, al no estar conforme con los términos de la misma presentó el recurso de revisión que nos ocupa, donde señaló como motivo de inconformidad, en lo medular, que el </w:t>
      </w:r>
      <w:r>
        <w:rPr>
          <w:rFonts w:ascii="Palatino Linotype" w:eastAsia="Palatino Linotype" w:hAnsi="Palatino Linotype" w:cs="Palatino Linotype"/>
          <w:b/>
        </w:rPr>
        <w:t>acta de cabildo es parte importante de la adquisición de un inmueble y del cambio de su destino o uso para el que fue adquirido</w:t>
      </w:r>
      <w:r>
        <w:rPr>
          <w:rFonts w:ascii="Palatino Linotype" w:eastAsia="Palatino Linotype" w:hAnsi="Palatino Linotype" w:cs="Palatino Linotype"/>
        </w:rPr>
        <w:t xml:space="preserve">, por lo que a su consideración, decir que no se cuenta con el acta de cabildo, como el Síndico Municipal desde su perspectiva reconoció, es doloso, bajo el argumento de que, de conformidad con el artículo 53 de la Ley Orgánica Municipal del Estado de México, el Síndico es el encargado de vigilar y registrar los inmuebles, y para hacerlo,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considera que debe tener copia de las actas de cabildo que afecten a los inmuebles en los expedientes que por </w:t>
      </w:r>
      <w:r>
        <w:rPr>
          <w:rFonts w:ascii="Palatino Linotype" w:eastAsia="Palatino Linotype" w:hAnsi="Palatino Linotype" w:cs="Palatino Linotype"/>
        </w:rPr>
        <w:lastRenderedPageBreak/>
        <w:t>normativa exige el Órgano Superior de Fiscalización en sus Lineamientos, y, finalmente, precisó que lo que solicita son las Actas que se refieren a los inmuebles, no las actas del Ayuntamiento en sus funciones de Órgano Colegiado, es decir, solicita Actas específicamente de inmuebles.</w:t>
      </w:r>
    </w:p>
    <w:p w14:paraId="4820C81D"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pues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manifestó, de manera expresa, su inconformidad respecto de las actas de cabildo relacionadas con la adquisición de cada uno de los inmuebles que son propiedad del municipio, así como las relativas al cambio del destino o uso para el que fueron adquiridos.</w:t>
      </w:r>
    </w:p>
    <w:p w14:paraId="2CA9EB62"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la solicitud presentada, respecto de los requerimientos que no fueron combatidos.</w:t>
      </w:r>
    </w:p>
    <w:p w14:paraId="0DB7E931" w14:textId="77777777" w:rsidR="00341E16" w:rsidRDefault="00701007">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w:t>
      </w:r>
      <w:r>
        <w:rPr>
          <w:rFonts w:ascii="Palatino Linotype" w:eastAsia="Palatino Linotype" w:hAnsi="Palatino Linotype" w:cs="Palatino Linotype"/>
        </w:rPr>
        <w:lastRenderedPageBreak/>
        <w:t>Jurisprudencial Número 3ª./J.7/91, Publicada en el Semanario Judicial de la Federación y su Gaceta bajo el número de registro 174,177, que establece lo siguiente:</w:t>
      </w:r>
    </w:p>
    <w:p w14:paraId="6379C76D" w14:textId="77777777" w:rsidR="00341E16" w:rsidRDefault="00701007">
      <w:pPr>
        <w:spacing w:before="240" w:after="36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1E49D81" w14:textId="77777777" w:rsidR="00341E16" w:rsidRDefault="00701007">
      <w:pPr>
        <w:spacing w:before="240" w:after="240" w:line="360" w:lineRule="auto"/>
        <w:jc w:val="both"/>
        <w:rPr>
          <w:rFonts w:ascii="Palatino Linotype" w:eastAsia="Palatino Linotype" w:hAnsi="Palatino Linotype" w:cs="Palatino Linotype"/>
        </w:rPr>
      </w:pPr>
      <w:bookmarkStart w:id="7" w:name="_heading=h.26in1rg" w:colFirst="0" w:colLast="0"/>
      <w:bookmarkEnd w:id="7"/>
      <w:r>
        <w:rPr>
          <w:rFonts w:ascii="Palatino Linotype" w:eastAsia="Palatino Linotype" w:hAnsi="Palatino Linotype" w:cs="Palatino Linotype"/>
        </w:rPr>
        <w:t>Consecuentemente, se insiste, ante la falta de impugnación eficaz, la respuesta entregada debe declararse consentida por persona solicitante.</w:t>
      </w:r>
    </w:p>
    <w:p w14:paraId="4A7B2FD6"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72E6F3A4" w14:textId="77777777" w:rsidR="00341E16" w:rsidRDefault="00701007">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Actos consentidos tácitamente. Improcedencia de su análisis. </w:t>
      </w:r>
      <w:r>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11DBEAF"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0D290CD4" w14:textId="77777777" w:rsidR="00341E16" w:rsidRDefault="0070100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mallCaps/>
          <w:sz w:val="22"/>
          <w:szCs w:val="22"/>
        </w:rPr>
        <w:t xml:space="preserve">“ACTOS CONSENTIDOS. SON LOS QUE NO SE IMPUGNAN MEDIANTE EL RECURSO IDÓNEO. </w:t>
      </w:r>
      <w:r>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Pr>
          <w:rFonts w:ascii="Palatino Linotype" w:eastAsia="Palatino Linotype" w:hAnsi="Palatino Linotype" w:cs="Palatino Linotype"/>
          <w:i/>
          <w:sz w:val="22"/>
          <w:szCs w:val="22"/>
        </w:rPr>
        <w:t>ya que</w:t>
      </w:r>
      <w:proofErr w:type="gramEnd"/>
      <w:r>
        <w:rPr>
          <w:rFonts w:ascii="Palatino Linotype" w:eastAsia="Palatino Linotype" w:hAnsi="Palatino Linotype" w:cs="Palatino Linotype"/>
          <w:i/>
          <w:sz w:val="22"/>
          <w:szCs w:val="22"/>
        </w:rPr>
        <w:t xml:space="preserve"> si se hizo uso de otro </w:t>
      </w:r>
      <w:r>
        <w:rPr>
          <w:rFonts w:ascii="Palatino Linotype" w:eastAsia="Palatino Linotype" w:hAnsi="Palatino Linotype" w:cs="Palatino Linotype"/>
          <w:i/>
          <w:sz w:val="22"/>
          <w:szCs w:val="22"/>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ADDDEE7" w14:textId="77777777" w:rsidR="00341E16" w:rsidRDefault="00341E16"/>
    <w:p w14:paraId="2CBD4578"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Admitido el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anteriormente.</w:t>
      </w:r>
    </w:p>
    <w:p w14:paraId="741EE8AE" w14:textId="77777777" w:rsidR="00341E16" w:rsidRDefault="0070100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Acotado lo anterior,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60D13E1D"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5648D5BF" w14:textId="77777777" w:rsidR="00341E16" w:rsidRDefault="0070100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33CD9DA" w14:textId="77777777" w:rsidR="00341E16" w:rsidRDefault="00341E16">
      <w:pPr>
        <w:ind w:left="851" w:right="899"/>
        <w:jc w:val="both"/>
        <w:rPr>
          <w:rFonts w:ascii="Palatino Linotype" w:eastAsia="Palatino Linotype" w:hAnsi="Palatino Linotype" w:cs="Palatino Linotype"/>
          <w:i/>
        </w:rPr>
      </w:pPr>
    </w:p>
    <w:p w14:paraId="107E5564" w14:textId="77777777" w:rsidR="00341E16" w:rsidRDefault="0070100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99EA4F5" w14:textId="77777777" w:rsidR="00341E16" w:rsidRDefault="00701007">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2B3DB8" w14:textId="77777777" w:rsidR="00341E16" w:rsidRDefault="00701007">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3EB9935" w14:textId="77777777" w:rsidR="00341E16" w:rsidRDefault="00341E16">
      <w:pPr>
        <w:ind w:left="851" w:right="899"/>
        <w:jc w:val="both"/>
        <w:rPr>
          <w:rFonts w:ascii="Palatino Linotype" w:eastAsia="Palatino Linotype" w:hAnsi="Palatino Linotype" w:cs="Palatino Linotype"/>
          <w:sz w:val="22"/>
          <w:szCs w:val="22"/>
        </w:rPr>
      </w:pPr>
    </w:p>
    <w:p w14:paraId="7061462A" w14:textId="77777777" w:rsidR="00341E16" w:rsidRDefault="0070100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ECDB723" w14:textId="77777777" w:rsidR="00341E16" w:rsidRDefault="00341E16">
      <w:pPr>
        <w:ind w:left="851" w:right="899"/>
        <w:jc w:val="both"/>
        <w:rPr>
          <w:rFonts w:ascii="Palatino Linotype" w:eastAsia="Palatino Linotype" w:hAnsi="Palatino Linotype" w:cs="Palatino Linotype"/>
        </w:rPr>
      </w:pPr>
    </w:p>
    <w:p w14:paraId="14F7998D" w14:textId="77777777" w:rsidR="00341E16" w:rsidRDefault="0070100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CA75E9" w14:textId="77777777" w:rsidR="00341E16" w:rsidRDefault="0070100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71A549E" w14:textId="77777777" w:rsidR="00341E16" w:rsidRDefault="00701007">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782D1DAB" w14:textId="77777777" w:rsidR="00341E16" w:rsidRDefault="00701007">
      <w:pPr>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administrada por los Sujetos Obligados, y</w:t>
      </w:r>
    </w:p>
    <w:p w14:paraId="75D81504" w14:textId="77777777" w:rsidR="00341E16" w:rsidRDefault="00701007">
      <w:pPr>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7DAB29DE" w14:textId="77777777" w:rsidR="00341E16" w:rsidRDefault="0070100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w:t>
      </w:r>
      <w:r>
        <w:rPr>
          <w:rFonts w:ascii="Palatino Linotype" w:eastAsia="Palatino Linotype" w:hAnsi="Palatino Linotype" w:cs="Palatino Linotype"/>
        </w:rPr>
        <w:lastRenderedPageBreak/>
        <w:t>Sujeto Obligado; como así se establece en la Ley de Transparencia y Acceso a la Información Pública del Estado de México y Municipios.</w:t>
      </w:r>
    </w:p>
    <w:p w14:paraId="2A722DC0"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951DB37"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derivado de las constancias que obran en el expediente, se advierte que en observancia de lo previsto en los artículos 53</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fracciones II y IV </w:t>
      </w:r>
      <w:proofErr w:type="gramStart"/>
      <w:r>
        <w:rPr>
          <w:rFonts w:ascii="Palatino Linotype" w:eastAsia="Palatino Linotype" w:hAnsi="Palatino Linotype" w:cs="Palatino Linotype"/>
        </w:rPr>
        <w:t>y  162</w:t>
      </w:r>
      <w:proofErr w:type="gramEnd"/>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la Materia, la Unidad de Transparencia turnó la solicitud a los servidores públicos habilitados Antonio Sánchez González y María Eugenia Gutiérrez Martínez, como se observa a continuación:</w:t>
      </w:r>
    </w:p>
    <w:p w14:paraId="5453BD39" w14:textId="77777777" w:rsidR="00341E16" w:rsidRDefault="00701007">
      <w:pPr>
        <w:spacing w:before="240" w:after="240" w:line="360" w:lineRule="auto"/>
        <w:jc w:val="both"/>
        <w:rPr>
          <w:rFonts w:ascii="Palatino Linotype" w:eastAsia="Palatino Linotype" w:hAnsi="Palatino Linotype" w:cs="Palatino Linotype"/>
        </w:rPr>
      </w:pPr>
      <w:r>
        <w:rPr>
          <w:noProof/>
        </w:rPr>
        <w:lastRenderedPageBreak/>
        <w:drawing>
          <wp:inline distT="0" distB="0" distL="0" distR="0" wp14:anchorId="5AEBA282" wp14:editId="1CC6385C">
            <wp:extent cx="5612130" cy="1255395"/>
            <wp:effectExtent l="0" t="0" r="0" b="0"/>
            <wp:docPr id="11322239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125539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B6CE0CF" wp14:editId="1AF958AB">
                <wp:simplePos x="0" y="0"/>
                <wp:positionH relativeFrom="column">
                  <wp:posOffset>1600200</wp:posOffset>
                </wp:positionH>
                <wp:positionV relativeFrom="paragraph">
                  <wp:posOffset>177800</wp:posOffset>
                </wp:positionV>
                <wp:extent cx="434915" cy="236483"/>
                <wp:effectExtent l="0" t="0" r="0" b="0"/>
                <wp:wrapNone/>
                <wp:docPr id="1132223921" name="Conector recto de flecha 1132223921"/>
                <wp:cNvGraphicFramePr/>
                <a:graphic xmlns:a="http://schemas.openxmlformats.org/drawingml/2006/main">
                  <a:graphicData uri="http://schemas.microsoft.com/office/word/2010/wordprocessingShape">
                    <wps:wsp>
                      <wps:cNvCnPr/>
                      <wps:spPr>
                        <a:xfrm flipH="1">
                          <a:off x="5147593" y="3680809"/>
                          <a:ext cx="396815" cy="198383"/>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1600200</wp:posOffset>
                </wp:positionH>
                <wp:positionV relativeFrom="paragraph">
                  <wp:posOffset>177800</wp:posOffset>
                </wp:positionV>
                <wp:extent cx="434915" cy="236483"/>
                <wp:effectExtent b="0" l="0" r="0" t="0"/>
                <wp:wrapNone/>
                <wp:docPr id="1132223921"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434915" cy="236483"/>
                        </a:xfrm>
                        <a:prstGeom prst="rect"/>
                        <a:ln/>
                      </pic:spPr>
                    </pic:pic>
                  </a:graphicData>
                </a:graphic>
              </wp:anchor>
            </w:drawing>
          </mc:Fallback>
        </mc:AlternateContent>
      </w:r>
    </w:p>
    <w:p w14:paraId="2B8F1172"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Dichos servidores públicos, de conformidad con la información publicada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el portal de Información Pública de Oficio Mexiquense, IPOMEX, en cumplimiento con la obligación de </w:t>
      </w:r>
      <w:proofErr w:type="gramStart"/>
      <w:r>
        <w:rPr>
          <w:rFonts w:ascii="Palatino Linotype" w:eastAsia="Palatino Linotype" w:hAnsi="Palatino Linotype" w:cs="Palatino Linotype"/>
        </w:rPr>
        <w:t>transparencia  prevista</w:t>
      </w:r>
      <w:proofErr w:type="gramEnd"/>
      <w:r>
        <w:rPr>
          <w:rFonts w:ascii="Palatino Linotype" w:eastAsia="Palatino Linotype" w:hAnsi="Palatino Linotype" w:cs="Palatino Linotype"/>
        </w:rPr>
        <w:t xml:space="preserve"> en el artículo 92, fracción VII, de la </w:t>
      </w:r>
      <w:r>
        <w:t xml:space="preserve">Ley </w:t>
      </w:r>
      <w:r>
        <w:rPr>
          <w:rFonts w:ascii="Palatino Linotype" w:eastAsia="Palatino Linotype" w:hAnsi="Palatino Linotype" w:cs="Palatino Linotype"/>
        </w:rPr>
        <w:t xml:space="preserve">de Transparencia y Acceso a la Información Pública del Estado de México y Municipios, </w:t>
      </w:r>
      <w:r>
        <w:rPr>
          <w:rFonts w:ascii="Palatino Linotype" w:eastAsia="Palatino Linotype" w:hAnsi="Palatino Linotype" w:cs="Palatino Linotype"/>
          <w:b/>
        </w:rPr>
        <w:t xml:space="preserve">ostentan los cargos de Síndico Municipal </w:t>
      </w:r>
      <w:r>
        <w:rPr>
          <w:rFonts w:ascii="Palatino Linotype" w:eastAsia="Palatino Linotype" w:hAnsi="Palatino Linotype" w:cs="Palatino Linotype"/>
        </w:rPr>
        <w:t xml:space="preserve">y </w:t>
      </w:r>
      <w:r>
        <w:rPr>
          <w:rFonts w:ascii="Palatino Linotype" w:eastAsia="Palatino Linotype" w:hAnsi="Palatino Linotype" w:cs="Palatino Linotype"/>
          <w:b/>
        </w:rPr>
        <w:t>Secretaria del Ayuntamiento</w:t>
      </w:r>
      <w:r>
        <w:rPr>
          <w:rFonts w:ascii="Palatino Linotype" w:eastAsia="Palatino Linotype" w:hAnsi="Palatino Linotype" w:cs="Palatino Linotype"/>
        </w:rPr>
        <w:t xml:space="preserve">, como se aprecia a continuación: </w:t>
      </w:r>
    </w:p>
    <w:p w14:paraId="2A9CFECF" w14:textId="77777777" w:rsidR="00341E16" w:rsidRDefault="00701007">
      <w:pPr>
        <w:spacing w:before="240" w:after="240" w:line="360" w:lineRule="auto"/>
        <w:jc w:val="center"/>
        <w:rPr>
          <w:rFonts w:ascii="Palatino Linotype" w:eastAsia="Palatino Linotype" w:hAnsi="Palatino Linotype" w:cs="Palatino Linotype"/>
        </w:rPr>
      </w:pPr>
      <w:r>
        <w:rPr>
          <w:noProof/>
        </w:rPr>
        <w:drawing>
          <wp:inline distT="0" distB="0" distL="0" distR="0" wp14:anchorId="6ACB4826" wp14:editId="139BC435">
            <wp:extent cx="5040000" cy="1655871"/>
            <wp:effectExtent l="0" t="0" r="0" b="0"/>
            <wp:docPr id="11322239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40000" cy="1655871"/>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59C2D608" wp14:editId="2299D443">
                <wp:simplePos x="0" y="0"/>
                <wp:positionH relativeFrom="column">
                  <wp:posOffset>165100</wp:posOffset>
                </wp:positionH>
                <wp:positionV relativeFrom="paragraph">
                  <wp:posOffset>889000</wp:posOffset>
                </wp:positionV>
                <wp:extent cx="247651" cy="741260"/>
                <wp:effectExtent l="0" t="0" r="0" b="0"/>
                <wp:wrapNone/>
                <wp:docPr id="1132223920" name="Cerrar llave 1132223920"/>
                <wp:cNvGraphicFramePr/>
                <a:graphic xmlns:a="http://schemas.openxmlformats.org/drawingml/2006/main">
                  <a:graphicData uri="http://schemas.microsoft.com/office/word/2010/wordprocessingShape">
                    <wps:wsp>
                      <wps:cNvSpPr/>
                      <wps:spPr>
                        <a:xfrm rot="10800000">
                          <a:off x="5234875" y="3422070"/>
                          <a:ext cx="222251" cy="715860"/>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6EC00792" w14:textId="77777777" w:rsidR="00341E16" w:rsidRDefault="00341E1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889000</wp:posOffset>
                </wp:positionV>
                <wp:extent cx="247651" cy="741260"/>
                <wp:effectExtent b="0" l="0" r="0" t="0"/>
                <wp:wrapNone/>
                <wp:docPr id="1132223920"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247651" cy="741260"/>
                        </a:xfrm>
                        <a:prstGeom prst="rect"/>
                        <a:ln/>
                      </pic:spPr>
                    </pic:pic>
                  </a:graphicData>
                </a:graphic>
              </wp:anchor>
            </w:drawing>
          </mc:Fallback>
        </mc:AlternateContent>
      </w:r>
    </w:p>
    <w:p w14:paraId="63E80E1C" w14:textId="77777777" w:rsidR="00341E16" w:rsidRDefault="00701007">
      <w:pPr>
        <w:spacing w:before="240" w:after="240" w:line="360" w:lineRule="auto"/>
        <w:jc w:val="center"/>
        <w:rPr>
          <w:rFonts w:ascii="Palatino Linotype" w:eastAsia="Palatino Linotype" w:hAnsi="Palatino Linotype" w:cs="Palatino Linotype"/>
        </w:rPr>
      </w:pPr>
      <w:r>
        <w:rPr>
          <w:noProof/>
        </w:rPr>
        <w:drawing>
          <wp:inline distT="0" distB="0" distL="0" distR="0" wp14:anchorId="0270E2A3" wp14:editId="3FB347F4">
            <wp:extent cx="5040000" cy="1658849"/>
            <wp:effectExtent l="0" t="0" r="0" b="0"/>
            <wp:docPr id="11322239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040000" cy="1658849"/>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5BDC3315" wp14:editId="29A09C80">
                <wp:simplePos x="0" y="0"/>
                <wp:positionH relativeFrom="column">
                  <wp:posOffset>165100</wp:posOffset>
                </wp:positionH>
                <wp:positionV relativeFrom="paragraph">
                  <wp:posOffset>876300</wp:posOffset>
                </wp:positionV>
                <wp:extent cx="247650" cy="758513"/>
                <wp:effectExtent l="0" t="0" r="0" b="0"/>
                <wp:wrapNone/>
                <wp:docPr id="1132223919" name="Cerrar llave 1132223919"/>
                <wp:cNvGraphicFramePr/>
                <a:graphic xmlns:a="http://schemas.openxmlformats.org/drawingml/2006/main">
                  <a:graphicData uri="http://schemas.microsoft.com/office/word/2010/wordprocessingShape">
                    <wps:wsp>
                      <wps:cNvSpPr/>
                      <wps:spPr>
                        <a:xfrm rot="10800000">
                          <a:off x="5234875" y="3413444"/>
                          <a:ext cx="222251" cy="733113"/>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164681CA" w14:textId="77777777" w:rsidR="00341E16" w:rsidRDefault="00341E1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876300</wp:posOffset>
                </wp:positionV>
                <wp:extent cx="247650" cy="758513"/>
                <wp:effectExtent b="0" l="0" r="0" t="0"/>
                <wp:wrapNone/>
                <wp:docPr id="1132223919"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247650" cy="758513"/>
                        </a:xfrm>
                        <a:prstGeom prst="rect"/>
                        <a:ln/>
                      </pic:spPr>
                    </pic:pic>
                  </a:graphicData>
                </a:graphic>
              </wp:anchor>
            </w:drawing>
          </mc:Fallback>
        </mc:AlternateContent>
      </w:r>
    </w:p>
    <w:p w14:paraId="587229E1"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Atento a lo anterior, tomando en consideración la materia de la solicitud de información, se menciona que la Sindicatura Municipal, de conformidad con los artículos 52 y 53, fracciones VII, VIII, IX y XVII de la Ley Orgánica Municipal del Estado de México, tiene a su cargo, la procuración y defensa de los derechos e intereses del municipio, en especial los de carácter patrimonial y la función de contraloría interna, que en su caso ejerce conjuntamente con el Órgano Interno de Control, y evaluación que al efecto establezcan los Ayuntamientos, asimismo, es responsable de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regularizar la propiedad de los bienes inmuebles municipales; inscribir los bienes inmuebles municipales en el Registro Público de la Propiedad; y Firmar las actas de cabildo.</w:t>
      </w:r>
    </w:p>
    <w:p w14:paraId="2EBD712F"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52</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síndicos municipales</w:t>
      </w:r>
      <w:r>
        <w:rPr>
          <w:rFonts w:ascii="Palatino Linotype" w:eastAsia="Palatino Linotype" w:hAnsi="Palatino Linotype" w:cs="Palatino Linotype"/>
          <w:i/>
          <w:sz w:val="22"/>
          <w:szCs w:val="22"/>
        </w:rPr>
        <w:t xml:space="preserve">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14:paraId="34ABE6C0"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síndicos tendrán las siguientes atribuciones</w:t>
      </w:r>
      <w:r>
        <w:rPr>
          <w:rFonts w:ascii="Palatino Linotype" w:eastAsia="Palatino Linotype" w:hAnsi="Palatino Linotype" w:cs="Palatino Linotype"/>
          <w:i/>
          <w:sz w:val="22"/>
          <w:szCs w:val="22"/>
        </w:rPr>
        <w:t>:</w:t>
      </w:r>
    </w:p>
    <w:p w14:paraId="41C022F3"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3099DE5"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22FB16F6"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Regularizar la propiedad de los bienes inmuebles municipales, para ello tendrán un plazo de ciento veinte días hábiles, contados a partir de la adquisición; </w:t>
      </w:r>
    </w:p>
    <w:p w14:paraId="15AC9AC3"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w:t>
      </w:r>
      <w:r>
        <w:rPr>
          <w:rFonts w:ascii="Palatino Linotype" w:eastAsia="Palatino Linotype" w:hAnsi="Palatino Linotype" w:cs="Palatino Linotype"/>
          <w:i/>
          <w:sz w:val="22"/>
          <w:szCs w:val="22"/>
        </w:rPr>
        <w:t xml:space="preserve"> Inscribir los bienes inmuebles municipales en el Registro Público de la Propiedad, para iniciar los trámites correspondientes tendrán un plazo de ciento veinte días hábiles contados a partir de aquel en que concluyo el proceso de regularización;</w:t>
      </w:r>
    </w:p>
    <w:p w14:paraId="19B9E895"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C1C6962"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w:t>
      </w:r>
      <w:r>
        <w:rPr>
          <w:rFonts w:ascii="Palatino Linotype" w:eastAsia="Palatino Linotype" w:hAnsi="Palatino Linotype" w:cs="Palatino Linotype"/>
          <w:i/>
          <w:sz w:val="22"/>
          <w:szCs w:val="22"/>
        </w:rPr>
        <w:t xml:space="preserve"> Firmar las Actas de Cabildo, y”</w:t>
      </w:r>
    </w:p>
    <w:p w14:paraId="3903927E"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Secretaria del Ayuntamiento, de conformidad con el artículo 91 de la Ley Orgánica Municipal del Estado de México, tiene a su cargo, entre otras atribuciones, las de asistir a las sesiones del ayuntamiento y levantar las actas correspondientes; llevar y conservar los libros de actas de cabildo, obteniendo las firmas de los asistentes a las sesiones; tener a su cargo el archivo general del ayuntamiento; y elaborar con la intervención del síndico el inventario general de los bienes muebles e inmuebles municipales, así como la integración del sistema de información inmobiliaria, que contemple los bienes del dominio público y privado,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y presentar un informe trimestral al cabildo para su conocimiento y opinión, como se lee en seguida:</w:t>
      </w:r>
    </w:p>
    <w:p w14:paraId="5917C6F6"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La Secretaría del Ayuntamiento estará a cargo de un </w:t>
      </w:r>
      <w:proofErr w:type="gramStart"/>
      <w:r>
        <w:rPr>
          <w:rFonts w:ascii="Palatino Linotype" w:eastAsia="Palatino Linotype" w:hAnsi="Palatino Linotype" w:cs="Palatino Linotype"/>
          <w:i/>
          <w:sz w:val="22"/>
          <w:szCs w:val="22"/>
        </w:rPr>
        <w:t>Secretario</w:t>
      </w:r>
      <w:proofErr w:type="gramEnd"/>
      <w:r>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0038A762"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Asistir a las sesiones del ayuntamiento y levantar las actas correspondientes;</w:t>
      </w:r>
    </w:p>
    <w:p w14:paraId="187A102E"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1DCB6352"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Llevar y conservar los libros de actas de cabildo, obteniendo las firmas de los asistentes a las sesiones;</w:t>
      </w:r>
    </w:p>
    <w:p w14:paraId="1EAE01E3"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48B16E4"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Tener a su cargo el archivo general del ayuntamiento;</w:t>
      </w:r>
    </w:p>
    <w:p w14:paraId="36F9EFDC"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D73AC41"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49A41194"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36433E0C"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Mientras que el Bando Municipal de San Mateo Atenco, en su el artículo 32, dispone que el Inventario de los bienes inmuebles propiedad del municipio estará a cargo </w:t>
      </w:r>
      <w:proofErr w:type="gramStart"/>
      <w:r>
        <w:rPr>
          <w:rFonts w:ascii="Palatino Linotype" w:eastAsia="Palatino Linotype" w:hAnsi="Palatino Linotype" w:cs="Palatino Linotype"/>
        </w:rPr>
        <w:t>de  la</w:t>
      </w:r>
      <w:proofErr w:type="gramEnd"/>
      <w:r>
        <w:rPr>
          <w:rFonts w:ascii="Palatino Linotype" w:eastAsia="Palatino Linotype" w:hAnsi="Palatino Linotype" w:cs="Palatino Linotype"/>
        </w:rPr>
        <w:t xml:space="preserve"> Secretaría del Ayuntamiento, con asistencia del Órgano Interno de Control y supervisión del Síndico Municipal, como se lee en seguida:</w:t>
      </w:r>
    </w:p>
    <w:p w14:paraId="4CB01FAF"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inventario de los bienes</w:t>
      </w:r>
      <w:r>
        <w:rPr>
          <w:rFonts w:ascii="Palatino Linotype" w:eastAsia="Palatino Linotype" w:hAnsi="Palatino Linotype" w:cs="Palatino Linotype"/>
          <w:i/>
          <w:sz w:val="22"/>
          <w:szCs w:val="22"/>
        </w:rPr>
        <w:t xml:space="preserve"> muebles o </w:t>
      </w:r>
      <w:r>
        <w:rPr>
          <w:rFonts w:ascii="Palatino Linotype" w:eastAsia="Palatino Linotype" w:hAnsi="Palatino Linotype" w:cs="Palatino Linotype"/>
          <w:b/>
          <w:i/>
          <w:sz w:val="22"/>
          <w:szCs w:val="22"/>
        </w:rPr>
        <w:t>inmuebles propiedad del Municipio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estará a cargo de la Secretaría del Ayuntamiento</w:t>
      </w:r>
      <w:r>
        <w:rPr>
          <w:rFonts w:ascii="Palatino Linotype" w:eastAsia="Palatino Linotype" w:hAnsi="Palatino Linotype" w:cs="Palatino Linotype"/>
          <w:i/>
          <w:sz w:val="22"/>
          <w:szCs w:val="22"/>
        </w:rPr>
        <w:t>, con la asistencia del Órgano Interno de Control y supervisión del Síndico Municipal.”</w:t>
      </w:r>
    </w:p>
    <w:p w14:paraId="1BBC67CD"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orden de ideas, el artículo 2.60 del Libro Segundo del Compendio Reglamentario Municipal de San Mateo Atenco, establece que además de las atribuciones que le confiere la Ley Orgánica Municipal a la Secretaría del Ayuntamiento, le compete expedir las certificaciones de las Actas de las Sesiones de </w:t>
      </w:r>
      <w:r>
        <w:rPr>
          <w:rFonts w:ascii="Palatino Linotype" w:eastAsia="Palatino Linotype" w:hAnsi="Palatino Linotype" w:cs="Palatino Linotype"/>
        </w:rPr>
        <w:lastRenderedPageBreak/>
        <w:t>Cabildo y proporcionarlas a los integrantes del Ayuntamiento y Dependencias que así lo soliciten; intervenir en los procesos que afecten bienes del dominio municipal; elaborar proyectos para la desincorporación de bienes de propiedad del municipio; llevar el control, registro e inventario de los bienes muebles e inmuebles propiedad del Municipio; así como integrar, resguardar y mantener actualizado el Archivo Municipal; a saber:</w:t>
      </w:r>
    </w:p>
    <w:p w14:paraId="25E6D42E"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2.60</w:t>
      </w:r>
      <w:r>
        <w:rPr>
          <w:rFonts w:ascii="Palatino Linotype" w:eastAsia="Palatino Linotype" w:hAnsi="Palatino Linotype" w:cs="Palatino Linotype"/>
          <w:i/>
          <w:sz w:val="22"/>
          <w:szCs w:val="22"/>
        </w:rPr>
        <w:t xml:space="preserve">.- La (el) </w:t>
      </w:r>
      <w:proofErr w:type="gramStart"/>
      <w:r>
        <w:rPr>
          <w:rFonts w:ascii="Palatino Linotype" w:eastAsia="Palatino Linotype" w:hAnsi="Palatino Linotype" w:cs="Palatino Linotype"/>
          <w:i/>
          <w:sz w:val="22"/>
          <w:szCs w:val="22"/>
        </w:rPr>
        <w:t>Secretaria</w:t>
      </w:r>
      <w:proofErr w:type="gramEnd"/>
      <w:r>
        <w:rPr>
          <w:rFonts w:ascii="Palatino Linotype" w:eastAsia="Palatino Linotype" w:hAnsi="Palatino Linotype" w:cs="Palatino Linotype"/>
          <w:i/>
          <w:sz w:val="22"/>
          <w:szCs w:val="22"/>
        </w:rPr>
        <w:t xml:space="preserve"> (o) del Ayuntamiento, además de las atribuciones que le confiere la Ley Orgánica Municipal, le compete lo siguiente:</w:t>
      </w:r>
    </w:p>
    <w:p w14:paraId="23669EBC"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E46AB7"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Expedir las certificaciones de las Actas de las Sesiones de Cabildo y proporcionarlas a las y los integrantes del Ayuntamiento y Dependencias que así lo soliciten;</w:t>
      </w:r>
    </w:p>
    <w:p w14:paraId="7FDEAED7"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CE66F6F"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XXIX.</w:t>
      </w:r>
      <w:r>
        <w:rPr>
          <w:rFonts w:ascii="Palatino Linotype" w:eastAsia="Palatino Linotype" w:hAnsi="Palatino Linotype" w:cs="Palatino Linotype"/>
          <w:i/>
          <w:sz w:val="22"/>
          <w:szCs w:val="22"/>
        </w:rPr>
        <w:t xml:space="preserve"> Intervenir en los procesos que afecten bienes del dominio municipal;</w:t>
      </w:r>
    </w:p>
    <w:p w14:paraId="4F4DBC95"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4487000"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w:t>
      </w:r>
      <w:r>
        <w:rPr>
          <w:rFonts w:ascii="Palatino Linotype" w:eastAsia="Palatino Linotype" w:hAnsi="Palatino Linotype" w:cs="Palatino Linotype"/>
          <w:i/>
          <w:sz w:val="22"/>
          <w:szCs w:val="22"/>
        </w:rPr>
        <w:t>. Elaborar el proyecto para la Desincorporación de Bienes Propiedad del Municipio que puedan ser objeto de venta, donación, subasta o destrucción, para efectos de su análisis y aprobación por el Ayuntamiento, en coordinación con la Consejería Jurídica Municipal;</w:t>
      </w:r>
    </w:p>
    <w:p w14:paraId="19FDA1F8"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3B6536"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XXXV.</w:t>
      </w:r>
      <w:r>
        <w:rPr>
          <w:rFonts w:ascii="Palatino Linotype" w:eastAsia="Palatino Linotype" w:hAnsi="Palatino Linotype" w:cs="Palatino Linotype"/>
          <w:i/>
          <w:sz w:val="22"/>
          <w:szCs w:val="22"/>
        </w:rPr>
        <w:t xml:space="preserve"> Llevar el control, registro e inventario de los bienes muebles e inmuebles propiedad del Municipio;</w:t>
      </w:r>
    </w:p>
    <w:p w14:paraId="2BA69259"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0492FFB"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XXXVII</w:t>
      </w:r>
      <w:r>
        <w:rPr>
          <w:rFonts w:ascii="Palatino Linotype" w:eastAsia="Palatino Linotype" w:hAnsi="Palatino Linotype" w:cs="Palatino Linotype"/>
          <w:i/>
          <w:sz w:val="22"/>
          <w:szCs w:val="22"/>
        </w:rPr>
        <w:t>. Integrar, resguardar y mantener actualizado el Archivo Municipal; y</w:t>
      </w:r>
    </w:p>
    <w:p w14:paraId="02C28D40"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B1744A"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expuesto, se colige que la Unidad de Transparencia, en ejercicio de sus atribuciones turnó la solicitud de información a las áreas legalmente </w:t>
      </w:r>
      <w:r>
        <w:rPr>
          <w:rFonts w:ascii="Palatino Linotype" w:eastAsia="Palatino Linotype" w:hAnsi="Palatino Linotype" w:cs="Palatino Linotype"/>
        </w:rPr>
        <w:lastRenderedPageBreak/>
        <w:t>competentes para generar, administrar o poseer la información materia de la solicitud de información que dio origen al recurso de revisión que nos ocupa, no obstante, sólo la Sindicatura atendió la solicitud, ya que no se advierte en el expediente electrónico que la Secretaría del Ayuntamiento hubiera emitido pronunciamiento alguno o remitido documentos.</w:t>
      </w:r>
    </w:p>
    <w:p w14:paraId="3EC722E3" w14:textId="77777777" w:rsidR="00341E16" w:rsidRDefault="0070100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no obsta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8922D83"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hoy solicitada, esta puede obrar en las distintas áreas que conforman la estructura orgánica del Sujeto Obligado, es por ello que debe turnar la solicitud al servidor público habilitado que tiene bajo su resguardo la misma. </w:t>
      </w:r>
    </w:p>
    <w:p w14:paraId="1AE8ECA2"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los servidores públicos habilitados, en materia de transparencia tienen como obligación la de buscar, localizar y en su caso entregar la información solicitada por la Unidad de Transparencia, así como apoyar a la Unidad de Transparencia en lo que esta solicite para el cumplimiento de sus funciones, entre otras atribuciones, sin embargo, en el caso que nos ocupa la Secretaría del Ayuntamiento, fue omisa en observar dichas disposiciones.</w:t>
      </w:r>
    </w:p>
    <w:p w14:paraId="74CAC802"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Atento a lo anterior, es evidente que el Derecho de acceso a la información de la persona solicitante no puede tenerse por satisfecho, en virtud de que no hubo pronunciamiento de todas las áreas competentes respecto a la materia de la solicitud, quedando de manifiesto que la Secretaría del Ayuntamiento es responsable de los libros de las actas de cabildo, de la elaboración del inventario general de bienes muebles e inmuebles municipales, así como de la integración del sistema de información inmobiliaria, y tiene a su cargo el archivo general del ayuntamiento.</w:t>
      </w:r>
    </w:p>
    <w:p w14:paraId="2267E7AB"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expuesto, y toda vez que el Síndico Municipal no negó la existencia de la información que es materia de estudio, sino que refirió que las actas solicitadas se encontraban en resguardo de la Secretaría del Ayuntamiento, se colige que para tener por satisfecha la solicitud de información, es necesario que sea remitida de nueva cuenta a la Secretaría del Ayuntamiento, con la finalidad de que, previa búsqueda exhaustiva y razonable haga entrega de las actas de cabildo relacionadas con la adquisición de cada uno de los inmuebles que son propiedad del municipio, así como las relativas al cambio de uso o destino para el que fueron adquiridos, que hubiera generado, administre o posea al dieciséis de noviembre de dos mil veintidós, en versión pública de ser necesario, conforme al considerando siguiente.</w:t>
      </w:r>
    </w:p>
    <w:p w14:paraId="072F572D"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dicha determinación, no obsta mencionar que de conformidad con los Lineamientos para el Registro, Control del Inventario y la Conciliación y Desincorporación de Bienes Muebles e Inmuebles para las Entidades Fiscalizables Municipales del Estado de México, publicado en el Periódico Oficial “Gaceta del Gobierno”, del Estado de México en fecha once de julio de dos mil trece, para adquirir bienes inmuebles por compra se debe satisfacer, entre otros requisitos, el </w:t>
      </w:r>
      <w:r>
        <w:rPr>
          <w:rFonts w:ascii="Palatino Linotype" w:eastAsia="Palatino Linotype" w:hAnsi="Palatino Linotype" w:cs="Palatino Linotype"/>
        </w:rPr>
        <w:lastRenderedPageBreak/>
        <w:t xml:space="preserve">contar con acta del órgano máximo de gobierno, entendido como el cuerpo deliberante que es el encargado del gobierno y/o de la administración en las entidades fiscalizables, mediante la cual autorice la adquisición vía presupuesto de egresos, como se lee en la fracción II del Lineamiento QUINCUAGÉSIMO SEXTO, de los Lineamientos citados, a saber: </w:t>
      </w:r>
    </w:p>
    <w:p w14:paraId="3E301AD6"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Para adquirir bienes inmuebles por compra, se deberán satisfacer los siguientes requisitos:</w:t>
      </w:r>
    </w:p>
    <w:p w14:paraId="56825424"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0E2BF18"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Contar con acta</w:t>
      </w:r>
      <w:r>
        <w:rPr>
          <w:rFonts w:ascii="Palatino Linotype" w:eastAsia="Palatino Linotype" w:hAnsi="Palatino Linotype" w:cs="Palatino Linotype"/>
          <w:i/>
          <w:sz w:val="22"/>
          <w:szCs w:val="22"/>
        </w:rPr>
        <w:t xml:space="preserve"> del órgano máximo de gobierno, </w:t>
      </w:r>
      <w:r>
        <w:rPr>
          <w:rFonts w:ascii="Palatino Linotype" w:eastAsia="Palatino Linotype" w:hAnsi="Palatino Linotype" w:cs="Palatino Linotype"/>
          <w:b/>
          <w:i/>
          <w:sz w:val="22"/>
          <w:szCs w:val="22"/>
        </w:rPr>
        <w:t>autorizando la adquisición</w:t>
      </w:r>
      <w:r>
        <w:rPr>
          <w:rFonts w:ascii="Palatino Linotype" w:eastAsia="Palatino Linotype" w:hAnsi="Palatino Linotype" w:cs="Palatino Linotype"/>
          <w:i/>
          <w:sz w:val="22"/>
          <w:szCs w:val="22"/>
        </w:rPr>
        <w:t>, vía presupuesto de egresos;”</w:t>
      </w:r>
    </w:p>
    <w:p w14:paraId="75C9E9A3"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a los cambios de uso o destino de los bienes inmuebles, la Ley de Bienes del Estado de México, en el artículo 5, fracción VIII, establece que corresponde a los ayuntamientos autorizar el cambio de uso o destino de los bienes de dominio público, a saber:</w:t>
      </w:r>
    </w:p>
    <w:p w14:paraId="5E14FDF6"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Corresponde</w:t>
      </w:r>
      <w:r>
        <w:rPr>
          <w:rFonts w:ascii="Palatino Linotype" w:eastAsia="Palatino Linotype" w:hAnsi="Palatino Linotype" w:cs="Palatino Linotype"/>
          <w:i/>
          <w:sz w:val="22"/>
          <w:szCs w:val="22"/>
        </w:rPr>
        <w:t xml:space="preserve"> al Ejecutivo del Estado por conducto de la Secretaría de Finanzas y </w:t>
      </w:r>
      <w:r>
        <w:rPr>
          <w:rFonts w:ascii="Palatino Linotype" w:eastAsia="Palatino Linotype" w:hAnsi="Palatino Linotype" w:cs="Palatino Linotype"/>
          <w:b/>
          <w:i/>
          <w:sz w:val="22"/>
          <w:szCs w:val="22"/>
        </w:rPr>
        <w:t>a los ayuntamientos</w:t>
      </w:r>
      <w:r>
        <w:rPr>
          <w:rFonts w:ascii="Palatino Linotype" w:eastAsia="Palatino Linotype" w:hAnsi="Palatino Linotype" w:cs="Palatino Linotype"/>
          <w:i/>
          <w:sz w:val="22"/>
          <w:szCs w:val="22"/>
        </w:rPr>
        <w:t>:</w:t>
      </w:r>
    </w:p>
    <w:p w14:paraId="665FA7FF"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EBCD579"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Autorizar el cambio de uso o destino de los bienes de dominio público</w:t>
      </w:r>
      <w:r>
        <w:rPr>
          <w:rFonts w:ascii="Palatino Linotype" w:eastAsia="Palatino Linotype" w:hAnsi="Palatino Linotype" w:cs="Palatino Linotype"/>
          <w:i/>
          <w:sz w:val="22"/>
          <w:szCs w:val="22"/>
        </w:rPr>
        <w:t>, así como la sustitución de los usuarios cuando así convenga a las necesidades de la administración pública estatal o municipal;”</w:t>
      </w:r>
    </w:p>
    <w:p w14:paraId="2D567C1E"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concreto, es de señalar que el Síndico Municipal precisó que el inmueble destinado a la Construcción de la Universidad, actualmente se encontraba destinado a la Construcción de Ciudad Mujer, asimismo, que el acuerdo de cabildo se encontraba en el acta respectiva a resguardo de la Secretaría del Ayuntamiento, sin embargo, no precisó si los demás inmuebles propiedad del ayuntamiento habían </w:t>
      </w:r>
      <w:r>
        <w:rPr>
          <w:rFonts w:ascii="Palatino Linotype" w:eastAsia="Palatino Linotype" w:hAnsi="Palatino Linotype" w:cs="Palatino Linotype"/>
        </w:rPr>
        <w:lastRenderedPageBreak/>
        <w:t>sido objeto de alguna modificación o cambio de uso o destino, por ello, para garantizar el Derecho de acceso, se estima que la Secretaría del Ayuntamiento deberá entregar, además del acta de cabildo a que hizo referencia el Síndico, aquellas actas den cuenta de los cambios de uso o destino que pudieron haber sufrido los inmuebles en caso de generarse dicha información, no obstante, para el caso de que no localice información adicional a la reportada, bastará con que lo precise de manera clara en esos términos.</w:t>
      </w:r>
    </w:p>
    <w:p w14:paraId="69E459CC"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Organismo Garante que en la relación de inmuebles y en el inventario de bienes inmuebles remitidos por el Síndico Municipal se dejó visible, en el apartado de medidas y colindancias, el nombre de particulares, dato personal que debió protegerse, por lo que, al considerarse como una transgresión al derecho de protección de datos personales, resulta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para que éste determine lo que conforme derecho corresponda, cuyo resultado deberá ser informado a este Instituto.</w:t>
      </w:r>
    </w:p>
    <w:p w14:paraId="7855CB36" w14:textId="77777777" w:rsidR="00341E16" w:rsidRDefault="0070100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se concluye que los motivos de inconformidad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devienen fundados, siendo procedente </w:t>
      </w:r>
      <w:r>
        <w:rPr>
          <w:rFonts w:ascii="Palatino Linotype" w:eastAsia="Palatino Linotype" w:hAnsi="Palatino Linotype" w:cs="Palatino Linotype"/>
          <w:i/>
        </w:rPr>
        <w:t xml:space="preserve">Modificar </w:t>
      </w:r>
      <w:r>
        <w:rPr>
          <w:rFonts w:ascii="Palatino Linotype" w:eastAsia="Palatino Linotype" w:hAnsi="Palatino Linotype" w:cs="Palatino Linotype"/>
        </w:rPr>
        <w:t xml:space="preserve">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E61CA3C"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menoscabo al derecho a la protección de los datos personales de terceros.</w:t>
      </w:r>
    </w:p>
    <w:p w14:paraId="58981DC3"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EBAA3FF"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39324587"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8A2285A"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FF2FC81"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07CDCBB7"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XXI. Información confidencial: </w:t>
      </w:r>
      <w:r>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0CDFB4"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1EEED61"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159F24"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687207D"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78F6315A"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17D030A6"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28E719F6"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4DBBB0C"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CA39C8B"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BB94A86"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E6CE234"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22EB18A"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45DF45F"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3749018"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9C8A94F"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140534" w14:textId="77777777" w:rsidR="00341E16" w:rsidRDefault="0070100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siendo estas las siguientes:</w:t>
      </w:r>
    </w:p>
    <w:p w14:paraId="45187CFF"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“Quincuagésimo. </w:t>
      </w:r>
      <w:r>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7802C0F" w14:textId="77777777" w:rsidR="00341E16" w:rsidRDefault="007010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6B272B17"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número de sesión y fecha; </w:t>
      </w:r>
    </w:p>
    <w:p w14:paraId="58AD03EB"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del área que solicitó la clasificación de información; </w:t>
      </w:r>
    </w:p>
    <w:p w14:paraId="007C443D"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fundamentación legal y motivación correspondiente; </w:t>
      </w:r>
    </w:p>
    <w:p w14:paraId="3A5280EC"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La resolución o resoluciones aprobadas; y </w:t>
      </w:r>
    </w:p>
    <w:p w14:paraId="0A28B063"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rúbrica o firma digital de cada integrante del Comité de Transparencia. </w:t>
      </w:r>
    </w:p>
    <w:p w14:paraId="56036BF4" w14:textId="77777777" w:rsidR="00341E16" w:rsidRDefault="007010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5C514D00"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603DF47"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Descripción de las partes o secciones reservadas, en caso de clasificación parcial</w:t>
      </w:r>
      <w:r>
        <w:rPr>
          <w:rFonts w:ascii="Palatino Linotype" w:eastAsia="Palatino Linotype" w:hAnsi="Palatino Linotype" w:cs="Palatino Linotype"/>
          <w:b/>
          <w:i/>
          <w:sz w:val="22"/>
          <w:szCs w:val="22"/>
        </w:rPr>
        <w:t xml:space="preserve">; </w:t>
      </w:r>
    </w:p>
    <w:p w14:paraId="4D997E4F"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 periodo por el que mantendrá su clasificación y fecha de expiración; y </w:t>
      </w:r>
    </w:p>
    <w:p w14:paraId="148F7C89" w14:textId="77777777" w:rsidR="00341E16" w:rsidRDefault="0070100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FA95375" w14:textId="77777777" w:rsidR="00341E16" w:rsidRDefault="007010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DF3987A" w14:textId="77777777" w:rsidR="00341E16" w:rsidRDefault="0070100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52D6C85" w14:textId="77777777" w:rsidR="00341E16" w:rsidRDefault="00701007">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segundo</w:t>
      </w:r>
      <w:r>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AA8E8E2" w14:textId="77777777" w:rsidR="00341E16" w:rsidRDefault="00701007">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w:t>
      </w:r>
      <w:proofErr w:type="spellStart"/>
      <w:r>
        <w:rPr>
          <w:rFonts w:ascii="Palatino Linotype" w:eastAsia="Palatino Linotype" w:hAnsi="Palatino Linotype" w:cs="Palatino Linotype"/>
          <w:i/>
          <w:sz w:val="22"/>
          <w:szCs w:val="22"/>
        </w:rPr>
        <w:t>especifico</w:t>
      </w:r>
      <w:proofErr w:type="spellEnd"/>
      <w:r>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7CFAF346" w14:textId="77777777" w:rsidR="00341E16" w:rsidRDefault="00701007">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4253C814" w14:textId="77777777" w:rsidR="00341E16" w:rsidRDefault="00701007">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32F86A7" w14:textId="77777777" w:rsidR="00341E16" w:rsidRDefault="00701007">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Señalar las personas o instancias autorizadas a acceder a la información clasificada.</w:t>
      </w:r>
    </w:p>
    <w:p w14:paraId="714D70E8" w14:textId="77777777" w:rsidR="00341E16" w:rsidRDefault="00701007">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2F175FB" w14:textId="77777777" w:rsidR="00341E16" w:rsidRDefault="00701007">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rPr>
        <w:lastRenderedPageBreak/>
        <w:t xml:space="preserve">En relación directa con ello deberá observar el Lineamiento Quincuagésimo tercero de los Lineamientos Generales en Materia de Clasificación y Desclasificación de la Información </w:t>
      </w:r>
      <w:proofErr w:type="spellStart"/>
      <w:r>
        <w:rPr>
          <w:rFonts w:ascii="Palatino Linotype" w:eastAsia="Palatino Linotype" w:hAnsi="Palatino Linotype" w:cs="Palatino Linotype"/>
        </w:rPr>
        <w:t>supraindicados</w:t>
      </w:r>
      <w:proofErr w:type="spellEnd"/>
      <w:r>
        <w:rPr>
          <w:rFonts w:ascii="Palatino Linotype" w:eastAsia="Palatino Linotype" w:hAnsi="Palatino Linotype" w:cs="Palatino Linotype"/>
        </w:rPr>
        <w:t xml:space="preserve">, que establece los formatos para la clasificación de los documentos, conforme a lo siguiente: </w:t>
      </w:r>
    </w:p>
    <w:p w14:paraId="44480835" w14:textId="77777777" w:rsidR="00341E16" w:rsidRDefault="00701007">
      <w:pPr>
        <w:ind w:left="851"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1A6FB3EB" w14:textId="77777777" w:rsidR="00341E16" w:rsidRDefault="00701007">
      <w:pPr>
        <w:ind w:left="851"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LOS ELEMENTOS PARA LA CLASIFICACIÓN </w:t>
      </w:r>
    </w:p>
    <w:p w14:paraId="4A560FF8" w14:textId="77777777" w:rsidR="00341E16" w:rsidRDefault="00701007">
      <w:pPr>
        <w:ind w:left="851"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2AF6F83"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de un documento o expediente que contenga información reservada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es el siguiente: </w:t>
      </w:r>
    </w:p>
    <w:p w14:paraId="7F55ED4C" w14:textId="77777777" w:rsidR="00341E16" w:rsidRDefault="00701007">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rPr>
        <w:drawing>
          <wp:inline distT="0" distB="0" distL="0" distR="0" wp14:anchorId="11A0953F" wp14:editId="588A54F2">
            <wp:extent cx="4295775" cy="295275"/>
            <wp:effectExtent l="0" t="0" r="0" b="0"/>
            <wp:docPr id="11322239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b="95731"/>
                    <a:stretch>
                      <a:fillRect/>
                    </a:stretch>
                  </pic:blipFill>
                  <pic:spPr>
                    <a:xfrm>
                      <a:off x="0" y="0"/>
                      <a:ext cx="4295775" cy="295275"/>
                    </a:xfrm>
                    <a:prstGeom prst="rect">
                      <a:avLst/>
                    </a:prstGeom>
                    <a:ln/>
                  </pic:spPr>
                </pic:pic>
              </a:graphicData>
            </a:graphic>
          </wp:inline>
        </w:drawing>
      </w:r>
    </w:p>
    <w:p w14:paraId="1E7D6E5A" w14:textId="77777777" w:rsidR="00341E16" w:rsidRDefault="00701007">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rPr>
        <w:drawing>
          <wp:inline distT="0" distB="0" distL="0" distR="0" wp14:anchorId="4DE9B78F" wp14:editId="1A33B527">
            <wp:extent cx="4333875" cy="3676650"/>
            <wp:effectExtent l="0" t="0" r="0" b="0"/>
            <wp:docPr id="11322239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30907" b="15860"/>
                    <a:stretch>
                      <a:fillRect/>
                    </a:stretch>
                  </pic:blipFill>
                  <pic:spPr>
                    <a:xfrm>
                      <a:off x="0" y="0"/>
                      <a:ext cx="4333875" cy="3676650"/>
                    </a:xfrm>
                    <a:prstGeom prst="rect">
                      <a:avLst/>
                    </a:prstGeom>
                    <a:ln/>
                  </pic:spPr>
                </pic:pic>
              </a:graphicData>
            </a:graphic>
          </wp:inline>
        </w:drawing>
      </w:r>
    </w:p>
    <w:p w14:paraId="4CFF4258" w14:textId="77777777" w:rsidR="00341E16" w:rsidRDefault="00701007">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rPr>
        <w:lastRenderedPageBreak/>
        <w:drawing>
          <wp:inline distT="0" distB="0" distL="0" distR="0" wp14:anchorId="4CB96897" wp14:editId="7FEE575F">
            <wp:extent cx="4333875" cy="971550"/>
            <wp:effectExtent l="0" t="0" r="0" b="0"/>
            <wp:docPr id="11322239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84829" b="1105"/>
                    <a:stretch>
                      <a:fillRect/>
                    </a:stretch>
                  </pic:blipFill>
                  <pic:spPr>
                    <a:xfrm>
                      <a:off x="0" y="0"/>
                      <a:ext cx="4333875" cy="971550"/>
                    </a:xfrm>
                    <a:prstGeom prst="rect">
                      <a:avLst/>
                    </a:prstGeom>
                    <a:ln/>
                  </pic:spPr>
                </pic:pic>
              </a:graphicData>
            </a:graphic>
          </wp:inline>
        </w:drawing>
      </w:r>
    </w:p>
    <w:p w14:paraId="77A10707"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que integren un expediente reservado en su totalidad no deberán marcarse en lo individual.</w:t>
      </w:r>
    </w:p>
    <w:p w14:paraId="7797884F"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0B5526C7"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5CBD5F4E" w14:textId="77777777" w:rsidR="00341E16" w:rsidRDefault="00701007">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sz w:val="22"/>
          <w:szCs w:val="22"/>
        </w:rPr>
        <w:t xml:space="preserve"> </w:t>
      </w:r>
    </w:p>
    <w:p w14:paraId="67FE2A52"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quinto. </w:t>
      </w:r>
      <w:r>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sz w:val="22"/>
          <w:szCs w:val="22"/>
        </w:rPr>
        <w:t>testado</w:t>
      </w:r>
      <w:proofErr w:type="spellEnd"/>
      <w:r>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CAA76B7" w14:textId="77777777" w:rsidR="00341E16" w:rsidRDefault="00701007">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29905AC"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37B845B"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4916DFA"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A34DE46" w14:textId="77777777" w:rsidR="00341E16" w:rsidRDefault="0070100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93FDDB9"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229E830" w14:textId="77777777" w:rsidR="00341E16" w:rsidRDefault="0070100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CBD3528"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1AD1074"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75D1293" w14:textId="77777777" w:rsidR="00341E16" w:rsidRDefault="0070100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III. R E S U E L V E</w:t>
      </w:r>
    </w:p>
    <w:p w14:paraId="389E627A" w14:textId="77777777" w:rsidR="00341E16" w:rsidRDefault="00701007">
      <w:pPr>
        <w:spacing w:before="240" w:after="240" w:line="360" w:lineRule="auto"/>
        <w:jc w:val="both"/>
        <w:rPr>
          <w:rFonts w:ascii="Palatino Linotype" w:eastAsia="Palatino Linotype" w:hAnsi="Palatino Linotype" w:cs="Palatino Linotype"/>
          <w:b/>
        </w:rPr>
      </w:pPr>
      <w:bookmarkStart w:id="8" w:name="_heading=h.lnxbz9" w:colFirst="0" w:colLast="0"/>
      <w:bookmarkEnd w:id="8"/>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w:t>
      </w:r>
      <w:r>
        <w:rPr>
          <w:rFonts w:ascii="Palatino Linotype" w:eastAsia="Palatino Linotype" w:hAnsi="Palatino Linotype" w:cs="Palatino Linotype"/>
        </w:rPr>
        <w:t xml:space="preserve"> los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00454/INFOEM/IP/RR/2023,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2F34AA54" w14:textId="77777777" w:rsidR="00341E16" w:rsidRDefault="00701007">
      <w:pPr>
        <w:spacing w:before="240" w:after="240" w:line="360" w:lineRule="auto"/>
        <w:jc w:val="both"/>
        <w:rPr>
          <w:rFonts w:ascii="Palatino Linotype" w:eastAsia="Palatino Linotype" w:hAnsi="Palatino Linotype" w:cs="Palatino Linotype"/>
        </w:rPr>
      </w:pPr>
      <w:bookmarkStart w:id="9" w:name="_heading=h.44sinio" w:colFirst="0" w:colLast="0"/>
      <w:bookmarkEnd w:id="9"/>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w:t>
      </w:r>
      <w:r>
        <w:rPr>
          <w:rFonts w:ascii="Palatino Linotype" w:eastAsia="Palatino Linotype" w:hAnsi="Palatino Linotype" w:cs="Palatino Linotype"/>
        </w:rPr>
        <w:t>y</w:t>
      </w:r>
      <w:r>
        <w:rPr>
          <w:rFonts w:ascii="Palatino Linotype" w:eastAsia="Palatino Linotype" w:hAnsi="Palatino Linotype" w:cs="Palatino Linotype"/>
          <w:b/>
        </w:rPr>
        <w:t xml:space="preserve"> Quinto </w:t>
      </w:r>
      <w:r>
        <w:rPr>
          <w:rFonts w:ascii="Palatino Linotype" w:eastAsia="Palatino Linotype" w:hAnsi="Palatino Linotype" w:cs="Palatino Linotype"/>
        </w:rPr>
        <w:t>de esta resolución, haga entrega, vía SAIMEX, en versión pública de ser procedente, de lo siguiente:</w:t>
      </w:r>
    </w:p>
    <w:p w14:paraId="12772159" w14:textId="77777777" w:rsidR="00341E16" w:rsidRDefault="00701007">
      <w:pPr>
        <w:spacing w:before="240" w:after="240" w:line="360" w:lineRule="auto"/>
        <w:ind w:left="426"/>
        <w:jc w:val="both"/>
        <w:rPr>
          <w:rFonts w:ascii="Palatino Linotype" w:eastAsia="Palatino Linotype" w:hAnsi="Palatino Linotype" w:cs="Palatino Linotype"/>
        </w:rPr>
      </w:pPr>
      <w:r>
        <w:rPr>
          <w:rFonts w:ascii="Palatino Linotype" w:eastAsia="Palatino Linotype" w:hAnsi="Palatino Linotype" w:cs="Palatino Linotype"/>
        </w:rPr>
        <w:t>1. Actas de Cabildo relacionadas con la adquisición de cada inmueble propiedad del municipio, con las que cuente al dieciséis de noviembre de dos mil veintidós.</w:t>
      </w:r>
    </w:p>
    <w:p w14:paraId="7F471C15" w14:textId="77777777" w:rsidR="00341E16" w:rsidRDefault="00701007">
      <w:pPr>
        <w:spacing w:before="240" w:after="240" w:line="360" w:lineRule="auto"/>
        <w:ind w:left="426"/>
        <w:jc w:val="both"/>
        <w:rPr>
          <w:rFonts w:ascii="Palatino Linotype" w:eastAsia="Palatino Linotype" w:hAnsi="Palatino Linotype" w:cs="Palatino Linotype"/>
        </w:rPr>
      </w:pPr>
      <w:r>
        <w:rPr>
          <w:rFonts w:ascii="Palatino Linotype" w:eastAsia="Palatino Linotype" w:hAnsi="Palatino Linotype" w:cs="Palatino Linotype"/>
        </w:rPr>
        <w:t>2.  Actas de cabildo relativas al cambio de uso o destino para el que fueron adquiridos los inmuebles propiedad del municipio, generadas del uno de enero al dieciséis de noviembre de dos mil veintidós.</w:t>
      </w:r>
    </w:p>
    <w:p w14:paraId="660D6024" w14:textId="77777777" w:rsidR="00341E16" w:rsidRDefault="00701007">
      <w:pPr>
        <w:spacing w:before="240" w:after="240"/>
        <w:ind w:left="426"/>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w:t>
      </w:r>
    </w:p>
    <w:p w14:paraId="2A2E3180" w14:textId="77777777" w:rsidR="00341E16" w:rsidRDefault="00701007">
      <w:pPr>
        <w:spacing w:before="240" w:after="240" w:line="360" w:lineRule="auto"/>
        <w:jc w:val="both"/>
        <w:rPr>
          <w:rFonts w:ascii="Palatino Linotype" w:eastAsia="Palatino Linotype" w:hAnsi="Palatino Linotype" w:cs="Palatino Linotype"/>
          <w:b/>
        </w:rPr>
      </w:pPr>
      <w:bookmarkStart w:id="10" w:name="_heading=h.35nkun2" w:colFirst="0" w:colLast="0"/>
      <w:bookmarkEnd w:id="10"/>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Pr>
          <w:rFonts w:ascii="Palatino Linotype" w:eastAsia="Palatino Linotype" w:hAnsi="Palatino Linotype" w:cs="Palatino Linotype"/>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2DCEF8" w14:textId="77777777" w:rsidR="00341E16" w:rsidRDefault="00701007">
      <w:pPr>
        <w:spacing w:before="240" w:after="240" w:line="360" w:lineRule="auto"/>
        <w:jc w:val="both"/>
        <w:rPr>
          <w:rFonts w:ascii="Palatino Linotype" w:eastAsia="Palatino Linotype" w:hAnsi="Palatino Linotype" w:cs="Palatino Linotype"/>
        </w:rPr>
      </w:pPr>
      <w:bookmarkStart w:id="11" w:name="_heading=h.17dp8vu" w:colFirst="0" w:colLast="0"/>
      <w:bookmarkEnd w:id="11"/>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D69E744" w14:textId="77777777" w:rsidR="00341E16" w:rsidRDefault="0070100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2DA2079" w14:textId="77777777" w:rsidR="00341E16" w:rsidRDefault="00701007">
      <w:pPr>
        <w:widowControl w:val="0"/>
        <w:tabs>
          <w:tab w:val="left" w:pos="170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Gírese oficio </w:t>
      </w:r>
      <w:r>
        <w:rPr>
          <w:rFonts w:ascii="Palatino Linotype" w:eastAsia="Palatino Linotype" w:hAnsi="Palatino Linotype" w:cs="Palatino Linotype"/>
        </w:rPr>
        <w:t xml:space="preserve">a la </w:t>
      </w:r>
      <w:r>
        <w:rPr>
          <w:rFonts w:ascii="Palatino Linotype" w:eastAsia="Palatino Linotype" w:hAnsi="Palatino Linotype" w:cs="Palatino Linotype"/>
          <w:b/>
        </w:rPr>
        <w:t>Dirección General de Protección de Datos Personales</w:t>
      </w:r>
      <w:r>
        <w:rPr>
          <w:rFonts w:ascii="Palatino Linotype" w:eastAsia="Palatino Linotype" w:hAnsi="Palatino Linotype" w:cs="Palatino Linotype"/>
        </w:rPr>
        <w:t xml:space="preserve"> en atención al artículo 82, fracción XXVII de la Ley de Protección de Datos Personales del Estado de México y Municipios, a fin de que determine lo conducente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la presente resolución.</w:t>
      </w:r>
    </w:p>
    <w:p w14:paraId="651CBD10" w14:textId="77777777" w:rsidR="00341E16" w:rsidRDefault="0070100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Pr>
          <w:rFonts w:ascii="Palatino Linotype" w:eastAsia="Palatino Linotype" w:hAnsi="Palatino Linotype" w:cs="Palatino Linotype"/>
        </w:rPr>
        <w:lastRenderedPageBreak/>
        <w:t>MORALES MARTÍNEZ, LUIS GUSTAVO PARRA NORIEGA</w:t>
      </w:r>
      <w:r w:rsidR="004C0658">
        <w:rPr>
          <w:rFonts w:ascii="Palatino Linotype" w:eastAsia="Palatino Linotype" w:hAnsi="Palatino Linotype" w:cs="Palatino Linotype"/>
        </w:rPr>
        <w:t>, EMITIENDO VOTO PARTICULAR CONCURRENTE</w:t>
      </w:r>
      <w:r>
        <w:rPr>
          <w:rFonts w:ascii="Palatino Linotype" w:eastAsia="Palatino Linotype" w:hAnsi="Palatino Linotype" w:cs="Palatino Linotype"/>
        </w:rPr>
        <w:t>; Y GUADALUPE RAMÍREZ PEÑA</w:t>
      </w:r>
      <w:r w:rsidR="004C0658">
        <w:rPr>
          <w:rFonts w:ascii="Palatino Linotype" w:eastAsia="Palatino Linotype" w:hAnsi="Palatino Linotype" w:cs="Palatino Linotype"/>
        </w:rPr>
        <w:t>, EMITIENDO VOTO PARTICULAR CONCURRENTE</w:t>
      </w:r>
      <w:r>
        <w:rPr>
          <w:rFonts w:ascii="Palatino Linotype" w:eastAsia="Palatino Linotype" w:hAnsi="Palatino Linotype" w:cs="Palatino Linotype"/>
        </w:rPr>
        <w:t>, EN LA TRIGÉSIMO SEXTA SESIÓN ORDINARIA CELEBRADA EL TRES DE OCTUBRE DE DOS MIL VEINTITRÉS, ANTE EL SECRETARIO TÉCNICO DEL PLENO ALEXIS TAPIA RAMÍREZ.</w:t>
      </w:r>
    </w:p>
    <w:p w14:paraId="1A8DF95D" w14:textId="77777777" w:rsidR="00341E16" w:rsidRDefault="004C065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759AD4A4" wp14:editId="4FDC7E9B">
                <wp:simplePos x="0" y="0"/>
                <wp:positionH relativeFrom="margin">
                  <wp:align>right</wp:align>
                </wp:positionH>
                <wp:positionV relativeFrom="paragraph">
                  <wp:posOffset>30480</wp:posOffset>
                </wp:positionV>
                <wp:extent cx="5514975" cy="5743575"/>
                <wp:effectExtent l="38100" t="19050" r="66675" b="85725"/>
                <wp:wrapNone/>
                <wp:docPr id="1" name="Conector recto 1"/>
                <wp:cNvGraphicFramePr/>
                <a:graphic xmlns:a="http://schemas.openxmlformats.org/drawingml/2006/main">
                  <a:graphicData uri="http://schemas.microsoft.com/office/word/2010/wordprocessingShape">
                    <wps:wsp>
                      <wps:cNvCnPr/>
                      <wps:spPr>
                        <a:xfrm>
                          <a:off x="0" y="0"/>
                          <a:ext cx="5514975" cy="5743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7E0D0" id="Conector recto 1"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2.4pt" to="817.3pt,4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" strokecolor="black [3200]" strokeweight="2pt">
                <v:shadow on="t" color="black" opacity="24903f" origin=",.5" offset="0,.55556mm"/>
                <w10:wrap anchorx="margin"/>
              </v:line>
            </w:pict>
          </mc:Fallback>
        </mc:AlternateContent>
      </w:r>
    </w:p>
    <w:p w14:paraId="53A42380" w14:textId="77777777" w:rsidR="00341E16" w:rsidRDefault="00341E16">
      <w:pPr>
        <w:rPr>
          <w:rFonts w:ascii="Palatino Linotype" w:eastAsia="Palatino Linotype" w:hAnsi="Palatino Linotype" w:cs="Palatino Linotype"/>
        </w:rPr>
      </w:pPr>
    </w:p>
    <w:p w14:paraId="5AF2C09D" w14:textId="77777777" w:rsidR="00341E16" w:rsidRDefault="00341E16">
      <w:pPr>
        <w:rPr>
          <w:rFonts w:ascii="Palatino Linotype" w:eastAsia="Palatino Linotype" w:hAnsi="Palatino Linotype" w:cs="Palatino Linotype"/>
        </w:rPr>
      </w:pPr>
    </w:p>
    <w:p w14:paraId="2DD41C15" w14:textId="77777777" w:rsidR="00341E16" w:rsidRDefault="00341E16">
      <w:pPr>
        <w:rPr>
          <w:rFonts w:ascii="Palatino Linotype" w:eastAsia="Palatino Linotype" w:hAnsi="Palatino Linotype" w:cs="Palatino Linotype"/>
        </w:rPr>
      </w:pPr>
    </w:p>
    <w:p w14:paraId="3D460B53" w14:textId="77777777" w:rsidR="00341E16" w:rsidRDefault="00341E16">
      <w:pPr>
        <w:rPr>
          <w:rFonts w:ascii="Palatino Linotype" w:eastAsia="Palatino Linotype" w:hAnsi="Palatino Linotype" w:cs="Palatino Linotype"/>
        </w:rPr>
      </w:pPr>
    </w:p>
    <w:p w14:paraId="432D43BF" w14:textId="77777777" w:rsidR="00341E16" w:rsidRDefault="00341E16">
      <w:pPr>
        <w:rPr>
          <w:rFonts w:ascii="Palatino Linotype" w:eastAsia="Palatino Linotype" w:hAnsi="Palatino Linotype" w:cs="Palatino Linotype"/>
        </w:rPr>
      </w:pPr>
    </w:p>
    <w:p w14:paraId="3A8CD300" w14:textId="77777777" w:rsidR="00341E16" w:rsidRDefault="00341E16">
      <w:pPr>
        <w:rPr>
          <w:rFonts w:ascii="Palatino Linotype" w:eastAsia="Palatino Linotype" w:hAnsi="Palatino Linotype" w:cs="Palatino Linotype"/>
        </w:rPr>
      </w:pPr>
    </w:p>
    <w:p w14:paraId="47876DF5" w14:textId="77777777" w:rsidR="00341E16" w:rsidRDefault="00341E16">
      <w:pPr>
        <w:rPr>
          <w:rFonts w:ascii="Palatino Linotype" w:eastAsia="Palatino Linotype" w:hAnsi="Palatino Linotype" w:cs="Palatino Linotype"/>
        </w:rPr>
      </w:pPr>
    </w:p>
    <w:p w14:paraId="31922A5E" w14:textId="77777777" w:rsidR="00341E16" w:rsidRDefault="00341E16">
      <w:pPr>
        <w:rPr>
          <w:rFonts w:ascii="Palatino Linotype" w:eastAsia="Palatino Linotype" w:hAnsi="Palatino Linotype" w:cs="Palatino Linotype"/>
        </w:rPr>
      </w:pPr>
    </w:p>
    <w:p w14:paraId="4F70343C" w14:textId="77777777" w:rsidR="00341E16" w:rsidRDefault="00341E16">
      <w:pPr>
        <w:rPr>
          <w:rFonts w:ascii="Palatino Linotype" w:eastAsia="Palatino Linotype" w:hAnsi="Palatino Linotype" w:cs="Palatino Linotype"/>
        </w:rPr>
      </w:pPr>
    </w:p>
    <w:p w14:paraId="1E90C4B4" w14:textId="77777777" w:rsidR="00341E16" w:rsidRDefault="00341E16">
      <w:pPr>
        <w:spacing w:line="360" w:lineRule="auto"/>
        <w:jc w:val="both"/>
        <w:rPr>
          <w:rFonts w:ascii="Palatino Linotype" w:eastAsia="Palatino Linotype" w:hAnsi="Palatino Linotype" w:cs="Palatino Linotype"/>
        </w:rPr>
      </w:pPr>
      <w:bookmarkStart w:id="12" w:name="_heading=h.3rdcrjn" w:colFirst="0" w:colLast="0"/>
      <w:bookmarkEnd w:id="12"/>
    </w:p>
    <w:p w14:paraId="32D6FE3D" w14:textId="77777777" w:rsidR="00341E16" w:rsidRDefault="00341E16">
      <w:pPr>
        <w:spacing w:line="360" w:lineRule="auto"/>
        <w:jc w:val="both"/>
        <w:rPr>
          <w:rFonts w:ascii="Palatino Linotype" w:eastAsia="Palatino Linotype" w:hAnsi="Palatino Linotype" w:cs="Palatino Linotype"/>
        </w:rPr>
      </w:pPr>
    </w:p>
    <w:p w14:paraId="7CE4439F" w14:textId="77777777" w:rsidR="00341E16" w:rsidRDefault="00341E16">
      <w:pPr>
        <w:spacing w:line="360" w:lineRule="auto"/>
        <w:jc w:val="both"/>
        <w:rPr>
          <w:rFonts w:ascii="Palatino Linotype" w:eastAsia="Palatino Linotype" w:hAnsi="Palatino Linotype" w:cs="Palatino Linotype"/>
        </w:rPr>
      </w:pPr>
    </w:p>
    <w:p w14:paraId="5C032651" w14:textId="77777777" w:rsidR="00341E16" w:rsidRDefault="00341E16">
      <w:pPr>
        <w:spacing w:line="360" w:lineRule="auto"/>
        <w:jc w:val="both"/>
        <w:rPr>
          <w:rFonts w:ascii="Palatino Linotype" w:eastAsia="Palatino Linotype" w:hAnsi="Palatino Linotype" w:cs="Palatino Linotype"/>
        </w:rPr>
      </w:pPr>
      <w:bookmarkStart w:id="13" w:name="_heading=h.1t3h5sf" w:colFirst="0" w:colLast="0"/>
      <w:bookmarkEnd w:id="13"/>
    </w:p>
    <w:p w14:paraId="7FE1DF7E" w14:textId="77777777" w:rsidR="00341E16" w:rsidRDefault="00341E16">
      <w:pPr>
        <w:spacing w:line="360" w:lineRule="auto"/>
        <w:jc w:val="both"/>
        <w:rPr>
          <w:rFonts w:ascii="Palatino Linotype" w:eastAsia="Palatino Linotype" w:hAnsi="Palatino Linotype" w:cs="Palatino Linotype"/>
        </w:rPr>
      </w:pPr>
    </w:p>
    <w:p w14:paraId="1747DE76" w14:textId="77777777" w:rsidR="00341E16" w:rsidRDefault="00341E16">
      <w:pPr>
        <w:spacing w:line="360" w:lineRule="auto"/>
        <w:jc w:val="both"/>
        <w:rPr>
          <w:rFonts w:ascii="Palatino Linotype" w:eastAsia="Palatino Linotype" w:hAnsi="Palatino Linotype" w:cs="Palatino Linotype"/>
        </w:rPr>
      </w:pPr>
    </w:p>
    <w:p w14:paraId="3B2E07BE" w14:textId="77777777" w:rsidR="00341E16" w:rsidRDefault="00341E16">
      <w:pPr>
        <w:spacing w:line="360" w:lineRule="auto"/>
        <w:jc w:val="both"/>
        <w:rPr>
          <w:rFonts w:ascii="Palatino Linotype" w:eastAsia="Palatino Linotype" w:hAnsi="Palatino Linotype" w:cs="Palatino Linotype"/>
        </w:rPr>
      </w:pPr>
    </w:p>
    <w:p w14:paraId="6FEBEAAC" w14:textId="77777777" w:rsidR="00341E16" w:rsidRDefault="00341E16">
      <w:pPr>
        <w:spacing w:line="360" w:lineRule="auto"/>
        <w:jc w:val="both"/>
        <w:rPr>
          <w:rFonts w:ascii="Palatino Linotype" w:eastAsia="Palatino Linotype" w:hAnsi="Palatino Linotype" w:cs="Palatino Linotype"/>
        </w:rPr>
      </w:pPr>
    </w:p>
    <w:p w14:paraId="4896C2D8" w14:textId="77777777" w:rsidR="00341E16" w:rsidRDefault="00341E16">
      <w:pPr>
        <w:spacing w:line="360" w:lineRule="auto"/>
        <w:jc w:val="both"/>
        <w:rPr>
          <w:rFonts w:ascii="Palatino Linotype" w:eastAsia="Palatino Linotype" w:hAnsi="Palatino Linotype" w:cs="Palatino Linotype"/>
        </w:rPr>
      </w:pPr>
    </w:p>
    <w:p w14:paraId="5ABDA3C5" w14:textId="77777777" w:rsidR="00341E16" w:rsidRDefault="00341E16">
      <w:pPr>
        <w:spacing w:line="360" w:lineRule="auto"/>
        <w:jc w:val="both"/>
        <w:rPr>
          <w:rFonts w:ascii="Palatino Linotype" w:eastAsia="Palatino Linotype" w:hAnsi="Palatino Linotype" w:cs="Palatino Linotype"/>
        </w:rPr>
      </w:pPr>
    </w:p>
    <w:p w14:paraId="3840AB76" w14:textId="77777777" w:rsidR="00341E16" w:rsidRDefault="00341E16">
      <w:pPr>
        <w:spacing w:line="360" w:lineRule="auto"/>
        <w:jc w:val="both"/>
        <w:rPr>
          <w:rFonts w:ascii="Palatino Linotype" w:eastAsia="Palatino Linotype" w:hAnsi="Palatino Linotype" w:cs="Palatino Linotype"/>
        </w:rPr>
      </w:pPr>
    </w:p>
    <w:p w14:paraId="23FEA11D" w14:textId="77777777" w:rsidR="00341E16" w:rsidRDefault="00341E16">
      <w:pPr>
        <w:spacing w:line="360" w:lineRule="auto"/>
        <w:jc w:val="both"/>
        <w:rPr>
          <w:rFonts w:ascii="Palatino Linotype" w:eastAsia="Palatino Linotype" w:hAnsi="Palatino Linotype" w:cs="Palatino Linotype"/>
        </w:rPr>
      </w:pPr>
    </w:p>
    <w:p w14:paraId="7A77A7CE" w14:textId="77777777" w:rsidR="00341E16" w:rsidRDefault="00341E16">
      <w:pPr>
        <w:spacing w:line="360" w:lineRule="auto"/>
        <w:jc w:val="both"/>
        <w:rPr>
          <w:rFonts w:ascii="Palatino Linotype" w:eastAsia="Palatino Linotype" w:hAnsi="Palatino Linotype" w:cs="Palatino Linotype"/>
        </w:rPr>
      </w:pPr>
    </w:p>
    <w:p w14:paraId="5B6D749B" w14:textId="77777777" w:rsidR="00341E16" w:rsidRDefault="00341E16">
      <w:pPr>
        <w:spacing w:line="360" w:lineRule="auto"/>
        <w:jc w:val="both"/>
        <w:rPr>
          <w:rFonts w:ascii="Palatino Linotype" w:eastAsia="Palatino Linotype" w:hAnsi="Palatino Linotype" w:cs="Palatino Linotype"/>
        </w:rPr>
      </w:pPr>
    </w:p>
    <w:p w14:paraId="111F585F" w14:textId="77777777" w:rsidR="00341E16" w:rsidRDefault="00341E16">
      <w:pPr>
        <w:spacing w:line="360" w:lineRule="auto"/>
        <w:jc w:val="both"/>
        <w:rPr>
          <w:rFonts w:ascii="Palatino Linotype" w:eastAsia="Palatino Linotype" w:hAnsi="Palatino Linotype" w:cs="Palatino Linotype"/>
        </w:rPr>
      </w:pPr>
    </w:p>
    <w:sectPr w:rsidR="00341E16">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45FF7" w14:textId="77777777" w:rsidR="00BD1E4B" w:rsidRDefault="00BD1E4B">
      <w:r>
        <w:separator/>
      </w:r>
    </w:p>
  </w:endnote>
  <w:endnote w:type="continuationSeparator" w:id="0">
    <w:p w14:paraId="5C6139CE" w14:textId="77777777" w:rsidR="00BD1E4B" w:rsidRDefault="00BD1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5723" w14:textId="77777777" w:rsidR="00341E16" w:rsidRDefault="007010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3342">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3342">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0D93A5B2" w14:textId="77777777" w:rsidR="00341E16" w:rsidRDefault="00341E1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B9B1" w14:textId="77777777" w:rsidR="00341E16" w:rsidRDefault="007010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334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3342">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3C419943" w14:textId="77777777" w:rsidR="00341E16" w:rsidRDefault="00341E1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1D0DB" w14:textId="77777777" w:rsidR="00BD1E4B" w:rsidRDefault="00BD1E4B">
      <w:r>
        <w:separator/>
      </w:r>
    </w:p>
  </w:footnote>
  <w:footnote w:type="continuationSeparator" w:id="0">
    <w:p w14:paraId="50059844" w14:textId="77777777" w:rsidR="00BD1E4B" w:rsidRDefault="00BD1E4B">
      <w:r>
        <w:continuationSeparator/>
      </w:r>
    </w:p>
  </w:footnote>
  <w:footnote w:id="1">
    <w:p w14:paraId="7EB5AC20" w14:textId="77777777" w:rsidR="00341E16" w:rsidRDefault="0070100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A994F06" w14:textId="77777777" w:rsidR="00341E16" w:rsidRDefault="0070100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679555A" w14:textId="77777777" w:rsidR="00341E16" w:rsidRDefault="0070100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77CC0BB3" w14:textId="77777777" w:rsidR="00341E16" w:rsidRDefault="0070100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69E9C018" w14:textId="77777777" w:rsidR="00341E16" w:rsidRDefault="0070100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14:paraId="477B527A" w14:textId="77777777" w:rsidR="00341E16" w:rsidRDefault="0070100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B3D3" w14:textId="77777777" w:rsidR="00341E16" w:rsidRDefault="00701007">
    <w:pPr>
      <w:rPr>
        <w:rFonts w:ascii="Cambria" w:eastAsia="Cambria" w:hAnsi="Cambria" w:cs="Cambria"/>
        <w:color w:val="000000"/>
      </w:rPr>
    </w:pPr>
    <w:r>
      <w:rPr>
        <w:noProof/>
      </w:rPr>
      <w:drawing>
        <wp:anchor distT="0" distB="0" distL="0" distR="0" simplePos="0" relativeHeight="251658240" behindDoc="1" locked="0" layoutInCell="1" hidden="0" allowOverlap="1" wp14:anchorId="120A8075" wp14:editId="37EED262">
          <wp:simplePos x="0" y="0"/>
          <wp:positionH relativeFrom="column">
            <wp:posOffset>-1080112</wp:posOffset>
          </wp:positionH>
          <wp:positionV relativeFrom="paragraph">
            <wp:posOffset>-488288</wp:posOffset>
          </wp:positionV>
          <wp:extent cx="7809865" cy="10165715"/>
          <wp:effectExtent l="0" t="0" r="0" b="0"/>
          <wp:wrapNone/>
          <wp:docPr id="11322239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953" w:type="dxa"/>
      <w:tblInd w:w="3261" w:type="dxa"/>
      <w:tblLayout w:type="fixed"/>
      <w:tblLook w:val="0400" w:firstRow="0" w:lastRow="0" w:firstColumn="0" w:lastColumn="0" w:noHBand="0" w:noVBand="1"/>
    </w:tblPr>
    <w:tblGrid>
      <w:gridCol w:w="2489"/>
      <w:gridCol w:w="3464"/>
    </w:tblGrid>
    <w:tr w:rsidR="00341E16" w14:paraId="59B9A5C7" w14:textId="77777777">
      <w:tc>
        <w:tcPr>
          <w:tcW w:w="2489" w:type="dxa"/>
          <w:shd w:val="clear" w:color="auto" w:fill="auto"/>
        </w:tcPr>
        <w:p w14:paraId="3DEB8C88"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07AFFF2" w14:textId="77777777" w:rsidR="00341E16" w:rsidRDefault="007010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00454/INFOEM/IP/RR/2023</w:t>
          </w:r>
        </w:p>
      </w:tc>
    </w:tr>
    <w:tr w:rsidR="00341E16" w14:paraId="7D26FE5F" w14:textId="77777777">
      <w:trPr>
        <w:trHeight w:val="228"/>
      </w:trPr>
      <w:tc>
        <w:tcPr>
          <w:tcW w:w="2489" w:type="dxa"/>
          <w:shd w:val="clear" w:color="auto" w:fill="auto"/>
          <w:vAlign w:val="center"/>
        </w:tcPr>
        <w:p w14:paraId="4219AC58"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DF578C5" w14:textId="77777777" w:rsidR="00341E16" w:rsidRDefault="0070100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341E16" w14:paraId="36AD535C" w14:textId="77777777">
      <w:tc>
        <w:tcPr>
          <w:tcW w:w="2489" w:type="dxa"/>
          <w:shd w:val="clear" w:color="auto" w:fill="auto"/>
          <w:vAlign w:val="center"/>
        </w:tcPr>
        <w:p w14:paraId="5BF9766D" w14:textId="77777777" w:rsidR="00341E16" w:rsidRDefault="0070100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C410D71" w14:textId="77777777" w:rsidR="00341E16" w:rsidRDefault="007010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63C9D0" w14:textId="77777777" w:rsidR="00341E16" w:rsidRDefault="0070100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D799" w14:textId="77777777" w:rsidR="00341E16" w:rsidRDefault="0070100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009D72F" wp14:editId="74912141">
          <wp:simplePos x="0" y="0"/>
          <wp:positionH relativeFrom="column">
            <wp:posOffset>-1080118</wp:posOffset>
          </wp:positionH>
          <wp:positionV relativeFrom="paragraph">
            <wp:posOffset>-262861</wp:posOffset>
          </wp:positionV>
          <wp:extent cx="7809865" cy="10165715"/>
          <wp:effectExtent l="0" t="0" r="0" b="0"/>
          <wp:wrapNone/>
          <wp:docPr id="11322239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5670" w:type="dxa"/>
      <w:tblInd w:w="3261" w:type="dxa"/>
      <w:tblLayout w:type="fixed"/>
      <w:tblLook w:val="0400" w:firstRow="0" w:lastRow="0" w:firstColumn="0" w:lastColumn="0" w:noHBand="0" w:noVBand="1"/>
    </w:tblPr>
    <w:tblGrid>
      <w:gridCol w:w="2551"/>
      <w:gridCol w:w="3119"/>
    </w:tblGrid>
    <w:tr w:rsidR="00341E16" w14:paraId="2D931DC7" w14:textId="77777777">
      <w:tc>
        <w:tcPr>
          <w:tcW w:w="2551" w:type="dxa"/>
          <w:shd w:val="clear" w:color="auto" w:fill="auto"/>
          <w:vAlign w:val="center"/>
        </w:tcPr>
        <w:p w14:paraId="423AB7DD"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1AC645D" w14:textId="77777777" w:rsidR="00341E16" w:rsidRDefault="0070100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00454/INFOEM/IP/RR/2023</w:t>
          </w:r>
        </w:p>
      </w:tc>
    </w:tr>
    <w:tr w:rsidR="00341E16" w14:paraId="1AAA7035" w14:textId="77777777">
      <w:trPr>
        <w:trHeight w:val="130"/>
      </w:trPr>
      <w:tc>
        <w:tcPr>
          <w:tcW w:w="2551" w:type="dxa"/>
          <w:shd w:val="clear" w:color="auto" w:fill="auto"/>
          <w:vAlign w:val="center"/>
        </w:tcPr>
        <w:p w14:paraId="7FEA1489"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222C348" w14:textId="2386A40B" w:rsidR="00341E16" w:rsidRDefault="00D45BA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 XXXXXX</w:t>
          </w:r>
        </w:p>
      </w:tc>
    </w:tr>
    <w:tr w:rsidR="00341E16" w14:paraId="04D8BD63" w14:textId="77777777">
      <w:trPr>
        <w:trHeight w:val="228"/>
      </w:trPr>
      <w:tc>
        <w:tcPr>
          <w:tcW w:w="2551" w:type="dxa"/>
          <w:shd w:val="clear" w:color="auto" w:fill="auto"/>
          <w:vAlign w:val="center"/>
        </w:tcPr>
        <w:p w14:paraId="179F6CEF"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A22D1D5" w14:textId="77777777" w:rsidR="00341E16" w:rsidRDefault="0070100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341E16" w14:paraId="293724E8" w14:textId="77777777">
      <w:tc>
        <w:tcPr>
          <w:tcW w:w="2551" w:type="dxa"/>
          <w:shd w:val="clear" w:color="auto" w:fill="auto"/>
          <w:vAlign w:val="center"/>
        </w:tcPr>
        <w:p w14:paraId="09E62CC0" w14:textId="77777777" w:rsidR="00341E16" w:rsidRDefault="007010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E4F748D" w14:textId="77777777" w:rsidR="00341E16" w:rsidRDefault="0070100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8FB066" w14:textId="77777777" w:rsidR="00341E16" w:rsidRDefault="00341E16">
    <w:pPr>
      <w:pBdr>
        <w:top w:val="nil"/>
        <w:left w:val="nil"/>
        <w:bottom w:val="nil"/>
        <w:right w:val="nil"/>
        <w:between w:val="nil"/>
      </w:pBdr>
      <w:tabs>
        <w:tab w:val="center" w:pos="4252"/>
        <w:tab w:val="right" w:pos="8504"/>
      </w:tabs>
      <w:rPr>
        <w:rFonts w:ascii="Cambria" w:eastAsia="Cambria" w:hAnsi="Cambria" w:cs="Cambria"/>
        <w:color w:val="000000"/>
      </w:rPr>
    </w:pPr>
  </w:p>
  <w:p w14:paraId="7A6F03E8" w14:textId="77777777" w:rsidR="00341E16" w:rsidRDefault="00341E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82982"/>
    <w:multiLevelType w:val="multilevel"/>
    <w:tmpl w:val="2C5E6B2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2774B4"/>
    <w:multiLevelType w:val="multilevel"/>
    <w:tmpl w:val="CAF0F29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E16"/>
    <w:rsid w:val="0006241A"/>
    <w:rsid w:val="00341E16"/>
    <w:rsid w:val="004C0658"/>
    <w:rsid w:val="00633342"/>
    <w:rsid w:val="00701007"/>
    <w:rsid w:val="00BD1E4B"/>
    <w:rsid w:val="00D45B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D4CF8"/>
  <w15:docId w15:val="{3FA6B9DC-927D-4D2C-A6AA-BD960198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AED"/>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left w:w="115" w:type="dxa"/>
        <w:right w:w="115" w:type="dxa"/>
      </w:tblCellMar>
    </w:tblPr>
  </w:style>
  <w:style w:type="table" w:customStyle="1" w:styleId="10">
    <w:name w:val="10"/>
    <w:basedOn w:val="TableNormal80"/>
    <w:tblPr>
      <w:tblStyleRowBandSize w:val="1"/>
      <w:tblStyleColBandSize w:val="1"/>
      <w:tblCellMar>
        <w:left w:w="115" w:type="dxa"/>
        <w:right w:w="115" w:type="dxa"/>
      </w:tblCellMar>
    </w:tblPr>
  </w:style>
  <w:style w:type="table" w:customStyle="1" w:styleId="24">
    <w:name w:val="24"/>
    <w:basedOn w:val="TableNormal90"/>
    <w:tblPr>
      <w:tblStyleRowBandSize w:val="1"/>
      <w:tblStyleColBandSize w:val="1"/>
      <w:tblCellMar>
        <w:left w:w="115" w:type="dxa"/>
        <w:right w:w="115" w:type="dxa"/>
      </w:tblCellMar>
    </w:tblPr>
  </w:style>
  <w:style w:type="table" w:customStyle="1" w:styleId="23">
    <w:name w:val="23"/>
    <w:basedOn w:val="TableNormal9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left w:w="115" w:type="dxa"/>
        <w:right w:w="115" w:type="dxa"/>
      </w:tblCellMar>
    </w:tblPr>
  </w:style>
  <w:style w:type="table" w:customStyle="1" w:styleId="21">
    <w:name w:val="21"/>
    <w:basedOn w:val="TableNormal90"/>
    <w:tblPr>
      <w:tblStyleRowBandSize w:val="1"/>
      <w:tblStyleColBandSize w:val="1"/>
      <w:tblCellMar>
        <w:left w:w="115" w:type="dxa"/>
        <w:right w:w="115" w:type="dxa"/>
      </w:tblCellMar>
    </w:tblPr>
  </w:style>
  <w:style w:type="table" w:customStyle="1" w:styleId="a">
    <w:basedOn w:val="TableNormalc"/>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c"/>
    <w:tblPr>
      <w:tblStyleRowBandSize w:val="1"/>
      <w:tblStyleColBandSize w:val="1"/>
      <w:tblCellMar>
        <w:left w:w="115" w:type="dxa"/>
        <w:right w:w="115" w:type="dxa"/>
      </w:tblCellMar>
    </w:tblPr>
  </w:style>
  <w:style w:type="table" w:customStyle="1" w:styleId="a2">
    <w:basedOn w:val="TableNormalc"/>
    <w:tblPr>
      <w:tblStyleRowBandSize w:val="1"/>
      <w:tblStyleColBandSize w:val="1"/>
      <w:tblCellMar>
        <w:left w:w="115" w:type="dxa"/>
        <w:right w:w="115" w:type="dxa"/>
      </w:tblCellMar>
    </w:tblPr>
  </w:style>
  <w:style w:type="table" w:customStyle="1" w:styleId="a3">
    <w:basedOn w:val="TableNormalb"/>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b"/>
    <w:tblPr>
      <w:tblStyleRowBandSize w:val="1"/>
      <w:tblStyleColBandSize w:val="1"/>
      <w:tblCellMar>
        <w:left w:w="115" w:type="dxa"/>
        <w:right w:w="115" w:type="dxa"/>
      </w:tblCellMar>
    </w:tblPr>
  </w:style>
  <w:style w:type="table" w:customStyle="1" w:styleId="a5">
    <w:basedOn w:val="TableNormalb"/>
    <w:tblPr>
      <w:tblStyleRowBandSize w:val="1"/>
      <w:tblStyleColBandSize w:val="1"/>
      <w:tblCellMar>
        <w:left w:w="115" w:type="dxa"/>
        <w:right w:w="115" w:type="dxa"/>
      </w:tblCellMar>
    </w:tblPr>
  </w:style>
  <w:style w:type="table" w:customStyle="1" w:styleId="a6">
    <w:basedOn w:val="TableNormala"/>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a"/>
    <w:tblPr>
      <w:tblStyleRowBandSize w:val="1"/>
      <w:tblStyleColBandSize w:val="1"/>
      <w:tblCellMar>
        <w:left w:w="115" w:type="dxa"/>
        <w:right w:w="115" w:type="dxa"/>
      </w:tblCellMar>
    </w:tblPr>
  </w:style>
  <w:style w:type="table" w:customStyle="1" w:styleId="a8">
    <w:basedOn w:val="TableNormala"/>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9"/>
    <w:tblPr>
      <w:tblStyleRowBandSize w:val="1"/>
      <w:tblStyleColBandSize w:val="1"/>
      <w:tblCellMar>
        <w:left w:w="115" w:type="dxa"/>
        <w:right w:w="115" w:type="dxa"/>
      </w:tblCellMar>
    </w:tblPr>
  </w:style>
  <w:style w:type="table" w:customStyle="1" w:styleId="ab">
    <w:basedOn w:val="TableNormal9"/>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8"/>
    <w:tblPr>
      <w:tblStyleRowBandSize w:val="1"/>
      <w:tblStyleColBandSize w:val="1"/>
      <w:tblCellMar>
        <w:left w:w="108" w:type="dxa"/>
        <w:right w:w="108" w:type="dxa"/>
      </w:tblCellMar>
    </w:tblPr>
  </w:style>
  <w:style w:type="table" w:customStyle="1" w:styleId="ad">
    <w:basedOn w:val="TableNormal8"/>
    <w:tblPr>
      <w:tblStyleRowBandSize w:val="1"/>
      <w:tblStyleColBandSize w:val="1"/>
      <w:tblCellMar>
        <w:left w:w="108" w:type="dxa"/>
        <w:right w:w="108" w:type="dxa"/>
      </w:tblCellMar>
    </w:tblPr>
  </w:style>
  <w:style w:type="table" w:customStyle="1" w:styleId="ae">
    <w:basedOn w:val="TableNormal8"/>
    <w:tblPr>
      <w:tblStyleRowBandSize w:val="1"/>
      <w:tblStyleColBandSize w:val="1"/>
      <w:tblCellMar>
        <w:left w:w="108" w:type="dxa"/>
        <w:right w:w="108" w:type="dxa"/>
      </w:tblCellMar>
    </w:tbl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7"/>
    <w:tblPr>
      <w:tblStyleRowBandSize w:val="1"/>
      <w:tblStyleColBandSize w:val="1"/>
      <w:tblCellMar>
        <w:left w:w="115" w:type="dxa"/>
        <w:right w:w="115" w:type="dxa"/>
      </w:tblCellMar>
    </w:tblPr>
  </w:style>
  <w:style w:type="table" w:customStyle="1" w:styleId="af2">
    <w:basedOn w:val="TableNormal7"/>
    <w:tblPr>
      <w:tblStyleRowBandSize w:val="1"/>
      <w:tblStyleColBandSize w:val="1"/>
      <w:tblCellMar>
        <w:left w:w="115" w:type="dxa"/>
        <w:right w:w="115" w:type="dxa"/>
      </w:tblCellMar>
    </w:tblPr>
  </w:style>
  <w:style w:type="table" w:customStyle="1" w:styleId="af3">
    <w:basedOn w:val="TableNormal6"/>
    <w:tblPr>
      <w:tblStyleRowBandSize w:val="1"/>
      <w:tblStyleColBandSize w:val="1"/>
      <w:tblCellMar>
        <w:left w:w="115" w:type="dxa"/>
        <w:right w:w="115" w:type="dxa"/>
      </w:tblCellMar>
    </w:tblPr>
  </w:style>
  <w:style w:type="table" w:customStyle="1" w:styleId="af4">
    <w:basedOn w:val="TableNormal6"/>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5"/>
    <w:tblPr>
      <w:tblStyleRowBandSize w:val="1"/>
      <w:tblStyleColBandSize w:val="1"/>
      <w:tblCellMar>
        <w:left w:w="115" w:type="dxa"/>
        <w:right w:w="115" w:type="dxa"/>
      </w:tblCellMar>
    </w:tbl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paragraph" w:styleId="Lista4">
    <w:name w:val="List 4"/>
    <w:basedOn w:val="Normal"/>
    <w:uiPriority w:val="99"/>
    <w:unhideWhenUsed/>
    <w:rsid w:val="005E1F42"/>
    <w:pPr>
      <w:ind w:left="1132" w:hanging="283"/>
      <w:contextualSpacing/>
    </w:p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8hRnMBcRDFMEeRnAxSNztqb26g==">CgMxLjAyCGguZ2pkZ3hzMgloLjNkeTZ2a20yCWguMzBqMHpsbDIJaC4yczhleW8xMghoLnR5amN3dDIJaC4zem55c2g3MgloLjJldDkycDAyCWguMjZpbjFyZzIIaC5sbnhiejkyCWguNDRzaW5pbzIJaC4zNW5rdW4yMgloLjE3ZHA4dnUyCWguM3JkY3JqbjIJaC4xdDNoNXNmOAByITFEaFFPcTNlS2FLMlpPeFM1MXhNZXY5VkVYUlozZVA0MQ==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43</Pages>
  <Words>10457</Words>
  <Characters>57517</Characters>
  <Application>Microsoft Office Word</Application>
  <DocSecurity>4</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2023-10-04T16:17:00Z</cp:lastPrinted>
  <dcterms:created xsi:type="dcterms:W3CDTF">2023-10-27T17:07:00Z</dcterms:created>
  <dcterms:modified xsi:type="dcterms:W3CDTF">2023-10-27T17:07:00Z</dcterms:modified>
</cp:coreProperties>
</file>