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AF4CEA" w:rsidR="00D33E1E" w:rsidP="00B32A2A" w:rsidRDefault="00D33E1E" w14:paraId="04D916D9" w14:textId="73F14E77">
      <w:pPr>
        <w:spacing w:after="0" w:line="360" w:lineRule="auto"/>
        <w:rPr>
          <w:rFonts w:eastAsia="Times New Roman" w:cs="Tahoma"/>
          <w:bCs/>
          <w:color w:val="auto"/>
          <w:lang w:eastAsia="es-ES"/>
        </w:rPr>
      </w:pPr>
      <w:r w:rsidRPr="00AF4CEA">
        <w:rPr>
          <w:rFonts w:eastAsia="Calibri" w:cs="Tahoma"/>
          <w:bCs/>
          <w:color w:val="000000"/>
        </w:rPr>
        <w:t xml:space="preserve">Resolución del Pleno del Instituto de Transparencia, Acceso a la Información Pública y </w:t>
      </w:r>
      <w:r w:rsidRPr="00AF4CEA">
        <w:rPr>
          <w:rFonts w:eastAsia="Times New Roman" w:cs="Tahoma"/>
          <w:bCs/>
          <w:color w:val="auto"/>
          <w:lang w:eastAsia="es-ES"/>
        </w:rPr>
        <w:t xml:space="preserve">Protección de Datos Personales del Estado de México y Municipios, con domicilio en Metepec, Estado de México, de fecha </w:t>
      </w:r>
      <w:r w:rsidRPr="00AF4CEA" w:rsidR="00004706">
        <w:rPr>
          <w:rFonts w:eastAsia="Times New Roman" w:cs="Tahoma"/>
          <w:bCs/>
          <w:color w:val="auto"/>
          <w:lang w:eastAsia="es-ES"/>
        </w:rPr>
        <w:t>veintinueve</w:t>
      </w:r>
      <w:r w:rsidRPr="00AF4CEA" w:rsidR="00E173BF">
        <w:rPr>
          <w:rFonts w:eastAsia="Times New Roman" w:cs="Tahoma"/>
          <w:bCs/>
          <w:color w:val="auto"/>
          <w:lang w:eastAsia="es-ES"/>
        </w:rPr>
        <w:t xml:space="preserve"> de marzo</w:t>
      </w:r>
      <w:r w:rsidRPr="00AF4CEA">
        <w:rPr>
          <w:rFonts w:eastAsia="Times New Roman" w:cs="Tahoma"/>
          <w:bCs/>
          <w:color w:val="auto"/>
          <w:lang w:eastAsia="es-ES"/>
        </w:rPr>
        <w:t xml:space="preserve"> de dos mil veintitrés. </w:t>
      </w:r>
    </w:p>
    <w:p w:rsidRPr="00AF4CEA" w:rsidR="00ED212B" w:rsidP="00B32A2A" w:rsidRDefault="00ED212B" w14:paraId="4751432D" w14:textId="77777777">
      <w:pPr>
        <w:spacing w:after="0" w:line="360" w:lineRule="auto"/>
        <w:rPr>
          <w:rFonts w:eastAsia="Times New Roman" w:cs="Tahoma"/>
          <w:b/>
          <w:bCs/>
          <w:color w:val="auto"/>
          <w:lang w:eastAsia="es-ES"/>
        </w:rPr>
      </w:pPr>
    </w:p>
    <w:p w:rsidRPr="00AF4CEA" w:rsidR="00D33E1E" w:rsidP="00B32A2A" w:rsidRDefault="00D33E1E" w14:paraId="3001B54D" w14:textId="034052B0">
      <w:pPr>
        <w:spacing w:after="0" w:line="360" w:lineRule="auto"/>
        <w:rPr>
          <w:rFonts w:eastAsia="Calibri" w:cs="Tahoma"/>
          <w:color w:val="0D0D0D"/>
        </w:rPr>
      </w:pPr>
      <w:r w:rsidRPr="0F76B6EA" w:rsidR="0F76B6EA">
        <w:rPr>
          <w:rFonts w:eastAsia="Times New Roman" w:cs="Tahoma"/>
          <w:b w:val="1"/>
          <w:bCs w:val="1"/>
          <w:color w:val="auto"/>
          <w:lang w:eastAsia="es-ES"/>
        </w:rPr>
        <w:t>VISTO</w:t>
      </w:r>
      <w:r w:rsidRPr="0F76B6EA" w:rsidR="0F76B6EA">
        <w:rPr>
          <w:rFonts w:eastAsia="Calibri" w:cs="Tahoma"/>
          <w:color w:val="0D0D0D" w:themeColor="text1" w:themeTint="F2" w:themeShade="FF"/>
        </w:rPr>
        <w:t xml:space="preserve"> el expediente conformado con motivo del Recurso de Revisión </w:t>
      </w:r>
      <w:r w:rsidRPr="0F76B6EA" w:rsidR="0F76B6EA">
        <w:rPr>
          <w:rFonts w:eastAsia="Calibri" w:cs="Tahoma"/>
          <w:color w:val="000000" w:themeColor="text1" w:themeTint="FF" w:themeShade="FF"/>
        </w:rPr>
        <w:t xml:space="preserve">01051/INFOEM/IP/RR/2023, interpuesto por </w:t>
      </w:r>
      <w:r w:rsidRPr="0F76B6EA" w:rsidR="0F76B6EA">
        <w:rPr>
          <w:rFonts w:eastAsia="Calibri" w:cs="Tahoma"/>
          <w:color w:val="000000" w:themeColor="text1" w:themeTint="FF" w:themeShade="FF"/>
          <w:highlight w:val="black"/>
        </w:rPr>
        <w:t>XXXXXXXXXXXXXXXXXXX</w:t>
      </w:r>
      <w:r w:rsidRPr="0F76B6EA" w:rsidR="0F76B6EA">
        <w:rPr>
          <w:rFonts w:eastAsia="Calibri" w:cs="Tahoma"/>
          <w:color w:val="000000" w:themeColor="text1" w:themeTint="FF" w:themeShade="FF"/>
        </w:rPr>
        <w:t>, en lo</w:t>
      </w:r>
      <w:r w:rsidRPr="0F76B6EA" w:rsidR="0F76B6EA">
        <w:rPr>
          <w:rFonts w:eastAsia="Calibri" w:cs="Tahoma"/>
          <w:color w:val="000000" w:themeColor="text1" w:themeTint="FF" w:themeShade="FF"/>
        </w:rPr>
        <w:t xml:space="preserve"> </w:t>
      </w:r>
      <w:r w:rsidRPr="0F76B6EA" w:rsidR="0F76B6EA">
        <w:rPr>
          <w:rFonts w:eastAsia="Calibri" w:cs="Tahoma"/>
          <w:color w:val="000000" w:themeColor="text1" w:themeTint="FF" w:themeShade="FF"/>
        </w:rPr>
        <w:t xml:space="preserve">sucesivo,  </w:t>
      </w:r>
      <w:r w:rsidRPr="0F76B6EA" w:rsidR="0F76B6EA">
        <w:rPr>
          <w:rFonts w:eastAsia="Calibri" w:cs="Tahoma"/>
          <w:color w:val="0D0D0D" w:themeColor="text1" w:themeTint="F2" w:themeShade="FF"/>
        </w:rPr>
        <w:t>Recurrent</w:t>
      </w:r>
      <w:r w:rsidRPr="0F76B6EA" w:rsidR="0F76B6EA">
        <w:rPr>
          <w:rFonts w:eastAsia="Calibri" w:cs="Tahoma"/>
          <w:color w:val="0D0D0D" w:themeColor="text1" w:themeTint="F2" w:themeShade="FF"/>
        </w:rPr>
        <w:t>e</w:t>
      </w:r>
      <w:r w:rsidRPr="0F76B6EA" w:rsidR="0F76B6EA">
        <w:rPr>
          <w:rFonts w:eastAsia="Calibri" w:cs="Tahoma"/>
          <w:color w:val="0D0D0D" w:themeColor="text1" w:themeTint="F2" w:themeShade="FF"/>
        </w:rPr>
        <w:t xml:space="preserve"> o Particular, en contra de la respuesta del Sujeto Obligado,</w:t>
      </w:r>
      <w:r w:rsidRPr="0F76B6EA" w:rsidR="0F76B6EA">
        <w:rPr>
          <w:rFonts w:eastAsia="Calibri" w:cs="Tahoma"/>
          <w:color w:val="000000" w:themeColor="text1" w:themeTint="FF" w:themeShade="FF"/>
        </w:rPr>
        <w:t xml:space="preserve"> Tribunal Estatal de Conciliación y Arbitraje, a la solicitud de acceso a la información 00016/TRIECA/IP/2023, se emite la presente Resolución, con base en los Antecedentes y Considerandos que se exponen a continuación:</w:t>
      </w:r>
    </w:p>
    <w:p w:rsidRPr="00AF4CEA" w:rsidR="00D33E1E" w:rsidP="00B32A2A" w:rsidRDefault="00D33E1E" w14:paraId="4C951D78" w14:textId="77777777">
      <w:pPr>
        <w:spacing w:after="0" w:line="360" w:lineRule="auto"/>
        <w:rPr>
          <w:rFonts w:eastAsia="Calibri" w:cs="Tahoma"/>
          <w:color w:val="000000"/>
        </w:rPr>
      </w:pPr>
    </w:p>
    <w:p w:rsidRPr="00AF4CEA" w:rsidR="00D33E1E" w:rsidP="00B32A2A" w:rsidRDefault="00D33E1E" w14:paraId="0F985DE9" w14:textId="77777777">
      <w:pPr>
        <w:tabs>
          <w:tab w:val="center" w:pos="4522"/>
          <w:tab w:val="left" w:pos="7245"/>
        </w:tabs>
        <w:spacing w:after="0" w:line="360" w:lineRule="auto"/>
        <w:jc w:val="center"/>
        <w:rPr>
          <w:rFonts w:eastAsia="Calibri" w:cs="Tahoma"/>
          <w:b/>
          <w:color w:val="000000"/>
        </w:rPr>
      </w:pPr>
      <w:r w:rsidRPr="00AF4CEA">
        <w:rPr>
          <w:rFonts w:eastAsia="Calibri" w:cs="Tahoma"/>
          <w:b/>
          <w:color w:val="000000"/>
        </w:rPr>
        <w:t>A N T E C E D E N T E S:</w:t>
      </w:r>
    </w:p>
    <w:p w:rsidRPr="00AF4CEA" w:rsidR="00D33E1E" w:rsidP="00B32A2A" w:rsidRDefault="00D33E1E" w14:paraId="63577AE6" w14:textId="77777777">
      <w:pPr>
        <w:spacing w:after="0" w:line="360" w:lineRule="auto"/>
      </w:pPr>
    </w:p>
    <w:p w:rsidRPr="00AF4CEA" w:rsidR="00D33E1E" w:rsidP="00B32A2A" w:rsidRDefault="00D33E1E" w14:paraId="2E12BFCB" w14:textId="77777777">
      <w:pPr>
        <w:tabs>
          <w:tab w:val="left" w:pos="567"/>
        </w:tabs>
        <w:spacing w:after="0" w:line="360" w:lineRule="auto"/>
        <w:rPr>
          <w:rFonts w:eastAsia="Times New Roman" w:cs="Tahoma"/>
          <w:b/>
          <w:color w:val="auto"/>
          <w:lang w:eastAsia="es-ES"/>
        </w:rPr>
      </w:pPr>
      <w:r w:rsidRPr="00AF4CEA">
        <w:rPr>
          <w:rFonts w:eastAsia="Times New Roman" w:cs="Tahoma"/>
          <w:b/>
          <w:color w:val="auto"/>
          <w:lang w:eastAsia="es-ES"/>
        </w:rPr>
        <w:t>I. Presentación de la solicitud de información:</w:t>
      </w:r>
    </w:p>
    <w:p w:rsidRPr="00AF4CEA" w:rsidR="00D33E1E" w:rsidP="00B32A2A" w:rsidRDefault="00D33E1E" w14:paraId="20549A5A" w14:textId="77777777">
      <w:pPr>
        <w:tabs>
          <w:tab w:val="left" w:pos="567"/>
        </w:tabs>
        <w:spacing w:after="0" w:line="360" w:lineRule="auto"/>
        <w:rPr>
          <w:rFonts w:eastAsia="Times New Roman" w:cs="Tahoma"/>
          <w:color w:val="auto"/>
          <w:lang w:eastAsia="es-ES"/>
        </w:rPr>
      </w:pPr>
    </w:p>
    <w:p w:rsidRPr="00AF4CEA" w:rsidR="00D33E1E" w:rsidP="00B32A2A" w:rsidRDefault="00D33E1E" w14:paraId="68B22CBC" w14:textId="1A18AC55">
      <w:pPr>
        <w:spacing w:after="0" w:line="360" w:lineRule="auto"/>
        <w:rPr>
          <w:rFonts w:eastAsia="Times New Roman" w:cs="Tahoma"/>
          <w:color w:val="auto"/>
          <w:lang w:eastAsia="es-ES"/>
        </w:rPr>
      </w:pPr>
      <w:r w:rsidRPr="00AF4CEA">
        <w:rPr>
          <w:rFonts w:eastAsia="Times New Roman" w:cs="Tahoma"/>
          <w:color w:val="auto"/>
          <w:lang w:eastAsia="es-ES"/>
        </w:rPr>
        <w:t xml:space="preserve">Con fecha </w:t>
      </w:r>
      <w:r w:rsidRPr="00AF4CEA" w:rsidR="002E2F94">
        <w:rPr>
          <w:rFonts w:eastAsia="Times New Roman" w:cs="Tahoma"/>
          <w:color w:val="auto"/>
          <w:lang w:eastAsia="es-ES"/>
        </w:rPr>
        <w:t>siete de febrero de dos mil veintitrés, el</w:t>
      </w:r>
      <w:r w:rsidRPr="00AF4CEA">
        <w:rPr>
          <w:rFonts w:eastAsia="Times New Roman" w:cs="Tahoma"/>
          <w:color w:val="auto"/>
          <w:lang w:eastAsia="es-ES"/>
        </w:rPr>
        <w:t xml:space="preserve"> Particular presentó una solicitud de acceso a la información pública, a través del Sistema de Acceso a la Información Mexiquense (SAIMEX), ante el </w:t>
      </w:r>
      <w:r w:rsidRPr="00AF4CEA" w:rsidR="002E2F94">
        <w:rPr>
          <w:rFonts w:eastAsia="Calibri" w:cs="Tahoma"/>
        </w:rPr>
        <w:t>Tribunal Estatal de Conciliación y Arbitraje</w:t>
      </w:r>
      <w:r w:rsidRPr="00AF4CEA">
        <w:rPr>
          <w:rFonts w:eastAsia="Calibri" w:cs="Tahoma"/>
        </w:rPr>
        <w:t xml:space="preserve">, en los siguientes términos: </w:t>
      </w:r>
    </w:p>
    <w:p w:rsidRPr="00AF4CEA" w:rsidR="00D33E1E" w:rsidP="00B32A2A" w:rsidRDefault="00D33E1E" w14:paraId="166B116D" w14:textId="77777777">
      <w:pPr>
        <w:spacing w:after="0" w:line="360" w:lineRule="auto"/>
        <w:rPr>
          <w:rFonts w:eastAsia="Calibri" w:cs="Tahoma"/>
        </w:rPr>
      </w:pPr>
    </w:p>
    <w:p w:rsidRPr="00AF4CEA" w:rsidR="00D33E1E" w:rsidP="00B32A2A" w:rsidRDefault="00D33E1E" w14:paraId="24883002" w14:textId="77777777">
      <w:pPr>
        <w:tabs>
          <w:tab w:val="left" w:pos="4667"/>
        </w:tabs>
        <w:spacing w:after="0" w:line="360" w:lineRule="auto"/>
        <w:ind w:left="567" w:right="567"/>
        <w:rPr>
          <w:rFonts w:eastAsia="Times New Roman" w:cs="Tahoma"/>
          <w:b/>
          <w:i/>
          <w:iCs/>
          <w:color w:val="auto"/>
          <w:sz w:val="20"/>
          <w:szCs w:val="20"/>
          <w:lang w:eastAsia="es-ES"/>
        </w:rPr>
      </w:pPr>
      <w:r w:rsidRPr="00AF4CEA">
        <w:rPr>
          <w:rFonts w:eastAsia="Times New Roman" w:cs="Tahoma"/>
          <w:b/>
          <w:i/>
          <w:iCs/>
          <w:color w:val="auto"/>
          <w:sz w:val="20"/>
          <w:szCs w:val="20"/>
          <w:lang w:eastAsia="es-ES"/>
        </w:rPr>
        <w:t>“DESCRIPCIÓN CLARA Y PRECISA DE LA INFORMACIÓN SOLICITADA.</w:t>
      </w:r>
    </w:p>
    <w:p w:rsidRPr="00AF4CEA" w:rsidR="00D33E1E" w:rsidP="00B32A2A" w:rsidRDefault="002E2F94" w14:paraId="17A6730D" w14:textId="08D2F05C">
      <w:pPr>
        <w:tabs>
          <w:tab w:val="left" w:pos="4667"/>
        </w:tabs>
        <w:spacing w:after="0" w:line="360" w:lineRule="auto"/>
        <w:ind w:left="567" w:right="567"/>
        <w:rPr>
          <w:rFonts w:eastAsia="Times New Roman" w:cs="Tahoma"/>
          <w:bCs/>
          <w:i/>
          <w:iCs/>
          <w:color w:val="auto"/>
          <w:sz w:val="20"/>
          <w:szCs w:val="20"/>
          <w:lang w:eastAsia="es-ES"/>
        </w:rPr>
      </w:pPr>
      <w:r w:rsidRPr="00AF4CEA">
        <w:rPr>
          <w:rFonts w:eastAsia="Times New Roman" w:cs="Tahoma"/>
          <w:bCs/>
          <w:i/>
          <w:iCs/>
          <w:color w:val="auto"/>
          <w:sz w:val="20"/>
          <w:szCs w:val="20"/>
          <w:lang w:eastAsia="es-ES"/>
        </w:rPr>
        <w:t>Convenio de Sueldo y Prestaciones del Gobierno del Estado de México (Sector Central) S.U.T.E.Y M. 2022</w:t>
      </w:r>
      <w:r w:rsidRPr="00AF4CEA" w:rsidR="00D33E1E">
        <w:rPr>
          <w:rFonts w:eastAsia="Times New Roman" w:cs="Tahoma"/>
          <w:bCs/>
          <w:i/>
          <w:iCs/>
          <w:color w:val="auto"/>
          <w:sz w:val="20"/>
          <w:szCs w:val="20"/>
          <w:lang w:eastAsia="es-ES"/>
        </w:rPr>
        <w:t xml:space="preserve">” (Sic) </w:t>
      </w:r>
    </w:p>
    <w:p w:rsidRPr="00AF4CEA" w:rsidR="00D33E1E" w:rsidP="00B32A2A" w:rsidRDefault="00D33E1E" w14:paraId="679887A5" w14:textId="77777777">
      <w:pPr>
        <w:tabs>
          <w:tab w:val="left" w:pos="4667"/>
        </w:tabs>
        <w:spacing w:after="0" w:line="360" w:lineRule="auto"/>
        <w:ind w:left="567" w:right="567"/>
        <w:rPr>
          <w:rFonts w:eastAsia="Times New Roman" w:cs="Tahoma"/>
          <w:b/>
          <w:bCs/>
          <w:i/>
          <w:iCs/>
          <w:color w:val="auto"/>
          <w:sz w:val="20"/>
          <w:lang w:eastAsia="es-ES"/>
        </w:rPr>
      </w:pPr>
    </w:p>
    <w:p w:rsidRPr="00AF4CEA" w:rsidR="00D33E1E" w:rsidP="00B32A2A" w:rsidRDefault="00D33E1E" w14:paraId="6198C18C" w14:textId="77777777">
      <w:pPr>
        <w:tabs>
          <w:tab w:val="left" w:pos="4667"/>
        </w:tabs>
        <w:spacing w:after="0" w:line="360" w:lineRule="auto"/>
        <w:ind w:left="567" w:right="567"/>
        <w:rPr>
          <w:rFonts w:eastAsia="Times New Roman" w:cs="Tahoma"/>
          <w:b/>
          <w:bCs/>
          <w:i/>
          <w:iCs/>
          <w:color w:val="auto"/>
          <w:sz w:val="20"/>
          <w:lang w:eastAsia="es-ES"/>
        </w:rPr>
      </w:pPr>
      <w:r w:rsidRPr="00AF4CEA">
        <w:rPr>
          <w:rFonts w:eastAsia="Times New Roman" w:cs="Tahoma"/>
          <w:b/>
          <w:bCs/>
          <w:i/>
          <w:iCs/>
          <w:color w:val="auto"/>
          <w:sz w:val="20"/>
          <w:lang w:eastAsia="es-ES"/>
        </w:rPr>
        <w:t>“MODALIDAD DE ENTREGA</w:t>
      </w:r>
    </w:p>
    <w:p w:rsidRPr="00AF4CEA" w:rsidR="00D33E1E" w:rsidP="00B32A2A" w:rsidRDefault="00CE1C27" w14:paraId="62BACD2C" w14:textId="44097C13">
      <w:pPr>
        <w:spacing w:after="0" w:line="360" w:lineRule="auto"/>
        <w:ind w:left="567" w:right="567"/>
        <w:rPr>
          <w:rFonts w:eastAsia="Times New Roman" w:cs="Arial"/>
          <w:bCs/>
          <w:i/>
          <w:iCs/>
          <w:color w:val="auto"/>
          <w:sz w:val="20"/>
          <w:lang w:eastAsia="es-ES"/>
        </w:rPr>
      </w:pPr>
      <w:r w:rsidRPr="00AF4CEA">
        <w:rPr>
          <w:rFonts w:eastAsia="Times New Roman" w:cs="Arial"/>
          <w:bCs/>
          <w:i/>
          <w:iCs/>
          <w:color w:val="auto"/>
          <w:sz w:val="20"/>
          <w:lang w:eastAsia="es-ES"/>
        </w:rPr>
        <w:t>A través del SAIMEX”</w:t>
      </w:r>
    </w:p>
    <w:p w:rsidRPr="00AF4CEA" w:rsidR="00FE45C5" w:rsidP="00B32A2A" w:rsidRDefault="00FE45C5" w14:paraId="41F6B056" w14:textId="77777777">
      <w:pPr>
        <w:autoSpaceDE w:val="0"/>
        <w:autoSpaceDN w:val="0"/>
        <w:adjustRightInd w:val="0"/>
        <w:spacing w:after="0" w:line="360" w:lineRule="auto"/>
        <w:rPr>
          <w:rFonts w:cs="Tahoma"/>
          <w:b/>
        </w:rPr>
      </w:pPr>
    </w:p>
    <w:p w:rsidRPr="00AF4CEA" w:rsidR="00D33E1E" w:rsidP="00B32A2A" w:rsidRDefault="00D33E1E" w14:paraId="335DF397" w14:textId="77777777">
      <w:pPr>
        <w:autoSpaceDE w:val="0"/>
        <w:autoSpaceDN w:val="0"/>
        <w:adjustRightInd w:val="0"/>
        <w:spacing w:after="0" w:line="360" w:lineRule="auto"/>
        <w:rPr>
          <w:b/>
          <w:bCs/>
        </w:rPr>
      </w:pPr>
      <w:r w:rsidRPr="00AF4CEA">
        <w:rPr>
          <w:rFonts w:cs="Tahoma"/>
          <w:b/>
        </w:rPr>
        <w:t>II.</w:t>
      </w:r>
      <w:r w:rsidRPr="00AF4CEA">
        <w:rPr>
          <w:b/>
          <w:bCs/>
        </w:rPr>
        <w:t xml:space="preserve"> Respuesta del Sujeto Obligado. </w:t>
      </w:r>
    </w:p>
    <w:p w:rsidRPr="00AF4CEA" w:rsidR="00B5631F" w:rsidP="00B32A2A" w:rsidRDefault="00D33E1E" w14:paraId="398B18C0" w14:textId="09916790">
      <w:pPr>
        <w:spacing w:after="0" w:line="360" w:lineRule="auto"/>
      </w:pPr>
      <w:r w:rsidRPr="00AF4CEA">
        <w:lastRenderedPageBreak/>
        <w:t xml:space="preserve">Con fecha </w:t>
      </w:r>
      <w:r w:rsidRPr="00AF4CEA" w:rsidR="002E2F94">
        <w:t>veintidós de febrero de dos mil veintitrés</w:t>
      </w:r>
      <w:r w:rsidRPr="00AF4CEA" w:rsidR="00B5631F">
        <w:t xml:space="preserve">, </w:t>
      </w:r>
      <w:r w:rsidRPr="00AF4CEA">
        <w:t xml:space="preserve">el Sujeto Obligado notificó, a través del Sistema de Acceso a la Información Mexiquense (SAIMEX), la respuesta a la solicitud de acceso a la información pública, </w:t>
      </w:r>
      <w:r w:rsidRPr="00AF4CEA" w:rsidR="00D01D6E">
        <w:t xml:space="preserve">en los siguientes términos: </w:t>
      </w:r>
    </w:p>
    <w:p w:rsidRPr="00AF4CEA" w:rsidR="00B32A2A" w:rsidP="00B32A2A" w:rsidRDefault="00B32A2A" w14:paraId="1F80373A" w14:textId="77777777">
      <w:pPr>
        <w:spacing w:after="0" w:line="360" w:lineRule="auto"/>
      </w:pPr>
    </w:p>
    <w:p w:rsidRPr="00AF4CEA" w:rsidR="00D01D6E" w:rsidP="00B32A2A" w:rsidRDefault="00D01D6E" w14:paraId="6CDE5821" w14:textId="77777777">
      <w:pPr>
        <w:spacing w:after="0" w:line="360" w:lineRule="auto"/>
        <w:ind w:left="567" w:right="567"/>
        <w:rPr>
          <w:i/>
          <w:sz w:val="20"/>
          <w:szCs w:val="20"/>
        </w:rPr>
      </w:pPr>
      <w:r w:rsidRPr="00AF4CEA">
        <w:rPr>
          <w:i/>
          <w:sz w:val="20"/>
          <w:szCs w:val="20"/>
        </w:rPr>
        <w:t>“…</w:t>
      </w:r>
    </w:p>
    <w:p w:rsidRPr="00AF4CEA" w:rsidR="002E2F94" w:rsidP="00B32A2A" w:rsidRDefault="002E2F94" w14:paraId="2F3680E4" w14:textId="77777777">
      <w:pPr>
        <w:spacing w:after="0" w:line="360" w:lineRule="auto"/>
        <w:ind w:left="567" w:right="567"/>
        <w:rPr>
          <w:i/>
          <w:sz w:val="20"/>
          <w:szCs w:val="20"/>
        </w:rPr>
      </w:pPr>
      <w:r w:rsidRPr="00AF4CEA">
        <w:rPr>
          <w:i/>
          <w:sz w:val="20"/>
          <w:szCs w:val="20"/>
        </w:rPr>
        <w:t xml:space="preserve">Respecto a la solicitud que formula, realizada una búsqueda exhaustiva y minuciosa, y de no existir inconveniente se le proporciona el Convenio de Prestaciones de Ley y Colaterales 2022 celebrado entre el Sindicato Único de Trabajadores de los Poderes, Municipios e instituciones Descentralizadas y Gobierno del Estado de México. </w:t>
      </w:r>
    </w:p>
    <w:p w:rsidRPr="00AF4CEA" w:rsidR="00E46064" w:rsidP="00B32A2A" w:rsidRDefault="00E46064" w14:paraId="3B53EB5C" w14:textId="58FB6AF7">
      <w:pPr>
        <w:spacing w:after="0" w:line="360" w:lineRule="auto"/>
        <w:ind w:left="567" w:right="567"/>
        <w:rPr>
          <w:i/>
          <w:sz w:val="20"/>
          <w:szCs w:val="20"/>
        </w:rPr>
      </w:pPr>
      <w:r w:rsidRPr="00AF4CEA">
        <w:rPr>
          <w:i/>
          <w:sz w:val="20"/>
          <w:szCs w:val="20"/>
        </w:rPr>
        <w:t xml:space="preserve">…” (Sic) </w:t>
      </w:r>
    </w:p>
    <w:p w:rsidRPr="00AF4CEA" w:rsidR="00E46064" w:rsidP="00B32A2A" w:rsidRDefault="00E46064" w14:paraId="1D790988" w14:textId="77777777">
      <w:pPr>
        <w:spacing w:after="0" w:line="360" w:lineRule="auto"/>
      </w:pPr>
    </w:p>
    <w:p w:rsidRPr="00AF4CEA" w:rsidR="005E6304" w:rsidP="002E2F94" w:rsidRDefault="008B252E" w14:paraId="43CA5565" w14:textId="5AB8A506">
      <w:pPr>
        <w:tabs>
          <w:tab w:val="left" w:pos="4962"/>
        </w:tabs>
        <w:spacing w:after="0" w:line="360" w:lineRule="auto"/>
      </w:pPr>
      <w:r w:rsidRPr="00AF4CEA">
        <w:t>E</w:t>
      </w:r>
      <w:r w:rsidRPr="00AF4CEA" w:rsidR="00E46064">
        <w:t xml:space="preserve">l Ente Recurrido </w:t>
      </w:r>
      <w:r w:rsidRPr="00AF4CEA" w:rsidR="005E6304">
        <w:t xml:space="preserve">adjuntó la digitalización </w:t>
      </w:r>
      <w:r w:rsidRPr="00AF4CEA" w:rsidR="002E2F94">
        <w:t>del Convenio de Prestaciones de Ley y Colaterales 2022, con Gobierno del Estado de M</w:t>
      </w:r>
      <w:r w:rsidRPr="00AF4CEA">
        <w:t>éxico, con sus respectivos anexos.</w:t>
      </w:r>
    </w:p>
    <w:p w:rsidRPr="00AF4CEA" w:rsidR="002F7FBC" w:rsidP="00B32A2A" w:rsidRDefault="002F7FBC" w14:paraId="7F559AF4" w14:textId="77777777">
      <w:pPr>
        <w:spacing w:after="0" w:line="360" w:lineRule="auto"/>
        <w:ind w:left="567" w:right="567"/>
        <w:rPr>
          <w:i/>
          <w:sz w:val="20"/>
          <w:szCs w:val="20"/>
        </w:rPr>
      </w:pPr>
    </w:p>
    <w:p w:rsidRPr="00AF4CEA" w:rsidR="00D33E1E" w:rsidP="00B32A2A" w:rsidRDefault="00D33E1E" w14:paraId="30970EE5" w14:textId="77777777">
      <w:pPr>
        <w:spacing w:after="0" w:line="360" w:lineRule="auto"/>
        <w:rPr>
          <w:b/>
        </w:rPr>
      </w:pPr>
      <w:r w:rsidRPr="00AF4CEA">
        <w:rPr>
          <w:b/>
        </w:rPr>
        <w:t xml:space="preserve">III. Interposición del Recurso de Revisión. </w:t>
      </w:r>
    </w:p>
    <w:p w:rsidRPr="00AF4CEA" w:rsidR="00D33E1E" w:rsidP="00B32A2A" w:rsidRDefault="00D33E1E" w14:paraId="2E233F75" w14:textId="77777777">
      <w:pPr>
        <w:spacing w:after="0" w:line="360" w:lineRule="auto"/>
        <w:rPr>
          <w:bCs/>
        </w:rPr>
      </w:pPr>
    </w:p>
    <w:p w:rsidRPr="00AF4CEA" w:rsidR="00D33E1E" w:rsidP="00B32A2A" w:rsidRDefault="00D33E1E" w14:paraId="1946444C" w14:textId="0D49495E">
      <w:pPr>
        <w:spacing w:after="0" w:line="360" w:lineRule="auto"/>
        <w:rPr>
          <w:bCs/>
        </w:rPr>
      </w:pPr>
      <w:r w:rsidRPr="00AF4CEA">
        <w:rPr>
          <w:bCs/>
        </w:rPr>
        <w:t xml:space="preserve">Con fecha </w:t>
      </w:r>
      <w:r w:rsidRPr="00AF4CEA" w:rsidR="002E2F94">
        <w:rPr>
          <w:bCs/>
        </w:rPr>
        <w:t>veintidós de febrero de dos mil veintitrés</w:t>
      </w:r>
      <w:r w:rsidRPr="00AF4CEA" w:rsidR="00F72A01">
        <w:rPr>
          <w:bCs/>
        </w:rPr>
        <w:t xml:space="preserve">, </w:t>
      </w:r>
      <w:r w:rsidRPr="00AF4CEA">
        <w:rPr>
          <w:bCs/>
        </w:rPr>
        <w:t xml:space="preserve">se recibió en este Instituto, a través del </w:t>
      </w:r>
      <w:r w:rsidRPr="00AF4CEA">
        <w:rPr>
          <w:bCs/>
          <w:lang w:val="es-ES"/>
        </w:rPr>
        <w:t>Sistema de Acceso a la Información Mexiquense (SAIMEX)</w:t>
      </w:r>
      <w:r w:rsidRPr="00AF4CEA">
        <w:rPr>
          <w:bCs/>
        </w:rPr>
        <w:t>, Recurso de Revisión interpuesto por la parte Recurrente, en contra de la respuesta por el Sujeto Obligado, a la solicitud de información, en los siguientes términos:</w:t>
      </w:r>
    </w:p>
    <w:p w:rsidRPr="00AF4CEA" w:rsidR="00D33E1E" w:rsidP="00B32A2A" w:rsidRDefault="00D33E1E" w14:paraId="37B6D474" w14:textId="77777777">
      <w:pPr>
        <w:spacing w:after="0" w:line="360" w:lineRule="auto"/>
        <w:rPr>
          <w:bCs/>
        </w:rPr>
      </w:pPr>
    </w:p>
    <w:p w:rsidRPr="00AF4CEA" w:rsidR="00D33E1E" w:rsidP="00B32A2A" w:rsidRDefault="00D33E1E" w14:paraId="7C012C7F" w14:textId="77777777">
      <w:pPr>
        <w:spacing w:after="0" w:line="360" w:lineRule="auto"/>
        <w:ind w:left="567" w:right="567"/>
        <w:rPr>
          <w:bCs/>
          <w:i/>
          <w:sz w:val="20"/>
          <w:szCs w:val="20"/>
        </w:rPr>
      </w:pPr>
      <w:r w:rsidRPr="00AF4CEA">
        <w:rPr>
          <w:b/>
          <w:bCs/>
          <w:i/>
          <w:sz w:val="20"/>
          <w:szCs w:val="20"/>
        </w:rPr>
        <w:t>“ACTO IMPUGNADO</w:t>
      </w:r>
    </w:p>
    <w:p w:rsidRPr="00AF4CEA" w:rsidR="00D33E1E" w:rsidP="00B32A2A" w:rsidRDefault="002E2F94" w14:paraId="5414F37B" w14:textId="63C9AA5F">
      <w:pPr>
        <w:spacing w:after="0" w:line="360" w:lineRule="auto"/>
        <w:ind w:left="567" w:right="567"/>
        <w:rPr>
          <w:i/>
          <w:sz w:val="20"/>
          <w:szCs w:val="20"/>
        </w:rPr>
      </w:pPr>
      <w:r w:rsidRPr="00AF4CEA">
        <w:rPr>
          <w:i/>
          <w:sz w:val="20"/>
          <w:szCs w:val="20"/>
        </w:rPr>
        <w:t>Solicitud de Convenio de Sueldo y Prestaciones SUTEYM 2022 con el Gobierno del Estado de México (Sector Central)</w:t>
      </w:r>
      <w:r w:rsidRPr="00AF4CEA" w:rsidR="00D33E1E">
        <w:rPr>
          <w:i/>
          <w:sz w:val="20"/>
          <w:szCs w:val="20"/>
        </w:rPr>
        <w:t>” (Sic.)</w:t>
      </w:r>
    </w:p>
    <w:p w:rsidRPr="00AF4CEA" w:rsidR="00D33E1E" w:rsidP="00B32A2A" w:rsidRDefault="00D33E1E" w14:paraId="42CD8C87" w14:textId="77777777">
      <w:pPr>
        <w:spacing w:after="0" w:line="360" w:lineRule="auto"/>
        <w:ind w:left="567" w:right="567"/>
        <w:rPr>
          <w:i/>
          <w:sz w:val="20"/>
          <w:szCs w:val="20"/>
        </w:rPr>
      </w:pPr>
    </w:p>
    <w:p w:rsidRPr="00AF4CEA" w:rsidR="00D33E1E" w:rsidP="00B32A2A" w:rsidRDefault="00D33E1E" w14:paraId="6294DE86" w14:textId="77777777">
      <w:pPr>
        <w:spacing w:after="0" w:line="360" w:lineRule="auto"/>
        <w:ind w:left="567" w:right="567"/>
        <w:rPr>
          <w:b/>
          <w:i/>
          <w:sz w:val="20"/>
          <w:szCs w:val="20"/>
        </w:rPr>
      </w:pPr>
      <w:r w:rsidRPr="00AF4CEA">
        <w:rPr>
          <w:b/>
          <w:i/>
          <w:sz w:val="20"/>
          <w:szCs w:val="20"/>
        </w:rPr>
        <w:t>“RAZONES O MOTIVOS DE LA INCONFORMIDAD</w:t>
      </w:r>
    </w:p>
    <w:p w:rsidRPr="00AF4CEA" w:rsidR="00D33E1E" w:rsidP="00B32A2A" w:rsidRDefault="002E2F94" w14:paraId="04299F76" w14:textId="3E82B1CE">
      <w:pPr>
        <w:spacing w:after="0" w:line="360" w:lineRule="auto"/>
        <w:ind w:left="567" w:right="567"/>
        <w:rPr>
          <w:i/>
          <w:sz w:val="20"/>
          <w:szCs w:val="20"/>
        </w:rPr>
      </w:pPr>
      <w:r w:rsidRPr="00AF4CEA">
        <w:rPr>
          <w:i/>
          <w:sz w:val="20"/>
          <w:szCs w:val="20"/>
        </w:rPr>
        <w:t>Del documento solicitado se omitieron agregar las hojas 6, 7 y 8 según consta en el archivo proporcionado por el Tribunal de Conciliación y Arbitraje del Estado de México, en formato PDF.</w:t>
      </w:r>
      <w:r w:rsidRPr="00AF4CEA" w:rsidR="00D33E1E">
        <w:rPr>
          <w:i/>
          <w:sz w:val="20"/>
          <w:szCs w:val="20"/>
        </w:rPr>
        <w:t>” (Sic.)</w:t>
      </w:r>
    </w:p>
    <w:p w:rsidRPr="00AF4CEA" w:rsidR="00D33E1E" w:rsidP="00B32A2A" w:rsidRDefault="00D33E1E" w14:paraId="53E2E627" w14:textId="77777777">
      <w:pPr>
        <w:spacing w:after="0" w:line="360" w:lineRule="auto"/>
        <w:rPr>
          <w:b/>
          <w:bCs/>
        </w:rPr>
      </w:pPr>
      <w:r w:rsidRPr="00AF4CEA">
        <w:rPr>
          <w:b/>
        </w:rPr>
        <w:lastRenderedPageBreak/>
        <w:t xml:space="preserve">IV. </w:t>
      </w:r>
      <w:r w:rsidRPr="00AF4CEA">
        <w:rPr>
          <w:b/>
          <w:bCs/>
        </w:rPr>
        <w:t xml:space="preserve">Trámite del </w:t>
      </w:r>
      <w:r w:rsidRPr="00AF4CEA">
        <w:rPr>
          <w:b/>
        </w:rPr>
        <w:t xml:space="preserve">Recurso de Revisión </w:t>
      </w:r>
      <w:r w:rsidRPr="00AF4CEA">
        <w:rPr>
          <w:b/>
          <w:bCs/>
        </w:rPr>
        <w:t>ante este Instituto.</w:t>
      </w:r>
    </w:p>
    <w:p w:rsidRPr="00AF4CEA" w:rsidR="00D33E1E" w:rsidP="00B32A2A" w:rsidRDefault="00D33E1E" w14:paraId="42A4488D" w14:textId="77777777">
      <w:pPr>
        <w:spacing w:after="0" w:line="360" w:lineRule="auto"/>
        <w:rPr>
          <w:b/>
          <w:bCs/>
        </w:rPr>
      </w:pPr>
    </w:p>
    <w:p w:rsidRPr="00AF4CEA" w:rsidR="00D33E1E" w:rsidP="00B32A2A" w:rsidRDefault="00D33E1E" w14:paraId="33800FA8" w14:textId="113F4207">
      <w:pPr>
        <w:spacing w:after="0" w:line="360" w:lineRule="auto"/>
        <w:rPr>
          <w:b/>
          <w:bCs/>
        </w:rPr>
      </w:pPr>
      <w:r w:rsidRPr="00AF4CEA">
        <w:rPr>
          <w:b/>
          <w:bCs/>
        </w:rPr>
        <w:t xml:space="preserve">a) Turno del Medio de Impugnación. </w:t>
      </w:r>
      <w:r w:rsidRPr="00AF4CEA">
        <w:rPr>
          <w:bCs/>
        </w:rPr>
        <w:t xml:space="preserve">El </w:t>
      </w:r>
      <w:r w:rsidRPr="00AF4CEA" w:rsidR="002E2F94">
        <w:rPr>
          <w:bCs/>
        </w:rPr>
        <w:t>veintidós de febrero de dos mil veintitrés</w:t>
      </w:r>
      <w:r w:rsidRPr="00AF4CEA">
        <w:rPr>
          <w:bCs/>
        </w:rPr>
        <w:t xml:space="preserve">, el </w:t>
      </w:r>
      <w:r w:rsidRPr="00AF4CEA">
        <w:rPr>
          <w:lang w:val="es-ES"/>
        </w:rPr>
        <w:t>Sistema de Acceso a la Información Mexiquense (SAIMEX),</w:t>
      </w:r>
      <w:r w:rsidRPr="00AF4CEA">
        <w:rPr>
          <w:bCs/>
        </w:rPr>
        <w:t xml:space="preserve"> asignó el número de expediente </w:t>
      </w:r>
      <w:r w:rsidRPr="00AF4CEA" w:rsidR="002E2F94">
        <w:rPr>
          <w:b/>
          <w:bCs/>
        </w:rPr>
        <w:t>01051/INFOEM/IP/RR/2023</w:t>
      </w:r>
      <w:r w:rsidRPr="00AF4CEA">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F4CEA" w:rsidR="00D33E1E" w:rsidP="00B32A2A" w:rsidRDefault="00D33E1E" w14:paraId="52E56FFB" w14:textId="77777777">
      <w:pPr>
        <w:spacing w:after="0" w:line="360" w:lineRule="auto"/>
        <w:rPr>
          <w:bCs/>
        </w:rPr>
      </w:pPr>
    </w:p>
    <w:p w:rsidRPr="00AF4CEA" w:rsidR="00D33E1E" w:rsidP="00B32A2A" w:rsidRDefault="00D33E1E" w14:paraId="4705C2C1" w14:textId="70ECB2CE">
      <w:pPr>
        <w:spacing w:after="0" w:line="360" w:lineRule="auto"/>
      </w:pPr>
      <w:r w:rsidRPr="00AF4CEA">
        <w:rPr>
          <w:b/>
          <w:bCs/>
        </w:rPr>
        <w:t>b) Admisión del Recurso de Revisión</w:t>
      </w:r>
      <w:r w:rsidRPr="00AF4CEA">
        <w:rPr>
          <w:b/>
          <w:bCs/>
          <w:lang w:val="es-ES_tradnl"/>
        </w:rPr>
        <w:t xml:space="preserve">. </w:t>
      </w:r>
      <w:r w:rsidRPr="00AF4CEA">
        <w:rPr>
          <w:bCs/>
          <w:lang w:val="es-ES_tradnl"/>
        </w:rPr>
        <w:t xml:space="preserve">El </w:t>
      </w:r>
      <w:r w:rsidRPr="00AF4CEA" w:rsidR="008B252E">
        <w:rPr>
          <w:bCs/>
          <w:lang w:val="es-ES_tradnl"/>
        </w:rPr>
        <w:t>veintisiete de febrero de dos mil veintitrés</w:t>
      </w:r>
      <w:r w:rsidRPr="00AF4CEA">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AF4CEA" w:rsidR="00D33E1E" w:rsidP="00B32A2A" w:rsidRDefault="00D33E1E" w14:paraId="430D4665" w14:textId="77777777">
      <w:pPr>
        <w:spacing w:after="0" w:line="360" w:lineRule="auto"/>
      </w:pPr>
    </w:p>
    <w:p w:rsidRPr="00AF4CEA" w:rsidR="00D33E1E" w:rsidP="00B32A2A" w:rsidRDefault="00D33E1E" w14:paraId="4F692DAA" w14:textId="63783961">
      <w:pPr>
        <w:spacing w:after="0" w:line="360" w:lineRule="auto"/>
        <w:rPr>
          <w:bCs/>
          <w:lang w:val="es-ES_tradnl"/>
        </w:rPr>
      </w:pPr>
      <w:r w:rsidRPr="00AF4CEA">
        <w:rPr>
          <w:b/>
        </w:rPr>
        <w:t xml:space="preserve">c) Informe Justificado. </w:t>
      </w:r>
      <w:r w:rsidRPr="00AF4CEA">
        <w:rPr>
          <w:bCs/>
        </w:rPr>
        <w:t xml:space="preserve">El </w:t>
      </w:r>
      <w:r w:rsidRPr="00AF4CEA" w:rsidR="008B252E">
        <w:rPr>
          <w:bCs/>
        </w:rPr>
        <w:t>veintiocho de febrero de dos mil veintitrés</w:t>
      </w:r>
      <w:r w:rsidRPr="00AF4CEA">
        <w:rPr>
          <w:bCs/>
        </w:rPr>
        <w:t xml:space="preserve">, el Sujeto Obligado rindió su Informe Justificado, </w:t>
      </w:r>
      <w:r w:rsidRPr="00AF4CEA">
        <w:rPr>
          <w:bCs/>
          <w:lang w:val="es-ES_tradnl"/>
        </w:rPr>
        <w:t xml:space="preserve">a través del Sistema de Acceso a la Información Mexiquense (SAIMEX), </w:t>
      </w:r>
      <w:r w:rsidRPr="00AF4CEA" w:rsidR="008B252E">
        <w:rPr>
          <w:bCs/>
          <w:lang w:val="es-ES_tradnl"/>
        </w:rPr>
        <w:t>por medio del Convenio de Sueldos y Prestaciones SUTEYM 2022, celebrado por el Poder Ejecutivo del Gobierno del Estado de México y el Sindicato Único de Trabajadores de los Poderes, Municipios e Instituciones Descentralizadas del Estado de México, con sus respectivos anexos.</w:t>
      </w:r>
    </w:p>
    <w:p w:rsidRPr="00AF4CEA" w:rsidR="00166C0C" w:rsidP="00B32A2A" w:rsidRDefault="00166C0C" w14:paraId="01D2A448" w14:textId="77777777">
      <w:pPr>
        <w:spacing w:after="0" w:line="360" w:lineRule="auto"/>
        <w:rPr>
          <w:bCs/>
          <w:lang w:val="es-ES_tradnl"/>
        </w:rPr>
      </w:pPr>
    </w:p>
    <w:p w:rsidRPr="00AF4CEA" w:rsidR="00EC375F" w:rsidP="00B32A2A" w:rsidRDefault="008B252E" w14:paraId="44915259" w14:textId="7E6D5A0E">
      <w:pPr>
        <w:spacing w:after="0" w:line="360" w:lineRule="auto"/>
        <w:rPr>
          <w:rFonts w:cs="Tahoma"/>
        </w:rPr>
      </w:pPr>
      <w:r w:rsidRPr="00AF4CEA">
        <w:rPr>
          <w:rFonts w:cs="Tahoma"/>
          <w:b/>
          <w:bCs/>
        </w:rPr>
        <w:t>d</w:t>
      </w:r>
      <w:r w:rsidRPr="00AF4CEA" w:rsidR="00EC375F">
        <w:rPr>
          <w:rFonts w:cs="Tahoma"/>
          <w:b/>
          <w:bCs/>
        </w:rPr>
        <w:t xml:space="preserve">) Vista del Informe Justificado: </w:t>
      </w:r>
      <w:r w:rsidRPr="00AF4CEA" w:rsidR="00EC375F">
        <w:rPr>
          <w:rFonts w:cs="Tahoma"/>
        </w:rPr>
        <w:t xml:space="preserve">El </w:t>
      </w:r>
      <w:r w:rsidRPr="00AF4CEA">
        <w:rPr>
          <w:rFonts w:cs="Tahoma"/>
        </w:rPr>
        <w:t>quince marzo</w:t>
      </w:r>
      <w:r w:rsidRPr="00AF4CEA" w:rsidR="00166C0C">
        <w:rPr>
          <w:rFonts w:cs="Tahoma"/>
        </w:rPr>
        <w:t xml:space="preserve"> de dos mil veintitrés</w:t>
      </w:r>
      <w:r w:rsidRPr="00AF4CEA" w:rsidR="00EC375F">
        <w:rPr>
          <w:rFonts w:cs="Tahoma"/>
        </w:rPr>
        <w:t xml:space="preserve">, se dictó acuerdo, por medio del cual </w:t>
      </w:r>
      <w:r w:rsidRPr="00AF4CEA" w:rsidR="00EC375F">
        <w:rPr>
          <w:rFonts w:cs="Tahoma"/>
          <w:b/>
        </w:rPr>
        <w:t>se puso a la vista del Recurrente el Informe Justificado y sus anexos</w:t>
      </w:r>
      <w:r w:rsidRPr="00AF4CEA" w:rsidR="00EC375F">
        <w:rPr>
          <w:rFonts w:cs="Tahoma"/>
        </w:rPr>
        <w:t xml:space="preserve">, entregados por el Sujeto Obligado, a fin de que en un término no mayor a tres días hábiles </w:t>
      </w:r>
      <w:r w:rsidRPr="00AF4CEA" w:rsidR="00EC375F">
        <w:rPr>
          <w:rFonts w:cs="Tahoma"/>
        </w:rPr>
        <w:lastRenderedPageBreak/>
        <w:t>manifestará lo que a derecho corresponda, acto que fue notificado</w:t>
      </w:r>
      <w:r w:rsidRPr="00AF4CEA" w:rsidR="00EC375F">
        <w:rPr>
          <w:rFonts w:eastAsia="Palatino Linotype" w:cs="Palatino Linotype"/>
          <w:lang w:val="es-ES"/>
        </w:rPr>
        <w:t xml:space="preserve"> mediante el Sistema de Acceso a la Información Mexiquense (SAIMEX).</w:t>
      </w:r>
    </w:p>
    <w:p w:rsidRPr="00AF4CEA" w:rsidR="00EC375F" w:rsidP="00B32A2A" w:rsidRDefault="00EC375F" w14:paraId="1610FF32" w14:textId="77777777">
      <w:pPr>
        <w:spacing w:after="0" w:line="360" w:lineRule="auto"/>
        <w:rPr>
          <w:bCs/>
          <w:lang w:val="es-ES_tradnl"/>
        </w:rPr>
      </w:pPr>
    </w:p>
    <w:p w:rsidRPr="00AF4CEA" w:rsidR="00D33E1E" w:rsidP="00B32A2A" w:rsidRDefault="008B252E" w14:paraId="37E4918A" w14:textId="3ACCCABC">
      <w:pPr>
        <w:spacing w:after="0" w:line="360" w:lineRule="auto"/>
        <w:rPr>
          <w:rFonts w:eastAsia="Palatino Linotype" w:cs="Palatino Linotype"/>
          <w:b/>
          <w:bCs/>
        </w:rPr>
      </w:pPr>
      <w:r w:rsidRPr="00AF4CEA">
        <w:rPr>
          <w:rFonts w:eastAsia="Palatino Linotype" w:cs="Palatino Linotype"/>
          <w:b/>
          <w:bCs/>
          <w:lang w:val="es-ES"/>
        </w:rPr>
        <w:t>e</w:t>
      </w:r>
      <w:r w:rsidRPr="00AF4CEA" w:rsidR="00D33E1E">
        <w:rPr>
          <w:rFonts w:eastAsia="Times New Roman" w:cs="Tahoma"/>
          <w:b/>
          <w:color w:val="auto"/>
          <w:szCs w:val="24"/>
          <w:lang w:eastAsia="es-ES"/>
        </w:rPr>
        <w:t>) Cierre de instrucción.</w:t>
      </w:r>
      <w:r w:rsidRPr="00AF4CEA" w:rsidR="00D33E1E">
        <w:rPr>
          <w:rFonts w:eastAsia="Times New Roman" w:cs="Tahoma"/>
          <w:color w:val="auto"/>
          <w:szCs w:val="24"/>
          <w:lang w:eastAsia="es-ES"/>
        </w:rPr>
        <w:t xml:space="preserve"> El </w:t>
      </w:r>
      <w:r w:rsidRPr="00AF4CEA">
        <w:rPr>
          <w:rFonts w:eastAsia="Times New Roman" w:cs="Tahoma"/>
          <w:color w:val="auto"/>
          <w:szCs w:val="24"/>
          <w:lang w:eastAsia="es-ES"/>
        </w:rPr>
        <w:t>veintidós de marzo</w:t>
      </w:r>
      <w:r w:rsidRPr="00AF4CEA" w:rsidR="00D33E1E">
        <w:rPr>
          <w:rFonts w:eastAsia="Times New Roman" w:cs="Tahoma"/>
          <w:color w:val="auto"/>
          <w:szCs w:val="24"/>
          <w:lang w:eastAsia="es-ES"/>
        </w:rPr>
        <w:t xml:space="preserve">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F4CEA" w:rsidR="00D33E1E">
        <w:rPr>
          <w:rFonts w:eastAsia="Palatino Linotype" w:cs="Palatino Linotype"/>
          <w:lang w:val="es-ES"/>
        </w:rPr>
        <w:t>acto que fue notificado a las partes, mediante el Sistema de Acceso a la Información Mexiquense (SAIMEX), el mismo día.</w:t>
      </w:r>
    </w:p>
    <w:p w:rsidRPr="00AF4CEA" w:rsidR="00D33E1E" w:rsidP="00B32A2A" w:rsidRDefault="00D33E1E" w14:paraId="56B032A6" w14:textId="77777777">
      <w:pPr>
        <w:spacing w:after="0" w:line="360" w:lineRule="auto"/>
        <w:rPr>
          <w:rFonts w:eastAsia="Times New Roman" w:cs="Tahoma"/>
          <w:color w:val="auto"/>
          <w:szCs w:val="24"/>
          <w:lang w:eastAsia="es-ES"/>
        </w:rPr>
      </w:pPr>
    </w:p>
    <w:p w:rsidRPr="00AF4CEA" w:rsidR="00D33E1E" w:rsidP="00B32A2A" w:rsidRDefault="00D33E1E" w14:paraId="4093EA23" w14:textId="77777777">
      <w:pPr>
        <w:spacing w:after="0" w:line="360" w:lineRule="auto"/>
        <w:rPr>
          <w:rFonts w:eastAsia="Times New Roman" w:cs="Tahoma"/>
          <w:color w:val="auto"/>
          <w:szCs w:val="24"/>
          <w:lang w:eastAsia="es-ES"/>
        </w:rPr>
      </w:pPr>
      <w:r w:rsidRPr="00AF4CE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AF4CEA" w:rsidR="00D33E1E" w:rsidP="00B32A2A" w:rsidRDefault="00D33E1E" w14:paraId="058A26C5" w14:textId="77777777">
      <w:pPr>
        <w:spacing w:after="0" w:line="360" w:lineRule="auto"/>
        <w:rPr>
          <w:rFonts w:eastAsia="Times New Roman" w:cs="Tahoma"/>
          <w:bCs/>
          <w:iCs/>
          <w:color w:val="auto"/>
          <w:lang w:val="es-ES" w:eastAsia="es-ES"/>
        </w:rPr>
      </w:pPr>
    </w:p>
    <w:p w:rsidRPr="00AF4CEA" w:rsidR="00D33E1E" w:rsidP="00B32A2A" w:rsidRDefault="00D33E1E" w14:paraId="1FFE162E" w14:textId="77777777">
      <w:pPr>
        <w:spacing w:after="0" w:line="360" w:lineRule="auto"/>
        <w:jc w:val="center"/>
        <w:rPr>
          <w:rFonts w:eastAsia="Times New Roman" w:cs="Tahoma"/>
          <w:b/>
          <w:color w:val="auto"/>
          <w:lang w:val="es-ES" w:eastAsia="es-ES"/>
        </w:rPr>
      </w:pPr>
      <w:r w:rsidRPr="00AF4CEA">
        <w:rPr>
          <w:rFonts w:eastAsia="Times New Roman" w:cs="Tahoma"/>
          <w:b/>
          <w:color w:val="auto"/>
          <w:lang w:val="es-ES" w:eastAsia="es-ES"/>
        </w:rPr>
        <w:t>C O N S I D E R A N D O S:</w:t>
      </w:r>
    </w:p>
    <w:p w:rsidRPr="00AF4CEA" w:rsidR="00D33E1E" w:rsidP="00B32A2A" w:rsidRDefault="00D33E1E" w14:paraId="71A5A88B" w14:textId="77777777">
      <w:pPr>
        <w:spacing w:after="0" w:line="360" w:lineRule="auto"/>
        <w:rPr>
          <w:b/>
        </w:rPr>
      </w:pPr>
    </w:p>
    <w:p w:rsidRPr="00AF4CEA" w:rsidR="00D33E1E" w:rsidP="00B32A2A" w:rsidRDefault="00D33E1E" w14:paraId="7B3FC16C" w14:textId="77777777">
      <w:pPr>
        <w:autoSpaceDE w:val="0"/>
        <w:autoSpaceDN w:val="0"/>
        <w:adjustRightInd w:val="0"/>
        <w:spacing w:after="0" w:line="360" w:lineRule="auto"/>
        <w:rPr>
          <w:rFonts w:eastAsia="Times New Roman" w:cs="Tahoma"/>
          <w:b/>
          <w:color w:val="auto"/>
          <w:szCs w:val="24"/>
          <w:lang w:val="es-ES" w:eastAsia="es-ES"/>
        </w:rPr>
      </w:pPr>
      <w:r w:rsidRPr="00AF4CEA">
        <w:rPr>
          <w:rFonts w:eastAsia="Calibri" w:cs="Tahoma"/>
          <w:b/>
          <w:color w:val="000000"/>
          <w:szCs w:val="24"/>
          <w:lang w:val="es-ES" w:eastAsia="es-MX"/>
        </w:rPr>
        <w:t>PRIMERO</w:t>
      </w:r>
      <w:r w:rsidRPr="00AF4CEA">
        <w:rPr>
          <w:rFonts w:eastAsia="Calibri" w:cs="Tahoma"/>
          <w:color w:val="000000"/>
          <w:szCs w:val="24"/>
          <w:lang w:val="es-ES" w:eastAsia="es-MX"/>
        </w:rPr>
        <w:t xml:space="preserve">. </w:t>
      </w:r>
      <w:r w:rsidRPr="00AF4CEA">
        <w:rPr>
          <w:rFonts w:eastAsia="Times New Roman" w:cs="Tahoma"/>
          <w:b/>
          <w:color w:val="auto"/>
          <w:szCs w:val="24"/>
          <w:lang w:val="es-ES" w:eastAsia="es-ES"/>
        </w:rPr>
        <w:t>Competencia.</w:t>
      </w:r>
    </w:p>
    <w:p w:rsidRPr="00AF4CEA" w:rsidR="00D33E1E" w:rsidP="00B32A2A" w:rsidRDefault="00D33E1E" w14:paraId="57EC3FD9" w14:textId="77777777">
      <w:pPr>
        <w:autoSpaceDE w:val="0"/>
        <w:autoSpaceDN w:val="0"/>
        <w:adjustRightInd w:val="0"/>
        <w:spacing w:after="0" w:line="360" w:lineRule="auto"/>
        <w:rPr>
          <w:rFonts w:eastAsia="Times New Roman" w:cs="Tahoma"/>
          <w:b/>
          <w:color w:val="auto"/>
          <w:szCs w:val="24"/>
          <w:lang w:val="es-ES" w:eastAsia="es-ES"/>
        </w:rPr>
      </w:pPr>
    </w:p>
    <w:p w:rsidRPr="00AF4CEA" w:rsidR="00D33E1E" w:rsidP="00B32A2A" w:rsidRDefault="00D33E1E" w14:paraId="1D5A4C2A" w14:textId="3CA46ACC">
      <w:pPr>
        <w:spacing w:after="0" w:line="360" w:lineRule="auto"/>
        <w:rPr>
          <w:rFonts w:eastAsia="Times New Roman" w:cs="Tahoma"/>
          <w:bCs/>
          <w:color w:val="auto"/>
          <w:lang w:eastAsia="es-ES"/>
        </w:rPr>
      </w:pPr>
      <w:r w:rsidRPr="00AF4CEA">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AF4CEA">
        <w:rPr>
          <w:rFonts w:eastAsia="Times New Roman" w:cs="Tahoma"/>
          <w:bCs/>
          <w:color w:val="auto"/>
          <w:lang w:eastAsia="es-ES"/>
        </w:rPr>
        <w:t>trig</w:t>
      </w:r>
      <w:r w:rsidRPr="00AF4CEA">
        <w:rPr>
          <w:rFonts w:eastAsia="Times New Roman" w:cs="Tahoma"/>
          <w:bCs/>
          <w:color w:val="auto"/>
          <w:lang w:val="x-none" w:eastAsia="es-ES"/>
        </w:rPr>
        <w:t>ésimo</w:t>
      </w:r>
      <w:proofErr w:type="spellEnd"/>
      <w:r w:rsidRPr="00AF4CEA">
        <w:rPr>
          <w:rFonts w:eastAsia="Times New Roman" w:cs="Tahoma"/>
          <w:bCs/>
          <w:color w:val="auto"/>
          <w:lang w:val="x-none" w:eastAsia="es-ES"/>
        </w:rPr>
        <w:t>, trigésimo primero</w:t>
      </w:r>
      <w:r w:rsidRPr="00AF4CEA">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4CEA">
        <w:rPr>
          <w:rFonts w:eastAsia="Times New Roman" w:cs="Times New Roman"/>
          <w:bCs/>
          <w:color w:val="auto"/>
          <w:lang w:eastAsia="es-ES"/>
        </w:rPr>
        <w:t xml:space="preserve"> 7°, </w:t>
      </w:r>
      <w:r w:rsidRPr="00AF4CEA">
        <w:rPr>
          <w:rFonts w:eastAsia="Times New Roman" w:cs="Tahoma"/>
          <w:bCs/>
          <w:color w:val="auto"/>
          <w:lang w:eastAsia="es-ES"/>
        </w:rPr>
        <w:t xml:space="preserve">9°, </w:t>
      </w:r>
      <w:r w:rsidRPr="00AF4CEA">
        <w:rPr>
          <w:rFonts w:eastAsia="Times New Roman" w:cs="Tahoma"/>
          <w:bCs/>
          <w:color w:val="auto"/>
          <w:lang w:eastAsia="es-ES"/>
        </w:rPr>
        <w:lastRenderedPageBreak/>
        <w:t>fracciones I y XXI</w:t>
      </w:r>
      <w:r w:rsidRPr="00AF4CEA" w:rsidR="002D4331">
        <w:rPr>
          <w:rFonts w:eastAsia="Times New Roman" w:cs="Tahoma"/>
          <w:bCs/>
          <w:color w:val="auto"/>
          <w:lang w:eastAsia="es-ES"/>
        </w:rPr>
        <w:t>II</w:t>
      </w:r>
      <w:r w:rsidRPr="00AF4CEA">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AF4CEA" w:rsidR="00D33E1E" w:rsidP="00B32A2A" w:rsidRDefault="00D33E1E" w14:paraId="2C28A30D" w14:textId="77777777">
      <w:pPr>
        <w:spacing w:after="0" w:line="360" w:lineRule="auto"/>
        <w:rPr>
          <w:rFonts w:eastAsia="Times New Roman" w:cs="Tahoma"/>
          <w:bCs/>
          <w:color w:val="auto"/>
          <w:lang w:eastAsia="es-ES"/>
        </w:rPr>
      </w:pPr>
    </w:p>
    <w:p w:rsidRPr="00AF4CEA" w:rsidR="00D33E1E" w:rsidP="00B32A2A" w:rsidRDefault="00D33E1E" w14:paraId="2E04019D" w14:textId="77777777">
      <w:pPr>
        <w:spacing w:after="0" w:line="360" w:lineRule="auto"/>
        <w:rPr>
          <w:rFonts w:eastAsia="Times New Roman" w:cs="Tahoma"/>
          <w:bCs/>
          <w:color w:val="auto"/>
          <w:lang w:val="es-ES" w:eastAsia="es-ES"/>
        </w:rPr>
      </w:pPr>
      <w:r w:rsidRPr="00AF4CEA">
        <w:rPr>
          <w:rFonts w:eastAsia="Times New Roman" w:cs="Tahoma"/>
          <w:b/>
          <w:bCs/>
          <w:color w:val="auto"/>
          <w:lang w:val="es-ES" w:eastAsia="es-ES"/>
        </w:rPr>
        <w:t>SEGUNDO</w:t>
      </w:r>
      <w:r w:rsidRPr="00AF4CEA">
        <w:rPr>
          <w:rFonts w:eastAsia="Times New Roman" w:cs="Tahoma"/>
          <w:bCs/>
          <w:color w:val="auto"/>
          <w:lang w:val="es-ES" w:eastAsia="es-ES"/>
        </w:rPr>
        <w:t xml:space="preserve">. </w:t>
      </w:r>
      <w:r w:rsidRPr="00AF4CEA">
        <w:rPr>
          <w:rFonts w:eastAsia="Times New Roman" w:cs="Tahoma"/>
          <w:b/>
          <w:bCs/>
          <w:color w:val="auto"/>
          <w:lang w:val="es-ES" w:eastAsia="es-ES"/>
        </w:rPr>
        <w:t>Causales de improcedencia.</w:t>
      </w:r>
      <w:r w:rsidRPr="00AF4CEA">
        <w:rPr>
          <w:rFonts w:eastAsia="Times New Roman" w:cs="Tahoma"/>
          <w:bCs/>
          <w:color w:val="auto"/>
          <w:lang w:val="es-ES" w:eastAsia="es-ES"/>
        </w:rPr>
        <w:t xml:space="preserve"> </w:t>
      </w:r>
    </w:p>
    <w:p w:rsidRPr="00AF4CEA" w:rsidR="00D33E1E" w:rsidP="00B32A2A" w:rsidRDefault="00D33E1E" w14:paraId="6ABEC058" w14:textId="77777777">
      <w:pPr>
        <w:spacing w:after="0" w:line="360" w:lineRule="auto"/>
        <w:rPr>
          <w:rFonts w:eastAsia="Times New Roman" w:cs="Tahoma"/>
          <w:bCs/>
          <w:color w:val="auto"/>
          <w:lang w:val="es-ES" w:eastAsia="es-ES"/>
        </w:rPr>
      </w:pPr>
    </w:p>
    <w:p w:rsidRPr="00AF4CEA" w:rsidR="00D33E1E" w:rsidP="00B32A2A" w:rsidRDefault="00D33E1E" w14:paraId="32E5E7C8" w14:textId="77777777">
      <w:pPr>
        <w:spacing w:after="0" w:line="360" w:lineRule="auto"/>
        <w:rPr>
          <w:rFonts w:eastAsia="Times New Roman" w:cs="Tahoma"/>
          <w:bCs/>
          <w:color w:val="auto"/>
          <w:lang w:val="es-ES" w:eastAsia="es-ES"/>
        </w:rPr>
      </w:pPr>
      <w:r w:rsidRPr="00AF4CEA">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AF4CEA">
        <w:rPr>
          <w:rFonts w:eastAsia="Times New Roman" w:cs="Tahoma"/>
          <w:b/>
          <w:bCs/>
          <w:color w:val="auto"/>
          <w:lang w:eastAsia="es-ES"/>
        </w:rPr>
        <w:t xml:space="preserve"> </w:t>
      </w:r>
      <w:r w:rsidRPr="00AF4CEA">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AF4CEA" w:rsidR="00D33E1E" w:rsidP="00B32A2A" w:rsidRDefault="00D33E1E" w14:paraId="38F9A824" w14:textId="77777777">
      <w:pPr>
        <w:spacing w:after="0" w:line="360" w:lineRule="auto"/>
        <w:rPr>
          <w:rFonts w:eastAsia="Times New Roman" w:cs="Tahoma"/>
          <w:bCs/>
          <w:color w:val="auto"/>
          <w:lang w:eastAsia="es-ES"/>
        </w:rPr>
      </w:pPr>
    </w:p>
    <w:p w:rsidRPr="00AF4CEA" w:rsidR="00D33E1E" w:rsidP="00B32A2A" w:rsidRDefault="00D33E1E" w14:paraId="5CB447AA" w14:textId="77777777">
      <w:pPr>
        <w:spacing w:after="0" w:line="360" w:lineRule="auto"/>
        <w:rPr>
          <w:rFonts w:eastAsia="Times New Roman" w:cs="Tahoma"/>
          <w:bCs/>
          <w:color w:val="auto"/>
          <w:lang w:eastAsia="es-ES"/>
        </w:rPr>
      </w:pPr>
      <w:r w:rsidRPr="00AF4CEA">
        <w:rPr>
          <w:rFonts w:eastAsia="Times New Roman" w:cs="Tahoma"/>
          <w:bCs/>
          <w:color w:val="auto"/>
          <w:lang w:eastAsia="es-ES"/>
        </w:rPr>
        <w:t xml:space="preserve">En el presente caso, </w:t>
      </w:r>
      <w:r w:rsidRPr="00AF4CEA">
        <w:rPr>
          <w:rFonts w:eastAsia="Times New Roman" w:cs="Tahoma"/>
          <w:b/>
          <w:bCs/>
          <w:color w:val="auto"/>
          <w:lang w:eastAsia="es-ES"/>
        </w:rPr>
        <w:t>no se actualiza ninguna de las causales de improcedencia</w:t>
      </w:r>
      <w:r w:rsidRPr="00AF4CEA">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AF4CEA" w:rsidR="00D33E1E" w:rsidP="00B32A2A" w:rsidRDefault="00D33E1E" w14:paraId="0B2E35C1" w14:textId="77777777">
      <w:pPr>
        <w:spacing w:after="0" w:line="360" w:lineRule="auto"/>
        <w:rPr>
          <w:rFonts w:eastAsia="Times New Roman" w:cs="Tahoma"/>
          <w:b/>
          <w:bCs/>
          <w:color w:val="auto"/>
          <w:lang w:eastAsia="es-ES"/>
        </w:rPr>
      </w:pPr>
    </w:p>
    <w:p w:rsidRPr="00AF4CEA" w:rsidR="00D33E1E" w:rsidP="00B32A2A" w:rsidRDefault="00D33E1E" w14:paraId="06D0DD4C" w14:textId="77777777">
      <w:pPr>
        <w:spacing w:after="0" w:line="360" w:lineRule="auto"/>
        <w:rPr>
          <w:rFonts w:eastAsia="Times New Roman" w:cs="Tahoma"/>
          <w:bCs/>
          <w:color w:val="auto"/>
          <w:lang w:eastAsia="es-ES"/>
        </w:rPr>
      </w:pPr>
      <w:r w:rsidRPr="00AF4CEA">
        <w:rPr>
          <w:rFonts w:eastAsia="Times New Roman" w:cs="Tahoma"/>
          <w:bCs/>
          <w:color w:val="auto"/>
          <w:lang w:eastAsia="es-ES"/>
        </w:rPr>
        <w:t>Asimismo, se actualiza la causal de procedencia del Recurso de Revisión señalada en el artículo 179, fracción V, de la Ley de Transparencia y Acceso a la Información Pública del Estado de México y Municipios, puesto que el agravio del Recurrente consiste en la entrega de información incompleta.</w:t>
      </w:r>
    </w:p>
    <w:p w:rsidRPr="00AF4CEA" w:rsidR="00D33E1E" w:rsidP="00B32A2A" w:rsidRDefault="00D33E1E" w14:paraId="15C65838" w14:textId="77777777">
      <w:pPr>
        <w:spacing w:after="0" w:line="360" w:lineRule="auto"/>
        <w:rPr>
          <w:rFonts w:eastAsia="Calibri" w:cs="Tahoma"/>
          <w:b/>
          <w:color w:val="000000"/>
          <w:szCs w:val="24"/>
          <w:lang w:eastAsia="es-MX"/>
        </w:rPr>
      </w:pPr>
    </w:p>
    <w:p w:rsidRPr="00AF4CEA" w:rsidR="002D4331" w:rsidP="00B32A2A" w:rsidRDefault="002D4331" w14:paraId="0AA1F06D" w14:textId="77777777">
      <w:pPr>
        <w:spacing w:after="0" w:line="360" w:lineRule="auto"/>
        <w:rPr>
          <w:rFonts w:eastAsia="Calibri" w:cs="Tahoma"/>
          <w:b/>
          <w:color w:val="000000"/>
          <w:szCs w:val="24"/>
          <w:lang w:eastAsia="es-MX"/>
        </w:rPr>
      </w:pPr>
    </w:p>
    <w:p w:rsidRPr="00AF4CEA" w:rsidR="002D4331" w:rsidP="00B32A2A" w:rsidRDefault="002D4331" w14:paraId="019130B0" w14:textId="77777777">
      <w:pPr>
        <w:spacing w:after="0" w:line="360" w:lineRule="auto"/>
        <w:rPr>
          <w:rFonts w:eastAsia="Calibri" w:cs="Tahoma"/>
          <w:b/>
          <w:color w:val="000000"/>
          <w:szCs w:val="24"/>
          <w:lang w:eastAsia="es-MX"/>
        </w:rPr>
      </w:pPr>
    </w:p>
    <w:p w:rsidRPr="00AF4CEA" w:rsidR="002D4331" w:rsidP="00B32A2A" w:rsidRDefault="002D4331" w14:paraId="3A056E0F" w14:textId="77777777">
      <w:pPr>
        <w:spacing w:after="0" w:line="360" w:lineRule="auto"/>
        <w:rPr>
          <w:rFonts w:eastAsia="Calibri" w:cs="Tahoma"/>
          <w:b/>
          <w:color w:val="000000"/>
          <w:szCs w:val="24"/>
          <w:lang w:eastAsia="es-MX"/>
        </w:rPr>
      </w:pPr>
    </w:p>
    <w:p w:rsidRPr="00AF4CEA" w:rsidR="00D33E1E" w:rsidP="00B32A2A" w:rsidRDefault="00D33E1E" w14:paraId="75332B3E" w14:textId="77777777">
      <w:pPr>
        <w:spacing w:after="0" w:line="360" w:lineRule="auto"/>
        <w:rPr>
          <w:rFonts w:eastAsia="Times New Roman" w:cs="Tahoma"/>
          <w:b/>
          <w:bCs/>
          <w:color w:val="auto"/>
          <w:lang w:eastAsia="es-ES"/>
        </w:rPr>
      </w:pPr>
      <w:r w:rsidRPr="00AF4CEA">
        <w:rPr>
          <w:rFonts w:eastAsia="Times New Roman" w:cs="Tahoma"/>
          <w:b/>
          <w:bCs/>
          <w:color w:val="auto"/>
          <w:lang w:eastAsia="es-ES"/>
        </w:rPr>
        <w:t>TERCERO. Causales de sobreseimiento.</w:t>
      </w:r>
    </w:p>
    <w:p w:rsidRPr="00AF4CEA" w:rsidR="00D33E1E" w:rsidP="00B32A2A" w:rsidRDefault="00D33E1E" w14:paraId="470ECDA1" w14:textId="77777777">
      <w:pPr>
        <w:spacing w:after="0" w:line="360" w:lineRule="auto"/>
        <w:rPr>
          <w:rFonts w:eastAsia="Times New Roman" w:cs="Tahoma"/>
          <w:bCs/>
          <w:color w:val="auto"/>
          <w:lang w:eastAsia="es-ES"/>
        </w:rPr>
      </w:pPr>
    </w:p>
    <w:p w:rsidRPr="00AF4CEA" w:rsidR="00E94B00" w:rsidP="00B32A2A" w:rsidRDefault="00D33E1E" w14:paraId="00527615" w14:textId="77777777">
      <w:pPr>
        <w:spacing w:after="0" w:line="360" w:lineRule="auto"/>
        <w:rPr>
          <w:rFonts w:eastAsia="Times New Roman" w:cs="Tahoma"/>
          <w:bCs/>
          <w:color w:val="auto"/>
          <w:lang w:eastAsia="es-ES"/>
        </w:rPr>
      </w:pPr>
      <w:r w:rsidRPr="00AF4CEA">
        <w:rPr>
          <w:rFonts w:eastAsia="Times New Roman" w:cs="Tahoma"/>
          <w:bCs/>
          <w:color w:val="auto"/>
          <w:lang w:eastAsia="es-ES"/>
        </w:rPr>
        <w:t xml:space="preserve">Por ser de previo y especial pronunciamiento, este Instituto analiza si se actualiza alguna causal de sobreseimiento. </w:t>
      </w:r>
    </w:p>
    <w:p w:rsidRPr="00AF4CEA" w:rsidR="00E94B00" w:rsidP="00B32A2A" w:rsidRDefault="00E94B00" w14:paraId="76163648" w14:textId="77777777">
      <w:pPr>
        <w:spacing w:after="0" w:line="360" w:lineRule="auto"/>
        <w:rPr>
          <w:rFonts w:eastAsia="Times New Roman" w:cs="Tahoma"/>
          <w:bCs/>
          <w:color w:val="auto"/>
          <w:lang w:eastAsia="es-ES"/>
        </w:rPr>
      </w:pPr>
    </w:p>
    <w:p w:rsidRPr="00AF4CEA" w:rsidR="00D33E1E" w:rsidP="00B32A2A" w:rsidRDefault="00D33E1E" w14:paraId="1DF366BE" w14:textId="7688B860">
      <w:pPr>
        <w:spacing w:after="0" w:line="360" w:lineRule="auto"/>
        <w:rPr>
          <w:rFonts w:eastAsia="Times New Roman" w:cs="Tahoma"/>
          <w:bCs/>
          <w:color w:val="auto"/>
          <w:lang w:eastAsia="es-ES"/>
        </w:rPr>
      </w:pPr>
      <w:r w:rsidRPr="00AF4CEA">
        <w:rPr>
          <w:rFonts w:eastAsia="Times New Roman" w:cs="Tahoma"/>
          <w:bCs/>
          <w:color w:val="auto"/>
          <w:lang w:eastAsia="es-ES"/>
        </w:rPr>
        <w:t xml:space="preserve">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AF4CEA">
        <w:rPr>
          <w:rFonts w:eastAsia="Times New Roman" w:cs="Tahoma"/>
          <w:b/>
          <w:bCs/>
          <w:color w:val="auto"/>
          <w:lang w:eastAsia="es-ES"/>
        </w:rPr>
        <w:t>que no se actualizan los supuestos de sobreseimiento previstos en las fracciones I, II, IV y V</w:t>
      </w:r>
      <w:r w:rsidRPr="00AF4CEA">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AF4CEA" w:rsidR="00D33E1E" w:rsidP="00B32A2A" w:rsidRDefault="00D33E1E" w14:paraId="1DB944EB" w14:textId="77777777">
      <w:pPr>
        <w:spacing w:after="0" w:line="360" w:lineRule="auto"/>
        <w:rPr>
          <w:rFonts w:eastAsia="Times New Roman" w:cs="Tahoma"/>
          <w:bCs/>
          <w:color w:val="auto"/>
          <w:lang w:eastAsia="es-ES"/>
        </w:rPr>
      </w:pPr>
    </w:p>
    <w:p w:rsidRPr="00AF4CEA" w:rsidR="00D33E1E" w:rsidP="00B32A2A" w:rsidRDefault="00D33E1E" w14:paraId="6795A032" w14:textId="2362727F">
      <w:pPr>
        <w:spacing w:after="0" w:line="360" w:lineRule="auto"/>
        <w:rPr>
          <w:rFonts w:cs="Tahoma"/>
          <w:szCs w:val="24"/>
          <w:lang w:val="es-ES"/>
        </w:rPr>
      </w:pPr>
      <w:r w:rsidRPr="00AF4CEA">
        <w:rPr>
          <w:rFonts w:cs="Tahoma"/>
          <w:szCs w:val="24"/>
          <w:lang w:val="es-ES"/>
        </w:rPr>
        <w:t xml:space="preserve">No obstante, toda vez que durante la sustanciación del Recurso de Revisión </w:t>
      </w:r>
      <w:r w:rsidRPr="00AF4CEA" w:rsidR="002E2F94">
        <w:rPr>
          <w:rFonts w:cs="Tahoma"/>
          <w:szCs w:val="24"/>
        </w:rPr>
        <w:t>01051/INFOEM/IP/RR/2023</w:t>
      </w:r>
      <w:r w:rsidRPr="00AF4CEA" w:rsidR="009C5ED7">
        <w:rPr>
          <w:rFonts w:cs="Tahoma"/>
          <w:szCs w:val="24"/>
          <w:lang w:val="es-ES"/>
        </w:rPr>
        <w:t xml:space="preserve">, </w:t>
      </w:r>
      <w:r w:rsidRPr="00AF4CEA" w:rsidR="00166C0C">
        <w:rPr>
          <w:rFonts w:cs="Tahoma"/>
          <w:szCs w:val="24"/>
          <w:lang w:val="es-ES"/>
        </w:rPr>
        <w:t xml:space="preserve">el </w:t>
      </w:r>
      <w:r w:rsidRPr="00AF4CEA" w:rsidR="002E2F94">
        <w:rPr>
          <w:rFonts w:cs="Tahoma"/>
          <w:szCs w:val="24"/>
          <w:lang w:val="es-ES"/>
        </w:rPr>
        <w:t>Tribunal Estatal de Conciliación y Arbitraje</w:t>
      </w:r>
      <w:r w:rsidRPr="00AF4CEA">
        <w:rPr>
          <w:rFonts w:eastAsia="Calibri" w:cs="Tahoma"/>
        </w:rPr>
        <w:t xml:space="preserve">, </w:t>
      </w:r>
      <w:r w:rsidRPr="00AF4CEA">
        <w:rPr>
          <w:rFonts w:cs="Tahoma"/>
          <w:szCs w:val="24"/>
          <w:lang w:val="es-ES"/>
        </w:rPr>
        <w:t>modificó su respuesta, a través de su Informe Justificado, se estima procedente entrar al estudio de la causal de sobreseimiento prevista en la fracción III, del artículo 192 de la Ley de la Materia.</w:t>
      </w:r>
    </w:p>
    <w:p w:rsidRPr="00AF4CEA" w:rsidR="009C5ED7" w:rsidP="00B32A2A" w:rsidRDefault="009C5ED7" w14:paraId="226EEC49" w14:textId="77777777">
      <w:pPr>
        <w:spacing w:after="0" w:line="360" w:lineRule="auto"/>
        <w:rPr>
          <w:rFonts w:eastAsia="Times New Roman" w:cs="Tahoma"/>
          <w:iCs/>
          <w:color w:val="auto"/>
          <w:lang w:val="es-ES" w:eastAsia="es-ES"/>
        </w:rPr>
      </w:pPr>
    </w:p>
    <w:p w:rsidRPr="00AF4CEA" w:rsidR="008B252E" w:rsidP="008B252E" w:rsidRDefault="00B32A2A" w14:paraId="2106612F" w14:textId="79AB165E">
      <w:pPr>
        <w:spacing w:after="0" w:line="360" w:lineRule="auto"/>
        <w:rPr>
          <w:rFonts w:eastAsia="Times New Roman" w:cs="Tahoma"/>
          <w:color w:val="auto"/>
          <w:szCs w:val="24"/>
          <w:lang w:val="es-ES" w:eastAsia="es-ES"/>
        </w:rPr>
      </w:pPr>
      <w:r w:rsidRPr="00AF4CEA">
        <w:rPr>
          <w:rFonts w:eastAsia="Times New Roman" w:cs="Tahoma"/>
          <w:color w:val="auto"/>
          <w:szCs w:val="24"/>
          <w:lang w:val="es-ES" w:eastAsia="es-ES"/>
        </w:rPr>
        <w:t xml:space="preserve">Al respecto, a efecto de verificar si se actualiza la causal de sobreseimiento, en principio resulta </w:t>
      </w:r>
      <w:r w:rsidRPr="00AF4CEA" w:rsidR="008B252E">
        <w:rPr>
          <w:rFonts w:eastAsia="Times New Roman" w:cs="Tahoma"/>
          <w:color w:val="auto"/>
          <w:szCs w:val="24"/>
          <w:lang w:val="es-ES" w:eastAsia="es-ES"/>
        </w:rPr>
        <w:t xml:space="preserve">necesario precisar que el ahora Recurrente pidió el Convenio de Sueldos y Prestaciones del Gobierno del Estado de México firmado con el </w:t>
      </w:r>
      <w:r w:rsidRPr="00AF4CEA" w:rsidR="008B252E">
        <w:rPr>
          <w:rFonts w:eastAsia="Calibri" w:cs="Tahoma"/>
          <w:color w:val="000000"/>
          <w:szCs w:val="24"/>
          <w:lang w:eastAsia="es-MX"/>
        </w:rPr>
        <w:t>Sindicato Único de Trabajadores de los Poderes, Municipios e Instituciones Descentralizadas del Estado de México</w:t>
      </w:r>
      <w:r w:rsidRPr="00AF4CEA" w:rsidR="008B252E">
        <w:rPr>
          <w:rFonts w:eastAsia="Times New Roman" w:cs="Tahoma"/>
          <w:color w:val="auto"/>
          <w:szCs w:val="24"/>
          <w:lang w:val="es-ES" w:eastAsia="es-ES"/>
        </w:rPr>
        <w:t>, del ejercicio fiscal dos mil veintidós.</w:t>
      </w:r>
    </w:p>
    <w:p w:rsidRPr="00AF4CEA" w:rsidR="008B252E" w:rsidP="008B252E" w:rsidRDefault="008B252E" w14:paraId="63D04E7E" w14:textId="77777777">
      <w:pPr>
        <w:spacing w:after="0" w:line="360" w:lineRule="auto"/>
        <w:rPr>
          <w:rFonts w:eastAsia="Times New Roman" w:cs="Tahoma"/>
          <w:color w:val="auto"/>
          <w:szCs w:val="24"/>
          <w:lang w:val="es-ES" w:eastAsia="es-ES"/>
        </w:rPr>
      </w:pPr>
    </w:p>
    <w:p w:rsidRPr="00AF4CEA" w:rsidR="008B252E" w:rsidP="008B252E" w:rsidRDefault="008B252E" w14:paraId="34FED662" w14:textId="5535ECCA">
      <w:pPr>
        <w:autoSpaceDE w:val="0"/>
        <w:autoSpaceDN w:val="0"/>
        <w:adjustRightInd w:val="0"/>
        <w:spacing w:after="0" w:line="360" w:lineRule="auto"/>
        <w:rPr>
          <w:rFonts w:eastAsia="Calibri" w:cs="Tahoma"/>
          <w:bCs/>
          <w:color w:val="000000"/>
          <w:szCs w:val="24"/>
          <w:lang w:eastAsia="es-MX"/>
        </w:rPr>
      </w:pPr>
      <w:r w:rsidRPr="00AF4CEA">
        <w:rPr>
          <w:rFonts w:eastAsia="Calibri" w:cs="Tahoma"/>
          <w:bCs/>
          <w:color w:val="000000"/>
          <w:szCs w:val="24"/>
          <w:lang w:eastAsia="es-MX"/>
        </w:rPr>
        <w:t xml:space="preserve">En respuesta, el Sujeto Obligado proporcionó el </w:t>
      </w:r>
      <w:r w:rsidRPr="00AF4CEA">
        <w:t>Convenio de Prestaciones de Ley y Colaterales 2022, con Gobierno del Estado de México; a</w:t>
      </w:r>
      <w:r w:rsidRPr="00AF4CEA">
        <w:rPr>
          <w:rFonts w:eastAsia="Calibri" w:cs="Tahoma"/>
          <w:bCs/>
          <w:color w:val="000000"/>
          <w:szCs w:val="24"/>
          <w:lang w:eastAsia="es-MX"/>
        </w:rPr>
        <w:t>nte dicha circunstancia</w:t>
      </w:r>
      <w:r w:rsidRPr="00AF4CEA" w:rsidR="00FA2427">
        <w:rPr>
          <w:rFonts w:eastAsia="Calibri" w:cs="Tahoma"/>
          <w:bCs/>
          <w:color w:val="000000"/>
          <w:szCs w:val="24"/>
          <w:lang w:eastAsia="es-MX"/>
        </w:rPr>
        <w:t>,</w:t>
      </w:r>
      <w:r w:rsidRPr="00AF4CEA">
        <w:rPr>
          <w:rFonts w:eastAsia="Calibri" w:cs="Tahoma"/>
          <w:bCs/>
          <w:color w:val="000000"/>
          <w:szCs w:val="24"/>
          <w:lang w:eastAsia="es-MX"/>
        </w:rPr>
        <w:t xml:space="preserve"> el Particular se agravió de la entrega de información incompleta</w:t>
      </w:r>
      <w:r w:rsidRPr="00AF4CEA" w:rsidR="00FA2427">
        <w:rPr>
          <w:rFonts w:eastAsia="Calibri" w:cs="Tahoma"/>
          <w:bCs/>
          <w:color w:val="000000"/>
          <w:szCs w:val="24"/>
          <w:lang w:eastAsia="es-MX"/>
        </w:rPr>
        <w:t>, al precisar que le faltaban páginas al Convenio</w:t>
      </w:r>
      <w:r w:rsidRPr="00AF4CEA">
        <w:rPr>
          <w:rFonts w:eastAsia="Calibri" w:cs="Tahoma"/>
          <w:bCs/>
          <w:color w:val="000000"/>
          <w:szCs w:val="24"/>
          <w:lang w:eastAsia="es-MX"/>
        </w:rPr>
        <w:t xml:space="preserve">, </w:t>
      </w:r>
      <w:r w:rsidRPr="00AF4CEA">
        <w:rPr>
          <w:rFonts w:eastAsia="Calibri" w:cs="Tahoma"/>
          <w:bCs/>
          <w:color w:val="000000"/>
          <w:szCs w:val="24"/>
          <w:lang w:eastAsia="es-MX"/>
        </w:rPr>
        <w:lastRenderedPageBreak/>
        <w:t xml:space="preserve">circunstancia que actualiza la causal de procedencia prevista en la fracción V, del artículo 179 de la Ley de Transparencia y Acceso a la Información Pública del Estado de México y Municipios. Así las cosas, una vez admitido y notificado a las partes el Recurso de Revisión, el Sujeto Obligado dio acceso al </w:t>
      </w:r>
      <w:r w:rsidRPr="00AF4CEA" w:rsidR="00FA2427">
        <w:rPr>
          <w:bCs/>
          <w:lang w:val="es-ES_tradnl"/>
        </w:rPr>
        <w:t>Convenio de Sueldos y Prestaciones SUTEYM 2022.</w:t>
      </w:r>
    </w:p>
    <w:p w:rsidRPr="00AF4CEA" w:rsidR="00D33E1E" w:rsidP="00B32A2A" w:rsidRDefault="00D33E1E" w14:paraId="77FEAE7E" w14:textId="77777777">
      <w:pPr>
        <w:spacing w:after="0" w:line="360" w:lineRule="auto"/>
        <w:rPr>
          <w:rFonts w:cs="Tahoma"/>
          <w:szCs w:val="24"/>
        </w:rPr>
      </w:pPr>
    </w:p>
    <w:p w:rsidRPr="00AF4CEA" w:rsidR="0034416B" w:rsidP="0034416B" w:rsidRDefault="0034416B" w14:paraId="076E8577" w14:textId="77777777">
      <w:pPr>
        <w:spacing w:after="0" w:line="360" w:lineRule="auto"/>
        <w:rPr>
          <w:rFonts w:eastAsia="Times New Roman" w:cs="Tahoma"/>
          <w:bCs/>
          <w:iCs/>
          <w:color w:val="auto"/>
          <w:lang w:eastAsia="es-ES"/>
        </w:rPr>
      </w:pPr>
      <w:r w:rsidRPr="00AF4CEA">
        <w:rPr>
          <w:rFonts w:eastAsia="Times New Roman" w:cs="Tahoma"/>
          <w:bCs/>
          <w:iCs/>
          <w:color w:val="auto"/>
          <w:lang w:eastAsia="es-ES"/>
        </w:rPr>
        <w:t xml:space="preserve">Lo anterior, se desprende de las documentales que obran en el expediente de referencia, materia de la presente resolución, consistente en: la solicitud de información; la respuesta del Sujeto Obligado; el escrito </w:t>
      </w:r>
      <w:proofErr w:type="spellStart"/>
      <w:r w:rsidRPr="00AF4CEA">
        <w:rPr>
          <w:rFonts w:eastAsia="Times New Roman" w:cs="Tahoma"/>
          <w:bCs/>
          <w:iCs/>
          <w:color w:val="auto"/>
          <w:lang w:eastAsia="es-ES"/>
        </w:rPr>
        <w:t>recursal</w:t>
      </w:r>
      <w:proofErr w:type="spellEnd"/>
      <w:r w:rsidRPr="00AF4CEA">
        <w:rPr>
          <w:rFonts w:eastAsia="Times New Roman" w:cs="Tahoma"/>
          <w:bCs/>
          <w:iCs/>
          <w:color w:val="auto"/>
          <w:lang w:eastAsia="es-ES"/>
        </w:rPr>
        <w:t xml:space="preserve"> y el Informe Justificado del Ente Recurrido, instrumentales que se toman en cuenta a efecto de resolver el presente medio de impugnación, conforme a lo dispuesto por el artículo 185, fracción IV, de la Ley de Transparencia y Acceso a la Información Pública del Estado de México y Municipios.</w:t>
      </w:r>
    </w:p>
    <w:p w:rsidRPr="00AF4CEA" w:rsidR="0034416B" w:rsidP="00B32A2A" w:rsidRDefault="0034416B" w14:paraId="3E7956D8" w14:textId="77777777">
      <w:pPr>
        <w:spacing w:after="0" w:line="360" w:lineRule="auto"/>
        <w:rPr>
          <w:rFonts w:cs="Tahoma"/>
          <w:szCs w:val="24"/>
        </w:rPr>
      </w:pPr>
    </w:p>
    <w:p w:rsidRPr="00AF4CEA" w:rsidR="00FA2427" w:rsidP="00FA2427" w:rsidRDefault="00FA2427" w14:paraId="56F029F5" w14:textId="2EA50B2F">
      <w:pPr>
        <w:spacing w:after="0" w:line="360" w:lineRule="auto"/>
        <w:rPr>
          <w:rFonts w:eastAsia="Times New Roman" w:cs="Tahoma"/>
          <w:iCs/>
          <w:color w:val="auto"/>
          <w:lang w:val="es-ES" w:eastAsia="es-ES"/>
        </w:rPr>
      </w:pPr>
      <w:r w:rsidRPr="00AF4CEA">
        <w:rPr>
          <w:rFonts w:eastAsia="Times New Roman" w:cs="Tahoma"/>
          <w:iCs/>
          <w:color w:val="auto"/>
          <w:lang w:val="es-ES" w:eastAsia="es-ES"/>
        </w:rPr>
        <w:t xml:space="preserve">Expuestas las posturas de las partes, se procede a analizar el agravio del hoy Recurrente el cual consiste en la entrega de información incompleta, para lo cual, es necesario analizar la naturaleza de la información; sobre el tema, el artículo 54 de la Ley del Trabajo de los Servidores Públicos del Estado y Municipios, establece que los Convenio de sueldos y prestaciones celebrados con el Sindicato se aplicaran solo para los trabajadores miembros y reconocidos por la agrupación sindical. </w:t>
      </w:r>
    </w:p>
    <w:p w:rsidRPr="00AF4CEA" w:rsidR="00FA2427" w:rsidP="00FA2427" w:rsidRDefault="00FA2427" w14:paraId="5686856D" w14:textId="77777777">
      <w:pPr>
        <w:spacing w:after="0" w:line="360" w:lineRule="auto"/>
        <w:rPr>
          <w:rFonts w:eastAsia="Times New Roman" w:cs="Tahoma"/>
          <w:iCs/>
          <w:color w:val="auto"/>
          <w:lang w:val="es-ES" w:eastAsia="es-ES"/>
        </w:rPr>
      </w:pPr>
    </w:p>
    <w:p w:rsidRPr="00AF4CEA" w:rsidR="00FA2427" w:rsidP="00FA2427" w:rsidRDefault="00FA2427" w14:paraId="01B9963F" w14:textId="77777777">
      <w:pPr>
        <w:spacing w:after="0" w:line="360" w:lineRule="auto"/>
        <w:rPr>
          <w:rFonts w:eastAsia="Times New Roman" w:cs="Tahoma"/>
          <w:iCs/>
          <w:color w:val="auto"/>
          <w:lang w:val="es-ES" w:eastAsia="es-ES"/>
        </w:rPr>
      </w:pPr>
      <w:r w:rsidRPr="00AF4CEA">
        <w:rPr>
          <w:rFonts w:eastAsia="Times New Roman" w:cs="Tahoma"/>
          <w:iCs/>
          <w:color w:val="auto"/>
          <w:lang w:val="es-ES" w:eastAsia="es-ES"/>
        </w:rPr>
        <w:t xml:space="preserve">Por otra parte, el artículo 82 de la Ley en comento, precisa que las </w:t>
      </w:r>
      <w:r w:rsidRPr="00AF4CEA">
        <w:rPr>
          <w:rFonts w:eastAsia="Times New Roman" w:cs="Tahoma"/>
          <w:iCs/>
          <w:color w:val="auto"/>
          <w:lang w:eastAsia="es-ES"/>
        </w:rPr>
        <w:t>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asimismo se podrán realizar revisiones, en cuanto a incrementos salariales se refiere, en caso de presentarse una situación económica en el país que, repercutiendo en los sueldos.</w:t>
      </w:r>
    </w:p>
    <w:p w:rsidRPr="00AF4CEA" w:rsidR="00FA2427" w:rsidP="00FA2427" w:rsidRDefault="00FA2427" w14:paraId="47C594BA" w14:textId="77777777">
      <w:pPr>
        <w:spacing w:after="0" w:line="360" w:lineRule="auto"/>
        <w:rPr>
          <w:rFonts w:eastAsia="Times New Roman" w:cs="Tahoma"/>
          <w:iCs/>
          <w:color w:val="auto"/>
          <w:lang w:eastAsia="es-ES"/>
        </w:rPr>
      </w:pPr>
    </w:p>
    <w:p w:rsidRPr="00AF4CEA" w:rsidR="00FA2427" w:rsidP="00FA2427" w:rsidRDefault="00FA2427" w14:paraId="01E77300" w14:textId="77777777">
      <w:pPr>
        <w:spacing w:after="0" w:line="360" w:lineRule="auto"/>
        <w:rPr>
          <w:rFonts w:eastAsia="Times New Roman" w:cs="Tahoma"/>
          <w:iCs/>
          <w:color w:val="auto"/>
          <w:lang w:eastAsia="es-ES"/>
        </w:rPr>
      </w:pPr>
      <w:r w:rsidRPr="00AF4CEA">
        <w:rPr>
          <w:rFonts w:eastAsia="Times New Roman" w:cs="Tahoma"/>
          <w:iCs/>
          <w:color w:val="auto"/>
          <w:lang w:eastAsia="es-ES"/>
        </w:rPr>
        <w:lastRenderedPageBreak/>
        <w:t xml:space="preserve">Conforme a lo anterior, se advierte que el Convenio de sueldos y prestaciones, tiene como finalidad que derivado de la participación entre una institución pública y un gremio, que el presente caso es el Sindicato Único de Trabajadores de los Poderes, Municipios e Instituciones Descentralizadas del Estado de México, se realicen los estudios técnicos pertenecientes al incremento de salario y otras prestaciones conforme a la capacidad y disponibilidad presupuestal de la institución pública, entre otras cuestiones. </w:t>
      </w:r>
    </w:p>
    <w:p w:rsidRPr="00AF4CEA" w:rsidR="00FA2427" w:rsidP="00FA2427" w:rsidRDefault="00FA2427" w14:paraId="27337FCC" w14:textId="77777777">
      <w:pPr>
        <w:spacing w:after="0" w:line="360" w:lineRule="auto"/>
        <w:rPr>
          <w:rFonts w:eastAsia="Times New Roman" w:cs="Tahoma"/>
          <w:iCs/>
          <w:color w:val="auto"/>
          <w:lang w:eastAsia="es-ES"/>
        </w:rPr>
      </w:pPr>
    </w:p>
    <w:p w:rsidRPr="00AF4CEA" w:rsidR="00FA2427" w:rsidP="00FA2427" w:rsidRDefault="00FA2427" w14:paraId="7DBA82CF" w14:textId="0AAED804">
      <w:pPr>
        <w:spacing w:after="0" w:line="360" w:lineRule="auto"/>
        <w:rPr>
          <w:rFonts w:eastAsia="Times New Roman" w:cs="Tahoma"/>
          <w:iCs/>
          <w:color w:val="auto"/>
          <w:lang w:eastAsia="es-ES"/>
        </w:rPr>
      </w:pPr>
      <w:r w:rsidRPr="00AF4CEA">
        <w:rPr>
          <w:rFonts w:eastAsia="Times New Roman" w:cs="Tahoma"/>
          <w:iCs/>
          <w:color w:val="auto"/>
          <w:lang w:eastAsia="es-ES"/>
        </w:rPr>
        <w:t>En razón de lo anterior, se advierte que la pretensión del hoy Recurrente consiste en acceder a los Convenios de sueldos y prestaciones celebrados entre el Poder Ejecutivo del Estado de México (Sector Central) y el Sindicato Único de Trabajadores de los Poderes, Municipios e Instituciones Descentralizadas del Estado de México, del ejercicio fiscal dos mil veintidós.</w:t>
      </w:r>
    </w:p>
    <w:p w:rsidRPr="00AF4CEA" w:rsidR="00CA34BE" w:rsidP="0034416B" w:rsidRDefault="00CA34BE" w14:paraId="43D0B9AF" w14:textId="77777777">
      <w:pPr>
        <w:spacing w:after="0" w:line="360" w:lineRule="auto"/>
        <w:rPr>
          <w:rFonts w:eastAsia="Times New Roman" w:cs="Tahoma"/>
          <w:bCs/>
          <w:iCs/>
          <w:color w:val="auto"/>
          <w:lang w:eastAsia="es-ES"/>
        </w:rPr>
      </w:pPr>
    </w:p>
    <w:p w:rsidRPr="00AF4CEA" w:rsidR="00FA2427" w:rsidP="0034416B" w:rsidRDefault="00FA2427" w14:paraId="4F2A71DA" w14:textId="4A846047">
      <w:pPr>
        <w:spacing w:after="0" w:line="360" w:lineRule="auto"/>
        <w:rPr>
          <w:rFonts w:eastAsia="Times New Roman" w:cs="Tahoma"/>
          <w:bCs/>
          <w:iCs/>
          <w:color w:val="auto"/>
          <w:lang w:eastAsia="es-ES"/>
        </w:rPr>
      </w:pPr>
      <w:r w:rsidRPr="00AF4CEA">
        <w:rPr>
          <w:rFonts w:eastAsia="Times New Roman" w:cs="Tahoma"/>
          <w:bCs/>
          <w:iCs/>
          <w:color w:val="auto"/>
          <w:lang w:eastAsia="es-ES"/>
        </w:rPr>
        <w:t xml:space="preserve">Ahora bien, el Tribunal Estatal de Conciliación y Arbitraje en respuesta proporcionó el Convenio de Sueldo y Prestaciones SUTEYM 2022, suscrito el trece de julio de dos mil veintidós, por el Poder Ejecutivo del Estado de México y el Gremio referido en el párrafo anterior, </w:t>
      </w:r>
      <w:r w:rsidRPr="00AF4CEA" w:rsidR="00BD56EB">
        <w:rPr>
          <w:rFonts w:eastAsia="Times New Roman" w:cs="Tahoma"/>
          <w:bCs/>
          <w:iCs/>
          <w:color w:val="auto"/>
          <w:lang w:eastAsia="es-ES"/>
        </w:rPr>
        <w:t>tal como se muestra a continuación:</w:t>
      </w:r>
    </w:p>
    <w:p w:rsidRPr="00AF4CEA" w:rsidR="00BD56EB" w:rsidP="0034416B" w:rsidRDefault="00BD56EB" w14:paraId="536E590F" w14:textId="77777777">
      <w:pPr>
        <w:spacing w:after="0" w:line="360" w:lineRule="auto"/>
        <w:rPr>
          <w:rFonts w:eastAsia="Times New Roman" w:cs="Tahoma"/>
          <w:bCs/>
          <w:iCs/>
          <w:color w:val="auto"/>
          <w:lang w:eastAsia="es-ES"/>
        </w:rPr>
      </w:pPr>
    </w:p>
    <w:p w:rsidRPr="00AF4CEA" w:rsidR="00BD56EB" w:rsidP="00931A51" w:rsidRDefault="00931A51" w14:paraId="4B5B8969" w14:textId="422793C5">
      <w:pPr>
        <w:spacing w:after="0" w:line="360" w:lineRule="auto"/>
        <w:jc w:val="center"/>
        <w:rPr>
          <w:rFonts w:eastAsia="Times New Roman" w:cs="Tahoma"/>
          <w:bCs/>
          <w:iCs/>
          <w:color w:val="auto"/>
          <w:lang w:eastAsia="es-ES"/>
        </w:rPr>
      </w:pPr>
      <w:r w:rsidRPr="00AF4CEA">
        <w:rPr>
          <w:rFonts w:eastAsia="Times New Roman" w:cs="Tahoma"/>
          <w:bCs/>
          <w:iCs/>
          <w:noProof/>
          <w:color w:val="auto"/>
          <w:lang w:eastAsia="es-ES"/>
        </w:rPr>
        <w:drawing>
          <wp:inline distT="0" distB="0" distL="0" distR="0" wp14:anchorId="035CBCE5" wp14:editId="17C745E1">
            <wp:extent cx="5382376" cy="2848373"/>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2376" cy="2848373"/>
                    </a:xfrm>
                    <a:prstGeom prst="rect">
                      <a:avLst/>
                    </a:prstGeom>
                  </pic:spPr>
                </pic:pic>
              </a:graphicData>
            </a:graphic>
          </wp:inline>
        </w:drawing>
      </w:r>
    </w:p>
    <w:p w:rsidRPr="00AF4CEA" w:rsidR="00FA2427" w:rsidP="0034416B" w:rsidRDefault="00FA2427" w14:paraId="2A5EA85D" w14:textId="77777777">
      <w:pPr>
        <w:spacing w:after="0" w:line="360" w:lineRule="auto"/>
        <w:rPr>
          <w:rFonts w:eastAsia="Times New Roman" w:cs="Tahoma"/>
          <w:bCs/>
          <w:iCs/>
          <w:color w:val="auto"/>
          <w:lang w:eastAsia="es-ES"/>
        </w:rPr>
      </w:pPr>
    </w:p>
    <w:p w:rsidRPr="00AF4CEA" w:rsidR="00FA2427" w:rsidP="0034416B" w:rsidRDefault="00931A51" w14:paraId="0C6DCE68" w14:textId="345F2DB4">
      <w:pPr>
        <w:spacing w:after="0" w:line="360" w:lineRule="auto"/>
        <w:rPr>
          <w:rFonts w:eastAsia="Times New Roman" w:cs="Tahoma"/>
          <w:bCs/>
          <w:iCs/>
          <w:color w:val="auto"/>
          <w:lang w:eastAsia="es-ES"/>
        </w:rPr>
      </w:pPr>
      <w:r w:rsidRPr="00AF4CEA">
        <w:rPr>
          <w:rFonts w:eastAsia="Times New Roman" w:cs="Tahoma"/>
          <w:bCs/>
          <w:iCs/>
          <w:color w:val="auto"/>
          <w:lang w:eastAsia="es-ES"/>
        </w:rPr>
        <w:t>Conforme a lo anterior, se logra vislumbrar que el Sujeto Obligado proporcionó el documento que da cuenta de lo solicitado; no obstante de la revisión de este, se logra vislumbrar que se encuentra incompleto, pues omitió proporcionar las hojas seis, siete y ocho, tal como se muestra a continuación:</w:t>
      </w:r>
    </w:p>
    <w:p w:rsidRPr="00AF4CEA" w:rsidR="00931A51" w:rsidP="0034416B" w:rsidRDefault="00931A51" w14:paraId="42691441" w14:textId="77777777">
      <w:pPr>
        <w:spacing w:after="0" w:line="360" w:lineRule="auto"/>
        <w:rPr>
          <w:rFonts w:eastAsia="Times New Roman" w:cs="Tahoma"/>
          <w:bCs/>
          <w:iCs/>
          <w:color w:val="auto"/>
          <w:lang w:eastAsia="es-ES"/>
        </w:rPr>
      </w:pPr>
    </w:p>
    <w:p w:rsidRPr="00AF4CEA" w:rsidR="00931A51" w:rsidP="0034416B" w:rsidRDefault="00931A51" w14:paraId="543ACE7D" w14:textId="70C55D6D">
      <w:pPr>
        <w:spacing w:after="0" w:line="360" w:lineRule="auto"/>
        <w:rPr>
          <w:rFonts w:eastAsia="Times New Roman" w:cs="Tahoma"/>
          <w:bCs/>
          <w:iCs/>
          <w:color w:val="auto"/>
          <w:lang w:eastAsia="es-ES"/>
        </w:rPr>
      </w:pPr>
      <w:r w:rsidRPr="00AF4CEA">
        <w:rPr>
          <w:rFonts w:eastAsia="Times New Roman" w:cs="Tahoma"/>
          <w:bCs/>
          <w:iCs/>
          <w:noProof/>
          <w:color w:val="auto"/>
          <w:lang w:eastAsia="es-ES"/>
        </w:rPr>
        <w:drawing>
          <wp:inline distT="0" distB="0" distL="0" distR="0" wp14:anchorId="5E9E0DF1" wp14:editId="1E80A415">
            <wp:extent cx="5791835" cy="4670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670425"/>
                    </a:xfrm>
                    <a:prstGeom prst="rect">
                      <a:avLst/>
                    </a:prstGeom>
                  </pic:spPr>
                </pic:pic>
              </a:graphicData>
            </a:graphic>
          </wp:inline>
        </w:drawing>
      </w:r>
    </w:p>
    <w:p w:rsidRPr="00AF4CEA" w:rsidR="00FA2427" w:rsidP="0034416B" w:rsidRDefault="00FA2427" w14:paraId="6B941E5B" w14:textId="77777777">
      <w:pPr>
        <w:spacing w:after="0" w:line="360" w:lineRule="auto"/>
        <w:rPr>
          <w:rFonts w:eastAsia="Times New Roman" w:cs="Tahoma"/>
          <w:bCs/>
          <w:iCs/>
          <w:color w:val="auto"/>
          <w:lang w:eastAsia="es-ES"/>
        </w:rPr>
      </w:pPr>
    </w:p>
    <w:p w:rsidRPr="00AF4CEA" w:rsidR="00CA34BE" w:rsidP="00B756DC" w:rsidRDefault="00B756DC" w14:paraId="3CD2996E" w14:textId="4AC554D0">
      <w:pPr>
        <w:spacing w:after="0" w:line="360" w:lineRule="auto"/>
        <w:rPr>
          <w:rFonts w:eastAsia="Calibri" w:cs="Tahoma"/>
          <w:color w:val="000000"/>
          <w:szCs w:val="24"/>
          <w:lang w:eastAsia="es-MX"/>
        </w:rPr>
      </w:pPr>
      <w:r w:rsidRPr="00AF4CEA">
        <w:rPr>
          <w:rFonts w:eastAsia="Times New Roman" w:cs="Tahoma"/>
          <w:bCs/>
          <w:color w:val="0D0D0D" w:themeColor="text1" w:themeTint="F2"/>
          <w:szCs w:val="24"/>
          <w:lang w:val="es-ES_tradnl" w:eastAsia="es-ES"/>
        </w:rPr>
        <w:t xml:space="preserve">No obstante lo anterior, durante la sustanciación del Medio de Impugnación, el Sujeto Obligado proporcionó </w:t>
      </w:r>
      <w:r w:rsidRPr="00AF4CEA" w:rsidR="00931A51">
        <w:rPr>
          <w:rFonts w:eastAsia="Times New Roman" w:cs="Tahoma"/>
          <w:bCs/>
          <w:color w:val="0D0D0D" w:themeColor="text1" w:themeTint="F2"/>
          <w:szCs w:val="24"/>
          <w:lang w:val="es-ES_tradnl" w:eastAsia="es-ES"/>
        </w:rPr>
        <w:t xml:space="preserve">el </w:t>
      </w:r>
      <w:r w:rsidRPr="00AF4CEA" w:rsidR="00931A51">
        <w:rPr>
          <w:rFonts w:eastAsia="Times New Roman" w:cs="Tahoma"/>
          <w:bCs/>
          <w:iCs/>
          <w:color w:val="auto"/>
          <w:lang w:eastAsia="es-ES"/>
        </w:rPr>
        <w:t xml:space="preserve">Convenio de Sueldo y Prestaciones SUTEYM 2022, suscrito por el Poder Ejecutivo del Gobierno del Estado de México y el </w:t>
      </w:r>
      <w:r w:rsidRPr="00AF4CEA" w:rsidR="00931A51">
        <w:rPr>
          <w:rFonts w:eastAsia="Calibri" w:cs="Tahoma"/>
          <w:color w:val="000000"/>
          <w:szCs w:val="24"/>
          <w:lang w:eastAsia="es-MX"/>
        </w:rPr>
        <w:t>Sindicato Único de Trabajadores de los Poderes, Municipios e Instituciones Descentralizadas del Estado de México</w:t>
      </w:r>
      <w:r w:rsidRPr="00AF4CEA" w:rsidR="002D4331">
        <w:rPr>
          <w:rFonts w:eastAsia="Calibri" w:cs="Tahoma"/>
          <w:color w:val="000000"/>
          <w:szCs w:val="24"/>
          <w:lang w:eastAsia="es-MX"/>
        </w:rPr>
        <w:t xml:space="preserve">, de manera </w:t>
      </w:r>
      <w:r w:rsidRPr="00AF4CEA" w:rsidR="002D4331">
        <w:rPr>
          <w:rFonts w:eastAsia="Calibri" w:cs="Tahoma"/>
          <w:color w:val="000000"/>
          <w:szCs w:val="24"/>
          <w:lang w:eastAsia="es-MX"/>
        </w:rPr>
        <w:lastRenderedPageBreak/>
        <w:t>completa, pues contienen las veintisiete hojas con las que cuenta dicho Acto Jurídico y sus respectivos anexos, tal como se muestra a continuación:</w:t>
      </w:r>
    </w:p>
    <w:p w:rsidRPr="00AF4CEA" w:rsidR="002D4331" w:rsidP="00B756DC" w:rsidRDefault="002D4331" w14:paraId="2A0E52B8" w14:textId="77777777">
      <w:pPr>
        <w:spacing w:after="0" w:line="360" w:lineRule="auto"/>
        <w:rPr>
          <w:rFonts w:eastAsia="Calibri" w:cs="Tahoma"/>
          <w:color w:val="000000"/>
          <w:szCs w:val="24"/>
          <w:lang w:eastAsia="es-MX"/>
        </w:rPr>
      </w:pPr>
    </w:p>
    <w:p w:rsidRPr="00AF4CEA" w:rsidR="002D4331" w:rsidP="00B756DC" w:rsidRDefault="002D4331" w14:paraId="13EA7929" w14:textId="29067383">
      <w:pPr>
        <w:spacing w:after="0" w:line="360" w:lineRule="auto"/>
        <w:rPr>
          <w:rFonts w:eastAsia="Times New Roman" w:cs="Tahoma"/>
          <w:bCs/>
          <w:color w:val="0D0D0D" w:themeColor="text1" w:themeTint="F2"/>
          <w:szCs w:val="24"/>
          <w:lang w:val="es-ES_tradnl" w:eastAsia="es-ES"/>
        </w:rPr>
      </w:pPr>
      <w:r w:rsidRPr="00AF4CEA">
        <w:rPr>
          <w:rFonts w:eastAsia="Times New Roman" w:cs="Tahoma"/>
          <w:bCs/>
          <w:noProof/>
          <w:color w:val="0D0D0D" w:themeColor="text1" w:themeTint="F2"/>
          <w:szCs w:val="24"/>
          <w:lang w:val="es-ES_tradnl" w:eastAsia="es-ES"/>
        </w:rPr>
        <w:drawing>
          <wp:inline distT="0" distB="0" distL="0" distR="0" wp14:anchorId="778A2FB2" wp14:editId="349C7A41">
            <wp:extent cx="5791835" cy="43910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391025"/>
                    </a:xfrm>
                    <a:prstGeom prst="rect">
                      <a:avLst/>
                    </a:prstGeom>
                  </pic:spPr>
                </pic:pic>
              </a:graphicData>
            </a:graphic>
          </wp:inline>
        </w:drawing>
      </w:r>
    </w:p>
    <w:p w:rsidRPr="00AF4CEA" w:rsidR="002D4331" w:rsidP="00B756DC" w:rsidRDefault="002D4331" w14:paraId="720AE63A" w14:textId="77777777">
      <w:pPr>
        <w:spacing w:after="0" w:line="360" w:lineRule="auto"/>
        <w:rPr>
          <w:rFonts w:eastAsia="Times New Roman" w:cs="Tahoma"/>
          <w:bCs/>
          <w:color w:val="0D0D0D" w:themeColor="text1" w:themeTint="F2"/>
          <w:szCs w:val="24"/>
          <w:lang w:val="es-ES_tradnl" w:eastAsia="es-ES"/>
        </w:rPr>
      </w:pPr>
    </w:p>
    <w:p w:rsidRPr="00AF4CEA" w:rsidR="002D4331" w:rsidP="00B756DC" w:rsidRDefault="002D4331" w14:paraId="38ECCF6D" w14:textId="06A35C5C">
      <w:pPr>
        <w:spacing w:after="0" w:line="360" w:lineRule="auto"/>
        <w:rPr>
          <w:rFonts w:eastAsia="Times New Roman" w:cs="Tahoma"/>
          <w:bCs/>
          <w:color w:val="0D0D0D" w:themeColor="text1" w:themeTint="F2"/>
          <w:szCs w:val="24"/>
          <w:lang w:val="es-ES_tradnl" w:eastAsia="es-ES"/>
        </w:rPr>
      </w:pPr>
      <w:r w:rsidRPr="00AF4CEA">
        <w:rPr>
          <w:rFonts w:eastAsia="Times New Roman" w:cs="Tahoma"/>
          <w:bCs/>
          <w:noProof/>
          <w:color w:val="0D0D0D" w:themeColor="text1" w:themeTint="F2"/>
          <w:szCs w:val="24"/>
          <w:lang w:val="es-ES_tradnl" w:eastAsia="es-ES"/>
        </w:rPr>
        <w:drawing>
          <wp:inline distT="0" distB="0" distL="0" distR="0" wp14:anchorId="441ADF88" wp14:editId="7137D358">
            <wp:extent cx="5791835" cy="15379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537970"/>
                    </a:xfrm>
                    <a:prstGeom prst="rect">
                      <a:avLst/>
                    </a:prstGeom>
                  </pic:spPr>
                </pic:pic>
              </a:graphicData>
            </a:graphic>
          </wp:inline>
        </w:drawing>
      </w:r>
    </w:p>
    <w:p w:rsidRPr="00AF4CEA" w:rsidR="002D4331" w:rsidP="00B756DC" w:rsidRDefault="002D4331" w14:paraId="05B3CEA2" w14:textId="77777777">
      <w:pPr>
        <w:spacing w:after="0" w:line="360" w:lineRule="auto"/>
        <w:rPr>
          <w:rFonts w:eastAsia="Times New Roman" w:cs="Tahoma"/>
          <w:bCs/>
          <w:color w:val="0D0D0D" w:themeColor="text1" w:themeTint="F2"/>
          <w:szCs w:val="24"/>
          <w:lang w:val="es-ES_tradnl" w:eastAsia="es-ES"/>
        </w:rPr>
      </w:pPr>
    </w:p>
    <w:p w:rsidRPr="00AF4CEA" w:rsidR="002D4331" w:rsidP="00B756DC" w:rsidRDefault="002D4331" w14:paraId="0288193D" w14:textId="77777777">
      <w:pPr>
        <w:spacing w:after="0" w:line="360" w:lineRule="auto"/>
        <w:rPr>
          <w:rFonts w:eastAsia="Times New Roman" w:cs="Tahoma"/>
          <w:bCs/>
          <w:color w:val="0D0D0D" w:themeColor="text1" w:themeTint="F2"/>
          <w:szCs w:val="24"/>
          <w:lang w:val="es-ES_tradnl" w:eastAsia="es-ES"/>
        </w:rPr>
      </w:pPr>
    </w:p>
    <w:p w:rsidRPr="00AF4CEA" w:rsidR="002D4331" w:rsidP="00B756DC" w:rsidRDefault="002D4331" w14:paraId="3A3CFC12" w14:textId="77777777">
      <w:pPr>
        <w:spacing w:after="0" w:line="360" w:lineRule="auto"/>
        <w:rPr>
          <w:rFonts w:eastAsia="Times New Roman" w:cs="Tahoma"/>
          <w:bCs/>
          <w:color w:val="0D0D0D" w:themeColor="text1" w:themeTint="F2"/>
          <w:szCs w:val="24"/>
          <w:lang w:val="es-ES_tradnl" w:eastAsia="es-ES"/>
        </w:rPr>
      </w:pPr>
    </w:p>
    <w:p w:rsidRPr="00AF4CEA" w:rsidR="002D4331" w:rsidP="002D4331" w:rsidRDefault="002D4331" w14:paraId="7282972C" w14:textId="77777777">
      <w:pPr>
        <w:autoSpaceDE w:val="0"/>
        <w:autoSpaceDN w:val="0"/>
        <w:adjustRightInd w:val="0"/>
        <w:spacing w:after="0" w:line="360" w:lineRule="auto"/>
        <w:rPr>
          <w:rFonts w:eastAsia="Times New Roman" w:cs="Tahoma"/>
          <w:color w:val="auto"/>
          <w:lang w:eastAsia="es-ES"/>
        </w:rPr>
      </w:pPr>
      <w:r w:rsidRPr="00AF4CEA">
        <w:rPr>
          <w:rFonts w:eastAsia="Times New Roman" w:cs="Tahoma"/>
          <w:bCs/>
          <w:color w:val="0D0D0D" w:themeColor="text1" w:themeTint="F2"/>
          <w:szCs w:val="24"/>
          <w:lang w:val="es-ES_tradnl" w:eastAsia="es-ES"/>
        </w:rPr>
        <w:t xml:space="preserve">Conforme a lo anterior, se logra vislumbrar que el Sujeto Obligado proporcionó el documento que da cuenta de lo solicitado, de manera completa; </w:t>
      </w:r>
      <w:r w:rsidRPr="00AF4CEA">
        <w:rPr>
          <w:rFonts w:eastAsia="Calibri" w:cs="Tahoma"/>
          <w:bCs/>
          <w:color w:val="000000"/>
          <w:szCs w:val="24"/>
          <w:lang w:eastAsia="es-MX"/>
        </w:rPr>
        <w:t>dicha determinación</w:t>
      </w:r>
      <w:r w:rsidRPr="00AF4CEA">
        <w:t xml:space="preserve">, </w:t>
      </w:r>
      <w:r w:rsidRPr="00AF4CEA">
        <w:rPr>
          <w:rFonts w:eastAsia="Times New Roman" w:cs="Tahoma"/>
          <w:color w:val="auto"/>
          <w:lang w:eastAsia="es-ES"/>
        </w:rPr>
        <w:t>toma sustento en el artículo 12 de la Ley de la Materia,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AF4CEA" w:rsidR="002D4331" w:rsidP="002D4331" w:rsidRDefault="002D4331" w14:paraId="16EE67BA" w14:textId="77777777">
      <w:pPr>
        <w:autoSpaceDE w:val="0"/>
        <w:autoSpaceDN w:val="0"/>
        <w:adjustRightInd w:val="0"/>
        <w:spacing w:after="0" w:line="360" w:lineRule="auto"/>
        <w:rPr>
          <w:rFonts w:eastAsia="Times New Roman" w:cs="Tahoma"/>
          <w:color w:val="auto"/>
          <w:lang w:eastAsia="es-ES"/>
        </w:rPr>
      </w:pPr>
    </w:p>
    <w:p w:rsidRPr="00AF4CEA" w:rsidR="002D4331" w:rsidP="002D4331" w:rsidRDefault="002D4331" w14:paraId="530DFE0C" w14:textId="77777777">
      <w:pPr>
        <w:tabs>
          <w:tab w:val="left" w:pos="4962"/>
        </w:tabs>
        <w:spacing w:after="0" w:line="360" w:lineRule="auto"/>
        <w:rPr>
          <w:rFonts w:eastAsia="Times New Roman" w:cs="Tahoma"/>
          <w:color w:val="auto"/>
          <w:lang w:eastAsia="es-ES"/>
        </w:rPr>
      </w:pPr>
      <w:r w:rsidRPr="00AF4CEA">
        <w:rPr>
          <w:rFonts w:eastAsia="Times New Roman" w:cs="Tahoma"/>
          <w:color w:val="auto"/>
          <w:lang w:eastAsia="es-ES"/>
        </w:rPr>
        <w:t xml:space="preserve">De esta manera, </w:t>
      </w:r>
      <w:r w:rsidRPr="00AF4CEA">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AF4CEA">
        <w:rPr>
          <w:rFonts w:eastAsia="Times New Roman" w:cs="Tahoma"/>
          <w:i/>
          <w:color w:val="auto"/>
          <w:lang w:eastAsia="es-ES"/>
        </w:rPr>
        <w:t>ad hoc</w:t>
      </w:r>
      <w:r w:rsidRPr="00AF4CEA">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AF4CEA" w:rsidR="002D4331" w:rsidP="002D4331" w:rsidRDefault="002D4331" w14:paraId="5AD7E408" w14:textId="77777777">
      <w:pPr>
        <w:tabs>
          <w:tab w:val="left" w:pos="4962"/>
        </w:tabs>
        <w:spacing w:after="0" w:line="360" w:lineRule="auto"/>
        <w:rPr>
          <w:rFonts w:eastAsia="Times New Roman" w:cs="Tahoma"/>
          <w:color w:val="auto"/>
          <w:lang w:eastAsia="es-ES"/>
        </w:rPr>
      </w:pPr>
    </w:p>
    <w:p w:rsidRPr="00AF4CEA" w:rsidR="002D4331" w:rsidP="002D4331" w:rsidRDefault="002D4331" w14:paraId="2753E04C" w14:textId="15E59ECB">
      <w:pPr>
        <w:tabs>
          <w:tab w:val="left" w:pos="4962"/>
        </w:tabs>
        <w:spacing w:after="0" w:line="360" w:lineRule="auto"/>
        <w:rPr>
          <w:rFonts w:cs="Tahoma"/>
          <w:lang w:val="es-ES"/>
        </w:rPr>
      </w:pPr>
      <w:r w:rsidRPr="00AF4CEA">
        <w:rPr>
          <w:rFonts w:cs="Tahoma"/>
          <w:lang w:val="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lo cual aconteció, pues proporcionó el </w:t>
      </w:r>
      <w:r w:rsidRPr="00AF4CEA">
        <w:rPr>
          <w:rFonts w:eastAsia="Times New Roman" w:cs="Tahoma"/>
          <w:bCs/>
          <w:iCs/>
          <w:color w:val="auto"/>
          <w:lang w:eastAsia="es-ES"/>
        </w:rPr>
        <w:t xml:space="preserve">Convenio de Sueldo y Prestaciones, suscrito por el Poder Ejecutivo del Gobierno del Estado de México y el </w:t>
      </w:r>
      <w:r w:rsidRPr="00AF4CEA">
        <w:rPr>
          <w:rFonts w:eastAsia="Calibri" w:cs="Tahoma"/>
          <w:color w:val="000000"/>
          <w:szCs w:val="24"/>
          <w:lang w:eastAsia="es-MX"/>
        </w:rPr>
        <w:t>Sindicato Único de Trabajadores de los Poderes, Municipios e Instituciones Descentralizadas del Estado de México y aplicable en el ejercicio fiscal dos mil veintidós, con sus respectivos anexos.</w:t>
      </w:r>
    </w:p>
    <w:p w:rsidRPr="00AF4CEA" w:rsidR="00CA34BE" w:rsidP="00CA34BE" w:rsidRDefault="00CA34BE" w14:paraId="06329C87" w14:textId="77777777">
      <w:pPr>
        <w:spacing w:after="0" w:line="360" w:lineRule="auto"/>
        <w:rPr>
          <w:rFonts w:eastAsia="Times New Roman" w:cs="Tahoma"/>
          <w:color w:val="auto"/>
          <w:szCs w:val="24"/>
          <w:lang w:val="es-ES" w:eastAsia="es-ES"/>
        </w:rPr>
      </w:pPr>
    </w:p>
    <w:p w:rsidRPr="00AF4CEA" w:rsidR="00CA34BE" w:rsidP="00CA34BE" w:rsidRDefault="00CA34BE" w14:paraId="5EABA1C9" w14:textId="303D4159">
      <w:pPr>
        <w:spacing w:after="0" w:line="360" w:lineRule="auto"/>
        <w:rPr>
          <w:rFonts w:eastAsia="Calibri" w:cs="Times New Roman"/>
          <w:b/>
          <w:color w:val="000000"/>
        </w:rPr>
      </w:pPr>
      <w:r w:rsidRPr="00AF4CEA">
        <w:rPr>
          <w:rFonts w:eastAsia="Times New Roman" w:cs="Tahoma"/>
          <w:color w:val="auto"/>
          <w:szCs w:val="24"/>
          <w:lang w:val="es-ES" w:eastAsia="es-ES"/>
        </w:rPr>
        <w:t>Conforme a lo anterior, se colige que, durante la sustanciación del Medio de Impugnación, el Sujeto Obligado modificó su actuar y en cumplimiento a los artículos 12 y 160 de la Ley de la materia, proporcionó el documento que obraba en sus archivos</w:t>
      </w:r>
      <w:r w:rsidRPr="00AF4CEA" w:rsidR="002D4331">
        <w:rPr>
          <w:rFonts w:eastAsia="Times New Roman" w:cs="Tahoma"/>
          <w:color w:val="auto"/>
          <w:szCs w:val="24"/>
          <w:lang w:val="es-ES" w:eastAsia="es-ES"/>
        </w:rPr>
        <w:t xml:space="preserve"> de manera completa</w:t>
      </w:r>
      <w:r w:rsidRPr="00AF4CEA">
        <w:rPr>
          <w:rFonts w:eastAsia="Times New Roman" w:cs="Tahoma"/>
          <w:color w:val="auto"/>
          <w:szCs w:val="24"/>
          <w:lang w:val="es-ES" w:eastAsia="es-ES"/>
        </w:rPr>
        <w:t xml:space="preserve"> y da cuenta de lo peticionado,</w:t>
      </w:r>
      <w:r w:rsidRPr="00AF4CEA">
        <w:rPr>
          <w:rFonts w:eastAsia="Calibri" w:cs="Times New Roman"/>
          <w:b/>
          <w:color w:val="000000"/>
        </w:rPr>
        <w:t xml:space="preserve"> por lo que,</w:t>
      </w:r>
      <w:r w:rsidRPr="00AF4CEA">
        <w:rPr>
          <w:rFonts w:eastAsia="Calibri" w:cs="Times New Roman"/>
          <w:b/>
          <w:color w:val="000000"/>
          <w:lang w:val="x-none"/>
        </w:rPr>
        <w:t xml:space="preserve"> se considera que la impugnación que se dirime ha quedado sin materia.</w:t>
      </w:r>
    </w:p>
    <w:p w:rsidRPr="00AF4CEA" w:rsidR="00D33E1E" w:rsidP="00B32A2A" w:rsidRDefault="00D33E1E" w14:paraId="1CCF0A16" w14:textId="77777777">
      <w:pPr>
        <w:spacing w:after="0" w:line="360" w:lineRule="auto"/>
        <w:rPr>
          <w:bCs/>
        </w:rPr>
      </w:pPr>
    </w:p>
    <w:p w:rsidRPr="00AF4CEA" w:rsidR="002D4331" w:rsidP="00B32A2A" w:rsidRDefault="002D4331" w14:paraId="509F203F" w14:textId="77777777">
      <w:pPr>
        <w:spacing w:after="0" w:line="360" w:lineRule="auto"/>
        <w:rPr>
          <w:bCs/>
        </w:rPr>
      </w:pPr>
    </w:p>
    <w:p w:rsidRPr="00AF4CEA" w:rsidR="00D33E1E" w:rsidP="00B32A2A" w:rsidRDefault="00D33E1E" w14:paraId="4DC2BFE3" w14:textId="77777777">
      <w:pPr>
        <w:spacing w:after="0" w:line="360" w:lineRule="auto"/>
        <w:rPr>
          <w:rFonts w:eastAsia="Calibri" w:cs="Tahoma"/>
          <w:b/>
          <w:bCs/>
          <w:lang w:val="es-ES"/>
        </w:rPr>
      </w:pPr>
      <w:r w:rsidRPr="00AF4CEA">
        <w:rPr>
          <w:rFonts w:eastAsia="Calibri" w:cs="Tahoma"/>
          <w:b/>
          <w:bCs/>
          <w:lang w:val="es-ES"/>
        </w:rPr>
        <w:t xml:space="preserve">CUARTO. Decisión. </w:t>
      </w:r>
    </w:p>
    <w:p w:rsidRPr="00AF4CEA" w:rsidR="00D33E1E" w:rsidP="00B32A2A" w:rsidRDefault="00D33E1E" w14:paraId="434855C2" w14:textId="77777777">
      <w:pPr>
        <w:spacing w:after="0" w:line="360" w:lineRule="auto"/>
        <w:rPr>
          <w:rFonts w:eastAsia="Calibri" w:cs="Tahoma"/>
          <w:b/>
          <w:bCs/>
          <w:lang w:val="es-ES"/>
        </w:rPr>
      </w:pPr>
    </w:p>
    <w:p w:rsidRPr="00AF4CEA" w:rsidR="00D33E1E" w:rsidP="00B32A2A" w:rsidRDefault="00D33E1E" w14:paraId="490EDBB4" w14:textId="77777777">
      <w:pPr>
        <w:spacing w:after="0" w:line="360" w:lineRule="auto"/>
        <w:rPr>
          <w:rFonts w:eastAsia="Calibri" w:cs="Tahoma"/>
          <w:bCs/>
          <w:lang w:val="es-ES"/>
        </w:rPr>
      </w:pPr>
      <w:r w:rsidRPr="00AF4CEA">
        <w:rPr>
          <w:rFonts w:eastAsia="Calibri" w:cs="Tahoma"/>
          <w:bCs/>
          <w:lang w:val="es-ES"/>
        </w:rPr>
        <w:t xml:space="preserve">Con fundamento en lo dispuesto en el artículo 186, fracción I de la Ley de Transparencia y Acceso a la Información Pública del Estado de México y Municipios, se considera procedente </w:t>
      </w:r>
      <w:r w:rsidRPr="00AF4CEA">
        <w:rPr>
          <w:rFonts w:eastAsia="Calibri" w:cs="Tahoma"/>
          <w:b/>
          <w:bCs/>
          <w:lang w:val="es-ES"/>
        </w:rPr>
        <w:t xml:space="preserve">SOBRESEER </w:t>
      </w:r>
      <w:r w:rsidRPr="00AF4CEA">
        <w:rPr>
          <w:rFonts w:eastAsia="Calibri" w:cs="Tahoma"/>
          <w:bCs/>
          <w:lang w:val="es-ES"/>
        </w:rPr>
        <w:t>el Recurso de Revisión, en virtud de que se actualiza la hipótesis normativa prevista en la fracción III, del artículo 192, del citado ordenamiento legal.</w:t>
      </w:r>
    </w:p>
    <w:p w:rsidRPr="00AF4CEA" w:rsidR="00D33E1E" w:rsidP="00B32A2A" w:rsidRDefault="00D33E1E" w14:paraId="5A0F5544" w14:textId="77777777">
      <w:pPr>
        <w:spacing w:after="0" w:line="360" w:lineRule="auto"/>
        <w:rPr>
          <w:rFonts w:eastAsia="Calibri" w:cs="Tahoma"/>
          <w:bCs/>
          <w:lang w:val="es-ES"/>
        </w:rPr>
      </w:pPr>
    </w:p>
    <w:p w:rsidRPr="00AF4CEA" w:rsidR="00D33E1E" w:rsidP="00B32A2A" w:rsidRDefault="00D33E1E" w14:paraId="1946F97B" w14:textId="77777777">
      <w:pPr>
        <w:spacing w:after="0" w:line="360" w:lineRule="auto"/>
        <w:rPr>
          <w:rFonts w:eastAsia="Calibri" w:cs="Tahoma"/>
          <w:b/>
          <w:bCs/>
          <w:iCs/>
        </w:rPr>
      </w:pPr>
      <w:r w:rsidRPr="00AF4CEA">
        <w:rPr>
          <w:rFonts w:eastAsia="Calibri" w:cs="Tahoma"/>
          <w:b/>
          <w:bCs/>
          <w:iCs/>
        </w:rPr>
        <w:t>Términos de la Resolución para conocimiento del Particular.</w:t>
      </w:r>
    </w:p>
    <w:p w:rsidRPr="00AF4CEA" w:rsidR="00D33E1E" w:rsidP="00B32A2A" w:rsidRDefault="00D33E1E" w14:paraId="52DDAD1D" w14:textId="77777777">
      <w:pPr>
        <w:spacing w:after="0" w:line="360" w:lineRule="auto"/>
        <w:rPr>
          <w:rFonts w:eastAsia="Calibri" w:cs="Tahoma"/>
          <w:b/>
          <w:bCs/>
          <w:iCs/>
        </w:rPr>
      </w:pPr>
    </w:p>
    <w:p w:rsidRPr="00AF4CEA" w:rsidR="00CA34BE" w:rsidP="00CA34BE" w:rsidRDefault="00CA34BE" w14:paraId="573DFDD4" w14:textId="7CBF6670">
      <w:pPr>
        <w:spacing w:after="0" w:line="360" w:lineRule="auto"/>
        <w:ind w:right="-28"/>
        <w:rPr>
          <w:rFonts w:eastAsia="Calibri" w:cs="Tahoma"/>
        </w:rPr>
      </w:pPr>
      <w:r w:rsidRPr="00AF4CEA">
        <w:rPr>
          <w:lang w:eastAsia="es-MX"/>
        </w:rPr>
        <w:t xml:space="preserve">Se le hace del conocimiento al Particular, que, en el presente caso, se le concedía la razón, pues si bien el Sujeto Obligado </w:t>
      </w:r>
      <w:r w:rsidRPr="00AF4CEA" w:rsidR="002D4331">
        <w:rPr>
          <w:lang w:eastAsia="es-MX"/>
        </w:rPr>
        <w:t>en un principio el Sujeto Obligado proporcionó un documento incompleto, lo cierto es que durante la sustanciación, dio acceso al Convenio completo, con sus anexos</w:t>
      </w:r>
      <w:r w:rsidRPr="00AF4CEA">
        <w:rPr>
          <w:lang w:eastAsia="es-MX"/>
        </w:rPr>
        <w:t>, por lo que, resultó procedente SOBRESEER el presente asunto.</w:t>
      </w:r>
    </w:p>
    <w:p w:rsidRPr="00AF4CEA" w:rsidR="00D33E1E" w:rsidP="00B32A2A" w:rsidRDefault="00D33E1E" w14:paraId="4997B307" w14:textId="77777777">
      <w:pPr>
        <w:spacing w:after="0" w:line="360" w:lineRule="auto"/>
        <w:rPr>
          <w:rFonts w:eastAsia="Calibri" w:cs="Tahoma"/>
          <w:bCs/>
          <w:iCs/>
          <w:lang w:val="es-ES"/>
        </w:rPr>
      </w:pPr>
    </w:p>
    <w:p w:rsidRPr="00AF4CEA" w:rsidR="00D33E1E" w:rsidP="00B32A2A" w:rsidRDefault="00D33E1E" w14:paraId="5BBC02CF" w14:textId="6C85A208">
      <w:pPr>
        <w:spacing w:after="0" w:line="360" w:lineRule="auto"/>
        <w:rPr>
          <w:rFonts w:eastAsia="Calibri" w:cs="Tahoma"/>
          <w:bCs/>
          <w:iCs/>
          <w:lang w:val="es-ES"/>
        </w:rPr>
      </w:pPr>
      <w:r w:rsidRPr="00AF4CEA">
        <w:rPr>
          <w:rFonts w:eastAsia="Calibri" w:cs="Tahoma"/>
          <w:bCs/>
          <w:iCs/>
          <w:lang w:val="es-ES"/>
        </w:rPr>
        <w:t xml:space="preserve">Finalmente, </w:t>
      </w:r>
      <w:r w:rsidRPr="00AF4CEA" w:rsidR="00CA34BE">
        <w:rPr>
          <w:rFonts w:eastAsia="Calibri" w:cs="Tahoma"/>
          <w:bCs/>
          <w:iCs/>
          <w:lang w:val="es-ES"/>
        </w:rPr>
        <w:t xml:space="preserve">se le informa que </w:t>
      </w:r>
      <w:r w:rsidRPr="00AF4CEA">
        <w:rPr>
          <w:rFonts w:eastAsia="Calibri" w:cs="Tahoma"/>
          <w:bCs/>
          <w:iCs/>
          <w:lang w:val="es-ES_tradnl"/>
        </w:rPr>
        <w:t>la labor del Instituto de Transparencia, Acceso a la Información Pública y Protección de Datos Personales del Estado de México y Municipios,</w:t>
      </w:r>
      <w:r w:rsidRPr="00AF4CEA" w:rsidR="00CA34BE">
        <w:rPr>
          <w:rFonts w:eastAsia="Calibri" w:cs="Tahoma"/>
          <w:bCs/>
          <w:iCs/>
          <w:lang w:val="es-ES_tradnl"/>
        </w:rPr>
        <w:t xml:space="preserve"> por una parte,</w:t>
      </w:r>
      <w:r w:rsidRPr="00AF4CEA">
        <w:rPr>
          <w:rFonts w:eastAsia="Calibri" w:cs="Tahoma"/>
          <w:bCs/>
          <w:iCs/>
          <w:lang w:val="es-ES_tradnl"/>
        </w:rPr>
        <w:t xml:space="preserve"> es apoyar a la población a acceder a la información pública y</w:t>
      </w:r>
      <w:r w:rsidRPr="00AF4CEA" w:rsidR="00CA34BE">
        <w:rPr>
          <w:rFonts w:eastAsia="Calibri" w:cs="Tahoma"/>
          <w:bCs/>
          <w:iCs/>
          <w:lang w:val="es-ES_tradnl"/>
        </w:rPr>
        <w:t>, por otra parte, es</w:t>
      </w:r>
      <w:r w:rsidRPr="00AF4CEA">
        <w:rPr>
          <w:rFonts w:eastAsia="Calibri" w:cs="Tahoma"/>
          <w:bCs/>
          <w:iCs/>
          <w:lang w:val="es-ES_tradnl"/>
        </w:rPr>
        <w:t xml:space="preserve"> garantizar la protección de los datos personales.</w:t>
      </w:r>
    </w:p>
    <w:p w:rsidRPr="00AF4CEA" w:rsidR="00D33E1E" w:rsidP="00B32A2A" w:rsidRDefault="00D33E1E" w14:paraId="56C4B549" w14:textId="77777777">
      <w:pPr>
        <w:spacing w:after="0" w:line="360" w:lineRule="auto"/>
        <w:rPr>
          <w:rFonts w:eastAsia="Calibri" w:cs="Tahoma"/>
          <w:bCs/>
          <w:lang w:val="es-ES"/>
        </w:rPr>
      </w:pPr>
    </w:p>
    <w:p w:rsidRPr="00AF4CEA" w:rsidR="00D33E1E" w:rsidP="00B32A2A" w:rsidRDefault="00D33E1E" w14:paraId="536B958C" w14:textId="77777777">
      <w:pPr>
        <w:spacing w:after="0" w:line="360" w:lineRule="auto"/>
        <w:rPr>
          <w:rFonts w:eastAsia="Calibri" w:cs="Tahoma"/>
          <w:bCs/>
        </w:rPr>
      </w:pPr>
      <w:r w:rsidRPr="00AF4CEA">
        <w:rPr>
          <w:rFonts w:eastAsia="Calibri" w:cs="Tahoma"/>
          <w:bCs/>
        </w:rPr>
        <w:t>Por lo expuesto y fundado, este Pleno:</w:t>
      </w:r>
    </w:p>
    <w:p w:rsidRPr="00AF4CEA" w:rsidR="00D33E1E" w:rsidP="00B32A2A" w:rsidRDefault="00D33E1E" w14:paraId="61550881" w14:textId="77777777">
      <w:pPr>
        <w:spacing w:after="0" w:line="360" w:lineRule="auto"/>
        <w:rPr>
          <w:rFonts w:eastAsia="Calibri" w:cs="Tahoma"/>
          <w:bCs/>
        </w:rPr>
      </w:pPr>
    </w:p>
    <w:p w:rsidRPr="00AF4CEA" w:rsidR="00D33E1E" w:rsidP="00B32A2A" w:rsidRDefault="00D33E1E" w14:paraId="1634253E" w14:textId="77777777">
      <w:pPr>
        <w:spacing w:after="0" w:line="360" w:lineRule="auto"/>
        <w:jc w:val="center"/>
        <w:rPr>
          <w:rFonts w:eastAsia="Calibri" w:cs="Tahoma"/>
          <w:b/>
          <w:bCs/>
          <w:iCs/>
        </w:rPr>
      </w:pPr>
      <w:r w:rsidRPr="00AF4CEA">
        <w:rPr>
          <w:rFonts w:eastAsia="Calibri" w:cs="Tahoma"/>
          <w:b/>
          <w:bCs/>
          <w:iCs/>
        </w:rPr>
        <w:t>R E S U E L V E:</w:t>
      </w:r>
    </w:p>
    <w:p w:rsidRPr="00AF4CEA" w:rsidR="00D33E1E" w:rsidP="00B32A2A" w:rsidRDefault="00D33E1E" w14:paraId="69856FF9" w14:textId="77777777">
      <w:pPr>
        <w:spacing w:after="0" w:line="360" w:lineRule="auto"/>
        <w:rPr>
          <w:rFonts w:eastAsia="Calibri" w:cs="Tahoma"/>
          <w:b/>
          <w:bCs/>
          <w:iCs/>
        </w:rPr>
      </w:pPr>
    </w:p>
    <w:p w:rsidRPr="00AF4CEA" w:rsidR="00D33E1E" w:rsidP="00B32A2A" w:rsidRDefault="00D33E1E" w14:paraId="3F2582FE" w14:textId="0917DB14">
      <w:pPr>
        <w:spacing w:after="0" w:line="360" w:lineRule="auto"/>
        <w:rPr>
          <w:rFonts w:eastAsia="Calibri" w:cs="Tahoma"/>
          <w:b/>
          <w:bCs/>
          <w:iCs/>
        </w:rPr>
      </w:pPr>
      <w:r w:rsidRPr="00AF4CEA">
        <w:rPr>
          <w:rFonts w:eastAsia="Calibri" w:cs="Tahoma"/>
          <w:b/>
          <w:bCs/>
          <w:iCs/>
        </w:rPr>
        <w:t xml:space="preserve">PRIMERO. </w:t>
      </w:r>
      <w:r w:rsidRPr="00AF4CEA">
        <w:rPr>
          <w:rFonts w:eastAsia="Calibri" w:cs="Tahoma"/>
          <w:bCs/>
          <w:iCs/>
        </w:rPr>
        <w:t xml:space="preserve">Se </w:t>
      </w:r>
      <w:r w:rsidRPr="00AF4CEA">
        <w:rPr>
          <w:rFonts w:eastAsia="Calibri" w:cs="Tahoma"/>
          <w:b/>
          <w:bCs/>
          <w:iCs/>
        </w:rPr>
        <w:t xml:space="preserve">SOBRESEE </w:t>
      </w:r>
      <w:r w:rsidRPr="00AF4CEA">
        <w:rPr>
          <w:rFonts w:eastAsia="Calibri" w:cs="Tahoma"/>
          <w:bCs/>
          <w:iCs/>
        </w:rPr>
        <w:t>el Recurso de Revisión con número</w:t>
      </w:r>
      <w:r w:rsidRPr="00AF4CEA">
        <w:rPr>
          <w:rFonts w:eastAsia="Calibri" w:cs="Tahoma"/>
          <w:b/>
          <w:bCs/>
          <w:iCs/>
        </w:rPr>
        <w:t xml:space="preserve"> </w:t>
      </w:r>
      <w:r w:rsidRPr="00AF4CEA" w:rsidR="002E2F94">
        <w:rPr>
          <w:rFonts w:eastAsia="Calibri" w:cs="Tahoma"/>
          <w:bCs/>
          <w:iCs/>
        </w:rPr>
        <w:t>01051/INFOEM/IP/RR/2023</w:t>
      </w:r>
      <w:r w:rsidRPr="00AF4CEA">
        <w:rPr>
          <w:rFonts w:eastAsia="Calibri" w:cs="Tahoma"/>
          <w:bCs/>
          <w:iCs/>
        </w:rPr>
        <w:t>,</w:t>
      </w:r>
      <w:r w:rsidRPr="00AF4CEA">
        <w:rPr>
          <w:rFonts w:eastAsia="Calibri" w:cs="Tahoma"/>
          <w:bCs/>
          <w:iCs/>
          <w:color w:val="auto"/>
        </w:rPr>
        <w:t xml:space="preserve"> </w:t>
      </w:r>
      <w:r w:rsidRPr="00AF4CEA">
        <w:rPr>
          <w:rFonts w:eastAsia="Calibri" w:cs="Tahoma"/>
          <w:bCs/>
          <w:iCs/>
          <w:color w:val="auto"/>
          <w:lang w:val="es-ES"/>
        </w:rPr>
        <w:t>en términos del artículo 192, fracción III, de la Ley de Transparencia y Acceso a la Información Pública del Estado de México y Municipios</w:t>
      </w:r>
      <w:r w:rsidRPr="00AF4CEA">
        <w:rPr>
          <w:rFonts w:cs="Arial"/>
          <w:bCs/>
          <w:color w:val="000000"/>
          <w:lang w:val="es-ES"/>
        </w:rPr>
        <w:t xml:space="preserve">, </w:t>
      </w:r>
      <w:r w:rsidRPr="00AF4CEA">
        <w:rPr>
          <w:rFonts w:cs="Tahoma"/>
          <w:bCs/>
          <w:iCs/>
          <w:szCs w:val="24"/>
          <w:lang w:val="es-ES_tradnl"/>
        </w:rPr>
        <w:t>porque el Sujeto Obligado al modificar la respuesta de la solicitud de acceso a la información con número de folio</w:t>
      </w:r>
      <w:r w:rsidRPr="00AF4CEA">
        <w:rPr>
          <w:rFonts w:eastAsia="Calibri" w:cs="Tahoma"/>
          <w:bCs/>
          <w:iCs/>
        </w:rPr>
        <w:t xml:space="preserve"> </w:t>
      </w:r>
      <w:r w:rsidRPr="00AF4CEA" w:rsidR="002E2F94">
        <w:rPr>
          <w:rFonts w:eastAsia="Calibri" w:cs="Tahoma"/>
          <w:bCs/>
          <w:iCs/>
        </w:rPr>
        <w:t>00016/TRIECA/IP/2023</w:t>
      </w:r>
      <w:r w:rsidRPr="00AF4CEA" w:rsidR="00CA0090">
        <w:rPr>
          <w:rFonts w:eastAsia="Calibri" w:cs="Tahoma"/>
          <w:bCs/>
          <w:iCs/>
        </w:rPr>
        <w:t xml:space="preserve">, </w:t>
      </w:r>
      <w:r w:rsidRPr="00AF4CEA">
        <w:rPr>
          <w:rFonts w:eastAsia="Calibri" w:cs="Tahoma"/>
          <w:bCs/>
          <w:iCs/>
        </w:rPr>
        <w:t xml:space="preserve"> el Medio </w:t>
      </w:r>
      <w:r w:rsidRPr="00AF4CEA">
        <w:rPr>
          <w:rFonts w:eastAsia="Calibri" w:cs="Tahoma"/>
          <w:bCs/>
          <w:iCs/>
        </w:rPr>
        <w:lastRenderedPageBreak/>
        <w:t>de Impugnación, quedó sin materia, en términos de los Considerandos</w:t>
      </w:r>
      <w:r w:rsidRPr="00AF4CEA">
        <w:rPr>
          <w:rFonts w:eastAsia="Calibri" w:cs="Tahoma"/>
          <w:b/>
          <w:bCs/>
          <w:iCs/>
        </w:rPr>
        <w:t xml:space="preserve"> </w:t>
      </w:r>
      <w:r w:rsidRPr="00AF4CEA">
        <w:rPr>
          <w:rFonts w:eastAsia="Calibri" w:cs="Tahoma"/>
          <w:bCs/>
          <w:iCs/>
        </w:rPr>
        <w:t>TERCERO y CUARTO</w:t>
      </w:r>
      <w:r w:rsidRPr="00AF4CEA">
        <w:rPr>
          <w:rFonts w:eastAsia="Calibri" w:cs="Tahoma"/>
          <w:b/>
          <w:bCs/>
          <w:iCs/>
        </w:rPr>
        <w:t xml:space="preserve"> </w:t>
      </w:r>
      <w:r w:rsidRPr="00AF4CEA">
        <w:rPr>
          <w:rFonts w:eastAsia="Calibri" w:cs="Tahoma"/>
          <w:bCs/>
          <w:iCs/>
        </w:rPr>
        <w:t>de la presente Resolución.</w:t>
      </w:r>
    </w:p>
    <w:p w:rsidRPr="00AF4CEA" w:rsidR="00D33E1E" w:rsidP="00B32A2A" w:rsidRDefault="00D33E1E" w14:paraId="1D1F1474" w14:textId="77777777">
      <w:pPr>
        <w:spacing w:after="0" w:line="360" w:lineRule="auto"/>
        <w:rPr>
          <w:rFonts w:eastAsia="Calibri" w:cs="Tahoma"/>
          <w:b/>
          <w:bCs/>
          <w:iCs/>
        </w:rPr>
      </w:pPr>
    </w:p>
    <w:p w:rsidRPr="00AF4CEA" w:rsidR="00D33E1E" w:rsidP="00B32A2A" w:rsidRDefault="00D33E1E" w14:paraId="4C60793C" w14:textId="77777777">
      <w:pPr>
        <w:spacing w:after="0" w:line="360" w:lineRule="auto"/>
        <w:rPr>
          <w:rFonts w:eastAsia="Calibri" w:cs="Tahoma"/>
          <w:b/>
          <w:bCs/>
          <w:iCs/>
        </w:rPr>
      </w:pPr>
      <w:r w:rsidRPr="00AF4CEA">
        <w:rPr>
          <w:rFonts w:eastAsia="Calibri" w:cs="Tahoma"/>
          <w:b/>
          <w:bCs/>
          <w:iCs/>
        </w:rPr>
        <w:t xml:space="preserve">SEGUNDO. NOTIFÍQUESE </w:t>
      </w:r>
      <w:r w:rsidRPr="00AF4CEA">
        <w:rPr>
          <w:rFonts w:eastAsia="Calibri" w:cs="Tahoma"/>
          <w:bCs/>
          <w:iCs/>
        </w:rPr>
        <w:t>la presente Resolución al Titular de la Unidad de Transparencia del Sujeto Obligado.</w:t>
      </w:r>
    </w:p>
    <w:p w:rsidRPr="00AF4CEA" w:rsidR="00D33E1E" w:rsidP="00B32A2A" w:rsidRDefault="00D33E1E" w14:paraId="2C17DD7F" w14:textId="77777777">
      <w:pPr>
        <w:spacing w:after="0" w:line="360" w:lineRule="auto"/>
        <w:rPr>
          <w:rFonts w:eastAsia="Calibri" w:cs="Tahoma"/>
          <w:b/>
          <w:bCs/>
          <w:i/>
          <w:iCs/>
        </w:rPr>
      </w:pPr>
    </w:p>
    <w:p w:rsidRPr="00AF4CEA" w:rsidR="00D33E1E" w:rsidP="00B32A2A" w:rsidRDefault="00D33E1E" w14:paraId="2A991DCA" w14:textId="77777777">
      <w:pPr>
        <w:spacing w:after="0" w:line="360" w:lineRule="auto"/>
        <w:rPr>
          <w:rFonts w:eastAsia="Calibri" w:cs="Tahoma"/>
          <w:b/>
          <w:bCs/>
          <w:iCs/>
        </w:rPr>
      </w:pPr>
      <w:r w:rsidRPr="00AF4CEA">
        <w:rPr>
          <w:rFonts w:eastAsia="Calibri" w:cs="Tahoma"/>
          <w:b/>
          <w:bCs/>
          <w:iCs/>
        </w:rPr>
        <w:t xml:space="preserve">TERCERO. NOTIFÍQUESE </w:t>
      </w:r>
      <w:r w:rsidRPr="00AF4CEA">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AF4CEA" w:rsidR="00D33E1E" w:rsidP="00B32A2A" w:rsidRDefault="00D33E1E" w14:paraId="4F18A141" w14:textId="77777777">
      <w:pPr>
        <w:spacing w:after="0" w:line="360" w:lineRule="auto"/>
        <w:rPr>
          <w:rFonts w:eastAsia="Calibri" w:cs="Tahoma"/>
          <w:bCs/>
          <w:lang w:val="es-ES"/>
        </w:rPr>
      </w:pPr>
    </w:p>
    <w:p w:rsidRPr="00ED08AC" w:rsidR="00D33E1E" w:rsidP="00B32A2A" w:rsidRDefault="00D33E1E" w14:paraId="7EEF1067" w14:textId="0BBED6F5">
      <w:pPr>
        <w:spacing w:after="0" w:line="360" w:lineRule="auto"/>
        <w:rPr>
          <w:rFonts w:eastAsia="Calibri" w:cs="Tahoma"/>
          <w:bCs/>
        </w:rPr>
      </w:pPr>
      <w:r w:rsidRPr="00AF4CEA">
        <w:rPr>
          <w:rFonts w:eastAsia="Calibri" w:cs="Tahoma"/>
          <w:bCs/>
        </w:rPr>
        <w:t xml:space="preserve">ASÍ LO RESUELVE, POR </w:t>
      </w:r>
      <w:r w:rsidRPr="00AF4CEA">
        <w:rPr>
          <w:rFonts w:eastAsia="Calibri" w:cs="Tahoma"/>
          <w:b/>
        </w:rPr>
        <w:t>UNANIMIDAD</w:t>
      </w:r>
      <w:r w:rsidRPr="00AF4CE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Pr="00AF4CEA" w:rsidR="00E173BF">
        <w:rPr>
          <w:rFonts w:eastAsia="Calibri" w:cs="Tahoma"/>
          <w:bCs/>
        </w:rPr>
        <w:t xml:space="preserve"> </w:t>
      </w:r>
      <w:r w:rsidRPr="00AF4CEA" w:rsidR="00004706">
        <w:rPr>
          <w:rFonts w:eastAsia="Calibri" w:cs="Tahoma"/>
          <w:bCs/>
        </w:rPr>
        <w:t>DÉCIMA SEGUNDA</w:t>
      </w:r>
      <w:r w:rsidRPr="00AF4CEA">
        <w:rPr>
          <w:rFonts w:eastAsia="Calibri" w:cs="Tahoma"/>
          <w:bCs/>
        </w:rPr>
        <w:t xml:space="preserve"> SESIÓN ORDINARIA, CELEBRADA EL </w:t>
      </w:r>
      <w:r w:rsidRPr="00AF4CEA" w:rsidR="00004706">
        <w:rPr>
          <w:rFonts w:eastAsia="Times New Roman" w:cs="Tahoma"/>
          <w:bCs/>
          <w:color w:val="auto"/>
          <w:lang w:eastAsia="es-ES"/>
        </w:rPr>
        <w:t>VEINTINUEVE</w:t>
      </w:r>
      <w:r w:rsidRPr="00AF4CEA" w:rsidR="00E173BF">
        <w:rPr>
          <w:rFonts w:eastAsia="Times New Roman" w:cs="Tahoma"/>
          <w:bCs/>
          <w:color w:val="auto"/>
          <w:lang w:eastAsia="es-ES"/>
        </w:rPr>
        <w:t xml:space="preserve"> DE MARZO </w:t>
      </w:r>
      <w:r w:rsidRPr="00AF4CEA">
        <w:rPr>
          <w:rFonts w:eastAsia="Times New Roman" w:cs="Tahoma"/>
          <w:bCs/>
          <w:color w:val="auto"/>
          <w:lang w:eastAsia="es-ES"/>
        </w:rPr>
        <w:t xml:space="preserve"> DE DOS MIL VEINTITRÉS</w:t>
      </w:r>
      <w:r w:rsidRPr="00AF4CEA">
        <w:rPr>
          <w:rFonts w:eastAsia="Calibri" w:cs="Tahoma"/>
          <w:bCs/>
        </w:rPr>
        <w:t>, ANTE EL SECRETARIO TÉCNICO DEL PLENO, ALEXIS TAPIA RAMÍREZ.</w:t>
      </w:r>
    </w:p>
    <w:p w:rsidRPr="00ED08AC" w:rsidR="00D33E1E" w:rsidP="00B32A2A" w:rsidRDefault="00D33E1E" w14:paraId="34553ECC" w14:textId="77777777">
      <w:pPr>
        <w:spacing w:after="0" w:line="360" w:lineRule="auto"/>
        <w:jc w:val="left"/>
        <w:rPr>
          <w:rFonts w:eastAsia="Calibri" w:cs="Tahoma"/>
          <w:b/>
          <w:bCs/>
        </w:rPr>
      </w:pPr>
      <w:r w:rsidRPr="00ED08AC">
        <w:rPr>
          <w:rFonts w:eastAsia="Calibri" w:cs="Tahoma"/>
          <w:b/>
          <w:bCs/>
        </w:rPr>
        <w:br w:type="page"/>
      </w:r>
    </w:p>
    <w:p w:rsidRPr="00ED08AC" w:rsidR="00D33E1E" w:rsidP="00B32A2A" w:rsidRDefault="00D33E1E" w14:paraId="4556E9DB" w14:textId="77777777">
      <w:pPr>
        <w:spacing w:after="0" w:line="360" w:lineRule="auto"/>
      </w:pPr>
    </w:p>
    <w:p w:rsidR="00613D5D" w:rsidP="00B32A2A" w:rsidRDefault="00613D5D" w14:paraId="325656EB" w14:textId="77777777">
      <w:pPr>
        <w:spacing w:after="0" w:line="360" w:lineRule="auto"/>
      </w:pPr>
    </w:p>
    <w:sectPr w:rsidR="00613D5D" w:rsidSect="00D01D6E">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7C35" w:rsidP="00D33E1E" w:rsidRDefault="00B77C35" w14:paraId="0A10B915" w14:textId="77777777">
      <w:pPr>
        <w:spacing w:after="0" w:line="240" w:lineRule="auto"/>
      </w:pPr>
      <w:r>
        <w:separator/>
      </w:r>
    </w:p>
  </w:endnote>
  <w:endnote w:type="continuationSeparator" w:id="0">
    <w:p w:rsidR="00B77C35" w:rsidP="00D33E1E" w:rsidRDefault="00B77C35" w14:paraId="130959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D6E" w:rsidRDefault="00D01D6E" w14:paraId="3C229B7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D01D6E" w:rsidRDefault="00D01D6E" w14:paraId="16B2D90F"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D01D6E" w:rsidRDefault="00D01D6E" w14:paraId="6B7EFD0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4331">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4331">
              <w:rPr>
                <w:b/>
                <w:bCs/>
                <w:noProof/>
              </w:rPr>
              <w:t>14</w:t>
            </w:r>
            <w:r>
              <w:rPr>
                <w:b/>
                <w:bCs/>
                <w:sz w:val="24"/>
                <w:szCs w:val="24"/>
              </w:rPr>
              <w:fldChar w:fldCharType="end"/>
            </w:r>
          </w:p>
        </w:sdtContent>
      </w:sdt>
    </w:sdtContent>
  </w:sdt>
  <w:p w:rsidR="00D01D6E" w:rsidRDefault="00D01D6E" w14:paraId="01BD7DCA"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1D6E" w:rsidRDefault="00D01D6E" w14:paraId="713DC13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433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4331">
      <w:rPr>
        <w:b/>
        <w:bCs/>
        <w:noProof/>
      </w:rPr>
      <w:t>14</w:t>
    </w:r>
    <w:r>
      <w:rPr>
        <w:b/>
        <w:bCs/>
        <w:sz w:val="24"/>
        <w:szCs w:val="24"/>
      </w:rPr>
      <w:fldChar w:fldCharType="end"/>
    </w:r>
  </w:p>
  <w:p w:rsidR="00D01D6E" w:rsidRDefault="00D01D6E" w14:paraId="692B16E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7C35" w:rsidP="00D33E1E" w:rsidRDefault="00B77C35" w14:paraId="5A2112C0" w14:textId="77777777">
      <w:pPr>
        <w:spacing w:after="0" w:line="240" w:lineRule="auto"/>
      </w:pPr>
      <w:r>
        <w:separator/>
      </w:r>
    </w:p>
  </w:footnote>
  <w:footnote w:type="continuationSeparator" w:id="0">
    <w:p w:rsidR="00B77C35" w:rsidP="00D33E1E" w:rsidRDefault="00B77C35" w14:paraId="461435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D01D6E" w:rsidTr="00D01D6E" w14:paraId="0DFD1FD1" w14:textId="77777777">
      <w:trPr>
        <w:trHeight w:val="141"/>
      </w:trPr>
      <w:tc>
        <w:tcPr>
          <w:tcW w:w="2404" w:type="dxa"/>
        </w:tcPr>
        <w:p w:rsidRPr="001B5FB6" w:rsidR="00D01D6E" w:rsidP="00D01D6E" w:rsidRDefault="00D01D6E" w14:paraId="1B659CA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D01D6E" w:rsidP="00D01D6E" w:rsidRDefault="00D01D6E" w14:paraId="2437DBEF" w14:textId="77777777">
          <w:pPr>
            <w:tabs>
              <w:tab w:val="right" w:pos="8838"/>
            </w:tabs>
            <w:ind w:left="-28" w:right="683"/>
            <w:rPr>
              <w:rFonts w:eastAsia="Calibri" w:cs="Tahoma"/>
            </w:rPr>
          </w:pPr>
          <w:r w:rsidRPr="00A8173F">
            <w:rPr>
              <w:rFonts w:eastAsia="Calibri" w:cs="Tahoma"/>
              <w:lang w:val="es-MX"/>
            </w:rPr>
            <w:t>04196/INFOEM/IP/RR/2020</w:t>
          </w:r>
        </w:p>
      </w:tc>
    </w:tr>
    <w:tr w:rsidR="00D01D6E" w:rsidTr="00D01D6E" w14:paraId="7E7215F6" w14:textId="77777777">
      <w:trPr>
        <w:trHeight w:val="276"/>
      </w:trPr>
      <w:tc>
        <w:tcPr>
          <w:tcW w:w="2404" w:type="dxa"/>
        </w:tcPr>
        <w:p w:rsidRPr="001B5FB6" w:rsidR="00D01D6E" w:rsidP="00D01D6E" w:rsidRDefault="00D01D6E" w14:paraId="42BA4D0C"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D01D6E" w:rsidP="00D01D6E" w:rsidRDefault="00D01D6E" w14:paraId="002AA113" w14:textId="77777777">
          <w:pPr>
            <w:tabs>
              <w:tab w:val="right" w:pos="8838"/>
            </w:tabs>
            <w:ind w:right="116"/>
            <w:rPr>
              <w:rFonts w:eastAsia="Calibri" w:cs="Tahoma"/>
              <w:lang w:val="es-MX"/>
            </w:rPr>
          </w:pPr>
          <w:r w:rsidRPr="00A8173F">
            <w:rPr>
              <w:rFonts w:eastAsia="Calibri" w:cs="Tahoma"/>
              <w:lang w:val="es-MX"/>
            </w:rPr>
            <w:t>Ayuntamiento de Chapultepec</w:t>
          </w:r>
        </w:p>
      </w:tc>
    </w:tr>
    <w:tr w:rsidR="00D01D6E" w:rsidTr="00D01D6E" w14:paraId="58EABBCD" w14:textId="77777777">
      <w:trPr>
        <w:trHeight w:val="276"/>
      </w:trPr>
      <w:tc>
        <w:tcPr>
          <w:tcW w:w="2404" w:type="dxa"/>
        </w:tcPr>
        <w:p w:rsidRPr="001B5FB6" w:rsidR="00D01D6E" w:rsidP="00D01D6E" w:rsidRDefault="00D01D6E" w14:paraId="79C18A2E"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D01D6E" w:rsidP="00D01D6E" w:rsidRDefault="00D01D6E" w14:paraId="10DF130E"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D01D6E" w:rsidRDefault="00AF4CEA" w14:paraId="40339EC2" w14:textId="77777777">
    <w:pPr>
      <w:pStyle w:val="Encabezado"/>
    </w:pPr>
    <w:r>
      <w:rPr>
        <w:noProof/>
      </w:rPr>
      <w:pict w14:anchorId="1CB787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408"/>
    </w:tblGrid>
    <w:tr w:rsidR="00D01D6E" w:rsidTr="00D33E1E" w14:paraId="4252B107" w14:textId="77777777">
      <w:trPr>
        <w:trHeight w:val="141"/>
      </w:trPr>
      <w:tc>
        <w:tcPr>
          <w:tcW w:w="2404" w:type="dxa"/>
        </w:tcPr>
        <w:p w:rsidRPr="001B5FB6" w:rsidR="00D01D6E" w:rsidP="00D01D6E" w:rsidRDefault="00D01D6E" w14:paraId="1985B3B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408" w:type="dxa"/>
        </w:tcPr>
        <w:p w:rsidRPr="00C853D1" w:rsidR="00D01D6E" w:rsidP="00D01D6E" w:rsidRDefault="002E2F94" w14:paraId="394C61DA" w14:textId="2FB5304A">
          <w:pPr>
            <w:tabs>
              <w:tab w:val="right" w:pos="8838"/>
            </w:tabs>
            <w:ind w:left="-28" w:right="454"/>
            <w:rPr>
              <w:rFonts w:eastAsia="Calibri" w:cs="Tahoma"/>
            </w:rPr>
          </w:pPr>
          <w:r>
            <w:rPr>
              <w:rFonts w:eastAsia="Calibri" w:cs="Tahoma"/>
              <w:lang w:val="es-MX"/>
            </w:rPr>
            <w:t>01051/INFOEM/IP/RR/2023</w:t>
          </w:r>
        </w:p>
      </w:tc>
    </w:tr>
    <w:tr w:rsidR="00D01D6E" w:rsidTr="00D33E1E" w14:paraId="3621EFE6" w14:textId="77777777">
      <w:trPr>
        <w:trHeight w:val="276"/>
      </w:trPr>
      <w:tc>
        <w:tcPr>
          <w:tcW w:w="2404" w:type="dxa"/>
        </w:tcPr>
        <w:p w:rsidRPr="001B5FB6" w:rsidR="00D01D6E" w:rsidP="00D01D6E" w:rsidRDefault="00D01D6E" w14:paraId="795E224C" w14:textId="77777777">
          <w:pPr>
            <w:tabs>
              <w:tab w:val="right" w:pos="8838"/>
            </w:tabs>
            <w:ind w:right="-105"/>
            <w:rPr>
              <w:rFonts w:eastAsia="Calibri" w:cs="Tahoma"/>
              <w:b/>
              <w:lang w:val="es-MX"/>
            </w:rPr>
          </w:pPr>
          <w:r w:rsidRPr="001B5FB6">
            <w:rPr>
              <w:rFonts w:eastAsia="Calibri" w:cs="Tahoma"/>
              <w:b/>
              <w:lang w:val="es-MX"/>
            </w:rPr>
            <w:t>Sujeto Obligado:</w:t>
          </w:r>
        </w:p>
      </w:tc>
      <w:tc>
        <w:tcPr>
          <w:tcW w:w="3408" w:type="dxa"/>
        </w:tcPr>
        <w:p w:rsidRPr="00A8173F" w:rsidR="00D01D6E" w:rsidP="00004706" w:rsidRDefault="002E2F94" w14:paraId="2B56A5C3" w14:textId="774021D3">
          <w:pPr>
            <w:tabs>
              <w:tab w:val="right" w:pos="8838"/>
            </w:tabs>
            <w:ind w:right="183"/>
            <w:rPr>
              <w:rFonts w:eastAsia="Calibri" w:cs="Tahoma"/>
              <w:lang w:val="es-MX"/>
            </w:rPr>
          </w:pPr>
          <w:r>
            <w:rPr>
              <w:rFonts w:eastAsia="Calibri" w:cs="Tahoma"/>
              <w:lang w:val="es-MX"/>
            </w:rPr>
            <w:t>Tribunal Estatal de Conciliación y Arbitraje</w:t>
          </w:r>
        </w:p>
      </w:tc>
    </w:tr>
    <w:tr w:rsidR="00D01D6E" w:rsidTr="00D33E1E" w14:paraId="416E8878" w14:textId="77777777">
      <w:trPr>
        <w:trHeight w:val="276"/>
      </w:trPr>
      <w:tc>
        <w:tcPr>
          <w:tcW w:w="2404" w:type="dxa"/>
        </w:tcPr>
        <w:p w:rsidRPr="001B5FB6" w:rsidR="00D01D6E" w:rsidP="00D01D6E" w:rsidRDefault="00D01D6E" w14:paraId="4EFD1E06"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8" w:type="dxa"/>
        </w:tcPr>
        <w:p w:rsidRPr="00A8173F" w:rsidR="00D01D6E" w:rsidP="00D01D6E" w:rsidRDefault="00D01D6E" w14:paraId="5F75B35B"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D01D6E" w:rsidRDefault="00AF4CEA" w14:paraId="48763856" w14:textId="77777777">
    <w:pPr>
      <w:pStyle w:val="Encabezado"/>
    </w:pPr>
    <w:r>
      <w:rPr>
        <w:noProof/>
      </w:rPr>
      <w:pict w14:anchorId="47D414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93.8pt;margin-top:-127.2pt;width:663.5pt;height:12in;z-index:-251656192;mso-wrap-edited:f;mso-width-percent:0;mso-height-percent:0;mso-position-horizontal-relative:margin;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410"/>
      <w:gridCol w:w="6945"/>
    </w:tblGrid>
    <w:tr w:rsidRPr="005C106F" w:rsidR="00D01D6E" w:rsidTr="0F76B6EA" w14:paraId="29710DCA" w14:textId="77777777">
      <w:trPr>
        <w:trHeight w:val="1546"/>
      </w:trPr>
      <w:tc>
        <w:tcPr>
          <w:tcW w:w="2410" w:type="dxa"/>
          <w:shd w:val="clear" w:color="auto" w:fill="auto"/>
          <w:tcMar/>
        </w:tcPr>
        <w:p w:rsidRPr="005C106F" w:rsidR="00D01D6E" w:rsidP="00D01D6E" w:rsidRDefault="00D01D6E" w14:paraId="609307A1" w14:textId="77777777">
          <w:pPr>
            <w:tabs>
              <w:tab w:val="right" w:pos="4273"/>
            </w:tabs>
            <w:rPr>
              <w:rFonts w:ascii="Garamond" w:hAnsi="Garamond" w:eastAsia="Calibri"/>
              <w:sz w:val="16"/>
              <w:szCs w:val="16"/>
            </w:rPr>
          </w:pPr>
        </w:p>
      </w:tc>
      <w:tc>
        <w:tcPr>
          <w:tcW w:w="6945" w:type="dxa"/>
          <w:shd w:val="clear" w:color="auto" w:fill="auto"/>
          <w:tcMar/>
        </w:tcPr>
        <w:p w:rsidRPr="00B32A2A" w:rsidR="00B32A2A" w:rsidRDefault="00B32A2A" w14:paraId="7BB3B1A1" w14:textId="77777777">
          <w:pPr>
            <w:rPr>
              <w:sz w:val="6"/>
            </w:rPr>
          </w:pPr>
        </w:p>
        <w:tbl>
          <w:tblPr>
            <w:tblStyle w:val="Tablaconcuadrcula"/>
            <w:tblW w:w="5953" w:type="dxa"/>
            <w:tblInd w:w="5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44"/>
            <w:gridCol w:w="3409"/>
          </w:tblGrid>
          <w:tr w:rsidR="00D01D6E" w:rsidTr="0F76B6EA" w14:paraId="05ACF8CB" w14:textId="77777777">
            <w:trPr>
              <w:trHeight w:val="141"/>
            </w:trPr>
            <w:tc>
              <w:tcPr>
                <w:tcW w:w="2544" w:type="dxa"/>
                <w:tcMar/>
                <w:vAlign w:val="bottom"/>
              </w:tcPr>
              <w:p w:rsidRPr="001B5FB6" w:rsidR="00D01D6E" w:rsidP="00D01D6E" w:rsidRDefault="00D01D6E" w14:paraId="0398967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409" w:type="dxa"/>
                <w:tcMar/>
              </w:tcPr>
              <w:p w:rsidRPr="00C853D1" w:rsidR="00D01D6E" w:rsidP="00D01D6E" w:rsidRDefault="002E2F94" w14:paraId="0FD1FB93" w14:textId="096433EF">
                <w:pPr>
                  <w:tabs>
                    <w:tab w:val="right" w:pos="8838"/>
                  </w:tabs>
                  <w:ind w:left="-28" w:right="-107"/>
                  <w:rPr>
                    <w:rFonts w:eastAsia="Calibri" w:cs="Tahoma"/>
                  </w:rPr>
                </w:pPr>
                <w:r>
                  <w:rPr>
                    <w:rFonts w:eastAsia="Calibri" w:cs="Tahoma"/>
                    <w:lang w:val="es-MX"/>
                  </w:rPr>
                  <w:t>01051/INFOEM/IP/RR/2023</w:t>
                </w:r>
              </w:p>
            </w:tc>
          </w:tr>
          <w:tr w:rsidR="00D01D6E" w:rsidTr="0F76B6EA" w14:paraId="6A0AED58" w14:textId="77777777">
            <w:trPr>
              <w:trHeight w:val="141"/>
            </w:trPr>
            <w:tc>
              <w:tcPr>
                <w:tcW w:w="2544" w:type="dxa"/>
                <w:tcMar/>
              </w:tcPr>
              <w:p w:rsidRPr="001B5FB6" w:rsidR="00D01D6E" w:rsidP="00D01D6E" w:rsidRDefault="00D01D6E" w14:paraId="57D134AC" w14:textId="77777777">
                <w:pPr>
                  <w:tabs>
                    <w:tab w:val="right" w:pos="8838"/>
                  </w:tabs>
                  <w:ind w:right="-105"/>
                  <w:rPr>
                    <w:rFonts w:eastAsia="Calibri" w:cs="Tahoma"/>
                    <w:b/>
                    <w:lang w:val="es-MX"/>
                  </w:rPr>
                </w:pPr>
                <w:r w:rsidRPr="001B5FB6">
                  <w:rPr>
                    <w:rFonts w:eastAsia="Calibri" w:cs="Tahoma"/>
                    <w:b/>
                    <w:lang w:val="es-MX"/>
                  </w:rPr>
                  <w:t>Recurrente:</w:t>
                </w:r>
              </w:p>
            </w:tc>
            <w:tc>
              <w:tcPr>
                <w:tcW w:w="3409" w:type="dxa"/>
                <w:tcMar/>
              </w:tcPr>
              <w:p w:rsidRPr="003405AF" w:rsidR="00D01D6E" w:rsidP="0F76B6EA" w:rsidRDefault="002E2F94" w14:paraId="0FDE9BC7" w14:textId="24C5B3FB">
                <w:pPr>
                  <w:tabs>
                    <w:tab w:val="right" w:pos="8838"/>
                  </w:tabs>
                  <w:ind w:right="-107"/>
                  <w:rPr>
                    <w:rFonts w:eastAsia="Calibri" w:cs="Tahoma"/>
                    <w:highlight w:val="black"/>
                    <w:lang w:val="es-MX"/>
                  </w:rPr>
                </w:pPr>
                <w:r w:rsidRPr="0F76B6EA" w:rsidR="0F76B6EA">
                  <w:rPr>
                    <w:rFonts w:eastAsia="Calibri" w:cs="Tahoma"/>
                    <w:highlight w:val="black"/>
                    <w:lang w:val="es-MX"/>
                  </w:rPr>
                  <w:t>XXXXXXXXXXXXXXXXXXX</w:t>
                </w:r>
              </w:p>
            </w:tc>
          </w:tr>
          <w:tr w:rsidR="00D01D6E" w:rsidTr="0F76B6EA" w14:paraId="32C30DF5" w14:textId="77777777">
            <w:trPr>
              <w:trHeight w:val="276"/>
            </w:trPr>
            <w:tc>
              <w:tcPr>
                <w:tcW w:w="2544" w:type="dxa"/>
                <w:tcMar/>
              </w:tcPr>
              <w:p w:rsidRPr="001B5FB6" w:rsidR="00D01D6E" w:rsidP="00D01D6E" w:rsidRDefault="00D01D6E" w14:paraId="404030D2" w14:textId="77777777">
                <w:pPr>
                  <w:tabs>
                    <w:tab w:val="right" w:pos="8838"/>
                  </w:tabs>
                  <w:ind w:right="-105"/>
                  <w:rPr>
                    <w:rFonts w:eastAsia="Calibri" w:cs="Tahoma"/>
                    <w:b/>
                    <w:lang w:val="es-MX"/>
                  </w:rPr>
                </w:pPr>
                <w:r w:rsidRPr="001B5FB6">
                  <w:rPr>
                    <w:rFonts w:eastAsia="Calibri" w:cs="Tahoma"/>
                    <w:b/>
                    <w:lang w:val="es-MX"/>
                  </w:rPr>
                  <w:t>Sujeto Obligado:</w:t>
                </w:r>
              </w:p>
            </w:tc>
            <w:tc>
              <w:tcPr>
                <w:tcW w:w="3409" w:type="dxa"/>
                <w:tcMar/>
              </w:tcPr>
              <w:p w:rsidRPr="00C853D1" w:rsidR="00D01D6E" w:rsidP="00E173BF" w:rsidRDefault="002E2F94" w14:paraId="799DB8AF" w14:textId="2FB0F336">
                <w:pPr>
                  <w:tabs>
                    <w:tab w:val="right" w:pos="8838"/>
                  </w:tabs>
                  <w:ind w:right="-107"/>
                  <w:rPr>
                    <w:rFonts w:eastAsia="Calibri" w:cs="Tahoma"/>
                    <w:lang w:val="es-MX"/>
                  </w:rPr>
                </w:pPr>
                <w:r>
                  <w:rPr>
                    <w:rFonts w:eastAsia="Calibri" w:cs="Tahoma"/>
                  </w:rPr>
                  <w:t>Tribunal Estatal de Conciliación y Arbitraje</w:t>
                </w:r>
              </w:p>
            </w:tc>
          </w:tr>
          <w:tr w:rsidR="00D01D6E" w:rsidTr="0F76B6EA" w14:paraId="0CB1124D" w14:textId="77777777">
            <w:trPr>
              <w:trHeight w:val="276"/>
            </w:trPr>
            <w:tc>
              <w:tcPr>
                <w:tcW w:w="2544" w:type="dxa"/>
                <w:tcMar/>
              </w:tcPr>
              <w:p w:rsidRPr="001B5FB6" w:rsidR="00D01D6E" w:rsidP="00D01D6E" w:rsidRDefault="00D01D6E" w14:paraId="7FFB378F"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9" w:type="dxa"/>
                <w:tcMar/>
              </w:tcPr>
              <w:p w:rsidRPr="00A8173F" w:rsidR="00D01D6E" w:rsidP="00D01D6E" w:rsidRDefault="00D01D6E" w14:paraId="638F54B2"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D01D6E" w:rsidP="00D01D6E" w:rsidRDefault="00D01D6E" w14:paraId="0017BB17" w14:textId="77777777">
          <w:pPr>
            <w:tabs>
              <w:tab w:val="right" w:pos="8838"/>
            </w:tabs>
            <w:ind w:left="-28"/>
            <w:rPr>
              <w:rFonts w:ascii="Arial" w:hAnsi="Arial" w:eastAsia="Calibri" w:cs="Arial"/>
              <w:b/>
            </w:rPr>
          </w:pPr>
        </w:p>
      </w:tc>
    </w:tr>
  </w:tbl>
  <w:p w:rsidR="00D01D6E" w:rsidRDefault="00AF4CEA" w14:paraId="712ACD35" w14:textId="77777777">
    <w:pPr>
      <w:pStyle w:val="Encabezado"/>
    </w:pPr>
    <w:r>
      <w:rPr>
        <w:noProof/>
      </w:rPr>
      <w:pict w14:anchorId="2E1F942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1.85pt;margin-top:-129.1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FD0"/>
    <w:multiLevelType w:val="hybridMultilevel"/>
    <w:tmpl w:val="073E1A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D95328F"/>
    <w:multiLevelType w:val="hybridMultilevel"/>
    <w:tmpl w:val="940AD8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067B2C"/>
    <w:multiLevelType w:val="hybridMultilevel"/>
    <w:tmpl w:val="2216060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65B7311"/>
    <w:multiLevelType w:val="hybridMultilevel"/>
    <w:tmpl w:val="2BE4189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4EC2314F"/>
    <w:multiLevelType w:val="hybridMultilevel"/>
    <w:tmpl w:val="1B46935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76947CB"/>
    <w:multiLevelType w:val="hybridMultilevel"/>
    <w:tmpl w:val="DA5CB7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2C31EA"/>
    <w:multiLevelType w:val="hybridMultilevel"/>
    <w:tmpl w:val="341226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44049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908181">
    <w:abstractNumId w:val="3"/>
  </w:num>
  <w:num w:numId="3" w16cid:durableId="669915833">
    <w:abstractNumId w:val="1"/>
  </w:num>
  <w:num w:numId="4" w16cid:durableId="1458135254">
    <w:abstractNumId w:val="8"/>
  </w:num>
  <w:num w:numId="5" w16cid:durableId="1427964233">
    <w:abstractNumId w:val="0"/>
  </w:num>
  <w:num w:numId="6" w16cid:durableId="273757047">
    <w:abstractNumId w:val="5"/>
  </w:num>
  <w:num w:numId="7" w16cid:durableId="981665086">
    <w:abstractNumId w:val="4"/>
  </w:num>
  <w:num w:numId="8" w16cid:durableId="1989018842">
    <w:abstractNumId w:val="6"/>
  </w:num>
  <w:num w:numId="9" w16cid:durableId="1416786660">
    <w:abstractNumId w:val="2"/>
  </w:num>
  <w:num w:numId="10" w16cid:durableId="890651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1E"/>
    <w:rsid w:val="00004706"/>
    <w:rsid w:val="0001305B"/>
    <w:rsid w:val="000818EB"/>
    <w:rsid w:val="000871BA"/>
    <w:rsid w:val="000A6CA3"/>
    <w:rsid w:val="000B0731"/>
    <w:rsid w:val="000B2098"/>
    <w:rsid w:val="00123185"/>
    <w:rsid w:val="00166C0C"/>
    <w:rsid w:val="001918B9"/>
    <w:rsid w:val="002858EF"/>
    <w:rsid w:val="002A1E66"/>
    <w:rsid w:val="002A7984"/>
    <w:rsid w:val="002D4331"/>
    <w:rsid w:val="002E2F94"/>
    <w:rsid w:val="002F7FBC"/>
    <w:rsid w:val="0031035D"/>
    <w:rsid w:val="00335999"/>
    <w:rsid w:val="0034416B"/>
    <w:rsid w:val="003D3AFE"/>
    <w:rsid w:val="00413375"/>
    <w:rsid w:val="00420B47"/>
    <w:rsid w:val="00436379"/>
    <w:rsid w:val="00462036"/>
    <w:rsid w:val="004D075B"/>
    <w:rsid w:val="004D5428"/>
    <w:rsid w:val="004E13B7"/>
    <w:rsid w:val="0051730F"/>
    <w:rsid w:val="0053306D"/>
    <w:rsid w:val="005D563E"/>
    <w:rsid w:val="005E6304"/>
    <w:rsid w:val="005F5033"/>
    <w:rsid w:val="00601F7E"/>
    <w:rsid w:val="00603D49"/>
    <w:rsid w:val="00606096"/>
    <w:rsid w:val="00613D5D"/>
    <w:rsid w:val="00620A59"/>
    <w:rsid w:val="00630773"/>
    <w:rsid w:val="0066608C"/>
    <w:rsid w:val="00683249"/>
    <w:rsid w:val="00687D81"/>
    <w:rsid w:val="007076DF"/>
    <w:rsid w:val="007119C4"/>
    <w:rsid w:val="00754322"/>
    <w:rsid w:val="007E0AB2"/>
    <w:rsid w:val="007F135F"/>
    <w:rsid w:val="007F6380"/>
    <w:rsid w:val="00822D5C"/>
    <w:rsid w:val="008534A9"/>
    <w:rsid w:val="00882A3A"/>
    <w:rsid w:val="008B252E"/>
    <w:rsid w:val="008F62FA"/>
    <w:rsid w:val="008F6CEE"/>
    <w:rsid w:val="00931A51"/>
    <w:rsid w:val="00934E42"/>
    <w:rsid w:val="00993571"/>
    <w:rsid w:val="009C5ED7"/>
    <w:rsid w:val="009D4F14"/>
    <w:rsid w:val="009E5C7C"/>
    <w:rsid w:val="00AB0A48"/>
    <w:rsid w:val="00AF4CEA"/>
    <w:rsid w:val="00AF717D"/>
    <w:rsid w:val="00B0264A"/>
    <w:rsid w:val="00B243FE"/>
    <w:rsid w:val="00B32A2A"/>
    <w:rsid w:val="00B5631F"/>
    <w:rsid w:val="00B63153"/>
    <w:rsid w:val="00B756DC"/>
    <w:rsid w:val="00B761D1"/>
    <w:rsid w:val="00B77C35"/>
    <w:rsid w:val="00BD56EB"/>
    <w:rsid w:val="00C53CFA"/>
    <w:rsid w:val="00C67404"/>
    <w:rsid w:val="00CA0090"/>
    <w:rsid w:val="00CA34BE"/>
    <w:rsid w:val="00CE1C27"/>
    <w:rsid w:val="00D01D6E"/>
    <w:rsid w:val="00D33E1E"/>
    <w:rsid w:val="00D637CC"/>
    <w:rsid w:val="00D97AE8"/>
    <w:rsid w:val="00DE6F61"/>
    <w:rsid w:val="00E173BF"/>
    <w:rsid w:val="00E4438F"/>
    <w:rsid w:val="00E46064"/>
    <w:rsid w:val="00E46128"/>
    <w:rsid w:val="00E46E6F"/>
    <w:rsid w:val="00E52F80"/>
    <w:rsid w:val="00E63AE7"/>
    <w:rsid w:val="00E63D70"/>
    <w:rsid w:val="00E81DBD"/>
    <w:rsid w:val="00E94B00"/>
    <w:rsid w:val="00EC375F"/>
    <w:rsid w:val="00ED212B"/>
    <w:rsid w:val="00F426C0"/>
    <w:rsid w:val="00F46443"/>
    <w:rsid w:val="00F72A01"/>
    <w:rsid w:val="00F816C1"/>
    <w:rsid w:val="00FA2427"/>
    <w:rsid w:val="00FB1AB2"/>
    <w:rsid w:val="00FE45C5"/>
    <w:rsid w:val="00FF09C8"/>
    <w:rsid w:val="0F76B6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03DA3"/>
  <w15:chartTrackingRefBased/>
  <w15:docId w15:val="{E25DC809-C568-4358-9DD4-61F78644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3E1E"/>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33E1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33E1E"/>
    <w:rPr>
      <w:rFonts w:ascii="Palatino Linotype" w:hAnsi="Palatino Linotype"/>
      <w:color w:val="000000" w:themeColor="text1"/>
    </w:rPr>
  </w:style>
  <w:style w:type="paragraph" w:styleId="Piedepgina">
    <w:name w:val="footer"/>
    <w:basedOn w:val="Normal"/>
    <w:link w:val="PiedepginaCar"/>
    <w:uiPriority w:val="99"/>
    <w:unhideWhenUsed/>
    <w:rsid w:val="00D33E1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33E1E"/>
    <w:rPr>
      <w:rFonts w:ascii="Palatino Linotype" w:hAnsi="Palatino Linotype"/>
      <w:color w:val="000000" w:themeColor="text1"/>
    </w:rPr>
  </w:style>
  <w:style w:type="table" w:styleId="Tablaconcuadrcula">
    <w:name w:val="Table Grid"/>
    <w:basedOn w:val="Tablanormal"/>
    <w:uiPriority w:val="39"/>
    <w:rsid w:val="00D33E1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33E1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3E1E"/>
    <w:pPr>
      <w:spacing w:after="0" w:line="240" w:lineRule="auto"/>
      <w:ind w:left="720"/>
      <w:contextualSpacing/>
    </w:pPr>
    <w:rPr>
      <w:rFonts w:eastAsia="Times New Roman" w:cs="Times New Roman"/>
      <w:szCs w:val="24"/>
      <w:lang w:eastAsia="es-ES"/>
    </w:rPr>
  </w:style>
  <w:style w:type="character" w:styleId="Hipervnculo">
    <w:name w:val="Hyperlink"/>
    <w:basedOn w:val="Fuentedeprrafopredeter"/>
    <w:uiPriority w:val="99"/>
    <w:unhideWhenUsed/>
    <w:rsid w:val="00AB0A48"/>
    <w:rPr>
      <w:color w:val="0563C1" w:themeColor="hyperlink"/>
      <w:u w:val="single"/>
    </w:rPr>
  </w:style>
  <w:style w:type="character" w:styleId="Mencinsinresolver1" w:customStyle="1">
    <w:name w:val="Mención sin resolver1"/>
    <w:basedOn w:val="Fuentedeprrafopredeter"/>
    <w:uiPriority w:val="99"/>
    <w:semiHidden/>
    <w:unhideWhenUsed/>
    <w:rsid w:val="00AB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6374">
      <w:bodyDiv w:val="1"/>
      <w:marLeft w:val="0"/>
      <w:marRight w:val="0"/>
      <w:marTop w:val="0"/>
      <w:marBottom w:val="0"/>
      <w:divBdr>
        <w:top w:val="none" w:sz="0" w:space="0" w:color="auto"/>
        <w:left w:val="none" w:sz="0" w:space="0" w:color="auto"/>
        <w:bottom w:val="none" w:sz="0" w:space="0" w:color="auto"/>
        <w:right w:val="none" w:sz="0" w:space="0" w:color="auto"/>
      </w:divBdr>
    </w:div>
    <w:div w:id="11428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8659156387f447be"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999b5b1-648b-476e-854a-57036f3f400f}"/>
      </w:docPartPr>
      <w:docPartBody>
        <w:p w14:paraId="0F76B6E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76BDB-B881-4D3D-9CCE-6CABD11A8D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Denisse Eduarte</lastModifiedBy>
  <revision>5</revision>
  <dcterms:created xsi:type="dcterms:W3CDTF">2023-03-23T04:00:00.0000000Z</dcterms:created>
  <dcterms:modified xsi:type="dcterms:W3CDTF">2023-04-15T15:06:12.0584398Z</dcterms:modified>
</coreProperties>
</file>